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2D3" w:rsidRPr="006B32D3" w:rsidRDefault="00A37F3B" w:rsidP="006B32D3">
      <w:pPr>
        <w:jc w:val="both"/>
        <w:rPr>
          <w:rFonts w:ascii="Cambria" w:hAnsi="Cambria" w:cs="Univers"/>
          <w:b/>
          <w:bCs/>
          <w:sz w:val="22"/>
          <w:szCs w:val="22"/>
        </w:rPr>
      </w:pPr>
      <w:r>
        <w:rPr>
          <w:noProof/>
          <w:bdr w:val="none" w:sz="0" w:space="0" w:color="auto"/>
          <w:lang w:val="es-ES" w:eastAsia="es-ES" w:bidi="ar-SA"/>
        </w:rPr>
        <mc:AlternateContent>
          <mc:Choice Requires="wps">
            <w:drawing>
              <wp:anchor distT="0" distB="0" distL="114300" distR="114300" simplePos="0" relativeHeight="251653632" behindDoc="0" locked="0" layoutInCell="1" allowOverlap="1">
                <wp:simplePos x="0" y="0"/>
                <wp:positionH relativeFrom="column">
                  <wp:posOffset>-415925</wp:posOffset>
                </wp:positionH>
                <wp:positionV relativeFrom="paragraph">
                  <wp:posOffset>-356870</wp:posOffset>
                </wp:positionV>
                <wp:extent cx="1409700" cy="8977630"/>
                <wp:effectExtent l="0" t="0" r="0" b="0"/>
                <wp:wrapNone/>
                <wp:docPr id="1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8977630"/>
                        </a:xfrm>
                        <a:prstGeom prst="rect">
                          <a:avLst/>
                        </a:prstGeom>
                        <a:solidFill>
                          <a:srgbClr val="67AE3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" fillcolor="#67ae3c" stroked="f" strokeweight="2pt">
                <v:path arrowok="t"/>
              </v:rect>
            </w:pict>
          </mc:Fallback>
        </mc:AlternateContent>
      </w:r>
      <w:r>
        <w:rPr>
          <w:noProof/>
          <w:bdr w:val="none" w:sz="0" w:space="0" w:color="auto"/>
          <w:lang w:val="es-ES" w:eastAsia="es-ES" w:bidi="ar-SA"/>
        </w:rPr>
        <mc:AlternateContent>
          <mc:Choice Requires="wps">
            <w:drawing>
              <wp:anchor distT="0" distB="0" distL="114300" distR="114300" simplePos="0" relativeHeight="251657728" behindDoc="0" locked="0" layoutInCell="1" allowOverlap="1">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6275" cy="752475"/>
                        </a:xfrm>
                        <a:prstGeom prst="rect">
                          <a:avLst/>
                        </a:prstGeom>
                        <a:noFill/>
                        <a:ln w="6350">
                          <a:noFill/>
                        </a:ln>
                        <a:effectLst/>
                      </wps:spPr>
                      <wps:txbx>
                        <w:txbxContent>
                          <w:p w:rsidR="006B32D3" w:rsidRDefault="00A37F3B" w:rsidP="006B32D3">
                            <w:r>
                              <w:rPr>
                                <w:noProof/>
                                <w:lang w:val="es-ES" w:eastAsia="es-ES" w:bidi="ar-SA"/>
                              </w:rPr>
                              <w:drawing>
                                <wp:inline distT="0" distB="0" distL="0" distR="0">
                                  <wp:extent cx="2523490" cy="482600"/>
                                  <wp:effectExtent l="0" t="0" r="0" b="0"/>
                                  <wp:docPr id="2" name="Picture 2" descr="cid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h-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3490" cy="482600"/>
                                          </a:xfrm>
                                          <a:prstGeom prst="rect">
                                            <a:avLst/>
                                          </a:prstGeom>
                                          <a:noFill/>
                                          <a:ln>
                                            <a:noFill/>
                                          </a:ln>
                                        </pic:spPr>
                                      </pic:pic>
                                    </a:graphicData>
                                  </a:graphic>
                                </wp:inline>
                              </w:drawing>
                            </w:r>
                            <w:r w:rsidR="0016253E">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" filled="f" stroked="f" strokeweight=".5pt">
                <v:path arrowok="t"/>
                <v:textbox>
                  <w:txbxContent>
                    <w:p w:rsidR="006B32D3" w:rsidRDefault="00A37F3B" w:rsidP="006B32D3">
                      <w:r>
                        <w:rPr>
                          <w:noProof/>
                          <w:lang w:val="es-ES" w:eastAsia="es-ES" w:bidi="ar-SA"/>
                        </w:rPr>
                        <w:drawing>
                          <wp:inline distT="0" distB="0" distL="0" distR="0">
                            <wp:extent cx="2523490" cy="482600"/>
                            <wp:effectExtent l="0" t="0" r="0" b="0"/>
                            <wp:docPr id="2" name="Picture 2" descr="cid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h-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3490" cy="482600"/>
                                    </a:xfrm>
                                    <a:prstGeom prst="rect">
                                      <a:avLst/>
                                    </a:prstGeom>
                                    <a:noFill/>
                                    <a:ln>
                                      <a:noFill/>
                                    </a:ln>
                                  </pic:spPr>
                                </pic:pic>
                              </a:graphicData>
                            </a:graphic>
                          </wp:inline>
                        </w:drawing>
                      </w:r>
                      <w:r w:rsidR="0016253E">
                        <w:t xml:space="preserve">                                               </w:t>
                      </w:r>
                    </w:p>
                  </w:txbxContent>
                </v:textbox>
              </v:shape>
            </w:pict>
          </mc:Fallback>
        </mc:AlternateContent>
      </w:r>
    </w:p>
    <w:p w:rsidR="006B32D3" w:rsidRPr="006B32D3" w:rsidRDefault="006B32D3" w:rsidP="006B32D3">
      <w:pPr>
        <w:tabs>
          <w:tab w:val="center" w:pos="5400"/>
        </w:tabs>
        <w:suppressAutoHyphens/>
        <w:jc w:val="both"/>
        <w:rPr>
          <w:rFonts w:ascii="Cambria" w:hAnsi="Cambria"/>
          <w:sz w:val="22"/>
          <w:szCs w:val="22"/>
        </w:rPr>
      </w:pPr>
    </w:p>
    <w:p w:rsidR="006B32D3" w:rsidRPr="006B32D3" w:rsidRDefault="006B32D3" w:rsidP="006B32D3">
      <w:pPr>
        <w:tabs>
          <w:tab w:val="center" w:pos="5400"/>
        </w:tabs>
        <w:suppressAutoHyphens/>
        <w:jc w:val="both"/>
        <w:rPr>
          <w:rFonts w:ascii="Cambria" w:hAnsi="Cambria"/>
          <w:sz w:val="22"/>
          <w:szCs w:val="22"/>
        </w:rPr>
      </w:pPr>
    </w:p>
    <w:p w:rsidR="006B32D3" w:rsidRPr="006B32D3" w:rsidRDefault="006B32D3" w:rsidP="006B32D3">
      <w:pPr>
        <w:tabs>
          <w:tab w:val="center" w:pos="5400"/>
        </w:tabs>
        <w:suppressAutoHyphens/>
        <w:rPr>
          <w:rFonts w:ascii="Cambria" w:hAnsi="Cambria"/>
          <w:sz w:val="22"/>
          <w:szCs w:val="22"/>
        </w:rPr>
      </w:pPr>
    </w:p>
    <w:p w:rsidR="006B32D3" w:rsidRPr="006B32D3" w:rsidRDefault="006B32D3" w:rsidP="006B32D3">
      <w:pPr>
        <w:tabs>
          <w:tab w:val="center" w:pos="5400"/>
        </w:tabs>
        <w:suppressAutoHyphens/>
        <w:rPr>
          <w:rFonts w:ascii="Cambria" w:hAnsi="Cambria"/>
          <w:sz w:val="22"/>
          <w:szCs w:val="22"/>
        </w:rPr>
      </w:pPr>
    </w:p>
    <w:p w:rsidR="006B32D3" w:rsidRPr="006B32D3" w:rsidRDefault="006B32D3" w:rsidP="006B32D3">
      <w:pPr>
        <w:tabs>
          <w:tab w:val="center" w:pos="5400"/>
        </w:tabs>
        <w:suppressAutoHyphens/>
        <w:rPr>
          <w:rFonts w:ascii="Cambria" w:hAnsi="Cambria"/>
          <w:sz w:val="22"/>
          <w:szCs w:val="22"/>
        </w:rPr>
      </w:pPr>
    </w:p>
    <w:p w:rsidR="006B32D3" w:rsidRPr="006B32D3" w:rsidRDefault="006B32D3" w:rsidP="006B32D3">
      <w:pPr>
        <w:tabs>
          <w:tab w:val="center" w:pos="5400"/>
        </w:tabs>
        <w:suppressAutoHyphens/>
        <w:jc w:val="center"/>
        <w:rPr>
          <w:rFonts w:ascii="Cambria" w:hAnsi="Cambria"/>
          <w:sz w:val="22"/>
          <w:szCs w:val="22"/>
        </w:rPr>
      </w:pPr>
    </w:p>
    <w:p w:rsidR="006B32D3" w:rsidRPr="006B32D3" w:rsidRDefault="006B32D3" w:rsidP="006B32D3">
      <w:pPr>
        <w:tabs>
          <w:tab w:val="center" w:pos="5400"/>
        </w:tabs>
        <w:suppressAutoHyphens/>
        <w:jc w:val="center"/>
        <w:rPr>
          <w:rFonts w:ascii="Cambria" w:hAnsi="Cambria"/>
          <w:sz w:val="22"/>
          <w:szCs w:val="22"/>
        </w:rPr>
      </w:pPr>
    </w:p>
    <w:p w:rsidR="006B32D3" w:rsidRPr="006B32D3" w:rsidRDefault="006B32D3" w:rsidP="006B32D3">
      <w:pPr>
        <w:tabs>
          <w:tab w:val="center" w:pos="5400"/>
        </w:tabs>
        <w:suppressAutoHyphens/>
        <w:jc w:val="center"/>
        <w:rPr>
          <w:rFonts w:ascii="Cambria" w:hAnsi="Cambria"/>
          <w:sz w:val="22"/>
          <w:szCs w:val="22"/>
        </w:rPr>
      </w:pPr>
    </w:p>
    <w:p w:rsidR="006B32D3" w:rsidRPr="006B32D3" w:rsidRDefault="006B32D3" w:rsidP="006B32D3">
      <w:pPr>
        <w:tabs>
          <w:tab w:val="center" w:pos="5400"/>
        </w:tabs>
        <w:suppressAutoHyphens/>
        <w:jc w:val="center"/>
        <w:rPr>
          <w:rFonts w:ascii="Cambria" w:hAnsi="Cambria"/>
          <w:sz w:val="22"/>
          <w:szCs w:val="22"/>
        </w:rPr>
      </w:pPr>
    </w:p>
    <w:p w:rsidR="006B32D3" w:rsidRPr="006B32D3" w:rsidRDefault="006B32D3" w:rsidP="006B32D3">
      <w:pPr>
        <w:tabs>
          <w:tab w:val="center" w:pos="5400"/>
        </w:tabs>
        <w:suppressAutoHyphens/>
        <w:jc w:val="center"/>
        <w:rPr>
          <w:rFonts w:ascii="Cambria" w:hAnsi="Cambria"/>
          <w:sz w:val="22"/>
          <w:szCs w:val="22"/>
        </w:rPr>
      </w:pPr>
    </w:p>
    <w:p w:rsidR="006B32D3" w:rsidRPr="006B32D3" w:rsidRDefault="006B32D3" w:rsidP="006B32D3">
      <w:pPr>
        <w:tabs>
          <w:tab w:val="center" w:pos="5400"/>
        </w:tabs>
        <w:suppressAutoHyphens/>
        <w:jc w:val="center"/>
        <w:rPr>
          <w:rFonts w:ascii="Cambria" w:hAnsi="Cambria"/>
          <w:sz w:val="22"/>
          <w:szCs w:val="22"/>
        </w:rPr>
      </w:pPr>
    </w:p>
    <w:p w:rsidR="006B32D3" w:rsidRPr="006B32D3" w:rsidRDefault="006B32D3" w:rsidP="006B32D3">
      <w:pPr>
        <w:tabs>
          <w:tab w:val="center" w:pos="5400"/>
        </w:tabs>
        <w:suppressAutoHyphens/>
        <w:jc w:val="center"/>
        <w:rPr>
          <w:rFonts w:ascii="Cambria" w:hAnsi="Cambria"/>
          <w:sz w:val="22"/>
          <w:szCs w:val="22"/>
        </w:rPr>
      </w:pPr>
    </w:p>
    <w:p w:rsidR="006B32D3" w:rsidRPr="006B32D3" w:rsidRDefault="006B32D3" w:rsidP="006B32D3">
      <w:pPr>
        <w:tabs>
          <w:tab w:val="center" w:pos="5400"/>
        </w:tabs>
        <w:suppressAutoHyphens/>
        <w:jc w:val="center"/>
        <w:rPr>
          <w:rFonts w:ascii="Cambria" w:hAnsi="Cambria"/>
          <w:sz w:val="22"/>
          <w:szCs w:val="22"/>
        </w:rPr>
      </w:pPr>
    </w:p>
    <w:p w:rsidR="006B32D3" w:rsidRPr="006B32D3" w:rsidRDefault="00A37F3B" w:rsidP="006B32D3">
      <w:pPr>
        <w:tabs>
          <w:tab w:val="center" w:pos="5400"/>
        </w:tabs>
        <w:suppressAutoHyphens/>
        <w:jc w:val="center"/>
        <w:rPr>
          <w:rFonts w:ascii="Cambria" w:hAnsi="Cambria"/>
          <w:sz w:val="22"/>
          <w:szCs w:val="22"/>
        </w:rPr>
      </w:pPr>
      <w:r>
        <w:rPr>
          <w:noProof/>
          <w:bdr w:val="none" w:sz="0" w:space="0" w:color="auto"/>
          <w:lang w:val="es-ES" w:eastAsia="es-ES" w:bidi="ar-SA"/>
        </w:rPr>
        <mc:AlternateContent>
          <mc:Choice Requires="wps">
            <w:drawing>
              <wp:anchor distT="0" distB="0" distL="114300" distR="114300" simplePos="0" relativeHeight="251654656" behindDoc="0" locked="0" layoutInCell="1" allowOverlap="1">
                <wp:simplePos x="0" y="0"/>
                <wp:positionH relativeFrom="column">
                  <wp:posOffset>1209675</wp:posOffset>
                </wp:positionH>
                <wp:positionV relativeFrom="paragraph">
                  <wp:posOffset>79375</wp:posOffset>
                </wp:positionV>
                <wp:extent cx="4333875" cy="2350770"/>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3875" cy="2350770"/>
                        </a:xfrm>
                        <a:prstGeom prst="rect">
                          <a:avLst/>
                        </a:prstGeom>
                        <a:noFill/>
                        <a:ln w="6350">
                          <a:noFill/>
                        </a:ln>
                        <a:effectLst/>
                      </wps:spPr>
                      <wps:txbx>
                        <w:txbxContent>
                          <w:p w:rsidR="006B32D3" w:rsidRPr="00673E50" w:rsidRDefault="006B32D3" w:rsidP="006B32D3">
                            <w:pPr>
                              <w:spacing w:line="276" w:lineRule="auto"/>
                              <w:rPr>
                                <w:rFonts w:ascii="Cambria" w:hAnsi="Cambria" w:cs="Arial"/>
                                <w:b/>
                                <w:bCs/>
                                <w:color w:val="0D0D0D"/>
                                <w:sz w:val="36"/>
                                <w:szCs w:val="22"/>
                              </w:rPr>
                            </w:pPr>
                            <w:r>
                              <w:rPr>
                                <w:rFonts w:ascii="Cambria" w:hAnsi="Cambria"/>
                                <w:b/>
                                <w:color w:val="0D0D0D"/>
                                <w:sz w:val="36"/>
                              </w:rPr>
                              <w:t xml:space="preserve">REPORT No. </w:t>
                            </w:r>
                            <w:r w:rsidR="00457A71">
                              <w:rPr>
                                <w:rFonts w:ascii="Cambria" w:hAnsi="Cambria"/>
                                <w:b/>
                                <w:color w:val="0D0D0D"/>
                                <w:sz w:val="36"/>
                              </w:rPr>
                              <w:t>33</w:t>
                            </w:r>
                            <w:r>
                              <w:rPr>
                                <w:rFonts w:ascii="Cambria" w:hAnsi="Cambria"/>
                                <w:b/>
                                <w:color w:val="0D0D0D"/>
                                <w:sz w:val="36"/>
                              </w:rPr>
                              <w:t>/17</w:t>
                            </w:r>
                          </w:p>
                          <w:p w:rsidR="006B32D3" w:rsidRPr="00673E50" w:rsidRDefault="006B32D3" w:rsidP="006B32D3">
                            <w:pPr>
                              <w:spacing w:line="276" w:lineRule="auto"/>
                              <w:rPr>
                                <w:rFonts w:ascii="Cambria" w:hAnsi="Cambria" w:cs="Arial"/>
                                <w:b/>
                                <w:color w:val="0D0D0D"/>
                                <w:sz w:val="36"/>
                                <w:szCs w:val="22"/>
                              </w:rPr>
                            </w:pPr>
                            <w:r>
                              <w:rPr>
                                <w:rFonts w:ascii="Cambria" w:hAnsi="Cambria"/>
                                <w:b/>
                                <w:color w:val="0D0D0D"/>
                                <w:sz w:val="36"/>
                              </w:rPr>
                              <w:t>CASE 11.639</w:t>
                            </w:r>
                          </w:p>
                          <w:p w:rsidR="006B32D3" w:rsidRPr="007372D2" w:rsidRDefault="006B32D3" w:rsidP="006B32D3">
                            <w:pPr>
                              <w:spacing w:line="276" w:lineRule="auto"/>
                              <w:rPr>
                                <w:rFonts w:ascii="Cambria" w:hAnsi="Cambria" w:cs="Arial"/>
                                <w:color w:val="0D0D0D"/>
                                <w:szCs w:val="22"/>
                              </w:rPr>
                            </w:pPr>
                            <w:r>
                              <w:rPr>
                                <w:rFonts w:ascii="Cambria" w:hAnsi="Cambria"/>
                                <w:color w:val="0D0D0D"/>
                              </w:rPr>
                              <w:t>REPORT ON ADMISSIBILITY AND MERITS</w:t>
                            </w:r>
                          </w:p>
                          <w:p w:rsidR="006B32D3" w:rsidRPr="007372D2" w:rsidRDefault="006B32D3" w:rsidP="006B32D3">
                            <w:pPr>
                              <w:spacing w:line="276" w:lineRule="auto"/>
                              <w:rPr>
                                <w:rFonts w:ascii="Cambria" w:hAnsi="Cambria" w:cs="Arial"/>
                                <w:color w:val="0D0D0D"/>
                                <w:szCs w:val="22"/>
                              </w:rPr>
                            </w:pPr>
                            <w:bookmarkStart w:id="0" w:name="_ftnref1"/>
                          </w:p>
                          <w:p w:rsidR="006B32D3" w:rsidRPr="007372D2" w:rsidRDefault="006B32D3" w:rsidP="006B32D3">
                            <w:pPr>
                              <w:spacing w:line="276" w:lineRule="auto"/>
                              <w:rPr>
                                <w:rFonts w:ascii="Cambria" w:hAnsi="Cambria" w:cs="Arial"/>
                                <w:color w:val="0D0D0D"/>
                                <w:szCs w:val="22"/>
                              </w:rPr>
                            </w:pPr>
                            <w:r>
                              <w:rPr>
                                <w:rFonts w:ascii="Cambria" w:hAnsi="Cambria"/>
                                <w:color w:val="0D0D0D"/>
                              </w:rPr>
                              <w:t>ALEJANDRO YOVANY GÓMEZ VIRULA AND FAMILY</w:t>
                            </w:r>
                          </w:p>
                          <w:bookmarkEnd w:id="0"/>
                          <w:p w:rsidR="006B32D3" w:rsidRPr="007372D2" w:rsidRDefault="006B32D3" w:rsidP="006B32D3">
                            <w:pPr>
                              <w:spacing w:line="276" w:lineRule="auto"/>
                              <w:rPr>
                                <w:rFonts w:ascii="Cambria" w:hAnsi="Cambria" w:cs="Arial"/>
                                <w:color w:val="0D0D0D"/>
                                <w:szCs w:val="22"/>
                              </w:rPr>
                            </w:pPr>
                            <w:r>
                              <w:rPr>
                                <w:rFonts w:ascii="Cambria" w:hAnsi="Cambria"/>
                                <w:color w:val="0D0D0D"/>
                              </w:rPr>
                              <w:t>GUATEMALA</w:t>
                            </w:r>
                          </w:p>
                          <w:p w:rsidR="006B32D3" w:rsidRPr="007372D2" w:rsidRDefault="006B32D3" w:rsidP="006B32D3">
                            <w:pPr>
                              <w:rPr>
                                <w:color w:val="0D0D0D"/>
                              </w:rPr>
                            </w:pPr>
                          </w:p>
                          <w:p w:rsidR="006B32D3" w:rsidRPr="006B32D3" w:rsidRDefault="006B32D3" w:rsidP="006B32D3">
                            <w:pPr>
                              <w:spacing w:line="276" w:lineRule="auto"/>
                              <w:rPr>
                                <w:rFonts w:ascii="Cambria" w:hAnsi="Cambria"/>
                                <w:color w:val="0D0D0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" filled="f" stroked="f" strokeweight=".5pt">
                <v:path arrowok="t"/>
                <v:textbox>
                  <w:txbxContent>
                    <w:p w:rsidR="006B32D3" w:rsidRPr="00673E50" w:rsidRDefault="006B32D3" w:rsidP="006B32D3">
                      <w:pPr>
                        <w:spacing w:line="276" w:lineRule="auto"/>
                        <w:rPr>
                          <w:rFonts w:ascii="Cambria" w:hAnsi="Cambria" w:cs="Arial"/>
                          <w:b/>
                          <w:bCs/>
                          <w:color w:val="0D0D0D"/>
                          <w:sz w:val="36"/>
                          <w:szCs w:val="22"/>
                        </w:rPr>
                      </w:pPr>
                      <w:r>
                        <w:rPr>
                          <w:rFonts w:ascii="Cambria" w:hAnsi="Cambria"/>
                          <w:b/>
                          <w:color w:val="0D0D0D"/>
                          <w:sz w:val="36"/>
                        </w:rPr>
                        <w:t xml:space="preserve">REPORT No. </w:t>
                      </w:r>
                      <w:r w:rsidR="00457A71">
                        <w:rPr>
                          <w:rFonts w:ascii="Cambria" w:hAnsi="Cambria"/>
                          <w:b/>
                          <w:color w:val="0D0D0D"/>
                          <w:sz w:val="36"/>
                        </w:rPr>
                        <w:t>33</w:t>
                      </w:r>
                      <w:r>
                        <w:rPr>
                          <w:rFonts w:ascii="Cambria" w:hAnsi="Cambria"/>
                          <w:b/>
                          <w:color w:val="0D0D0D"/>
                          <w:sz w:val="36"/>
                        </w:rPr>
                        <w:t>/17</w:t>
                      </w:r>
                    </w:p>
                    <w:p w:rsidR="006B32D3" w:rsidRPr="00673E50" w:rsidRDefault="006B32D3" w:rsidP="006B32D3">
                      <w:pPr>
                        <w:spacing w:line="276" w:lineRule="auto"/>
                        <w:rPr>
                          <w:rFonts w:ascii="Cambria" w:hAnsi="Cambria" w:cs="Arial"/>
                          <w:b/>
                          <w:color w:val="0D0D0D"/>
                          <w:sz w:val="36"/>
                          <w:szCs w:val="22"/>
                        </w:rPr>
                      </w:pPr>
                      <w:r>
                        <w:rPr>
                          <w:rFonts w:ascii="Cambria" w:hAnsi="Cambria"/>
                          <w:b/>
                          <w:color w:val="0D0D0D"/>
                          <w:sz w:val="36"/>
                        </w:rPr>
                        <w:t>CASE 11.639</w:t>
                      </w:r>
                    </w:p>
                    <w:p w:rsidR="006B32D3" w:rsidRPr="007372D2" w:rsidRDefault="006B32D3" w:rsidP="006B32D3">
                      <w:pPr>
                        <w:spacing w:line="276" w:lineRule="auto"/>
                        <w:rPr>
                          <w:rFonts w:ascii="Cambria" w:hAnsi="Cambria" w:cs="Arial"/>
                          <w:color w:val="0D0D0D"/>
                          <w:szCs w:val="22"/>
                        </w:rPr>
                      </w:pPr>
                      <w:r>
                        <w:rPr>
                          <w:rFonts w:ascii="Cambria" w:hAnsi="Cambria"/>
                          <w:color w:val="0D0D0D"/>
                        </w:rPr>
                        <w:t>REPORT ON ADMISSIBILITY AND MERITS</w:t>
                      </w:r>
                    </w:p>
                    <w:p w:rsidR="006B32D3" w:rsidRPr="007372D2" w:rsidRDefault="006B32D3" w:rsidP="006B32D3">
                      <w:pPr>
                        <w:spacing w:line="276" w:lineRule="auto"/>
                        <w:rPr>
                          <w:rFonts w:ascii="Cambria" w:hAnsi="Cambria" w:cs="Arial"/>
                          <w:color w:val="0D0D0D"/>
                          <w:szCs w:val="22"/>
                        </w:rPr>
                      </w:pPr>
                      <w:bookmarkStart w:id="1" w:name="_ftnref1"/>
                    </w:p>
                    <w:p w:rsidR="006B32D3" w:rsidRPr="007372D2" w:rsidRDefault="006B32D3" w:rsidP="006B32D3">
                      <w:pPr>
                        <w:spacing w:line="276" w:lineRule="auto"/>
                        <w:rPr>
                          <w:rFonts w:ascii="Cambria" w:hAnsi="Cambria" w:cs="Arial"/>
                          <w:color w:val="0D0D0D"/>
                          <w:szCs w:val="22"/>
                        </w:rPr>
                      </w:pPr>
                      <w:r>
                        <w:rPr>
                          <w:rFonts w:ascii="Cambria" w:hAnsi="Cambria"/>
                          <w:color w:val="0D0D0D"/>
                        </w:rPr>
                        <w:t>ALEJANDRO YOVANY GÓMEZ VIRULA AND FAMILY</w:t>
                      </w:r>
                    </w:p>
                    <w:bookmarkEnd w:id="1"/>
                    <w:p w:rsidR="006B32D3" w:rsidRPr="007372D2" w:rsidRDefault="006B32D3" w:rsidP="006B32D3">
                      <w:pPr>
                        <w:spacing w:line="276" w:lineRule="auto"/>
                        <w:rPr>
                          <w:rFonts w:ascii="Cambria" w:hAnsi="Cambria" w:cs="Arial"/>
                          <w:color w:val="0D0D0D"/>
                          <w:szCs w:val="22"/>
                        </w:rPr>
                      </w:pPr>
                      <w:r>
                        <w:rPr>
                          <w:rFonts w:ascii="Cambria" w:hAnsi="Cambria"/>
                          <w:color w:val="0D0D0D"/>
                        </w:rPr>
                        <w:t>GUATEMALA</w:t>
                      </w:r>
                    </w:p>
                    <w:p w:rsidR="006B32D3" w:rsidRPr="007372D2" w:rsidRDefault="006B32D3" w:rsidP="006B32D3">
                      <w:pPr>
                        <w:rPr>
                          <w:color w:val="0D0D0D"/>
                        </w:rPr>
                      </w:pPr>
                    </w:p>
                    <w:p w:rsidR="006B32D3" w:rsidRPr="006B32D3" w:rsidRDefault="006B32D3" w:rsidP="006B32D3">
                      <w:pPr>
                        <w:spacing w:line="276" w:lineRule="auto"/>
                        <w:rPr>
                          <w:rFonts w:ascii="Cambria" w:hAnsi="Cambria"/>
                          <w:color w:val="0D0D0D"/>
                        </w:rPr>
                      </w:pPr>
                    </w:p>
                  </w:txbxContent>
                </v:textbox>
              </v:shape>
            </w:pict>
          </mc:Fallback>
        </mc:AlternateContent>
      </w:r>
      <w:r>
        <w:rPr>
          <w:noProof/>
          <w:bdr w:val="none" w:sz="0" w:space="0" w:color="auto"/>
          <w:lang w:val="es-ES" w:eastAsia="es-ES" w:bidi="ar-SA"/>
        </w:rPr>
        <mc:AlternateContent>
          <mc:Choice Requires="wps">
            <w:drawing>
              <wp:anchor distT="0" distB="0" distL="114300" distR="114300" simplePos="0" relativeHeight="251656704" behindDoc="0" locked="0" layoutInCell="1" allowOverlap="1">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4135" cy="1377315"/>
                        </a:xfrm>
                        <a:prstGeom prst="rect">
                          <a:avLst/>
                        </a:prstGeom>
                        <a:noFill/>
                        <a:ln w="6350">
                          <a:noFill/>
                        </a:ln>
                        <a:effectLst/>
                      </wps:spPr>
                      <wps:txbx>
                        <w:txbxContent>
                          <w:p w:rsidR="006B32D3" w:rsidRPr="00457A71" w:rsidRDefault="006B32D3" w:rsidP="006B32D3">
                            <w:pPr>
                              <w:jc w:val="right"/>
                              <w:rPr>
                                <w:rFonts w:ascii="Calibri" w:hAnsi="Calibri"/>
                                <w:color w:val="FFFFFF"/>
                                <w:sz w:val="22"/>
                                <w:lang w:val="pt-BR"/>
                              </w:rPr>
                            </w:pPr>
                            <w:r w:rsidRPr="00457A71">
                              <w:rPr>
                                <w:rFonts w:ascii="Calibri" w:hAnsi="Calibri"/>
                                <w:color w:val="FFFFFF"/>
                                <w:sz w:val="22"/>
                                <w:lang w:val="pt-BR"/>
                              </w:rPr>
                              <w:t>OEA/Ser.L/V/II.161</w:t>
                            </w:r>
                          </w:p>
                          <w:p w:rsidR="006B32D3" w:rsidRPr="00457A71" w:rsidRDefault="006B32D3" w:rsidP="006B32D3">
                            <w:pPr>
                              <w:jc w:val="right"/>
                              <w:rPr>
                                <w:rFonts w:ascii="Calibri" w:hAnsi="Calibri"/>
                                <w:color w:val="FFFFFF"/>
                                <w:sz w:val="22"/>
                                <w:lang w:val="pt-BR"/>
                              </w:rPr>
                            </w:pPr>
                            <w:r w:rsidRPr="00457A71">
                              <w:rPr>
                                <w:rFonts w:ascii="Calibri" w:hAnsi="Calibri"/>
                                <w:color w:val="FFFFFF"/>
                                <w:sz w:val="22"/>
                                <w:lang w:val="pt-BR"/>
                              </w:rPr>
                              <w:t xml:space="preserve">Doc. </w:t>
                            </w:r>
                            <w:r w:rsidR="00457A71">
                              <w:rPr>
                                <w:rFonts w:ascii="Calibri" w:hAnsi="Calibri"/>
                                <w:color w:val="FFFFFF"/>
                                <w:sz w:val="22"/>
                                <w:lang w:val="pt-BR"/>
                              </w:rPr>
                              <w:t>40</w:t>
                            </w:r>
                          </w:p>
                          <w:p w:rsidR="006B32D3" w:rsidRPr="006B32D3" w:rsidRDefault="006B32D3" w:rsidP="006B32D3">
                            <w:pPr>
                              <w:jc w:val="right"/>
                              <w:rPr>
                                <w:rFonts w:ascii="Calibri" w:hAnsi="Calibri"/>
                                <w:color w:val="FFFFFF"/>
                                <w:sz w:val="22"/>
                              </w:rPr>
                            </w:pPr>
                            <w:r>
                              <w:rPr>
                                <w:rFonts w:ascii="Calibri" w:hAnsi="Calibri"/>
                                <w:color w:val="FFFFFF"/>
                                <w:sz w:val="22"/>
                              </w:rPr>
                              <w:t>March</w:t>
                            </w:r>
                            <w:r w:rsidR="00457A71">
                              <w:rPr>
                                <w:rFonts w:ascii="Calibri" w:hAnsi="Calibri"/>
                                <w:color w:val="FFFFFF"/>
                                <w:sz w:val="22"/>
                              </w:rPr>
                              <w:t xml:space="preserve"> 21,</w:t>
                            </w:r>
                            <w:r>
                              <w:rPr>
                                <w:rFonts w:ascii="Calibri" w:hAnsi="Calibri"/>
                                <w:color w:val="FFFFFF"/>
                                <w:sz w:val="22"/>
                              </w:rPr>
                              <w:t xml:space="preserve"> 2017</w:t>
                            </w:r>
                          </w:p>
                          <w:p w:rsidR="006B32D3" w:rsidRPr="006B32D3" w:rsidRDefault="006B32D3" w:rsidP="006B32D3">
                            <w:pPr>
                              <w:jc w:val="right"/>
                              <w:rPr>
                                <w:rFonts w:ascii="Calibri" w:hAnsi="Calibri"/>
                                <w:color w:val="FFFFFF"/>
                                <w:sz w:val="22"/>
                              </w:rPr>
                            </w:pPr>
                            <w:r>
                              <w:rPr>
                                <w:rFonts w:ascii="Calibri" w:hAnsi="Calibri"/>
                                <w:color w:val="FFFFFF"/>
                                <w:sz w:val="22"/>
                              </w:rPr>
                              <w:t xml:space="preserve">Original: </w:t>
                            </w:r>
                            <w:r w:rsidR="00457A71">
                              <w:rPr>
                                <w:rFonts w:ascii="Calibri" w:hAnsi="Calibri"/>
                                <w:color w:val="FFFFFF"/>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" filled="f" stroked="f" strokeweight=".5pt">
                <v:path arrowok="t"/>
                <v:textbox>
                  <w:txbxContent>
                    <w:p w:rsidR="006B32D3" w:rsidRPr="00457A71" w:rsidRDefault="006B32D3" w:rsidP="006B32D3">
                      <w:pPr>
                        <w:jc w:val="right"/>
                        <w:rPr>
                          <w:rFonts w:ascii="Calibri" w:hAnsi="Calibri"/>
                          <w:color w:val="FFFFFF"/>
                          <w:sz w:val="22"/>
                          <w:lang w:val="pt-BR"/>
                        </w:rPr>
                      </w:pPr>
                      <w:r w:rsidRPr="00457A71">
                        <w:rPr>
                          <w:rFonts w:ascii="Calibri" w:hAnsi="Calibri"/>
                          <w:color w:val="FFFFFF"/>
                          <w:sz w:val="22"/>
                          <w:lang w:val="pt-BR"/>
                        </w:rPr>
                        <w:t>OEA/Ser.L/V/II.161</w:t>
                      </w:r>
                    </w:p>
                    <w:p w:rsidR="006B32D3" w:rsidRPr="00457A71" w:rsidRDefault="006B32D3" w:rsidP="006B32D3">
                      <w:pPr>
                        <w:jc w:val="right"/>
                        <w:rPr>
                          <w:rFonts w:ascii="Calibri" w:hAnsi="Calibri"/>
                          <w:color w:val="FFFFFF"/>
                          <w:sz w:val="22"/>
                          <w:lang w:val="pt-BR"/>
                        </w:rPr>
                      </w:pPr>
                      <w:r w:rsidRPr="00457A71">
                        <w:rPr>
                          <w:rFonts w:ascii="Calibri" w:hAnsi="Calibri"/>
                          <w:color w:val="FFFFFF"/>
                          <w:sz w:val="22"/>
                          <w:lang w:val="pt-BR"/>
                        </w:rPr>
                        <w:t xml:space="preserve">Doc. </w:t>
                      </w:r>
                      <w:r w:rsidR="00457A71">
                        <w:rPr>
                          <w:rFonts w:ascii="Calibri" w:hAnsi="Calibri"/>
                          <w:color w:val="FFFFFF"/>
                          <w:sz w:val="22"/>
                          <w:lang w:val="pt-BR"/>
                        </w:rPr>
                        <w:t>40</w:t>
                      </w:r>
                    </w:p>
                    <w:p w:rsidR="006B32D3" w:rsidRPr="006B32D3" w:rsidRDefault="006B32D3" w:rsidP="006B32D3">
                      <w:pPr>
                        <w:jc w:val="right"/>
                        <w:rPr>
                          <w:rFonts w:ascii="Calibri" w:hAnsi="Calibri"/>
                          <w:color w:val="FFFFFF"/>
                          <w:sz w:val="22"/>
                        </w:rPr>
                      </w:pPr>
                      <w:r>
                        <w:rPr>
                          <w:rFonts w:ascii="Calibri" w:hAnsi="Calibri"/>
                          <w:color w:val="FFFFFF"/>
                          <w:sz w:val="22"/>
                        </w:rPr>
                        <w:t>March</w:t>
                      </w:r>
                      <w:r w:rsidR="00457A71">
                        <w:rPr>
                          <w:rFonts w:ascii="Calibri" w:hAnsi="Calibri"/>
                          <w:color w:val="FFFFFF"/>
                          <w:sz w:val="22"/>
                        </w:rPr>
                        <w:t xml:space="preserve"> 21,</w:t>
                      </w:r>
                      <w:r>
                        <w:rPr>
                          <w:rFonts w:ascii="Calibri" w:hAnsi="Calibri"/>
                          <w:color w:val="FFFFFF"/>
                          <w:sz w:val="22"/>
                        </w:rPr>
                        <w:t xml:space="preserve"> 2017</w:t>
                      </w:r>
                    </w:p>
                    <w:p w:rsidR="006B32D3" w:rsidRPr="006B32D3" w:rsidRDefault="006B32D3" w:rsidP="006B32D3">
                      <w:pPr>
                        <w:jc w:val="right"/>
                        <w:rPr>
                          <w:rFonts w:ascii="Calibri" w:hAnsi="Calibri"/>
                          <w:color w:val="FFFFFF"/>
                          <w:sz w:val="22"/>
                        </w:rPr>
                      </w:pPr>
                      <w:r>
                        <w:rPr>
                          <w:rFonts w:ascii="Calibri" w:hAnsi="Calibri"/>
                          <w:color w:val="FFFFFF"/>
                          <w:sz w:val="22"/>
                        </w:rPr>
                        <w:t xml:space="preserve">Original: </w:t>
                      </w:r>
                      <w:r w:rsidR="00457A71">
                        <w:rPr>
                          <w:rFonts w:ascii="Calibri" w:hAnsi="Calibri"/>
                          <w:color w:val="FFFFFF"/>
                          <w:sz w:val="22"/>
                        </w:rPr>
                        <w:t>Spanish</w:t>
                      </w:r>
                    </w:p>
                  </w:txbxContent>
                </v:textbox>
              </v:shape>
            </w:pict>
          </mc:Fallback>
        </mc:AlternateContent>
      </w:r>
    </w:p>
    <w:p w:rsidR="006B32D3" w:rsidRPr="006B32D3" w:rsidRDefault="006B32D3" w:rsidP="006B32D3">
      <w:pPr>
        <w:tabs>
          <w:tab w:val="center" w:pos="5400"/>
        </w:tabs>
        <w:suppressAutoHyphens/>
        <w:jc w:val="center"/>
        <w:rPr>
          <w:rFonts w:ascii="Cambria" w:hAnsi="Cambria"/>
          <w:sz w:val="22"/>
          <w:szCs w:val="22"/>
        </w:rPr>
      </w:pPr>
    </w:p>
    <w:p w:rsidR="006B32D3" w:rsidRPr="006B32D3" w:rsidRDefault="006B32D3" w:rsidP="006B32D3">
      <w:pPr>
        <w:tabs>
          <w:tab w:val="center" w:pos="5400"/>
        </w:tabs>
        <w:suppressAutoHyphens/>
        <w:jc w:val="center"/>
        <w:rPr>
          <w:rFonts w:ascii="Cambria" w:hAnsi="Cambria" w:cs="Arial"/>
          <w:sz w:val="22"/>
          <w:szCs w:val="22"/>
        </w:rPr>
      </w:pPr>
    </w:p>
    <w:p w:rsidR="006B32D3" w:rsidRPr="006B32D3" w:rsidRDefault="006B32D3" w:rsidP="006B32D3">
      <w:pPr>
        <w:tabs>
          <w:tab w:val="center" w:pos="5400"/>
        </w:tabs>
        <w:suppressAutoHyphens/>
        <w:jc w:val="center"/>
        <w:rPr>
          <w:rFonts w:ascii="Cambria" w:hAnsi="Cambria"/>
          <w:sz w:val="22"/>
          <w:szCs w:val="22"/>
        </w:rPr>
      </w:pPr>
    </w:p>
    <w:p w:rsidR="006B32D3" w:rsidRPr="006B32D3" w:rsidRDefault="006B32D3" w:rsidP="006B32D3">
      <w:pPr>
        <w:tabs>
          <w:tab w:val="center" w:pos="5400"/>
        </w:tabs>
        <w:suppressAutoHyphens/>
        <w:jc w:val="center"/>
        <w:rPr>
          <w:rFonts w:ascii="Cambria" w:hAnsi="Cambria"/>
          <w:sz w:val="22"/>
          <w:szCs w:val="22"/>
        </w:rPr>
      </w:pPr>
    </w:p>
    <w:p w:rsidR="006B32D3" w:rsidRPr="006B32D3" w:rsidRDefault="006B32D3" w:rsidP="006B32D3">
      <w:pPr>
        <w:tabs>
          <w:tab w:val="center" w:pos="5400"/>
        </w:tabs>
        <w:suppressAutoHyphens/>
        <w:jc w:val="center"/>
        <w:rPr>
          <w:rFonts w:ascii="Cambria" w:hAnsi="Cambria"/>
          <w:sz w:val="22"/>
          <w:szCs w:val="22"/>
        </w:rPr>
      </w:pPr>
    </w:p>
    <w:p w:rsidR="006B32D3" w:rsidRPr="006B32D3" w:rsidRDefault="006B32D3" w:rsidP="006B32D3">
      <w:pPr>
        <w:tabs>
          <w:tab w:val="center" w:pos="5400"/>
        </w:tabs>
        <w:suppressAutoHyphens/>
        <w:jc w:val="center"/>
        <w:rPr>
          <w:rFonts w:ascii="Cambria" w:hAnsi="Cambria"/>
          <w:sz w:val="22"/>
          <w:szCs w:val="22"/>
        </w:rPr>
      </w:pPr>
    </w:p>
    <w:p w:rsidR="006B32D3" w:rsidRPr="006B32D3" w:rsidRDefault="006B32D3" w:rsidP="006B32D3">
      <w:pPr>
        <w:tabs>
          <w:tab w:val="center" w:pos="5400"/>
        </w:tabs>
        <w:suppressAutoHyphens/>
        <w:jc w:val="center"/>
        <w:rPr>
          <w:rFonts w:ascii="Cambria" w:hAnsi="Cambria"/>
          <w:sz w:val="22"/>
          <w:szCs w:val="22"/>
        </w:rPr>
      </w:pPr>
    </w:p>
    <w:p w:rsidR="006B32D3" w:rsidRPr="006B32D3" w:rsidRDefault="006B32D3" w:rsidP="006B32D3">
      <w:pPr>
        <w:tabs>
          <w:tab w:val="center" w:pos="5400"/>
        </w:tabs>
        <w:suppressAutoHyphens/>
        <w:jc w:val="center"/>
        <w:rPr>
          <w:rFonts w:ascii="Cambria" w:hAnsi="Cambria"/>
          <w:sz w:val="22"/>
          <w:szCs w:val="22"/>
        </w:rPr>
      </w:pPr>
    </w:p>
    <w:p w:rsidR="006B32D3" w:rsidRPr="006B32D3" w:rsidRDefault="006B32D3" w:rsidP="006B32D3">
      <w:pPr>
        <w:tabs>
          <w:tab w:val="center" w:pos="5400"/>
        </w:tabs>
        <w:suppressAutoHyphens/>
        <w:jc w:val="center"/>
        <w:rPr>
          <w:rFonts w:ascii="Cambria" w:hAnsi="Cambria"/>
          <w:sz w:val="22"/>
          <w:szCs w:val="22"/>
        </w:rPr>
      </w:pPr>
    </w:p>
    <w:p w:rsidR="006B32D3" w:rsidRPr="006B32D3" w:rsidRDefault="006B32D3" w:rsidP="006B32D3">
      <w:pPr>
        <w:tabs>
          <w:tab w:val="center" w:pos="5400"/>
        </w:tabs>
        <w:suppressAutoHyphens/>
        <w:jc w:val="center"/>
        <w:rPr>
          <w:rFonts w:ascii="Cambria" w:hAnsi="Cambria"/>
          <w:sz w:val="22"/>
          <w:szCs w:val="22"/>
        </w:rPr>
      </w:pPr>
    </w:p>
    <w:p w:rsidR="006B32D3" w:rsidRPr="006B32D3" w:rsidRDefault="006B32D3" w:rsidP="006B32D3">
      <w:pPr>
        <w:tabs>
          <w:tab w:val="center" w:pos="5400"/>
        </w:tabs>
        <w:suppressAutoHyphens/>
        <w:jc w:val="center"/>
        <w:rPr>
          <w:rFonts w:ascii="Cambria" w:hAnsi="Cambria"/>
          <w:sz w:val="22"/>
          <w:szCs w:val="22"/>
        </w:rPr>
      </w:pPr>
    </w:p>
    <w:p w:rsidR="006B32D3" w:rsidRPr="006B32D3" w:rsidRDefault="006B32D3" w:rsidP="006B32D3">
      <w:pPr>
        <w:tabs>
          <w:tab w:val="center" w:pos="5400"/>
        </w:tabs>
        <w:suppressAutoHyphens/>
        <w:jc w:val="center"/>
        <w:rPr>
          <w:rFonts w:ascii="Cambria" w:hAnsi="Cambria"/>
          <w:sz w:val="22"/>
          <w:szCs w:val="22"/>
        </w:rPr>
      </w:pPr>
    </w:p>
    <w:p w:rsidR="006B32D3" w:rsidRPr="006B32D3" w:rsidRDefault="006B32D3" w:rsidP="006B32D3">
      <w:pPr>
        <w:tabs>
          <w:tab w:val="center" w:pos="5400"/>
        </w:tabs>
        <w:suppressAutoHyphens/>
        <w:jc w:val="center"/>
        <w:rPr>
          <w:rFonts w:ascii="Cambria" w:hAnsi="Cambria"/>
          <w:sz w:val="22"/>
          <w:szCs w:val="22"/>
        </w:rPr>
      </w:pPr>
    </w:p>
    <w:p w:rsidR="006B32D3" w:rsidRPr="006B32D3" w:rsidRDefault="006B32D3" w:rsidP="006B32D3">
      <w:pPr>
        <w:tabs>
          <w:tab w:val="center" w:pos="5400"/>
        </w:tabs>
        <w:suppressAutoHyphens/>
        <w:jc w:val="center"/>
        <w:rPr>
          <w:rFonts w:ascii="Cambria" w:hAnsi="Cambria"/>
          <w:sz w:val="18"/>
          <w:szCs w:val="22"/>
        </w:rPr>
      </w:pPr>
    </w:p>
    <w:p w:rsidR="006B32D3" w:rsidRPr="006B32D3" w:rsidRDefault="006B32D3" w:rsidP="006B32D3">
      <w:pPr>
        <w:tabs>
          <w:tab w:val="center" w:pos="5400"/>
        </w:tabs>
        <w:suppressAutoHyphens/>
        <w:jc w:val="center"/>
        <w:rPr>
          <w:rFonts w:ascii="Cambria" w:hAnsi="Cambria"/>
          <w:sz w:val="18"/>
          <w:szCs w:val="22"/>
        </w:rPr>
      </w:pPr>
    </w:p>
    <w:p w:rsidR="006B32D3" w:rsidRPr="006B32D3" w:rsidRDefault="006B32D3" w:rsidP="006B32D3">
      <w:pPr>
        <w:tabs>
          <w:tab w:val="center" w:pos="5400"/>
        </w:tabs>
        <w:suppressAutoHyphens/>
        <w:jc w:val="center"/>
        <w:rPr>
          <w:rFonts w:ascii="Cambria" w:hAnsi="Cambria"/>
          <w:sz w:val="18"/>
          <w:szCs w:val="22"/>
        </w:rPr>
      </w:pPr>
    </w:p>
    <w:p w:rsidR="006B32D3" w:rsidRPr="006B32D3" w:rsidRDefault="006B32D3" w:rsidP="006B32D3">
      <w:pPr>
        <w:tabs>
          <w:tab w:val="center" w:pos="5400"/>
        </w:tabs>
        <w:suppressAutoHyphens/>
        <w:jc w:val="center"/>
        <w:rPr>
          <w:rFonts w:ascii="Cambria" w:hAnsi="Cambria"/>
          <w:sz w:val="18"/>
          <w:szCs w:val="22"/>
        </w:rPr>
      </w:pPr>
    </w:p>
    <w:p w:rsidR="006B32D3" w:rsidRPr="006B32D3" w:rsidRDefault="006B32D3" w:rsidP="006B32D3">
      <w:pPr>
        <w:tabs>
          <w:tab w:val="center" w:pos="5400"/>
        </w:tabs>
        <w:suppressAutoHyphens/>
        <w:jc w:val="center"/>
        <w:rPr>
          <w:rFonts w:ascii="Cambria" w:hAnsi="Cambria"/>
          <w:sz w:val="18"/>
          <w:szCs w:val="22"/>
        </w:rPr>
      </w:pPr>
    </w:p>
    <w:p w:rsidR="006B32D3" w:rsidRPr="006B32D3" w:rsidRDefault="006B32D3" w:rsidP="006B32D3">
      <w:pPr>
        <w:tabs>
          <w:tab w:val="center" w:pos="5400"/>
        </w:tabs>
        <w:suppressAutoHyphens/>
        <w:jc w:val="center"/>
        <w:rPr>
          <w:rFonts w:ascii="Cambria" w:hAnsi="Cambria"/>
          <w:sz w:val="18"/>
          <w:szCs w:val="22"/>
        </w:rPr>
      </w:pPr>
    </w:p>
    <w:p w:rsidR="006B32D3" w:rsidRPr="006B32D3" w:rsidRDefault="006B32D3" w:rsidP="006B32D3">
      <w:pPr>
        <w:tabs>
          <w:tab w:val="center" w:pos="5400"/>
        </w:tabs>
        <w:suppressAutoHyphens/>
        <w:jc w:val="center"/>
        <w:rPr>
          <w:rFonts w:ascii="Cambria" w:hAnsi="Cambria"/>
          <w:sz w:val="18"/>
          <w:szCs w:val="22"/>
        </w:rPr>
      </w:pPr>
    </w:p>
    <w:p w:rsidR="006B32D3" w:rsidRPr="006B32D3" w:rsidRDefault="006B32D3" w:rsidP="006B32D3">
      <w:pPr>
        <w:tabs>
          <w:tab w:val="center" w:pos="5400"/>
        </w:tabs>
        <w:suppressAutoHyphens/>
        <w:jc w:val="center"/>
        <w:rPr>
          <w:rFonts w:ascii="Cambria" w:hAnsi="Cambria"/>
          <w:sz w:val="18"/>
          <w:szCs w:val="22"/>
        </w:rPr>
      </w:pPr>
    </w:p>
    <w:p w:rsidR="006B32D3" w:rsidRPr="006B32D3" w:rsidRDefault="006B32D3" w:rsidP="006B32D3">
      <w:pPr>
        <w:tabs>
          <w:tab w:val="center" w:pos="5400"/>
        </w:tabs>
        <w:suppressAutoHyphens/>
        <w:jc w:val="center"/>
        <w:rPr>
          <w:rFonts w:ascii="Cambria" w:hAnsi="Cambria"/>
          <w:sz w:val="18"/>
          <w:szCs w:val="22"/>
        </w:rPr>
      </w:pPr>
    </w:p>
    <w:p w:rsidR="006B32D3" w:rsidRPr="006B32D3" w:rsidRDefault="006B32D3" w:rsidP="006B32D3">
      <w:pPr>
        <w:tabs>
          <w:tab w:val="center" w:pos="5400"/>
        </w:tabs>
        <w:suppressAutoHyphens/>
        <w:jc w:val="center"/>
        <w:rPr>
          <w:rFonts w:ascii="Cambria" w:hAnsi="Cambria"/>
          <w:sz w:val="18"/>
          <w:szCs w:val="22"/>
        </w:rPr>
      </w:pPr>
    </w:p>
    <w:p w:rsidR="006B32D3" w:rsidRPr="006B32D3" w:rsidRDefault="006B32D3" w:rsidP="006B32D3">
      <w:pPr>
        <w:tabs>
          <w:tab w:val="center" w:pos="5400"/>
        </w:tabs>
        <w:suppressAutoHyphens/>
        <w:jc w:val="center"/>
        <w:rPr>
          <w:rFonts w:ascii="Cambria" w:hAnsi="Cambria"/>
          <w:sz w:val="18"/>
          <w:szCs w:val="22"/>
        </w:rPr>
      </w:pPr>
    </w:p>
    <w:p w:rsidR="006B32D3" w:rsidRPr="006B32D3" w:rsidRDefault="006B32D3" w:rsidP="006B32D3">
      <w:pPr>
        <w:tabs>
          <w:tab w:val="center" w:pos="5400"/>
        </w:tabs>
        <w:suppressAutoHyphens/>
        <w:jc w:val="center"/>
        <w:rPr>
          <w:rFonts w:ascii="Cambria" w:hAnsi="Cambria"/>
          <w:sz w:val="18"/>
          <w:szCs w:val="22"/>
        </w:rPr>
      </w:pPr>
    </w:p>
    <w:p w:rsidR="006B32D3" w:rsidRPr="006B32D3" w:rsidRDefault="00A37F3B" w:rsidP="006B32D3">
      <w:pPr>
        <w:tabs>
          <w:tab w:val="center" w:pos="5400"/>
        </w:tabs>
        <w:suppressAutoHyphens/>
        <w:jc w:val="center"/>
        <w:rPr>
          <w:rFonts w:ascii="Cambria" w:hAnsi="Cambria"/>
          <w:sz w:val="18"/>
          <w:szCs w:val="22"/>
        </w:rPr>
      </w:pPr>
      <w:r>
        <w:rPr>
          <w:noProof/>
          <w:bdr w:val="none" w:sz="0" w:space="0" w:color="auto"/>
          <w:lang w:val="es-ES" w:eastAsia="es-ES" w:bidi="ar-SA"/>
        </w:rPr>
        <mc:AlternateContent>
          <mc:Choice Requires="wps">
            <w:drawing>
              <wp:anchor distT="0" distB="0" distL="114300" distR="114300" simplePos="0" relativeHeight="251655680" behindDoc="0" locked="0" layoutInCell="1" allowOverlap="1">
                <wp:simplePos x="0" y="0"/>
                <wp:positionH relativeFrom="column">
                  <wp:posOffset>1209675</wp:posOffset>
                </wp:positionH>
                <wp:positionV relativeFrom="paragraph">
                  <wp:posOffset>71120</wp:posOffset>
                </wp:positionV>
                <wp:extent cx="4595495" cy="695325"/>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5495" cy="695325"/>
                        </a:xfrm>
                        <a:prstGeom prst="rect">
                          <a:avLst/>
                        </a:prstGeom>
                        <a:noFill/>
                        <a:ln w="6350">
                          <a:noFill/>
                        </a:ln>
                        <a:effectLst/>
                      </wps:spPr>
                      <wps:txbx>
                        <w:txbxContent>
                          <w:p w:rsidR="006B32D3" w:rsidRPr="006B32D3" w:rsidRDefault="006B32D3" w:rsidP="006B32D3">
                            <w:pPr>
                              <w:tabs>
                                <w:tab w:val="center" w:pos="5400"/>
                              </w:tabs>
                              <w:suppressAutoHyphens/>
                              <w:spacing w:before="60"/>
                              <w:rPr>
                                <w:rFonts w:ascii="Cambria" w:hAnsi="Cambria"/>
                                <w:color w:val="0D0D0D"/>
                                <w:sz w:val="18"/>
                                <w:szCs w:val="22"/>
                              </w:rPr>
                            </w:pPr>
                            <w:r>
                              <w:rPr>
                                <w:rFonts w:ascii="Cambria" w:hAnsi="Cambria"/>
                                <w:color w:val="0D0D0D"/>
                                <w:sz w:val="18"/>
                              </w:rPr>
                              <w:t xml:space="preserve">Approved by the Commission at its session No. </w:t>
                            </w:r>
                            <w:r w:rsidR="00457A71">
                              <w:rPr>
                                <w:rFonts w:ascii="Cambria" w:hAnsi="Cambria"/>
                                <w:color w:val="0D0D0D"/>
                                <w:sz w:val="18"/>
                              </w:rPr>
                              <w:t>2079 held on March 21</w:t>
                            </w:r>
                            <w:r>
                              <w:rPr>
                                <w:rFonts w:ascii="Cambria" w:hAnsi="Cambria"/>
                                <w:color w:val="0D0D0D"/>
                                <w:sz w:val="18"/>
                              </w:rPr>
                              <w:t>, 2017</w:t>
                            </w:r>
                            <w:r>
                              <w:rPr>
                                <w:rFonts w:ascii="Cambria" w:hAnsi="Cambria"/>
                                <w:color w:val="0D0D0D"/>
                                <w:sz w:val="18"/>
                                <w:szCs w:val="20"/>
                              </w:rPr>
                              <w:br/>
                            </w:r>
                            <w:r>
                              <w:rPr>
                                <w:rFonts w:ascii="Cambria" w:hAnsi="Cambria"/>
                                <w:color w:val="0D0D0D"/>
                                <w:sz w:val="18"/>
                              </w:rPr>
                              <w:t>161</w:t>
                            </w:r>
                            <w:r>
                              <w:rPr>
                                <w:rFonts w:ascii="Cambria" w:hAnsi="Cambria"/>
                                <w:color w:val="0D0D0D"/>
                                <w:sz w:val="18"/>
                                <w:vertAlign w:val="superscript"/>
                              </w:rPr>
                              <w:t>st</w:t>
                            </w:r>
                            <w:r>
                              <w:rPr>
                                <w:rFonts w:ascii="Cambria" w:hAnsi="Cambria"/>
                                <w:color w:val="0D0D0D"/>
                                <w:sz w:val="18"/>
                              </w:rPr>
                              <w:t xml:space="preserve"> Regular Period of Sessions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25pt;margin-top:5.6pt;width:361.85pt;height:54.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" filled="f" stroked="f" strokeweight=".5pt">
                <v:path arrowok="t"/>
                <v:textbox>
                  <w:txbxContent>
                    <w:p w:rsidR="006B32D3" w:rsidRPr="006B32D3" w:rsidRDefault="006B32D3" w:rsidP="006B32D3">
                      <w:pPr>
                        <w:tabs>
                          <w:tab w:val="center" w:pos="5400"/>
                        </w:tabs>
                        <w:suppressAutoHyphens/>
                        <w:spacing w:before="60"/>
                        <w:rPr>
                          <w:rFonts w:ascii="Cambria" w:hAnsi="Cambria"/>
                          <w:color w:val="0D0D0D"/>
                          <w:sz w:val="18"/>
                          <w:szCs w:val="22"/>
                        </w:rPr>
                      </w:pPr>
                      <w:r>
                        <w:rPr>
                          <w:rFonts w:ascii="Cambria" w:hAnsi="Cambria"/>
                          <w:color w:val="0D0D0D"/>
                          <w:sz w:val="18"/>
                        </w:rPr>
                        <w:t xml:space="preserve">Approved by the Commission at its session No. </w:t>
                      </w:r>
                      <w:r w:rsidR="00457A71">
                        <w:rPr>
                          <w:rFonts w:ascii="Cambria" w:hAnsi="Cambria"/>
                          <w:color w:val="0D0D0D"/>
                          <w:sz w:val="18"/>
                        </w:rPr>
                        <w:t>2079 held on March 21</w:t>
                      </w:r>
                      <w:r>
                        <w:rPr>
                          <w:rFonts w:ascii="Cambria" w:hAnsi="Cambria"/>
                          <w:color w:val="0D0D0D"/>
                          <w:sz w:val="18"/>
                        </w:rPr>
                        <w:t>, 2017</w:t>
                      </w:r>
                      <w:r>
                        <w:rPr>
                          <w:rFonts w:ascii="Cambria" w:hAnsi="Cambria"/>
                          <w:color w:val="0D0D0D"/>
                          <w:sz w:val="18"/>
                          <w:szCs w:val="20"/>
                        </w:rPr>
                        <w:br/>
                      </w:r>
                      <w:r>
                        <w:rPr>
                          <w:rFonts w:ascii="Cambria" w:hAnsi="Cambria"/>
                          <w:color w:val="0D0D0D"/>
                          <w:sz w:val="18"/>
                        </w:rPr>
                        <w:t>161</w:t>
                      </w:r>
                      <w:r>
                        <w:rPr>
                          <w:rFonts w:ascii="Cambria" w:hAnsi="Cambria"/>
                          <w:color w:val="0D0D0D"/>
                          <w:sz w:val="18"/>
                          <w:vertAlign w:val="superscript"/>
                        </w:rPr>
                        <w:t>st</w:t>
                      </w:r>
                      <w:r>
                        <w:rPr>
                          <w:rFonts w:ascii="Cambria" w:hAnsi="Cambria"/>
                          <w:color w:val="0D0D0D"/>
                          <w:sz w:val="18"/>
                        </w:rPr>
                        <w:t xml:space="preserve"> Regular Period of Sessions</w:t>
                      </w:r>
                    </w:p>
                  </w:txbxContent>
                </v:textbox>
              </v:shape>
            </w:pict>
          </mc:Fallback>
        </mc:AlternateContent>
      </w:r>
    </w:p>
    <w:p w:rsidR="006B32D3" w:rsidRPr="006B32D3" w:rsidRDefault="006B32D3" w:rsidP="006B32D3">
      <w:pPr>
        <w:tabs>
          <w:tab w:val="center" w:pos="5400"/>
        </w:tabs>
        <w:suppressAutoHyphens/>
        <w:jc w:val="center"/>
        <w:rPr>
          <w:rFonts w:ascii="Cambria" w:hAnsi="Cambria"/>
          <w:sz w:val="18"/>
          <w:szCs w:val="22"/>
        </w:rPr>
      </w:pPr>
    </w:p>
    <w:p w:rsidR="006B32D3" w:rsidRPr="006B32D3" w:rsidRDefault="006B32D3" w:rsidP="006B32D3">
      <w:pPr>
        <w:tabs>
          <w:tab w:val="center" w:pos="5400"/>
        </w:tabs>
        <w:suppressAutoHyphens/>
        <w:jc w:val="center"/>
        <w:rPr>
          <w:rFonts w:ascii="Cambria" w:hAnsi="Cambria"/>
          <w:sz w:val="18"/>
          <w:szCs w:val="22"/>
        </w:rPr>
      </w:pPr>
    </w:p>
    <w:p w:rsidR="006B32D3" w:rsidRPr="006B32D3" w:rsidRDefault="006B32D3" w:rsidP="006B32D3">
      <w:pPr>
        <w:tabs>
          <w:tab w:val="center" w:pos="5400"/>
        </w:tabs>
        <w:suppressAutoHyphens/>
        <w:jc w:val="center"/>
        <w:rPr>
          <w:rFonts w:ascii="Cambria" w:hAnsi="Cambria"/>
          <w:sz w:val="18"/>
          <w:szCs w:val="22"/>
        </w:rPr>
      </w:pPr>
    </w:p>
    <w:p w:rsidR="006B32D3" w:rsidRPr="006B32D3" w:rsidRDefault="006B32D3" w:rsidP="006B32D3">
      <w:pPr>
        <w:tabs>
          <w:tab w:val="center" w:pos="5400"/>
        </w:tabs>
        <w:suppressAutoHyphens/>
        <w:jc w:val="center"/>
        <w:rPr>
          <w:rFonts w:ascii="Cambria" w:hAnsi="Cambria"/>
          <w:sz w:val="18"/>
          <w:szCs w:val="22"/>
        </w:rPr>
      </w:pPr>
    </w:p>
    <w:p w:rsidR="006B32D3" w:rsidRPr="006B32D3" w:rsidRDefault="00A37F3B" w:rsidP="006B32D3">
      <w:pPr>
        <w:tabs>
          <w:tab w:val="center" w:pos="5400"/>
        </w:tabs>
        <w:suppressAutoHyphens/>
        <w:jc w:val="center"/>
        <w:rPr>
          <w:rFonts w:ascii="Cambria" w:hAnsi="Cambria"/>
          <w:sz w:val="18"/>
          <w:szCs w:val="22"/>
        </w:rPr>
      </w:pPr>
      <w:r>
        <w:rPr>
          <w:noProof/>
          <w:bdr w:val="none" w:sz="0" w:space="0" w:color="auto"/>
          <w:lang w:val="es-ES" w:eastAsia="es-ES" w:bidi="ar-SA"/>
        </w:rPr>
        <mc:AlternateContent>
          <mc:Choice Requires="wps">
            <w:drawing>
              <wp:anchor distT="0" distB="0" distL="114300" distR="114300" simplePos="0" relativeHeight="251658752" behindDoc="0" locked="0" layoutInCell="1" allowOverlap="1">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4095" cy="609600"/>
                        </a:xfrm>
                        <a:prstGeom prst="rect">
                          <a:avLst/>
                        </a:prstGeom>
                        <a:noFill/>
                        <a:ln w="6350">
                          <a:noFill/>
                        </a:ln>
                        <a:effectLst/>
                      </wps:spPr>
                      <wps:txbx>
                        <w:txbxContent>
                          <w:p w:rsidR="006B32D3" w:rsidRPr="006B32D3" w:rsidRDefault="006B32D3" w:rsidP="00457A71">
                            <w:pPr>
                              <w:spacing w:line="276" w:lineRule="auto"/>
                              <w:jc w:val="both"/>
                              <w:rPr>
                                <w:rFonts w:ascii="Cambria" w:hAnsi="Cambria"/>
                                <w:color w:val="595959"/>
                                <w:sz w:val="18"/>
                              </w:rPr>
                            </w:pPr>
                            <w:r>
                              <w:rPr>
                                <w:rFonts w:ascii="Cambria" w:hAnsi="Cambria"/>
                                <w:b/>
                                <w:color w:val="595959"/>
                                <w:sz w:val="18"/>
                              </w:rPr>
                              <w:t xml:space="preserve">Cite as: </w:t>
                            </w:r>
                            <w:r>
                              <w:rPr>
                                <w:rFonts w:ascii="Cambria" w:hAnsi="Cambria"/>
                                <w:color w:val="595959"/>
                                <w:sz w:val="18"/>
                              </w:rPr>
                              <w:t xml:space="preserve">IACHR, Report No. </w:t>
                            </w:r>
                            <w:r w:rsidR="00457A71">
                              <w:rPr>
                                <w:rFonts w:ascii="Cambria" w:hAnsi="Cambria"/>
                                <w:color w:val="595959"/>
                                <w:sz w:val="18"/>
                              </w:rPr>
                              <w:t>33/17</w:t>
                            </w:r>
                            <w:r>
                              <w:rPr>
                                <w:rFonts w:ascii="Cambria" w:hAnsi="Cambria"/>
                                <w:color w:val="595959"/>
                                <w:sz w:val="18"/>
                              </w:rPr>
                              <w:t>, Case</w:t>
                            </w:r>
                            <w:r w:rsidR="00457A71">
                              <w:rPr>
                                <w:rFonts w:ascii="Cambria" w:hAnsi="Cambria"/>
                                <w:color w:val="595959"/>
                                <w:sz w:val="18"/>
                              </w:rPr>
                              <w:t xml:space="preserve"> 11.639, Admissibility and Merits, Alejandro </w:t>
                            </w:r>
                            <w:proofErr w:type="spellStart"/>
                            <w:r w:rsidR="00457A71">
                              <w:rPr>
                                <w:rFonts w:ascii="Cambria" w:hAnsi="Cambria"/>
                                <w:color w:val="595959"/>
                                <w:sz w:val="18"/>
                              </w:rPr>
                              <w:t>Yovany</w:t>
                            </w:r>
                            <w:proofErr w:type="spellEnd"/>
                            <w:r w:rsidR="00457A71">
                              <w:rPr>
                                <w:rFonts w:ascii="Cambria" w:hAnsi="Cambria"/>
                                <w:color w:val="595959"/>
                                <w:sz w:val="18"/>
                              </w:rPr>
                              <w:t xml:space="preserve"> Gómez </w:t>
                            </w:r>
                            <w:proofErr w:type="spellStart"/>
                            <w:r w:rsidR="00457A71">
                              <w:rPr>
                                <w:rFonts w:ascii="Cambria" w:hAnsi="Cambria"/>
                                <w:color w:val="595959"/>
                                <w:sz w:val="18"/>
                              </w:rPr>
                              <w:t>Virula</w:t>
                            </w:r>
                            <w:proofErr w:type="spellEnd"/>
                            <w:r w:rsidR="00457A71">
                              <w:rPr>
                                <w:rFonts w:ascii="Cambria" w:hAnsi="Cambria"/>
                                <w:color w:val="595959"/>
                                <w:sz w:val="18"/>
                              </w:rPr>
                              <w:t xml:space="preserve"> and family, Guatemala, March 21, 2017</w:t>
                            </w:r>
                            <w:r>
                              <w:rPr>
                                <w:rFonts w:ascii="Cambria" w:hAnsi="Cambria"/>
                                <w:color w:val="595959"/>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" filled="f" stroked="f" strokeweight=".5pt">
                <v:path arrowok="t"/>
                <v:textbox>
                  <w:txbxContent>
                    <w:p w:rsidR="006B32D3" w:rsidRPr="006B32D3" w:rsidRDefault="006B32D3" w:rsidP="00457A71">
                      <w:pPr>
                        <w:spacing w:line="276" w:lineRule="auto"/>
                        <w:jc w:val="both"/>
                        <w:rPr>
                          <w:rFonts w:ascii="Cambria" w:hAnsi="Cambria"/>
                          <w:color w:val="595959"/>
                          <w:sz w:val="18"/>
                        </w:rPr>
                      </w:pPr>
                      <w:r>
                        <w:rPr>
                          <w:rFonts w:ascii="Cambria" w:hAnsi="Cambria"/>
                          <w:b/>
                          <w:color w:val="595959"/>
                          <w:sz w:val="18"/>
                        </w:rPr>
                        <w:t xml:space="preserve">Cite as: </w:t>
                      </w:r>
                      <w:r>
                        <w:rPr>
                          <w:rFonts w:ascii="Cambria" w:hAnsi="Cambria"/>
                          <w:color w:val="595959"/>
                          <w:sz w:val="18"/>
                        </w:rPr>
                        <w:t xml:space="preserve">IACHR, Report No. </w:t>
                      </w:r>
                      <w:r w:rsidR="00457A71">
                        <w:rPr>
                          <w:rFonts w:ascii="Cambria" w:hAnsi="Cambria"/>
                          <w:color w:val="595959"/>
                          <w:sz w:val="18"/>
                        </w:rPr>
                        <w:t>33/17</w:t>
                      </w:r>
                      <w:r>
                        <w:rPr>
                          <w:rFonts w:ascii="Cambria" w:hAnsi="Cambria"/>
                          <w:color w:val="595959"/>
                          <w:sz w:val="18"/>
                        </w:rPr>
                        <w:t>, Case</w:t>
                      </w:r>
                      <w:r w:rsidR="00457A71">
                        <w:rPr>
                          <w:rFonts w:ascii="Cambria" w:hAnsi="Cambria"/>
                          <w:color w:val="595959"/>
                          <w:sz w:val="18"/>
                        </w:rPr>
                        <w:t xml:space="preserve"> 11.639, Admissibility and Merits, Alejandro </w:t>
                      </w:r>
                      <w:proofErr w:type="spellStart"/>
                      <w:r w:rsidR="00457A71">
                        <w:rPr>
                          <w:rFonts w:ascii="Cambria" w:hAnsi="Cambria"/>
                          <w:color w:val="595959"/>
                          <w:sz w:val="18"/>
                        </w:rPr>
                        <w:t>Yovany</w:t>
                      </w:r>
                      <w:proofErr w:type="spellEnd"/>
                      <w:r w:rsidR="00457A71">
                        <w:rPr>
                          <w:rFonts w:ascii="Cambria" w:hAnsi="Cambria"/>
                          <w:color w:val="595959"/>
                          <w:sz w:val="18"/>
                        </w:rPr>
                        <w:t xml:space="preserve"> Gómez </w:t>
                      </w:r>
                      <w:proofErr w:type="spellStart"/>
                      <w:r w:rsidR="00457A71">
                        <w:rPr>
                          <w:rFonts w:ascii="Cambria" w:hAnsi="Cambria"/>
                          <w:color w:val="595959"/>
                          <w:sz w:val="18"/>
                        </w:rPr>
                        <w:t>Virula</w:t>
                      </w:r>
                      <w:proofErr w:type="spellEnd"/>
                      <w:r w:rsidR="00457A71">
                        <w:rPr>
                          <w:rFonts w:ascii="Cambria" w:hAnsi="Cambria"/>
                          <w:color w:val="595959"/>
                          <w:sz w:val="18"/>
                        </w:rPr>
                        <w:t xml:space="preserve"> and family, Guatemala, March 21, 2017</w:t>
                      </w:r>
                      <w:r>
                        <w:rPr>
                          <w:rFonts w:ascii="Cambria" w:hAnsi="Cambria"/>
                          <w:color w:val="595959"/>
                          <w:sz w:val="18"/>
                        </w:rPr>
                        <w:t>.</w:t>
                      </w:r>
                    </w:p>
                  </w:txbxContent>
                </v:textbox>
              </v:shape>
            </w:pict>
          </mc:Fallback>
        </mc:AlternateContent>
      </w:r>
    </w:p>
    <w:p w:rsidR="006B32D3" w:rsidRPr="006B32D3" w:rsidRDefault="006B32D3" w:rsidP="006B32D3">
      <w:pPr>
        <w:tabs>
          <w:tab w:val="center" w:pos="5400"/>
        </w:tabs>
        <w:suppressAutoHyphens/>
        <w:jc w:val="center"/>
        <w:rPr>
          <w:rFonts w:ascii="Cambria" w:hAnsi="Cambria"/>
          <w:sz w:val="18"/>
          <w:szCs w:val="22"/>
        </w:rPr>
      </w:pPr>
    </w:p>
    <w:p w:rsidR="006B32D3" w:rsidRPr="006B32D3" w:rsidRDefault="006B32D3" w:rsidP="006B32D3">
      <w:pPr>
        <w:tabs>
          <w:tab w:val="center" w:pos="5400"/>
        </w:tabs>
        <w:suppressAutoHyphens/>
        <w:jc w:val="center"/>
        <w:rPr>
          <w:rFonts w:ascii="Cambria" w:hAnsi="Cambria"/>
          <w:sz w:val="18"/>
          <w:szCs w:val="22"/>
        </w:rPr>
      </w:pPr>
    </w:p>
    <w:p w:rsidR="006B32D3" w:rsidRPr="006B32D3" w:rsidRDefault="006B32D3" w:rsidP="006B32D3">
      <w:pPr>
        <w:tabs>
          <w:tab w:val="center" w:pos="5400"/>
        </w:tabs>
        <w:suppressAutoHyphens/>
        <w:jc w:val="center"/>
        <w:rPr>
          <w:rFonts w:ascii="Cambria" w:hAnsi="Cambria"/>
          <w:sz w:val="18"/>
          <w:szCs w:val="22"/>
        </w:rPr>
      </w:pPr>
    </w:p>
    <w:p w:rsidR="006B32D3" w:rsidRPr="006B32D3" w:rsidRDefault="00A37F3B" w:rsidP="006B32D3">
      <w:pPr>
        <w:tabs>
          <w:tab w:val="center" w:pos="5400"/>
        </w:tabs>
        <w:suppressAutoHyphens/>
        <w:jc w:val="center"/>
        <w:rPr>
          <w:rFonts w:ascii="Cambria" w:hAnsi="Cambria"/>
          <w:sz w:val="18"/>
          <w:szCs w:val="22"/>
        </w:rPr>
      </w:pPr>
      <w:r>
        <w:rPr>
          <w:noProof/>
          <w:bdr w:val="none" w:sz="0" w:space="0" w:color="auto"/>
          <w:lang w:val="es-ES" w:eastAsia="es-ES" w:bidi="ar-SA"/>
        </w:rPr>
        <mc:AlternateContent>
          <mc:Choice Requires="wps">
            <w:drawing>
              <wp:anchor distT="0" distB="0" distL="114300" distR="114300" simplePos="0" relativeHeight="251660800" behindDoc="0" locked="0" layoutInCell="1" allowOverlap="1">
                <wp:simplePos x="0" y="0"/>
                <wp:positionH relativeFrom="column">
                  <wp:posOffset>-299085</wp:posOffset>
                </wp:positionH>
                <wp:positionV relativeFrom="paragraph">
                  <wp:posOffset>859155</wp:posOffset>
                </wp:positionV>
                <wp:extent cx="1181100" cy="3327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txbx>
                        <w:txbxContent>
                          <w:p w:rsidR="006B32D3" w:rsidRPr="006B32D3" w:rsidRDefault="006B32D3" w:rsidP="006B32D3">
                            <w:pPr>
                              <w:jc w:val="center"/>
                              <w:rPr>
                                <w:rFonts w:ascii="Calibri" w:hAnsi="Calibri"/>
                                <w:b/>
                                <w:color w:val="FFFFFF"/>
                              </w:rPr>
                            </w:pPr>
                            <w:r>
                              <w:rPr>
                                <w:rFonts w:ascii="Calibri" w:hAnsi="Calibri"/>
                                <w:b/>
                                <w:color w:val="FFFFFF"/>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" filled="f" stroked="f" strokeweight=".5pt">
                <v:path arrowok="t"/>
                <v:textbox>
                  <w:txbxContent>
                    <w:p w:rsidR="006B32D3" w:rsidRPr="006B32D3" w:rsidRDefault="006B32D3" w:rsidP="006B32D3">
                      <w:pPr>
                        <w:jc w:val="center"/>
                        <w:rPr>
                          <w:rFonts w:ascii="Calibri" w:hAnsi="Calibri"/>
                          <w:b/>
                          <w:color w:val="FFFFFF"/>
                        </w:rPr>
                      </w:pPr>
                      <w:r>
                        <w:rPr>
                          <w:rFonts w:ascii="Calibri" w:hAnsi="Calibri"/>
                          <w:b/>
                          <w:color w:val="FFFFFF"/>
                        </w:rPr>
                        <w:t>www.cidh.org</w:t>
                      </w:r>
                    </w:p>
                  </w:txbxContent>
                </v:textbox>
              </v:shape>
            </w:pict>
          </mc:Fallback>
        </mc:AlternateContent>
      </w:r>
      <w:r>
        <w:rPr>
          <w:noProof/>
          <w:bdr w:val="none" w:sz="0" w:space="0" w:color="auto"/>
          <w:lang w:val="es-ES" w:eastAsia="es-ES" w:bidi="ar-SA"/>
        </w:rPr>
        <mc:AlternateContent>
          <mc:Choice Requires="wps">
            <w:drawing>
              <wp:anchor distT="0" distB="0" distL="114300" distR="114300" simplePos="0" relativeHeight="251659776" behindDoc="0" locked="0" layoutInCell="1" allowOverlap="1">
                <wp:simplePos x="0" y="0"/>
                <wp:positionH relativeFrom="column">
                  <wp:posOffset>1208405</wp:posOffset>
                </wp:positionH>
                <wp:positionV relativeFrom="paragraph">
                  <wp:posOffset>722630</wp:posOffset>
                </wp:positionV>
                <wp:extent cx="2085975" cy="485775"/>
                <wp:effectExtent l="0" t="0"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5975" cy="485775"/>
                        </a:xfrm>
                        <a:prstGeom prst="rect">
                          <a:avLst/>
                        </a:prstGeom>
                        <a:solidFill>
                          <a:sysClr val="window" lastClr="FFFFFF"/>
                        </a:solidFill>
                        <a:ln w="6350">
                          <a:noFill/>
                        </a:ln>
                        <a:effectLst/>
                      </wps:spPr>
                      <wps:txbx>
                        <w:txbxContent>
                          <w:p w:rsidR="006B32D3" w:rsidRDefault="00A37F3B" w:rsidP="006B32D3">
                            <w:r>
                              <w:rPr>
                                <w:noProof/>
                                <w:lang w:val="es-ES" w:eastAsia="es-ES" w:bidi="ar-SA"/>
                              </w:rPr>
                              <w:drawing>
                                <wp:inline distT="0" distB="0" distL="0" distR="0">
                                  <wp:extent cx="1119505" cy="380365"/>
                                  <wp:effectExtent l="0" t="0" r="4445" b="635"/>
                                  <wp:docPr id="4" name="Picture 4" descr="oea-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ea-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9505" cy="3803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" fillcolor="window" stroked="f" strokeweight=".5pt">
                <v:path arrowok="t"/>
                <v:textbox>
                  <w:txbxContent>
                    <w:p w:rsidR="006B32D3" w:rsidRDefault="00A37F3B" w:rsidP="006B32D3">
                      <w:r>
                        <w:rPr>
                          <w:noProof/>
                          <w:lang w:val="es-ES" w:eastAsia="es-ES" w:bidi="ar-SA"/>
                        </w:rPr>
                        <w:drawing>
                          <wp:inline distT="0" distB="0" distL="0" distR="0">
                            <wp:extent cx="1119505" cy="380365"/>
                            <wp:effectExtent l="0" t="0" r="4445" b="635"/>
                            <wp:docPr id="4" name="Picture 4" descr="oea-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ea-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9505" cy="380365"/>
                                    </a:xfrm>
                                    <a:prstGeom prst="rect">
                                      <a:avLst/>
                                    </a:prstGeom>
                                    <a:noFill/>
                                    <a:ln>
                                      <a:noFill/>
                                    </a:ln>
                                  </pic:spPr>
                                </pic:pic>
                              </a:graphicData>
                            </a:graphic>
                          </wp:inline>
                        </w:drawing>
                      </w:r>
                    </w:p>
                  </w:txbxContent>
                </v:textbox>
              </v:shape>
            </w:pict>
          </mc:Fallback>
        </mc:AlternateContent>
      </w:r>
    </w:p>
    <w:p w:rsidR="006B32D3" w:rsidRPr="006B32D3" w:rsidRDefault="006B32D3" w:rsidP="006B32D3">
      <w:pPr>
        <w:tabs>
          <w:tab w:val="center" w:pos="5400"/>
        </w:tabs>
        <w:suppressAutoHyphens/>
        <w:jc w:val="center"/>
        <w:rPr>
          <w:rFonts w:ascii="Cambria" w:hAnsi="Cambria"/>
          <w:sz w:val="18"/>
          <w:szCs w:val="22"/>
        </w:rPr>
        <w:sectPr w:rsidR="006B32D3" w:rsidRPr="006B32D3" w:rsidSect="00853419">
          <w:headerReference w:type="even" r:id="rId11"/>
          <w:headerReference w:type="default" r:id="rId12"/>
          <w:footerReference w:type="default" r:id="rId13"/>
          <w:footerReference w:type="first" r:id="rId14"/>
          <w:type w:val="oddPage"/>
          <w:pgSz w:w="12240" w:h="15840"/>
          <w:pgMar w:top="1440" w:right="1440" w:bottom="1440" w:left="1440" w:header="720" w:footer="720" w:gutter="0"/>
          <w:pgNumType w:start="0"/>
          <w:cols w:space="720"/>
          <w:titlePg/>
          <w:docGrid w:linePitch="326"/>
        </w:sectPr>
      </w:pPr>
    </w:p>
    <w:p w:rsidR="006B32D3" w:rsidRPr="00BD1D6C" w:rsidRDefault="006B32D3" w:rsidP="006B32D3">
      <w:pPr>
        <w:tabs>
          <w:tab w:val="left" w:pos="720"/>
        </w:tabs>
        <w:jc w:val="center"/>
        <w:rPr>
          <w:rFonts w:ascii="Cambria" w:hAnsi="Cambria"/>
          <w:sz w:val="20"/>
          <w:szCs w:val="20"/>
        </w:rPr>
      </w:pPr>
      <w:r>
        <w:rPr>
          <w:rFonts w:ascii="Cambria" w:hAnsi="Cambria"/>
          <w:b/>
          <w:sz w:val="18"/>
        </w:rPr>
        <w:lastRenderedPageBreak/>
        <w:t xml:space="preserve">REPORT No. </w:t>
      </w:r>
      <w:r w:rsidR="00457A71">
        <w:rPr>
          <w:rFonts w:ascii="Cambria" w:hAnsi="Cambria"/>
          <w:b/>
          <w:sz w:val="18"/>
        </w:rPr>
        <w:t>33</w:t>
      </w:r>
      <w:r>
        <w:rPr>
          <w:rFonts w:ascii="Cambria" w:hAnsi="Cambria"/>
          <w:b/>
          <w:sz w:val="18"/>
        </w:rPr>
        <w:t>/17</w:t>
      </w:r>
    </w:p>
    <w:p w:rsidR="006B32D3" w:rsidRPr="00BD1D6C" w:rsidRDefault="006B32D3" w:rsidP="006B32D3">
      <w:pPr>
        <w:tabs>
          <w:tab w:val="center" w:pos="5400"/>
        </w:tabs>
        <w:suppressAutoHyphens/>
        <w:spacing w:line="276" w:lineRule="auto"/>
        <w:jc w:val="center"/>
        <w:rPr>
          <w:rFonts w:ascii="Cambria" w:hAnsi="Cambria"/>
          <w:b/>
          <w:sz w:val="18"/>
          <w:szCs w:val="18"/>
        </w:rPr>
      </w:pPr>
      <w:r>
        <w:rPr>
          <w:rFonts w:ascii="Cambria" w:hAnsi="Cambria"/>
          <w:b/>
          <w:sz w:val="18"/>
        </w:rPr>
        <w:t>CASE 11.639</w:t>
      </w:r>
    </w:p>
    <w:p w:rsidR="006B32D3" w:rsidRPr="00BD1D6C" w:rsidRDefault="006B32D3" w:rsidP="006B32D3">
      <w:pPr>
        <w:tabs>
          <w:tab w:val="center" w:pos="5400"/>
        </w:tabs>
        <w:suppressAutoHyphens/>
        <w:spacing w:line="276" w:lineRule="auto"/>
        <w:jc w:val="center"/>
        <w:rPr>
          <w:rFonts w:ascii="Cambria" w:hAnsi="Cambria"/>
          <w:sz w:val="18"/>
          <w:szCs w:val="18"/>
        </w:rPr>
      </w:pPr>
      <w:r>
        <w:rPr>
          <w:rFonts w:ascii="Cambria" w:hAnsi="Cambria"/>
          <w:sz w:val="18"/>
        </w:rPr>
        <w:t>REPORT ON ADMISSIBILITY AND MERITS</w:t>
      </w:r>
    </w:p>
    <w:p w:rsidR="006B32D3" w:rsidRPr="00BD1D6C" w:rsidRDefault="006B32D3" w:rsidP="006B32D3">
      <w:pPr>
        <w:tabs>
          <w:tab w:val="center" w:pos="5400"/>
        </w:tabs>
        <w:suppressAutoHyphens/>
        <w:spacing w:line="276" w:lineRule="auto"/>
        <w:jc w:val="center"/>
        <w:rPr>
          <w:rFonts w:ascii="Cambria" w:hAnsi="Cambria"/>
          <w:sz w:val="18"/>
          <w:szCs w:val="18"/>
        </w:rPr>
      </w:pPr>
      <w:r>
        <w:rPr>
          <w:rFonts w:ascii="Cambria" w:hAnsi="Cambria"/>
          <w:sz w:val="18"/>
        </w:rPr>
        <w:t>ALEJANDRO YOVANY GÓMEZ VIRULA AND FAMILY</w:t>
      </w:r>
    </w:p>
    <w:p w:rsidR="006B32D3" w:rsidRPr="00BD1D6C" w:rsidRDefault="006B32D3" w:rsidP="006B32D3">
      <w:pPr>
        <w:tabs>
          <w:tab w:val="center" w:pos="5400"/>
        </w:tabs>
        <w:suppressAutoHyphens/>
        <w:spacing w:line="276" w:lineRule="auto"/>
        <w:jc w:val="center"/>
        <w:rPr>
          <w:rFonts w:ascii="Cambria" w:hAnsi="Cambria"/>
          <w:sz w:val="18"/>
          <w:szCs w:val="18"/>
        </w:rPr>
      </w:pPr>
      <w:r>
        <w:rPr>
          <w:rFonts w:ascii="Cambria" w:hAnsi="Cambria"/>
          <w:sz w:val="18"/>
        </w:rPr>
        <w:t>GUATEMALA</w:t>
      </w:r>
    </w:p>
    <w:p w:rsidR="006B32D3" w:rsidRPr="00BD1D6C" w:rsidRDefault="00457A71" w:rsidP="006B32D3">
      <w:pPr>
        <w:tabs>
          <w:tab w:val="center" w:pos="5400"/>
        </w:tabs>
        <w:suppressAutoHyphens/>
        <w:spacing w:line="276" w:lineRule="auto"/>
        <w:jc w:val="center"/>
        <w:rPr>
          <w:rFonts w:ascii="Cambria" w:hAnsi="Cambria"/>
          <w:sz w:val="18"/>
          <w:szCs w:val="18"/>
        </w:rPr>
      </w:pPr>
      <w:r>
        <w:rPr>
          <w:rFonts w:ascii="Cambria" w:hAnsi="Cambria"/>
          <w:sz w:val="18"/>
        </w:rPr>
        <w:t>March 21, 2017</w:t>
      </w:r>
    </w:p>
    <w:p w:rsidR="006B32D3" w:rsidRPr="006B32D3" w:rsidRDefault="006B32D3" w:rsidP="006B32D3">
      <w:pPr>
        <w:tabs>
          <w:tab w:val="center" w:pos="5400"/>
        </w:tabs>
        <w:suppressAutoHyphens/>
        <w:spacing w:line="276" w:lineRule="auto"/>
        <w:rPr>
          <w:rFonts w:ascii="Cambria" w:hAnsi="Cambria"/>
          <w:sz w:val="20"/>
          <w:szCs w:val="20"/>
        </w:rPr>
      </w:pPr>
    </w:p>
    <w:p w:rsidR="006B32D3" w:rsidRPr="00457A71" w:rsidRDefault="006B32D3" w:rsidP="006B32D3">
      <w:pPr>
        <w:tabs>
          <w:tab w:val="center" w:pos="5400"/>
        </w:tabs>
        <w:suppressAutoHyphens/>
        <w:spacing w:line="276" w:lineRule="auto"/>
        <w:jc w:val="center"/>
        <w:rPr>
          <w:rFonts w:ascii="Cambria" w:hAnsi="Cambria"/>
          <w:b/>
          <w:sz w:val="20"/>
          <w:szCs w:val="20"/>
        </w:rPr>
      </w:pPr>
      <w:r w:rsidRPr="00457A71">
        <w:rPr>
          <w:rFonts w:ascii="Cambria" w:hAnsi="Cambria"/>
          <w:b/>
          <w:sz w:val="20"/>
          <w:szCs w:val="20"/>
        </w:rPr>
        <w:t>INDEX</w:t>
      </w:r>
    </w:p>
    <w:p w:rsidR="006B32D3" w:rsidRPr="00457A71" w:rsidRDefault="006B32D3" w:rsidP="006B32D3">
      <w:pPr>
        <w:tabs>
          <w:tab w:val="center" w:pos="5400"/>
        </w:tabs>
        <w:suppressAutoHyphens/>
        <w:spacing w:line="276" w:lineRule="auto"/>
        <w:rPr>
          <w:rFonts w:asciiTheme="majorHAnsi" w:hAnsiTheme="majorHAnsi"/>
          <w:sz w:val="20"/>
          <w:szCs w:val="20"/>
        </w:rPr>
      </w:pPr>
    </w:p>
    <w:p w:rsidR="00457A71" w:rsidRPr="00457A71" w:rsidRDefault="00457A71">
      <w:pPr>
        <w:pStyle w:val="TOC1"/>
        <w:rPr>
          <w:rFonts w:asciiTheme="majorHAnsi" w:eastAsiaTheme="minorEastAsia" w:hAnsiTheme="majorHAnsi" w:cstheme="minorBidi"/>
          <w:b w:val="0"/>
          <w:bdr w:val="none" w:sz="0" w:space="0" w:color="auto"/>
          <w:lang w:val="es-ES" w:eastAsia="es-ES" w:bidi="ar-SA"/>
        </w:rPr>
      </w:pPr>
      <w:r w:rsidRPr="00457A71">
        <w:rPr>
          <w:rFonts w:asciiTheme="majorHAnsi" w:hAnsiTheme="majorHAnsi"/>
        </w:rPr>
        <w:fldChar w:fldCharType="begin"/>
      </w:r>
      <w:r w:rsidRPr="00457A71">
        <w:rPr>
          <w:rFonts w:asciiTheme="majorHAnsi" w:hAnsiTheme="majorHAnsi"/>
        </w:rPr>
        <w:instrText xml:space="preserve"> TOC \o "1-3" \h \z \u </w:instrText>
      </w:r>
      <w:r w:rsidRPr="00457A71">
        <w:rPr>
          <w:rFonts w:asciiTheme="majorHAnsi" w:hAnsiTheme="majorHAnsi"/>
        </w:rPr>
        <w:fldChar w:fldCharType="separate"/>
      </w:r>
      <w:hyperlink w:anchor="_Toc478023960" w:history="1">
        <w:r w:rsidRPr="00457A71">
          <w:rPr>
            <w:rStyle w:val="Hyperlink"/>
            <w:rFonts w:asciiTheme="majorHAnsi" w:hAnsiTheme="majorHAnsi"/>
          </w:rPr>
          <w:t>I.</w:t>
        </w:r>
        <w:r w:rsidRPr="00457A71">
          <w:rPr>
            <w:rFonts w:asciiTheme="majorHAnsi" w:eastAsiaTheme="minorEastAsia" w:hAnsiTheme="majorHAnsi" w:cstheme="minorBidi"/>
            <w:b w:val="0"/>
            <w:bdr w:val="none" w:sz="0" w:space="0" w:color="auto"/>
            <w:lang w:val="es-ES" w:eastAsia="es-ES" w:bidi="ar-SA"/>
          </w:rPr>
          <w:tab/>
        </w:r>
        <w:r w:rsidRPr="00457A71">
          <w:rPr>
            <w:rStyle w:val="Hyperlink"/>
            <w:rFonts w:asciiTheme="majorHAnsi" w:hAnsiTheme="majorHAnsi"/>
          </w:rPr>
          <w:t>SUMMARY</w:t>
        </w:r>
        <w:r w:rsidRPr="00457A71">
          <w:rPr>
            <w:rFonts w:asciiTheme="majorHAnsi" w:hAnsiTheme="majorHAnsi"/>
            <w:webHidden/>
          </w:rPr>
          <w:tab/>
        </w:r>
        <w:r w:rsidRPr="00457A71">
          <w:rPr>
            <w:rFonts w:asciiTheme="majorHAnsi" w:hAnsiTheme="majorHAnsi"/>
            <w:webHidden/>
          </w:rPr>
          <w:fldChar w:fldCharType="begin"/>
        </w:r>
        <w:r w:rsidRPr="00457A71">
          <w:rPr>
            <w:rFonts w:asciiTheme="majorHAnsi" w:hAnsiTheme="majorHAnsi"/>
            <w:webHidden/>
          </w:rPr>
          <w:instrText xml:space="preserve"> PAGEREF _Toc478023960 \h </w:instrText>
        </w:r>
        <w:r w:rsidRPr="00457A71">
          <w:rPr>
            <w:rFonts w:asciiTheme="majorHAnsi" w:hAnsiTheme="majorHAnsi"/>
            <w:webHidden/>
          </w:rPr>
        </w:r>
        <w:r w:rsidRPr="00457A71">
          <w:rPr>
            <w:rFonts w:asciiTheme="majorHAnsi" w:hAnsiTheme="majorHAnsi"/>
            <w:webHidden/>
          </w:rPr>
          <w:fldChar w:fldCharType="separate"/>
        </w:r>
        <w:r w:rsidRPr="00457A71">
          <w:rPr>
            <w:rFonts w:asciiTheme="majorHAnsi" w:hAnsiTheme="majorHAnsi"/>
            <w:webHidden/>
          </w:rPr>
          <w:t>3</w:t>
        </w:r>
        <w:r w:rsidRPr="00457A71">
          <w:rPr>
            <w:rFonts w:asciiTheme="majorHAnsi" w:hAnsiTheme="majorHAnsi"/>
            <w:webHidden/>
          </w:rPr>
          <w:fldChar w:fldCharType="end"/>
        </w:r>
      </w:hyperlink>
    </w:p>
    <w:p w:rsidR="00457A71" w:rsidRDefault="00457A71">
      <w:pPr>
        <w:pStyle w:val="TOC1"/>
        <w:rPr>
          <w:rStyle w:val="Hyperlink"/>
          <w:rFonts w:asciiTheme="majorHAnsi" w:hAnsiTheme="majorHAnsi"/>
        </w:rPr>
      </w:pPr>
    </w:p>
    <w:p w:rsidR="00457A71" w:rsidRPr="00457A71" w:rsidRDefault="00457A71">
      <w:pPr>
        <w:pStyle w:val="TOC1"/>
        <w:rPr>
          <w:rFonts w:asciiTheme="majorHAnsi" w:eastAsiaTheme="minorEastAsia" w:hAnsiTheme="majorHAnsi" w:cstheme="minorBidi"/>
          <w:b w:val="0"/>
          <w:bdr w:val="none" w:sz="0" w:space="0" w:color="auto"/>
          <w:lang w:val="es-ES" w:eastAsia="es-ES" w:bidi="ar-SA"/>
        </w:rPr>
      </w:pPr>
      <w:hyperlink w:anchor="_Toc478023961" w:history="1">
        <w:r w:rsidRPr="00457A71">
          <w:rPr>
            <w:rStyle w:val="Hyperlink"/>
            <w:rFonts w:asciiTheme="majorHAnsi" w:hAnsiTheme="majorHAnsi"/>
          </w:rPr>
          <w:t>II.</w:t>
        </w:r>
        <w:r w:rsidRPr="00457A71">
          <w:rPr>
            <w:rFonts w:asciiTheme="majorHAnsi" w:eastAsiaTheme="minorEastAsia" w:hAnsiTheme="majorHAnsi" w:cstheme="minorBidi"/>
            <w:b w:val="0"/>
            <w:bdr w:val="none" w:sz="0" w:space="0" w:color="auto"/>
            <w:lang w:val="es-ES" w:eastAsia="es-ES" w:bidi="ar-SA"/>
          </w:rPr>
          <w:tab/>
        </w:r>
        <w:r w:rsidRPr="00457A71">
          <w:rPr>
            <w:rStyle w:val="Hyperlink"/>
            <w:rFonts w:asciiTheme="majorHAnsi" w:hAnsiTheme="majorHAnsi"/>
          </w:rPr>
          <w:t>PROCEEDINGS BEFORE THE COMMISSION</w:t>
        </w:r>
        <w:r w:rsidRPr="00457A71">
          <w:rPr>
            <w:rFonts w:asciiTheme="majorHAnsi" w:hAnsiTheme="majorHAnsi"/>
            <w:webHidden/>
          </w:rPr>
          <w:tab/>
        </w:r>
        <w:r w:rsidRPr="00457A71">
          <w:rPr>
            <w:rFonts w:asciiTheme="majorHAnsi" w:hAnsiTheme="majorHAnsi"/>
            <w:webHidden/>
          </w:rPr>
          <w:fldChar w:fldCharType="begin"/>
        </w:r>
        <w:r w:rsidRPr="00457A71">
          <w:rPr>
            <w:rFonts w:asciiTheme="majorHAnsi" w:hAnsiTheme="majorHAnsi"/>
            <w:webHidden/>
          </w:rPr>
          <w:instrText xml:space="preserve"> PAGEREF _Toc478023961 \h </w:instrText>
        </w:r>
        <w:r w:rsidRPr="00457A71">
          <w:rPr>
            <w:rFonts w:asciiTheme="majorHAnsi" w:hAnsiTheme="majorHAnsi"/>
            <w:webHidden/>
          </w:rPr>
        </w:r>
        <w:r w:rsidRPr="00457A71">
          <w:rPr>
            <w:rFonts w:asciiTheme="majorHAnsi" w:hAnsiTheme="majorHAnsi"/>
            <w:webHidden/>
          </w:rPr>
          <w:fldChar w:fldCharType="separate"/>
        </w:r>
        <w:r w:rsidRPr="00457A71">
          <w:rPr>
            <w:rFonts w:asciiTheme="majorHAnsi" w:hAnsiTheme="majorHAnsi"/>
            <w:webHidden/>
          </w:rPr>
          <w:t>3</w:t>
        </w:r>
        <w:r w:rsidRPr="00457A71">
          <w:rPr>
            <w:rFonts w:asciiTheme="majorHAnsi" w:hAnsiTheme="majorHAnsi"/>
            <w:webHidden/>
          </w:rPr>
          <w:fldChar w:fldCharType="end"/>
        </w:r>
      </w:hyperlink>
    </w:p>
    <w:p w:rsidR="00457A71" w:rsidRDefault="00457A71">
      <w:pPr>
        <w:pStyle w:val="TOC1"/>
        <w:rPr>
          <w:rStyle w:val="Hyperlink"/>
          <w:rFonts w:asciiTheme="majorHAnsi" w:hAnsiTheme="majorHAnsi"/>
        </w:rPr>
      </w:pPr>
    </w:p>
    <w:p w:rsidR="00457A71" w:rsidRPr="00457A71" w:rsidRDefault="00457A71">
      <w:pPr>
        <w:pStyle w:val="TOC1"/>
        <w:rPr>
          <w:rFonts w:asciiTheme="majorHAnsi" w:eastAsiaTheme="minorEastAsia" w:hAnsiTheme="majorHAnsi" w:cstheme="minorBidi"/>
          <w:b w:val="0"/>
          <w:bdr w:val="none" w:sz="0" w:space="0" w:color="auto"/>
          <w:lang w:val="es-ES" w:eastAsia="es-ES" w:bidi="ar-SA"/>
        </w:rPr>
      </w:pPr>
      <w:hyperlink w:anchor="_Toc478023962" w:history="1">
        <w:r w:rsidRPr="00457A71">
          <w:rPr>
            <w:rStyle w:val="Hyperlink"/>
            <w:rFonts w:asciiTheme="majorHAnsi" w:hAnsiTheme="majorHAnsi"/>
          </w:rPr>
          <w:t>III.</w:t>
        </w:r>
        <w:r w:rsidRPr="00457A71">
          <w:rPr>
            <w:rFonts w:asciiTheme="majorHAnsi" w:eastAsiaTheme="minorEastAsia" w:hAnsiTheme="majorHAnsi" w:cstheme="minorBidi"/>
            <w:b w:val="0"/>
            <w:bdr w:val="none" w:sz="0" w:space="0" w:color="auto"/>
            <w:lang w:val="es-ES" w:eastAsia="es-ES" w:bidi="ar-SA"/>
          </w:rPr>
          <w:tab/>
        </w:r>
        <w:r w:rsidRPr="00457A71">
          <w:rPr>
            <w:rStyle w:val="Hyperlink"/>
            <w:rFonts w:asciiTheme="majorHAnsi" w:hAnsiTheme="majorHAnsi"/>
          </w:rPr>
          <w:t>POSITION OF THE PARTIES</w:t>
        </w:r>
        <w:r w:rsidRPr="00457A71">
          <w:rPr>
            <w:rFonts w:asciiTheme="majorHAnsi" w:hAnsiTheme="majorHAnsi"/>
            <w:webHidden/>
          </w:rPr>
          <w:tab/>
        </w:r>
        <w:r w:rsidRPr="00457A71">
          <w:rPr>
            <w:rFonts w:asciiTheme="majorHAnsi" w:hAnsiTheme="majorHAnsi"/>
            <w:webHidden/>
          </w:rPr>
          <w:fldChar w:fldCharType="begin"/>
        </w:r>
        <w:r w:rsidRPr="00457A71">
          <w:rPr>
            <w:rFonts w:asciiTheme="majorHAnsi" w:hAnsiTheme="majorHAnsi"/>
            <w:webHidden/>
          </w:rPr>
          <w:instrText xml:space="preserve"> PAGEREF _Toc478023962 \h </w:instrText>
        </w:r>
        <w:r w:rsidRPr="00457A71">
          <w:rPr>
            <w:rFonts w:asciiTheme="majorHAnsi" w:hAnsiTheme="majorHAnsi"/>
            <w:webHidden/>
          </w:rPr>
        </w:r>
        <w:r w:rsidRPr="00457A71">
          <w:rPr>
            <w:rFonts w:asciiTheme="majorHAnsi" w:hAnsiTheme="majorHAnsi"/>
            <w:webHidden/>
          </w:rPr>
          <w:fldChar w:fldCharType="separate"/>
        </w:r>
        <w:r w:rsidRPr="00457A71">
          <w:rPr>
            <w:rFonts w:asciiTheme="majorHAnsi" w:hAnsiTheme="majorHAnsi"/>
            <w:webHidden/>
          </w:rPr>
          <w:t>4</w:t>
        </w:r>
        <w:r w:rsidRPr="00457A71">
          <w:rPr>
            <w:rFonts w:asciiTheme="majorHAnsi" w:hAnsiTheme="majorHAnsi"/>
            <w:webHidden/>
          </w:rPr>
          <w:fldChar w:fldCharType="end"/>
        </w:r>
      </w:hyperlink>
    </w:p>
    <w:p w:rsidR="00457A71" w:rsidRPr="00457A71" w:rsidRDefault="00457A71">
      <w:pPr>
        <w:pStyle w:val="TOC2"/>
        <w:rPr>
          <w:rFonts w:asciiTheme="majorHAnsi" w:eastAsiaTheme="minorEastAsia" w:hAnsiTheme="majorHAnsi" w:cstheme="minorBidi"/>
          <w:noProof/>
          <w:sz w:val="20"/>
          <w:szCs w:val="20"/>
          <w:bdr w:val="none" w:sz="0" w:space="0" w:color="auto"/>
          <w:lang w:val="es-ES" w:eastAsia="es-ES" w:bidi="ar-SA"/>
        </w:rPr>
      </w:pPr>
      <w:hyperlink w:anchor="_Toc478023963" w:history="1">
        <w:r w:rsidRPr="00457A71">
          <w:rPr>
            <w:rStyle w:val="Hyperlink"/>
            <w:rFonts w:asciiTheme="majorHAnsi" w:hAnsiTheme="majorHAnsi"/>
            <w:noProof/>
            <w:sz w:val="20"/>
            <w:szCs w:val="20"/>
          </w:rPr>
          <w:t>A.</w:t>
        </w:r>
        <w:r w:rsidRPr="00457A71">
          <w:rPr>
            <w:rFonts w:asciiTheme="majorHAnsi" w:eastAsiaTheme="minorEastAsia" w:hAnsiTheme="majorHAnsi" w:cstheme="minorBidi"/>
            <w:noProof/>
            <w:sz w:val="20"/>
            <w:szCs w:val="20"/>
            <w:bdr w:val="none" w:sz="0" w:space="0" w:color="auto"/>
            <w:lang w:val="es-ES" w:eastAsia="es-ES" w:bidi="ar-SA"/>
          </w:rPr>
          <w:tab/>
        </w:r>
        <w:r w:rsidRPr="00457A71">
          <w:rPr>
            <w:rStyle w:val="Hyperlink"/>
            <w:rFonts w:asciiTheme="majorHAnsi" w:hAnsiTheme="majorHAnsi"/>
            <w:noProof/>
            <w:sz w:val="20"/>
            <w:szCs w:val="20"/>
          </w:rPr>
          <w:t>Position of the petitioners</w:t>
        </w:r>
        <w:r w:rsidRPr="00457A71">
          <w:rPr>
            <w:rFonts w:asciiTheme="majorHAnsi" w:hAnsiTheme="majorHAnsi"/>
            <w:noProof/>
            <w:webHidden/>
            <w:sz w:val="20"/>
            <w:szCs w:val="20"/>
          </w:rPr>
          <w:tab/>
        </w:r>
        <w:r w:rsidRPr="00457A71">
          <w:rPr>
            <w:rFonts w:asciiTheme="majorHAnsi" w:hAnsiTheme="majorHAnsi"/>
            <w:noProof/>
            <w:webHidden/>
            <w:sz w:val="20"/>
            <w:szCs w:val="20"/>
          </w:rPr>
          <w:fldChar w:fldCharType="begin"/>
        </w:r>
        <w:r w:rsidRPr="00457A71">
          <w:rPr>
            <w:rFonts w:asciiTheme="majorHAnsi" w:hAnsiTheme="majorHAnsi"/>
            <w:noProof/>
            <w:webHidden/>
            <w:sz w:val="20"/>
            <w:szCs w:val="20"/>
          </w:rPr>
          <w:instrText xml:space="preserve"> PAGEREF _Toc478023963 \h </w:instrText>
        </w:r>
        <w:r w:rsidRPr="00457A71">
          <w:rPr>
            <w:rFonts w:asciiTheme="majorHAnsi" w:hAnsiTheme="majorHAnsi"/>
            <w:noProof/>
            <w:webHidden/>
            <w:sz w:val="20"/>
            <w:szCs w:val="20"/>
          </w:rPr>
        </w:r>
        <w:r w:rsidRPr="00457A71">
          <w:rPr>
            <w:rFonts w:asciiTheme="majorHAnsi" w:hAnsiTheme="majorHAnsi"/>
            <w:noProof/>
            <w:webHidden/>
            <w:sz w:val="20"/>
            <w:szCs w:val="20"/>
          </w:rPr>
          <w:fldChar w:fldCharType="separate"/>
        </w:r>
        <w:r w:rsidRPr="00457A71">
          <w:rPr>
            <w:rFonts w:asciiTheme="majorHAnsi" w:hAnsiTheme="majorHAnsi"/>
            <w:noProof/>
            <w:webHidden/>
            <w:sz w:val="20"/>
            <w:szCs w:val="20"/>
          </w:rPr>
          <w:t>4</w:t>
        </w:r>
        <w:r w:rsidRPr="00457A71">
          <w:rPr>
            <w:rFonts w:asciiTheme="majorHAnsi" w:hAnsiTheme="majorHAnsi"/>
            <w:noProof/>
            <w:webHidden/>
            <w:sz w:val="20"/>
            <w:szCs w:val="20"/>
          </w:rPr>
          <w:fldChar w:fldCharType="end"/>
        </w:r>
      </w:hyperlink>
    </w:p>
    <w:p w:rsidR="00457A71" w:rsidRPr="00457A71" w:rsidRDefault="00457A71">
      <w:pPr>
        <w:pStyle w:val="TOC2"/>
        <w:rPr>
          <w:rFonts w:asciiTheme="majorHAnsi" w:eastAsiaTheme="minorEastAsia" w:hAnsiTheme="majorHAnsi" w:cstheme="minorBidi"/>
          <w:noProof/>
          <w:sz w:val="20"/>
          <w:szCs w:val="20"/>
          <w:bdr w:val="none" w:sz="0" w:space="0" w:color="auto"/>
          <w:lang w:val="es-ES" w:eastAsia="es-ES" w:bidi="ar-SA"/>
        </w:rPr>
      </w:pPr>
      <w:hyperlink w:anchor="_Toc478023964" w:history="1">
        <w:r w:rsidRPr="00457A71">
          <w:rPr>
            <w:rStyle w:val="Hyperlink"/>
            <w:rFonts w:asciiTheme="majorHAnsi" w:hAnsiTheme="majorHAnsi"/>
            <w:noProof/>
            <w:sz w:val="20"/>
            <w:szCs w:val="20"/>
          </w:rPr>
          <w:t>B.</w:t>
        </w:r>
        <w:r w:rsidRPr="00457A71">
          <w:rPr>
            <w:rFonts w:asciiTheme="majorHAnsi" w:eastAsiaTheme="minorEastAsia" w:hAnsiTheme="majorHAnsi" w:cstheme="minorBidi"/>
            <w:noProof/>
            <w:sz w:val="20"/>
            <w:szCs w:val="20"/>
            <w:bdr w:val="none" w:sz="0" w:space="0" w:color="auto"/>
            <w:lang w:val="es-ES" w:eastAsia="es-ES" w:bidi="ar-SA"/>
          </w:rPr>
          <w:tab/>
        </w:r>
        <w:r w:rsidRPr="00457A71">
          <w:rPr>
            <w:rStyle w:val="Hyperlink"/>
            <w:rFonts w:asciiTheme="majorHAnsi" w:hAnsiTheme="majorHAnsi"/>
            <w:noProof/>
            <w:sz w:val="20"/>
            <w:szCs w:val="20"/>
          </w:rPr>
          <w:t>Position of the State</w:t>
        </w:r>
        <w:r w:rsidRPr="00457A71">
          <w:rPr>
            <w:rFonts w:asciiTheme="majorHAnsi" w:hAnsiTheme="majorHAnsi"/>
            <w:noProof/>
            <w:webHidden/>
            <w:sz w:val="20"/>
            <w:szCs w:val="20"/>
          </w:rPr>
          <w:tab/>
        </w:r>
        <w:r w:rsidRPr="00457A71">
          <w:rPr>
            <w:rFonts w:asciiTheme="majorHAnsi" w:hAnsiTheme="majorHAnsi"/>
            <w:noProof/>
            <w:webHidden/>
            <w:sz w:val="20"/>
            <w:szCs w:val="20"/>
          </w:rPr>
          <w:fldChar w:fldCharType="begin"/>
        </w:r>
        <w:r w:rsidRPr="00457A71">
          <w:rPr>
            <w:rFonts w:asciiTheme="majorHAnsi" w:hAnsiTheme="majorHAnsi"/>
            <w:noProof/>
            <w:webHidden/>
            <w:sz w:val="20"/>
            <w:szCs w:val="20"/>
          </w:rPr>
          <w:instrText xml:space="preserve"> PAGEREF _Toc478023964 \h </w:instrText>
        </w:r>
        <w:r w:rsidRPr="00457A71">
          <w:rPr>
            <w:rFonts w:asciiTheme="majorHAnsi" w:hAnsiTheme="majorHAnsi"/>
            <w:noProof/>
            <w:webHidden/>
            <w:sz w:val="20"/>
            <w:szCs w:val="20"/>
          </w:rPr>
        </w:r>
        <w:r w:rsidRPr="00457A71">
          <w:rPr>
            <w:rFonts w:asciiTheme="majorHAnsi" w:hAnsiTheme="majorHAnsi"/>
            <w:noProof/>
            <w:webHidden/>
            <w:sz w:val="20"/>
            <w:szCs w:val="20"/>
          </w:rPr>
          <w:fldChar w:fldCharType="separate"/>
        </w:r>
        <w:r w:rsidRPr="00457A71">
          <w:rPr>
            <w:rFonts w:asciiTheme="majorHAnsi" w:hAnsiTheme="majorHAnsi"/>
            <w:noProof/>
            <w:webHidden/>
            <w:sz w:val="20"/>
            <w:szCs w:val="20"/>
          </w:rPr>
          <w:t>5</w:t>
        </w:r>
        <w:r w:rsidRPr="00457A71">
          <w:rPr>
            <w:rFonts w:asciiTheme="majorHAnsi" w:hAnsiTheme="majorHAnsi"/>
            <w:noProof/>
            <w:webHidden/>
            <w:sz w:val="20"/>
            <w:szCs w:val="20"/>
          </w:rPr>
          <w:fldChar w:fldCharType="end"/>
        </w:r>
      </w:hyperlink>
    </w:p>
    <w:p w:rsidR="00457A71" w:rsidRDefault="00457A71">
      <w:pPr>
        <w:pStyle w:val="TOC1"/>
        <w:rPr>
          <w:rStyle w:val="Hyperlink"/>
          <w:rFonts w:asciiTheme="majorHAnsi" w:hAnsiTheme="majorHAnsi"/>
        </w:rPr>
      </w:pPr>
    </w:p>
    <w:p w:rsidR="00457A71" w:rsidRPr="00457A71" w:rsidRDefault="00457A71">
      <w:pPr>
        <w:pStyle w:val="TOC1"/>
        <w:rPr>
          <w:rFonts w:asciiTheme="majorHAnsi" w:eastAsiaTheme="minorEastAsia" w:hAnsiTheme="majorHAnsi" w:cstheme="minorBidi"/>
          <w:b w:val="0"/>
          <w:bdr w:val="none" w:sz="0" w:space="0" w:color="auto"/>
          <w:lang w:val="es-ES" w:eastAsia="es-ES" w:bidi="ar-SA"/>
        </w:rPr>
      </w:pPr>
      <w:hyperlink w:anchor="_Toc478023965" w:history="1">
        <w:r w:rsidRPr="00457A71">
          <w:rPr>
            <w:rStyle w:val="Hyperlink"/>
            <w:rFonts w:asciiTheme="majorHAnsi" w:hAnsiTheme="majorHAnsi"/>
          </w:rPr>
          <w:t>IV.</w:t>
        </w:r>
        <w:r w:rsidRPr="00457A71">
          <w:rPr>
            <w:rFonts w:asciiTheme="majorHAnsi" w:eastAsiaTheme="minorEastAsia" w:hAnsiTheme="majorHAnsi" w:cstheme="minorBidi"/>
            <w:b w:val="0"/>
            <w:bdr w:val="none" w:sz="0" w:space="0" w:color="auto"/>
            <w:lang w:val="es-ES" w:eastAsia="es-ES" w:bidi="ar-SA"/>
          </w:rPr>
          <w:tab/>
        </w:r>
        <w:r w:rsidRPr="00457A71">
          <w:rPr>
            <w:rStyle w:val="Hyperlink"/>
            <w:rFonts w:asciiTheme="majorHAnsi" w:hAnsiTheme="majorHAnsi"/>
          </w:rPr>
          <w:t>ANALYSIS OF COMPETENCE AND ADMISSIBILITY</w:t>
        </w:r>
        <w:r w:rsidRPr="00457A71">
          <w:rPr>
            <w:rFonts w:asciiTheme="majorHAnsi" w:hAnsiTheme="majorHAnsi"/>
            <w:webHidden/>
          </w:rPr>
          <w:tab/>
        </w:r>
        <w:r w:rsidRPr="00457A71">
          <w:rPr>
            <w:rFonts w:asciiTheme="majorHAnsi" w:hAnsiTheme="majorHAnsi"/>
            <w:webHidden/>
          </w:rPr>
          <w:fldChar w:fldCharType="begin"/>
        </w:r>
        <w:r w:rsidRPr="00457A71">
          <w:rPr>
            <w:rFonts w:asciiTheme="majorHAnsi" w:hAnsiTheme="majorHAnsi"/>
            <w:webHidden/>
          </w:rPr>
          <w:instrText xml:space="preserve"> PAGEREF _Toc478023965 \h </w:instrText>
        </w:r>
        <w:r w:rsidRPr="00457A71">
          <w:rPr>
            <w:rFonts w:asciiTheme="majorHAnsi" w:hAnsiTheme="majorHAnsi"/>
            <w:webHidden/>
          </w:rPr>
        </w:r>
        <w:r w:rsidRPr="00457A71">
          <w:rPr>
            <w:rFonts w:asciiTheme="majorHAnsi" w:hAnsiTheme="majorHAnsi"/>
            <w:webHidden/>
          </w:rPr>
          <w:fldChar w:fldCharType="separate"/>
        </w:r>
        <w:r w:rsidRPr="00457A71">
          <w:rPr>
            <w:rFonts w:asciiTheme="majorHAnsi" w:hAnsiTheme="majorHAnsi"/>
            <w:webHidden/>
          </w:rPr>
          <w:t>6</w:t>
        </w:r>
        <w:r w:rsidRPr="00457A71">
          <w:rPr>
            <w:rFonts w:asciiTheme="majorHAnsi" w:hAnsiTheme="majorHAnsi"/>
            <w:webHidden/>
          </w:rPr>
          <w:fldChar w:fldCharType="end"/>
        </w:r>
      </w:hyperlink>
    </w:p>
    <w:p w:rsidR="00457A71" w:rsidRPr="00457A71" w:rsidRDefault="00457A71">
      <w:pPr>
        <w:pStyle w:val="TOC2"/>
        <w:rPr>
          <w:rFonts w:asciiTheme="majorHAnsi" w:eastAsiaTheme="minorEastAsia" w:hAnsiTheme="majorHAnsi" w:cstheme="minorBidi"/>
          <w:noProof/>
          <w:sz w:val="20"/>
          <w:szCs w:val="20"/>
          <w:bdr w:val="none" w:sz="0" w:space="0" w:color="auto"/>
          <w:lang w:val="es-ES" w:eastAsia="es-ES" w:bidi="ar-SA"/>
        </w:rPr>
      </w:pPr>
      <w:hyperlink w:anchor="_Toc478023966" w:history="1">
        <w:r w:rsidRPr="00457A71">
          <w:rPr>
            <w:rStyle w:val="Hyperlink"/>
            <w:rFonts w:asciiTheme="majorHAnsi" w:hAnsiTheme="majorHAnsi" w:cs="Calibri"/>
            <w:noProof/>
            <w:sz w:val="20"/>
            <w:szCs w:val="20"/>
          </w:rPr>
          <w:t>A.</w:t>
        </w:r>
        <w:r w:rsidRPr="00457A71">
          <w:rPr>
            <w:rFonts w:asciiTheme="majorHAnsi" w:eastAsiaTheme="minorEastAsia" w:hAnsiTheme="majorHAnsi" w:cstheme="minorBidi"/>
            <w:noProof/>
            <w:sz w:val="20"/>
            <w:szCs w:val="20"/>
            <w:bdr w:val="none" w:sz="0" w:space="0" w:color="auto"/>
            <w:lang w:val="es-ES" w:eastAsia="es-ES" w:bidi="ar-SA"/>
          </w:rPr>
          <w:tab/>
        </w:r>
        <w:r w:rsidRPr="00457A71">
          <w:rPr>
            <w:rStyle w:val="Hyperlink"/>
            <w:rFonts w:asciiTheme="majorHAnsi" w:hAnsiTheme="majorHAnsi"/>
            <w:noProof/>
            <w:sz w:val="20"/>
            <w:szCs w:val="20"/>
          </w:rPr>
          <w:t>Competence of the Commission ratione personae, ratione loci, ratione temporis and ratione materiae</w:t>
        </w:r>
        <w:r w:rsidRPr="00457A71">
          <w:rPr>
            <w:rFonts w:asciiTheme="majorHAnsi" w:hAnsiTheme="majorHAnsi"/>
            <w:noProof/>
            <w:webHidden/>
            <w:sz w:val="20"/>
            <w:szCs w:val="20"/>
          </w:rPr>
          <w:tab/>
        </w:r>
        <w:r w:rsidRPr="00457A71">
          <w:rPr>
            <w:rFonts w:asciiTheme="majorHAnsi" w:hAnsiTheme="majorHAnsi"/>
            <w:noProof/>
            <w:webHidden/>
            <w:sz w:val="20"/>
            <w:szCs w:val="20"/>
          </w:rPr>
          <w:fldChar w:fldCharType="begin"/>
        </w:r>
        <w:r w:rsidRPr="00457A71">
          <w:rPr>
            <w:rFonts w:asciiTheme="majorHAnsi" w:hAnsiTheme="majorHAnsi"/>
            <w:noProof/>
            <w:webHidden/>
            <w:sz w:val="20"/>
            <w:szCs w:val="20"/>
          </w:rPr>
          <w:instrText xml:space="preserve"> PAGEREF _Toc478023966 \h </w:instrText>
        </w:r>
        <w:r w:rsidRPr="00457A71">
          <w:rPr>
            <w:rFonts w:asciiTheme="majorHAnsi" w:hAnsiTheme="majorHAnsi"/>
            <w:noProof/>
            <w:webHidden/>
            <w:sz w:val="20"/>
            <w:szCs w:val="20"/>
          </w:rPr>
        </w:r>
        <w:r w:rsidRPr="00457A71">
          <w:rPr>
            <w:rFonts w:asciiTheme="majorHAnsi" w:hAnsiTheme="majorHAnsi"/>
            <w:noProof/>
            <w:webHidden/>
            <w:sz w:val="20"/>
            <w:szCs w:val="20"/>
          </w:rPr>
          <w:fldChar w:fldCharType="separate"/>
        </w:r>
        <w:r w:rsidRPr="00457A71">
          <w:rPr>
            <w:rFonts w:asciiTheme="majorHAnsi" w:hAnsiTheme="majorHAnsi"/>
            <w:noProof/>
            <w:webHidden/>
            <w:sz w:val="20"/>
            <w:szCs w:val="20"/>
          </w:rPr>
          <w:t>6</w:t>
        </w:r>
        <w:r w:rsidRPr="00457A71">
          <w:rPr>
            <w:rFonts w:asciiTheme="majorHAnsi" w:hAnsiTheme="majorHAnsi"/>
            <w:noProof/>
            <w:webHidden/>
            <w:sz w:val="20"/>
            <w:szCs w:val="20"/>
          </w:rPr>
          <w:fldChar w:fldCharType="end"/>
        </w:r>
      </w:hyperlink>
    </w:p>
    <w:p w:rsidR="00457A71" w:rsidRPr="00457A71" w:rsidRDefault="00457A71">
      <w:pPr>
        <w:pStyle w:val="TOC2"/>
        <w:rPr>
          <w:rFonts w:asciiTheme="majorHAnsi" w:eastAsiaTheme="minorEastAsia" w:hAnsiTheme="majorHAnsi" w:cstheme="minorBidi"/>
          <w:noProof/>
          <w:sz w:val="20"/>
          <w:szCs w:val="20"/>
          <w:bdr w:val="none" w:sz="0" w:space="0" w:color="auto"/>
          <w:lang w:val="es-ES" w:eastAsia="es-ES" w:bidi="ar-SA"/>
        </w:rPr>
      </w:pPr>
      <w:hyperlink w:anchor="_Toc478023967" w:history="1">
        <w:r w:rsidRPr="00457A71">
          <w:rPr>
            <w:rStyle w:val="Hyperlink"/>
            <w:rFonts w:asciiTheme="majorHAnsi" w:hAnsiTheme="majorHAnsi" w:cs="Calibri"/>
            <w:noProof/>
            <w:sz w:val="20"/>
            <w:szCs w:val="20"/>
          </w:rPr>
          <w:t>B.</w:t>
        </w:r>
        <w:r w:rsidRPr="00457A71">
          <w:rPr>
            <w:rFonts w:asciiTheme="majorHAnsi" w:eastAsiaTheme="minorEastAsia" w:hAnsiTheme="majorHAnsi" w:cstheme="minorBidi"/>
            <w:noProof/>
            <w:sz w:val="20"/>
            <w:szCs w:val="20"/>
            <w:bdr w:val="none" w:sz="0" w:space="0" w:color="auto"/>
            <w:lang w:val="es-ES" w:eastAsia="es-ES" w:bidi="ar-SA"/>
          </w:rPr>
          <w:tab/>
        </w:r>
        <w:r w:rsidRPr="00457A71">
          <w:rPr>
            <w:rStyle w:val="Hyperlink"/>
            <w:rFonts w:asciiTheme="majorHAnsi" w:hAnsiTheme="majorHAnsi"/>
            <w:noProof/>
            <w:sz w:val="20"/>
            <w:szCs w:val="20"/>
          </w:rPr>
          <w:t>Exhaustion of domestic remedies</w:t>
        </w:r>
        <w:r w:rsidRPr="00457A71">
          <w:rPr>
            <w:rFonts w:asciiTheme="majorHAnsi" w:hAnsiTheme="majorHAnsi"/>
            <w:noProof/>
            <w:webHidden/>
            <w:sz w:val="20"/>
            <w:szCs w:val="20"/>
          </w:rPr>
          <w:tab/>
        </w:r>
        <w:r w:rsidRPr="00457A71">
          <w:rPr>
            <w:rFonts w:asciiTheme="majorHAnsi" w:hAnsiTheme="majorHAnsi"/>
            <w:noProof/>
            <w:webHidden/>
            <w:sz w:val="20"/>
            <w:szCs w:val="20"/>
          </w:rPr>
          <w:fldChar w:fldCharType="begin"/>
        </w:r>
        <w:r w:rsidRPr="00457A71">
          <w:rPr>
            <w:rFonts w:asciiTheme="majorHAnsi" w:hAnsiTheme="majorHAnsi"/>
            <w:noProof/>
            <w:webHidden/>
            <w:sz w:val="20"/>
            <w:szCs w:val="20"/>
          </w:rPr>
          <w:instrText xml:space="preserve"> PAGEREF _Toc478023967 \h </w:instrText>
        </w:r>
        <w:r w:rsidRPr="00457A71">
          <w:rPr>
            <w:rFonts w:asciiTheme="majorHAnsi" w:hAnsiTheme="majorHAnsi"/>
            <w:noProof/>
            <w:webHidden/>
            <w:sz w:val="20"/>
            <w:szCs w:val="20"/>
          </w:rPr>
        </w:r>
        <w:r w:rsidRPr="00457A71">
          <w:rPr>
            <w:rFonts w:asciiTheme="majorHAnsi" w:hAnsiTheme="majorHAnsi"/>
            <w:noProof/>
            <w:webHidden/>
            <w:sz w:val="20"/>
            <w:szCs w:val="20"/>
          </w:rPr>
          <w:fldChar w:fldCharType="separate"/>
        </w:r>
        <w:r w:rsidRPr="00457A71">
          <w:rPr>
            <w:rFonts w:asciiTheme="majorHAnsi" w:hAnsiTheme="majorHAnsi"/>
            <w:noProof/>
            <w:webHidden/>
            <w:sz w:val="20"/>
            <w:szCs w:val="20"/>
          </w:rPr>
          <w:t>6</w:t>
        </w:r>
        <w:r w:rsidRPr="00457A71">
          <w:rPr>
            <w:rFonts w:asciiTheme="majorHAnsi" w:hAnsiTheme="majorHAnsi"/>
            <w:noProof/>
            <w:webHidden/>
            <w:sz w:val="20"/>
            <w:szCs w:val="20"/>
          </w:rPr>
          <w:fldChar w:fldCharType="end"/>
        </w:r>
      </w:hyperlink>
    </w:p>
    <w:p w:rsidR="00457A71" w:rsidRPr="00457A71" w:rsidRDefault="00457A71">
      <w:pPr>
        <w:pStyle w:val="TOC2"/>
        <w:rPr>
          <w:rFonts w:asciiTheme="majorHAnsi" w:eastAsiaTheme="minorEastAsia" w:hAnsiTheme="majorHAnsi" w:cstheme="minorBidi"/>
          <w:noProof/>
          <w:sz w:val="20"/>
          <w:szCs w:val="20"/>
          <w:bdr w:val="none" w:sz="0" w:space="0" w:color="auto"/>
          <w:lang w:val="es-ES" w:eastAsia="es-ES" w:bidi="ar-SA"/>
        </w:rPr>
      </w:pPr>
      <w:hyperlink w:anchor="_Toc478023968" w:history="1">
        <w:r w:rsidRPr="00457A71">
          <w:rPr>
            <w:rStyle w:val="Hyperlink"/>
            <w:rFonts w:asciiTheme="majorHAnsi" w:hAnsiTheme="majorHAnsi"/>
            <w:noProof/>
            <w:sz w:val="20"/>
            <w:szCs w:val="20"/>
          </w:rPr>
          <w:t>C.</w:t>
        </w:r>
        <w:r w:rsidRPr="00457A71">
          <w:rPr>
            <w:rFonts w:asciiTheme="majorHAnsi" w:eastAsiaTheme="minorEastAsia" w:hAnsiTheme="majorHAnsi" w:cstheme="minorBidi"/>
            <w:noProof/>
            <w:sz w:val="20"/>
            <w:szCs w:val="20"/>
            <w:bdr w:val="none" w:sz="0" w:space="0" w:color="auto"/>
            <w:lang w:val="es-ES" w:eastAsia="es-ES" w:bidi="ar-SA"/>
          </w:rPr>
          <w:tab/>
        </w:r>
        <w:r w:rsidRPr="00457A71">
          <w:rPr>
            <w:rStyle w:val="Hyperlink"/>
            <w:rFonts w:asciiTheme="majorHAnsi" w:hAnsiTheme="majorHAnsi"/>
            <w:noProof/>
            <w:sz w:val="20"/>
            <w:szCs w:val="20"/>
          </w:rPr>
          <w:t>Timeliness of the petition</w:t>
        </w:r>
        <w:r w:rsidRPr="00457A71">
          <w:rPr>
            <w:rFonts w:asciiTheme="majorHAnsi" w:hAnsiTheme="majorHAnsi"/>
            <w:noProof/>
            <w:webHidden/>
            <w:sz w:val="20"/>
            <w:szCs w:val="20"/>
          </w:rPr>
          <w:tab/>
        </w:r>
        <w:r w:rsidRPr="00457A71">
          <w:rPr>
            <w:rFonts w:asciiTheme="majorHAnsi" w:hAnsiTheme="majorHAnsi"/>
            <w:noProof/>
            <w:webHidden/>
            <w:sz w:val="20"/>
            <w:szCs w:val="20"/>
          </w:rPr>
          <w:fldChar w:fldCharType="begin"/>
        </w:r>
        <w:r w:rsidRPr="00457A71">
          <w:rPr>
            <w:rFonts w:asciiTheme="majorHAnsi" w:hAnsiTheme="majorHAnsi"/>
            <w:noProof/>
            <w:webHidden/>
            <w:sz w:val="20"/>
            <w:szCs w:val="20"/>
          </w:rPr>
          <w:instrText xml:space="preserve"> PAGEREF _Toc478023968 \h </w:instrText>
        </w:r>
        <w:r w:rsidRPr="00457A71">
          <w:rPr>
            <w:rFonts w:asciiTheme="majorHAnsi" w:hAnsiTheme="majorHAnsi"/>
            <w:noProof/>
            <w:webHidden/>
            <w:sz w:val="20"/>
            <w:szCs w:val="20"/>
          </w:rPr>
        </w:r>
        <w:r w:rsidRPr="00457A71">
          <w:rPr>
            <w:rFonts w:asciiTheme="majorHAnsi" w:hAnsiTheme="majorHAnsi"/>
            <w:noProof/>
            <w:webHidden/>
            <w:sz w:val="20"/>
            <w:szCs w:val="20"/>
          </w:rPr>
          <w:fldChar w:fldCharType="separate"/>
        </w:r>
        <w:r w:rsidRPr="00457A71">
          <w:rPr>
            <w:rFonts w:asciiTheme="majorHAnsi" w:hAnsiTheme="majorHAnsi"/>
            <w:noProof/>
            <w:webHidden/>
            <w:sz w:val="20"/>
            <w:szCs w:val="20"/>
          </w:rPr>
          <w:t>6</w:t>
        </w:r>
        <w:r w:rsidRPr="00457A71">
          <w:rPr>
            <w:rFonts w:asciiTheme="majorHAnsi" w:hAnsiTheme="majorHAnsi"/>
            <w:noProof/>
            <w:webHidden/>
            <w:sz w:val="20"/>
            <w:szCs w:val="20"/>
          </w:rPr>
          <w:fldChar w:fldCharType="end"/>
        </w:r>
      </w:hyperlink>
    </w:p>
    <w:p w:rsidR="00457A71" w:rsidRPr="00457A71" w:rsidRDefault="00457A71">
      <w:pPr>
        <w:pStyle w:val="TOC2"/>
        <w:rPr>
          <w:rFonts w:asciiTheme="majorHAnsi" w:eastAsiaTheme="minorEastAsia" w:hAnsiTheme="majorHAnsi" w:cstheme="minorBidi"/>
          <w:noProof/>
          <w:sz w:val="20"/>
          <w:szCs w:val="20"/>
          <w:bdr w:val="none" w:sz="0" w:space="0" w:color="auto"/>
          <w:lang w:val="es-ES" w:eastAsia="es-ES" w:bidi="ar-SA"/>
        </w:rPr>
      </w:pPr>
      <w:hyperlink w:anchor="_Toc478023969" w:history="1">
        <w:r w:rsidRPr="00457A71">
          <w:rPr>
            <w:rStyle w:val="Hyperlink"/>
            <w:rFonts w:asciiTheme="majorHAnsi" w:hAnsiTheme="majorHAnsi"/>
            <w:noProof/>
            <w:sz w:val="20"/>
            <w:szCs w:val="20"/>
          </w:rPr>
          <w:t>D.</w:t>
        </w:r>
        <w:r w:rsidRPr="00457A71">
          <w:rPr>
            <w:rFonts w:asciiTheme="majorHAnsi" w:eastAsiaTheme="minorEastAsia" w:hAnsiTheme="majorHAnsi" w:cstheme="minorBidi"/>
            <w:noProof/>
            <w:sz w:val="20"/>
            <w:szCs w:val="20"/>
            <w:bdr w:val="none" w:sz="0" w:space="0" w:color="auto"/>
            <w:lang w:val="es-ES" w:eastAsia="es-ES" w:bidi="ar-SA"/>
          </w:rPr>
          <w:tab/>
        </w:r>
        <w:r w:rsidRPr="00457A71">
          <w:rPr>
            <w:rStyle w:val="Hyperlink"/>
            <w:rFonts w:asciiTheme="majorHAnsi" w:hAnsiTheme="majorHAnsi"/>
            <w:noProof/>
            <w:sz w:val="20"/>
            <w:szCs w:val="20"/>
          </w:rPr>
          <w:t>Duplication of proceedings and international res judicata</w:t>
        </w:r>
        <w:r w:rsidRPr="00457A71">
          <w:rPr>
            <w:rFonts w:asciiTheme="majorHAnsi" w:hAnsiTheme="majorHAnsi"/>
            <w:noProof/>
            <w:webHidden/>
            <w:sz w:val="20"/>
            <w:szCs w:val="20"/>
          </w:rPr>
          <w:tab/>
        </w:r>
        <w:r w:rsidRPr="00457A71">
          <w:rPr>
            <w:rFonts w:asciiTheme="majorHAnsi" w:hAnsiTheme="majorHAnsi"/>
            <w:noProof/>
            <w:webHidden/>
            <w:sz w:val="20"/>
            <w:szCs w:val="20"/>
          </w:rPr>
          <w:fldChar w:fldCharType="begin"/>
        </w:r>
        <w:r w:rsidRPr="00457A71">
          <w:rPr>
            <w:rFonts w:asciiTheme="majorHAnsi" w:hAnsiTheme="majorHAnsi"/>
            <w:noProof/>
            <w:webHidden/>
            <w:sz w:val="20"/>
            <w:szCs w:val="20"/>
          </w:rPr>
          <w:instrText xml:space="preserve"> PAGEREF _Toc478023969 \h </w:instrText>
        </w:r>
        <w:r w:rsidRPr="00457A71">
          <w:rPr>
            <w:rFonts w:asciiTheme="majorHAnsi" w:hAnsiTheme="majorHAnsi"/>
            <w:noProof/>
            <w:webHidden/>
            <w:sz w:val="20"/>
            <w:szCs w:val="20"/>
          </w:rPr>
        </w:r>
        <w:r w:rsidRPr="00457A71">
          <w:rPr>
            <w:rFonts w:asciiTheme="majorHAnsi" w:hAnsiTheme="majorHAnsi"/>
            <w:noProof/>
            <w:webHidden/>
            <w:sz w:val="20"/>
            <w:szCs w:val="20"/>
          </w:rPr>
          <w:fldChar w:fldCharType="separate"/>
        </w:r>
        <w:r w:rsidRPr="00457A71">
          <w:rPr>
            <w:rFonts w:asciiTheme="majorHAnsi" w:hAnsiTheme="majorHAnsi"/>
            <w:noProof/>
            <w:webHidden/>
            <w:sz w:val="20"/>
            <w:szCs w:val="20"/>
          </w:rPr>
          <w:t>7</w:t>
        </w:r>
        <w:r w:rsidRPr="00457A71">
          <w:rPr>
            <w:rFonts w:asciiTheme="majorHAnsi" w:hAnsiTheme="majorHAnsi"/>
            <w:noProof/>
            <w:webHidden/>
            <w:sz w:val="20"/>
            <w:szCs w:val="20"/>
          </w:rPr>
          <w:fldChar w:fldCharType="end"/>
        </w:r>
      </w:hyperlink>
    </w:p>
    <w:p w:rsidR="00457A71" w:rsidRPr="00457A71" w:rsidRDefault="00457A71">
      <w:pPr>
        <w:pStyle w:val="TOC2"/>
        <w:rPr>
          <w:rFonts w:asciiTheme="majorHAnsi" w:eastAsiaTheme="minorEastAsia" w:hAnsiTheme="majorHAnsi" w:cstheme="minorBidi"/>
          <w:noProof/>
          <w:sz w:val="20"/>
          <w:szCs w:val="20"/>
          <w:bdr w:val="none" w:sz="0" w:space="0" w:color="auto"/>
          <w:lang w:val="es-ES" w:eastAsia="es-ES" w:bidi="ar-SA"/>
        </w:rPr>
      </w:pPr>
      <w:hyperlink w:anchor="_Toc478023970" w:history="1">
        <w:r w:rsidRPr="00457A71">
          <w:rPr>
            <w:rStyle w:val="Hyperlink"/>
            <w:rFonts w:asciiTheme="majorHAnsi" w:hAnsiTheme="majorHAnsi"/>
            <w:noProof/>
            <w:sz w:val="20"/>
            <w:szCs w:val="20"/>
          </w:rPr>
          <w:t>E.</w:t>
        </w:r>
        <w:r w:rsidRPr="00457A71">
          <w:rPr>
            <w:rFonts w:asciiTheme="majorHAnsi" w:eastAsiaTheme="minorEastAsia" w:hAnsiTheme="majorHAnsi" w:cstheme="minorBidi"/>
            <w:noProof/>
            <w:sz w:val="20"/>
            <w:szCs w:val="20"/>
            <w:bdr w:val="none" w:sz="0" w:space="0" w:color="auto"/>
            <w:lang w:val="es-ES" w:eastAsia="es-ES" w:bidi="ar-SA"/>
          </w:rPr>
          <w:tab/>
        </w:r>
        <w:r w:rsidRPr="00457A71">
          <w:rPr>
            <w:rStyle w:val="Hyperlink"/>
            <w:rFonts w:asciiTheme="majorHAnsi" w:hAnsiTheme="majorHAnsi"/>
            <w:noProof/>
            <w:sz w:val="20"/>
            <w:szCs w:val="20"/>
          </w:rPr>
          <w:t>Colorable claim (characterization of the facts alleged)</w:t>
        </w:r>
        <w:r w:rsidRPr="00457A71">
          <w:rPr>
            <w:rFonts w:asciiTheme="majorHAnsi" w:hAnsiTheme="majorHAnsi"/>
            <w:noProof/>
            <w:webHidden/>
            <w:sz w:val="20"/>
            <w:szCs w:val="20"/>
          </w:rPr>
          <w:tab/>
        </w:r>
        <w:r w:rsidRPr="00457A71">
          <w:rPr>
            <w:rFonts w:asciiTheme="majorHAnsi" w:hAnsiTheme="majorHAnsi"/>
            <w:noProof/>
            <w:webHidden/>
            <w:sz w:val="20"/>
            <w:szCs w:val="20"/>
          </w:rPr>
          <w:fldChar w:fldCharType="begin"/>
        </w:r>
        <w:r w:rsidRPr="00457A71">
          <w:rPr>
            <w:rFonts w:asciiTheme="majorHAnsi" w:hAnsiTheme="majorHAnsi"/>
            <w:noProof/>
            <w:webHidden/>
            <w:sz w:val="20"/>
            <w:szCs w:val="20"/>
          </w:rPr>
          <w:instrText xml:space="preserve"> PAGEREF _Toc478023970 \h </w:instrText>
        </w:r>
        <w:r w:rsidRPr="00457A71">
          <w:rPr>
            <w:rFonts w:asciiTheme="majorHAnsi" w:hAnsiTheme="majorHAnsi"/>
            <w:noProof/>
            <w:webHidden/>
            <w:sz w:val="20"/>
            <w:szCs w:val="20"/>
          </w:rPr>
        </w:r>
        <w:r w:rsidRPr="00457A71">
          <w:rPr>
            <w:rFonts w:asciiTheme="majorHAnsi" w:hAnsiTheme="majorHAnsi"/>
            <w:noProof/>
            <w:webHidden/>
            <w:sz w:val="20"/>
            <w:szCs w:val="20"/>
          </w:rPr>
          <w:fldChar w:fldCharType="separate"/>
        </w:r>
        <w:r w:rsidRPr="00457A71">
          <w:rPr>
            <w:rFonts w:asciiTheme="majorHAnsi" w:hAnsiTheme="majorHAnsi"/>
            <w:noProof/>
            <w:webHidden/>
            <w:sz w:val="20"/>
            <w:szCs w:val="20"/>
          </w:rPr>
          <w:t>7</w:t>
        </w:r>
        <w:r w:rsidRPr="00457A71">
          <w:rPr>
            <w:rFonts w:asciiTheme="majorHAnsi" w:hAnsiTheme="majorHAnsi"/>
            <w:noProof/>
            <w:webHidden/>
            <w:sz w:val="20"/>
            <w:szCs w:val="20"/>
          </w:rPr>
          <w:fldChar w:fldCharType="end"/>
        </w:r>
      </w:hyperlink>
    </w:p>
    <w:p w:rsidR="00457A71" w:rsidRDefault="00457A71">
      <w:pPr>
        <w:pStyle w:val="TOC1"/>
        <w:rPr>
          <w:rStyle w:val="Hyperlink"/>
          <w:rFonts w:asciiTheme="majorHAnsi" w:hAnsiTheme="majorHAnsi"/>
        </w:rPr>
      </w:pPr>
    </w:p>
    <w:p w:rsidR="00457A71" w:rsidRPr="00457A71" w:rsidRDefault="00457A71">
      <w:pPr>
        <w:pStyle w:val="TOC1"/>
        <w:rPr>
          <w:rFonts w:asciiTheme="majorHAnsi" w:eastAsiaTheme="minorEastAsia" w:hAnsiTheme="majorHAnsi" w:cstheme="minorBidi"/>
          <w:b w:val="0"/>
          <w:bdr w:val="none" w:sz="0" w:space="0" w:color="auto"/>
          <w:lang w:val="es-ES" w:eastAsia="es-ES" w:bidi="ar-SA"/>
        </w:rPr>
      </w:pPr>
      <w:hyperlink w:anchor="_Toc478023971" w:history="1">
        <w:r w:rsidRPr="00457A71">
          <w:rPr>
            <w:rStyle w:val="Hyperlink"/>
            <w:rFonts w:asciiTheme="majorHAnsi" w:hAnsiTheme="majorHAnsi"/>
          </w:rPr>
          <w:t>V.</w:t>
        </w:r>
        <w:r w:rsidRPr="00457A71">
          <w:rPr>
            <w:rFonts w:asciiTheme="majorHAnsi" w:eastAsiaTheme="minorEastAsia" w:hAnsiTheme="majorHAnsi" w:cstheme="minorBidi"/>
            <w:b w:val="0"/>
            <w:bdr w:val="none" w:sz="0" w:space="0" w:color="auto"/>
            <w:lang w:val="es-ES" w:eastAsia="es-ES" w:bidi="ar-SA"/>
          </w:rPr>
          <w:tab/>
        </w:r>
        <w:r w:rsidRPr="00457A71">
          <w:rPr>
            <w:rStyle w:val="Hyperlink"/>
            <w:rFonts w:asciiTheme="majorHAnsi" w:hAnsiTheme="majorHAnsi"/>
          </w:rPr>
          <w:t>PROVEN FACTS</w:t>
        </w:r>
        <w:r w:rsidRPr="00457A71">
          <w:rPr>
            <w:rFonts w:asciiTheme="majorHAnsi" w:hAnsiTheme="majorHAnsi"/>
            <w:webHidden/>
          </w:rPr>
          <w:tab/>
        </w:r>
        <w:r w:rsidRPr="00457A71">
          <w:rPr>
            <w:rFonts w:asciiTheme="majorHAnsi" w:hAnsiTheme="majorHAnsi"/>
            <w:webHidden/>
          </w:rPr>
          <w:fldChar w:fldCharType="begin"/>
        </w:r>
        <w:r w:rsidRPr="00457A71">
          <w:rPr>
            <w:rFonts w:asciiTheme="majorHAnsi" w:hAnsiTheme="majorHAnsi"/>
            <w:webHidden/>
          </w:rPr>
          <w:instrText xml:space="preserve"> PAGEREF _Toc478023971 \h </w:instrText>
        </w:r>
        <w:r w:rsidRPr="00457A71">
          <w:rPr>
            <w:rFonts w:asciiTheme="majorHAnsi" w:hAnsiTheme="majorHAnsi"/>
            <w:webHidden/>
          </w:rPr>
        </w:r>
        <w:r w:rsidRPr="00457A71">
          <w:rPr>
            <w:rFonts w:asciiTheme="majorHAnsi" w:hAnsiTheme="majorHAnsi"/>
            <w:webHidden/>
          </w:rPr>
          <w:fldChar w:fldCharType="separate"/>
        </w:r>
        <w:r w:rsidRPr="00457A71">
          <w:rPr>
            <w:rFonts w:asciiTheme="majorHAnsi" w:hAnsiTheme="majorHAnsi"/>
            <w:webHidden/>
          </w:rPr>
          <w:t>7</w:t>
        </w:r>
        <w:r w:rsidRPr="00457A71">
          <w:rPr>
            <w:rFonts w:asciiTheme="majorHAnsi" w:hAnsiTheme="majorHAnsi"/>
            <w:webHidden/>
          </w:rPr>
          <w:fldChar w:fldCharType="end"/>
        </w:r>
      </w:hyperlink>
    </w:p>
    <w:p w:rsidR="00457A71" w:rsidRPr="00457A71" w:rsidRDefault="00457A71">
      <w:pPr>
        <w:pStyle w:val="TOC2"/>
        <w:rPr>
          <w:rFonts w:asciiTheme="majorHAnsi" w:eastAsiaTheme="minorEastAsia" w:hAnsiTheme="majorHAnsi" w:cstheme="minorBidi"/>
          <w:noProof/>
          <w:sz w:val="20"/>
          <w:szCs w:val="20"/>
          <w:bdr w:val="none" w:sz="0" w:space="0" w:color="auto"/>
          <w:lang w:val="es-ES" w:eastAsia="es-ES" w:bidi="ar-SA"/>
        </w:rPr>
      </w:pPr>
      <w:hyperlink w:anchor="_Toc478023972" w:history="1">
        <w:r w:rsidRPr="00457A71">
          <w:rPr>
            <w:rStyle w:val="Hyperlink"/>
            <w:rFonts w:asciiTheme="majorHAnsi" w:hAnsiTheme="majorHAnsi"/>
            <w:noProof/>
            <w:sz w:val="20"/>
            <w:szCs w:val="20"/>
          </w:rPr>
          <w:t>A.</w:t>
        </w:r>
        <w:r w:rsidRPr="00457A71">
          <w:rPr>
            <w:rFonts w:asciiTheme="majorHAnsi" w:eastAsiaTheme="minorEastAsia" w:hAnsiTheme="majorHAnsi" w:cstheme="minorBidi"/>
            <w:noProof/>
            <w:sz w:val="20"/>
            <w:szCs w:val="20"/>
            <w:bdr w:val="none" w:sz="0" w:space="0" w:color="auto"/>
            <w:lang w:val="es-ES" w:eastAsia="es-ES" w:bidi="ar-SA"/>
          </w:rPr>
          <w:tab/>
        </w:r>
        <w:r w:rsidRPr="00457A71">
          <w:rPr>
            <w:rStyle w:val="Hyperlink"/>
            <w:rFonts w:asciiTheme="majorHAnsi" w:hAnsiTheme="majorHAnsi"/>
            <w:noProof/>
            <w:sz w:val="20"/>
            <w:szCs w:val="20"/>
          </w:rPr>
          <w:t>Regarding Alejandro Gómez and his participation in the RCA Assembly Plant Workers Trade Union</w:t>
        </w:r>
        <w:r w:rsidRPr="00457A71">
          <w:rPr>
            <w:rFonts w:asciiTheme="majorHAnsi" w:hAnsiTheme="majorHAnsi"/>
            <w:noProof/>
            <w:webHidden/>
            <w:sz w:val="20"/>
            <w:szCs w:val="20"/>
          </w:rPr>
          <w:tab/>
        </w:r>
        <w:r w:rsidRPr="00457A71">
          <w:rPr>
            <w:rFonts w:asciiTheme="majorHAnsi" w:hAnsiTheme="majorHAnsi"/>
            <w:noProof/>
            <w:webHidden/>
            <w:sz w:val="20"/>
            <w:szCs w:val="20"/>
          </w:rPr>
          <w:fldChar w:fldCharType="begin"/>
        </w:r>
        <w:r w:rsidRPr="00457A71">
          <w:rPr>
            <w:rFonts w:asciiTheme="majorHAnsi" w:hAnsiTheme="majorHAnsi"/>
            <w:noProof/>
            <w:webHidden/>
            <w:sz w:val="20"/>
            <w:szCs w:val="20"/>
          </w:rPr>
          <w:instrText xml:space="preserve"> PAGEREF _Toc478023972 \h </w:instrText>
        </w:r>
        <w:r w:rsidRPr="00457A71">
          <w:rPr>
            <w:rFonts w:asciiTheme="majorHAnsi" w:hAnsiTheme="majorHAnsi"/>
            <w:noProof/>
            <w:webHidden/>
            <w:sz w:val="20"/>
            <w:szCs w:val="20"/>
          </w:rPr>
        </w:r>
        <w:r w:rsidRPr="00457A71">
          <w:rPr>
            <w:rFonts w:asciiTheme="majorHAnsi" w:hAnsiTheme="majorHAnsi"/>
            <w:noProof/>
            <w:webHidden/>
            <w:sz w:val="20"/>
            <w:szCs w:val="20"/>
          </w:rPr>
          <w:fldChar w:fldCharType="separate"/>
        </w:r>
        <w:r w:rsidRPr="00457A71">
          <w:rPr>
            <w:rFonts w:asciiTheme="majorHAnsi" w:hAnsiTheme="majorHAnsi"/>
            <w:noProof/>
            <w:webHidden/>
            <w:sz w:val="20"/>
            <w:szCs w:val="20"/>
          </w:rPr>
          <w:t>7</w:t>
        </w:r>
        <w:r w:rsidRPr="00457A71">
          <w:rPr>
            <w:rFonts w:asciiTheme="majorHAnsi" w:hAnsiTheme="majorHAnsi"/>
            <w:noProof/>
            <w:webHidden/>
            <w:sz w:val="20"/>
            <w:szCs w:val="20"/>
          </w:rPr>
          <w:fldChar w:fldCharType="end"/>
        </w:r>
      </w:hyperlink>
    </w:p>
    <w:p w:rsidR="00457A71" w:rsidRPr="00457A71" w:rsidRDefault="00457A71">
      <w:pPr>
        <w:pStyle w:val="TOC2"/>
        <w:rPr>
          <w:rFonts w:asciiTheme="majorHAnsi" w:eastAsiaTheme="minorEastAsia" w:hAnsiTheme="majorHAnsi" w:cstheme="minorBidi"/>
          <w:noProof/>
          <w:sz w:val="20"/>
          <w:szCs w:val="20"/>
          <w:bdr w:val="none" w:sz="0" w:space="0" w:color="auto"/>
          <w:lang w:val="es-ES" w:eastAsia="es-ES" w:bidi="ar-SA"/>
        </w:rPr>
      </w:pPr>
      <w:hyperlink w:anchor="_Toc478023973" w:history="1">
        <w:r w:rsidRPr="00457A71">
          <w:rPr>
            <w:rStyle w:val="Hyperlink"/>
            <w:rFonts w:asciiTheme="majorHAnsi" w:hAnsiTheme="majorHAnsi"/>
            <w:noProof/>
            <w:sz w:val="20"/>
            <w:szCs w:val="20"/>
          </w:rPr>
          <w:t>B.</w:t>
        </w:r>
        <w:r w:rsidRPr="00457A71">
          <w:rPr>
            <w:rFonts w:asciiTheme="majorHAnsi" w:eastAsiaTheme="minorEastAsia" w:hAnsiTheme="majorHAnsi" w:cstheme="minorBidi"/>
            <w:noProof/>
            <w:sz w:val="20"/>
            <w:szCs w:val="20"/>
            <w:bdr w:val="none" w:sz="0" w:space="0" w:color="auto"/>
            <w:lang w:val="es-ES" w:eastAsia="es-ES" w:bidi="ar-SA"/>
          </w:rPr>
          <w:tab/>
        </w:r>
        <w:r w:rsidRPr="00457A71">
          <w:rPr>
            <w:rStyle w:val="Hyperlink"/>
            <w:rFonts w:asciiTheme="majorHAnsi" w:hAnsiTheme="majorHAnsi"/>
            <w:noProof/>
            <w:sz w:val="20"/>
            <w:szCs w:val="20"/>
          </w:rPr>
          <w:t>Regarding the disappearance of Mr. Gómez on March 13, 1995.</w:t>
        </w:r>
        <w:r w:rsidRPr="00457A71">
          <w:rPr>
            <w:rFonts w:asciiTheme="majorHAnsi" w:hAnsiTheme="majorHAnsi"/>
            <w:noProof/>
            <w:webHidden/>
            <w:sz w:val="20"/>
            <w:szCs w:val="20"/>
          </w:rPr>
          <w:tab/>
        </w:r>
        <w:r w:rsidRPr="00457A71">
          <w:rPr>
            <w:rFonts w:asciiTheme="majorHAnsi" w:hAnsiTheme="majorHAnsi"/>
            <w:noProof/>
            <w:webHidden/>
            <w:sz w:val="20"/>
            <w:szCs w:val="20"/>
          </w:rPr>
          <w:fldChar w:fldCharType="begin"/>
        </w:r>
        <w:r w:rsidRPr="00457A71">
          <w:rPr>
            <w:rFonts w:asciiTheme="majorHAnsi" w:hAnsiTheme="majorHAnsi"/>
            <w:noProof/>
            <w:webHidden/>
            <w:sz w:val="20"/>
            <w:szCs w:val="20"/>
          </w:rPr>
          <w:instrText xml:space="preserve"> PAGEREF _Toc478023973 \h </w:instrText>
        </w:r>
        <w:r w:rsidRPr="00457A71">
          <w:rPr>
            <w:rFonts w:asciiTheme="majorHAnsi" w:hAnsiTheme="majorHAnsi"/>
            <w:noProof/>
            <w:webHidden/>
            <w:sz w:val="20"/>
            <w:szCs w:val="20"/>
          </w:rPr>
        </w:r>
        <w:r w:rsidRPr="00457A71">
          <w:rPr>
            <w:rFonts w:asciiTheme="majorHAnsi" w:hAnsiTheme="majorHAnsi"/>
            <w:noProof/>
            <w:webHidden/>
            <w:sz w:val="20"/>
            <w:szCs w:val="20"/>
          </w:rPr>
          <w:fldChar w:fldCharType="separate"/>
        </w:r>
        <w:r w:rsidRPr="00457A71">
          <w:rPr>
            <w:rFonts w:asciiTheme="majorHAnsi" w:hAnsiTheme="majorHAnsi"/>
            <w:noProof/>
            <w:webHidden/>
            <w:sz w:val="20"/>
            <w:szCs w:val="20"/>
          </w:rPr>
          <w:t>8</w:t>
        </w:r>
        <w:r w:rsidRPr="00457A71">
          <w:rPr>
            <w:rFonts w:asciiTheme="majorHAnsi" w:hAnsiTheme="majorHAnsi"/>
            <w:noProof/>
            <w:webHidden/>
            <w:sz w:val="20"/>
            <w:szCs w:val="20"/>
          </w:rPr>
          <w:fldChar w:fldCharType="end"/>
        </w:r>
      </w:hyperlink>
    </w:p>
    <w:p w:rsidR="00457A71" w:rsidRPr="00457A71" w:rsidRDefault="00457A71">
      <w:pPr>
        <w:pStyle w:val="TOC2"/>
        <w:rPr>
          <w:rFonts w:asciiTheme="majorHAnsi" w:eastAsiaTheme="minorEastAsia" w:hAnsiTheme="majorHAnsi" w:cstheme="minorBidi"/>
          <w:noProof/>
          <w:sz w:val="20"/>
          <w:szCs w:val="20"/>
          <w:bdr w:val="none" w:sz="0" w:space="0" w:color="auto"/>
          <w:lang w:val="es-ES" w:eastAsia="es-ES" w:bidi="ar-SA"/>
        </w:rPr>
      </w:pPr>
      <w:hyperlink w:anchor="_Toc478023974" w:history="1">
        <w:r w:rsidRPr="00457A71">
          <w:rPr>
            <w:rStyle w:val="Hyperlink"/>
            <w:rFonts w:asciiTheme="majorHAnsi" w:hAnsiTheme="majorHAnsi"/>
            <w:noProof/>
            <w:sz w:val="20"/>
            <w:szCs w:val="20"/>
          </w:rPr>
          <w:t>C.</w:t>
        </w:r>
        <w:r w:rsidRPr="00457A71">
          <w:rPr>
            <w:rFonts w:asciiTheme="majorHAnsi" w:eastAsiaTheme="minorEastAsia" w:hAnsiTheme="majorHAnsi" w:cstheme="minorBidi"/>
            <w:noProof/>
            <w:sz w:val="20"/>
            <w:szCs w:val="20"/>
            <w:bdr w:val="none" w:sz="0" w:space="0" w:color="auto"/>
            <w:lang w:val="es-ES" w:eastAsia="es-ES" w:bidi="ar-SA"/>
          </w:rPr>
          <w:tab/>
        </w:r>
        <w:r w:rsidRPr="00457A71">
          <w:rPr>
            <w:rStyle w:val="Hyperlink"/>
            <w:rFonts w:asciiTheme="majorHAnsi" w:hAnsiTheme="majorHAnsi"/>
            <w:noProof/>
            <w:sz w:val="20"/>
            <w:szCs w:val="20"/>
          </w:rPr>
          <w:t>Regarding the complaints filed through March 18, 1995.</w:t>
        </w:r>
        <w:r w:rsidRPr="00457A71">
          <w:rPr>
            <w:rFonts w:asciiTheme="majorHAnsi" w:hAnsiTheme="majorHAnsi"/>
            <w:noProof/>
            <w:webHidden/>
            <w:sz w:val="20"/>
            <w:szCs w:val="20"/>
          </w:rPr>
          <w:tab/>
        </w:r>
        <w:r w:rsidRPr="00457A71">
          <w:rPr>
            <w:rFonts w:asciiTheme="majorHAnsi" w:hAnsiTheme="majorHAnsi"/>
            <w:noProof/>
            <w:webHidden/>
            <w:sz w:val="20"/>
            <w:szCs w:val="20"/>
          </w:rPr>
          <w:fldChar w:fldCharType="begin"/>
        </w:r>
        <w:r w:rsidRPr="00457A71">
          <w:rPr>
            <w:rFonts w:asciiTheme="majorHAnsi" w:hAnsiTheme="majorHAnsi"/>
            <w:noProof/>
            <w:webHidden/>
            <w:sz w:val="20"/>
            <w:szCs w:val="20"/>
          </w:rPr>
          <w:instrText xml:space="preserve"> PAGEREF _Toc478023974 \h </w:instrText>
        </w:r>
        <w:r w:rsidRPr="00457A71">
          <w:rPr>
            <w:rFonts w:asciiTheme="majorHAnsi" w:hAnsiTheme="majorHAnsi"/>
            <w:noProof/>
            <w:webHidden/>
            <w:sz w:val="20"/>
            <w:szCs w:val="20"/>
          </w:rPr>
        </w:r>
        <w:r w:rsidRPr="00457A71">
          <w:rPr>
            <w:rFonts w:asciiTheme="majorHAnsi" w:hAnsiTheme="majorHAnsi"/>
            <w:noProof/>
            <w:webHidden/>
            <w:sz w:val="20"/>
            <w:szCs w:val="20"/>
          </w:rPr>
          <w:fldChar w:fldCharType="separate"/>
        </w:r>
        <w:r w:rsidRPr="00457A71">
          <w:rPr>
            <w:rFonts w:asciiTheme="majorHAnsi" w:hAnsiTheme="majorHAnsi"/>
            <w:noProof/>
            <w:webHidden/>
            <w:sz w:val="20"/>
            <w:szCs w:val="20"/>
          </w:rPr>
          <w:t>9</w:t>
        </w:r>
        <w:r w:rsidRPr="00457A71">
          <w:rPr>
            <w:rFonts w:asciiTheme="majorHAnsi" w:hAnsiTheme="majorHAnsi"/>
            <w:noProof/>
            <w:webHidden/>
            <w:sz w:val="20"/>
            <w:szCs w:val="20"/>
          </w:rPr>
          <w:fldChar w:fldCharType="end"/>
        </w:r>
      </w:hyperlink>
    </w:p>
    <w:p w:rsidR="00457A71" w:rsidRPr="00457A71" w:rsidRDefault="00457A71">
      <w:pPr>
        <w:pStyle w:val="TOC2"/>
        <w:rPr>
          <w:rFonts w:asciiTheme="majorHAnsi" w:eastAsiaTheme="minorEastAsia" w:hAnsiTheme="majorHAnsi" w:cstheme="minorBidi"/>
          <w:noProof/>
          <w:sz w:val="20"/>
          <w:szCs w:val="20"/>
          <w:bdr w:val="none" w:sz="0" w:space="0" w:color="auto"/>
          <w:lang w:val="es-ES" w:eastAsia="es-ES" w:bidi="ar-SA"/>
        </w:rPr>
      </w:pPr>
      <w:hyperlink w:anchor="_Toc478023975" w:history="1">
        <w:r w:rsidRPr="00457A71">
          <w:rPr>
            <w:rStyle w:val="Hyperlink"/>
            <w:rFonts w:asciiTheme="majorHAnsi" w:hAnsiTheme="majorHAnsi"/>
            <w:noProof/>
            <w:sz w:val="20"/>
            <w:szCs w:val="20"/>
          </w:rPr>
          <w:t>D.</w:t>
        </w:r>
        <w:r w:rsidRPr="00457A71">
          <w:rPr>
            <w:rFonts w:asciiTheme="majorHAnsi" w:eastAsiaTheme="minorEastAsia" w:hAnsiTheme="majorHAnsi" w:cstheme="minorBidi"/>
            <w:noProof/>
            <w:sz w:val="20"/>
            <w:szCs w:val="20"/>
            <w:bdr w:val="none" w:sz="0" w:space="0" w:color="auto"/>
            <w:lang w:val="es-ES" w:eastAsia="es-ES" w:bidi="ar-SA"/>
          </w:rPr>
          <w:tab/>
        </w:r>
        <w:r w:rsidRPr="00457A71">
          <w:rPr>
            <w:rStyle w:val="Hyperlink"/>
            <w:rFonts w:asciiTheme="majorHAnsi" w:hAnsiTheme="majorHAnsi"/>
            <w:noProof/>
            <w:sz w:val="20"/>
            <w:szCs w:val="20"/>
          </w:rPr>
          <w:t>Regarding the finding of Mr. Gómez's body on March 19, 1995.</w:t>
        </w:r>
        <w:r w:rsidRPr="00457A71">
          <w:rPr>
            <w:rFonts w:asciiTheme="majorHAnsi" w:hAnsiTheme="majorHAnsi"/>
            <w:noProof/>
            <w:webHidden/>
            <w:sz w:val="20"/>
            <w:szCs w:val="20"/>
          </w:rPr>
          <w:tab/>
        </w:r>
        <w:r w:rsidRPr="00457A71">
          <w:rPr>
            <w:rFonts w:asciiTheme="majorHAnsi" w:hAnsiTheme="majorHAnsi"/>
            <w:noProof/>
            <w:webHidden/>
            <w:sz w:val="20"/>
            <w:szCs w:val="20"/>
          </w:rPr>
          <w:fldChar w:fldCharType="begin"/>
        </w:r>
        <w:r w:rsidRPr="00457A71">
          <w:rPr>
            <w:rFonts w:asciiTheme="majorHAnsi" w:hAnsiTheme="majorHAnsi"/>
            <w:noProof/>
            <w:webHidden/>
            <w:sz w:val="20"/>
            <w:szCs w:val="20"/>
          </w:rPr>
          <w:instrText xml:space="preserve"> PAGEREF _Toc478023975 \h </w:instrText>
        </w:r>
        <w:r w:rsidRPr="00457A71">
          <w:rPr>
            <w:rFonts w:asciiTheme="majorHAnsi" w:hAnsiTheme="majorHAnsi"/>
            <w:noProof/>
            <w:webHidden/>
            <w:sz w:val="20"/>
            <w:szCs w:val="20"/>
          </w:rPr>
        </w:r>
        <w:r w:rsidRPr="00457A71">
          <w:rPr>
            <w:rFonts w:asciiTheme="majorHAnsi" w:hAnsiTheme="majorHAnsi"/>
            <w:noProof/>
            <w:webHidden/>
            <w:sz w:val="20"/>
            <w:szCs w:val="20"/>
          </w:rPr>
          <w:fldChar w:fldCharType="separate"/>
        </w:r>
        <w:r w:rsidRPr="00457A71">
          <w:rPr>
            <w:rFonts w:asciiTheme="majorHAnsi" w:hAnsiTheme="majorHAnsi"/>
            <w:noProof/>
            <w:webHidden/>
            <w:sz w:val="20"/>
            <w:szCs w:val="20"/>
          </w:rPr>
          <w:t>10</w:t>
        </w:r>
        <w:r w:rsidRPr="00457A71">
          <w:rPr>
            <w:rFonts w:asciiTheme="majorHAnsi" w:hAnsiTheme="majorHAnsi"/>
            <w:noProof/>
            <w:webHidden/>
            <w:sz w:val="20"/>
            <w:szCs w:val="20"/>
          </w:rPr>
          <w:fldChar w:fldCharType="end"/>
        </w:r>
      </w:hyperlink>
    </w:p>
    <w:p w:rsidR="00457A71" w:rsidRPr="00457A71" w:rsidRDefault="00457A71">
      <w:pPr>
        <w:pStyle w:val="TOC2"/>
        <w:rPr>
          <w:rFonts w:asciiTheme="majorHAnsi" w:eastAsiaTheme="minorEastAsia" w:hAnsiTheme="majorHAnsi" w:cstheme="minorBidi"/>
          <w:noProof/>
          <w:sz w:val="20"/>
          <w:szCs w:val="20"/>
          <w:bdr w:val="none" w:sz="0" w:space="0" w:color="auto"/>
          <w:lang w:val="es-ES" w:eastAsia="es-ES" w:bidi="ar-SA"/>
        </w:rPr>
      </w:pPr>
      <w:hyperlink w:anchor="_Toc478023976" w:history="1">
        <w:r w:rsidRPr="00457A71">
          <w:rPr>
            <w:rStyle w:val="Hyperlink"/>
            <w:rFonts w:asciiTheme="majorHAnsi" w:hAnsiTheme="majorHAnsi"/>
            <w:noProof/>
            <w:sz w:val="20"/>
            <w:szCs w:val="20"/>
          </w:rPr>
          <w:t>E.</w:t>
        </w:r>
        <w:r w:rsidRPr="00457A71">
          <w:rPr>
            <w:rFonts w:asciiTheme="majorHAnsi" w:eastAsiaTheme="minorEastAsia" w:hAnsiTheme="majorHAnsi" w:cstheme="minorBidi"/>
            <w:noProof/>
            <w:sz w:val="20"/>
            <w:szCs w:val="20"/>
            <w:bdr w:val="none" w:sz="0" w:space="0" w:color="auto"/>
            <w:lang w:val="es-ES" w:eastAsia="es-ES" w:bidi="ar-SA"/>
          </w:rPr>
          <w:tab/>
        </w:r>
        <w:r w:rsidRPr="00457A71">
          <w:rPr>
            <w:rStyle w:val="Hyperlink"/>
            <w:rFonts w:asciiTheme="majorHAnsi" w:hAnsiTheme="majorHAnsi"/>
            <w:noProof/>
            <w:sz w:val="20"/>
            <w:szCs w:val="20"/>
          </w:rPr>
          <w:t>Regarding the investigations into the death of Mr. Gómez</w:t>
        </w:r>
        <w:r w:rsidRPr="00457A71">
          <w:rPr>
            <w:rFonts w:asciiTheme="majorHAnsi" w:hAnsiTheme="majorHAnsi"/>
            <w:noProof/>
            <w:webHidden/>
            <w:sz w:val="20"/>
            <w:szCs w:val="20"/>
          </w:rPr>
          <w:tab/>
        </w:r>
        <w:r w:rsidRPr="00457A71">
          <w:rPr>
            <w:rFonts w:asciiTheme="majorHAnsi" w:hAnsiTheme="majorHAnsi"/>
            <w:noProof/>
            <w:webHidden/>
            <w:sz w:val="20"/>
            <w:szCs w:val="20"/>
          </w:rPr>
          <w:fldChar w:fldCharType="begin"/>
        </w:r>
        <w:r w:rsidRPr="00457A71">
          <w:rPr>
            <w:rFonts w:asciiTheme="majorHAnsi" w:hAnsiTheme="majorHAnsi"/>
            <w:noProof/>
            <w:webHidden/>
            <w:sz w:val="20"/>
            <w:szCs w:val="20"/>
          </w:rPr>
          <w:instrText xml:space="preserve"> PAGEREF _Toc478023976 \h </w:instrText>
        </w:r>
        <w:r w:rsidRPr="00457A71">
          <w:rPr>
            <w:rFonts w:asciiTheme="majorHAnsi" w:hAnsiTheme="majorHAnsi"/>
            <w:noProof/>
            <w:webHidden/>
            <w:sz w:val="20"/>
            <w:szCs w:val="20"/>
          </w:rPr>
        </w:r>
        <w:r w:rsidRPr="00457A71">
          <w:rPr>
            <w:rFonts w:asciiTheme="majorHAnsi" w:hAnsiTheme="majorHAnsi"/>
            <w:noProof/>
            <w:webHidden/>
            <w:sz w:val="20"/>
            <w:szCs w:val="20"/>
          </w:rPr>
          <w:fldChar w:fldCharType="separate"/>
        </w:r>
        <w:r w:rsidRPr="00457A71">
          <w:rPr>
            <w:rFonts w:asciiTheme="majorHAnsi" w:hAnsiTheme="majorHAnsi"/>
            <w:noProof/>
            <w:webHidden/>
            <w:sz w:val="20"/>
            <w:szCs w:val="20"/>
          </w:rPr>
          <w:t>10</w:t>
        </w:r>
        <w:r w:rsidRPr="00457A71">
          <w:rPr>
            <w:rFonts w:asciiTheme="majorHAnsi" w:hAnsiTheme="majorHAnsi"/>
            <w:noProof/>
            <w:webHidden/>
            <w:sz w:val="20"/>
            <w:szCs w:val="20"/>
          </w:rPr>
          <w:fldChar w:fldCharType="end"/>
        </w:r>
      </w:hyperlink>
    </w:p>
    <w:p w:rsidR="00457A71" w:rsidRPr="00457A71" w:rsidRDefault="00457A71">
      <w:pPr>
        <w:pStyle w:val="TOC2"/>
        <w:rPr>
          <w:rFonts w:asciiTheme="majorHAnsi" w:eastAsiaTheme="minorEastAsia" w:hAnsiTheme="majorHAnsi" w:cstheme="minorBidi"/>
          <w:noProof/>
          <w:sz w:val="20"/>
          <w:szCs w:val="20"/>
          <w:bdr w:val="none" w:sz="0" w:space="0" w:color="auto"/>
          <w:lang w:val="es-ES" w:eastAsia="es-ES" w:bidi="ar-SA"/>
        </w:rPr>
      </w:pPr>
      <w:hyperlink w:anchor="_Toc478023977" w:history="1">
        <w:r w:rsidRPr="00457A71">
          <w:rPr>
            <w:rStyle w:val="Hyperlink"/>
            <w:rFonts w:asciiTheme="majorHAnsi" w:hAnsiTheme="majorHAnsi"/>
            <w:noProof/>
            <w:sz w:val="20"/>
            <w:szCs w:val="20"/>
          </w:rPr>
          <w:t>F.</w:t>
        </w:r>
        <w:r w:rsidRPr="00457A71">
          <w:rPr>
            <w:rFonts w:asciiTheme="majorHAnsi" w:eastAsiaTheme="minorEastAsia" w:hAnsiTheme="majorHAnsi" w:cstheme="minorBidi"/>
            <w:noProof/>
            <w:sz w:val="20"/>
            <w:szCs w:val="20"/>
            <w:bdr w:val="none" w:sz="0" w:space="0" w:color="auto"/>
            <w:lang w:val="es-ES" w:eastAsia="es-ES" w:bidi="ar-SA"/>
          </w:rPr>
          <w:tab/>
        </w:r>
        <w:r w:rsidRPr="00457A71">
          <w:rPr>
            <w:rStyle w:val="Hyperlink"/>
            <w:rFonts w:asciiTheme="majorHAnsi" w:hAnsiTheme="majorHAnsi"/>
            <w:noProof/>
            <w:sz w:val="20"/>
            <w:szCs w:val="20"/>
          </w:rPr>
          <w:t>Pronouncements on violations of the human rights of trade unionists in Guatemala in the 1990s.</w:t>
        </w:r>
        <w:r w:rsidRPr="00457A71">
          <w:rPr>
            <w:rFonts w:asciiTheme="majorHAnsi" w:hAnsiTheme="majorHAnsi"/>
            <w:noProof/>
            <w:webHidden/>
            <w:sz w:val="20"/>
            <w:szCs w:val="20"/>
          </w:rPr>
          <w:tab/>
        </w:r>
        <w:r w:rsidRPr="00457A71">
          <w:rPr>
            <w:rFonts w:asciiTheme="majorHAnsi" w:hAnsiTheme="majorHAnsi"/>
            <w:noProof/>
            <w:webHidden/>
            <w:sz w:val="20"/>
            <w:szCs w:val="20"/>
          </w:rPr>
          <w:fldChar w:fldCharType="begin"/>
        </w:r>
        <w:r w:rsidRPr="00457A71">
          <w:rPr>
            <w:rFonts w:asciiTheme="majorHAnsi" w:hAnsiTheme="majorHAnsi"/>
            <w:noProof/>
            <w:webHidden/>
            <w:sz w:val="20"/>
            <w:szCs w:val="20"/>
          </w:rPr>
          <w:instrText xml:space="preserve"> PAGEREF _Toc478023977 \h </w:instrText>
        </w:r>
        <w:r w:rsidRPr="00457A71">
          <w:rPr>
            <w:rFonts w:asciiTheme="majorHAnsi" w:hAnsiTheme="majorHAnsi"/>
            <w:noProof/>
            <w:webHidden/>
            <w:sz w:val="20"/>
            <w:szCs w:val="20"/>
          </w:rPr>
        </w:r>
        <w:r w:rsidRPr="00457A71">
          <w:rPr>
            <w:rFonts w:asciiTheme="majorHAnsi" w:hAnsiTheme="majorHAnsi"/>
            <w:noProof/>
            <w:webHidden/>
            <w:sz w:val="20"/>
            <w:szCs w:val="20"/>
          </w:rPr>
          <w:fldChar w:fldCharType="separate"/>
        </w:r>
        <w:r w:rsidRPr="00457A71">
          <w:rPr>
            <w:rFonts w:asciiTheme="majorHAnsi" w:hAnsiTheme="majorHAnsi"/>
            <w:noProof/>
            <w:webHidden/>
            <w:sz w:val="20"/>
            <w:szCs w:val="20"/>
          </w:rPr>
          <w:t>13</w:t>
        </w:r>
        <w:r w:rsidRPr="00457A71">
          <w:rPr>
            <w:rFonts w:asciiTheme="majorHAnsi" w:hAnsiTheme="majorHAnsi"/>
            <w:noProof/>
            <w:webHidden/>
            <w:sz w:val="20"/>
            <w:szCs w:val="20"/>
          </w:rPr>
          <w:fldChar w:fldCharType="end"/>
        </w:r>
      </w:hyperlink>
    </w:p>
    <w:p w:rsidR="00457A71" w:rsidRDefault="00457A71">
      <w:pPr>
        <w:pStyle w:val="TOC1"/>
        <w:rPr>
          <w:rStyle w:val="Hyperlink"/>
          <w:rFonts w:asciiTheme="majorHAnsi" w:hAnsiTheme="majorHAnsi"/>
        </w:rPr>
      </w:pPr>
    </w:p>
    <w:p w:rsidR="00457A71" w:rsidRPr="00457A71" w:rsidRDefault="00457A71">
      <w:pPr>
        <w:pStyle w:val="TOC1"/>
        <w:rPr>
          <w:rFonts w:asciiTheme="majorHAnsi" w:eastAsiaTheme="minorEastAsia" w:hAnsiTheme="majorHAnsi" w:cstheme="minorBidi"/>
          <w:b w:val="0"/>
          <w:bdr w:val="none" w:sz="0" w:space="0" w:color="auto"/>
          <w:lang w:val="es-ES" w:eastAsia="es-ES" w:bidi="ar-SA"/>
        </w:rPr>
      </w:pPr>
      <w:hyperlink w:anchor="_Toc478023978" w:history="1">
        <w:r w:rsidRPr="00457A71">
          <w:rPr>
            <w:rStyle w:val="Hyperlink"/>
            <w:rFonts w:asciiTheme="majorHAnsi" w:hAnsiTheme="majorHAnsi"/>
          </w:rPr>
          <w:t>VI.</w:t>
        </w:r>
        <w:r w:rsidRPr="00457A71">
          <w:rPr>
            <w:rFonts w:asciiTheme="majorHAnsi" w:eastAsiaTheme="minorEastAsia" w:hAnsiTheme="majorHAnsi" w:cstheme="minorBidi"/>
            <w:b w:val="0"/>
            <w:bdr w:val="none" w:sz="0" w:space="0" w:color="auto"/>
            <w:lang w:val="es-ES" w:eastAsia="es-ES" w:bidi="ar-SA"/>
          </w:rPr>
          <w:tab/>
        </w:r>
        <w:r w:rsidRPr="00457A71">
          <w:rPr>
            <w:rStyle w:val="Hyperlink"/>
            <w:rFonts w:asciiTheme="majorHAnsi" w:hAnsiTheme="majorHAnsi"/>
          </w:rPr>
          <w:t>ANALYSIS OF LAW</w:t>
        </w:r>
        <w:r w:rsidRPr="00457A71">
          <w:rPr>
            <w:rFonts w:asciiTheme="majorHAnsi" w:hAnsiTheme="majorHAnsi"/>
            <w:webHidden/>
          </w:rPr>
          <w:tab/>
        </w:r>
        <w:r w:rsidRPr="00457A71">
          <w:rPr>
            <w:rFonts w:asciiTheme="majorHAnsi" w:hAnsiTheme="majorHAnsi"/>
            <w:webHidden/>
          </w:rPr>
          <w:fldChar w:fldCharType="begin"/>
        </w:r>
        <w:r w:rsidRPr="00457A71">
          <w:rPr>
            <w:rFonts w:asciiTheme="majorHAnsi" w:hAnsiTheme="majorHAnsi"/>
            <w:webHidden/>
          </w:rPr>
          <w:instrText xml:space="preserve"> PAGEREF _Toc478023978 \h </w:instrText>
        </w:r>
        <w:r w:rsidRPr="00457A71">
          <w:rPr>
            <w:rFonts w:asciiTheme="majorHAnsi" w:hAnsiTheme="majorHAnsi"/>
            <w:webHidden/>
          </w:rPr>
        </w:r>
        <w:r w:rsidRPr="00457A71">
          <w:rPr>
            <w:rFonts w:asciiTheme="majorHAnsi" w:hAnsiTheme="majorHAnsi"/>
            <w:webHidden/>
          </w:rPr>
          <w:fldChar w:fldCharType="separate"/>
        </w:r>
        <w:r w:rsidRPr="00457A71">
          <w:rPr>
            <w:rFonts w:asciiTheme="majorHAnsi" w:hAnsiTheme="majorHAnsi"/>
            <w:webHidden/>
          </w:rPr>
          <w:t>16</w:t>
        </w:r>
        <w:r w:rsidRPr="00457A71">
          <w:rPr>
            <w:rFonts w:asciiTheme="majorHAnsi" w:hAnsiTheme="majorHAnsi"/>
            <w:webHidden/>
          </w:rPr>
          <w:fldChar w:fldCharType="end"/>
        </w:r>
      </w:hyperlink>
    </w:p>
    <w:p w:rsidR="00457A71" w:rsidRPr="00457A71" w:rsidRDefault="00457A71">
      <w:pPr>
        <w:pStyle w:val="TOC2"/>
        <w:rPr>
          <w:rFonts w:asciiTheme="majorHAnsi" w:eastAsiaTheme="minorEastAsia" w:hAnsiTheme="majorHAnsi" w:cstheme="minorBidi"/>
          <w:noProof/>
          <w:sz w:val="20"/>
          <w:szCs w:val="20"/>
          <w:bdr w:val="none" w:sz="0" w:space="0" w:color="auto"/>
          <w:lang w:val="es-ES" w:eastAsia="es-ES" w:bidi="ar-SA"/>
        </w:rPr>
      </w:pPr>
      <w:hyperlink w:anchor="_Toc478023979" w:history="1">
        <w:r w:rsidRPr="00457A71">
          <w:rPr>
            <w:rStyle w:val="Hyperlink"/>
            <w:rFonts w:asciiTheme="majorHAnsi" w:hAnsiTheme="majorHAnsi"/>
            <w:noProof/>
            <w:sz w:val="20"/>
            <w:szCs w:val="20"/>
          </w:rPr>
          <w:t>A.</w:t>
        </w:r>
        <w:r w:rsidRPr="00457A71">
          <w:rPr>
            <w:rFonts w:asciiTheme="majorHAnsi" w:eastAsiaTheme="minorEastAsia" w:hAnsiTheme="majorHAnsi" w:cstheme="minorBidi"/>
            <w:noProof/>
            <w:sz w:val="20"/>
            <w:szCs w:val="20"/>
            <w:bdr w:val="none" w:sz="0" w:space="0" w:color="auto"/>
            <w:lang w:val="es-ES" w:eastAsia="es-ES" w:bidi="ar-SA"/>
          </w:rPr>
          <w:tab/>
        </w:r>
        <w:r w:rsidRPr="00457A71">
          <w:rPr>
            <w:rStyle w:val="Hyperlink"/>
            <w:rFonts w:asciiTheme="majorHAnsi" w:hAnsiTheme="majorHAnsi"/>
            <w:noProof/>
            <w:sz w:val="20"/>
            <w:szCs w:val="20"/>
          </w:rPr>
          <w:t>Rights to life, personal integrity, and personal liberty (Articles 4.1, 5.1, 7.1, and 16 of the American Convention in connection with Article 1(1) thereof)</w:t>
        </w:r>
        <w:r w:rsidRPr="00457A71">
          <w:rPr>
            <w:rFonts w:asciiTheme="majorHAnsi" w:hAnsiTheme="majorHAnsi"/>
            <w:noProof/>
            <w:webHidden/>
            <w:sz w:val="20"/>
            <w:szCs w:val="20"/>
          </w:rPr>
          <w:tab/>
        </w:r>
        <w:r w:rsidRPr="00457A71">
          <w:rPr>
            <w:rFonts w:asciiTheme="majorHAnsi" w:hAnsiTheme="majorHAnsi"/>
            <w:noProof/>
            <w:webHidden/>
            <w:sz w:val="20"/>
            <w:szCs w:val="20"/>
          </w:rPr>
          <w:fldChar w:fldCharType="begin"/>
        </w:r>
        <w:r w:rsidRPr="00457A71">
          <w:rPr>
            <w:rFonts w:asciiTheme="majorHAnsi" w:hAnsiTheme="majorHAnsi"/>
            <w:noProof/>
            <w:webHidden/>
            <w:sz w:val="20"/>
            <w:szCs w:val="20"/>
          </w:rPr>
          <w:instrText xml:space="preserve"> PAGEREF _Toc478023979 \h </w:instrText>
        </w:r>
        <w:r w:rsidRPr="00457A71">
          <w:rPr>
            <w:rFonts w:asciiTheme="majorHAnsi" w:hAnsiTheme="majorHAnsi"/>
            <w:noProof/>
            <w:webHidden/>
            <w:sz w:val="20"/>
            <w:szCs w:val="20"/>
          </w:rPr>
        </w:r>
        <w:r w:rsidRPr="00457A71">
          <w:rPr>
            <w:rFonts w:asciiTheme="majorHAnsi" w:hAnsiTheme="majorHAnsi"/>
            <w:noProof/>
            <w:webHidden/>
            <w:sz w:val="20"/>
            <w:szCs w:val="20"/>
          </w:rPr>
          <w:fldChar w:fldCharType="separate"/>
        </w:r>
        <w:r w:rsidRPr="00457A71">
          <w:rPr>
            <w:rFonts w:asciiTheme="majorHAnsi" w:hAnsiTheme="majorHAnsi"/>
            <w:noProof/>
            <w:webHidden/>
            <w:sz w:val="20"/>
            <w:szCs w:val="20"/>
          </w:rPr>
          <w:t>16</w:t>
        </w:r>
        <w:r w:rsidRPr="00457A71">
          <w:rPr>
            <w:rFonts w:asciiTheme="majorHAnsi" w:hAnsiTheme="majorHAnsi"/>
            <w:noProof/>
            <w:webHidden/>
            <w:sz w:val="20"/>
            <w:szCs w:val="20"/>
          </w:rPr>
          <w:fldChar w:fldCharType="end"/>
        </w:r>
      </w:hyperlink>
    </w:p>
    <w:p w:rsidR="00457A71" w:rsidRPr="00457A71" w:rsidRDefault="00457A71">
      <w:pPr>
        <w:pStyle w:val="TOC2"/>
        <w:rPr>
          <w:rFonts w:asciiTheme="majorHAnsi" w:eastAsiaTheme="minorEastAsia" w:hAnsiTheme="majorHAnsi" w:cstheme="minorBidi"/>
          <w:noProof/>
          <w:sz w:val="20"/>
          <w:szCs w:val="20"/>
          <w:bdr w:val="none" w:sz="0" w:space="0" w:color="auto"/>
          <w:lang w:val="es-ES" w:eastAsia="es-ES" w:bidi="ar-SA"/>
        </w:rPr>
      </w:pPr>
      <w:hyperlink w:anchor="_Toc478023980" w:history="1">
        <w:r w:rsidRPr="00457A71">
          <w:rPr>
            <w:rStyle w:val="Hyperlink"/>
            <w:rFonts w:asciiTheme="majorHAnsi" w:hAnsiTheme="majorHAnsi"/>
            <w:noProof/>
            <w:sz w:val="20"/>
            <w:szCs w:val="20"/>
          </w:rPr>
          <w:t>B.</w:t>
        </w:r>
        <w:r w:rsidRPr="00457A71">
          <w:rPr>
            <w:rFonts w:asciiTheme="majorHAnsi" w:eastAsiaTheme="minorEastAsia" w:hAnsiTheme="majorHAnsi" w:cstheme="minorBidi"/>
            <w:noProof/>
            <w:sz w:val="20"/>
            <w:szCs w:val="20"/>
            <w:bdr w:val="none" w:sz="0" w:space="0" w:color="auto"/>
            <w:lang w:val="es-ES" w:eastAsia="es-ES" w:bidi="ar-SA"/>
          </w:rPr>
          <w:tab/>
        </w:r>
        <w:r w:rsidRPr="00457A71">
          <w:rPr>
            <w:rStyle w:val="Hyperlink"/>
            <w:rFonts w:asciiTheme="majorHAnsi" w:hAnsiTheme="majorHAnsi"/>
            <w:noProof/>
            <w:sz w:val="20"/>
            <w:szCs w:val="20"/>
          </w:rPr>
          <w:t>Right to judicial guarantees and judicial protection (Articles 8.1,and 25.1. of the American Convention in conjunction with Article 1.1 thereof)</w:t>
        </w:r>
        <w:r w:rsidRPr="00457A71">
          <w:rPr>
            <w:rFonts w:asciiTheme="majorHAnsi" w:hAnsiTheme="majorHAnsi"/>
            <w:noProof/>
            <w:webHidden/>
            <w:sz w:val="20"/>
            <w:szCs w:val="20"/>
          </w:rPr>
          <w:tab/>
        </w:r>
        <w:r w:rsidRPr="00457A71">
          <w:rPr>
            <w:rFonts w:asciiTheme="majorHAnsi" w:hAnsiTheme="majorHAnsi"/>
            <w:noProof/>
            <w:webHidden/>
            <w:sz w:val="20"/>
            <w:szCs w:val="20"/>
          </w:rPr>
          <w:fldChar w:fldCharType="begin"/>
        </w:r>
        <w:r w:rsidRPr="00457A71">
          <w:rPr>
            <w:rFonts w:asciiTheme="majorHAnsi" w:hAnsiTheme="majorHAnsi"/>
            <w:noProof/>
            <w:webHidden/>
            <w:sz w:val="20"/>
            <w:szCs w:val="20"/>
          </w:rPr>
          <w:instrText xml:space="preserve"> PAGEREF _Toc478023980 \h </w:instrText>
        </w:r>
        <w:r w:rsidRPr="00457A71">
          <w:rPr>
            <w:rFonts w:asciiTheme="majorHAnsi" w:hAnsiTheme="majorHAnsi"/>
            <w:noProof/>
            <w:webHidden/>
            <w:sz w:val="20"/>
            <w:szCs w:val="20"/>
          </w:rPr>
        </w:r>
        <w:r w:rsidRPr="00457A71">
          <w:rPr>
            <w:rFonts w:asciiTheme="majorHAnsi" w:hAnsiTheme="majorHAnsi"/>
            <w:noProof/>
            <w:webHidden/>
            <w:sz w:val="20"/>
            <w:szCs w:val="20"/>
          </w:rPr>
          <w:fldChar w:fldCharType="separate"/>
        </w:r>
        <w:r w:rsidRPr="00457A71">
          <w:rPr>
            <w:rFonts w:asciiTheme="majorHAnsi" w:hAnsiTheme="majorHAnsi"/>
            <w:noProof/>
            <w:webHidden/>
            <w:sz w:val="20"/>
            <w:szCs w:val="20"/>
          </w:rPr>
          <w:t>19</w:t>
        </w:r>
        <w:r w:rsidRPr="00457A71">
          <w:rPr>
            <w:rFonts w:asciiTheme="majorHAnsi" w:hAnsiTheme="majorHAnsi"/>
            <w:noProof/>
            <w:webHidden/>
            <w:sz w:val="20"/>
            <w:szCs w:val="20"/>
          </w:rPr>
          <w:fldChar w:fldCharType="end"/>
        </w:r>
      </w:hyperlink>
    </w:p>
    <w:p w:rsidR="00457A71" w:rsidRPr="00457A71" w:rsidRDefault="00457A71" w:rsidP="00457A71">
      <w:pPr>
        <w:pStyle w:val="TOC2"/>
        <w:ind w:hanging="360"/>
        <w:rPr>
          <w:rFonts w:asciiTheme="majorHAnsi" w:eastAsiaTheme="minorEastAsia" w:hAnsiTheme="majorHAnsi" w:cstheme="minorBidi"/>
          <w:noProof/>
          <w:sz w:val="20"/>
          <w:szCs w:val="20"/>
          <w:bdr w:val="none" w:sz="0" w:space="0" w:color="auto"/>
          <w:lang w:val="es-ES" w:eastAsia="es-ES" w:bidi="ar-SA"/>
        </w:rPr>
      </w:pPr>
      <w:hyperlink w:anchor="_Toc478023981" w:history="1">
        <w:r w:rsidRPr="00457A71">
          <w:rPr>
            <w:rStyle w:val="Hyperlink"/>
            <w:rFonts w:asciiTheme="majorHAnsi" w:hAnsiTheme="majorHAnsi"/>
            <w:noProof/>
            <w:sz w:val="20"/>
            <w:szCs w:val="20"/>
          </w:rPr>
          <w:t>1.</w:t>
        </w:r>
        <w:r w:rsidRPr="00457A71">
          <w:rPr>
            <w:rFonts w:asciiTheme="majorHAnsi" w:eastAsiaTheme="minorEastAsia" w:hAnsiTheme="majorHAnsi" w:cstheme="minorBidi"/>
            <w:noProof/>
            <w:sz w:val="20"/>
            <w:szCs w:val="20"/>
            <w:bdr w:val="none" w:sz="0" w:space="0" w:color="auto"/>
            <w:lang w:val="es-ES" w:eastAsia="es-ES" w:bidi="ar-SA"/>
          </w:rPr>
          <w:tab/>
        </w:r>
        <w:r w:rsidRPr="00457A71">
          <w:rPr>
            <w:rStyle w:val="Hyperlink"/>
            <w:rFonts w:asciiTheme="majorHAnsi" w:hAnsiTheme="majorHAnsi"/>
            <w:noProof/>
            <w:sz w:val="20"/>
            <w:szCs w:val="20"/>
          </w:rPr>
          <w:t>Irregularities in the investigation following the finding of Alejandro Gómez's body and subsequent acts by State agents.</w:t>
        </w:r>
        <w:r w:rsidRPr="00457A71">
          <w:rPr>
            <w:rFonts w:asciiTheme="majorHAnsi" w:hAnsiTheme="majorHAnsi"/>
            <w:noProof/>
            <w:webHidden/>
            <w:sz w:val="20"/>
            <w:szCs w:val="20"/>
          </w:rPr>
          <w:tab/>
        </w:r>
        <w:r w:rsidRPr="00457A71">
          <w:rPr>
            <w:rFonts w:asciiTheme="majorHAnsi" w:hAnsiTheme="majorHAnsi"/>
            <w:noProof/>
            <w:webHidden/>
            <w:sz w:val="20"/>
            <w:szCs w:val="20"/>
          </w:rPr>
          <w:fldChar w:fldCharType="begin"/>
        </w:r>
        <w:r w:rsidRPr="00457A71">
          <w:rPr>
            <w:rFonts w:asciiTheme="majorHAnsi" w:hAnsiTheme="majorHAnsi"/>
            <w:noProof/>
            <w:webHidden/>
            <w:sz w:val="20"/>
            <w:szCs w:val="20"/>
          </w:rPr>
          <w:instrText xml:space="preserve"> PAGEREF _Toc478023981 \h </w:instrText>
        </w:r>
        <w:r w:rsidRPr="00457A71">
          <w:rPr>
            <w:rFonts w:asciiTheme="majorHAnsi" w:hAnsiTheme="majorHAnsi"/>
            <w:noProof/>
            <w:webHidden/>
            <w:sz w:val="20"/>
            <w:szCs w:val="20"/>
          </w:rPr>
        </w:r>
        <w:r w:rsidRPr="00457A71">
          <w:rPr>
            <w:rFonts w:asciiTheme="majorHAnsi" w:hAnsiTheme="majorHAnsi"/>
            <w:noProof/>
            <w:webHidden/>
            <w:sz w:val="20"/>
            <w:szCs w:val="20"/>
          </w:rPr>
          <w:fldChar w:fldCharType="separate"/>
        </w:r>
        <w:r w:rsidRPr="00457A71">
          <w:rPr>
            <w:rFonts w:asciiTheme="majorHAnsi" w:hAnsiTheme="majorHAnsi"/>
            <w:noProof/>
            <w:webHidden/>
            <w:sz w:val="20"/>
            <w:szCs w:val="20"/>
          </w:rPr>
          <w:t>20</w:t>
        </w:r>
        <w:r w:rsidRPr="00457A71">
          <w:rPr>
            <w:rFonts w:asciiTheme="majorHAnsi" w:hAnsiTheme="majorHAnsi"/>
            <w:noProof/>
            <w:webHidden/>
            <w:sz w:val="20"/>
            <w:szCs w:val="20"/>
          </w:rPr>
          <w:fldChar w:fldCharType="end"/>
        </w:r>
      </w:hyperlink>
    </w:p>
    <w:p w:rsidR="00457A71" w:rsidRPr="00457A71" w:rsidRDefault="00457A71" w:rsidP="00457A71">
      <w:pPr>
        <w:pStyle w:val="TOC2"/>
        <w:ind w:hanging="360"/>
        <w:rPr>
          <w:rFonts w:asciiTheme="majorHAnsi" w:eastAsiaTheme="minorEastAsia" w:hAnsiTheme="majorHAnsi" w:cstheme="minorBidi"/>
          <w:noProof/>
          <w:sz w:val="20"/>
          <w:szCs w:val="20"/>
          <w:bdr w:val="none" w:sz="0" w:space="0" w:color="auto"/>
          <w:lang w:val="es-ES" w:eastAsia="es-ES" w:bidi="ar-SA"/>
        </w:rPr>
      </w:pPr>
      <w:hyperlink w:anchor="_Toc478023982" w:history="1">
        <w:r w:rsidRPr="00457A71">
          <w:rPr>
            <w:rStyle w:val="Hyperlink"/>
            <w:rFonts w:asciiTheme="majorHAnsi" w:hAnsiTheme="majorHAnsi"/>
            <w:noProof/>
            <w:sz w:val="20"/>
            <w:szCs w:val="20"/>
          </w:rPr>
          <w:t>2.</w:t>
        </w:r>
        <w:r w:rsidRPr="00457A71">
          <w:rPr>
            <w:rFonts w:asciiTheme="majorHAnsi" w:eastAsiaTheme="minorEastAsia" w:hAnsiTheme="majorHAnsi" w:cstheme="minorBidi"/>
            <w:noProof/>
            <w:sz w:val="20"/>
            <w:szCs w:val="20"/>
            <w:bdr w:val="none" w:sz="0" w:space="0" w:color="auto"/>
            <w:lang w:val="es-ES" w:eastAsia="es-ES" w:bidi="ar-SA"/>
          </w:rPr>
          <w:tab/>
        </w:r>
        <w:r w:rsidRPr="00457A71">
          <w:rPr>
            <w:rStyle w:val="Hyperlink"/>
            <w:rFonts w:asciiTheme="majorHAnsi" w:hAnsiTheme="majorHAnsi"/>
            <w:noProof/>
            <w:sz w:val="20"/>
            <w:szCs w:val="20"/>
          </w:rPr>
          <w:t>Lack of due diligence in subsequent stages of the investigation</w:t>
        </w:r>
        <w:r w:rsidRPr="00457A71">
          <w:rPr>
            <w:rFonts w:asciiTheme="majorHAnsi" w:hAnsiTheme="majorHAnsi"/>
            <w:noProof/>
            <w:webHidden/>
            <w:sz w:val="20"/>
            <w:szCs w:val="20"/>
          </w:rPr>
          <w:tab/>
        </w:r>
        <w:r w:rsidRPr="00457A71">
          <w:rPr>
            <w:rFonts w:asciiTheme="majorHAnsi" w:hAnsiTheme="majorHAnsi"/>
            <w:noProof/>
            <w:webHidden/>
            <w:sz w:val="20"/>
            <w:szCs w:val="20"/>
          </w:rPr>
          <w:fldChar w:fldCharType="begin"/>
        </w:r>
        <w:r w:rsidRPr="00457A71">
          <w:rPr>
            <w:rFonts w:asciiTheme="majorHAnsi" w:hAnsiTheme="majorHAnsi"/>
            <w:noProof/>
            <w:webHidden/>
            <w:sz w:val="20"/>
            <w:szCs w:val="20"/>
          </w:rPr>
          <w:instrText xml:space="preserve"> PAGEREF _Toc478023982 \h </w:instrText>
        </w:r>
        <w:r w:rsidRPr="00457A71">
          <w:rPr>
            <w:rFonts w:asciiTheme="majorHAnsi" w:hAnsiTheme="majorHAnsi"/>
            <w:noProof/>
            <w:webHidden/>
            <w:sz w:val="20"/>
            <w:szCs w:val="20"/>
          </w:rPr>
        </w:r>
        <w:r w:rsidRPr="00457A71">
          <w:rPr>
            <w:rFonts w:asciiTheme="majorHAnsi" w:hAnsiTheme="majorHAnsi"/>
            <w:noProof/>
            <w:webHidden/>
            <w:sz w:val="20"/>
            <w:szCs w:val="20"/>
          </w:rPr>
          <w:fldChar w:fldCharType="separate"/>
        </w:r>
        <w:r w:rsidRPr="00457A71">
          <w:rPr>
            <w:rFonts w:asciiTheme="majorHAnsi" w:hAnsiTheme="majorHAnsi"/>
            <w:noProof/>
            <w:webHidden/>
            <w:sz w:val="20"/>
            <w:szCs w:val="20"/>
          </w:rPr>
          <w:t>22</w:t>
        </w:r>
        <w:r w:rsidRPr="00457A71">
          <w:rPr>
            <w:rFonts w:asciiTheme="majorHAnsi" w:hAnsiTheme="majorHAnsi"/>
            <w:noProof/>
            <w:webHidden/>
            <w:sz w:val="20"/>
            <w:szCs w:val="20"/>
          </w:rPr>
          <w:fldChar w:fldCharType="end"/>
        </w:r>
      </w:hyperlink>
    </w:p>
    <w:p w:rsidR="00457A71" w:rsidRPr="00457A71" w:rsidRDefault="00457A71" w:rsidP="00457A71">
      <w:pPr>
        <w:pStyle w:val="TOC2"/>
        <w:ind w:hanging="360"/>
        <w:rPr>
          <w:rFonts w:asciiTheme="majorHAnsi" w:eastAsiaTheme="minorEastAsia" w:hAnsiTheme="majorHAnsi" w:cstheme="minorBidi"/>
          <w:noProof/>
          <w:sz w:val="20"/>
          <w:szCs w:val="20"/>
          <w:bdr w:val="none" w:sz="0" w:space="0" w:color="auto"/>
          <w:lang w:val="es-ES" w:eastAsia="es-ES" w:bidi="ar-SA"/>
        </w:rPr>
      </w:pPr>
      <w:hyperlink w:anchor="_Toc478023983" w:history="1">
        <w:r w:rsidRPr="00457A71">
          <w:rPr>
            <w:rStyle w:val="Hyperlink"/>
            <w:rFonts w:asciiTheme="majorHAnsi" w:hAnsiTheme="majorHAnsi"/>
            <w:noProof/>
            <w:sz w:val="20"/>
            <w:szCs w:val="20"/>
          </w:rPr>
          <w:t>3.</w:t>
        </w:r>
        <w:r w:rsidRPr="00457A71">
          <w:rPr>
            <w:rFonts w:asciiTheme="majorHAnsi" w:eastAsiaTheme="minorEastAsia" w:hAnsiTheme="majorHAnsi" w:cstheme="minorBidi"/>
            <w:noProof/>
            <w:sz w:val="20"/>
            <w:szCs w:val="20"/>
            <w:bdr w:val="none" w:sz="0" w:space="0" w:color="auto"/>
            <w:lang w:val="es-ES" w:eastAsia="es-ES" w:bidi="ar-SA"/>
          </w:rPr>
          <w:tab/>
        </w:r>
        <w:r w:rsidRPr="00457A71">
          <w:rPr>
            <w:rStyle w:val="Hyperlink"/>
            <w:rFonts w:asciiTheme="majorHAnsi" w:hAnsiTheme="majorHAnsi"/>
            <w:noProof/>
            <w:sz w:val="20"/>
            <w:szCs w:val="20"/>
          </w:rPr>
          <w:t>Reasonable period of time</w:t>
        </w:r>
        <w:r w:rsidRPr="00457A71">
          <w:rPr>
            <w:rFonts w:asciiTheme="majorHAnsi" w:hAnsiTheme="majorHAnsi"/>
            <w:noProof/>
            <w:webHidden/>
            <w:sz w:val="20"/>
            <w:szCs w:val="20"/>
          </w:rPr>
          <w:tab/>
        </w:r>
        <w:r w:rsidRPr="00457A71">
          <w:rPr>
            <w:rFonts w:asciiTheme="majorHAnsi" w:hAnsiTheme="majorHAnsi"/>
            <w:noProof/>
            <w:webHidden/>
            <w:sz w:val="20"/>
            <w:szCs w:val="20"/>
          </w:rPr>
          <w:fldChar w:fldCharType="begin"/>
        </w:r>
        <w:r w:rsidRPr="00457A71">
          <w:rPr>
            <w:rFonts w:asciiTheme="majorHAnsi" w:hAnsiTheme="majorHAnsi"/>
            <w:noProof/>
            <w:webHidden/>
            <w:sz w:val="20"/>
            <w:szCs w:val="20"/>
          </w:rPr>
          <w:instrText xml:space="preserve"> PAGEREF _Toc478023983 \h </w:instrText>
        </w:r>
        <w:r w:rsidRPr="00457A71">
          <w:rPr>
            <w:rFonts w:asciiTheme="majorHAnsi" w:hAnsiTheme="majorHAnsi"/>
            <w:noProof/>
            <w:webHidden/>
            <w:sz w:val="20"/>
            <w:szCs w:val="20"/>
          </w:rPr>
        </w:r>
        <w:r w:rsidRPr="00457A71">
          <w:rPr>
            <w:rFonts w:asciiTheme="majorHAnsi" w:hAnsiTheme="majorHAnsi"/>
            <w:noProof/>
            <w:webHidden/>
            <w:sz w:val="20"/>
            <w:szCs w:val="20"/>
          </w:rPr>
          <w:fldChar w:fldCharType="separate"/>
        </w:r>
        <w:r w:rsidRPr="00457A71">
          <w:rPr>
            <w:rFonts w:asciiTheme="majorHAnsi" w:hAnsiTheme="majorHAnsi"/>
            <w:noProof/>
            <w:webHidden/>
            <w:sz w:val="20"/>
            <w:szCs w:val="20"/>
          </w:rPr>
          <w:t>24</w:t>
        </w:r>
        <w:r w:rsidRPr="00457A71">
          <w:rPr>
            <w:rFonts w:asciiTheme="majorHAnsi" w:hAnsiTheme="majorHAnsi"/>
            <w:noProof/>
            <w:webHidden/>
            <w:sz w:val="20"/>
            <w:szCs w:val="20"/>
          </w:rPr>
          <w:fldChar w:fldCharType="end"/>
        </w:r>
      </w:hyperlink>
    </w:p>
    <w:p w:rsidR="00457A71" w:rsidRPr="00457A71" w:rsidRDefault="00457A71">
      <w:pPr>
        <w:pStyle w:val="TOC2"/>
        <w:rPr>
          <w:rFonts w:asciiTheme="majorHAnsi" w:eastAsiaTheme="minorEastAsia" w:hAnsiTheme="majorHAnsi" w:cstheme="minorBidi"/>
          <w:noProof/>
          <w:sz w:val="20"/>
          <w:szCs w:val="20"/>
          <w:bdr w:val="none" w:sz="0" w:space="0" w:color="auto"/>
          <w:lang w:val="es-ES" w:eastAsia="es-ES" w:bidi="ar-SA"/>
        </w:rPr>
      </w:pPr>
      <w:hyperlink w:anchor="_Toc478023984" w:history="1">
        <w:r w:rsidRPr="00457A71">
          <w:rPr>
            <w:rStyle w:val="Hyperlink"/>
            <w:rFonts w:asciiTheme="majorHAnsi" w:hAnsiTheme="majorHAnsi"/>
            <w:noProof/>
            <w:sz w:val="20"/>
            <w:szCs w:val="20"/>
          </w:rPr>
          <w:t>C.</w:t>
        </w:r>
        <w:r w:rsidRPr="00457A71">
          <w:rPr>
            <w:rFonts w:asciiTheme="majorHAnsi" w:eastAsiaTheme="minorEastAsia" w:hAnsiTheme="majorHAnsi" w:cstheme="minorBidi"/>
            <w:noProof/>
            <w:sz w:val="20"/>
            <w:szCs w:val="20"/>
            <w:bdr w:val="none" w:sz="0" w:space="0" w:color="auto"/>
            <w:lang w:val="es-ES" w:eastAsia="es-ES" w:bidi="ar-SA"/>
          </w:rPr>
          <w:tab/>
        </w:r>
        <w:r w:rsidRPr="00457A71">
          <w:rPr>
            <w:rStyle w:val="Hyperlink"/>
            <w:rFonts w:asciiTheme="majorHAnsi" w:hAnsiTheme="majorHAnsi"/>
            <w:noProof/>
            <w:sz w:val="20"/>
            <w:szCs w:val="20"/>
          </w:rPr>
          <w:t>Right to human treatment/personal integrity (Article 5.1 of the American Convention in conjunction with Article 1.1. thereof) to the detriment of Alejandro Yovany Gómez's family.</w:t>
        </w:r>
        <w:r w:rsidRPr="00457A71">
          <w:rPr>
            <w:rFonts w:asciiTheme="majorHAnsi" w:hAnsiTheme="majorHAnsi"/>
            <w:noProof/>
            <w:webHidden/>
            <w:sz w:val="20"/>
            <w:szCs w:val="20"/>
          </w:rPr>
          <w:tab/>
        </w:r>
        <w:r w:rsidRPr="00457A71">
          <w:rPr>
            <w:rFonts w:asciiTheme="majorHAnsi" w:hAnsiTheme="majorHAnsi"/>
            <w:noProof/>
            <w:webHidden/>
            <w:sz w:val="20"/>
            <w:szCs w:val="20"/>
          </w:rPr>
          <w:fldChar w:fldCharType="begin"/>
        </w:r>
        <w:r w:rsidRPr="00457A71">
          <w:rPr>
            <w:rFonts w:asciiTheme="majorHAnsi" w:hAnsiTheme="majorHAnsi"/>
            <w:noProof/>
            <w:webHidden/>
            <w:sz w:val="20"/>
            <w:szCs w:val="20"/>
          </w:rPr>
          <w:instrText xml:space="preserve"> PAGEREF _Toc478023984 \h </w:instrText>
        </w:r>
        <w:r w:rsidRPr="00457A71">
          <w:rPr>
            <w:rFonts w:asciiTheme="majorHAnsi" w:hAnsiTheme="majorHAnsi"/>
            <w:noProof/>
            <w:webHidden/>
            <w:sz w:val="20"/>
            <w:szCs w:val="20"/>
          </w:rPr>
        </w:r>
        <w:r w:rsidRPr="00457A71">
          <w:rPr>
            <w:rFonts w:asciiTheme="majorHAnsi" w:hAnsiTheme="majorHAnsi"/>
            <w:noProof/>
            <w:webHidden/>
            <w:sz w:val="20"/>
            <w:szCs w:val="20"/>
          </w:rPr>
          <w:fldChar w:fldCharType="separate"/>
        </w:r>
        <w:r w:rsidRPr="00457A71">
          <w:rPr>
            <w:rFonts w:asciiTheme="majorHAnsi" w:hAnsiTheme="majorHAnsi"/>
            <w:noProof/>
            <w:webHidden/>
            <w:sz w:val="20"/>
            <w:szCs w:val="20"/>
          </w:rPr>
          <w:t>25</w:t>
        </w:r>
        <w:r w:rsidRPr="00457A71">
          <w:rPr>
            <w:rFonts w:asciiTheme="majorHAnsi" w:hAnsiTheme="majorHAnsi"/>
            <w:noProof/>
            <w:webHidden/>
            <w:sz w:val="20"/>
            <w:szCs w:val="20"/>
          </w:rPr>
          <w:fldChar w:fldCharType="end"/>
        </w:r>
      </w:hyperlink>
    </w:p>
    <w:p w:rsidR="00457A71" w:rsidRDefault="00457A71">
      <w:pPr>
        <w:pStyle w:val="TOC1"/>
        <w:rPr>
          <w:rStyle w:val="Hyperlink"/>
          <w:rFonts w:asciiTheme="majorHAnsi" w:hAnsiTheme="majorHAnsi"/>
        </w:rPr>
      </w:pPr>
    </w:p>
    <w:p w:rsidR="00457A71" w:rsidRPr="00457A71" w:rsidRDefault="00457A71">
      <w:pPr>
        <w:pStyle w:val="TOC1"/>
        <w:rPr>
          <w:rFonts w:asciiTheme="majorHAnsi" w:eastAsiaTheme="minorEastAsia" w:hAnsiTheme="majorHAnsi" w:cstheme="minorBidi"/>
          <w:b w:val="0"/>
          <w:bdr w:val="none" w:sz="0" w:space="0" w:color="auto"/>
          <w:lang w:val="es-ES" w:eastAsia="es-ES" w:bidi="ar-SA"/>
        </w:rPr>
      </w:pPr>
      <w:hyperlink w:anchor="_Toc478023985" w:history="1">
        <w:r w:rsidRPr="00457A71">
          <w:rPr>
            <w:rStyle w:val="Hyperlink"/>
            <w:rFonts w:asciiTheme="majorHAnsi" w:hAnsiTheme="majorHAnsi"/>
          </w:rPr>
          <w:t>VII.</w:t>
        </w:r>
        <w:r w:rsidRPr="00457A71">
          <w:rPr>
            <w:rFonts w:asciiTheme="majorHAnsi" w:eastAsiaTheme="minorEastAsia" w:hAnsiTheme="majorHAnsi" w:cstheme="minorBidi"/>
            <w:b w:val="0"/>
            <w:bdr w:val="none" w:sz="0" w:space="0" w:color="auto"/>
            <w:lang w:val="es-ES" w:eastAsia="es-ES" w:bidi="ar-SA"/>
          </w:rPr>
          <w:tab/>
        </w:r>
        <w:r w:rsidRPr="00457A71">
          <w:rPr>
            <w:rStyle w:val="Hyperlink"/>
            <w:rFonts w:asciiTheme="majorHAnsi" w:hAnsiTheme="majorHAnsi"/>
          </w:rPr>
          <w:t>CONCLUSIONS</w:t>
        </w:r>
        <w:r w:rsidRPr="00457A71">
          <w:rPr>
            <w:rFonts w:asciiTheme="majorHAnsi" w:hAnsiTheme="majorHAnsi"/>
            <w:webHidden/>
          </w:rPr>
          <w:tab/>
        </w:r>
        <w:r w:rsidRPr="00457A71">
          <w:rPr>
            <w:rFonts w:asciiTheme="majorHAnsi" w:hAnsiTheme="majorHAnsi"/>
            <w:webHidden/>
          </w:rPr>
          <w:fldChar w:fldCharType="begin"/>
        </w:r>
        <w:r w:rsidRPr="00457A71">
          <w:rPr>
            <w:rFonts w:asciiTheme="majorHAnsi" w:hAnsiTheme="majorHAnsi"/>
            <w:webHidden/>
          </w:rPr>
          <w:instrText xml:space="preserve"> PAGEREF _Toc478023985 \h </w:instrText>
        </w:r>
        <w:r w:rsidRPr="00457A71">
          <w:rPr>
            <w:rFonts w:asciiTheme="majorHAnsi" w:hAnsiTheme="majorHAnsi"/>
            <w:webHidden/>
          </w:rPr>
        </w:r>
        <w:r w:rsidRPr="00457A71">
          <w:rPr>
            <w:rFonts w:asciiTheme="majorHAnsi" w:hAnsiTheme="majorHAnsi"/>
            <w:webHidden/>
          </w:rPr>
          <w:fldChar w:fldCharType="separate"/>
        </w:r>
        <w:r w:rsidRPr="00457A71">
          <w:rPr>
            <w:rFonts w:asciiTheme="majorHAnsi" w:hAnsiTheme="majorHAnsi"/>
            <w:webHidden/>
          </w:rPr>
          <w:t>25</w:t>
        </w:r>
        <w:r w:rsidRPr="00457A71">
          <w:rPr>
            <w:rFonts w:asciiTheme="majorHAnsi" w:hAnsiTheme="majorHAnsi"/>
            <w:webHidden/>
          </w:rPr>
          <w:fldChar w:fldCharType="end"/>
        </w:r>
      </w:hyperlink>
    </w:p>
    <w:p w:rsidR="00457A71" w:rsidRDefault="00457A71">
      <w:pPr>
        <w:pStyle w:val="TOC1"/>
        <w:rPr>
          <w:rStyle w:val="Hyperlink"/>
          <w:rFonts w:asciiTheme="majorHAnsi" w:hAnsiTheme="majorHAnsi"/>
        </w:rPr>
      </w:pPr>
    </w:p>
    <w:p w:rsidR="00457A71" w:rsidRPr="00457A71" w:rsidRDefault="00457A71">
      <w:pPr>
        <w:pStyle w:val="TOC1"/>
        <w:rPr>
          <w:rFonts w:asciiTheme="majorHAnsi" w:eastAsiaTheme="minorEastAsia" w:hAnsiTheme="majorHAnsi" w:cstheme="minorBidi"/>
          <w:b w:val="0"/>
          <w:bdr w:val="none" w:sz="0" w:space="0" w:color="auto"/>
          <w:lang w:val="es-ES" w:eastAsia="es-ES" w:bidi="ar-SA"/>
        </w:rPr>
      </w:pPr>
      <w:hyperlink w:anchor="_Toc478023986" w:history="1">
        <w:r w:rsidRPr="00457A71">
          <w:rPr>
            <w:rStyle w:val="Hyperlink"/>
            <w:rFonts w:asciiTheme="majorHAnsi" w:hAnsiTheme="majorHAnsi"/>
          </w:rPr>
          <w:t>VIII.</w:t>
        </w:r>
        <w:r w:rsidRPr="00457A71">
          <w:rPr>
            <w:rFonts w:asciiTheme="majorHAnsi" w:eastAsiaTheme="minorEastAsia" w:hAnsiTheme="majorHAnsi" w:cstheme="minorBidi"/>
            <w:b w:val="0"/>
            <w:bdr w:val="none" w:sz="0" w:space="0" w:color="auto"/>
            <w:lang w:val="es-ES" w:eastAsia="es-ES" w:bidi="ar-SA"/>
          </w:rPr>
          <w:tab/>
        </w:r>
        <w:r w:rsidRPr="00457A71">
          <w:rPr>
            <w:rStyle w:val="Hyperlink"/>
            <w:rFonts w:asciiTheme="majorHAnsi" w:hAnsiTheme="majorHAnsi"/>
          </w:rPr>
          <w:t>REC</w:t>
        </w:r>
        <w:r w:rsidRPr="00457A71">
          <w:rPr>
            <w:rStyle w:val="Hyperlink"/>
            <w:rFonts w:asciiTheme="majorHAnsi" w:hAnsiTheme="majorHAnsi"/>
          </w:rPr>
          <w:t>O</w:t>
        </w:r>
        <w:r w:rsidRPr="00457A71">
          <w:rPr>
            <w:rStyle w:val="Hyperlink"/>
            <w:rFonts w:asciiTheme="majorHAnsi" w:hAnsiTheme="majorHAnsi"/>
          </w:rPr>
          <w:t>MMENDATIONS</w:t>
        </w:r>
        <w:r w:rsidRPr="00457A71">
          <w:rPr>
            <w:rFonts w:asciiTheme="majorHAnsi" w:hAnsiTheme="majorHAnsi"/>
            <w:webHidden/>
          </w:rPr>
          <w:tab/>
        </w:r>
        <w:r w:rsidRPr="00457A71">
          <w:rPr>
            <w:rFonts w:asciiTheme="majorHAnsi" w:hAnsiTheme="majorHAnsi"/>
            <w:webHidden/>
          </w:rPr>
          <w:fldChar w:fldCharType="begin"/>
        </w:r>
        <w:r w:rsidRPr="00457A71">
          <w:rPr>
            <w:rFonts w:asciiTheme="majorHAnsi" w:hAnsiTheme="majorHAnsi"/>
            <w:webHidden/>
          </w:rPr>
          <w:instrText xml:space="preserve"> PAGEREF _Toc478023986 \h </w:instrText>
        </w:r>
        <w:r w:rsidRPr="00457A71">
          <w:rPr>
            <w:rFonts w:asciiTheme="majorHAnsi" w:hAnsiTheme="majorHAnsi"/>
            <w:webHidden/>
          </w:rPr>
        </w:r>
        <w:r w:rsidRPr="00457A71">
          <w:rPr>
            <w:rFonts w:asciiTheme="majorHAnsi" w:hAnsiTheme="majorHAnsi"/>
            <w:webHidden/>
          </w:rPr>
          <w:fldChar w:fldCharType="separate"/>
        </w:r>
        <w:r w:rsidRPr="00457A71">
          <w:rPr>
            <w:rFonts w:asciiTheme="majorHAnsi" w:hAnsiTheme="majorHAnsi"/>
            <w:webHidden/>
          </w:rPr>
          <w:t>26</w:t>
        </w:r>
        <w:r w:rsidRPr="00457A71">
          <w:rPr>
            <w:rFonts w:asciiTheme="majorHAnsi" w:hAnsiTheme="majorHAnsi"/>
            <w:webHidden/>
          </w:rPr>
          <w:fldChar w:fldCharType="end"/>
        </w:r>
      </w:hyperlink>
    </w:p>
    <w:p w:rsidR="006B32D3" w:rsidRPr="00457A71" w:rsidRDefault="00457A71" w:rsidP="006B32D3">
      <w:pPr>
        <w:tabs>
          <w:tab w:val="center" w:pos="5400"/>
        </w:tabs>
        <w:suppressAutoHyphens/>
        <w:spacing w:line="276" w:lineRule="auto"/>
        <w:rPr>
          <w:rFonts w:asciiTheme="majorHAnsi" w:hAnsiTheme="majorHAnsi"/>
          <w:sz w:val="20"/>
          <w:szCs w:val="20"/>
        </w:rPr>
      </w:pPr>
      <w:r w:rsidRPr="00457A71">
        <w:rPr>
          <w:rFonts w:asciiTheme="majorHAnsi" w:hAnsiTheme="majorHAnsi"/>
          <w:sz w:val="20"/>
          <w:szCs w:val="20"/>
        </w:rPr>
        <w:fldChar w:fldCharType="end"/>
      </w:r>
    </w:p>
    <w:p w:rsidR="006B32D3" w:rsidRPr="00457A71" w:rsidRDefault="006B32D3" w:rsidP="006B32D3">
      <w:pPr>
        <w:tabs>
          <w:tab w:val="center" w:pos="5400"/>
        </w:tabs>
        <w:suppressAutoHyphens/>
        <w:rPr>
          <w:rFonts w:asciiTheme="majorHAnsi" w:hAnsiTheme="majorHAnsi"/>
          <w:sz w:val="20"/>
          <w:szCs w:val="20"/>
        </w:rPr>
      </w:pPr>
    </w:p>
    <w:p w:rsidR="006B32D3" w:rsidRPr="00457A71" w:rsidRDefault="006B32D3" w:rsidP="006B32D3">
      <w:pPr>
        <w:tabs>
          <w:tab w:val="center" w:pos="5400"/>
        </w:tabs>
        <w:suppressAutoHyphens/>
        <w:rPr>
          <w:rFonts w:asciiTheme="majorHAnsi" w:hAnsiTheme="majorHAnsi"/>
          <w:sz w:val="20"/>
          <w:szCs w:val="20"/>
        </w:rPr>
      </w:pPr>
    </w:p>
    <w:p w:rsidR="006B32D3" w:rsidRPr="00457A71" w:rsidRDefault="006B32D3" w:rsidP="006B32D3">
      <w:pPr>
        <w:tabs>
          <w:tab w:val="center" w:pos="5400"/>
        </w:tabs>
        <w:suppressAutoHyphens/>
        <w:rPr>
          <w:rFonts w:asciiTheme="majorHAnsi" w:hAnsiTheme="majorHAnsi"/>
          <w:sz w:val="20"/>
          <w:szCs w:val="20"/>
        </w:rPr>
      </w:pPr>
    </w:p>
    <w:p w:rsidR="006B32D3" w:rsidRPr="00457A71" w:rsidRDefault="006B32D3" w:rsidP="006B32D3">
      <w:pPr>
        <w:tabs>
          <w:tab w:val="center" w:pos="5400"/>
        </w:tabs>
        <w:suppressAutoHyphens/>
        <w:rPr>
          <w:rFonts w:asciiTheme="majorHAnsi" w:hAnsiTheme="majorHAnsi"/>
          <w:sz w:val="20"/>
          <w:szCs w:val="20"/>
        </w:rPr>
      </w:pPr>
    </w:p>
    <w:p w:rsidR="006B32D3" w:rsidRPr="00457A71" w:rsidRDefault="006B32D3" w:rsidP="006B32D3">
      <w:pPr>
        <w:tabs>
          <w:tab w:val="center" w:pos="5400"/>
        </w:tabs>
        <w:suppressAutoHyphens/>
        <w:rPr>
          <w:rFonts w:asciiTheme="majorHAnsi" w:hAnsiTheme="majorHAnsi"/>
          <w:sz w:val="20"/>
          <w:szCs w:val="20"/>
        </w:rPr>
      </w:pPr>
    </w:p>
    <w:p w:rsidR="006B32D3" w:rsidRPr="006B32D3" w:rsidRDefault="006B32D3" w:rsidP="006B32D3">
      <w:pPr>
        <w:tabs>
          <w:tab w:val="center" w:pos="5400"/>
        </w:tabs>
        <w:suppressAutoHyphens/>
        <w:rPr>
          <w:rFonts w:ascii="Cambria" w:hAnsi="Cambria"/>
          <w:sz w:val="20"/>
          <w:szCs w:val="20"/>
        </w:rPr>
      </w:pPr>
    </w:p>
    <w:p w:rsidR="006B32D3" w:rsidRPr="006B32D3" w:rsidRDefault="006B32D3" w:rsidP="006B32D3">
      <w:pPr>
        <w:tabs>
          <w:tab w:val="center" w:pos="5400"/>
        </w:tabs>
        <w:suppressAutoHyphens/>
        <w:rPr>
          <w:rFonts w:ascii="Cambria" w:hAnsi="Cambria"/>
          <w:sz w:val="20"/>
          <w:szCs w:val="20"/>
        </w:rPr>
      </w:pPr>
    </w:p>
    <w:p w:rsidR="006B32D3" w:rsidRPr="006B32D3" w:rsidRDefault="006B32D3" w:rsidP="006B32D3">
      <w:pPr>
        <w:tabs>
          <w:tab w:val="center" w:pos="5400"/>
        </w:tabs>
        <w:suppressAutoHyphens/>
        <w:rPr>
          <w:rFonts w:ascii="Cambria" w:hAnsi="Cambria"/>
          <w:sz w:val="20"/>
          <w:szCs w:val="20"/>
        </w:rPr>
      </w:pPr>
    </w:p>
    <w:p w:rsidR="006B32D3" w:rsidRPr="006B32D3" w:rsidRDefault="006B32D3" w:rsidP="006B32D3">
      <w:pPr>
        <w:tabs>
          <w:tab w:val="center" w:pos="5400"/>
        </w:tabs>
        <w:suppressAutoHyphens/>
        <w:rPr>
          <w:rFonts w:ascii="Cambria" w:hAnsi="Cambria"/>
          <w:sz w:val="20"/>
          <w:szCs w:val="20"/>
        </w:rPr>
      </w:pPr>
    </w:p>
    <w:p w:rsidR="006B32D3" w:rsidRPr="006B32D3" w:rsidRDefault="006B32D3" w:rsidP="006B32D3">
      <w:pPr>
        <w:tabs>
          <w:tab w:val="center" w:pos="5400"/>
        </w:tabs>
        <w:suppressAutoHyphens/>
        <w:rPr>
          <w:rFonts w:ascii="Cambria" w:hAnsi="Cambria"/>
          <w:sz w:val="20"/>
          <w:szCs w:val="20"/>
        </w:rPr>
      </w:pPr>
    </w:p>
    <w:p w:rsidR="006B32D3" w:rsidRPr="006B32D3" w:rsidRDefault="006B32D3" w:rsidP="006B32D3">
      <w:pPr>
        <w:tabs>
          <w:tab w:val="center" w:pos="5400"/>
        </w:tabs>
        <w:suppressAutoHyphens/>
        <w:rPr>
          <w:rFonts w:ascii="Cambria" w:hAnsi="Cambria"/>
          <w:sz w:val="20"/>
          <w:szCs w:val="20"/>
        </w:rPr>
      </w:pPr>
    </w:p>
    <w:p w:rsidR="006B32D3" w:rsidRPr="006B32D3" w:rsidRDefault="006B32D3" w:rsidP="006B32D3">
      <w:pPr>
        <w:tabs>
          <w:tab w:val="center" w:pos="5400"/>
        </w:tabs>
        <w:suppressAutoHyphens/>
        <w:rPr>
          <w:rFonts w:ascii="Cambria" w:hAnsi="Cambria"/>
          <w:sz w:val="20"/>
          <w:szCs w:val="20"/>
        </w:rPr>
      </w:pPr>
    </w:p>
    <w:p w:rsidR="006B32D3" w:rsidRPr="006B32D3" w:rsidRDefault="006B32D3" w:rsidP="006B32D3">
      <w:pPr>
        <w:tabs>
          <w:tab w:val="center" w:pos="5400"/>
        </w:tabs>
        <w:suppressAutoHyphens/>
        <w:rPr>
          <w:rFonts w:ascii="Cambria" w:hAnsi="Cambria"/>
          <w:sz w:val="20"/>
          <w:szCs w:val="20"/>
        </w:rPr>
      </w:pPr>
    </w:p>
    <w:p w:rsidR="006B32D3" w:rsidRPr="006B32D3" w:rsidRDefault="006B32D3" w:rsidP="006B32D3">
      <w:pPr>
        <w:tabs>
          <w:tab w:val="center" w:pos="5400"/>
        </w:tabs>
        <w:suppressAutoHyphens/>
        <w:rPr>
          <w:rFonts w:ascii="Cambria" w:hAnsi="Cambria"/>
          <w:sz w:val="20"/>
          <w:szCs w:val="20"/>
        </w:rPr>
      </w:pPr>
    </w:p>
    <w:p w:rsidR="006B32D3" w:rsidRPr="006B32D3" w:rsidRDefault="006B32D3" w:rsidP="006B32D3">
      <w:pPr>
        <w:tabs>
          <w:tab w:val="center" w:pos="5400"/>
        </w:tabs>
        <w:suppressAutoHyphens/>
        <w:rPr>
          <w:rFonts w:ascii="Cambria" w:hAnsi="Cambria"/>
          <w:sz w:val="20"/>
          <w:szCs w:val="20"/>
        </w:rPr>
      </w:pPr>
    </w:p>
    <w:p w:rsidR="006B32D3" w:rsidRPr="006B32D3" w:rsidRDefault="006B32D3" w:rsidP="006B32D3">
      <w:pPr>
        <w:tabs>
          <w:tab w:val="center" w:pos="5400"/>
        </w:tabs>
        <w:suppressAutoHyphens/>
        <w:rPr>
          <w:rFonts w:ascii="Cambria" w:hAnsi="Cambria"/>
          <w:sz w:val="20"/>
          <w:szCs w:val="20"/>
        </w:rPr>
      </w:pPr>
    </w:p>
    <w:p w:rsidR="006B32D3" w:rsidRPr="006B32D3" w:rsidRDefault="006B32D3" w:rsidP="006B32D3">
      <w:pPr>
        <w:tabs>
          <w:tab w:val="center" w:pos="5400"/>
        </w:tabs>
        <w:suppressAutoHyphens/>
        <w:rPr>
          <w:rFonts w:ascii="Cambria" w:hAnsi="Cambria"/>
          <w:sz w:val="20"/>
          <w:szCs w:val="20"/>
        </w:rPr>
      </w:pPr>
    </w:p>
    <w:p w:rsidR="006B32D3" w:rsidRPr="006B32D3" w:rsidRDefault="006B32D3" w:rsidP="006B32D3">
      <w:pPr>
        <w:tabs>
          <w:tab w:val="left" w:pos="2820"/>
        </w:tabs>
        <w:suppressAutoHyphens/>
        <w:rPr>
          <w:rFonts w:ascii="Cambria" w:hAnsi="Cambria"/>
          <w:sz w:val="20"/>
          <w:szCs w:val="20"/>
        </w:rPr>
      </w:pPr>
      <w:r>
        <w:tab/>
      </w:r>
    </w:p>
    <w:p w:rsidR="006B32D3" w:rsidRPr="006B32D3" w:rsidRDefault="006B32D3" w:rsidP="006B32D3">
      <w:pPr>
        <w:tabs>
          <w:tab w:val="center" w:pos="5400"/>
        </w:tabs>
        <w:suppressAutoHyphens/>
        <w:rPr>
          <w:rFonts w:ascii="Cambria" w:hAnsi="Cambria"/>
          <w:sz w:val="20"/>
          <w:szCs w:val="20"/>
        </w:rPr>
      </w:pPr>
    </w:p>
    <w:p w:rsidR="006B32D3" w:rsidRPr="006B32D3" w:rsidRDefault="006B32D3" w:rsidP="006B32D3">
      <w:pPr>
        <w:tabs>
          <w:tab w:val="center" w:pos="5400"/>
        </w:tabs>
        <w:suppressAutoHyphens/>
        <w:rPr>
          <w:rFonts w:ascii="Cambria" w:hAnsi="Cambria"/>
          <w:sz w:val="20"/>
          <w:szCs w:val="20"/>
        </w:rPr>
      </w:pPr>
    </w:p>
    <w:p w:rsidR="006B32D3" w:rsidRPr="006B32D3" w:rsidRDefault="006B32D3" w:rsidP="006B32D3">
      <w:pPr>
        <w:tabs>
          <w:tab w:val="center" w:pos="5400"/>
        </w:tabs>
        <w:suppressAutoHyphens/>
        <w:rPr>
          <w:rFonts w:ascii="Cambria" w:hAnsi="Cambria"/>
          <w:sz w:val="20"/>
          <w:szCs w:val="20"/>
        </w:rPr>
      </w:pPr>
    </w:p>
    <w:p w:rsidR="006B32D3" w:rsidRPr="006B32D3" w:rsidRDefault="006B32D3" w:rsidP="006B32D3">
      <w:pPr>
        <w:tabs>
          <w:tab w:val="center" w:pos="5400"/>
        </w:tabs>
        <w:suppressAutoHyphens/>
        <w:rPr>
          <w:rFonts w:ascii="Cambria" w:hAnsi="Cambria"/>
          <w:sz w:val="20"/>
          <w:szCs w:val="20"/>
        </w:rPr>
      </w:pPr>
    </w:p>
    <w:p w:rsidR="006B32D3" w:rsidRPr="006B32D3" w:rsidRDefault="006B32D3" w:rsidP="006B32D3">
      <w:pPr>
        <w:tabs>
          <w:tab w:val="center" w:pos="5400"/>
        </w:tabs>
        <w:suppressAutoHyphens/>
        <w:rPr>
          <w:rFonts w:ascii="Cambria" w:hAnsi="Cambria"/>
          <w:sz w:val="20"/>
          <w:szCs w:val="20"/>
        </w:rPr>
      </w:pPr>
    </w:p>
    <w:p w:rsidR="006B32D3" w:rsidRPr="006B32D3" w:rsidRDefault="006B32D3" w:rsidP="006B32D3">
      <w:pPr>
        <w:tabs>
          <w:tab w:val="center" w:pos="5400"/>
        </w:tabs>
        <w:suppressAutoHyphens/>
        <w:spacing w:line="276" w:lineRule="auto"/>
        <w:rPr>
          <w:rFonts w:ascii="Cambria" w:hAnsi="Cambria"/>
          <w:sz w:val="20"/>
          <w:szCs w:val="20"/>
        </w:rPr>
      </w:pPr>
    </w:p>
    <w:p w:rsidR="006B32D3" w:rsidRPr="006B32D3" w:rsidRDefault="006B32D3" w:rsidP="006B32D3">
      <w:pPr>
        <w:tabs>
          <w:tab w:val="center" w:pos="5400"/>
        </w:tabs>
        <w:suppressAutoHyphens/>
        <w:spacing w:line="276" w:lineRule="auto"/>
        <w:rPr>
          <w:rFonts w:ascii="Cambria" w:hAnsi="Cambria"/>
          <w:sz w:val="20"/>
          <w:szCs w:val="20"/>
        </w:rPr>
      </w:pPr>
    </w:p>
    <w:p w:rsidR="006B32D3" w:rsidRPr="006B32D3" w:rsidRDefault="006B32D3" w:rsidP="006B32D3">
      <w:pPr>
        <w:rPr>
          <w:rFonts w:ascii="Cambria" w:hAnsi="Cambria"/>
          <w:sz w:val="20"/>
          <w:szCs w:val="20"/>
        </w:rPr>
      </w:pPr>
      <w:r>
        <w:br w:type="page"/>
      </w:r>
    </w:p>
    <w:p w:rsidR="006B32D3" w:rsidRPr="00BD1D6C" w:rsidRDefault="006B32D3" w:rsidP="006B32D3">
      <w:pPr>
        <w:tabs>
          <w:tab w:val="left" w:pos="720"/>
        </w:tabs>
        <w:jc w:val="center"/>
        <w:rPr>
          <w:rFonts w:ascii="Cambria" w:hAnsi="Cambria"/>
          <w:sz w:val="20"/>
          <w:szCs w:val="20"/>
        </w:rPr>
      </w:pPr>
      <w:r>
        <w:rPr>
          <w:rFonts w:ascii="Cambria" w:hAnsi="Cambria"/>
          <w:b/>
          <w:sz w:val="18"/>
        </w:rPr>
        <w:lastRenderedPageBreak/>
        <w:t xml:space="preserve">REPORT No. </w:t>
      </w:r>
      <w:r w:rsidR="00457A71">
        <w:rPr>
          <w:rFonts w:ascii="Cambria" w:hAnsi="Cambria"/>
          <w:b/>
          <w:sz w:val="18"/>
        </w:rPr>
        <w:t>33</w:t>
      </w:r>
      <w:r>
        <w:rPr>
          <w:rFonts w:ascii="Cambria" w:hAnsi="Cambria"/>
          <w:b/>
          <w:sz w:val="18"/>
        </w:rPr>
        <w:t>/17</w:t>
      </w:r>
    </w:p>
    <w:p w:rsidR="006B32D3" w:rsidRPr="00BD1D6C" w:rsidRDefault="006B32D3" w:rsidP="006B32D3">
      <w:pPr>
        <w:tabs>
          <w:tab w:val="center" w:pos="5400"/>
        </w:tabs>
        <w:suppressAutoHyphens/>
        <w:spacing w:line="276" w:lineRule="auto"/>
        <w:jc w:val="center"/>
        <w:rPr>
          <w:rFonts w:ascii="Cambria" w:hAnsi="Cambria"/>
          <w:b/>
          <w:sz w:val="18"/>
          <w:szCs w:val="18"/>
        </w:rPr>
      </w:pPr>
      <w:r>
        <w:rPr>
          <w:rFonts w:ascii="Cambria" w:hAnsi="Cambria"/>
          <w:b/>
          <w:sz w:val="18"/>
        </w:rPr>
        <w:t>CASE 11.639</w:t>
      </w:r>
    </w:p>
    <w:p w:rsidR="006B32D3" w:rsidRPr="00BD1D6C" w:rsidRDefault="006B32D3" w:rsidP="006B32D3">
      <w:pPr>
        <w:tabs>
          <w:tab w:val="center" w:pos="5400"/>
        </w:tabs>
        <w:suppressAutoHyphens/>
        <w:spacing w:line="276" w:lineRule="auto"/>
        <w:jc w:val="center"/>
        <w:rPr>
          <w:rFonts w:ascii="Cambria" w:hAnsi="Cambria"/>
          <w:sz w:val="18"/>
          <w:szCs w:val="18"/>
        </w:rPr>
      </w:pPr>
      <w:r>
        <w:rPr>
          <w:rFonts w:ascii="Cambria" w:hAnsi="Cambria"/>
          <w:sz w:val="18"/>
        </w:rPr>
        <w:t>REPORT ON ADMISSIBILITY AND MERITS</w:t>
      </w:r>
    </w:p>
    <w:p w:rsidR="006B32D3" w:rsidRPr="00BD1D6C" w:rsidRDefault="006B32D3" w:rsidP="006B32D3">
      <w:pPr>
        <w:tabs>
          <w:tab w:val="center" w:pos="5400"/>
        </w:tabs>
        <w:suppressAutoHyphens/>
        <w:spacing w:line="276" w:lineRule="auto"/>
        <w:jc w:val="center"/>
        <w:rPr>
          <w:rFonts w:ascii="Cambria" w:hAnsi="Cambria"/>
          <w:sz w:val="18"/>
          <w:szCs w:val="18"/>
        </w:rPr>
      </w:pPr>
      <w:r>
        <w:rPr>
          <w:rFonts w:ascii="Cambria" w:hAnsi="Cambria"/>
          <w:sz w:val="18"/>
        </w:rPr>
        <w:t>ALEJANDRO YOVANY GÓMEZ VIRULA AND FAMILY</w:t>
      </w:r>
    </w:p>
    <w:p w:rsidR="006B32D3" w:rsidRPr="00BD1D6C" w:rsidRDefault="006B32D3" w:rsidP="006B32D3">
      <w:pPr>
        <w:tabs>
          <w:tab w:val="center" w:pos="5400"/>
        </w:tabs>
        <w:suppressAutoHyphens/>
        <w:spacing w:line="276" w:lineRule="auto"/>
        <w:jc w:val="center"/>
        <w:rPr>
          <w:rFonts w:ascii="Cambria" w:hAnsi="Cambria"/>
          <w:sz w:val="18"/>
          <w:szCs w:val="18"/>
        </w:rPr>
      </w:pPr>
      <w:r>
        <w:rPr>
          <w:rFonts w:ascii="Cambria" w:hAnsi="Cambria"/>
          <w:sz w:val="18"/>
        </w:rPr>
        <w:t>GUATEMALA</w:t>
      </w:r>
    </w:p>
    <w:p w:rsidR="006B32D3" w:rsidRPr="00BD1D6C" w:rsidRDefault="00457A71" w:rsidP="006B32D3">
      <w:pPr>
        <w:tabs>
          <w:tab w:val="center" w:pos="5400"/>
        </w:tabs>
        <w:suppressAutoHyphens/>
        <w:spacing w:line="276" w:lineRule="auto"/>
        <w:jc w:val="center"/>
        <w:rPr>
          <w:rFonts w:ascii="Cambria" w:hAnsi="Cambria"/>
          <w:sz w:val="18"/>
          <w:szCs w:val="18"/>
        </w:rPr>
      </w:pPr>
      <w:r>
        <w:rPr>
          <w:rFonts w:ascii="Cambria" w:hAnsi="Cambria"/>
          <w:sz w:val="18"/>
        </w:rPr>
        <w:t>MARCH 21, 2017</w:t>
      </w:r>
    </w:p>
    <w:p w:rsidR="006B32D3" w:rsidRDefault="006B32D3" w:rsidP="006B32D3">
      <w:pPr>
        <w:tabs>
          <w:tab w:val="center" w:pos="5400"/>
        </w:tabs>
        <w:suppressAutoHyphens/>
        <w:rPr>
          <w:rFonts w:ascii="Cambria" w:hAnsi="Cambria"/>
          <w:sz w:val="20"/>
          <w:szCs w:val="20"/>
        </w:rPr>
      </w:pPr>
    </w:p>
    <w:p w:rsidR="006B32D3" w:rsidRPr="00BF3D11" w:rsidRDefault="006B32D3" w:rsidP="006B32D3">
      <w:pPr>
        <w:tabs>
          <w:tab w:val="center" w:pos="5400"/>
        </w:tabs>
        <w:suppressAutoHyphens/>
        <w:rPr>
          <w:rFonts w:ascii="Cambria" w:hAnsi="Cambria"/>
          <w:sz w:val="20"/>
          <w:szCs w:val="20"/>
        </w:rPr>
      </w:pPr>
    </w:p>
    <w:p w:rsidR="006B32D3" w:rsidRPr="00963CDB" w:rsidRDefault="006B32D3" w:rsidP="006B32D3">
      <w:pPr>
        <w:pStyle w:val="Heading1"/>
      </w:pPr>
      <w:bookmarkStart w:id="2" w:name="_Toc370830569"/>
      <w:bookmarkStart w:id="3" w:name="_Toc370831280"/>
      <w:bookmarkStart w:id="4" w:name="_Toc412635569"/>
      <w:bookmarkStart w:id="5" w:name="_Toc416685625"/>
      <w:bookmarkStart w:id="6" w:name="_Toc473188683"/>
      <w:bookmarkStart w:id="7" w:name="_Toc478023960"/>
      <w:r>
        <w:t>SUMMARY</w:t>
      </w:r>
      <w:bookmarkEnd w:id="2"/>
      <w:bookmarkEnd w:id="3"/>
      <w:bookmarkEnd w:id="4"/>
      <w:bookmarkEnd w:id="5"/>
      <w:bookmarkEnd w:id="6"/>
      <w:bookmarkEnd w:id="7"/>
    </w:p>
    <w:p w:rsidR="006B32D3" w:rsidRPr="00BF3D11" w:rsidRDefault="006B32D3" w:rsidP="006B32D3">
      <w:pPr>
        <w:ind w:firstLine="567"/>
        <w:jc w:val="both"/>
        <w:rPr>
          <w:rFonts w:ascii="Cambria" w:hAnsi="Cambria" w:cs="Arial"/>
          <w:sz w:val="20"/>
          <w:szCs w:val="20"/>
        </w:rPr>
      </w:pPr>
    </w:p>
    <w:p w:rsidR="006B32D3" w:rsidRPr="00BF3D11" w:rsidRDefault="006B32D3" w:rsidP="006B32D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Pr>
          <w:rFonts w:ascii="Cambria" w:hAnsi="Cambria"/>
          <w:sz w:val="20"/>
        </w:rPr>
        <w:t xml:space="preserve">On July 17, 1995, the Inter-American Commission on Human Rights (hereinafter "the Commission,"  "the Inter-American Commission," or "the IACHR") received a petition lodged by Antonio Gómez, Paula </w:t>
      </w:r>
      <w:proofErr w:type="spellStart"/>
      <w:r>
        <w:rPr>
          <w:rFonts w:ascii="Cambria" w:hAnsi="Cambria"/>
          <w:sz w:val="20"/>
        </w:rPr>
        <w:t>Virula</w:t>
      </w:r>
      <w:proofErr w:type="spellEnd"/>
      <w:r>
        <w:rPr>
          <w:rFonts w:ascii="Cambria" w:hAnsi="Cambria"/>
          <w:sz w:val="20"/>
        </w:rPr>
        <w:t xml:space="preserve">, the </w:t>
      </w:r>
      <w:r>
        <w:rPr>
          <w:rFonts w:ascii="Cambria" w:hAnsi="Cambria"/>
          <w:i/>
          <w:sz w:val="20"/>
        </w:rPr>
        <w:t>Guatemala Labor Education Project</w:t>
      </w:r>
      <w:r>
        <w:rPr>
          <w:rFonts w:ascii="Cambria" w:hAnsi="Cambria"/>
          <w:sz w:val="20"/>
        </w:rPr>
        <w:t xml:space="preserve"> and the Guatemalan Workers Union [Unión </w:t>
      </w:r>
      <w:proofErr w:type="spellStart"/>
      <w:r>
        <w:rPr>
          <w:rFonts w:ascii="Cambria" w:hAnsi="Cambria"/>
          <w:sz w:val="20"/>
        </w:rPr>
        <w:t>Sindical</w:t>
      </w:r>
      <w:proofErr w:type="spellEnd"/>
      <w:r>
        <w:rPr>
          <w:rFonts w:ascii="Cambria" w:hAnsi="Cambria"/>
          <w:sz w:val="20"/>
        </w:rPr>
        <w:t xml:space="preserve"> de </w:t>
      </w:r>
      <w:proofErr w:type="spellStart"/>
      <w:r>
        <w:rPr>
          <w:rFonts w:ascii="Cambria" w:hAnsi="Cambria"/>
          <w:sz w:val="20"/>
        </w:rPr>
        <w:t>Trabajadores</w:t>
      </w:r>
      <w:proofErr w:type="spellEnd"/>
      <w:r>
        <w:rPr>
          <w:rFonts w:ascii="Cambria" w:hAnsi="Cambria"/>
          <w:sz w:val="20"/>
        </w:rPr>
        <w:t xml:space="preserve"> de Guatemala]</w:t>
      </w:r>
      <w:r>
        <w:rPr>
          <w:rStyle w:val="FootnoteReference"/>
          <w:rFonts w:ascii="Cambria" w:hAnsi="Cambria"/>
          <w:sz w:val="20"/>
        </w:rPr>
        <w:footnoteReference w:id="2"/>
      </w:r>
      <w:r>
        <w:rPr>
          <w:rFonts w:ascii="Cambria" w:hAnsi="Cambria"/>
          <w:sz w:val="20"/>
        </w:rPr>
        <w:t xml:space="preserve"> (hereinafter “the petitioners”), alleging that the Republic of Guatemala (hereinafter "the State," "the Guatemalan State," or "Guatemala") bore international responsibility for the disappearance and subsequent death of Alejandro </w:t>
      </w:r>
      <w:proofErr w:type="spellStart"/>
      <w:r>
        <w:rPr>
          <w:rFonts w:ascii="Cambria" w:hAnsi="Cambria"/>
          <w:sz w:val="20"/>
        </w:rPr>
        <w:t>Yovany</w:t>
      </w:r>
      <w:proofErr w:type="spellEnd"/>
      <w:r>
        <w:rPr>
          <w:rFonts w:ascii="Cambria" w:hAnsi="Cambria"/>
          <w:sz w:val="20"/>
        </w:rPr>
        <w:t xml:space="preserve"> Gómez </w:t>
      </w:r>
      <w:proofErr w:type="spellStart"/>
      <w:r>
        <w:rPr>
          <w:rFonts w:ascii="Cambria" w:hAnsi="Cambria"/>
          <w:sz w:val="20"/>
        </w:rPr>
        <w:t>Virula</w:t>
      </w:r>
      <w:proofErr w:type="spellEnd"/>
      <w:r>
        <w:rPr>
          <w:rFonts w:ascii="Cambria" w:hAnsi="Cambria"/>
          <w:sz w:val="20"/>
        </w:rPr>
        <w:t>, both of which occurred in March 1995.</w:t>
      </w:r>
    </w:p>
    <w:p w:rsidR="006B32D3" w:rsidRPr="00BF3D11" w:rsidRDefault="006B32D3" w:rsidP="006B32D3">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rPr>
      </w:pPr>
    </w:p>
    <w:p w:rsidR="006B32D3" w:rsidRPr="00BF3D11" w:rsidRDefault="006B32D3" w:rsidP="00457A7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Pr>
          <w:rFonts w:ascii="Cambria" w:hAnsi="Cambria"/>
          <w:sz w:val="20"/>
        </w:rPr>
        <w:t xml:space="preserve"> The petitioners stated the Mr. Gómez, a trade union activist, was forcibly disappeared on March 13, 1995. They said that his body, with signs of having been tortured, was found six days later. The petitioners claimed that despite the complaints they filed regarding the disappearance and their finding </w:t>
      </w:r>
      <w:r w:rsidR="00670E42">
        <w:rPr>
          <w:rFonts w:ascii="Cambria" w:hAnsi="Cambria"/>
          <w:sz w:val="20"/>
        </w:rPr>
        <w:t>of the</w:t>
      </w:r>
      <w:r>
        <w:rPr>
          <w:rFonts w:ascii="Cambria" w:hAnsi="Cambria"/>
          <w:sz w:val="20"/>
        </w:rPr>
        <w:t xml:space="preserve"> corpse, the State took no specific steps to investigate the facts. </w:t>
      </w:r>
      <w:r w:rsidR="00457A71" w:rsidRPr="00457A71">
        <w:rPr>
          <w:rFonts w:ascii="Cambria" w:hAnsi="Cambria"/>
          <w:sz w:val="20"/>
        </w:rPr>
        <w:t>They indicated that during the time that Mr. Gómez was missing, it was a forced disappearance.</w:t>
      </w:r>
      <w:r w:rsidR="00457A71">
        <w:rPr>
          <w:rFonts w:ascii="Cambria" w:hAnsi="Cambria"/>
          <w:sz w:val="20"/>
        </w:rPr>
        <w:t xml:space="preserve"> </w:t>
      </w:r>
      <w:bookmarkStart w:id="8" w:name="_GoBack"/>
      <w:r>
        <w:rPr>
          <w:rFonts w:ascii="Cambria" w:hAnsi="Cambria"/>
          <w:sz w:val="20"/>
        </w:rPr>
        <w:t>They added that even though there were elements linking those facts to Mr. Gómez's work as a trade unionist, the State decided to shelve the investigation file for lack of evidence. With respect to admissibility requirements, they invoked the exception established in Article 46.2.b of the American Convention.</w:t>
      </w:r>
    </w:p>
    <w:bookmarkEnd w:id="8"/>
    <w:p w:rsidR="006B32D3" w:rsidRPr="00BF3D11" w:rsidRDefault="006B32D3" w:rsidP="006B32D3">
      <w:pPr>
        <w:pStyle w:val="BodyTextIndent"/>
        <w:ind w:left="0" w:firstLine="0"/>
        <w:rPr>
          <w:rFonts w:ascii="Cambria" w:hAnsi="Cambria"/>
          <w:sz w:val="20"/>
          <w:szCs w:val="20"/>
        </w:rPr>
      </w:pPr>
    </w:p>
    <w:p w:rsidR="006B32D3" w:rsidRPr="00BF3D11" w:rsidRDefault="006B32D3" w:rsidP="006B32D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Pr>
          <w:rFonts w:ascii="Cambria" w:hAnsi="Cambria"/>
          <w:sz w:val="20"/>
        </w:rPr>
        <w:t>For its part, the State presented various different arguments during processing of the case before the IACHR. Initially, the State maintained that an investigation had been started in order to throw light on what had happened to Mr. Gómez and identify those responsible. It added that despite the efforts undertaken, the file of the investigation had been archived for lack of evidence. Later on, the State indicated that there were no records in the Public Prosecutors' Office database in which Mr. Gómez appears as a complainant or injured party/victim.</w:t>
      </w:r>
    </w:p>
    <w:p w:rsidR="006B32D3" w:rsidRPr="00BF3D11" w:rsidRDefault="006B32D3" w:rsidP="006B32D3">
      <w:pPr>
        <w:pStyle w:val="BodyTextIndent"/>
        <w:ind w:left="0" w:firstLine="567"/>
        <w:rPr>
          <w:rFonts w:ascii="Cambria" w:hAnsi="Cambria"/>
          <w:sz w:val="20"/>
          <w:szCs w:val="20"/>
        </w:rPr>
      </w:pPr>
    </w:p>
    <w:p w:rsidR="006B32D3" w:rsidRPr="00BF3D11" w:rsidRDefault="006B32D3" w:rsidP="006B32D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Pr>
          <w:rFonts w:ascii="Cambria" w:hAnsi="Cambria"/>
          <w:sz w:val="20"/>
        </w:rPr>
        <w:t xml:space="preserve">After analyzing the information available, the Commission verified compliance with the admissibility requirements  set forth in Articles 46 and 47 of the American Convention, concluded that the case is admissible, and determined that that the State is responsible for </w:t>
      </w:r>
      <w:proofErr w:type="spellStart"/>
      <w:r>
        <w:rPr>
          <w:rFonts w:ascii="Cambria" w:hAnsi="Cambria"/>
          <w:sz w:val="20"/>
        </w:rPr>
        <w:t>i</w:t>
      </w:r>
      <w:proofErr w:type="spellEnd"/>
      <w:r>
        <w:rPr>
          <w:rFonts w:ascii="Cambria" w:hAnsi="Cambria"/>
          <w:sz w:val="20"/>
        </w:rPr>
        <w:t xml:space="preserve">) violation of the rights to life, personal integrity, and personal liberty established in Articles 4.1, 5.1, 7.1, 16, 8.1, and 25.1 of the American Convention, in conjunction with Article 1.1 of the same instrument, to the detriment of Alejandro </w:t>
      </w:r>
      <w:proofErr w:type="spellStart"/>
      <w:r>
        <w:rPr>
          <w:rFonts w:ascii="Cambria" w:hAnsi="Cambria"/>
          <w:sz w:val="20"/>
        </w:rPr>
        <w:t>Yovany</w:t>
      </w:r>
      <w:proofErr w:type="spellEnd"/>
      <w:r>
        <w:rPr>
          <w:rFonts w:ascii="Cambria" w:hAnsi="Cambria"/>
          <w:sz w:val="20"/>
        </w:rPr>
        <w:t xml:space="preserve"> Gómez </w:t>
      </w:r>
      <w:proofErr w:type="spellStart"/>
      <w:r>
        <w:rPr>
          <w:rFonts w:ascii="Cambria" w:hAnsi="Cambria"/>
          <w:sz w:val="20"/>
        </w:rPr>
        <w:t>Virula</w:t>
      </w:r>
      <w:proofErr w:type="spellEnd"/>
      <w:r>
        <w:rPr>
          <w:rFonts w:ascii="Cambria" w:hAnsi="Cambria"/>
          <w:sz w:val="20"/>
        </w:rPr>
        <w:t xml:space="preserve">;  and ii) violation of the rights to personal integrity, judicial guarantees and judicial protection established in Articles 5.1, 8.1, and 25.1 of the American Convention, in conjunction with Article 1.1 of the same instrument, to the detriment of  Mr. Gómez's parents, Antonio Gómez and Paula </w:t>
      </w:r>
      <w:proofErr w:type="spellStart"/>
      <w:r>
        <w:rPr>
          <w:rFonts w:ascii="Cambria" w:hAnsi="Cambria"/>
          <w:sz w:val="20"/>
        </w:rPr>
        <w:t>Virula</w:t>
      </w:r>
      <w:proofErr w:type="spellEnd"/>
      <w:r>
        <w:rPr>
          <w:rFonts w:ascii="Cambria" w:hAnsi="Cambria"/>
          <w:sz w:val="20"/>
        </w:rPr>
        <w:t>.</w:t>
      </w:r>
    </w:p>
    <w:p w:rsidR="006B32D3" w:rsidRPr="00BF3D11" w:rsidRDefault="006B32D3" w:rsidP="006B32D3">
      <w:pPr>
        <w:pStyle w:val="NormalWeb"/>
        <w:spacing w:before="0" w:beforeAutospacing="0" w:after="0" w:afterAutospacing="0"/>
        <w:ind w:firstLine="567"/>
        <w:jc w:val="both"/>
        <w:rPr>
          <w:rFonts w:ascii="Cambria" w:hAnsi="Cambria" w:cs="Arial"/>
          <w:sz w:val="20"/>
          <w:szCs w:val="20"/>
        </w:rPr>
      </w:pPr>
    </w:p>
    <w:p w:rsidR="006B32D3" w:rsidRPr="00996FA3" w:rsidRDefault="006B32D3" w:rsidP="006B32D3">
      <w:pPr>
        <w:pStyle w:val="Heading1"/>
      </w:pPr>
      <w:bookmarkStart w:id="9" w:name="_Toc370830570"/>
      <w:bookmarkStart w:id="10" w:name="_Toc370831281"/>
      <w:bookmarkStart w:id="11" w:name="_Toc412635570"/>
      <w:bookmarkStart w:id="12" w:name="_Toc416685626"/>
      <w:bookmarkStart w:id="13" w:name="_Toc473188684"/>
      <w:bookmarkStart w:id="14" w:name="_Toc478023961"/>
      <w:r>
        <w:t>PROCEEDINGS BEFORE THE COMMISSION</w:t>
      </w:r>
      <w:bookmarkEnd w:id="9"/>
      <w:bookmarkEnd w:id="10"/>
      <w:bookmarkEnd w:id="11"/>
      <w:bookmarkEnd w:id="12"/>
      <w:bookmarkEnd w:id="13"/>
      <w:bookmarkEnd w:id="14"/>
      <w:r>
        <w:t xml:space="preserve"> </w:t>
      </w:r>
    </w:p>
    <w:p w:rsidR="006B32D3" w:rsidRPr="00BF3D11" w:rsidRDefault="006B32D3" w:rsidP="006B32D3">
      <w:pPr>
        <w:tabs>
          <w:tab w:val="center" w:pos="5400"/>
        </w:tabs>
        <w:suppressAutoHyphens/>
        <w:rPr>
          <w:rFonts w:ascii="Cambria" w:hAnsi="Cambria"/>
          <w:sz w:val="20"/>
          <w:szCs w:val="20"/>
        </w:rPr>
      </w:pPr>
    </w:p>
    <w:p w:rsidR="006B32D3" w:rsidRPr="00BF3D11" w:rsidRDefault="006B32D3" w:rsidP="006B32D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s="Arial"/>
          <w:sz w:val="20"/>
          <w:szCs w:val="20"/>
        </w:rPr>
      </w:pPr>
      <w:r>
        <w:rPr>
          <w:rFonts w:ascii="Cambria" w:hAnsi="Cambria"/>
          <w:sz w:val="20"/>
        </w:rPr>
        <w:t xml:space="preserve">On July 17, 1995, Antonio Gómez, Paula </w:t>
      </w:r>
      <w:proofErr w:type="spellStart"/>
      <w:r>
        <w:rPr>
          <w:rFonts w:ascii="Cambria" w:hAnsi="Cambria"/>
          <w:sz w:val="20"/>
        </w:rPr>
        <w:t>Virula</w:t>
      </w:r>
      <w:proofErr w:type="spellEnd"/>
      <w:r>
        <w:rPr>
          <w:rFonts w:ascii="Cambria" w:hAnsi="Cambria"/>
          <w:sz w:val="20"/>
        </w:rPr>
        <w:t xml:space="preserve">, the Guatemala Labor Education Project and Unión </w:t>
      </w:r>
      <w:proofErr w:type="spellStart"/>
      <w:r>
        <w:rPr>
          <w:rFonts w:ascii="Cambria" w:hAnsi="Cambria"/>
          <w:sz w:val="20"/>
        </w:rPr>
        <w:t>Sindical</w:t>
      </w:r>
      <w:proofErr w:type="spellEnd"/>
      <w:r>
        <w:rPr>
          <w:rFonts w:ascii="Cambria" w:hAnsi="Cambria"/>
          <w:sz w:val="20"/>
        </w:rPr>
        <w:t xml:space="preserve"> de </w:t>
      </w:r>
      <w:proofErr w:type="spellStart"/>
      <w:r>
        <w:rPr>
          <w:rFonts w:ascii="Cambria" w:hAnsi="Cambria"/>
          <w:sz w:val="20"/>
        </w:rPr>
        <w:t>Trabajadores</w:t>
      </w:r>
      <w:proofErr w:type="spellEnd"/>
      <w:r>
        <w:rPr>
          <w:rFonts w:ascii="Cambria" w:hAnsi="Cambria"/>
          <w:sz w:val="20"/>
        </w:rPr>
        <w:t xml:space="preserve"> de Guatemala lodged the initial petition</w:t>
      </w:r>
      <w:r w:rsidR="00670E42">
        <w:rPr>
          <w:rFonts w:ascii="Cambria" w:hAnsi="Cambria"/>
          <w:sz w:val="20"/>
        </w:rPr>
        <w:t>.</w:t>
      </w:r>
      <w:r>
        <w:rPr>
          <w:rFonts w:ascii="Cambria" w:hAnsi="Cambria"/>
          <w:sz w:val="20"/>
        </w:rPr>
        <w:t xml:space="preserve"> On June 17, 1996, the IACHR forwarded that communication to the State with a request that it provide information on the alleged acts and on whether domestic remedies had been exhausted. The State submitted its response on September 24, 1996.</w:t>
      </w:r>
    </w:p>
    <w:p w:rsidR="006B32D3" w:rsidRPr="00BF3D11" w:rsidRDefault="006B32D3" w:rsidP="006B32D3">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s="Arial"/>
          <w:sz w:val="20"/>
          <w:szCs w:val="20"/>
        </w:rPr>
      </w:pPr>
    </w:p>
    <w:p w:rsidR="006B32D3" w:rsidRPr="00BF3D11" w:rsidRDefault="006B32D3" w:rsidP="006B32D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s="Arial"/>
          <w:sz w:val="20"/>
          <w:szCs w:val="20"/>
        </w:rPr>
      </w:pPr>
      <w:r>
        <w:rPr>
          <w:rFonts w:ascii="Cambria" w:hAnsi="Cambria"/>
          <w:sz w:val="20"/>
        </w:rPr>
        <w:lastRenderedPageBreak/>
        <w:t>On October 10, 1996, the Commission held a working meeting with the parties. The State presented communications on June 16, 1997 and November 30, 1999. The petitioners did so on March 23, 2000 and March 26, 2003. The Commission duly forwarded those communications to the other parties.</w:t>
      </w:r>
    </w:p>
    <w:p w:rsidR="006B32D3" w:rsidRPr="00BF3D11" w:rsidRDefault="006B32D3" w:rsidP="006B32D3">
      <w:pPr>
        <w:jc w:val="both"/>
        <w:rPr>
          <w:rFonts w:ascii="Cambria" w:hAnsi="Cambria" w:cs="Arial"/>
          <w:sz w:val="20"/>
          <w:szCs w:val="20"/>
        </w:rPr>
      </w:pPr>
    </w:p>
    <w:p w:rsidR="006B32D3" w:rsidRPr="00BF3D11" w:rsidRDefault="006B32D3" w:rsidP="006B32D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Pr>
          <w:rFonts w:ascii="Cambria" w:hAnsi="Cambria"/>
          <w:sz w:val="20"/>
        </w:rPr>
        <w:t>On July 31, 2003, the Commission informed the Guatemalan State and the petitioners that "given that during the processing of the instant petition the parties had had ample opportunities to provide information regarding the complaint and arguments regarding both its admissibility and merits," it had decided to apply Article 37.3 of the Rules of Procedure in force at the time. Consequently</w:t>
      </w:r>
      <w:r w:rsidR="00670E42">
        <w:rPr>
          <w:rFonts w:ascii="Cambria" w:hAnsi="Cambria"/>
          <w:sz w:val="20"/>
        </w:rPr>
        <w:t>, the</w:t>
      </w:r>
      <w:r>
        <w:rPr>
          <w:rFonts w:ascii="Cambria" w:hAnsi="Cambria"/>
          <w:sz w:val="20"/>
        </w:rPr>
        <w:t xml:space="preserve"> IACHR </w:t>
      </w:r>
      <w:r w:rsidR="00670E42">
        <w:rPr>
          <w:rFonts w:ascii="Cambria" w:hAnsi="Cambria"/>
          <w:sz w:val="20"/>
        </w:rPr>
        <w:t>deferred discussion</w:t>
      </w:r>
      <w:r>
        <w:rPr>
          <w:rFonts w:ascii="Cambria" w:hAnsi="Cambria"/>
          <w:sz w:val="20"/>
        </w:rPr>
        <w:t xml:space="preserve"> of admissibility until the debate and decision on the merits. </w:t>
      </w:r>
    </w:p>
    <w:p w:rsidR="006B32D3" w:rsidRPr="00BF3D11" w:rsidRDefault="006B32D3" w:rsidP="006B32D3">
      <w:pPr>
        <w:pStyle w:val="ColorfulList-Accent11"/>
        <w:rPr>
          <w:rFonts w:ascii="Cambria" w:hAnsi="Cambria"/>
          <w:sz w:val="20"/>
          <w:szCs w:val="20"/>
        </w:rPr>
      </w:pPr>
    </w:p>
    <w:p w:rsidR="006B32D3" w:rsidRPr="00BF3D11" w:rsidRDefault="006B32D3" w:rsidP="006B32D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Pr>
          <w:rFonts w:ascii="Cambria" w:hAnsi="Cambria"/>
          <w:sz w:val="20"/>
        </w:rPr>
        <w:t>The petitioners submitted their additional observations on November 24, 2003. Those observations were relayed to the State on December 1, 2003. The State submitted its additional observations on Monday, December 11, 2006. Subsequently, the IACHR received communications from the State and from the petitioners, which it forwarded to the other party.</w:t>
      </w:r>
    </w:p>
    <w:p w:rsidR="006B32D3" w:rsidRPr="00BF3D11" w:rsidRDefault="006B32D3" w:rsidP="006B32D3">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rPr>
      </w:pPr>
    </w:p>
    <w:p w:rsidR="006B32D3" w:rsidRPr="00BF3D11" w:rsidRDefault="006B32D3" w:rsidP="006B32D3">
      <w:pPr>
        <w:pStyle w:val="Heading1"/>
      </w:pPr>
      <w:bookmarkStart w:id="15" w:name="_Toc412635571"/>
      <w:bookmarkStart w:id="16" w:name="_Toc416685627"/>
      <w:bookmarkStart w:id="17" w:name="_Toc473188685"/>
      <w:bookmarkStart w:id="18" w:name="_Toc478023962"/>
      <w:r>
        <w:t>POSITION OF THE PARTIES</w:t>
      </w:r>
      <w:bookmarkEnd w:id="15"/>
      <w:bookmarkEnd w:id="16"/>
      <w:bookmarkEnd w:id="17"/>
      <w:bookmarkEnd w:id="18"/>
    </w:p>
    <w:p w:rsidR="006B32D3" w:rsidRPr="00BF3D11" w:rsidRDefault="006B32D3" w:rsidP="006B32D3">
      <w:pPr>
        <w:ind w:firstLine="567"/>
        <w:rPr>
          <w:rFonts w:ascii="Cambria" w:hAnsi="Cambria"/>
          <w:sz w:val="20"/>
          <w:szCs w:val="20"/>
        </w:rPr>
      </w:pPr>
    </w:p>
    <w:p w:rsidR="006B32D3" w:rsidRPr="00BF3D11" w:rsidRDefault="006B32D3" w:rsidP="006B32D3">
      <w:pPr>
        <w:pStyle w:val="Heading2"/>
        <w:numPr>
          <w:ilvl w:val="0"/>
          <w:numId w:val="56"/>
        </w:numPr>
        <w:spacing w:before="0" w:after="0"/>
        <w:rPr>
          <w:rFonts w:ascii="Cambria" w:hAnsi="Cambria"/>
          <w:i w:val="0"/>
          <w:sz w:val="20"/>
          <w:szCs w:val="20"/>
        </w:rPr>
      </w:pPr>
      <w:bookmarkStart w:id="19" w:name="_Toc370831283"/>
      <w:bookmarkStart w:id="20" w:name="_Toc412635572"/>
      <w:bookmarkStart w:id="21" w:name="_Toc416685628"/>
      <w:bookmarkStart w:id="22" w:name="_Toc473188686"/>
      <w:bookmarkStart w:id="23" w:name="_Toc478023963"/>
      <w:r>
        <w:rPr>
          <w:rFonts w:ascii="Cambria" w:hAnsi="Cambria"/>
          <w:i w:val="0"/>
          <w:sz w:val="20"/>
        </w:rPr>
        <w:t>Position of the petitioners</w:t>
      </w:r>
      <w:bookmarkEnd w:id="19"/>
      <w:bookmarkEnd w:id="20"/>
      <w:bookmarkEnd w:id="21"/>
      <w:bookmarkEnd w:id="22"/>
      <w:bookmarkEnd w:id="23"/>
    </w:p>
    <w:p w:rsidR="006B32D3" w:rsidRPr="00BF3D11" w:rsidRDefault="006B32D3" w:rsidP="006B32D3">
      <w:pPr>
        <w:pStyle w:val="ColorfulShading-Accent31"/>
        <w:ind w:left="0"/>
        <w:jc w:val="both"/>
        <w:rPr>
          <w:sz w:val="20"/>
          <w:szCs w:val="20"/>
        </w:rPr>
      </w:pPr>
    </w:p>
    <w:p w:rsidR="006B32D3" w:rsidRPr="00BF3D11" w:rsidRDefault="006B32D3" w:rsidP="006B32D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Pr>
          <w:rFonts w:ascii="Cambria" w:hAnsi="Cambria"/>
          <w:sz w:val="20"/>
        </w:rPr>
        <w:t xml:space="preserve">The petitioners accused the State of responsibility for the disappearance, torture, and subsequent murder of Alejandro </w:t>
      </w:r>
      <w:proofErr w:type="spellStart"/>
      <w:r>
        <w:rPr>
          <w:rFonts w:ascii="Cambria" w:hAnsi="Cambria"/>
          <w:sz w:val="20"/>
        </w:rPr>
        <w:t>Yovany</w:t>
      </w:r>
      <w:proofErr w:type="spellEnd"/>
      <w:r>
        <w:rPr>
          <w:rFonts w:ascii="Cambria" w:hAnsi="Cambria"/>
          <w:sz w:val="20"/>
        </w:rPr>
        <w:t xml:space="preserve"> Gómez </w:t>
      </w:r>
      <w:proofErr w:type="spellStart"/>
      <w:r>
        <w:rPr>
          <w:rFonts w:ascii="Cambria" w:hAnsi="Cambria"/>
          <w:sz w:val="20"/>
        </w:rPr>
        <w:t>Virula</w:t>
      </w:r>
      <w:proofErr w:type="spellEnd"/>
      <w:r>
        <w:rPr>
          <w:rFonts w:ascii="Cambria" w:hAnsi="Cambria"/>
          <w:sz w:val="20"/>
        </w:rPr>
        <w:t xml:space="preserve"> in March 1995. </w:t>
      </w:r>
      <w:r w:rsidR="00670E42">
        <w:rPr>
          <w:rFonts w:ascii="Cambria" w:hAnsi="Cambria"/>
          <w:sz w:val="20"/>
        </w:rPr>
        <w:t>They said</w:t>
      </w:r>
      <w:r>
        <w:rPr>
          <w:rFonts w:ascii="Cambria" w:hAnsi="Cambria"/>
          <w:sz w:val="20"/>
        </w:rPr>
        <w:t xml:space="preserve"> that those events had occurred because Mr. Gómez had been a trade unionist working at the time as Secretary of Finance of Unión </w:t>
      </w:r>
      <w:proofErr w:type="spellStart"/>
      <w:r>
        <w:rPr>
          <w:rFonts w:ascii="Cambria" w:hAnsi="Cambria"/>
          <w:sz w:val="20"/>
        </w:rPr>
        <w:t>Sindical</w:t>
      </w:r>
      <w:proofErr w:type="spellEnd"/>
      <w:r>
        <w:rPr>
          <w:rFonts w:ascii="Cambria" w:hAnsi="Cambria"/>
          <w:sz w:val="20"/>
        </w:rPr>
        <w:t xml:space="preserve"> de </w:t>
      </w:r>
      <w:proofErr w:type="spellStart"/>
      <w:r>
        <w:rPr>
          <w:rFonts w:ascii="Cambria" w:hAnsi="Cambria"/>
          <w:sz w:val="20"/>
        </w:rPr>
        <w:t>Trabajadores</w:t>
      </w:r>
      <w:proofErr w:type="spellEnd"/>
      <w:r>
        <w:rPr>
          <w:rFonts w:ascii="Cambria" w:hAnsi="Cambria"/>
          <w:sz w:val="20"/>
        </w:rPr>
        <w:t xml:space="preserve"> de Guatemala (UNSITRAGUA). They said he had played a strategically important part in a labor dispute between a cross-border assembly enterprise and its former workers. They stated that, in that context, Mr. Gómez </w:t>
      </w:r>
      <w:proofErr w:type="spellStart"/>
      <w:r>
        <w:rPr>
          <w:rFonts w:ascii="Cambria" w:hAnsi="Cambria"/>
          <w:sz w:val="20"/>
        </w:rPr>
        <w:t>Virula</w:t>
      </w:r>
      <w:proofErr w:type="spellEnd"/>
      <w:r>
        <w:rPr>
          <w:rFonts w:ascii="Cambria" w:hAnsi="Cambria"/>
          <w:sz w:val="20"/>
        </w:rPr>
        <w:t xml:space="preserve"> had been deprived of his liberty on March 13, 1995 by unknown individuals and that on March 19, 1995 his body had been found in a gully in Zone 18 of Guatemala City. They added that at that time both relatives and the Trade Union itself had filed complaints regarding his disappearance.</w:t>
      </w:r>
    </w:p>
    <w:p w:rsidR="006B32D3" w:rsidRPr="00BF3D11" w:rsidRDefault="006B32D3" w:rsidP="006B32D3">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rPr>
      </w:pPr>
    </w:p>
    <w:p w:rsidR="006B32D3" w:rsidRPr="00BF3D11" w:rsidRDefault="006B32D3" w:rsidP="006B32D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Pr>
          <w:rFonts w:ascii="Cambria" w:hAnsi="Cambria"/>
          <w:sz w:val="20"/>
        </w:rPr>
        <w:t xml:space="preserve">The petitioners added that </w:t>
      </w:r>
      <w:r w:rsidR="00670E42">
        <w:rPr>
          <w:rFonts w:ascii="Cambria" w:hAnsi="Cambria"/>
          <w:sz w:val="20"/>
        </w:rPr>
        <w:t>the acts</w:t>
      </w:r>
      <w:r>
        <w:rPr>
          <w:rFonts w:ascii="Cambria" w:hAnsi="Cambria"/>
          <w:sz w:val="20"/>
        </w:rPr>
        <w:t xml:space="preserve"> against Mr. Gómez took place at a time of serious acts of harassment against trade union activists by both private enterprises and state agents. They also said that at that time such violations were not investigated and therefore went unpunished. The petitioners stressed that the context referred to has been abundantly corroborated by both internal agencies and international organizations. Specifically, they reported that eight trade unionists of UNSITRAGUA were murdered in 1995 in circumstances that appeared to point to industrial/political motives. They said that Mr. Gómez had been the second UNSITRAGUA trade union activist to have been forcibly "disappeared" and murdered that month.</w:t>
      </w:r>
    </w:p>
    <w:p w:rsidR="006B32D3" w:rsidRPr="00BF3D11" w:rsidRDefault="006B32D3" w:rsidP="006B32D3">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rPr>
      </w:pPr>
    </w:p>
    <w:p w:rsidR="006B32D3" w:rsidRPr="00BF3D11" w:rsidRDefault="006B32D3" w:rsidP="006B32D3">
      <w:pPr>
        <w:numPr>
          <w:ilvl w:val="0"/>
          <w:numId w:val="55"/>
        </w:numPr>
        <w:jc w:val="both"/>
        <w:rPr>
          <w:rFonts w:ascii="Cambria" w:eastAsia="Times New Roman" w:hAnsi="Cambria"/>
          <w:color w:val="000000"/>
          <w:sz w:val="20"/>
          <w:szCs w:val="20"/>
          <w:u w:color="000000"/>
        </w:rPr>
      </w:pPr>
      <w:r>
        <w:rPr>
          <w:rFonts w:ascii="Cambria" w:hAnsi="Cambria"/>
          <w:sz w:val="20"/>
        </w:rPr>
        <w:t>With respect to admissibility, the petitioners invoked the exception established in Article 46.2.b of the American Convention.</w:t>
      </w:r>
      <w:r>
        <w:rPr>
          <w:rFonts w:ascii="Cambria" w:hAnsi="Cambria"/>
          <w:color w:val="000000"/>
          <w:sz w:val="20"/>
          <w:u w:color="000000"/>
        </w:rPr>
        <w:t xml:space="preserve"> </w:t>
      </w:r>
      <w:r w:rsidR="00670E42">
        <w:rPr>
          <w:rFonts w:ascii="Cambria" w:hAnsi="Cambria"/>
          <w:color w:val="000000"/>
          <w:sz w:val="20"/>
          <w:u w:color="000000"/>
        </w:rPr>
        <w:t>They argued</w:t>
      </w:r>
      <w:r>
        <w:rPr>
          <w:rFonts w:ascii="Cambria" w:hAnsi="Cambria"/>
          <w:color w:val="000000"/>
          <w:sz w:val="20"/>
          <w:u w:color="000000"/>
        </w:rPr>
        <w:t xml:space="preserve"> that they had reported the disappearance of Mr. Gómez, and his death when his body was found. They said that, even so, no serious effort had been made to investigate the case. That had meant</w:t>
      </w:r>
      <w:proofErr w:type="gramStart"/>
      <w:r>
        <w:rPr>
          <w:rFonts w:ascii="Cambria" w:hAnsi="Cambria"/>
          <w:color w:val="000000"/>
          <w:sz w:val="20"/>
          <w:u w:color="000000"/>
        </w:rPr>
        <w:t>,</w:t>
      </w:r>
      <w:proofErr w:type="gramEnd"/>
      <w:r>
        <w:rPr>
          <w:rFonts w:ascii="Cambria" w:hAnsi="Cambria"/>
          <w:color w:val="000000"/>
          <w:sz w:val="20"/>
          <w:u w:color="000000"/>
        </w:rPr>
        <w:t xml:space="preserve"> they said, that the judicial file had been archived.</w:t>
      </w:r>
    </w:p>
    <w:p w:rsidR="006B32D3" w:rsidRPr="00BF3D11" w:rsidRDefault="006B32D3" w:rsidP="006B32D3">
      <w:pPr>
        <w:pStyle w:val="LightGrid-Accent31"/>
        <w:ind w:left="0"/>
        <w:rPr>
          <w:rFonts w:ascii="Cambria" w:eastAsia="Times New Roman" w:hAnsi="Cambria"/>
          <w:color w:val="000000"/>
          <w:sz w:val="20"/>
          <w:szCs w:val="20"/>
          <w:u w:color="000000"/>
        </w:rPr>
      </w:pPr>
    </w:p>
    <w:p w:rsidR="006B32D3" w:rsidRPr="00BF3D11" w:rsidRDefault="006B32D3" w:rsidP="006B32D3">
      <w:pPr>
        <w:numPr>
          <w:ilvl w:val="0"/>
          <w:numId w:val="55"/>
        </w:numPr>
        <w:jc w:val="both"/>
        <w:rPr>
          <w:rFonts w:ascii="Cambria" w:eastAsia="Times New Roman" w:hAnsi="Cambria"/>
          <w:color w:val="000000"/>
          <w:sz w:val="20"/>
          <w:szCs w:val="20"/>
          <w:u w:color="000000"/>
        </w:rPr>
      </w:pPr>
      <w:r>
        <w:rPr>
          <w:rFonts w:ascii="Cambria" w:hAnsi="Cambria"/>
          <w:color w:val="000000"/>
          <w:sz w:val="20"/>
          <w:u w:color="000000"/>
        </w:rPr>
        <w:t xml:space="preserve">On the merits, they claimed that the State is responsible for violating Mr. Gómez's </w:t>
      </w:r>
      <w:r>
        <w:rPr>
          <w:rFonts w:ascii="Cambria" w:hAnsi="Cambria"/>
          <w:b/>
          <w:color w:val="000000"/>
          <w:sz w:val="20"/>
          <w:u w:color="000000"/>
        </w:rPr>
        <w:t>rights to life, personal integrity, and personal liberty</w:t>
      </w:r>
      <w:r>
        <w:rPr>
          <w:rFonts w:ascii="Cambria" w:hAnsi="Cambria"/>
          <w:color w:val="000000"/>
          <w:sz w:val="20"/>
          <w:u w:color="000000"/>
        </w:rPr>
        <w:t xml:space="preserve">. They said that Mr. Gómez had been forcibly disappeared, tortured, and finally murdered. </w:t>
      </w:r>
    </w:p>
    <w:p w:rsidR="006B32D3" w:rsidRPr="00BF3D11" w:rsidRDefault="006B32D3" w:rsidP="006B32D3">
      <w:pPr>
        <w:pStyle w:val="MediumGrid1-Accent21"/>
        <w:rPr>
          <w:rFonts w:ascii="Cambria" w:eastAsia="Times New Roman" w:hAnsi="Cambria"/>
          <w:color w:val="000000"/>
          <w:sz w:val="20"/>
          <w:szCs w:val="20"/>
          <w:u w:color="000000"/>
        </w:rPr>
      </w:pPr>
    </w:p>
    <w:p w:rsidR="006B32D3" w:rsidRPr="00BF3D11" w:rsidRDefault="006B32D3" w:rsidP="006B32D3">
      <w:pPr>
        <w:numPr>
          <w:ilvl w:val="0"/>
          <w:numId w:val="55"/>
        </w:numPr>
        <w:jc w:val="both"/>
        <w:rPr>
          <w:rFonts w:ascii="Cambria" w:eastAsia="Times New Roman" w:hAnsi="Cambria"/>
          <w:color w:val="000000"/>
          <w:sz w:val="20"/>
          <w:szCs w:val="20"/>
          <w:u w:color="000000"/>
        </w:rPr>
      </w:pPr>
      <w:r>
        <w:rPr>
          <w:rFonts w:ascii="Cambria" w:hAnsi="Cambria"/>
          <w:color w:val="000000"/>
          <w:sz w:val="20"/>
          <w:u w:color="000000"/>
        </w:rPr>
        <w:t xml:space="preserve">They pointed out that, due to the failure to investigate, it could not be determined </w:t>
      </w:r>
      <w:r w:rsidR="00670E42">
        <w:rPr>
          <w:rFonts w:ascii="Cambria" w:hAnsi="Cambria"/>
          <w:color w:val="000000"/>
          <w:sz w:val="20"/>
          <w:u w:color="000000"/>
        </w:rPr>
        <w:t>whether the</w:t>
      </w:r>
      <w:r>
        <w:rPr>
          <w:rFonts w:ascii="Cambria" w:hAnsi="Cambria"/>
          <w:color w:val="000000"/>
          <w:sz w:val="20"/>
          <w:u w:color="000000"/>
        </w:rPr>
        <w:t xml:space="preserve"> State had directly participated in the disappearance, torture, and subsequent murder of Mr. Gómez. Nonetheless, they claimed, Mr. Gómez's death revealed many of the features typical of extrajudicial executions perpetrated by State agents during the armed conflict in Guatemala. They stated that even if it did not participate directly, the State was responsible for not having guaranteed those rights, because it had not taken the steps needed to prevent such acts from occurring.</w:t>
      </w:r>
    </w:p>
    <w:p w:rsidR="006B32D3" w:rsidRPr="00BF3D11" w:rsidRDefault="006B32D3" w:rsidP="006B32D3">
      <w:pPr>
        <w:pStyle w:val="MediumGrid1-Accent21"/>
        <w:rPr>
          <w:rFonts w:ascii="Cambria" w:eastAsia="Times New Roman" w:hAnsi="Cambria"/>
          <w:color w:val="000000"/>
          <w:sz w:val="20"/>
          <w:szCs w:val="20"/>
          <w:u w:color="000000"/>
        </w:rPr>
      </w:pPr>
    </w:p>
    <w:p w:rsidR="006B32D3" w:rsidRPr="00BF3D11" w:rsidRDefault="006B32D3" w:rsidP="006B32D3">
      <w:pPr>
        <w:numPr>
          <w:ilvl w:val="0"/>
          <w:numId w:val="55"/>
        </w:numPr>
        <w:jc w:val="both"/>
        <w:rPr>
          <w:rFonts w:ascii="Cambria" w:eastAsia="Times New Roman" w:hAnsi="Cambria"/>
          <w:color w:val="000000"/>
          <w:sz w:val="20"/>
          <w:szCs w:val="20"/>
          <w:u w:color="000000"/>
        </w:rPr>
      </w:pPr>
      <w:r>
        <w:rPr>
          <w:rFonts w:ascii="Cambria" w:hAnsi="Cambria"/>
          <w:color w:val="000000"/>
          <w:sz w:val="20"/>
          <w:u w:color="000000"/>
        </w:rPr>
        <w:t xml:space="preserve">As regards the </w:t>
      </w:r>
      <w:r>
        <w:rPr>
          <w:rFonts w:ascii="Cambria" w:hAnsi="Cambria"/>
          <w:b/>
          <w:color w:val="000000"/>
          <w:sz w:val="20"/>
          <w:u w:color="000000"/>
        </w:rPr>
        <w:t>right to freedom of association</w:t>
      </w:r>
      <w:r>
        <w:rPr>
          <w:rFonts w:ascii="Cambria" w:hAnsi="Cambria"/>
          <w:color w:val="000000"/>
          <w:sz w:val="20"/>
          <w:u w:color="000000"/>
        </w:rPr>
        <w:t xml:space="preserve">, the petitioners pointed out that, following his forced disappearance, Mr. Gómez had been prevented from exercising that right. They stated that </w:t>
      </w:r>
      <w:r w:rsidR="00670E42">
        <w:rPr>
          <w:rFonts w:ascii="Cambria" w:hAnsi="Cambria"/>
          <w:color w:val="000000"/>
          <w:sz w:val="20"/>
          <w:u w:color="000000"/>
        </w:rPr>
        <w:t>Mr.</w:t>
      </w:r>
      <w:r>
        <w:rPr>
          <w:rFonts w:ascii="Cambria" w:hAnsi="Cambria"/>
          <w:color w:val="000000"/>
          <w:sz w:val="20"/>
          <w:u w:color="000000"/>
        </w:rPr>
        <w:t xml:space="preserve"> </w:t>
      </w:r>
      <w:r>
        <w:rPr>
          <w:rFonts w:ascii="Cambria" w:hAnsi="Cambria"/>
          <w:color w:val="000000"/>
          <w:sz w:val="20"/>
          <w:u w:color="000000"/>
        </w:rPr>
        <w:lastRenderedPageBreak/>
        <w:t xml:space="preserve">Gómez's death was no isolated incident, but rather part </w:t>
      </w:r>
      <w:r w:rsidR="00670E42">
        <w:rPr>
          <w:rFonts w:ascii="Cambria" w:hAnsi="Cambria"/>
          <w:color w:val="000000"/>
          <w:sz w:val="20"/>
          <w:u w:color="000000"/>
        </w:rPr>
        <w:t>of a</w:t>
      </w:r>
      <w:r>
        <w:rPr>
          <w:rFonts w:ascii="Cambria" w:hAnsi="Cambria"/>
          <w:color w:val="000000"/>
          <w:sz w:val="20"/>
          <w:u w:color="000000"/>
        </w:rPr>
        <w:t xml:space="preserve"> pattern of attacks on trade unionists. They pointed out that, because of that, the State had violated Mr. Gómez's right to freedom of association.</w:t>
      </w:r>
    </w:p>
    <w:p w:rsidR="006B32D3" w:rsidRPr="00BF3D11" w:rsidRDefault="006B32D3" w:rsidP="006B32D3">
      <w:pPr>
        <w:pStyle w:val="MediumGrid1-Accent21"/>
        <w:rPr>
          <w:rFonts w:ascii="Cambria" w:eastAsia="Times New Roman" w:hAnsi="Cambria"/>
          <w:color w:val="000000"/>
          <w:sz w:val="20"/>
          <w:szCs w:val="20"/>
          <w:u w:color="000000"/>
        </w:rPr>
      </w:pPr>
    </w:p>
    <w:p w:rsidR="006B32D3" w:rsidRPr="00BF3D11" w:rsidRDefault="006B32D3" w:rsidP="006B32D3">
      <w:pPr>
        <w:numPr>
          <w:ilvl w:val="0"/>
          <w:numId w:val="55"/>
        </w:numPr>
        <w:jc w:val="both"/>
        <w:rPr>
          <w:rFonts w:ascii="Cambria" w:eastAsia="Times New Roman" w:hAnsi="Cambria"/>
          <w:color w:val="000000"/>
          <w:sz w:val="20"/>
          <w:szCs w:val="20"/>
          <w:u w:color="000000"/>
        </w:rPr>
      </w:pPr>
      <w:r>
        <w:rPr>
          <w:rFonts w:ascii="Cambria" w:hAnsi="Cambria"/>
          <w:color w:val="000000"/>
          <w:sz w:val="20"/>
          <w:u w:color="000000"/>
        </w:rPr>
        <w:t xml:space="preserve">As regards the </w:t>
      </w:r>
      <w:r>
        <w:rPr>
          <w:rFonts w:ascii="Cambria" w:hAnsi="Cambria"/>
          <w:b/>
          <w:color w:val="000000"/>
          <w:sz w:val="20"/>
          <w:u w:color="000000"/>
        </w:rPr>
        <w:t>right to protection of the family</w:t>
      </w:r>
      <w:r>
        <w:rPr>
          <w:rFonts w:ascii="Cambria" w:hAnsi="Cambria"/>
          <w:color w:val="000000"/>
          <w:sz w:val="20"/>
          <w:u w:color="000000"/>
        </w:rPr>
        <w:t>, the petitioners said that Mr. Gómez's inner family circle had been destroyed. They said that Mr. Gómez's parents had suffered enormously from what had happened and their suffering had been exacerbated by impunity.</w:t>
      </w:r>
    </w:p>
    <w:p w:rsidR="006B32D3" w:rsidRPr="00BF3D11" w:rsidRDefault="006B32D3" w:rsidP="006B32D3">
      <w:pPr>
        <w:pStyle w:val="MediumGrid1-Accent21"/>
        <w:rPr>
          <w:rFonts w:ascii="Cambria" w:eastAsia="Times New Roman" w:hAnsi="Cambria"/>
          <w:color w:val="000000"/>
          <w:sz w:val="20"/>
          <w:szCs w:val="20"/>
          <w:u w:color="000000"/>
        </w:rPr>
      </w:pPr>
    </w:p>
    <w:p w:rsidR="006B32D3" w:rsidRPr="00BF3D11" w:rsidRDefault="006B32D3" w:rsidP="006B32D3">
      <w:pPr>
        <w:numPr>
          <w:ilvl w:val="0"/>
          <w:numId w:val="55"/>
        </w:numPr>
        <w:jc w:val="both"/>
        <w:rPr>
          <w:rFonts w:ascii="Cambria" w:eastAsia="Times New Roman" w:hAnsi="Cambria"/>
          <w:color w:val="000000"/>
          <w:sz w:val="20"/>
          <w:szCs w:val="20"/>
          <w:u w:color="000000"/>
        </w:rPr>
      </w:pPr>
      <w:r>
        <w:rPr>
          <w:rFonts w:ascii="Cambria" w:hAnsi="Cambria"/>
          <w:color w:val="000000"/>
          <w:sz w:val="20"/>
          <w:u w:color="000000"/>
        </w:rPr>
        <w:t xml:space="preserve">With regard to rights to </w:t>
      </w:r>
      <w:r>
        <w:rPr>
          <w:rFonts w:ascii="Cambria" w:hAnsi="Cambria"/>
          <w:b/>
          <w:color w:val="000000"/>
          <w:sz w:val="20"/>
          <w:u w:color="000000"/>
        </w:rPr>
        <w:t>judicial guarantees and judicial protection</w:t>
      </w:r>
      <w:r>
        <w:rPr>
          <w:rFonts w:ascii="Cambria" w:hAnsi="Cambria"/>
          <w:color w:val="000000"/>
          <w:sz w:val="20"/>
          <w:u w:color="000000"/>
        </w:rPr>
        <w:t xml:space="preserve">, the petitioners pointed out </w:t>
      </w:r>
      <w:proofErr w:type="gramStart"/>
      <w:r>
        <w:rPr>
          <w:rFonts w:ascii="Cambria" w:hAnsi="Cambria"/>
          <w:color w:val="000000"/>
          <w:sz w:val="20"/>
          <w:u w:color="000000"/>
        </w:rPr>
        <w:t>that ,</w:t>
      </w:r>
      <w:proofErr w:type="gramEnd"/>
      <w:r>
        <w:rPr>
          <w:rFonts w:ascii="Cambria" w:hAnsi="Cambria"/>
          <w:color w:val="000000"/>
          <w:sz w:val="20"/>
          <w:u w:color="000000"/>
        </w:rPr>
        <w:t xml:space="preserve"> even though they had reported Mr. Gómez's </w:t>
      </w:r>
      <w:r w:rsidR="00670E42">
        <w:rPr>
          <w:rFonts w:ascii="Cambria" w:hAnsi="Cambria"/>
          <w:color w:val="000000"/>
          <w:sz w:val="20"/>
          <w:u w:color="000000"/>
        </w:rPr>
        <w:t>disappearance</w:t>
      </w:r>
      <w:r>
        <w:rPr>
          <w:rFonts w:ascii="Cambria" w:hAnsi="Cambria"/>
          <w:color w:val="000000"/>
          <w:sz w:val="20"/>
          <w:u w:color="000000"/>
        </w:rPr>
        <w:t xml:space="preserve">, the State had not taken any steps to ascertain his whereabouts. The said </w:t>
      </w:r>
      <w:proofErr w:type="gramStart"/>
      <w:r>
        <w:rPr>
          <w:rFonts w:ascii="Cambria" w:hAnsi="Cambria"/>
          <w:color w:val="000000"/>
          <w:sz w:val="20"/>
          <w:u w:color="000000"/>
        </w:rPr>
        <w:t>that</w:t>
      </w:r>
      <w:proofErr w:type="gramEnd"/>
      <w:r>
        <w:rPr>
          <w:rFonts w:ascii="Cambria" w:hAnsi="Cambria"/>
          <w:color w:val="000000"/>
          <w:sz w:val="20"/>
          <w:u w:color="000000"/>
        </w:rPr>
        <w:t xml:space="preserve"> six days after he had disappeared, Mr. Gómez's body had been found. They said it had been found by chance by someone who had been walking in a district in Guatemala City and had found a </w:t>
      </w:r>
      <w:r w:rsidR="00670E42">
        <w:rPr>
          <w:rFonts w:ascii="Cambria" w:hAnsi="Cambria"/>
          <w:color w:val="000000"/>
          <w:sz w:val="20"/>
          <w:u w:color="000000"/>
        </w:rPr>
        <w:t>corpse, which</w:t>
      </w:r>
      <w:r>
        <w:rPr>
          <w:rFonts w:ascii="Cambria" w:hAnsi="Cambria"/>
          <w:color w:val="000000"/>
          <w:sz w:val="20"/>
          <w:u w:color="000000"/>
        </w:rPr>
        <w:t xml:space="preserve"> was later identified as that of Mr. Gómez.</w:t>
      </w:r>
    </w:p>
    <w:p w:rsidR="006B32D3" w:rsidRPr="00BF3D11" w:rsidRDefault="006B32D3" w:rsidP="006B32D3">
      <w:pPr>
        <w:pStyle w:val="MediumGrid1-Accent21"/>
        <w:rPr>
          <w:rFonts w:ascii="Cambria" w:eastAsia="Times New Roman" w:hAnsi="Cambria"/>
          <w:color w:val="000000"/>
          <w:sz w:val="20"/>
          <w:szCs w:val="20"/>
          <w:u w:color="000000"/>
        </w:rPr>
      </w:pPr>
    </w:p>
    <w:p w:rsidR="006B32D3" w:rsidRPr="00BF3D11" w:rsidRDefault="006B32D3" w:rsidP="006B32D3">
      <w:pPr>
        <w:numPr>
          <w:ilvl w:val="0"/>
          <w:numId w:val="55"/>
        </w:numPr>
        <w:jc w:val="both"/>
        <w:rPr>
          <w:rFonts w:ascii="Cambria" w:eastAsia="Times New Roman" w:hAnsi="Cambria"/>
          <w:color w:val="000000"/>
          <w:sz w:val="20"/>
          <w:szCs w:val="20"/>
          <w:u w:color="000000"/>
        </w:rPr>
      </w:pPr>
      <w:r>
        <w:rPr>
          <w:rFonts w:ascii="Cambria" w:hAnsi="Cambria"/>
          <w:color w:val="000000"/>
          <w:sz w:val="20"/>
          <w:u w:color="000000"/>
        </w:rPr>
        <w:t xml:space="preserve">The petitioners said that it was after that that they had filed complaints with State authorities, reporting that he had been murdered. They said that the only inquiries that had been made had been interviews with family members and members of the Trade Union. They said that this case was part of a pattern of </w:t>
      </w:r>
      <w:r>
        <w:rPr>
          <w:rFonts w:ascii="Cambria" w:hAnsi="Cambria"/>
          <w:sz w:val="20"/>
        </w:rPr>
        <w:t xml:space="preserve">systematic refusal to investigate human rights violations against trade unionists. They explained that the judicial file had been archived shortly after the investigations had </w:t>
      </w:r>
      <w:r w:rsidR="00670E42">
        <w:rPr>
          <w:rFonts w:ascii="Cambria" w:hAnsi="Cambria"/>
          <w:sz w:val="20"/>
        </w:rPr>
        <w:t>begun</w:t>
      </w:r>
      <w:r>
        <w:rPr>
          <w:rFonts w:ascii="Cambria" w:hAnsi="Cambria"/>
          <w:sz w:val="20"/>
        </w:rPr>
        <w:t xml:space="preserve"> due to a supposed lack of evidence for identifying the perpetrators. They alleged that, as a result, the facts of the case have gone completely unpunished.</w:t>
      </w:r>
    </w:p>
    <w:p w:rsidR="006B32D3" w:rsidRPr="00BF3D11" w:rsidRDefault="006B32D3" w:rsidP="006B32D3">
      <w:pPr>
        <w:pStyle w:val="ColorfulShading-Accent31"/>
        <w:ind w:left="0"/>
        <w:rPr>
          <w:sz w:val="20"/>
          <w:szCs w:val="20"/>
        </w:rPr>
      </w:pPr>
    </w:p>
    <w:p w:rsidR="006B32D3" w:rsidRPr="00BF3D11" w:rsidRDefault="006B32D3" w:rsidP="006B32D3">
      <w:pPr>
        <w:pStyle w:val="Heading2"/>
        <w:numPr>
          <w:ilvl w:val="0"/>
          <w:numId w:val="56"/>
        </w:numPr>
        <w:spacing w:before="0" w:after="0"/>
        <w:rPr>
          <w:rFonts w:ascii="Cambria" w:hAnsi="Cambria"/>
          <w:i w:val="0"/>
          <w:sz w:val="20"/>
          <w:szCs w:val="20"/>
        </w:rPr>
      </w:pPr>
      <w:bookmarkStart w:id="24" w:name="_Toc473188687"/>
      <w:bookmarkStart w:id="25" w:name="_Toc478023964"/>
      <w:r>
        <w:rPr>
          <w:rFonts w:ascii="Cambria" w:hAnsi="Cambria"/>
          <w:i w:val="0"/>
          <w:sz w:val="20"/>
        </w:rPr>
        <w:t>Position of the State</w:t>
      </w:r>
      <w:bookmarkEnd w:id="24"/>
      <w:bookmarkEnd w:id="25"/>
    </w:p>
    <w:p w:rsidR="006B32D3" w:rsidRPr="00BF3D11" w:rsidRDefault="006B32D3" w:rsidP="006B32D3">
      <w:pPr>
        <w:pStyle w:val="ColorfulShading-Accent31"/>
        <w:ind w:left="0"/>
        <w:jc w:val="both"/>
        <w:rPr>
          <w:sz w:val="20"/>
          <w:szCs w:val="20"/>
        </w:rPr>
      </w:pPr>
    </w:p>
    <w:p w:rsidR="006B32D3" w:rsidRPr="00BF3D11" w:rsidRDefault="006B32D3" w:rsidP="006B32D3">
      <w:pPr>
        <w:numPr>
          <w:ilvl w:val="0"/>
          <w:numId w:val="55"/>
        </w:numPr>
        <w:jc w:val="both"/>
        <w:rPr>
          <w:rFonts w:ascii="Cambria" w:hAnsi="Cambria"/>
          <w:sz w:val="20"/>
          <w:szCs w:val="20"/>
        </w:rPr>
      </w:pPr>
      <w:r>
        <w:rPr>
          <w:rFonts w:ascii="Cambria" w:hAnsi="Cambria"/>
          <w:sz w:val="20"/>
        </w:rPr>
        <w:t xml:space="preserve">Regarding the admissibility of the case, the State argued that the requirements of Article 44 of the American Convention have not been met. They say that this is because the initial petition failed to state that the alleged perpetrators of the disappearance, acts of torture, and murder of Mr. Gómez were State agents. </w:t>
      </w:r>
    </w:p>
    <w:p w:rsidR="006B32D3" w:rsidRPr="00BF3D11" w:rsidRDefault="006B32D3" w:rsidP="006B32D3">
      <w:pPr>
        <w:ind w:left="720"/>
        <w:jc w:val="both"/>
        <w:rPr>
          <w:rFonts w:ascii="Cambria" w:hAnsi="Cambria"/>
          <w:sz w:val="20"/>
          <w:szCs w:val="20"/>
        </w:rPr>
      </w:pPr>
    </w:p>
    <w:p w:rsidR="006B32D3" w:rsidRPr="00BF3D11" w:rsidRDefault="006B32D3" w:rsidP="006B32D3">
      <w:pPr>
        <w:numPr>
          <w:ilvl w:val="0"/>
          <w:numId w:val="55"/>
        </w:numPr>
        <w:jc w:val="both"/>
        <w:rPr>
          <w:rFonts w:ascii="Cambria" w:hAnsi="Cambria"/>
          <w:sz w:val="20"/>
          <w:szCs w:val="20"/>
        </w:rPr>
      </w:pPr>
      <w:r>
        <w:rPr>
          <w:rFonts w:ascii="Cambria" w:hAnsi="Cambria"/>
          <w:sz w:val="20"/>
        </w:rPr>
        <w:t xml:space="preserve">As regards the merits of the matter, the State did not recognize the context alleged by the petitioners. The State explained that the behavior described by the petitioners did not constitute evidence of a reiterated practice fitting the circumstance surrounding the murder of Mr. Gómez. </w:t>
      </w:r>
    </w:p>
    <w:p w:rsidR="006B32D3" w:rsidRPr="00BF3D11" w:rsidRDefault="006B32D3" w:rsidP="006B32D3">
      <w:pPr>
        <w:pStyle w:val="MediumGrid1-Accent21"/>
        <w:rPr>
          <w:rFonts w:ascii="Cambria" w:hAnsi="Cambria"/>
          <w:sz w:val="20"/>
          <w:szCs w:val="20"/>
        </w:rPr>
      </w:pPr>
    </w:p>
    <w:p w:rsidR="006B32D3" w:rsidRPr="00BF3D11" w:rsidRDefault="006B32D3" w:rsidP="006B32D3">
      <w:pPr>
        <w:numPr>
          <w:ilvl w:val="0"/>
          <w:numId w:val="55"/>
        </w:numPr>
        <w:jc w:val="both"/>
        <w:rPr>
          <w:rFonts w:ascii="Cambria" w:hAnsi="Cambria"/>
          <w:sz w:val="20"/>
          <w:szCs w:val="20"/>
        </w:rPr>
      </w:pPr>
      <w:r>
        <w:rPr>
          <w:rFonts w:ascii="Cambria" w:hAnsi="Cambria"/>
          <w:sz w:val="20"/>
        </w:rPr>
        <w:t>The State presented various different arguments during proceedings before the IACHR. Initially, the State maintained that an investigation had been started in order to throw light on what had happened to Mr. Gómez and identify those responsible. It stated that "new evidence is expected to be provided to permit the identification and punishment of those [responsible]."</w:t>
      </w:r>
    </w:p>
    <w:p w:rsidR="006B32D3" w:rsidRPr="00BF3D11" w:rsidRDefault="006B32D3" w:rsidP="006B32D3">
      <w:pPr>
        <w:ind w:left="720"/>
        <w:jc w:val="both"/>
        <w:rPr>
          <w:rFonts w:ascii="Cambria" w:hAnsi="Cambria"/>
          <w:sz w:val="20"/>
          <w:szCs w:val="20"/>
        </w:rPr>
      </w:pPr>
    </w:p>
    <w:p w:rsidR="006B32D3" w:rsidRPr="00BF3D11" w:rsidRDefault="006B32D3" w:rsidP="006B32D3">
      <w:pPr>
        <w:numPr>
          <w:ilvl w:val="0"/>
          <w:numId w:val="55"/>
        </w:numPr>
        <w:jc w:val="both"/>
        <w:rPr>
          <w:rFonts w:ascii="Cambria" w:hAnsi="Cambria"/>
          <w:sz w:val="20"/>
          <w:szCs w:val="20"/>
        </w:rPr>
      </w:pPr>
      <w:r>
        <w:rPr>
          <w:rFonts w:ascii="Cambria" w:hAnsi="Cambria"/>
          <w:sz w:val="20"/>
        </w:rPr>
        <w:t xml:space="preserve">In its writ of November 1999, the State acknowledged that information had not been gathered to single out those responsible for the death of Mr. Gómez and said that the Public Prosecutors' Office had archived the case. </w:t>
      </w:r>
    </w:p>
    <w:p w:rsidR="006B32D3" w:rsidRPr="00BF3D11" w:rsidRDefault="006B32D3" w:rsidP="006B32D3">
      <w:pPr>
        <w:pStyle w:val="MediumGrid1-Accent21"/>
        <w:rPr>
          <w:rFonts w:ascii="Cambria" w:hAnsi="Cambria"/>
          <w:sz w:val="20"/>
          <w:szCs w:val="20"/>
        </w:rPr>
      </w:pPr>
    </w:p>
    <w:p w:rsidR="006B32D3" w:rsidRPr="00BF3D11" w:rsidRDefault="006B32D3" w:rsidP="006B32D3">
      <w:pPr>
        <w:numPr>
          <w:ilvl w:val="0"/>
          <w:numId w:val="55"/>
        </w:numPr>
        <w:jc w:val="both"/>
        <w:rPr>
          <w:rFonts w:ascii="Cambria" w:hAnsi="Cambria"/>
          <w:sz w:val="20"/>
          <w:szCs w:val="20"/>
        </w:rPr>
      </w:pPr>
      <w:r>
        <w:rPr>
          <w:rFonts w:ascii="Cambria" w:hAnsi="Cambria"/>
          <w:sz w:val="20"/>
        </w:rPr>
        <w:t>In its written communication of December 11, 2006, the State indicated that "from the start, those suspected, on the basis of statements made by both family members of the victim and witnesses, of having committed the crime were " two Korean citizens. The State indicated that those two persons "were the owners of the assembly plant (...) with whom, according to witnesses, [Mr. Gómez] had frequently quarreled." The State reported that another person had also been interviewed who, according to Mr. Antonio Gómez (Alejandro Gómez's father) had threatened him because he [Alejandro] had been his wife's lover.</w:t>
      </w:r>
    </w:p>
    <w:p w:rsidR="006B32D3" w:rsidRPr="00BF3D11" w:rsidRDefault="006B32D3" w:rsidP="006B32D3">
      <w:pPr>
        <w:pStyle w:val="ColorfulList-Accent11"/>
        <w:rPr>
          <w:rFonts w:ascii="Cambria" w:hAnsi="Cambria" w:cs="Arial"/>
          <w:sz w:val="20"/>
          <w:szCs w:val="20"/>
        </w:rPr>
      </w:pPr>
    </w:p>
    <w:p w:rsidR="006B32D3" w:rsidRPr="00BF3D11" w:rsidRDefault="006B32D3" w:rsidP="006B32D3">
      <w:pPr>
        <w:numPr>
          <w:ilvl w:val="0"/>
          <w:numId w:val="55"/>
        </w:numPr>
        <w:jc w:val="both"/>
        <w:rPr>
          <w:rFonts w:ascii="Cambria" w:hAnsi="Cambria"/>
          <w:sz w:val="20"/>
          <w:szCs w:val="20"/>
        </w:rPr>
      </w:pPr>
      <w:r>
        <w:rPr>
          <w:rFonts w:ascii="Cambria" w:hAnsi="Cambria"/>
          <w:sz w:val="20"/>
        </w:rPr>
        <w:t xml:space="preserve">The State maintained that there was no evidence of State agents having been involved in the facts of the case. It said that civilians had always been named as possible perpetrators. It added that "the changes in the information as to who should be considered a suspect in the murder of </w:t>
      </w:r>
      <w:r w:rsidR="00670E42">
        <w:rPr>
          <w:rFonts w:ascii="Cambria" w:hAnsi="Cambria"/>
          <w:sz w:val="20"/>
        </w:rPr>
        <w:t>Mr.</w:t>
      </w:r>
      <w:r>
        <w:rPr>
          <w:rFonts w:ascii="Cambria" w:hAnsi="Cambria"/>
          <w:sz w:val="20"/>
        </w:rPr>
        <w:t xml:space="preserve"> (...) Gómez </w:t>
      </w:r>
      <w:proofErr w:type="spellStart"/>
      <w:r>
        <w:rPr>
          <w:rFonts w:ascii="Cambria" w:hAnsi="Cambria"/>
          <w:sz w:val="20"/>
        </w:rPr>
        <w:t>Virula</w:t>
      </w:r>
      <w:proofErr w:type="spellEnd"/>
      <w:r>
        <w:rPr>
          <w:rFonts w:ascii="Cambria" w:hAnsi="Cambria"/>
          <w:sz w:val="20"/>
        </w:rPr>
        <w:t xml:space="preserve"> illustrated the difficult the Public Prosecutor's Office had had in singling out a specific individual."</w:t>
      </w:r>
    </w:p>
    <w:p w:rsidR="006B32D3" w:rsidRPr="00BF3D11" w:rsidRDefault="006B32D3" w:rsidP="006B32D3">
      <w:pPr>
        <w:pStyle w:val="MediumGrid1-Accent21"/>
        <w:ind w:left="0"/>
        <w:rPr>
          <w:rFonts w:ascii="Cambria" w:hAnsi="Cambria"/>
          <w:sz w:val="20"/>
          <w:szCs w:val="20"/>
        </w:rPr>
      </w:pPr>
    </w:p>
    <w:p w:rsidR="006B32D3" w:rsidRPr="00BF3D11" w:rsidRDefault="006B32D3" w:rsidP="006B32D3">
      <w:pPr>
        <w:numPr>
          <w:ilvl w:val="0"/>
          <w:numId w:val="55"/>
        </w:numPr>
        <w:jc w:val="both"/>
        <w:rPr>
          <w:rFonts w:ascii="Cambria" w:hAnsi="Cambria"/>
          <w:sz w:val="20"/>
          <w:szCs w:val="20"/>
        </w:rPr>
      </w:pPr>
      <w:r>
        <w:rPr>
          <w:rFonts w:ascii="Cambria" w:hAnsi="Cambria"/>
          <w:sz w:val="20"/>
        </w:rPr>
        <w:lastRenderedPageBreak/>
        <w:t>In its most recent writ of February 2015, , the State indicated that there were no records in the Public Prosecutors' Office database in which Mr. Gómez appears as a complainant or injured party/victim in any judicial file.</w:t>
      </w:r>
    </w:p>
    <w:p w:rsidR="006B32D3" w:rsidRPr="00BF3D11" w:rsidRDefault="006B32D3" w:rsidP="006B32D3">
      <w:pPr>
        <w:tabs>
          <w:tab w:val="left" w:pos="720"/>
          <w:tab w:val="center" w:pos="5400"/>
        </w:tabs>
        <w:suppressAutoHyphens/>
        <w:rPr>
          <w:rFonts w:ascii="Cambria" w:hAnsi="Cambria"/>
          <w:sz w:val="20"/>
          <w:szCs w:val="20"/>
        </w:rPr>
      </w:pPr>
    </w:p>
    <w:p w:rsidR="006B32D3" w:rsidRPr="00BF3D11" w:rsidRDefault="006B32D3" w:rsidP="006B32D3">
      <w:pPr>
        <w:pStyle w:val="Heading1"/>
      </w:pPr>
      <w:bookmarkStart w:id="26" w:name="_Toc473188688"/>
      <w:bookmarkStart w:id="27" w:name="_Toc478023965"/>
      <w:r>
        <w:t>ANALYSIS OF COMPETENCE AND ADMISSIBILITY</w:t>
      </w:r>
      <w:bookmarkEnd w:id="26"/>
      <w:bookmarkEnd w:id="27"/>
    </w:p>
    <w:p w:rsidR="006B32D3" w:rsidRPr="00BF3D11" w:rsidRDefault="006B32D3" w:rsidP="006B32D3">
      <w:pPr>
        <w:pStyle w:val="Heading1"/>
        <w:numPr>
          <w:ilvl w:val="0"/>
          <w:numId w:val="0"/>
        </w:numPr>
        <w:ind w:left="720"/>
      </w:pPr>
    </w:p>
    <w:p w:rsidR="006B32D3" w:rsidRPr="00BF3D11" w:rsidRDefault="00670E42" w:rsidP="006B32D3">
      <w:pPr>
        <w:pStyle w:val="Heading2"/>
        <w:numPr>
          <w:ilvl w:val="0"/>
          <w:numId w:val="57"/>
        </w:numPr>
        <w:tabs>
          <w:tab w:val="left" w:pos="720"/>
          <w:tab w:val="left" w:pos="1440"/>
        </w:tabs>
        <w:spacing w:before="0" w:after="0"/>
        <w:ind w:left="1440" w:hanging="720"/>
        <w:jc w:val="both"/>
        <w:rPr>
          <w:rFonts w:ascii="Cambria" w:eastAsia="Arial Unicode MS" w:hAnsi="Cambria" w:cs="Calibri"/>
          <w:b w:val="0"/>
          <w:bCs w:val="0"/>
          <w:i w:val="0"/>
          <w:iCs w:val="0"/>
          <w:color w:val="808080"/>
          <w:sz w:val="20"/>
          <w:szCs w:val="20"/>
          <w:bdr w:val="nil"/>
        </w:rPr>
      </w:pPr>
      <w:bookmarkStart w:id="28" w:name="_Toc473188689"/>
      <w:bookmarkStart w:id="29" w:name="_Toc478023966"/>
      <w:r>
        <w:rPr>
          <w:rFonts w:ascii="Cambria" w:hAnsi="Cambria"/>
          <w:i w:val="0"/>
          <w:sz w:val="20"/>
        </w:rPr>
        <w:t>Competence of</w:t>
      </w:r>
      <w:r w:rsidR="006B32D3">
        <w:rPr>
          <w:rFonts w:ascii="Cambria" w:hAnsi="Cambria"/>
          <w:i w:val="0"/>
          <w:sz w:val="20"/>
        </w:rPr>
        <w:t xml:space="preserve"> the Commission </w:t>
      </w:r>
      <w:proofErr w:type="spellStart"/>
      <w:r w:rsidR="006B32D3">
        <w:rPr>
          <w:rFonts w:ascii="Cambria" w:hAnsi="Cambria"/>
          <w:sz w:val="20"/>
        </w:rPr>
        <w:t>ratione</w:t>
      </w:r>
      <w:proofErr w:type="spellEnd"/>
      <w:r w:rsidR="006B32D3">
        <w:rPr>
          <w:rFonts w:ascii="Cambria" w:hAnsi="Cambria"/>
          <w:sz w:val="20"/>
        </w:rPr>
        <w:t xml:space="preserve"> personae, </w:t>
      </w:r>
      <w:proofErr w:type="spellStart"/>
      <w:r w:rsidR="006B32D3">
        <w:rPr>
          <w:rFonts w:ascii="Cambria" w:hAnsi="Cambria"/>
          <w:sz w:val="20"/>
        </w:rPr>
        <w:t>ratione</w:t>
      </w:r>
      <w:proofErr w:type="spellEnd"/>
      <w:r w:rsidR="006B32D3">
        <w:rPr>
          <w:rFonts w:ascii="Cambria" w:hAnsi="Cambria"/>
          <w:sz w:val="20"/>
        </w:rPr>
        <w:t xml:space="preserve"> loci, </w:t>
      </w:r>
      <w:proofErr w:type="spellStart"/>
      <w:r w:rsidR="006B32D3">
        <w:rPr>
          <w:rFonts w:ascii="Cambria" w:hAnsi="Cambria"/>
          <w:sz w:val="20"/>
        </w:rPr>
        <w:t>ratione</w:t>
      </w:r>
      <w:proofErr w:type="spellEnd"/>
      <w:r w:rsidR="006B32D3">
        <w:rPr>
          <w:rFonts w:ascii="Cambria" w:hAnsi="Cambria"/>
          <w:sz w:val="20"/>
        </w:rPr>
        <w:t xml:space="preserve"> </w:t>
      </w:r>
      <w:proofErr w:type="spellStart"/>
      <w:r w:rsidR="006B32D3">
        <w:rPr>
          <w:rFonts w:ascii="Cambria" w:hAnsi="Cambria"/>
          <w:sz w:val="20"/>
        </w:rPr>
        <w:t>temporis</w:t>
      </w:r>
      <w:proofErr w:type="spellEnd"/>
      <w:r w:rsidR="006B32D3">
        <w:rPr>
          <w:rFonts w:ascii="Cambria" w:hAnsi="Cambria"/>
          <w:sz w:val="20"/>
        </w:rPr>
        <w:t xml:space="preserve"> </w:t>
      </w:r>
      <w:r w:rsidR="006B32D3">
        <w:rPr>
          <w:rFonts w:ascii="Cambria" w:hAnsi="Cambria"/>
          <w:i w:val="0"/>
          <w:sz w:val="20"/>
        </w:rPr>
        <w:t xml:space="preserve">and </w:t>
      </w:r>
      <w:proofErr w:type="spellStart"/>
      <w:r w:rsidR="006B32D3">
        <w:rPr>
          <w:rFonts w:ascii="Cambria" w:hAnsi="Cambria"/>
          <w:sz w:val="20"/>
        </w:rPr>
        <w:t>ratione</w:t>
      </w:r>
      <w:proofErr w:type="spellEnd"/>
      <w:r w:rsidR="006B32D3">
        <w:rPr>
          <w:rFonts w:ascii="Cambria" w:hAnsi="Cambria"/>
          <w:sz w:val="20"/>
        </w:rPr>
        <w:t xml:space="preserve"> </w:t>
      </w:r>
      <w:proofErr w:type="spellStart"/>
      <w:r w:rsidR="006B32D3">
        <w:rPr>
          <w:rFonts w:ascii="Cambria" w:hAnsi="Cambria"/>
          <w:sz w:val="20"/>
        </w:rPr>
        <w:t>materiae</w:t>
      </w:r>
      <w:bookmarkEnd w:id="28"/>
      <w:bookmarkEnd w:id="29"/>
      <w:proofErr w:type="spellEnd"/>
      <w:r w:rsidR="006B32D3">
        <w:rPr>
          <w:rFonts w:ascii="Cambria" w:hAnsi="Cambria"/>
          <w:i w:val="0"/>
          <w:sz w:val="20"/>
        </w:rPr>
        <w:t xml:space="preserve"> </w:t>
      </w:r>
    </w:p>
    <w:p w:rsidR="006B32D3" w:rsidRPr="00BF3D11" w:rsidRDefault="006B32D3" w:rsidP="006B32D3">
      <w:pPr>
        <w:tabs>
          <w:tab w:val="center" w:pos="4680"/>
          <w:tab w:val="left" w:pos="6511"/>
        </w:tabs>
        <w:rPr>
          <w:rFonts w:ascii="Cambria" w:hAnsi="Cambria" w:cs="Calibri"/>
          <w:color w:val="808080"/>
          <w:sz w:val="20"/>
          <w:szCs w:val="20"/>
        </w:rPr>
      </w:pPr>
    </w:p>
    <w:p w:rsidR="006B32D3" w:rsidRPr="00BF3D11" w:rsidRDefault="006B32D3" w:rsidP="006B32D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Pr>
          <w:rFonts w:ascii="Cambria" w:hAnsi="Cambria"/>
          <w:sz w:val="20"/>
        </w:rPr>
        <w:t xml:space="preserve">The petitioners have standing under Article 44 of the American Convention to lodge petitions. In addition, Alejandro </w:t>
      </w:r>
      <w:proofErr w:type="spellStart"/>
      <w:r>
        <w:rPr>
          <w:rFonts w:ascii="Cambria" w:hAnsi="Cambria"/>
          <w:sz w:val="20"/>
        </w:rPr>
        <w:t>Yovany</w:t>
      </w:r>
      <w:proofErr w:type="spellEnd"/>
      <w:r>
        <w:rPr>
          <w:rFonts w:ascii="Cambria" w:hAnsi="Cambria"/>
          <w:sz w:val="20"/>
        </w:rPr>
        <w:t xml:space="preserve"> Gómez </w:t>
      </w:r>
      <w:proofErr w:type="spellStart"/>
      <w:r>
        <w:rPr>
          <w:rFonts w:ascii="Cambria" w:hAnsi="Cambria"/>
          <w:sz w:val="20"/>
        </w:rPr>
        <w:t>Virula</w:t>
      </w:r>
      <w:proofErr w:type="spellEnd"/>
      <w:r>
        <w:rPr>
          <w:rFonts w:ascii="Cambria" w:hAnsi="Cambria"/>
          <w:sz w:val="20"/>
        </w:rPr>
        <w:t xml:space="preserve"> and his family members were individuals under the jurisdiction of the State of Guatemala at the time of the facts adduced. Therefore, the Commission has </w:t>
      </w:r>
      <w:proofErr w:type="spellStart"/>
      <w:r>
        <w:rPr>
          <w:rFonts w:ascii="Cambria" w:hAnsi="Cambria"/>
          <w:i/>
          <w:sz w:val="20"/>
        </w:rPr>
        <w:t>ratione</w:t>
      </w:r>
      <w:proofErr w:type="spellEnd"/>
      <w:r>
        <w:rPr>
          <w:rFonts w:ascii="Cambria" w:hAnsi="Cambria"/>
          <w:i/>
          <w:sz w:val="20"/>
        </w:rPr>
        <w:t xml:space="preserve"> personae</w:t>
      </w:r>
      <w:r>
        <w:rPr>
          <w:rFonts w:ascii="Cambria" w:hAnsi="Cambria"/>
          <w:sz w:val="20"/>
        </w:rPr>
        <w:t xml:space="preserve"> competence to examine the petition. The Commission is competent </w:t>
      </w:r>
      <w:proofErr w:type="spellStart"/>
      <w:r>
        <w:rPr>
          <w:rFonts w:ascii="Cambria" w:hAnsi="Cambria"/>
          <w:i/>
          <w:sz w:val="20"/>
        </w:rPr>
        <w:t>ratione</w:t>
      </w:r>
      <w:proofErr w:type="spellEnd"/>
      <w:r>
        <w:rPr>
          <w:rFonts w:ascii="Cambria" w:hAnsi="Cambria"/>
          <w:i/>
          <w:sz w:val="20"/>
        </w:rPr>
        <w:t xml:space="preserve"> loci</w:t>
      </w:r>
      <w:r>
        <w:rPr>
          <w:rFonts w:ascii="Cambria" w:hAnsi="Cambria"/>
          <w:sz w:val="20"/>
        </w:rPr>
        <w:t xml:space="preserve"> to take cognizance of the petition, insofar as it alleges violations of the American Convention that are said to have taken place in the territory of a state party to that treaty. </w:t>
      </w:r>
    </w:p>
    <w:p w:rsidR="006B32D3" w:rsidRPr="00BF3D11" w:rsidRDefault="006B32D3" w:rsidP="006B32D3">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rPr>
      </w:pPr>
    </w:p>
    <w:p w:rsidR="006B32D3" w:rsidRPr="00BF3D11" w:rsidRDefault="006B32D3" w:rsidP="006B32D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Pr>
          <w:rFonts w:ascii="Cambria" w:hAnsi="Cambria"/>
          <w:sz w:val="20"/>
        </w:rPr>
        <w:t xml:space="preserve">Similarly, the IACHR has </w:t>
      </w:r>
      <w:proofErr w:type="spellStart"/>
      <w:r>
        <w:rPr>
          <w:rFonts w:ascii="Cambria" w:hAnsi="Cambria"/>
          <w:i/>
          <w:sz w:val="20"/>
        </w:rPr>
        <w:t>ratione</w:t>
      </w:r>
      <w:proofErr w:type="spellEnd"/>
      <w:r>
        <w:rPr>
          <w:rFonts w:ascii="Cambria" w:hAnsi="Cambria"/>
          <w:i/>
          <w:sz w:val="20"/>
        </w:rPr>
        <w:t xml:space="preserve"> </w:t>
      </w:r>
      <w:proofErr w:type="spellStart"/>
      <w:r>
        <w:rPr>
          <w:rFonts w:ascii="Cambria" w:hAnsi="Cambria"/>
          <w:i/>
          <w:sz w:val="20"/>
        </w:rPr>
        <w:t>materiae</w:t>
      </w:r>
      <w:proofErr w:type="spellEnd"/>
      <w:r>
        <w:rPr>
          <w:rFonts w:ascii="Cambria" w:hAnsi="Cambria"/>
          <w:sz w:val="20"/>
        </w:rPr>
        <w:t xml:space="preserve"> competence because the petition refers to alleged violations of the American Convention. The Commission is also competent </w:t>
      </w:r>
      <w:proofErr w:type="spellStart"/>
      <w:r>
        <w:rPr>
          <w:rFonts w:ascii="Cambria" w:hAnsi="Cambria"/>
          <w:i/>
          <w:sz w:val="20"/>
        </w:rPr>
        <w:t>ratione</w:t>
      </w:r>
      <w:proofErr w:type="spellEnd"/>
      <w:r>
        <w:rPr>
          <w:rFonts w:ascii="Cambria" w:hAnsi="Cambria"/>
          <w:i/>
          <w:sz w:val="20"/>
        </w:rPr>
        <w:t xml:space="preserve"> </w:t>
      </w:r>
      <w:proofErr w:type="spellStart"/>
      <w:r>
        <w:rPr>
          <w:rFonts w:ascii="Cambria" w:hAnsi="Cambria"/>
          <w:i/>
          <w:sz w:val="20"/>
        </w:rPr>
        <w:t>temporis</w:t>
      </w:r>
      <w:proofErr w:type="spellEnd"/>
      <w:r>
        <w:rPr>
          <w:rFonts w:ascii="Cambria" w:hAnsi="Cambria"/>
          <w:sz w:val="20"/>
        </w:rPr>
        <w:t xml:space="preserve"> to examine the claim as Guatemala has been a state party to the American Convention since May 25, 1978, when it deposited its instrument of ratification. Therefore, the obligation of the State to respect and ensure the rights recognized in the American Convention was in force at the time that the alleged facts are said to have occurred. </w:t>
      </w:r>
    </w:p>
    <w:p w:rsidR="006B32D3" w:rsidRPr="00BF3D11" w:rsidRDefault="006B32D3" w:rsidP="006B32D3">
      <w:pPr>
        <w:tabs>
          <w:tab w:val="center" w:pos="4680"/>
          <w:tab w:val="left" w:pos="6511"/>
        </w:tabs>
        <w:rPr>
          <w:rFonts w:ascii="Cambria" w:hAnsi="Cambria" w:cs="Calibri"/>
          <w:color w:val="808080"/>
          <w:sz w:val="20"/>
          <w:szCs w:val="20"/>
        </w:rPr>
      </w:pPr>
    </w:p>
    <w:p w:rsidR="006B32D3" w:rsidRPr="00BF3D11" w:rsidRDefault="006B32D3" w:rsidP="006B32D3">
      <w:pPr>
        <w:pStyle w:val="Heading2"/>
        <w:numPr>
          <w:ilvl w:val="0"/>
          <w:numId w:val="57"/>
        </w:numPr>
        <w:tabs>
          <w:tab w:val="left" w:pos="720"/>
          <w:tab w:val="left" w:pos="1440"/>
        </w:tabs>
        <w:spacing w:before="0" w:after="0"/>
        <w:ind w:left="1440" w:hanging="720"/>
        <w:jc w:val="both"/>
        <w:rPr>
          <w:rFonts w:ascii="Cambria" w:eastAsia="Arial Unicode MS" w:hAnsi="Cambria" w:cs="Calibri"/>
          <w:b w:val="0"/>
          <w:bCs w:val="0"/>
          <w:i w:val="0"/>
          <w:iCs w:val="0"/>
          <w:color w:val="808080"/>
          <w:sz w:val="20"/>
          <w:szCs w:val="20"/>
          <w:bdr w:val="nil"/>
        </w:rPr>
      </w:pPr>
      <w:bookmarkStart w:id="30" w:name="_Toc473188690"/>
      <w:bookmarkStart w:id="31" w:name="_Toc478023967"/>
      <w:r>
        <w:rPr>
          <w:rFonts w:ascii="Cambria" w:hAnsi="Cambria"/>
          <w:i w:val="0"/>
          <w:sz w:val="20"/>
        </w:rPr>
        <w:t>Exhaustion of domestic remedies</w:t>
      </w:r>
      <w:bookmarkEnd w:id="30"/>
      <w:bookmarkEnd w:id="31"/>
    </w:p>
    <w:p w:rsidR="006B32D3" w:rsidRPr="00BF3D11" w:rsidRDefault="006B32D3" w:rsidP="006B32D3">
      <w:pPr>
        <w:tabs>
          <w:tab w:val="center" w:pos="4680"/>
          <w:tab w:val="left" w:pos="6511"/>
        </w:tabs>
        <w:rPr>
          <w:rFonts w:ascii="Cambria" w:hAnsi="Cambria" w:cs="Calibri"/>
          <w:color w:val="808080"/>
          <w:sz w:val="20"/>
          <w:szCs w:val="20"/>
        </w:rPr>
      </w:pPr>
    </w:p>
    <w:p w:rsidR="006B32D3" w:rsidRDefault="006B32D3" w:rsidP="006B32D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Pr>
          <w:rFonts w:ascii="Cambria" w:hAnsi="Cambria"/>
          <w:sz w:val="20"/>
        </w:rPr>
        <w:t>Article 46(1)(a) of the American Convention provides that in order for a complaint submitted to the Inter-American Commission pursuant to Article 44 of the same instrument to be admissible, one must have pursued and exhausted domestic remedies in keeping with generally recognized principles of international law. This rule is designed to allow national authorities to examine alleged violations of protected rights and, as appropriate, to resolve them before they are taken up in an international proceeding.</w:t>
      </w:r>
    </w:p>
    <w:p w:rsidR="006B32D3" w:rsidRDefault="006B32D3" w:rsidP="006B32D3">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rPr>
      </w:pPr>
    </w:p>
    <w:p w:rsidR="006B32D3" w:rsidRPr="00BF3D11" w:rsidRDefault="006B32D3" w:rsidP="006B32D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Pr>
          <w:rFonts w:ascii="Cambria" w:hAnsi="Cambria"/>
          <w:sz w:val="20"/>
        </w:rPr>
        <w:t>The IACHR reiterates its view that analysis of the requirements set forth in Article 46.1.</w:t>
      </w:r>
      <w:proofErr w:type="spellStart"/>
      <w:r>
        <w:rPr>
          <w:rFonts w:ascii="Cambria" w:hAnsi="Cambria"/>
          <w:sz w:val="20"/>
        </w:rPr>
        <w:t>a</w:t>
      </w:r>
      <w:proofErr w:type="spellEnd"/>
      <w:r>
        <w:rPr>
          <w:rFonts w:ascii="Cambria" w:hAnsi="Cambria"/>
          <w:sz w:val="20"/>
        </w:rPr>
        <w:t xml:space="preserve"> of the American Convention should be conducted in light of the situation given at the time a pronouncement is made regarding the admissibility or inadmissibility of the petition.</w:t>
      </w:r>
      <w:r>
        <w:rPr>
          <w:rStyle w:val="FootnoteReference"/>
          <w:rFonts w:ascii="Cambria" w:hAnsi="Cambria"/>
          <w:sz w:val="20"/>
        </w:rPr>
        <w:footnoteReference w:id="3"/>
      </w:r>
    </w:p>
    <w:p w:rsidR="006B32D3" w:rsidRPr="00BF3D11" w:rsidRDefault="006B32D3" w:rsidP="006B32D3">
      <w:pPr>
        <w:ind w:firstLine="567"/>
        <w:rPr>
          <w:rFonts w:ascii="Cambria" w:hAnsi="Cambria"/>
          <w:sz w:val="20"/>
          <w:szCs w:val="20"/>
        </w:rPr>
      </w:pPr>
    </w:p>
    <w:p w:rsidR="006B32D3" w:rsidRPr="00BF3D11" w:rsidRDefault="006B32D3" w:rsidP="006B32D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Pr>
          <w:rFonts w:ascii="Cambria" w:hAnsi="Cambria"/>
          <w:sz w:val="20"/>
        </w:rPr>
        <w:t>The Commission notes that both parties stated that the investigation into the disappearance and murder of Mr. Gómez began and was later archived for lack of evidence.</w:t>
      </w:r>
      <w:r>
        <w:rPr>
          <w:rStyle w:val="FootnoteReference"/>
          <w:rFonts w:ascii="Cambria" w:hAnsi="Cambria"/>
          <w:sz w:val="20"/>
        </w:rPr>
        <w:footnoteReference w:id="4"/>
      </w:r>
      <w:r>
        <w:rPr>
          <w:rFonts w:ascii="Cambria" w:hAnsi="Cambria"/>
          <w:sz w:val="20"/>
        </w:rPr>
        <w:t xml:space="preserve"> As will be shown under Proven Facts, the documents are unclear as to whether the investigation was formally archived or not. Nevertheless, what is clear is that since 1996 no inquiries have been made and that in 2004 the Public Prosecutors' Office confirmed that that there were no records at all of an investigation under the alleged victim's name. </w:t>
      </w:r>
    </w:p>
    <w:p w:rsidR="006B32D3" w:rsidRPr="00BF3D11" w:rsidRDefault="006B32D3" w:rsidP="006B32D3">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rPr>
      </w:pPr>
    </w:p>
    <w:p w:rsidR="006B32D3" w:rsidRPr="00BF3D11" w:rsidRDefault="006B32D3" w:rsidP="006B32D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Pr>
          <w:rFonts w:ascii="Cambria" w:hAnsi="Cambria"/>
          <w:sz w:val="20"/>
        </w:rPr>
        <w:t>Under these circumstances, and bearing in mind that in violent death cases, the ideal remedy to be exhausted is criminal investigation, which must be initiated and promoted ex officio by the State, the Commission considers that the requirement that domestic remedies must be exhausted is satisfied in the instance case pursuant to Article 46.1.</w:t>
      </w:r>
      <w:proofErr w:type="spellStart"/>
      <w:r>
        <w:rPr>
          <w:rFonts w:ascii="Cambria" w:hAnsi="Cambria"/>
          <w:sz w:val="20"/>
        </w:rPr>
        <w:t>a</w:t>
      </w:r>
      <w:proofErr w:type="spellEnd"/>
      <w:r>
        <w:rPr>
          <w:rFonts w:ascii="Cambria" w:hAnsi="Cambria"/>
          <w:sz w:val="20"/>
        </w:rPr>
        <w:t xml:space="preserve"> of the American Convention. </w:t>
      </w:r>
    </w:p>
    <w:p w:rsidR="006B32D3" w:rsidRPr="00BF3D11" w:rsidRDefault="006B32D3" w:rsidP="006B32D3">
      <w:pPr>
        <w:tabs>
          <w:tab w:val="center" w:pos="4680"/>
          <w:tab w:val="left" w:pos="6511"/>
        </w:tabs>
        <w:rPr>
          <w:rFonts w:ascii="Cambria" w:hAnsi="Cambria" w:cs="Calibri"/>
          <w:color w:val="808080"/>
          <w:sz w:val="20"/>
          <w:szCs w:val="20"/>
        </w:rPr>
      </w:pPr>
    </w:p>
    <w:p w:rsidR="006B32D3" w:rsidRPr="00BF3D11" w:rsidRDefault="006B32D3" w:rsidP="006B32D3">
      <w:pPr>
        <w:pStyle w:val="Heading2"/>
        <w:numPr>
          <w:ilvl w:val="0"/>
          <w:numId w:val="57"/>
        </w:numPr>
        <w:tabs>
          <w:tab w:val="left" w:pos="720"/>
          <w:tab w:val="left" w:pos="1440"/>
        </w:tabs>
        <w:spacing w:before="0" w:after="0"/>
        <w:ind w:left="1440" w:hanging="720"/>
        <w:jc w:val="both"/>
        <w:rPr>
          <w:rFonts w:ascii="Cambria" w:hAnsi="Cambria"/>
          <w:i w:val="0"/>
          <w:sz w:val="20"/>
          <w:szCs w:val="20"/>
        </w:rPr>
      </w:pPr>
      <w:bookmarkStart w:id="32" w:name="_Toc473188691"/>
      <w:bookmarkStart w:id="33" w:name="_Toc478023968"/>
      <w:r>
        <w:rPr>
          <w:rFonts w:ascii="Cambria" w:hAnsi="Cambria"/>
          <w:i w:val="0"/>
          <w:sz w:val="20"/>
        </w:rPr>
        <w:t>Timeliness of the petition</w:t>
      </w:r>
      <w:bookmarkEnd w:id="32"/>
      <w:bookmarkEnd w:id="33"/>
    </w:p>
    <w:p w:rsidR="006B32D3" w:rsidRPr="00BF3D11" w:rsidRDefault="006B32D3" w:rsidP="006B32D3">
      <w:pPr>
        <w:ind w:firstLine="567"/>
        <w:rPr>
          <w:rFonts w:ascii="Cambria" w:hAnsi="Cambria"/>
          <w:sz w:val="20"/>
          <w:szCs w:val="20"/>
        </w:rPr>
      </w:pPr>
    </w:p>
    <w:p w:rsidR="006B32D3" w:rsidRPr="00BF3D11" w:rsidRDefault="006B32D3" w:rsidP="006B32D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b/>
          <w:i/>
          <w:sz w:val="20"/>
          <w:szCs w:val="20"/>
        </w:rPr>
      </w:pPr>
      <w:r>
        <w:rPr>
          <w:rFonts w:ascii="Cambria" w:hAnsi="Cambria"/>
          <w:sz w:val="20"/>
        </w:rPr>
        <w:lastRenderedPageBreak/>
        <w:t>Article 46(1</w:t>
      </w:r>
      <w:proofErr w:type="gramStart"/>
      <w:r>
        <w:rPr>
          <w:rFonts w:ascii="Cambria" w:hAnsi="Cambria"/>
          <w:sz w:val="20"/>
        </w:rPr>
        <w:t>)(</w:t>
      </w:r>
      <w:proofErr w:type="gramEnd"/>
      <w:r>
        <w:rPr>
          <w:rFonts w:ascii="Cambria" w:hAnsi="Cambria"/>
          <w:sz w:val="20"/>
        </w:rPr>
        <w:t xml:space="preserve">b) of the Convention establishes that in order for a petition to be declared admissible it must be presented within six months counted from the date on which the petitioner was notified of the final decision that exhausted remedies in the domestic jurisdiction. </w:t>
      </w:r>
    </w:p>
    <w:p w:rsidR="006B32D3" w:rsidRPr="00BF3D11" w:rsidRDefault="006B32D3" w:rsidP="006B32D3">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b/>
          <w:i/>
          <w:sz w:val="20"/>
          <w:szCs w:val="20"/>
        </w:rPr>
      </w:pPr>
    </w:p>
    <w:p w:rsidR="006B32D3" w:rsidRPr="00BF3D11" w:rsidRDefault="006B32D3" w:rsidP="006B32D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bookmarkStart w:id="34" w:name="_Toc370830576"/>
      <w:bookmarkStart w:id="35" w:name="_Toc370831289"/>
      <w:bookmarkStart w:id="36" w:name="_Toc412635578"/>
      <w:bookmarkStart w:id="37" w:name="_Toc416685634"/>
      <w:r>
        <w:rPr>
          <w:rFonts w:ascii="Cambria" w:hAnsi="Cambria"/>
          <w:sz w:val="20"/>
        </w:rPr>
        <w:t>In the instant case, the Commission notes that the exhaustion of domestic remedies occurred when the case was being examined for admissibility. In light of the above, compliance with the six months deadline is intrinsically linked to the exhaustion of domestic remedies and, therefore</w:t>
      </w:r>
      <w:r w:rsidR="00670E42">
        <w:rPr>
          <w:rFonts w:ascii="Cambria" w:hAnsi="Cambria"/>
          <w:sz w:val="20"/>
        </w:rPr>
        <w:t>, the</w:t>
      </w:r>
      <w:r>
        <w:rPr>
          <w:rFonts w:ascii="Cambria" w:hAnsi="Cambria"/>
          <w:sz w:val="20"/>
        </w:rPr>
        <w:t xml:space="preserve"> timeliness of presentation requirement must be considered met.</w:t>
      </w:r>
    </w:p>
    <w:p w:rsidR="006B32D3" w:rsidRPr="00BF3D11" w:rsidRDefault="006B32D3" w:rsidP="006B32D3">
      <w:pPr>
        <w:pStyle w:val="BodyTextIndent"/>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6B32D3" w:rsidRPr="00BF3D11" w:rsidRDefault="006B32D3" w:rsidP="006B32D3">
      <w:pPr>
        <w:pStyle w:val="Heading2"/>
        <w:numPr>
          <w:ilvl w:val="0"/>
          <w:numId w:val="57"/>
        </w:numPr>
        <w:tabs>
          <w:tab w:val="left" w:pos="720"/>
          <w:tab w:val="left" w:pos="1440"/>
        </w:tabs>
        <w:spacing w:before="0" w:after="0"/>
        <w:ind w:left="1440" w:hanging="720"/>
        <w:jc w:val="both"/>
        <w:rPr>
          <w:rFonts w:ascii="Cambria" w:hAnsi="Cambria"/>
          <w:i w:val="0"/>
          <w:sz w:val="20"/>
          <w:szCs w:val="20"/>
        </w:rPr>
      </w:pPr>
      <w:bookmarkStart w:id="38" w:name="_Toc473188692"/>
      <w:bookmarkStart w:id="39" w:name="_Toc478023969"/>
      <w:r>
        <w:rPr>
          <w:rFonts w:ascii="Cambria" w:hAnsi="Cambria"/>
          <w:i w:val="0"/>
          <w:sz w:val="20"/>
        </w:rPr>
        <w:t>Duplication of proceedings and international res judicata</w:t>
      </w:r>
      <w:bookmarkEnd w:id="34"/>
      <w:bookmarkEnd w:id="35"/>
      <w:bookmarkEnd w:id="36"/>
      <w:bookmarkEnd w:id="37"/>
      <w:bookmarkEnd w:id="38"/>
      <w:bookmarkEnd w:id="39"/>
    </w:p>
    <w:p w:rsidR="006B32D3" w:rsidRPr="00BF3D11" w:rsidRDefault="006B32D3" w:rsidP="006B32D3">
      <w:pPr>
        <w:ind w:firstLine="567"/>
        <w:rPr>
          <w:rFonts w:ascii="Cambria" w:hAnsi="Cambria"/>
          <w:sz w:val="20"/>
          <w:szCs w:val="20"/>
        </w:rPr>
      </w:pPr>
    </w:p>
    <w:p w:rsidR="006B32D3" w:rsidRPr="00BF3D11" w:rsidRDefault="006B32D3" w:rsidP="006B32D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s="Arial"/>
          <w:iCs/>
          <w:sz w:val="20"/>
          <w:szCs w:val="20"/>
        </w:rPr>
      </w:pPr>
      <w:r>
        <w:rPr>
          <w:rFonts w:ascii="Cambria" w:hAnsi="Cambria"/>
          <w:sz w:val="20"/>
        </w:rPr>
        <w:t>Article 46(1</w:t>
      </w:r>
      <w:proofErr w:type="gramStart"/>
      <w:r>
        <w:rPr>
          <w:rFonts w:ascii="Cambria" w:hAnsi="Cambria"/>
          <w:sz w:val="20"/>
        </w:rPr>
        <w:t>)(</w:t>
      </w:r>
      <w:proofErr w:type="gramEnd"/>
      <w:r>
        <w:rPr>
          <w:rFonts w:ascii="Cambria" w:hAnsi="Cambria"/>
          <w:sz w:val="20"/>
        </w:rPr>
        <w:t>c) provides that the admissibility of petitions is subject to the requirement that the subject “is not pending in another international proceeding for settlement,” while Article 47(d) of the Convention stipulates that the Commission shall not admit a petition that “is substantially the same as one previously studied” by the Commission or by another international organization. In the instant case, the parties have not argued the existence of either of those circumstances, nor can they be deduced from the record.</w:t>
      </w:r>
    </w:p>
    <w:p w:rsidR="006B32D3" w:rsidRPr="00BF3D11" w:rsidRDefault="006B32D3" w:rsidP="006B32D3">
      <w:pPr>
        <w:pStyle w:val="Heading2"/>
        <w:spacing w:before="0" w:after="0"/>
        <w:jc w:val="both"/>
        <w:rPr>
          <w:rFonts w:ascii="Cambria" w:hAnsi="Cambria"/>
          <w:i w:val="0"/>
          <w:sz w:val="20"/>
          <w:szCs w:val="20"/>
        </w:rPr>
      </w:pPr>
      <w:bookmarkStart w:id="40" w:name="_Toc370830577"/>
      <w:bookmarkStart w:id="41" w:name="_Toc370831290"/>
      <w:bookmarkStart w:id="42" w:name="_Toc412635579"/>
      <w:bookmarkStart w:id="43" w:name="_Toc416685635"/>
    </w:p>
    <w:p w:rsidR="006B32D3" w:rsidRPr="00BF3D11" w:rsidRDefault="006B32D3" w:rsidP="006B32D3">
      <w:pPr>
        <w:pStyle w:val="Heading2"/>
        <w:numPr>
          <w:ilvl w:val="0"/>
          <w:numId w:val="57"/>
        </w:numPr>
        <w:tabs>
          <w:tab w:val="left" w:pos="720"/>
          <w:tab w:val="left" w:pos="1440"/>
        </w:tabs>
        <w:spacing w:before="0" w:after="0"/>
        <w:ind w:left="1440" w:hanging="720"/>
        <w:jc w:val="both"/>
        <w:rPr>
          <w:rFonts w:ascii="Cambria" w:hAnsi="Cambria"/>
          <w:i w:val="0"/>
          <w:sz w:val="20"/>
          <w:szCs w:val="20"/>
        </w:rPr>
      </w:pPr>
      <w:bookmarkStart w:id="44" w:name="_Toc473188693"/>
      <w:bookmarkStart w:id="45" w:name="_Toc478023970"/>
      <w:r>
        <w:rPr>
          <w:rFonts w:ascii="Cambria" w:hAnsi="Cambria"/>
          <w:i w:val="0"/>
          <w:sz w:val="20"/>
        </w:rPr>
        <w:t>Colorable claim (characterization of the facts alleged)</w:t>
      </w:r>
      <w:bookmarkEnd w:id="40"/>
      <w:bookmarkEnd w:id="41"/>
      <w:bookmarkEnd w:id="42"/>
      <w:bookmarkEnd w:id="43"/>
      <w:bookmarkEnd w:id="44"/>
      <w:bookmarkEnd w:id="45"/>
    </w:p>
    <w:p w:rsidR="006B32D3" w:rsidRPr="00BF3D11" w:rsidRDefault="006B32D3" w:rsidP="006B32D3">
      <w:pPr>
        <w:ind w:firstLine="567"/>
        <w:rPr>
          <w:rFonts w:ascii="Cambria" w:hAnsi="Cambria"/>
          <w:sz w:val="20"/>
          <w:szCs w:val="20"/>
        </w:rPr>
      </w:pPr>
    </w:p>
    <w:p w:rsidR="006B32D3" w:rsidRPr="00BF3D11" w:rsidRDefault="006B32D3" w:rsidP="006B32D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s="Arial"/>
          <w:iCs/>
          <w:sz w:val="20"/>
          <w:szCs w:val="20"/>
        </w:rPr>
      </w:pPr>
      <w:r>
        <w:rPr>
          <w:rFonts w:ascii="Cambria" w:hAnsi="Cambria"/>
          <w:sz w:val="20"/>
        </w:rPr>
        <w:t xml:space="preserve">For purposes of admissibility, the Commission must decide whether the petition states facts that tend to establish a violation, as stipulated in Article 47(b) of the American Convention, whether the petition is “manifestly groundless” or whether it is "obviously out of order,” as per Article 47(c). The standard by which to assess </w:t>
      </w:r>
      <w:proofErr w:type="gramStart"/>
      <w:r>
        <w:rPr>
          <w:rFonts w:ascii="Cambria" w:hAnsi="Cambria"/>
          <w:sz w:val="20"/>
        </w:rPr>
        <w:t>these extremes is</w:t>
      </w:r>
      <w:proofErr w:type="gramEnd"/>
      <w:r>
        <w:rPr>
          <w:rFonts w:ascii="Cambria" w:hAnsi="Cambria"/>
          <w:sz w:val="20"/>
        </w:rPr>
        <w:t xml:space="preserve"> different from the one needed to decide the merits of a petition. The Commission must perform a </w:t>
      </w:r>
      <w:r>
        <w:rPr>
          <w:rFonts w:ascii="Cambria" w:hAnsi="Cambria"/>
          <w:i/>
          <w:sz w:val="20"/>
        </w:rPr>
        <w:t>prima facie</w:t>
      </w:r>
      <w:r>
        <w:rPr>
          <w:rFonts w:ascii="Cambria" w:hAnsi="Cambria"/>
          <w:sz w:val="20"/>
        </w:rPr>
        <w:t xml:space="preserve"> evaluation to examine whether the complaint establishes a basis for an apparent or potential violation of a right guaranteed by the Convention and not to establish the existence of a violation. Such a review is a summary analysis that does not imply any pre-judging or anticipation of an opinion on the merits.</w:t>
      </w:r>
    </w:p>
    <w:p w:rsidR="006B32D3" w:rsidRPr="00BF3D11" w:rsidRDefault="006B32D3" w:rsidP="006B32D3">
      <w:pPr>
        <w:ind w:firstLine="567"/>
        <w:rPr>
          <w:rFonts w:ascii="Cambria" w:hAnsi="Cambria" w:cs="Arial"/>
          <w:iCs/>
          <w:sz w:val="20"/>
          <w:szCs w:val="20"/>
        </w:rPr>
      </w:pPr>
    </w:p>
    <w:p w:rsidR="006B32D3" w:rsidRPr="00BF3D11" w:rsidRDefault="006B32D3" w:rsidP="006B32D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s="Arial"/>
          <w:iCs/>
          <w:sz w:val="20"/>
          <w:szCs w:val="20"/>
        </w:rPr>
      </w:pPr>
      <w:r>
        <w:rPr>
          <w:rFonts w:ascii="Cambria" w:hAnsi="Cambria"/>
          <w:sz w:val="20"/>
        </w:rPr>
        <w:t>Neither the American Convention nor the Rules of Procedure of the IACHR require that the petition identify the specific rights allegedly violated by the State in a matter submitted to the Commission, though the petitioners may do so. It is up to the Commission, based on the case-law of the system, to determine in its admissibility reports which provision of the relevant inter-American instruments is applicable or could be established as having been violated, if the facts alleged are sufficiently proven.</w:t>
      </w:r>
    </w:p>
    <w:p w:rsidR="006B32D3" w:rsidRPr="00BF3D11" w:rsidRDefault="006B32D3" w:rsidP="006B32D3">
      <w:pPr>
        <w:pStyle w:val="LightGrid-Accent31"/>
        <w:rPr>
          <w:rFonts w:ascii="Cambria" w:hAnsi="Cambria" w:cs="Arial"/>
          <w:iCs/>
          <w:sz w:val="20"/>
          <w:szCs w:val="20"/>
        </w:rPr>
      </w:pPr>
    </w:p>
    <w:p w:rsidR="006B32D3" w:rsidRPr="00BF3D11" w:rsidRDefault="006B32D3" w:rsidP="006B32D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s="Arial"/>
          <w:iCs/>
          <w:sz w:val="20"/>
          <w:szCs w:val="20"/>
        </w:rPr>
      </w:pPr>
      <w:r>
        <w:rPr>
          <w:rFonts w:ascii="Cambria" w:hAnsi="Cambria"/>
          <w:sz w:val="20"/>
        </w:rPr>
        <w:t xml:space="preserve">The Commission considers that the petitioners' pleadings point to deeds that could constitute violation of the rights to life,  personal integrity, personal liberty, freedom of association, judicial guarantees and judicial protection established in Articles 4, 5, 7, 8, 16 and 25 of the American Convention, in conjunction with the obligations established in Article 1.1 of the same instrument. </w:t>
      </w:r>
    </w:p>
    <w:p w:rsidR="006B32D3" w:rsidRPr="00BF3D11" w:rsidRDefault="006B32D3" w:rsidP="006B32D3">
      <w:pPr>
        <w:tabs>
          <w:tab w:val="center" w:pos="4680"/>
          <w:tab w:val="left" w:pos="6511"/>
        </w:tabs>
        <w:rPr>
          <w:rFonts w:ascii="Cambria" w:hAnsi="Cambria" w:cs="Calibri"/>
          <w:color w:val="808080"/>
          <w:sz w:val="20"/>
          <w:szCs w:val="20"/>
        </w:rPr>
      </w:pPr>
    </w:p>
    <w:p w:rsidR="006B32D3" w:rsidRPr="00BF3D11" w:rsidRDefault="006B32D3" w:rsidP="006B32D3">
      <w:pPr>
        <w:pStyle w:val="Heading1"/>
      </w:pPr>
      <w:bookmarkStart w:id="46" w:name="_Toc473188694"/>
      <w:bookmarkStart w:id="47" w:name="_Toc478023971"/>
      <w:r>
        <w:t>PROVEN FACTS</w:t>
      </w:r>
      <w:bookmarkEnd w:id="46"/>
      <w:bookmarkEnd w:id="47"/>
    </w:p>
    <w:p w:rsidR="006B32D3" w:rsidRPr="00BF3D11" w:rsidRDefault="006B32D3" w:rsidP="006B32D3">
      <w:pPr>
        <w:pStyle w:val="Heading2"/>
        <w:spacing w:before="0" w:after="0"/>
        <w:jc w:val="both"/>
        <w:rPr>
          <w:rFonts w:ascii="Cambria" w:hAnsi="Cambria"/>
          <w:i w:val="0"/>
          <w:sz w:val="20"/>
          <w:szCs w:val="20"/>
        </w:rPr>
      </w:pPr>
    </w:p>
    <w:p w:rsidR="006B32D3" w:rsidRPr="00BF3D11" w:rsidRDefault="006B32D3" w:rsidP="006B32D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Pr>
          <w:rFonts w:ascii="Cambria" w:hAnsi="Cambria"/>
          <w:sz w:val="20"/>
        </w:rPr>
        <w:t xml:space="preserve">The Commission notes that the facts alleged by the petitioners in relation to Alejandro </w:t>
      </w:r>
      <w:proofErr w:type="spellStart"/>
      <w:r>
        <w:rPr>
          <w:rFonts w:ascii="Cambria" w:hAnsi="Cambria"/>
          <w:sz w:val="20"/>
        </w:rPr>
        <w:t>Yovany</w:t>
      </w:r>
      <w:proofErr w:type="spellEnd"/>
      <w:r>
        <w:rPr>
          <w:rFonts w:ascii="Cambria" w:hAnsi="Cambria"/>
          <w:sz w:val="20"/>
        </w:rPr>
        <w:t xml:space="preserve"> Gómez, his immediate family, his work as a trade unionist, his disappearance, and murder were not contested by the State. The core query raised by the State is not about the facts. Rather, it has to do with the investigations conducted in Guatemala and the lack of </w:t>
      </w:r>
      <w:r w:rsidR="00670E42">
        <w:rPr>
          <w:rFonts w:ascii="Cambria" w:hAnsi="Cambria"/>
          <w:sz w:val="20"/>
        </w:rPr>
        <w:t>circumstantial</w:t>
      </w:r>
      <w:r>
        <w:rPr>
          <w:rFonts w:ascii="Cambria" w:hAnsi="Cambria"/>
          <w:sz w:val="20"/>
        </w:rPr>
        <w:t xml:space="preserve"> evident of the involvement of State agents. The Commission will take that into account in this section for the purpose of determining the proven facts of the case. </w:t>
      </w:r>
    </w:p>
    <w:p w:rsidR="006B32D3" w:rsidRPr="00BF3D11" w:rsidRDefault="006B32D3" w:rsidP="006B32D3">
      <w:pPr>
        <w:rPr>
          <w:rFonts w:ascii="Cambria" w:hAnsi="Cambria"/>
          <w:sz w:val="20"/>
          <w:szCs w:val="20"/>
        </w:rPr>
      </w:pPr>
    </w:p>
    <w:p w:rsidR="006B32D3" w:rsidRPr="00BF3D11" w:rsidRDefault="006B32D3" w:rsidP="006B32D3">
      <w:pPr>
        <w:pStyle w:val="Heading2"/>
        <w:numPr>
          <w:ilvl w:val="0"/>
          <w:numId w:val="58"/>
        </w:numPr>
        <w:spacing w:before="0" w:after="0"/>
        <w:ind w:hanging="720"/>
        <w:jc w:val="both"/>
        <w:rPr>
          <w:rFonts w:ascii="Cambria" w:hAnsi="Cambria"/>
          <w:i w:val="0"/>
          <w:sz w:val="20"/>
          <w:szCs w:val="20"/>
        </w:rPr>
      </w:pPr>
      <w:bookmarkStart w:id="48" w:name="_Toc473188695"/>
      <w:bookmarkStart w:id="49" w:name="_Toc478023972"/>
      <w:r>
        <w:rPr>
          <w:rFonts w:ascii="Cambria" w:hAnsi="Cambria"/>
          <w:i w:val="0"/>
          <w:sz w:val="20"/>
        </w:rPr>
        <w:t>Regarding Alejandro Gómez and his participation in the RC</w:t>
      </w:r>
      <w:bookmarkEnd w:id="48"/>
      <w:r>
        <w:rPr>
          <w:rFonts w:ascii="Cambria" w:hAnsi="Cambria"/>
          <w:i w:val="0"/>
          <w:sz w:val="20"/>
        </w:rPr>
        <w:t>A Assembly Plant Workers Trade Union</w:t>
      </w:r>
      <w:bookmarkEnd w:id="49"/>
    </w:p>
    <w:p w:rsidR="006B32D3" w:rsidRPr="00BF3D11" w:rsidRDefault="006B32D3" w:rsidP="006B32D3">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rPr>
      </w:pPr>
    </w:p>
    <w:p w:rsidR="006B32D3" w:rsidRPr="00BF3D11" w:rsidRDefault="006B32D3" w:rsidP="006B32D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Pr>
          <w:rFonts w:ascii="Cambria" w:hAnsi="Cambria"/>
          <w:sz w:val="20"/>
        </w:rPr>
        <w:lastRenderedPageBreak/>
        <w:t>The petitioners reported, and the State did not dispute the information, that at the time of the facts of the case Mr. Gómez, 24 years of age, was serving as Secretary of Finance in the RCA Assembly plant Workers Trade Union,</w:t>
      </w:r>
      <w:r>
        <w:rPr>
          <w:rStyle w:val="FootnoteReference"/>
          <w:rFonts w:ascii="Cambria" w:hAnsi="Cambria"/>
          <w:sz w:val="20"/>
        </w:rPr>
        <w:footnoteReference w:id="5"/>
      </w:r>
      <w:r>
        <w:rPr>
          <w:rFonts w:ascii="Cambria" w:hAnsi="Cambria"/>
          <w:sz w:val="20"/>
        </w:rPr>
        <w:t xml:space="preserve"> which was a Korean cross-border assembly plant located in Zone 18 of Guatemala City.</w:t>
      </w:r>
      <w:r>
        <w:rPr>
          <w:rStyle w:val="FootnoteReference"/>
          <w:rFonts w:ascii="Cambria" w:hAnsi="Cambria"/>
          <w:sz w:val="20"/>
        </w:rPr>
        <w:footnoteReference w:id="6"/>
      </w:r>
      <w:r>
        <w:rPr>
          <w:rFonts w:ascii="Cambria" w:hAnsi="Cambria"/>
          <w:sz w:val="20"/>
        </w:rPr>
        <w:t xml:space="preserve"> Regarding Mr. Gómez's immediate family, his parents were Antonio Gómez </w:t>
      </w:r>
      <w:proofErr w:type="spellStart"/>
      <w:r>
        <w:rPr>
          <w:rFonts w:ascii="Cambria" w:hAnsi="Cambria"/>
          <w:sz w:val="20"/>
        </w:rPr>
        <w:t>Areano</w:t>
      </w:r>
      <w:proofErr w:type="spellEnd"/>
      <w:r>
        <w:rPr>
          <w:rFonts w:ascii="Cambria" w:hAnsi="Cambria"/>
          <w:sz w:val="20"/>
        </w:rPr>
        <w:t xml:space="preserve"> </w:t>
      </w:r>
      <w:r w:rsidR="00670E42">
        <w:rPr>
          <w:rFonts w:ascii="Cambria" w:hAnsi="Cambria"/>
          <w:sz w:val="20"/>
        </w:rPr>
        <w:t>and Paula</w:t>
      </w:r>
      <w:r>
        <w:rPr>
          <w:rFonts w:ascii="Cambria" w:hAnsi="Cambria"/>
          <w:sz w:val="20"/>
        </w:rPr>
        <w:t xml:space="preserve"> </w:t>
      </w:r>
      <w:proofErr w:type="spellStart"/>
      <w:r>
        <w:rPr>
          <w:rFonts w:ascii="Cambria" w:hAnsi="Cambria"/>
          <w:sz w:val="20"/>
        </w:rPr>
        <w:t>Virula</w:t>
      </w:r>
      <w:proofErr w:type="spellEnd"/>
      <w:r>
        <w:rPr>
          <w:rStyle w:val="FootnoteReference"/>
          <w:rFonts w:ascii="Cambria" w:hAnsi="Cambria"/>
          <w:sz w:val="20"/>
        </w:rPr>
        <w:footnoteReference w:id="7"/>
      </w:r>
      <w:r>
        <w:rPr>
          <w:rFonts w:ascii="Cambria" w:hAnsi="Cambria"/>
          <w:sz w:val="20"/>
        </w:rPr>
        <w:t>.</w:t>
      </w:r>
    </w:p>
    <w:p w:rsidR="006B32D3" w:rsidRPr="00BF3D11" w:rsidRDefault="006B32D3" w:rsidP="006B32D3">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rPr>
      </w:pPr>
    </w:p>
    <w:p w:rsidR="006B32D3" w:rsidRPr="00BF3D11" w:rsidRDefault="006B32D3" w:rsidP="006B32D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Pr>
          <w:rFonts w:ascii="Cambria" w:hAnsi="Cambria"/>
          <w:sz w:val="20"/>
        </w:rPr>
        <w:t xml:space="preserve">Regarding the alleged victim's trade union activity prior to his disappearance, the petitioners described the following facts that, again, the State did not contest: </w:t>
      </w:r>
      <w:proofErr w:type="spellStart"/>
      <w:r>
        <w:rPr>
          <w:rFonts w:ascii="Cambria" w:hAnsi="Cambria"/>
          <w:sz w:val="20"/>
        </w:rPr>
        <w:t>i</w:t>
      </w:r>
      <w:proofErr w:type="spellEnd"/>
      <w:r>
        <w:rPr>
          <w:rFonts w:ascii="Cambria" w:hAnsi="Cambria"/>
          <w:sz w:val="20"/>
        </w:rPr>
        <w:t xml:space="preserve">)In August 1994, the assembly plant had had to shut down, leaving 70 people jobless; ii) in that circumstance, the Trade Union demanded that the company pay the wages owed to workers, along with other fringe benefits and that demand led to a suit before the Guatemala Labor Tribunal; iii) at the same time as it filed suit, the Trade Union began negotiations with the company; Mr. Gómez played an active part in those meetings and was very much involved with the case; v) on July 10, 1995, the Trade Union and the company reached an agreement under which the Trade Union "found itself forced" to relinquish its demand for 600,000 quartiles for the former workers and receive only 111,000 </w:t>
      </w:r>
      <w:r w:rsidR="00670E42">
        <w:rPr>
          <w:rFonts w:ascii="Cambria" w:hAnsi="Cambria"/>
          <w:sz w:val="20"/>
        </w:rPr>
        <w:t>quetzals</w:t>
      </w:r>
      <w:r>
        <w:rPr>
          <w:rFonts w:ascii="Cambria" w:hAnsi="Cambria"/>
          <w:sz w:val="20"/>
        </w:rPr>
        <w:t>.</w:t>
      </w:r>
    </w:p>
    <w:p w:rsidR="006B32D3" w:rsidRPr="00BF3D11" w:rsidRDefault="006B32D3" w:rsidP="006B32D3">
      <w:pPr>
        <w:tabs>
          <w:tab w:val="left" w:pos="720"/>
          <w:tab w:val="left" w:pos="840"/>
        </w:tabs>
        <w:jc w:val="both"/>
        <w:rPr>
          <w:rFonts w:ascii="Cambria" w:hAnsi="Cambria"/>
          <w:b/>
          <w:sz w:val="20"/>
          <w:szCs w:val="20"/>
        </w:rPr>
      </w:pPr>
    </w:p>
    <w:p w:rsidR="006B32D3" w:rsidRPr="00BF3D11" w:rsidRDefault="006B32D3" w:rsidP="006B32D3">
      <w:pPr>
        <w:pStyle w:val="Heading2"/>
        <w:numPr>
          <w:ilvl w:val="0"/>
          <w:numId w:val="58"/>
        </w:numPr>
        <w:spacing w:before="0" w:after="0"/>
        <w:ind w:hanging="720"/>
        <w:jc w:val="both"/>
        <w:rPr>
          <w:rFonts w:ascii="Cambria" w:hAnsi="Cambria"/>
          <w:i w:val="0"/>
          <w:sz w:val="20"/>
          <w:szCs w:val="20"/>
        </w:rPr>
      </w:pPr>
      <w:bookmarkStart w:id="50" w:name="_Toc473188696"/>
      <w:bookmarkStart w:id="51" w:name="_Toc478023973"/>
      <w:proofErr w:type="gramStart"/>
      <w:r>
        <w:rPr>
          <w:rFonts w:ascii="Cambria" w:hAnsi="Cambria"/>
          <w:i w:val="0"/>
          <w:sz w:val="20"/>
        </w:rPr>
        <w:t>Regarding the disappearance of Mr. Gómez on March 13, 1995.</w:t>
      </w:r>
      <w:bookmarkEnd w:id="50"/>
      <w:bookmarkEnd w:id="51"/>
      <w:proofErr w:type="gramEnd"/>
      <w:r>
        <w:rPr>
          <w:rFonts w:ascii="Cambria" w:hAnsi="Cambria"/>
          <w:i w:val="0"/>
          <w:sz w:val="20"/>
        </w:rPr>
        <w:t xml:space="preserve"> </w:t>
      </w:r>
    </w:p>
    <w:p w:rsidR="006B32D3" w:rsidRPr="00BF3D11" w:rsidRDefault="006B32D3" w:rsidP="006B32D3">
      <w:pPr>
        <w:tabs>
          <w:tab w:val="left" w:pos="720"/>
          <w:tab w:val="left" w:pos="840"/>
        </w:tabs>
        <w:jc w:val="both"/>
        <w:rPr>
          <w:rFonts w:ascii="Cambria" w:hAnsi="Cambria"/>
          <w:sz w:val="20"/>
          <w:szCs w:val="20"/>
        </w:rPr>
      </w:pPr>
    </w:p>
    <w:p w:rsidR="006B32D3" w:rsidRPr="00BF3D11" w:rsidRDefault="006B32D3" w:rsidP="006B32D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Pr>
          <w:rFonts w:ascii="Cambria" w:hAnsi="Cambria"/>
          <w:sz w:val="20"/>
        </w:rPr>
        <w:t>The information available about what happened on March 13, 1995 is based mainly on the petitioners' account, which was not disputed by the State at any time during the proce</w:t>
      </w:r>
      <w:r w:rsidR="00670E42">
        <w:rPr>
          <w:rFonts w:ascii="Cambria" w:hAnsi="Cambria"/>
          <w:sz w:val="20"/>
        </w:rPr>
        <w:t>edings before the Commission. Nor</w:t>
      </w:r>
      <w:r>
        <w:rPr>
          <w:rFonts w:ascii="Cambria" w:hAnsi="Cambria"/>
          <w:sz w:val="20"/>
        </w:rPr>
        <w:t xml:space="preserve"> do different hypotheses emerge regarding these facts in either the internal investigations or proceedings to which the IACHR has had access. The Commission notes, also, </w:t>
      </w:r>
      <w:r w:rsidR="00670E42">
        <w:rPr>
          <w:rFonts w:ascii="Cambria" w:hAnsi="Cambria"/>
          <w:sz w:val="20"/>
        </w:rPr>
        <w:t>that by</w:t>
      </w:r>
      <w:r>
        <w:rPr>
          <w:rFonts w:ascii="Cambria" w:hAnsi="Cambria"/>
          <w:sz w:val="20"/>
        </w:rPr>
        <w:t xml:space="preserve"> their very nature light can only be cast on deeds such as those alleged in the instance case by means of a criminal investigation. As will be shown later, so far there is no official version of what happened.  </w:t>
      </w:r>
    </w:p>
    <w:p w:rsidR="006B32D3" w:rsidRPr="00BF3D11" w:rsidRDefault="006B32D3" w:rsidP="006B32D3">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rPr>
      </w:pPr>
    </w:p>
    <w:p w:rsidR="006B32D3" w:rsidRPr="00BF3D11" w:rsidRDefault="006B32D3" w:rsidP="006B32D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Pr>
          <w:rFonts w:ascii="Cambria" w:hAnsi="Cambria"/>
          <w:sz w:val="20"/>
        </w:rPr>
        <w:t xml:space="preserve">Thus, the IACHR understands that there is no dispute as to the following facts described by the petitioners: </w:t>
      </w:r>
    </w:p>
    <w:p w:rsidR="006B32D3" w:rsidRPr="00BF3D11" w:rsidRDefault="006B32D3" w:rsidP="006B32D3">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rPr>
      </w:pPr>
    </w:p>
    <w:p w:rsidR="006B32D3" w:rsidRPr="00BF3D11" w:rsidRDefault="006B32D3" w:rsidP="006B32D3">
      <w:pPr>
        <w:pStyle w:val="BodyTextIndent"/>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Pr>
          <w:rFonts w:ascii="Cambria" w:hAnsi="Cambria"/>
          <w:sz w:val="20"/>
        </w:rPr>
        <w:t xml:space="preserve">On the morning of March 13, 1995, Mr. Gómez took part in </w:t>
      </w:r>
      <w:r w:rsidR="00670E42">
        <w:rPr>
          <w:rFonts w:ascii="Cambria" w:hAnsi="Cambria"/>
          <w:sz w:val="20"/>
        </w:rPr>
        <w:t>meetings at</w:t>
      </w:r>
      <w:r>
        <w:rPr>
          <w:rFonts w:ascii="Cambria" w:hAnsi="Cambria"/>
          <w:sz w:val="20"/>
        </w:rPr>
        <w:t xml:space="preserve"> </w:t>
      </w:r>
      <w:r w:rsidR="00670E42">
        <w:rPr>
          <w:rFonts w:ascii="Cambria" w:hAnsi="Cambria"/>
          <w:sz w:val="20"/>
        </w:rPr>
        <w:t>the Trade</w:t>
      </w:r>
      <w:r>
        <w:rPr>
          <w:rFonts w:ascii="Cambria" w:hAnsi="Cambria"/>
          <w:sz w:val="20"/>
        </w:rPr>
        <w:t xml:space="preserve"> Union's office</w:t>
      </w:r>
      <w:r w:rsidR="00670E42">
        <w:rPr>
          <w:rFonts w:ascii="Cambria" w:hAnsi="Cambria"/>
          <w:sz w:val="20"/>
        </w:rPr>
        <w:t xml:space="preserve">, </w:t>
      </w:r>
      <w:r>
        <w:rPr>
          <w:rStyle w:val="FootnoteReference"/>
          <w:rFonts w:ascii="Cambria" w:hAnsi="Cambria"/>
          <w:sz w:val="20"/>
        </w:rPr>
        <w:footnoteReference w:id="8"/>
      </w:r>
      <w:r>
        <w:rPr>
          <w:rFonts w:ascii="Cambria" w:hAnsi="Cambria"/>
          <w:sz w:val="20"/>
        </w:rPr>
        <w:t>the main subject of which was the conflicts between the RCA Assembly Plant and its former workers.</w:t>
      </w:r>
      <w:r>
        <w:rPr>
          <w:rStyle w:val="FootnoteReference"/>
          <w:rFonts w:ascii="Cambria" w:hAnsi="Cambria"/>
          <w:sz w:val="20"/>
        </w:rPr>
        <w:footnoteReference w:id="9"/>
      </w:r>
    </w:p>
    <w:p w:rsidR="006B32D3" w:rsidRPr="00BF3D11" w:rsidRDefault="006B32D3" w:rsidP="006B32D3">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1080" w:firstLine="0"/>
        <w:jc w:val="both"/>
        <w:rPr>
          <w:rFonts w:ascii="Cambria" w:hAnsi="Cambria"/>
          <w:sz w:val="20"/>
          <w:szCs w:val="20"/>
        </w:rPr>
      </w:pPr>
    </w:p>
    <w:p w:rsidR="006B32D3" w:rsidRPr="00BF3D11" w:rsidRDefault="006B32D3" w:rsidP="006B32D3">
      <w:pPr>
        <w:pStyle w:val="BodyTextIndent"/>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Pr>
          <w:rFonts w:ascii="Cambria" w:hAnsi="Cambria"/>
          <w:sz w:val="20"/>
        </w:rPr>
        <w:t>Mr. Gómez had in his possession a list of all the members of the Trade Union who were going to take part in a demonstration to protest the situation they were faced with outside the Korean embassy.</w:t>
      </w:r>
      <w:r>
        <w:rPr>
          <w:rStyle w:val="FootnoteReference"/>
          <w:rFonts w:ascii="Cambria" w:hAnsi="Cambria"/>
          <w:sz w:val="20"/>
        </w:rPr>
        <w:footnoteReference w:id="10"/>
      </w:r>
    </w:p>
    <w:p w:rsidR="006B32D3" w:rsidRPr="00BF3D11" w:rsidRDefault="006B32D3" w:rsidP="006B32D3">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rPr>
      </w:pPr>
    </w:p>
    <w:p w:rsidR="006B32D3" w:rsidRPr="00BF3D11" w:rsidRDefault="006B32D3" w:rsidP="006B32D3">
      <w:pPr>
        <w:pStyle w:val="BodyTextIndent"/>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Pr>
          <w:rFonts w:ascii="Cambria" w:hAnsi="Cambria"/>
          <w:sz w:val="20"/>
        </w:rPr>
        <w:t xml:space="preserve">In the afternoon, he went home and at about 5:00 p.m. told his mother that he had a meeting with Sylvia Escobar, the Secretary General of the Trade Union. </w:t>
      </w:r>
      <w:r>
        <w:rPr>
          <w:rStyle w:val="FootnoteReference"/>
          <w:rFonts w:ascii="Cambria" w:hAnsi="Cambria"/>
          <w:sz w:val="20"/>
        </w:rPr>
        <w:footnoteReference w:id="11"/>
      </w:r>
      <w:r>
        <w:rPr>
          <w:rFonts w:ascii="Cambria" w:hAnsi="Cambria"/>
          <w:sz w:val="20"/>
        </w:rPr>
        <w:t xml:space="preserve"> </w:t>
      </w:r>
    </w:p>
    <w:p w:rsidR="006B32D3" w:rsidRPr="00BF3D11" w:rsidRDefault="006B32D3" w:rsidP="006B32D3">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rPr>
      </w:pPr>
    </w:p>
    <w:p w:rsidR="006B32D3" w:rsidRPr="00BF3D11" w:rsidRDefault="006B32D3" w:rsidP="006B32D3">
      <w:pPr>
        <w:pStyle w:val="BodyTextIndent"/>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Pr>
          <w:rFonts w:ascii="Cambria" w:hAnsi="Cambria"/>
          <w:sz w:val="20"/>
        </w:rPr>
        <w:t>Later on, he met with his friend Gustavo Cardona</w:t>
      </w:r>
      <w:r w:rsidR="00670E42">
        <w:rPr>
          <w:rFonts w:ascii="Cambria" w:hAnsi="Cambria"/>
          <w:sz w:val="20"/>
        </w:rPr>
        <w:t>,</w:t>
      </w:r>
      <w:r>
        <w:rPr>
          <w:rFonts w:ascii="Cambria" w:hAnsi="Cambria"/>
          <w:sz w:val="20"/>
        </w:rPr>
        <w:t xml:space="preserve"> whose was also a member of the Trade Union.</w:t>
      </w:r>
      <w:r>
        <w:rPr>
          <w:rStyle w:val="FootnoteReference"/>
          <w:rFonts w:ascii="Cambria" w:hAnsi="Cambria"/>
          <w:sz w:val="20"/>
        </w:rPr>
        <w:footnoteReference w:id="12"/>
      </w:r>
    </w:p>
    <w:p w:rsidR="006B32D3" w:rsidRPr="00BF3D11" w:rsidRDefault="006B32D3" w:rsidP="006B32D3">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rPr>
      </w:pPr>
    </w:p>
    <w:p w:rsidR="006B32D3" w:rsidRPr="00BF3D11" w:rsidRDefault="006B32D3" w:rsidP="006B32D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Pr>
          <w:rFonts w:ascii="Cambria" w:hAnsi="Cambria"/>
          <w:sz w:val="20"/>
        </w:rPr>
        <w:lastRenderedPageBreak/>
        <w:t xml:space="preserve">The petitioners say that a </w:t>
      </w:r>
      <w:r w:rsidR="00670E42">
        <w:rPr>
          <w:rFonts w:ascii="Cambria" w:hAnsi="Cambria"/>
          <w:sz w:val="20"/>
        </w:rPr>
        <w:t>witness,</w:t>
      </w:r>
      <w:r>
        <w:rPr>
          <w:rFonts w:ascii="Cambria" w:hAnsi="Cambria"/>
          <w:sz w:val="20"/>
        </w:rPr>
        <w:t xml:space="preserve"> who, "for her own personal safety" preferred to remain anonymous, declared that she had seen Mr. Gómez and Mr. Cardona at 6:20 p.m.</w:t>
      </w:r>
      <w:r>
        <w:rPr>
          <w:rStyle w:val="FootnoteReference"/>
          <w:rFonts w:ascii="Cambria" w:hAnsi="Cambria"/>
          <w:sz w:val="20"/>
        </w:rPr>
        <w:footnoteReference w:id="13"/>
      </w:r>
      <w:r>
        <w:rPr>
          <w:rFonts w:ascii="Cambria" w:hAnsi="Cambria"/>
          <w:sz w:val="20"/>
        </w:rPr>
        <w:t xml:space="preserve"> on March 13, 1995. They say that said witness declared as follows:</w:t>
      </w:r>
    </w:p>
    <w:p w:rsidR="006B32D3" w:rsidRPr="00BF3D11" w:rsidRDefault="006B32D3" w:rsidP="006B32D3">
      <w:pPr>
        <w:pStyle w:val="ColorfulList-Accent11"/>
        <w:jc w:val="both"/>
        <w:rPr>
          <w:rFonts w:ascii="Cambria" w:hAnsi="Cambria"/>
          <w:sz w:val="20"/>
          <w:szCs w:val="20"/>
        </w:rPr>
      </w:pPr>
    </w:p>
    <w:p w:rsidR="006B32D3" w:rsidRDefault="006B32D3" w:rsidP="006B32D3">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rPr>
      </w:pPr>
      <w:r>
        <w:rPr>
          <w:rFonts w:ascii="Cambria" w:hAnsi="Cambria"/>
          <w:sz w:val="20"/>
        </w:rPr>
        <w:t xml:space="preserve">(...) two men (...) were inside a green vehicle parked in a motorcycle garage. (...) they hit </w:t>
      </w:r>
      <w:proofErr w:type="spellStart"/>
      <w:r>
        <w:rPr>
          <w:rFonts w:ascii="Cambria" w:hAnsi="Cambria"/>
          <w:sz w:val="20"/>
        </w:rPr>
        <w:t>Yovany</w:t>
      </w:r>
      <w:proofErr w:type="spellEnd"/>
      <w:r>
        <w:rPr>
          <w:rFonts w:ascii="Cambria" w:hAnsi="Cambria"/>
          <w:sz w:val="20"/>
        </w:rPr>
        <w:t xml:space="preserve"> Gómez repeatedly in the face. Shortly after </w:t>
      </w:r>
      <w:proofErr w:type="spellStart"/>
      <w:r>
        <w:rPr>
          <w:rFonts w:ascii="Cambria" w:hAnsi="Cambria"/>
          <w:sz w:val="20"/>
        </w:rPr>
        <w:t>Yovany</w:t>
      </w:r>
      <w:proofErr w:type="spellEnd"/>
      <w:r>
        <w:rPr>
          <w:rFonts w:ascii="Cambria" w:hAnsi="Cambria"/>
          <w:sz w:val="20"/>
        </w:rPr>
        <w:t xml:space="preserve"> Gómez and Gustavo Cardona left the street, the car was seen heading in the same direction.</w:t>
      </w:r>
      <w:r>
        <w:rPr>
          <w:rStyle w:val="FootnoteReference"/>
          <w:rFonts w:ascii="Cambria" w:hAnsi="Cambria"/>
          <w:sz w:val="20"/>
        </w:rPr>
        <w:footnoteReference w:id="14"/>
      </w:r>
    </w:p>
    <w:p w:rsidR="006B32D3" w:rsidRDefault="006B32D3" w:rsidP="006B32D3">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rPr>
      </w:pPr>
    </w:p>
    <w:p w:rsidR="006B32D3" w:rsidRPr="00BF3D11" w:rsidRDefault="006B32D3" w:rsidP="006B32D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Pr>
          <w:rFonts w:ascii="Cambria" w:hAnsi="Cambria"/>
          <w:sz w:val="20"/>
        </w:rPr>
        <w:t xml:space="preserve">According to a communication from the Unión </w:t>
      </w:r>
      <w:proofErr w:type="spellStart"/>
      <w:r>
        <w:rPr>
          <w:rFonts w:ascii="Cambria" w:hAnsi="Cambria"/>
          <w:sz w:val="20"/>
        </w:rPr>
        <w:t>Sindical</w:t>
      </w:r>
      <w:proofErr w:type="spellEnd"/>
      <w:r>
        <w:rPr>
          <w:rFonts w:ascii="Cambria" w:hAnsi="Cambria"/>
          <w:sz w:val="20"/>
        </w:rPr>
        <w:t xml:space="preserve"> de </w:t>
      </w:r>
      <w:proofErr w:type="spellStart"/>
      <w:r>
        <w:rPr>
          <w:rFonts w:ascii="Cambria" w:hAnsi="Cambria"/>
          <w:sz w:val="20"/>
        </w:rPr>
        <w:t>Trabajadores</w:t>
      </w:r>
      <w:proofErr w:type="spellEnd"/>
      <w:r>
        <w:rPr>
          <w:rFonts w:ascii="Cambria" w:hAnsi="Cambria"/>
          <w:sz w:val="20"/>
        </w:rPr>
        <w:t xml:space="preserve"> de Guatemala, the disappearance occurred at kilometer 6 of the highway known as </w:t>
      </w:r>
      <w:proofErr w:type="spellStart"/>
      <w:r>
        <w:rPr>
          <w:rFonts w:ascii="Cambria" w:hAnsi="Cambria"/>
          <w:sz w:val="20"/>
        </w:rPr>
        <w:t>Carretera</w:t>
      </w:r>
      <w:proofErr w:type="spellEnd"/>
      <w:r>
        <w:rPr>
          <w:rFonts w:ascii="Cambria" w:hAnsi="Cambria"/>
          <w:sz w:val="20"/>
        </w:rPr>
        <w:t xml:space="preserve"> al Atlántico.</w:t>
      </w:r>
      <w:r>
        <w:rPr>
          <w:rStyle w:val="FootnoteReference"/>
          <w:rFonts w:ascii="Cambria" w:hAnsi="Cambria"/>
          <w:sz w:val="20"/>
        </w:rPr>
        <w:footnoteReference w:id="15"/>
      </w:r>
    </w:p>
    <w:p w:rsidR="006B32D3" w:rsidRPr="00BF3D11" w:rsidRDefault="006B32D3" w:rsidP="006B32D3">
      <w:pPr>
        <w:pStyle w:val="MediumGrid1-Accent21"/>
        <w:jc w:val="both"/>
        <w:rPr>
          <w:rFonts w:ascii="Cambria" w:hAnsi="Cambria"/>
          <w:sz w:val="20"/>
          <w:szCs w:val="20"/>
        </w:rPr>
      </w:pPr>
    </w:p>
    <w:p w:rsidR="006B32D3" w:rsidRPr="00BF3D11" w:rsidRDefault="006B32D3" w:rsidP="006B32D3">
      <w:pPr>
        <w:pStyle w:val="Heading2"/>
        <w:numPr>
          <w:ilvl w:val="0"/>
          <w:numId w:val="58"/>
        </w:numPr>
        <w:spacing w:before="0" w:after="0"/>
        <w:ind w:hanging="720"/>
        <w:jc w:val="both"/>
        <w:rPr>
          <w:rFonts w:ascii="Cambria" w:hAnsi="Cambria"/>
          <w:i w:val="0"/>
          <w:sz w:val="20"/>
          <w:szCs w:val="20"/>
        </w:rPr>
      </w:pPr>
      <w:bookmarkStart w:id="52" w:name="_Toc473188698"/>
      <w:bookmarkStart w:id="53" w:name="_Toc478023974"/>
      <w:r>
        <w:rPr>
          <w:rFonts w:ascii="Cambria" w:hAnsi="Cambria"/>
          <w:i w:val="0"/>
          <w:sz w:val="20"/>
        </w:rPr>
        <w:t>Regarding the complaints filed through March 18, 1995.</w:t>
      </w:r>
      <w:bookmarkEnd w:id="52"/>
      <w:bookmarkEnd w:id="53"/>
      <w:r>
        <w:rPr>
          <w:rFonts w:ascii="Cambria" w:hAnsi="Cambria"/>
          <w:i w:val="0"/>
          <w:sz w:val="20"/>
        </w:rPr>
        <w:t xml:space="preserve"> </w:t>
      </w:r>
    </w:p>
    <w:p w:rsidR="006B32D3" w:rsidRPr="00BF3D11" w:rsidRDefault="006B32D3" w:rsidP="006B32D3">
      <w:pPr>
        <w:pStyle w:val="MediumGrid1-Accent21"/>
        <w:ind w:left="0"/>
        <w:jc w:val="both"/>
        <w:rPr>
          <w:rFonts w:ascii="Cambria" w:hAnsi="Cambria"/>
          <w:sz w:val="20"/>
          <w:szCs w:val="20"/>
        </w:rPr>
      </w:pPr>
    </w:p>
    <w:p w:rsidR="006B32D3" w:rsidRPr="00BF3D11" w:rsidRDefault="006B32D3" w:rsidP="006B32D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Pr>
          <w:rFonts w:ascii="Cambria" w:hAnsi="Cambria"/>
          <w:sz w:val="20"/>
        </w:rPr>
        <w:t xml:space="preserve">The petitioners stated that on March 14, 1995, Mr. Gómez's parents went to the National </w:t>
      </w:r>
      <w:r w:rsidR="00670E42">
        <w:rPr>
          <w:rFonts w:ascii="Cambria" w:hAnsi="Cambria"/>
          <w:sz w:val="20"/>
        </w:rPr>
        <w:t>Police</w:t>
      </w:r>
      <w:r>
        <w:rPr>
          <w:rFonts w:ascii="Cambria" w:hAnsi="Cambria"/>
          <w:sz w:val="20"/>
        </w:rPr>
        <w:t xml:space="preserve"> to report the disappearance of their son.</w:t>
      </w:r>
      <w:r>
        <w:rPr>
          <w:rStyle w:val="FootnoteReference"/>
          <w:rFonts w:ascii="Cambria" w:hAnsi="Cambria"/>
          <w:sz w:val="20"/>
        </w:rPr>
        <w:footnoteReference w:id="16"/>
      </w:r>
      <w:r>
        <w:rPr>
          <w:rFonts w:ascii="Cambria" w:hAnsi="Cambria"/>
          <w:sz w:val="20"/>
        </w:rPr>
        <w:t xml:space="preserve"> They said that the police officers assured that "the matter would be quickly looked into,"</w:t>
      </w:r>
      <w:r>
        <w:rPr>
          <w:rStyle w:val="FootnoteReference"/>
          <w:rFonts w:ascii="Cambria" w:hAnsi="Cambria"/>
          <w:sz w:val="20"/>
        </w:rPr>
        <w:footnoteReference w:id="17"/>
      </w:r>
      <w:r>
        <w:rPr>
          <w:rFonts w:ascii="Cambria" w:hAnsi="Cambria"/>
          <w:sz w:val="20"/>
        </w:rPr>
        <w:t xml:space="preserve"> but without say what inquiries they would make.</w:t>
      </w:r>
      <w:r>
        <w:rPr>
          <w:rStyle w:val="FootnoteReference"/>
          <w:rFonts w:ascii="Cambria" w:hAnsi="Cambria"/>
          <w:sz w:val="20"/>
        </w:rPr>
        <w:footnoteReference w:id="18"/>
      </w:r>
      <w:r>
        <w:rPr>
          <w:rFonts w:ascii="Cambria" w:hAnsi="Cambria"/>
          <w:sz w:val="20"/>
        </w:rPr>
        <w:t xml:space="preserve"> </w:t>
      </w:r>
    </w:p>
    <w:p w:rsidR="006B32D3" w:rsidRPr="00BF3D11" w:rsidRDefault="006B32D3" w:rsidP="006B32D3">
      <w:pPr>
        <w:pStyle w:val="ColorfulList-Accent11"/>
        <w:rPr>
          <w:rFonts w:ascii="Cambria" w:hAnsi="Cambria"/>
          <w:sz w:val="20"/>
          <w:szCs w:val="20"/>
        </w:rPr>
      </w:pPr>
    </w:p>
    <w:p w:rsidR="006B32D3" w:rsidRPr="00BF3D11" w:rsidRDefault="006B32D3" w:rsidP="006B32D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Pr>
          <w:rFonts w:ascii="Cambria" w:hAnsi="Cambria"/>
          <w:sz w:val="20"/>
        </w:rPr>
        <w:t>On March 16, 1995, the Trade Union sent a communication to the Ministry of the Interior,</w:t>
      </w:r>
      <w:r>
        <w:rPr>
          <w:rStyle w:val="FootnoteReference"/>
          <w:rFonts w:ascii="Cambria" w:hAnsi="Cambria"/>
          <w:sz w:val="20"/>
        </w:rPr>
        <w:footnoteReference w:id="19"/>
      </w:r>
      <w:r>
        <w:rPr>
          <w:rFonts w:ascii="Cambria" w:hAnsi="Cambria"/>
          <w:sz w:val="20"/>
        </w:rPr>
        <w:t xml:space="preserve"> asking for a hearing to provide information regarding Mr. .Gómez's disappearance. The next day, the Trade Union sent another communication to the Ministry of the Interior.</w:t>
      </w:r>
      <w:r>
        <w:rPr>
          <w:rStyle w:val="FootnoteReference"/>
          <w:rFonts w:ascii="Cambria" w:hAnsi="Cambria"/>
          <w:sz w:val="20"/>
        </w:rPr>
        <w:footnoteReference w:id="20"/>
      </w:r>
      <w:r>
        <w:rPr>
          <w:rFonts w:ascii="Cambria" w:hAnsi="Cambria"/>
          <w:sz w:val="20"/>
        </w:rPr>
        <w:t xml:space="preserve"> The Trade Union indicated that the disappearance had occurred at 7:30 p.m. on March 13, 199</w:t>
      </w:r>
      <w:r w:rsidR="00670E42">
        <w:rPr>
          <w:rFonts w:ascii="Cambria" w:hAnsi="Cambria"/>
          <w:sz w:val="20"/>
        </w:rPr>
        <w:t xml:space="preserve">5, at kilometer 6 of the </w:t>
      </w:r>
      <w:proofErr w:type="spellStart"/>
      <w:r w:rsidR="00670E42">
        <w:rPr>
          <w:rFonts w:ascii="Cambria" w:hAnsi="Cambria"/>
          <w:sz w:val="20"/>
        </w:rPr>
        <w:t>Carrete</w:t>
      </w:r>
      <w:r>
        <w:rPr>
          <w:rFonts w:ascii="Cambria" w:hAnsi="Cambria"/>
          <w:sz w:val="20"/>
        </w:rPr>
        <w:t>ra</w:t>
      </w:r>
      <w:proofErr w:type="spellEnd"/>
      <w:r>
        <w:rPr>
          <w:rFonts w:ascii="Cambria" w:hAnsi="Cambria"/>
          <w:sz w:val="20"/>
        </w:rPr>
        <w:t xml:space="preserve"> al Atlántico.</w:t>
      </w:r>
      <w:r>
        <w:rPr>
          <w:rStyle w:val="FootnoteReference"/>
          <w:rFonts w:ascii="Cambria" w:hAnsi="Cambria"/>
          <w:sz w:val="20"/>
        </w:rPr>
        <w:footnoteReference w:id="21"/>
      </w:r>
      <w:r>
        <w:rPr>
          <w:rFonts w:ascii="Cambria" w:hAnsi="Cambria"/>
          <w:sz w:val="20"/>
        </w:rPr>
        <w:t xml:space="preserve"> </w:t>
      </w:r>
    </w:p>
    <w:p w:rsidR="006B32D3" w:rsidRPr="00BF3D11" w:rsidRDefault="006B32D3" w:rsidP="006B32D3">
      <w:pPr>
        <w:pStyle w:val="ColorfulList-Accent11"/>
        <w:rPr>
          <w:rFonts w:ascii="Cambria" w:hAnsi="Cambria"/>
          <w:sz w:val="20"/>
          <w:szCs w:val="20"/>
        </w:rPr>
      </w:pPr>
    </w:p>
    <w:p w:rsidR="006B32D3" w:rsidRPr="00BF3D11" w:rsidRDefault="006B32D3" w:rsidP="006B32D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Pr>
          <w:rFonts w:ascii="Cambria" w:hAnsi="Cambria"/>
          <w:sz w:val="20"/>
        </w:rPr>
        <w:t xml:space="preserve">The following day, </w:t>
      </w:r>
      <w:r w:rsidR="00670E42">
        <w:rPr>
          <w:rFonts w:ascii="Cambria" w:hAnsi="Cambria"/>
          <w:sz w:val="20"/>
        </w:rPr>
        <w:t>UNSITRAGUA once</w:t>
      </w:r>
      <w:r>
        <w:rPr>
          <w:rFonts w:ascii="Cambria" w:hAnsi="Cambria"/>
          <w:sz w:val="20"/>
        </w:rPr>
        <w:t xml:space="preserve"> again sent a note along the same lines to the Ministry of the Interior.</w:t>
      </w:r>
      <w:r>
        <w:rPr>
          <w:rStyle w:val="FootnoteReference"/>
          <w:rFonts w:ascii="Cambria" w:hAnsi="Cambria"/>
          <w:sz w:val="20"/>
        </w:rPr>
        <w:footnoteReference w:id="22"/>
      </w:r>
      <w:r>
        <w:rPr>
          <w:rFonts w:ascii="Cambria" w:hAnsi="Cambria"/>
          <w:sz w:val="20"/>
        </w:rPr>
        <w:t xml:space="preserve"> The petitioners said that no reply was received to this or the earlier communications.</w:t>
      </w:r>
      <w:r>
        <w:rPr>
          <w:rStyle w:val="FootnoteReference"/>
          <w:rFonts w:ascii="Cambria" w:hAnsi="Cambria"/>
          <w:sz w:val="20"/>
        </w:rPr>
        <w:footnoteReference w:id="23"/>
      </w:r>
      <w:r>
        <w:rPr>
          <w:rFonts w:ascii="Cambria" w:hAnsi="Cambria"/>
          <w:sz w:val="20"/>
        </w:rPr>
        <w:t xml:space="preserve"> UNSITRAGUA also issued a press release asking the President of the Republic to take all necessary steps to locate Mr. Gómez's whereabouts.</w:t>
      </w:r>
      <w:r>
        <w:rPr>
          <w:rStyle w:val="FootnoteReference"/>
          <w:rFonts w:ascii="Cambria" w:hAnsi="Cambria"/>
          <w:sz w:val="20"/>
        </w:rPr>
        <w:footnoteReference w:id="24"/>
      </w:r>
    </w:p>
    <w:p w:rsidR="006B32D3" w:rsidRPr="00BF3D11" w:rsidRDefault="006B32D3" w:rsidP="006B32D3">
      <w:pPr>
        <w:pStyle w:val="MediumGrid1-Accent21"/>
        <w:rPr>
          <w:rFonts w:ascii="Cambria" w:hAnsi="Cambria"/>
          <w:sz w:val="20"/>
          <w:szCs w:val="20"/>
        </w:rPr>
      </w:pPr>
    </w:p>
    <w:p w:rsidR="006B32D3" w:rsidRPr="00BF3D11" w:rsidRDefault="006B32D3" w:rsidP="006B32D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Pr>
          <w:rFonts w:ascii="Cambria" w:hAnsi="Cambria"/>
          <w:sz w:val="20"/>
        </w:rPr>
        <w:t>The petitioners stated that on March 18, 1995, Mr. Gómez's father again went to the National Police to find out how the investigation was proceeding.</w:t>
      </w:r>
      <w:r>
        <w:rPr>
          <w:rStyle w:val="FootnoteReference"/>
          <w:rFonts w:ascii="Cambria" w:hAnsi="Cambria"/>
          <w:sz w:val="20"/>
        </w:rPr>
        <w:footnoteReference w:id="25"/>
      </w:r>
      <w:r>
        <w:rPr>
          <w:rFonts w:ascii="Cambria" w:hAnsi="Cambria"/>
          <w:sz w:val="20"/>
        </w:rPr>
        <w:t xml:space="preserve"> They maintained that the National Police told him that: </w:t>
      </w:r>
    </w:p>
    <w:p w:rsidR="006B32D3" w:rsidRPr="00BF3D11" w:rsidRDefault="006B32D3" w:rsidP="006B32D3">
      <w:pPr>
        <w:pStyle w:val="ColorfulList-Accent11"/>
        <w:rPr>
          <w:rFonts w:ascii="Cambria" w:hAnsi="Cambria"/>
          <w:sz w:val="20"/>
          <w:szCs w:val="20"/>
        </w:rPr>
      </w:pPr>
    </w:p>
    <w:p w:rsidR="006B32D3" w:rsidRPr="00BF3D11" w:rsidRDefault="006B32D3" w:rsidP="006B32D3">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rPr>
      </w:pPr>
      <w:r>
        <w:rPr>
          <w:rFonts w:ascii="Cambria" w:hAnsi="Cambria"/>
          <w:sz w:val="20"/>
        </w:rPr>
        <w:t>(...) no action had been taken and the police could not assign anyone to the case until the following Monday, when the family would provide a vehicle to conduct the investigation because they (the police) did not have one.</w:t>
      </w:r>
      <w:r>
        <w:rPr>
          <w:rStyle w:val="FootnoteReference"/>
          <w:rFonts w:ascii="Cambria" w:hAnsi="Cambria"/>
          <w:sz w:val="20"/>
        </w:rPr>
        <w:footnoteReference w:id="26"/>
      </w:r>
    </w:p>
    <w:p w:rsidR="006B32D3" w:rsidRPr="00BF3D11" w:rsidRDefault="006B32D3" w:rsidP="006B32D3">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rPr>
      </w:pPr>
    </w:p>
    <w:p w:rsidR="006B32D3" w:rsidRPr="00BF3D11" w:rsidRDefault="006B32D3" w:rsidP="006B32D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Pr>
          <w:rFonts w:ascii="Cambria" w:hAnsi="Cambria"/>
          <w:sz w:val="20"/>
        </w:rPr>
        <w:t xml:space="preserve">The Guatemalan State did not contest the complaints filed by family members directly with the National Police on March 14 and 18, 1995. Moreover, as </w:t>
      </w:r>
      <w:r w:rsidR="00670E42">
        <w:rPr>
          <w:rFonts w:ascii="Cambria" w:hAnsi="Cambria"/>
          <w:sz w:val="20"/>
        </w:rPr>
        <w:t>indicated</w:t>
      </w:r>
      <w:r>
        <w:rPr>
          <w:rFonts w:ascii="Cambria" w:hAnsi="Cambria"/>
          <w:sz w:val="20"/>
        </w:rPr>
        <w:t xml:space="preserve"> earlier, top State authorities -- the Ministry of the Interior -- received several communications from the Trade Union regarding what had happened. </w:t>
      </w:r>
    </w:p>
    <w:p w:rsidR="006B32D3" w:rsidRPr="00BF3D11" w:rsidRDefault="006B32D3" w:rsidP="006B32D3">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rPr>
      </w:pPr>
    </w:p>
    <w:p w:rsidR="006B32D3" w:rsidRPr="00BF3D11" w:rsidRDefault="006B32D3" w:rsidP="006B32D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Pr>
          <w:rFonts w:ascii="Cambria" w:hAnsi="Cambria"/>
          <w:sz w:val="20"/>
        </w:rPr>
        <w:t xml:space="preserve">From the above, the Commission considers it established that the State had knowledge of Mr. Gómez </w:t>
      </w:r>
      <w:proofErr w:type="spellStart"/>
      <w:r w:rsidR="00670E42">
        <w:rPr>
          <w:rFonts w:ascii="Cambria" w:hAnsi="Cambria"/>
          <w:sz w:val="20"/>
        </w:rPr>
        <w:t>Virula’s</w:t>
      </w:r>
      <w:proofErr w:type="spellEnd"/>
      <w:r>
        <w:rPr>
          <w:rFonts w:ascii="Cambria" w:hAnsi="Cambria"/>
          <w:sz w:val="20"/>
        </w:rPr>
        <w:t xml:space="preserve"> disappearance from the day after it happened and before his body was found. The petitioners pointed out that, as indicated by the police itself</w:t>
      </w:r>
      <w:r w:rsidR="00670E42">
        <w:rPr>
          <w:rFonts w:ascii="Cambria" w:hAnsi="Cambria"/>
          <w:sz w:val="20"/>
        </w:rPr>
        <w:t>, no</w:t>
      </w:r>
      <w:r>
        <w:rPr>
          <w:rFonts w:ascii="Cambria" w:hAnsi="Cambria"/>
          <w:sz w:val="20"/>
        </w:rPr>
        <w:t xml:space="preserve"> actions were taken to look for Mr. </w:t>
      </w:r>
      <w:r w:rsidR="00670E42">
        <w:rPr>
          <w:rFonts w:ascii="Cambria" w:hAnsi="Cambria"/>
          <w:sz w:val="20"/>
        </w:rPr>
        <w:t>Gómez between</w:t>
      </w:r>
      <w:r>
        <w:rPr>
          <w:rFonts w:ascii="Cambria" w:hAnsi="Cambria"/>
          <w:sz w:val="20"/>
        </w:rPr>
        <w:t xml:space="preserve"> the first complaint and the finding of the body. For its part, the State did not report any search efforts prior to the finding of the body. Nor do any indications of a search emerge from the available information. The existence of complaints filed prior to the finding of the body and the lack of attempts to ascertain Mr. Gómez's whereabouts were also referred to in public communiques issued by the Human Rights Office of the Archdiocese of Guatemala.</w:t>
      </w:r>
      <w:r>
        <w:rPr>
          <w:rStyle w:val="FootnoteReference"/>
          <w:rFonts w:ascii="Cambria" w:hAnsi="Cambria"/>
          <w:sz w:val="20"/>
        </w:rPr>
        <w:footnoteReference w:id="27"/>
      </w:r>
    </w:p>
    <w:p w:rsidR="006B32D3" w:rsidRPr="00BF3D11" w:rsidRDefault="006B32D3" w:rsidP="006B32D3">
      <w:pPr>
        <w:tabs>
          <w:tab w:val="left" w:pos="720"/>
          <w:tab w:val="left" w:pos="840"/>
        </w:tabs>
        <w:jc w:val="both"/>
        <w:rPr>
          <w:rFonts w:ascii="Cambria" w:hAnsi="Cambria"/>
          <w:b/>
          <w:sz w:val="20"/>
          <w:szCs w:val="20"/>
        </w:rPr>
      </w:pPr>
    </w:p>
    <w:p w:rsidR="006B32D3" w:rsidRPr="00BF3D11" w:rsidRDefault="006B32D3" w:rsidP="006B32D3">
      <w:pPr>
        <w:pStyle w:val="Heading2"/>
        <w:numPr>
          <w:ilvl w:val="0"/>
          <w:numId w:val="58"/>
        </w:numPr>
        <w:spacing w:before="0" w:after="0"/>
        <w:ind w:hanging="720"/>
        <w:jc w:val="both"/>
        <w:rPr>
          <w:rFonts w:ascii="Cambria" w:hAnsi="Cambria"/>
          <w:i w:val="0"/>
          <w:sz w:val="20"/>
          <w:szCs w:val="20"/>
        </w:rPr>
      </w:pPr>
      <w:bookmarkStart w:id="54" w:name="_Toc473188699"/>
      <w:bookmarkStart w:id="55" w:name="_Toc478023975"/>
      <w:proofErr w:type="gramStart"/>
      <w:r>
        <w:rPr>
          <w:rFonts w:ascii="Cambria" w:hAnsi="Cambria"/>
          <w:i w:val="0"/>
          <w:sz w:val="20"/>
        </w:rPr>
        <w:t>Regarding the finding of Mr. Gómez's body on March 19, 1995.</w:t>
      </w:r>
      <w:bookmarkEnd w:id="54"/>
      <w:bookmarkEnd w:id="55"/>
      <w:proofErr w:type="gramEnd"/>
    </w:p>
    <w:p w:rsidR="006B32D3" w:rsidRPr="00BF3D11" w:rsidRDefault="006B32D3" w:rsidP="006B32D3">
      <w:pPr>
        <w:pStyle w:val="MediumGrid1-Accent21"/>
        <w:rPr>
          <w:rFonts w:ascii="Cambria" w:hAnsi="Cambria"/>
          <w:sz w:val="20"/>
          <w:szCs w:val="20"/>
        </w:rPr>
      </w:pPr>
    </w:p>
    <w:p w:rsidR="006B32D3" w:rsidRPr="00BF3D11" w:rsidRDefault="006B32D3" w:rsidP="006B32D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Pr>
          <w:rFonts w:ascii="Cambria" w:hAnsi="Cambria"/>
          <w:sz w:val="20"/>
        </w:rPr>
        <w:t>On March 19, 1995, Mr. Gómez's body was found in a gully in Zone 18 of Guatemala City,</w:t>
      </w:r>
      <w:r>
        <w:rPr>
          <w:rStyle w:val="FootnoteReference"/>
          <w:rFonts w:ascii="Cambria" w:hAnsi="Cambria"/>
          <w:sz w:val="20"/>
        </w:rPr>
        <w:footnoteReference w:id="28"/>
      </w:r>
      <w:r>
        <w:rPr>
          <w:rFonts w:ascii="Cambria" w:hAnsi="Cambria"/>
          <w:sz w:val="20"/>
        </w:rPr>
        <w:t xml:space="preserve"> with his head submerged in a river of raw sewage.</w:t>
      </w:r>
      <w:r>
        <w:rPr>
          <w:rStyle w:val="FootnoteReference"/>
          <w:rFonts w:ascii="Cambria" w:hAnsi="Cambria"/>
          <w:sz w:val="20"/>
        </w:rPr>
        <w:footnoteReference w:id="29"/>
      </w:r>
      <w:r>
        <w:rPr>
          <w:rFonts w:ascii="Cambria" w:hAnsi="Cambria"/>
          <w:sz w:val="20"/>
        </w:rPr>
        <w:t xml:space="preserve"> The petitioners said that when Mr. G's body was found, his I.D. was there as well as objects of value,</w:t>
      </w:r>
      <w:r>
        <w:rPr>
          <w:rStyle w:val="FootnoteReference"/>
          <w:rFonts w:ascii="Cambria" w:hAnsi="Cambria"/>
          <w:sz w:val="20"/>
        </w:rPr>
        <w:footnoteReference w:id="30"/>
      </w:r>
      <w:r>
        <w:rPr>
          <w:rFonts w:ascii="Cambria" w:hAnsi="Cambria"/>
          <w:sz w:val="20"/>
        </w:rPr>
        <w:t xml:space="preserve"> but what was not found with his body was the list of the members of the Trade Union that they said Mr. Gómez had had with him the day of his disappearance.</w:t>
      </w:r>
      <w:r>
        <w:rPr>
          <w:rStyle w:val="FootnoteReference"/>
          <w:rFonts w:ascii="Cambria" w:hAnsi="Cambria"/>
          <w:sz w:val="20"/>
        </w:rPr>
        <w:footnoteReference w:id="31"/>
      </w:r>
    </w:p>
    <w:p w:rsidR="006B32D3" w:rsidRPr="00BF3D11" w:rsidRDefault="006B32D3" w:rsidP="006B32D3">
      <w:pPr>
        <w:pStyle w:val="LightGrid-Accent31"/>
        <w:ind w:left="0"/>
        <w:rPr>
          <w:rFonts w:ascii="Cambria" w:hAnsi="Cambria"/>
          <w:sz w:val="20"/>
          <w:szCs w:val="20"/>
        </w:rPr>
      </w:pPr>
    </w:p>
    <w:p w:rsidR="006B32D3" w:rsidRPr="00BF3D11" w:rsidRDefault="006B32D3" w:rsidP="006B32D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Pr>
          <w:rFonts w:ascii="Cambria" w:hAnsi="Cambria"/>
          <w:sz w:val="20"/>
        </w:rPr>
        <w:t>The petitioners stated that immediately after locating Mr. Gómez's body, his family asked for a copy of the forensic report,</w:t>
      </w:r>
      <w:r>
        <w:rPr>
          <w:rStyle w:val="FootnoteReference"/>
          <w:rFonts w:ascii="Cambria" w:hAnsi="Cambria"/>
          <w:sz w:val="20"/>
        </w:rPr>
        <w:footnoteReference w:id="32"/>
      </w:r>
      <w:r>
        <w:rPr>
          <w:rFonts w:ascii="Cambria" w:hAnsi="Cambria"/>
          <w:sz w:val="20"/>
        </w:rPr>
        <w:t xml:space="preserve"> a request that was denied by the dead of the government department concerned. All they were given were a </w:t>
      </w:r>
      <w:r w:rsidR="00670E42">
        <w:rPr>
          <w:rFonts w:ascii="Cambria" w:hAnsi="Cambria"/>
          <w:sz w:val="20"/>
        </w:rPr>
        <w:t>few</w:t>
      </w:r>
      <w:r>
        <w:rPr>
          <w:rFonts w:ascii="Cambria" w:hAnsi="Cambria"/>
          <w:sz w:val="20"/>
        </w:rPr>
        <w:t xml:space="preserve"> details over the phone.</w:t>
      </w:r>
      <w:r>
        <w:rPr>
          <w:rStyle w:val="FootnoteReference"/>
          <w:rFonts w:ascii="Cambria" w:hAnsi="Cambria"/>
          <w:sz w:val="20"/>
        </w:rPr>
        <w:footnoteReference w:id="33"/>
      </w:r>
      <w:r>
        <w:rPr>
          <w:rFonts w:ascii="Cambria" w:hAnsi="Cambria"/>
          <w:sz w:val="20"/>
        </w:rPr>
        <w:t xml:space="preserve"> The petitioners pointed out that later on they were able to obtain a copy of the report.</w:t>
      </w:r>
      <w:r>
        <w:rPr>
          <w:rStyle w:val="FootnoteReference"/>
          <w:rFonts w:ascii="Cambria" w:hAnsi="Cambria"/>
          <w:sz w:val="20"/>
        </w:rPr>
        <w:footnoteReference w:id="34"/>
      </w:r>
      <w:r>
        <w:rPr>
          <w:rFonts w:ascii="Cambria" w:hAnsi="Cambria"/>
          <w:sz w:val="20"/>
        </w:rPr>
        <w:t xml:space="preserve"> The IACHR does not have a copy of that report. </w:t>
      </w:r>
    </w:p>
    <w:p w:rsidR="006B32D3" w:rsidRPr="00BF3D11" w:rsidRDefault="006B32D3" w:rsidP="006B32D3">
      <w:pPr>
        <w:pStyle w:val="ColorfulList-Accent11"/>
        <w:rPr>
          <w:rFonts w:ascii="Cambria" w:hAnsi="Cambria"/>
          <w:sz w:val="20"/>
          <w:szCs w:val="20"/>
        </w:rPr>
      </w:pPr>
    </w:p>
    <w:p w:rsidR="006B32D3" w:rsidRPr="00BF3D11" w:rsidRDefault="006B32D3" w:rsidP="006B32D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Pr>
          <w:rFonts w:ascii="Cambria" w:hAnsi="Cambria"/>
          <w:sz w:val="20"/>
        </w:rPr>
        <w:t xml:space="preserve">Nevertheless, the petitioners said that the forensic report indicates that Mr. Gómez had </w:t>
      </w:r>
      <w:proofErr w:type="spellStart"/>
      <w:r>
        <w:rPr>
          <w:rFonts w:ascii="Cambria" w:hAnsi="Cambria"/>
          <w:sz w:val="20"/>
        </w:rPr>
        <w:t>i</w:t>
      </w:r>
      <w:proofErr w:type="spellEnd"/>
      <w:r>
        <w:rPr>
          <w:rFonts w:ascii="Cambria" w:hAnsi="Cambria"/>
          <w:sz w:val="20"/>
        </w:rPr>
        <w:t>) fourth degree brain and chest trauma; ii) cerebral hemorrhage (</w:t>
      </w:r>
      <w:proofErr w:type="spellStart"/>
      <w:r>
        <w:rPr>
          <w:rFonts w:ascii="Cambria" w:hAnsi="Cambria"/>
          <w:i/>
          <w:sz w:val="20"/>
        </w:rPr>
        <w:t>hemorragia</w:t>
      </w:r>
      <w:proofErr w:type="spellEnd"/>
      <w:r>
        <w:rPr>
          <w:rFonts w:ascii="Cambria" w:hAnsi="Cambria"/>
          <w:i/>
          <w:sz w:val="20"/>
        </w:rPr>
        <w:t xml:space="preserve"> cerebral y </w:t>
      </w:r>
      <w:proofErr w:type="spellStart"/>
      <w:r>
        <w:rPr>
          <w:rFonts w:ascii="Cambria" w:hAnsi="Cambria"/>
          <w:i/>
          <w:sz w:val="20"/>
        </w:rPr>
        <w:t>cerebrosa</w:t>
      </w:r>
      <w:proofErr w:type="spellEnd"/>
      <w:r>
        <w:rPr>
          <w:rFonts w:ascii="Cambria" w:hAnsi="Cambria"/>
          <w:sz w:val="20"/>
        </w:rPr>
        <w:t>); iii) a fractured skull; iv) pulmonary contusion; and v) other injuries.</w:t>
      </w:r>
      <w:r>
        <w:rPr>
          <w:rStyle w:val="FootnoteReference"/>
          <w:rFonts w:ascii="Cambria" w:hAnsi="Cambria"/>
          <w:sz w:val="20"/>
        </w:rPr>
        <w:footnoteReference w:id="35"/>
      </w:r>
      <w:r>
        <w:rPr>
          <w:rFonts w:ascii="Cambria" w:hAnsi="Cambria"/>
          <w:sz w:val="20"/>
        </w:rPr>
        <w:t xml:space="preserve"> They said that the report concluded that he had died from fourth degree cerebral and chest trauma.</w:t>
      </w:r>
      <w:r>
        <w:rPr>
          <w:rStyle w:val="FootnoteReference"/>
          <w:rFonts w:ascii="Cambria" w:hAnsi="Cambria"/>
          <w:sz w:val="20"/>
        </w:rPr>
        <w:footnoteReference w:id="36"/>
      </w:r>
      <w:r>
        <w:rPr>
          <w:rFonts w:ascii="Cambria" w:hAnsi="Cambria"/>
          <w:sz w:val="20"/>
        </w:rPr>
        <w:t xml:space="preserve"> The State did not contest that information. </w:t>
      </w:r>
    </w:p>
    <w:p w:rsidR="006B32D3" w:rsidRPr="00BF3D11" w:rsidRDefault="006B32D3" w:rsidP="006B32D3">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rPr>
      </w:pPr>
    </w:p>
    <w:p w:rsidR="006B32D3" w:rsidRPr="00BF3D11" w:rsidRDefault="006B32D3" w:rsidP="006B32D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Pr>
          <w:rFonts w:ascii="Cambria" w:hAnsi="Cambria"/>
          <w:sz w:val="20"/>
        </w:rPr>
        <w:t xml:space="preserve">The information available indicates that Mr. Gómez's body was found by chance, not as a result of any search efforts by the State. </w:t>
      </w:r>
    </w:p>
    <w:p w:rsidR="006B32D3" w:rsidRPr="00BF3D11" w:rsidRDefault="006B32D3" w:rsidP="006B32D3">
      <w:pPr>
        <w:tabs>
          <w:tab w:val="left" w:pos="720"/>
          <w:tab w:val="left" w:pos="840"/>
        </w:tabs>
        <w:jc w:val="both"/>
        <w:rPr>
          <w:rFonts w:ascii="Cambria" w:hAnsi="Cambria"/>
          <w:sz w:val="20"/>
          <w:szCs w:val="20"/>
        </w:rPr>
      </w:pPr>
    </w:p>
    <w:p w:rsidR="006B32D3" w:rsidRPr="00BF3D11" w:rsidRDefault="006B32D3" w:rsidP="006B32D3">
      <w:pPr>
        <w:pStyle w:val="Heading2"/>
        <w:numPr>
          <w:ilvl w:val="0"/>
          <w:numId w:val="58"/>
        </w:numPr>
        <w:spacing w:before="0" w:after="0"/>
        <w:ind w:hanging="720"/>
        <w:jc w:val="both"/>
        <w:rPr>
          <w:rFonts w:ascii="Cambria" w:hAnsi="Cambria"/>
          <w:i w:val="0"/>
          <w:sz w:val="20"/>
          <w:szCs w:val="20"/>
        </w:rPr>
      </w:pPr>
      <w:bookmarkStart w:id="56" w:name="_Toc473188700"/>
      <w:bookmarkStart w:id="57" w:name="_Toc478023976"/>
      <w:r>
        <w:rPr>
          <w:rFonts w:ascii="Cambria" w:hAnsi="Cambria"/>
          <w:i w:val="0"/>
          <w:sz w:val="20"/>
        </w:rPr>
        <w:t>Regarding the investigations into the death of Mr. Gómez</w:t>
      </w:r>
      <w:bookmarkEnd w:id="56"/>
      <w:bookmarkEnd w:id="57"/>
      <w:r>
        <w:rPr>
          <w:rFonts w:ascii="Cambria" w:hAnsi="Cambria"/>
          <w:i w:val="0"/>
          <w:sz w:val="20"/>
        </w:rPr>
        <w:t xml:space="preserve"> </w:t>
      </w:r>
    </w:p>
    <w:p w:rsidR="006B32D3" w:rsidRPr="00BF3D11" w:rsidRDefault="006B32D3" w:rsidP="006B32D3">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rPr>
      </w:pPr>
    </w:p>
    <w:p w:rsidR="006B32D3" w:rsidRPr="00BF3D11" w:rsidRDefault="006B32D3" w:rsidP="006B32D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Pr>
          <w:rFonts w:ascii="Cambria" w:hAnsi="Cambria"/>
          <w:sz w:val="20"/>
        </w:rPr>
        <w:lastRenderedPageBreak/>
        <w:t>The petitioners reported that the Public Prosecutors' Office opened a file on account of Mr. Gómez's death and put public prosecutor Jaime Rosales in charge of the case.</w:t>
      </w:r>
      <w:r>
        <w:rPr>
          <w:rStyle w:val="FootnoteReference"/>
          <w:rFonts w:ascii="Cambria" w:hAnsi="Cambria"/>
          <w:sz w:val="20"/>
        </w:rPr>
        <w:footnoteReference w:id="37"/>
      </w:r>
      <w:r>
        <w:rPr>
          <w:rFonts w:ascii="Cambria" w:hAnsi="Cambria"/>
          <w:sz w:val="20"/>
        </w:rPr>
        <w:t xml:space="preserve"> The State indicated that after identifying the body it had cited </w:t>
      </w:r>
      <w:r w:rsidR="00670E42">
        <w:rPr>
          <w:rFonts w:ascii="Cambria" w:hAnsi="Cambria"/>
          <w:sz w:val="20"/>
        </w:rPr>
        <w:t>Gustavo</w:t>
      </w:r>
      <w:r>
        <w:rPr>
          <w:rFonts w:ascii="Cambria" w:hAnsi="Cambria"/>
          <w:sz w:val="20"/>
        </w:rPr>
        <w:t xml:space="preserve"> Cardona </w:t>
      </w:r>
      <w:proofErr w:type="spellStart"/>
      <w:r>
        <w:rPr>
          <w:rFonts w:ascii="Cambria" w:hAnsi="Cambria"/>
          <w:sz w:val="20"/>
        </w:rPr>
        <w:t>García</w:t>
      </w:r>
      <w:proofErr w:type="spellEnd"/>
      <w:r>
        <w:rPr>
          <w:rFonts w:ascii="Cambria" w:hAnsi="Cambria"/>
          <w:sz w:val="20"/>
        </w:rPr>
        <w:t xml:space="preserve"> to make a statement as, according to the family, he had been the last person seen with Alejandro </w:t>
      </w:r>
      <w:proofErr w:type="spellStart"/>
      <w:r>
        <w:rPr>
          <w:rFonts w:ascii="Cambria" w:hAnsi="Cambria"/>
          <w:sz w:val="20"/>
        </w:rPr>
        <w:t>Yovany</w:t>
      </w:r>
      <w:proofErr w:type="spellEnd"/>
      <w:r>
        <w:rPr>
          <w:rFonts w:ascii="Cambria" w:hAnsi="Cambria"/>
          <w:sz w:val="20"/>
        </w:rPr>
        <w:t xml:space="preserve"> Gómez.</w:t>
      </w:r>
      <w:r>
        <w:rPr>
          <w:rStyle w:val="FootnoteReference"/>
          <w:rFonts w:ascii="Cambria" w:hAnsi="Cambria"/>
          <w:sz w:val="20"/>
        </w:rPr>
        <w:footnoteReference w:id="38"/>
      </w:r>
      <w:r>
        <w:rPr>
          <w:rFonts w:ascii="Cambria" w:hAnsi="Cambria"/>
          <w:sz w:val="20"/>
        </w:rPr>
        <w:t xml:space="preserve"> The State maintained that Mr. Cardona did not turn up to make a statement.</w:t>
      </w:r>
      <w:r>
        <w:rPr>
          <w:rStyle w:val="FootnoteReference"/>
          <w:rFonts w:ascii="Cambria" w:hAnsi="Cambria"/>
          <w:sz w:val="20"/>
        </w:rPr>
        <w:footnoteReference w:id="39"/>
      </w:r>
      <w:r>
        <w:rPr>
          <w:rFonts w:ascii="Cambria" w:hAnsi="Cambria"/>
          <w:sz w:val="20"/>
        </w:rPr>
        <w:t xml:space="preserve"> </w:t>
      </w:r>
    </w:p>
    <w:p w:rsidR="006B32D3" w:rsidRPr="00BF3D11" w:rsidRDefault="006B32D3" w:rsidP="006B32D3">
      <w:pPr>
        <w:pStyle w:val="ColorfulList-Accent11"/>
        <w:rPr>
          <w:rFonts w:ascii="Cambria" w:hAnsi="Cambria"/>
          <w:sz w:val="20"/>
          <w:szCs w:val="20"/>
        </w:rPr>
      </w:pPr>
    </w:p>
    <w:p w:rsidR="006B32D3" w:rsidRPr="00BF3D11" w:rsidRDefault="006B32D3" w:rsidP="006B32D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Pr>
          <w:rFonts w:ascii="Cambria" w:hAnsi="Cambria"/>
          <w:sz w:val="20"/>
        </w:rPr>
        <w:t>On March 20, 1995, the Human Rights Office of the Archdiocese of Guatemala issued a communique, denouncing the "extrajudicial execution" of Mr. Gómez.</w:t>
      </w:r>
      <w:r>
        <w:rPr>
          <w:rStyle w:val="FootnoteReference"/>
          <w:rFonts w:ascii="Cambria" w:hAnsi="Cambria"/>
          <w:sz w:val="20"/>
        </w:rPr>
        <w:footnoteReference w:id="40"/>
      </w:r>
      <w:r>
        <w:rPr>
          <w:rFonts w:ascii="Cambria" w:hAnsi="Cambria"/>
          <w:sz w:val="20"/>
        </w:rPr>
        <w:t xml:space="preserve"> It stated that despite complaints filed by family members of the victim, no concrete findings had been made regarding the identity of the persons responsible.</w:t>
      </w:r>
      <w:r>
        <w:rPr>
          <w:rStyle w:val="FootnoteReference"/>
          <w:rFonts w:ascii="Cambria" w:hAnsi="Cambria"/>
          <w:sz w:val="20"/>
        </w:rPr>
        <w:footnoteReference w:id="41"/>
      </w:r>
      <w:r>
        <w:rPr>
          <w:rFonts w:ascii="Cambria" w:hAnsi="Cambria"/>
          <w:sz w:val="20"/>
        </w:rPr>
        <w:t xml:space="preserve"> The Office expressed its concern at "the inefficiency and unwillingness of the competent authorities to investigate into the whereabouts of trade unionist Gómez when his disappearance had been denounced by family members."</w:t>
      </w:r>
      <w:r>
        <w:rPr>
          <w:rStyle w:val="FootnoteReference"/>
          <w:rFonts w:ascii="Cambria" w:hAnsi="Cambria"/>
          <w:sz w:val="20"/>
        </w:rPr>
        <w:footnoteReference w:id="42"/>
      </w:r>
      <w:r>
        <w:rPr>
          <w:rFonts w:ascii="Cambria" w:hAnsi="Cambria"/>
          <w:sz w:val="20"/>
        </w:rPr>
        <w:t xml:space="preserve"> The Office demanded that State authorities "demonstrate the political will and desire to minimize impunity in Guatemala, by conducting the inquiries needed to determine the perpetrators of Mr. Gómez's death and to bring them before the Courts."</w:t>
      </w:r>
      <w:r>
        <w:rPr>
          <w:rStyle w:val="FootnoteReference"/>
          <w:rFonts w:ascii="Cambria" w:hAnsi="Cambria"/>
          <w:sz w:val="20"/>
        </w:rPr>
        <w:footnoteReference w:id="43"/>
      </w:r>
    </w:p>
    <w:p w:rsidR="006B32D3" w:rsidRPr="00BF3D11" w:rsidRDefault="006B32D3" w:rsidP="006B32D3">
      <w:pPr>
        <w:pStyle w:val="ColorfulShading-Accent31"/>
        <w:ind w:left="0"/>
        <w:jc w:val="both"/>
        <w:rPr>
          <w:sz w:val="20"/>
          <w:szCs w:val="20"/>
        </w:rPr>
      </w:pPr>
    </w:p>
    <w:p w:rsidR="006B32D3" w:rsidRPr="00BF3D11" w:rsidRDefault="006B32D3" w:rsidP="006B32D3">
      <w:pPr>
        <w:numPr>
          <w:ilvl w:val="0"/>
          <w:numId w:val="55"/>
        </w:numPr>
        <w:jc w:val="both"/>
        <w:rPr>
          <w:rFonts w:ascii="Cambria" w:hAnsi="Cambria"/>
          <w:sz w:val="20"/>
          <w:szCs w:val="20"/>
        </w:rPr>
      </w:pPr>
      <w:r>
        <w:rPr>
          <w:rFonts w:ascii="Cambria" w:hAnsi="Cambria"/>
          <w:color w:val="000000"/>
          <w:sz w:val="20"/>
          <w:u w:color="000000"/>
        </w:rPr>
        <w:t>T</w:t>
      </w:r>
      <w:r>
        <w:rPr>
          <w:rFonts w:ascii="Cambria" w:hAnsi="Cambria"/>
          <w:sz w:val="20"/>
        </w:rPr>
        <w:t>he petitioners stated that on June 30</w:t>
      </w:r>
      <w:r w:rsidR="00670E42">
        <w:rPr>
          <w:rFonts w:ascii="Cambria" w:hAnsi="Cambria"/>
          <w:sz w:val="20"/>
        </w:rPr>
        <w:t>, 1995</w:t>
      </w:r>
      <w:r>
        <w:rPr>
          <w:rFonts w:ascii="Cambria" w:hAnsi="Cambria"/>
          <w:sz w:val="20"/>
        </w:rPr>
        <w:t xml:space="preserve">, the Office of the Public Prosecutor had ordered two individuals to present themselves: Tea </w:t>
      </w:r>
      <w:proofErr w:type="spellStart"/>
      <w:proofErr w:type="gramStart"/>
      <w:r>
        <w:rPr>
          <w:rFonts w:ascii="Cambria" w:hAnsi="Cambria"/>
          <w:sz w:val="20"/>
        </w:rPr>
        <w:t>Ky</w:t>
      </w:r>
      <w:proofErr w:type="spellEnd"/>
      <w:proofErr w:type="gramEnd"/>
      <w:r>
        <w:rPr>
          <w:rFonts w:ascii="Cambria" w:hAnsi="Cambria"/>
          <w:sz w:val="20"/>
        </w:rPr>
        <w:t xml:space="preserve"> </w:t>
      </w:r>
      <w:proofErr w:type="spellStart"/>
      <w:r>
        <w:rPr>
          <w:rFonts w:ascii="Cambria" w:hAnsi="Cambria"/>
          <w:sz w:val="20"/>
        </w:rPr>
        <w:t>Quing</w:t>
      </w:r>
      <w:proofErr w:type="spellEnd"/>
      <w:r>
        <w:rPr>
          <w:rFonts w:ascii="Cambria" w:hAnsi="Cambria"/>
          <w:sz w:val="20"/>
        </w:rPr>
        <w:t xml:space="preserve"> </w:t>
      </w:r>
      <w:proofErr w:type="spellStart"/>
      <w:r>
        <w:rPr>
          <w:rFonts w:ascii="Cambria" w:hAnsi="Cambria"/>
          <w:sz w:val="20"/>
        </w:rPr>
        <w:t>Seonng</w:t>
      </w:r>
      <w:proofErr w:type="spellEnd"/>
      <w:r>
        <w:rPr>
          <w:rFonts w:ascii="Cambria" w:hAnsi="Cambria"/>
          <w:sz w:val="20"/>
        </w:rPr>
        <w:t xml:space="preserve"> and Sam Young Lee</w:t>
      </w:r>
      <w:r>
        <w:rPr>
          <w:rStyle w:val="FootnoteReference"/>
          <w:rFonts w:ascii="Cambria" w:hAnsi="Cambria"/>
          <w:sz w:val="20"/>
        </w:rPr>
        <w:footnoteReference w:id="44"/>
      </w:r>
      <w:r>
        <w:rPr>
          <w:rFonts w:ascii="Cambria" w:hAnsi="Cambria"/>
          <w:sz w:val="20"/>
        </w:rPr>
        <w:t>. The State indicated that those two persons "were the owners of the assembly plant (...) with whom (...), according to witnesses, [Mr. Gómez] had frequently quarreled."</w:t>
      </w:r>
      <w:r>
        <w:rPr>
          <w:rStyle w:val="FootnoteReference"/>
          <w:rFonts w:ascii="Cambria" w:hAnsi="Cambria"/>
          <w:sz w:val="20"/>
        </w:rPr>
        <w:footnoteReference w:id="45"/>
      </w:r>
      <w:r>
        <w:rPr>
          <w:rFonts w:ascii="Cambria" w:hAnsi="Cambria"/>
          <w:sz w:val="20"/>
        </w:rPr>
        <w:t xml:space="preserve"> The State did not present information as to which witnesses were interviewed.</w:t>
      </w:r>
    </w:p>
    <w:p w:rsidR="006B32D3" w:rsidRPr="00BF3D11" w:rsidRDefault="006B32D3" w:rsidP="006B32D3">
      <w:pPr>
        <w:jc w:val="both"/>
        <w:rPr>
          <w:rFonts w:ascii="Cambria" w:hAnsi="Cambria"/>
          <w:sz w:val="20"/>
          <w:szCs w:val="20"/>
        </w:rPr>
      </w:pPr>
    </w:p>
    <w:p w:rsidR="006B32D3" w:rsidRPr="00BF3D11" w:rsidRDefault="006B32D3" w:rsidP="006B32D3">
      <w:pPr>
        <w:numPr>
          <w:ilvl w:val="0"/>
          <w:numId w:val="55"/>
        </w:numPr>
        <w:jc w:val="both"/>
        <w:rPr>
          <w:rFonts w:ascii="Cambria" w:hAnsi="Cambria"/>
          <w:sz w:val="20"/>
          <w:szCs w:val="20"/>
        </w:rPr>
      </w:pPr>
      <w:r>
        <w:rPr>
          <w:rFonts w:ascii="Cambria" w:hAnsi="Cambria"/>
          <w:sz w:val="20"/>
        </w:rPr>
        <w:t xml:space="preserve">The petitioners said that neither Tea </w:t>
      </w:r>
      <w:proofErr w:type="spellStart"/>
      <w:proofErr w:type="gramStart"/>
      <w:r>
        <w:rPr>
          <w:rFonts w:ascii="Cambria" w:hAnsi="Cambria"/>
          <w:sz w:val="20"/>
        </w:rPr>
        <w:t>Ky</w:t>
      </w:r>
      <w:proofErr w:type="spellEnd"/>
      <w:proofErr w:type="gramEnd"/>
      <w:r>
        <w:rPr>
          <w:rFonts w:ascii="Cambria" w:hAnsi="Cambria"/>
          <w:sz w:val="20"/>
        </w:rPr>
        <w:t xml:space="preserve"> </w:t>
      </w:r>
      <w:proofErr w:type="spellStart"/>
      <w:r>
        <w:rPr>
          <w:rFonts w:ascii="Cambria" w:hAnsi="Cambria"/>
          <w:sz w:val="20"/>
        </w:rPr>
        <w:t>Quing</w:t>
      </w:r>
      <w:proofErr w:type="spellEnd"/>
      <w:r>
        <w:rPr>
          <w:rFonts w:ascii="Cambria" w:hAnsi="Cambria"/>
          <w:sz w:val="20"/>
        </w:rPr>
        <w:t xml:space="preserve"> </w:t>
      </w:r>
      <w:proofErr w:type="spellStart"/>
      <w:r>
        <w:rPr>
          <w:rFonts w:ascii="Cambria" w:hAnsi="Cambria"/>
          <w:sz w:val="20"/>
        </w:rPr>
        <w:t>Seonng</w:t>
      </w:r>
      <w:proofErr w:type="spellEnd"/>
      <w:r>
        <w:rPr>
          <w:rFonts w:ascii="Cambria" w:hAnsi="Cambria"/>
          <w:sz w:val="20"/>
        </w:rPr>
        <w:t xml:space="preserve"> nor Sam Young Lee presented themselves and the State took no steps to locate them expeditiously.</w:t>
      </w:r>
      <w:r>
        <w:rPr>
          <w:rStyle w:val="FootnoteReference"/>
          <w:rFonts w:ascii="Cambria" w:hAnsi="Cambria"/>
          <w:sz w:val="20"/>
        </w:rPr>
        <w:footnoteReference w:id="46"/>
      </w:r>
      <w:r>
        <w:rPr>
          <w:rFonts w:ascii="Cambria" w:hAnsi="Cambria"/>
          <w:sz w:val="20"/>
        </w:rPr>
        <w:t xml:space="preserve"> The State did not contest that information. </w:t>
      </w:r>
    </w:p>
    <w:p w:rsidR="006B32D3" w:rsidRPr="00BF3D11" w:rsidRDefault="006B32D3" w:rsidP="006B32D3">
      <w:pPr>
        <w:pStyle w:val="MediumGrid1-Accent21"/>
        <w:ind w:left="0"/>
        <w:rPr>
          <w:rFonts w:ascii="Cambria" w:hAnsi="Cambria"/>
          <w:sz w:val="20"/>
          <w:szCs w:val="20"/>
        </w:rPr>
      </w:pPr>
    </w:p>
    <w:p w:rsidR="006B32D3" w:rsidRPr="00BF3D11" w:rsidRDefault="006B32D3" w:rsidP="006B32D3">
      <w:pPr>
        <w:pStyle w:val="ColorfulShading-Accent31"/>
        <w:numPr>
          <w:ilvl w:val="0"/>
          <w:numId w:val="55"/>
        </w:numPr>
        <w:ind w:left="0"/>
        <w:jc w:val="both"/>
        <w:rPr>
          <w:sz w:val="20"/>
          <w:szCs w:val="20"/>
        </w:rPr>
      </w:pPr>
      <w:r>
        <w:rPr>
          <w:sz w:val="20"/>
        </w:rPr>
        <w:t>The State maintained that on July 7, 1995, the Department of Criminal Investigations of the National Police submitted a report to the public prosecutor at the Public Prosecutors' Office.</w:t>
      </w:r>
      <w:r>
        <w:rPr>
          <w:rStyle w:val="FootnoteReference"/>
          <w:sz w:val="20"/>
        </w:rPr>
        <w:footnoteReference w:id="47"/>
      </w:r>
      <w:r>
        <w:rPr>
          <w:sz w:val="20"/>
        </w:rPr>
        <w:t xml:space="preserve"> The State said that the report had concluded that "there was sufficient circumstantial evidence that the Korean gentlemen had been the instigators of the death of Mr. </w:t>
      </w:r>
      <w:r w:rsidR="00670E42">
        <w:rPr>
          <w:sz w:val="20"/>
        </w:rPr>
        <w:t>A</w:t>
      </w:r>
      <w:r>
        <w:rPr>
          <w:sz w:val="20"/>
        </w:rPr>
        <w:t xml:space="preserve">lejandro </w:t>
      </w:r>
      <w:proofErr w:type="spellStart"/>
      <w:r>
        <w:rPr>
          <w:sz w:val="20"/>
        </w:rPr>
        <w:t>Yovany</w:t>
      </w:r>
      <w:proofErr w:type="spellEnd"/>
      <w:r>
        <w:rPr>
          <w:sz w:val="20"/>
        </w:rPr>
        <w:t xml:space="preserve"> Gómez </w:t>
      </w:r>
      <w:proofErr w:type="spellStart"/>
      <w:r w:rsidR="00670E42">
        <w:rPr>
          <w:sz w:val="20"/>
        </w:rPr>
        <w:t>Virula</w:t>
      </w:r>
      <w:proofErr w:type="spellEnd"/>
      <w:r w:rsidR="00670E42">
        <w:rPr>
          <w:sz w:val="20"/>
        </w:rPr>
        <w:t xml:space="preserve"> and</w:t>
      </w:r>
      <w:r>
        <w:rPr>
          <w:sz w:val="20"/>
        </w:rPr>
        <w:t xml:space="preserve"> that Mr. Edgar Octavio Cardona had participated in the deed, since he refused to provide information regarding it."</w:t>
      </w:r>
      <w:r>
        <w:rPr>
          <w:rStyle w:val="FootnoteReference"/>
          <w:sz w:val="20"/>
        </w:rPr>
        <w:footnoteReference w:id="48"/>
      </w:r>
    </w:p>
    <w:p w:rsidR="006B32D3" w:rsidRPr="00BF3D11" w:rsidRDefault="006B32D3" w:rsidP="006B32D3">
      <w:pPr>
        <w:pStyle w:val="ColorfulShading-Accent31"/>
        <w:jc w:val="both"/>
        <w:rPr>
          <w:sz w:val="20"/>
          <w:szCs w:val="20"/>
        </w:rPr>
      </w:pPr>
      <w:r>
        <w:rPr>
          <w:sz w:val="20"/>
        </w:rPr>
        <w:t xml:space="preserve"> </w:t>
      </w:r>
    </w:p>
    <w:p w:rsidR="006B32D3" w:rsidRPr="00BF3D11" w:rsidRDefault="006B32D3" w:rsidP="006B32D3">
      <w:pPr>
        <w:pStyle w:val="ColorfulShading-Accent31"/>
        <w:numPr>
          <w:ilvl w:val="0"/>
          <w:numId w:val="55"/>
        </w:numPr>
        <w:ind w:left="0"/>
        <w:jc w:val="both"/>
        <w:rPr>
          <w:sz w:val="20"/>
          <w:szCs w:val="20"/>
        </w:rPr>
      </w:pPr>
      <w:r>
        <w:rPr>
          <w:sz w:val="20"/>
        </w:rPr>
        <w:lastRenderedPageBreak/>
        <w:t>The State reported that on August 10, 1995, an arrest warrant was issued against Mr. Cardona as a suspect in the death of Alejandro Gómez</w:t>
      </w:r>
      <w:r w:rsidR="00670E42">
        <w:rPr>
          <w:sz w:val="20"/>
        </w:rPr>
        <w:t>, because</w:t>
      </w:r>
      <w:r>
        <w:rPr>
          <w:sz w:val="20"/>
        </w:rPr>
        <w:t xml:space="preserve"> Mr. Cardona had not complied with the citation to make a statement.</w:t>
      </w:r>
      <w:r>
        <w:rPr>
          <w:rStyle w:val="FootnoteReference"/>
          <w:sz w:val="20"/>
        </w:rPr>
        <w:footnoteReference w:id="49"/>
      </w:r>
      <w:r>
        <w:rPr>
          <w:sz w:val="20"/>
        </w:rPr>
        <w:t xml:space="preserve"> </w:t>
      </w:r>
    </w:p>
    <w:p w:rsidR="006B32D3" w:rsidRPr="00BF3D11" w:rsidRDefault="006B32D3" w:rsidP="006B32D3">
      <w:pPr>
        <w:pStyle w:val="MediumGrid1-Accent21"/>
        <w:rPr>
          <w:rFonts w:ascii="Cambria" w:hAnsi="Cambria"/>
          <w:sz w:val="20"/>
          <w:szCs w:val="20"/>
        </w:rPr>
      </w:pPr>
    </w:p>
    <w:p w:rsidR="006B32D3" w:rsidRPr="00BF3D11" w:rsidRDefault="006B32D3" w:rsidP="006B32D3">
      <w:pPr>
        <w:numPr>
          <w:ilvl w:val="0"/>
          <w:numId w:val="55"/>
        </w:numPr>
        <w:jc w:val="both"/>
        <w:rPr>
          <w:rFonts w:ascii="Cambria" w:hAnsi="Cambria" w:cs="Arial"/>
          <w:sz w:val="20"/>
          <w:szCs w:val="20"/>
        </w:rPr>
      </w:pPr>
      <w:r>
        <w:rPr>
          <w:rFonts w:ascii="Cambria" w:hAnsi="Cambria"/>
          <w:color w:val="000000"/>
          <w:sz w:val="20"/>
          <w:u w:color="000000"/>
        </w:rPr>
        <w:t>T</w:t>
      </w:r>
      <w:r>
        <w:rPr>
          <w:rFonts w:ascii="Cambria" w:hAnsi="Cambria"/>
          <w:sz w:val="20"/>
        </w:rPr>
        <w:t>he State reported that on August 25, 1995, Mr. Cardona appeared before the Judge of the Sixth Criminal Court of First Instance.</w:t>
      </w:r>
      <w:r>
        <w:rPr>
          <w:rStyle w:val="FootnoteReference"/>
          <w:rFonts w:ascii="Cambria" w:hAnsi="Cambria"/>
          <w:sz w:val="20"/>
        </w:rPr>
        <w:footnoteReference w:id="50"/>
      </w:r>
      <w:r>
        <w:rPr>
          <w:rFonts w:ascii="Cambria" w:hAnsi="Cambria"/>
          <w:sz w:val="20"/>
        </w:rPr>
        <w:t xml:space="preserve"> The State maintained that Mr. Cardona first stated that Alejandro Gómez had had "some problems in the neighborhood,"</w:t>
      </w:r>
      <w:r>
        <w:rPr>
          <w:rStyle w:val="FootnoteReference"/>
          <w:rFonts w:ascii="Cambria" w:hAnsi="Cambria"/>
          <w:sz w:val="20"/>
        </w:rPr>
        <w:footnoteReference w:id="51"/>
      </w:r>
      <w:r>
        <w:rPr>
          <w:rFonts w:ascii="Cambria" w:hAnsi="Cambria"/>
          <w:sz w:val="20"/>
        </w:rPr>
        <w:t xml:space="preserve"> but went on to say the following regarding the day of Alejandro Gómez's disappearance:</w:t>
      </w:r>
    </w:p>
    <w:p w:rsidR="006B32D3" w:rsidRPr="00BF3D11" w:rsidRDefault="006B32D3" w:rsidP="006B32D3">
      <w:pPr>
        <w:pStyle w:val="ColorfulShading-Accent31"/>
        <w:ind w:left="0"/>
        <w:jc w:val="both"/>
        <w:rPr>
          <w:rFonts w:cs="Arial"/>
          <w:sz w:val="20"/>
          <w:szCs w:val="20"/>
        </w:rPr>
      </w:pPr>
    </w:p>
    <w:p w:rsidR="006B32D3" w:rsidRPr="00BF3D11" w:rsidRDefault="006B32D3" w:rsidP="006B32D3">
      <w:pPr>
        <w:pStyle w:val="ColorfulShading-Accent31"/>
        <w:ind w:right="720"/>
        <w:jc w:val="both"/>
        <w:rPr>
          <w:sz w:val="20"/>
          <w:szCs w:val="20"/>
        </w:rPr>
      </w:pPr>
      <w:r>
        <w:rPr>
          <w:sz w:val="20"/>
        </w:rPr>
        <w:t xml:space="preserve">That they went by the factory where they had formerly worked and that in front of it there had been a blue </w:t>
      </w:r>
      <w:proofErr w:type="spellStart"/>
      <w:r>
        <w:rPr>
          <w:sz w:val="20"/>
        </w:rPr>
        <w:t>Hiunday</w:t>
      </w:r>
      <w:proofErr w:type="spellEnd"/>
      <w:r>
        <w:rPr>
          <w:sz w:val="20"/>
        </w:rPr>
        <w:t xml:space="preserve"> (sic) vehicle with polarized windows and that a man had come out of the factory and begun to punch and kick the now deceased victim. He [Tr. Cardona</w:t>
      </w:r>
      <w:r w:rsidR="00670E42">
        <w:rPr>
          <w:sz w:val="20"/>
        </w:rPr>
        <w:t>] hit</w:t>
      </w:r>
      <w:r>
        <w:rPr>
          <w:sz w:val="20"/>
        </w:rPr>
        <w:t xml:space="preserve"> him with a beer can to make him let go of his friend and when the man let him go he began to chase after him [Tr. Cardona], </w:t>
      </w:r>
      <w:proofErr w:type="gramStart"/>
      <w:r>
        <w:rPr>
          <w:sz w:val="20"/>
        </w:rPr>
        <w:t>who</w:t>
      </w:r>
      <w:proofErr w:type="gramEnd"/>
      <w:r>
        <w:rPr>
          <w:sz w:val="20"/>
        </w:rPr>
        <w:t xml:space="preserve"> ran and hid among people at a bus stop. That he had then gone back but </w:t>
      </w:r>
      <w:proofErr w:type="spellStart"/>
      <w:r>
        <w:rPr>
          <w:sz w:val="20"/>
        </w:rPr>
        <w:t>Yovani</w:t>
      </w:r>
      <w:proofErr w:type="spellEnd"/>
      <w:r>
        <w:rPr>
          <w:sz w:val="20"/>
        </w:rPr>
        <w:t xml:space="preserve"> was no longer there.</w:t>
      </w:r>
      <w:r>
        <w:rPr>
          <w:rStyle w:val="FootnoteReference"/>
          <w:sz w:val="20"/>
        </w:rPr>
        <w:footnoteReference w:id="52"/>
      </w:r>
    </w:p>
    <w:p w:rsidR="006B32D3" w:rsidRPr="00BF3D11" w:rsidRDefault="006B32D3" w:rsidP="006B32D3">
      <w:pPr>
        <w:jc w:val="both"/>
        <w:rPr>
          <w:rFonts w:ascii="Cambria" w:hAnsi="Cambria"/>
          <w:sz w:val="20"/>
          <w:szCs w:val="20"/>
        </w:rPr>
      </w:pPr>
    </w:p>
    <w:p w:rsidR="006B32D3" w:rsidRPr="00BF3D11" w:rsidRDefault="006B32D3" w:rsidP="006B32D3">
      <w:pPr>
        <w:pStyle w:val="ColorfulShading-Accent31"/>
        <w:numPr>
          <w:ilvl w:val="0"/>
          <w:numId w:val="55"/>
        </w:numPr>
        <w:ind w:left="0"/>
        <w:jc w:val="both"/>
        <w:rPr>
          <w:sz w:val="20"/>
          <w:szCs w:val="20"/>
        </w:rPr>
      </w:pPr>
      <w:r>
        <w:rPr>
          <w:sz w:val="20"/>
        </w:rPr>
        <w:t xml:space="preserve">The State said that later on it was determined that Mr. Cardona's real name was Edgar Octavio Cardona </w:t>
      </w:r>
      <w:proofErr w:type="spellStart"/>
      <w:r>
        <w:rPr>
          <w:sz w:val="20"/>
        </w:rPr>
        <w:t>García</w:t>
      </w:r>
      <w:proofErr w:type="spellEnd"/>
      <w:r>
        <w:rPr>
          <w:sz w:val="20"/>
        </w:rPr>
        <w:t>.</w:t>
      </w:r>
      <w:r>
        <w:rPr>
          <w:rStyle w:val="FootnoteReference"/>
          <w:sz w:val="20"/>
        </w:rPr>
        <w:footnoteReference w:id="53"/>
      </w:r>
      <w:r>
        <w:rPr>
          <w:sz w:val="20"/>
        </w:rPr>
        <w:t xml:space="preserve"> For their part, the petitioners said that after that appearance the State did nothing to advance the case for a very long time.</w:t>
      </w:r>
      <w:r>
        <w:rPr>
          <w:rStyle w:val="FootnoteReference"/>
          <w:sz w:val="20"/>
        </w:rPr>
        <w:footnoteReference w:id="54"/>
      </w:r>
      <w:r>
        <w:rPr>
          <w:sz w:val="20"/>
        </w:rPr>
        <w:t xml:space="preserve"> They maintained that only on July 31, 1996 did the Attorney General request that "priority be attached to the [matter]."</w:t>
      </w:r>
      <w:r>
        <w:rPr>
          <w:rStyle w:val="FootnoteReference"/>
          <w:sz w:val="20"/>
        </w:rPr>
        <w:footnoteReference w:id="55"/>
      </w:r>
    </w:p>
    <w:p w:rsidR="006B32D3" w:rsidRPr="00BF3D11" w:rsidRDefault="006B32D3" w:rsidP="006B32D3">
      <w:pPr>
        <w:pStyle w:val="MediumGrid1-Accent21"/>
        <w:ind w:left="0"/>
        <w:rPr>
          <w:rFonts w:ascii="Cambria" w:hAnsi="Cambria"/>
          <w:sz w:val="20"/>
          <w:szCs w:val="20"/>
        </w:rPr>
      </w:pPr>
    </w:p>
    <w:p w:rsidR="006B32D3" w:rsidRPr="00BF3D11" w:rsidRDefault="006B32D3" w:rsidP="006B32D3">
      <w:pPr>
        <w:numPr>
          <w:ilvl w:val="0"/>
          <w:numId w:val="55"/>
        </w:numPr>
        <w:jc w:val="both"/>
        <w:rPr>
          <w:rFonts w:ascii="Cambria" w:hAnsi="Cambria"/>
          <w:sz w:val="20"/>
          <w:szCs w:val="20"/>
        </w:rPr>
      </w:pPr>
      <w:r>
        <w:rPr>
          <w:rFonts w:ascii="Cambria" w:hAnsi="Cambria"/>
          <w:sz w:val="20"/>
        </w:rPr>
        <w:t>The State reported that on August 12, 1996, the Public Prosecutors' Office "received" the file and took a statement from Mr. Gómez's father.</w:t>
      </w:r>
      <w:r>
        <w:rPr>
          <w:rStyle w:val="FootnoteReference"/>
          <w:rFonts w:ascii="Cambria" w:hAnsi="Cambria"/>
          <w:sz w:val="20"/>
        </w:rPr>
        <w:footnoteReference w:id="56"/>
      </w:r>
      <w:r>
        <w:rPr>
          <w:rFonts w:ascii="Cambria" w:hAnsi="Cambria"/>
          <w:sz w:val="20"/>
        </w:rPr>
        <w:t xml:space="preserve"> It added that the lawyer in the trade union where Mr. Gómez had worked was also cited to give a statement</w:t>
      </w:r>
      <w:r>
        <w:rPr>
          <w:rStyle w:val="FootnoteReference"/>
          <w:rFonts w:ascii="Cambria" w:hAnsi="Cambria"/>
          <w:sz w:val="20"/>
        </w:rPr>
        <w:footnoteReference w:id="57"/>
      </w:r>
      <w:r>
        <w:rPr>
          <w:rFonts w:ascii="Cambria" w:hAnsi="Cambria"/>
          <w:sz w:val="20"/>
        </w:rPr>
        <w:t>, but that said person did not go and testify.</w:t>
      </w:r>
      <w:r>
        <w:rPr>
          <w:rStyle w:val="FootnoteReference"/>
          <w:rFonts w:ascii="Cambria" w:hAnsi="Cambria"/>
          <w:sz w:val="20"/>
        </w:rPr>
        <w:footnoteReference w:id="58"/>
      </w:r>
      <w:r>
        <w:rPr>
          <w:rFonts w:ascii="Cambria" w:hAnsi="Cambria"/>
          <w:sz w:val="20"/>
        </w:rPr>
        <w:t xml:space="preserve"> In addition, the </w:t>
      </w:r>
      <w:r w:rsidR="00670E42">
        <w:rPr>
          <w:rFonts w:ascii="Cambria" w:hAnsi="Cambria"/>
          <w:sz w:val="20"/>
        </w:rPr>
        <w:t>State declared</w:t>
      </w:r>
      <w:r>
        <w:rPr>
          <w:rFonts w:ascii="Cambria" w:hAnsi="Cambria"/>
          <w:sz w:val="20"/>
        </w:rPr>
        <w:t xml:space="preserve"> that "among the actions undertaken to locate the aforementioned Korean citizens, it was discovered that there was no mention of them in migration control records."</w:t>
      </w:r>
      <w:r>
        <w:rPr>
          <w:rStyle w:val="FootnoteReference"/>
          <w:rFonts w:ascii="Cambria" w:hAnsi="Cambria"/>
          <w:sz w:val="20"/>
        </w:rPr>
        <w:footnoteReference w:id="59"/>
      </w:r>
    </w:p>
    <w:p w:rsidR="006B32D3" w:rsidRPr="00BF3D11" w:rsidRDefault="006B32D3" w:rsidP="006B32D3">
      <w:pPr>
        <w:jc w:val="both"/>
        <w:rPr>
          <w:rFonts w:ascii="Cambria" w:hAnsi="Cambria"/>
          <w:sz w:val="20"/>
          <w:szCs w:val="20"/>
        </w:rPr>
      </w:pPr>
    </w:p>
    <w:p w:rsidR="006B32D3" w:rsidRPr="00BF3D11" w:rsidRDefault="006B32D3" w:rsidP="006B32D3">
      <w:pPr>
        <w:numPr>
          <w:ilvl w:val="0"/>
          <w:numId w:val="55"/>
        </w:numPr>
        <w:jc w:val="both"/>
        <w:rPr>
          <w:rFonts w:ascii="Cambria" w:hAnsi="Cambria"/>
          <w:sz w:val="20"/>
          <w:szCs w:val="20"/>
        </w:rPr>
      </w:pPr>
      <w:r>
        <w:rPr>
          <w:rFonts w:ascii="Cambria" w:hAnsi="Cambria"/>
          <w:sz w:val="20"/>
        </w:rPr>
        <w:t>The State indicated that "all these difficulties faced by the Public Prosecutors' Office, as well as the discrepancy between the witnesses' versions as to the persons suspected of having instigated and/or perpetrated the crime, and the failure to appear of persons cited to make a statement" had led to the archiving of the proceedings,</w:t>
      </w:r>
      <w:r>
        <w:rPr>
          <w:rStyle w:val="FootnoteReference"/>
          <w:rFonts w:ascii="Cambria" w:hAnsi="Cambria"/>
          <w:sz w:val="20"/>
        </w:rPr>
        <w:footnoteReference w:id="60"/>
      </w:r>
      <w:r>
        <w:rPr>
          <w:rFonts w:ascii="Cambria" w:hAnsi="Cambria"/>
          <w:sz w:val="20"/>
        </w:rPr>
        <w:t xml:space="preserve"> pursuant to Article 327 of the Code of Criminal Procedure, which establishes the following:</w:t>
      </w:r>
    </w:p>
    <w:p w:rsidR="006B32D3" w:rsidRPr="00BF3D11" w:rsidRDefault="006B32D3" w:rsidP="006B32D3">
      <w:pPr>
        <w:jc w:val="both"/>
        <w:rPr>
          <w:rFonts w:ascii="Cambria" w:hAnsi="Cambria"/>
          <w:sz w:val="20"/>
          <w:szCs w:val="20"/>
        </w:rPr>
      </w:pPr>
    </w:p>
    <w:p w:rsidR="006B32D3" w:rsidRPr="00BF3D11" w:rsidRDefault="006B32D3" w:rsidP="006B32D3">
      <w:pPr>
        <w:ind w:left="720" w:right="720"/>
        <w:jc w:val="both"/>
        <w:rPr>
          <w:rFonts w:ascii="Cambria" w:hAnsi="Cambria"/>
          <w:sz w:val="20"/>
          <w:szCs w:val="20"/>
        </w:rPr>
      </w:pPr>
      <w:proofErr w:type="gramStart"/>
      <w:r>
        <w:rPr>
          <w:rFonts w:ascii="Cambria" w:hAnsi="Cambria"/>
          <w:sz w:val="20"/>
        </w:rPr>
        <w:t>Article 327.</w:t>
      </w:r>
      <w:proofErr w:type="gramEnd"/>
      <w:r>
        <w:rPr>
          <w:rFonts w:ascii="Cambria" w:hAnsi="Cambria"/>
          <w:sz w:val="20"/>
        </w:rPr>
        <w:t xml:space="preserve"> Archiving: When the accused has not been identified or has been declared in contempt of court, the Public Prosecutors' Office [</w:t>
      </w:r>
      <w:proofErr w:type="spellStart"/>
      <w:r>
        <w:rPr>
          <w:rFonts w:ascii="Cambria" w:hAnsi="Cambria"/>
          <w:i/>
          <w:sz w:val="20"/>
        </w:rPr>
        <w:t>Ministerio</w:t>
      </w:r>
      <w:proofErr w:type="spellEnd"/>
      <w:r>
        <w:rPr>
          <w:rFonts w:ascii="Cambria" w:hAnsi="Cambria"/>
          <w:i/>
          <w:sz w:val="20"/>
        </w:rPr>
        <w:t xml:space="preserve"> </w:t>
      </w:r>
      <w:proofErr w:type="spellStart"/>
      <w:r>
        <w:rPr>
          <w:rFonts w:ascii="Cambria" w:hAnsi="Cambria"/>
          <w:i/>
          <w:sz w:val="20"/>
        </w:rPr>
        <w:t>Público</w:t>
      </w:r>
      <w:proofErr w:type="spellEnd"/>
      <w:r>
        <w:rPr>
          <w:rFonts w:ascii="Cambria" w:hAnsi="Cambria"/>
          <w:sz w:val="20"/>
        </w:rPr>
        <w:t>] shall order, in writing, that the proceedings be archived, without prejudice to continuation of proceedings against other defendants.</w:t>
      </w:r>
    </w:p>
    <w:p w:rsidR="006B32D3" w:rsidRPr="00BF3D11" w:rsidRDefault="006B32D3" w:rsidP="006B32D3">
      <w:pPr>
        <w:ind w:left="720" w:right="720"/>
        <w:jc w:val="both"/>
        <w:rPr>
          <w:rFonts w:ascii="Cambria" w:hAnsi="Cambria"/>
          <w:sz w:val="20"/>
          <w:szCs w:val="20"/>
        </w:rPr>
      </w:pPr>
    </w:p>
    <w:p w:rsidR="006B32D3" w:rsidRPr="00BF3D11" w:rsidRDefault="006B32D3" w:rsidP="006B32D3">
      <w:pPr>
        <w:ind w:left="720" w:right="720"/>
        <w:jc w:val="both"/>
        <w:rPr>
          <w:rFonts w:ascii="Cambria" w:hAnsi="Cambria"/>
          <w:sz w:val="20"/>
          <w:szCs w:val="20"/>
        </w:rPr>
      </w:pPr>
      <w:r>
        <w:rPr>
          <w:rFonts w:ascii="Cambria" w:hAnsi="Cambria"/>
          <w:sz w:val="20"/>
        </w:rPr>
        <w:t>In this case, the other parties shall be notified of the order and they may object to it before the judge overseeing the investigation, pointing out the evidence that could feasibly be investigated or identifying the accused. The judge may revoke the decision, pointing out the evidence to be looked into to continue the investigation or identify the accused.</w:t>
      </w:r>
      <w:r>
        <w:rPr>
          <w:rStyle w:val="FootnoteReference"/>
          <w:rFonts w:ascii="Cambria" w:hAnsi="Cambria"/>
          <w:sz w:val="20"/>
        </w:rPr>
        <w:footnoteReference w:id="61"/>
      </w:r>
    </w:p>
    <w:p w:rsidR="006B32D3" w:rsidRPr="00BF3D11" w:rsidRDefault="006B32D3" w:rsidP="006B32D3">
      <w:pPr>
        <w:pStyle w:val="MediumGrid1-Accent21"/>
        <w:ind w:left="0"/>
        <w:rPr>
          <w:rFonts w:ascii="Cambria" w:hAnsi="Cambria"/>
          <w:sz w:val="20"/>
          <w:szCs w:val="20"/>
        </w:rPr>
      </w:pPr>
    </w:p>
    <w:p w:rsidR="006B32D3" w:rsidRPr="00BF3D11" w:rsidRDefault="006B32D3" w:rsidP="006B32D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Pr>
          <w:rFonts w:ascii="Cambria" w:hAnsi="Cambria"/>
          <w:sz w:val="20"/>
        </w:rPr>
        <w:t>The State pointed out that no objection was filed with the judge overseeing the investigation against the decision by the Public Prosecutor's Office to archive the case.</w:t>
      </w:r>
      <w:r>
        <w:rPr>
          <w:rStyle w:val="FootnoteReference"/>
          <w:rFonts w:ascii="Cambria" w:hAnsi="Cambria"/>
          <w:sz w:val="20"/>
        </w:rPr>
        <w:footnoteReference w:id="62"/>
      </w:r>
    </w:p>
    <w:p w:rsidR="006B32D3" w:rsidRPr="00BF3D11" w:rsidRDefault="006B32D3" w:rsidP="006B32D3">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rPr>
      </w:pPr>
    </w:p>
    <w:p w:rsidR="006B32D3" w:rsidRPr="00BF3D11" w:rsidRDefault="006B32D3" w:rsidP="006B32D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Pr>
          <w:rFonts w:ascii="Cambria" w:hAnsi="Cambria"/>
          <w:sz w:val="20"/>
        </w:rPr>
        <w:t>On May 9, 1997, the Sixth Court of First Instance for Drug-trafficking and Crimes against the Environment issued a decision stating as follows:</w:t>
      </w:r>
      <w:r>
        <w:rPr>
          <w:rStyle w:val="FootnoteReference"/>
          <w:rFonts w:ascii="Cambria" w:hAnsi="Cambria"/>
          <w:sz w:val="20"/>
        </w:rPr>
        <w:footnoteReference w:id="63"/>
      </w:r>
    </w:p>
    <w:p w:rsidR="006B32D3" w:rsidRPr="00BF3D11" w:rsidRDefault="006B32D3" w:rsidP="006B32D3">
      <w:pPr>
        <w:pStyle w:val="ColorfulShading-Accent31"/>
        <w:ind w:left="0"/>
        <w:jc w:val="both"/>
        <w:rPr>
          <w:sz w:val="20"/>
          <w:szCs w:val="20"/>
        </w:rPr>
      </w:pPr>
    </w:p>
    <w:p w:rsidR="006B32D3" w:rsidRPr="00BF3D11" w:rsidRDefault="006B32D3" w:rsidP="006B32D3">
      <w:pPr>
        <w:pStyle w:val="ColorfulShading-Accent31"/>
        <w:ind w:right="720"/>
        <w:jc w:val="both"/>
        <w:rPr>
          <w:sz w:val="20"/>
          <w:szCs w:val="20"/>
        </w:rPr>
      </w:pPr>
      <w:r>
        <w:rPr>
          <w:sz w:val="20"/>
        </w:rPr>
        <w:t>As regards the archiving requested by the Public Prosecutors' Office, you are hereby informed that in accordance with the norm cited as legal grounds,</w:t>
      </w:r>
      <w:r>
        <w:rPr>
          <w:rStyle w:val="FootnoteReference"/>
          <w:sz w:val="20"/>
        </w:rPr>
        <w:footnoteReference w:id="64"/>
      </w:r>
      <w:r>
        <w:rPr>
          <w:sz w:val="20"/>
        </w:rPr>
        <w:t xml:space="preserve"> when identification of the accused is not achieved, archiving shall be ordered by the Public Prosecutors' Office, not the overseeing court.</w:t>
      </w:r>
      <w:r>
        <w:rPr>
          <w:rStyle w:val="FootnoteReference"/>
          <w:sz w:val="20"/>
        </w:rPr>
        <w:footnoteReference w:id="65"/>
      </w:r>
    </w:p>
    <w:p w:rsidR="006B32D3" w:rsidRPr="00BF3D11" w:rsidRDefault="006B32D3" w:rsidP="006B32D3">
      <w:pPr>
        <w:pStyle w:val="ColorfulShading-Accent31"/>
        <w:ind w:right="720"/>
        <w:jc w:val="both"/>
        <w:rPr>
          <w:sz w:val="20"/>
          <w:szCs w:val="20"/>
        </w:rPr>
      </w:pPr>
    </w:p>
    <w:p w:rsidR="006B32D3" w:rsidRPr="00BF3D11" w:rsidRDefault="006B32D3" w:rsidP="006B32D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Pr>
          <w:rFonts w:ascii="Cambria" w:hAnsi="Cambria"/>
          <w:sz w:val="20"/>
        </w:rPr>
        <w:t>The State pointed out that on May 22, 1997 the Judge overseeing the case dismissed the request by the Public Prosecutors' Office to archive the file of the case.</w:t>
      </w:r>
      <w:r>
        <w:rPr>
          <w:rStyle w:val="FootnoteReference"/>
          <w:rFonts w:ascii="Cambria" w:hAnsi="Cambria"/>
          <w:sz w:val="20"/>
        </w:rPr>
        <w:footnoteReference w:id="66"/>
      </w:r>
      <w:r>
        <w:rPr>
          <w:rFonts w:ascii="Cambria" w:hAnsi="Cambria"/>
          <w:sz w:val="20"/>
        </w:rPr>
        <w:t xml:space="preserve"> He did so since "the time that has elapsed since the occurrence of the deed complained </w:t>
      </w:r>
      <w:r w:rsidR="00670E42">
        <w:rPr>
          <w:rFonts w:ascii="Cambria" w:hAnsi="Cambria"/>
          <w:sz w:val="20"/>
        </w:rPr>
        <w:t>of is</w:t>
      </w:r>
      <w:r>
        <w:rPr>
          <w:rFonts w:ascii="Cambria" w:hAnsi="Cambria"/>
          <w:sz w:val="20"/>
        </w:rPr>
        <w:t xml:space="preserve"> no ground for the investigation not to continue."</w:t>
      </w:r>
      <w:r>
        <w:rPr>
          <w:rStyle w:val="FootnoteReference"/>
          <w:rFonts w:ascii="Cambria" w:hAnsi="Cambria"/>
          <w:sz w:val="20"/>
        </w:rPr>
        <w:footnoteReference w:id="67"/>
      </w:r>
    </w:p>
    <w:p w:rsidR="006B32D3" w:rsidRPr="00BF3D11" w:rsidRDefault="006B32D3" w:rsidP="006B32D3">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rPr>
      </w:pPr>
    </w:p>
    <w:p w:rsidR="006B32D3" w:rsidRPr="00BF3D11" w:rsidRDefault="006B32D3" w:rsidP="006B32D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Pr>
          <w:rFonts w:ascii="Cambria" w:hAnsi="Cambria"/>
          <w:sz w:val="20"/>
        </w:rPr>
        <w:t>In its communication of June 13, 1999, the State pointed out that it had consulted the public prosecutor in the case, Jaime Rosales, on the status of the investigation process.</w:t>
      </w:r>
      <w:r>
        <w:rPr>
          <w:rStyle w:val="FootnoteReference"/>
          <w:rFonts w:ascii="Cambria" w:hAnsi="Cambria"/>
          <w:sz w:val="20"/>
        </w:rPr>
        <w:footnoteReference w:id="68"/>
      </w:r>
      <w:r>
        <w:rPr>
          <w:rFonts w:ascii="Cambria" w:hAnsi="Cambria"/>
          <w:sz w:val="20"/>
        </w:rPr>
        <w:t xml:space="preserve"> The State maintained that the public prosecutor reported that "there is no evidence that may point to the participants in the deed" [</w:t>
      </w:r>
      <w:proofErr w:type="spellStart"/>
      <w:r>
        <w:rPr>
          <w:rFonts w:ascii="Cambria" w:hAnsi="Cambria"/>
          <w:i/>
          <w:sz w:val="20"/>
        </w:rPr>
        <w:t>sujetos</w:t>
      </w:r>
      <w:proofErr w:type="spellEnd"/>
      <w:r>
        <w:rPr>
          <w:rFonts w:ascii="Cambria" w:hAnsi="Cambria"/>
          <w:i/>
          <w:sz w:val="20"/>
        </w:rPr>
        <w:t xml:space="preserve"> </w:t>
      </w:r>
      <w:proofErr w:type="spellStart"/>
      <w:r>
        <w:rPr>
          <w:rFonts w:ascii="Cambria" w:hAnsi="Cambria"/>
          <w:i/>
          <w:sz w:val="20"/>
        </w:rPr>
        <w:t>activos</w:t>
      </w:r>
      <w:proofErr w:type="spellEnd"/>
      <w:r>
        <w:rPr>
          <w:rFonts w:ascii="Cambria" w:hAnsi="Cambria"/>
          <w:i/>
          <w:sz w:val="20"/>
        </w:rPr>
        <w:t xml:space="preserve"> </w:t>
      </w:r>
      <w:proofErr w:type="gramStart"/>
      <w:r>
        <w:rPr>
          <w:rFonts w:ascii="Cambria" w:hAnsi="Cambria"/>
          <w:i/>
          <w:sz w:val="20"/>
        </w:rPr>
        <w:t>del</w:t>
      </w:r>
      <w:proofErr w:type="gramEnd"/>
      <w:r>
        <w:rPr>
          <w:rFonts w:ascii="Cambria" w:hAnsi="Cambria"/>
          <w:i/>
          <w:sz w:val="20"/>
        </w:rPr>
        <w:t xml:space="preserve"> </w:t>
      </w:r>
      <w:proofErr w:type="spellStart"/>
      <w:r>
        <w:rPr>
          <w:rFonts w:ascii="Cambria" w:hAnsi="Cambria"/>
          <w:i/>
          <w:sz w:val="20"/>
        </w:rPr>
        <w:t>hecho</w:t>
      </w:r>
      <w:proofErr w:type="spellEnd"/>
      <w:r>
        <w:rPr>
          <w:rFonts w:ascii="Cambria" w:hAnsi="Cambria"/>
          <w:sz w:val="20"/>
        </w:rPr>
        <w:t>].</w:t>
      </w:r>
      <w:r>
        <w:rPr>
          <w:rStyle w:val="FootnoteReference"/>
          <w:rFonts w:ascii="Cambria" w:hAnsi="Cambria"/>
          <w:sz w:val="20"/>
        </w:rPr>
        <w:footnoteReference w:id="69"/>
      </w:r>
      <w:r>
        <w:rPr>
          <w:rFonts w:ascii="Cambria" w:hAnsi="Cambria"/>
          <w:sz w:val="20"/>
        </w:rPr>
        <w:t xml:space="preserve"> The State maintained that due to the decision by the overseeing judge in May 1997, the investigation "is continuing and new evidence is expected to be provided to permit the identification and punishment of </w:t>
      </w:r>
      <w:r w:rsidR="00670E42">
        <w:rPr>
          <w:rFonts w:ascii="Cambria" w:hAnsi="Cambria"/>
          <w:sz w:val="20"/>
        </w:rPr>
        <w:t>those responsible</w:t>
      </w:r>
      <w:r>
        <w:rPr>
          <w:rFonts w:ascii="Cambria" w:hAnsi="Cambria"/>
          <w:sz w:val="20"/>
        </w:rPr>
        <w:t>."</w:t>
      </w:r>
      <w:r>
        <w:rPr>
          <w:rStyle w:val="FootnoteReference"/>
          <w:rFonts w:ascii="Cambria" w:hAnsi="Cambria"/>
          <w:sz w:val="20"/>
        </w:rPr>
        <w:footnoteReference w:id="70"/>
      </w:r>
    </w:p>
    <w:p w:rsidR="006B32D3" w:rsidRPr="00BF3D11" w:rsidRDefault="006B32D3" w:rsidP="006B32D3">
      <w:pPr>
        <w:pStyle w:val="MediumGrid1-Accent21"/>
        <w:ind w:left="0"/>
        <w:rPr>
          <w:rFonts w:ascii="Cambria" w:hAnsi="Cambria"/>
          <w:sz w:val="20"/>
          <w:szCs w:val="20"/>
        </w:rPr>
      </w:pPr>
    </w:p>
    <w:p w:rsidR="006B32D3" w:rsidRDefault="006B32D3" w:rsidP="006B32D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Pr>
          <w:rFonts w:ascii="Cambria" w:hAnsi="Cambria"/>
          <w:sz w:val="20"/>
        </w:rPr>
        <w:t xml:space="preserve">On December 17, 2014, the Public Prosecutors' Office sent a communication to </w:t>
      </w:r>
      <w:r w:rsidR="00670E42">
        <w:rPr>
          <w:rFonts w:ascii="Cambria" w:hAnsi="Cambria"/>
          <w:sz w:val="20"/>
        </w:rPr>
        <w:t>COPREDEH stating</w:t>
      </w:r>
      <w:r>
        <w:rPr>
          <w:rFonts w:ascii="Cambria" w:hAnsi="Cambria"/>
          <w:sz w:val="20"/>
        </w:rPr>
        <w:t xml:space="preserve"> that "there are no records of Mr. [Gómez] as either plaintiff or injured party nor is there any record of the file [MP-232-95] in the [database]."</w:t>
      </w:r>
      <w:r>
        <w:rPr>
          <w:rStyle w:val="FootnoteReference"/>
          <w:rFonts w:ascii="Cambria" w:hAnsi="Cambria"/>
          <w:sz w:val="20"/>
        </w:rPr>
        <w:footnoteReference w:id="71"/>
      </w:r>
    </w:p>
    <w:p w:rsidR="006B32D3" w:rsidRPr="000D60A2" w:rsidRDefault="006B32D3" w:rsidP="006B32D3">
      <w:pPr>
        <w:pStyle w:val="ListParagraph"/>
        <w:rPr>
          <w:rFonts w:ascii="Cambria" w:hAnsi="Cambria"/>
          <w:sz w:val="20"/>
          <w:szCs w:val="20"/>
        </w:rPr>
      </w:pPr>
    </w:p>
    <w:p w:rsidR="006B32D3" w:rsidRPr="00BF3D11" w:rsidRDefault="006B32D3" w:rsidP="006B32D3">
      <w:pPr>
        <w:pStyle w:val="Heading2"/>
        <w:numPr>
          <w:ilvl w:val="0"/>
          <w:numId w:val="58"/>
        </w:numPr>
        <w:spacing w:before="0" w:after="0"/>
        <w:ind w:hanging="720"/>
        <w:jc w:val="both"/>
        <w:rPr>
          <w:rFonts w:ascii="Cambria" w:hAnsi="Cambria"/>
          <w:i w:val="0"/>
          <w:sz w:val="20"/>
          <w:szCs w:val="20"/>
        </w:rPr>
      </w:pPr>
      <w:bookmarkStart w:id="58" w:name="_Toc473188697"/>
      <w:bookmarkStart w:id="59" w:name="_Toc478023977"/>
      <w:proofErr w:type="gramStart"/>
      <w:r>
        <w:rPr>
          <w:rFonts w:ascii="Cambria" w:hAnsi="Cambria"/>
          <w:i w:val="0"/>
          <w:sz w:val="20"/>
        </w:rPr>
        <w:t>Pronouncements on violations of the human rights of trade unionists in Guatemala in the 1990s.</w:t>
      </w:r>
      <w:bookmarkEnd w:id="58"/>
      <w:bookmarkEnd w:id="59"/>
      <w:proofErr w:type="gramEnd"/>
    </w:p>
    <w:p w:rsidR="006B32D3" w:rsidRDefault="006B32D3" w:rsidP="006B32D3">
      <w:pPr>
        <w:tabs>
          <w:tab w:val="left" w:pos="720"/>
          <w:tab w:val="left" w:pos="840"/>
        </w:tabs>
        <w:ind w:left="720"/>
        <w:jc w:val="both"/>
        <w:rPr>
          <w:rFonts w:ascii="Cambria" w:hAnsi="Cambria"/>
          <w:b/>
          <w:sz w:val="20"/>
          <w:szCs w:val="20"/>
        </w:rPr>
      </w:pPr>
    </w:p>
    <w:p w:rsidR="006B32D3" w:rsidRPr="00BF3D11" w:rsidRDefault="006B32D3" w:rsidP="006B32D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Pr>
          <w:rFonts w:ascii="Cambria" w:hAnsi="Cambria"/>
          <w:color w:val="auto"/>
          <w:sz w:val="20"/>
        </w:rPr>
        <w:lastRenderedPageBreak/>
        <w:t xml:space="preserve">Various local agencies and international organizations have pronounced on the context of repression directed against trade unionists in Guatemala during the 1990s. </w:t>
      </w:r>
    </w:p>
    <w:p w:rsidR="006B32D3" w:rsidRDefault="006B32D3" w:rsidP="006B32D3">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rPr>
      </w:pPr>
    </w:p>
    <w:p w:rsidR="006B32D3" w:rsidRPr="00BF3D11" w:rsidRDefault="006B32D3" w:rsidP="006B32D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Pr>
          <w:rFonts w:ascii="Cambria" w:hAnsi="Cambria"/>
          <w:sz w:val="20"/>
        </w:rPr>
        <w:t>In June 1993, the IACHR issued its Fourth Report on the Human Rights Situation in Guatemala.</w:t>
      </w:r>
      <w:r>
        <w:rPr>
          <w:rStyle w:val="FootnoteReference"/>
          <w:rFonts w:ascii="Cambria" w:hAnsi="Cambria"/>
          <w:sz w:val="20"/>
        </w:rPr>
        <w:footnoteReference w:id="72"/>
      </w:r>
      <w:r>
        <w:rPr>
          <w:rFonts w:ascii="Cambria" w:hAnsi="Cambria"/>
          <w:sz w:val="20"/>
        </w:rPr>
        <w:t xml:space="preserve"> In that report ,the Commission wrote as follows: </w:t>
      </w:r>
    </w:p>
    <w:p w:rsidR="006B32D3" w:rsidRPr="00BF3D11" w:rsidRDefault="006B32D3" w:rsidP="006B32D3">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rPr>
      </w:pPr>
    </w:p>
    <w:p w:rsidR="006B32D3" w:rsidRPr="00BF3D11" w:rsidRDefault="006B32D3" w:rsidP="006B32D3">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rPr>
      </w:pPr>
      <w:r>
        <w:rPr>
          <w:rFonts w:ascii="Cambria" w:hAnsi="Cambria"/>
          <w:spacing w:val="-3"/>
          <w:sz w:val="20"/>
          <w:shd w:val="clear" w:color="auto" w:fill="FFFFFF"/>
        </w:rPr>
        <w:t>The existence of vigorous trade union activity in Guatemala show that there is a place for the exercise of public freedoms that allows trade unions to act and exercise their right to freedom of expression, but that space is continually under attack from attempts to restrict it in the form of arbitrary arrests, death threats</w:t>
      </w:r>
      <w:r w:rsidR="00670E42">
        <w:rPr>
          <w:rFonts w:ascii="Cambria" w:hAnsi="Cambria"/>
          <w:spacing w:val="-3"/>
          <w:sz w:val="20"/>
          <w:shd w:val="clear" w:color="auto" w:fill="FFFFFF"/>
        </w:rPr>
        <w:t>, attacks</w:t>
      </w:r>
      <w:r>
        <w:rPr>
          <w:rFonts w:ascii="Cambria" w:hAnsi="Cambria"/>
          <w:spacing w:val="-3"/>
          <w:sz w:val="20"/>
          <w:shd w:val="clear" w:color="auto" w:fill="FFFFFF"/>
        </w:rPr>
        <w:t xml:space="preserve"> on trade unionists' lives, and arbitrary dismissals of trade union leaders.</w:t>
      </w:r>
      <w:r>
        <w:rPr>
          <w:rStyle w:val="FootnoteReference"/>
          <w:rFonts w:ascii="Cambria" w:hAnsi="Cambria"/>
          <w:spacing w:val="-3"/>
          <w:sz w:val="20"/>
          <w:shd w:val="clear" w:color="auto" w:fill="FFFFFF"/>
        </w:rPr>
        <w:footnoteReference w:id="73"/>
      </w:r>
      <w:r>
        <w:rPr>
          <w:rFonts w:ascii="Cambria" w:hAnsi="Cambria"/>
          <w:spacing w:val="-3"/>
          <w:sz w:val="20"/>
          <w:shd w:val="clear" w:color="auto" w:fill="FFFFFF"/>
        </w:rPr>
        <w:t> </w:t>
      </w:r>
    </w:p>
    <w:p w:rsidR="006B32D3" w:rsidRPr="00BF3D11" w:rsidRDefault="006B32D3" w:rsidP="006B32D3">
      <w:pPr>
        <w:pStyle w:val="MediumGrid1-Accent21"/>
        <w:ind w:left="0"/>
        <w:jc w:val="both"/>
        <w:rPr>
          <w:rFonts w:ascii="Cambria" w:hAnsi="Cambria"/>
          <w:sz w:val="20"/>
          <w:szCs w:val="20"/>
        </w:rPr>
      </w:pPr>
    </w:p>
    <w:p w:rsidR="006B32D3" w:rsidRPr="00BF3D11" w:rsidRDefault="006B32D3" w:rsidP="006B32D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Pr>
          <w:rFonts w:ascii="Cambria" w:hAnsi="Cambria"/>
          <w:sz w:val="20"/>
        </w:rPr>
        <w:t xml:space="preserve">In its report, the IACHR described some of the concrete acts it became aware of to the detriment of trade unionists, including death threats and various forms of harassment, and even a case similar to that alleged in this instance, which was described by the IACHR as "the kidnapping, torture, and hacking to death of trade union leader </w:t>
      </w:r>
      <w:proofErr w:type="spellStart"/>
      <w:r>
        <w:rPr>
          <w:rFonts w:ascii="Cambria" w:hAnsi="Cambria"/>
          <w:sz w:val="20"/>
        </w:rPr>
        <w:t>Senón</w:t>
      </w:r>
      <w:proofErr w:type="spellEnd"/>
      <w:r>
        <w:rPr>
          <w:rFonts w:ascii="Cambria" w:hAnsi="Cambria"/>
          <w:sz w:val="20"/>
        </w:rPr>
        <w:t xml:space="preserve"> Sánchez López" in October 1992. The Commission identified a link between employers' failure to honor workers' rights, the trade union response to that, and the activation of mechanisms to prevent trade unions from exercising that right of response. There were, as the IACHR pointed out, several such mechanisms, including murder.</w:t>
      </w:r>
      <w:r>
        <w:rPr>
          <w:rStyle w:val="FootnoteReference"/>
          <w:rFonts w:ascii="Cambria" w:hAnsi="Cambria"/>
          <w:spacing w:val="-3"/>
          <w:sz w:val="20"/>
          <w:shd w:val="clear" w:color="auto" w:fill="FFFFFF"/>
        </w:rPr>
        <w:footnoteReference w:id="74"/>
      </w:r>
      <w:r>
        <w:rPr>
          <w:rFonts w:ascii="Cambria" w:hAnsi="Cambria"/>
          <w:sz w:val="20"/>
        </w:rPr>
        <w:t xml:space="preserve"> </w:t>
      </w:r>
    </w:p>
    <w:p w:rsidR="006B32D3" w:rsidRPr="00BF3D11" w:rsidRDefault="006B32D3" w:rsidP="006B32D3">
      <w:pPr>
        <w:pStyle w:val="MediumGrid1-Accent21"/>
        <w:ind w:left="0"/>
        <w:jc w:val="both"/>
        <w:rPr>
          <w:rFonts w:ascii="Cambria" w:hAnsi="Cambria"/>
          <w:sz w:val="20"/>
          <w:szCs w:val="20"/>
        </w:rPr>
      </w:pPr>
    </w:p>
    <w:p w:rsidR="006B32D3" w:rsidRPr="00BF3D11" w:rsidRDefault="006B32D3" w:rsidP="006B32D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Pr>
          <w:rFonts w:ascii="Cambria" w:hAnsi="Cambria"/>
          <w:sz w:val="20"/>
        </w:rPr>
        <w:t xml:space="preserve">With that link in mind, the Commission noted the following with regard to </w:t>
      </w:r>
      <w:r>
        <w:rPr>
          <w:rFonts w:ascii="Cambria" w:hAnsi="Cambria"/>
          <w:i/>
          <w:sz w:val="20"/>
        </w:rPr>
        <w:t>maquiladora</w:t>
      </w:r>
      <w:r>
        <w:rPr>
          <w:rFonts w:ascii="Cambria" w:hAnsi="Cambria"/>
          <w:sz w:val="20"/>
        </w:rPr>
        <w:t xml:space="preserve"> assembly plants: </w:t>
      </w:r>
    </w:p>
    <w:p w:rsidR="006B32D3" w:rsidRPr="00BF3D11" w:rsidRDefault="006B32D3" w:rsidP="006B32D3">
      <w:pPr>
        <w:pStyle w:val="MediumGrid1-Accent21"/>
        <w:ind w:left="0"/>
        <w:jc w:val="both"/>
        <w:rPr>
          <w:rFonts w:ascii="Cambria" w:hAnsi="Cambria"/>
          <w:sz w:val="20"/>
          <w:szCs w:val="20"/>
        </w:rPr>
      </w:pPr>
    </w:p>
    <w:p w:rsidR="006B32D3" w:rsidRPr="00BF3D11" w:rsidRDefault="006B32D3" w:rsidP="006B32D3">
      <w:pPr>
        <w:pStyle w:val="MediumGrid1-Accent21"/>
        <w:ind w:right="720"/>
        <w:jc w:val="both"/>
        <w:rPr>
          <w:rFonts w:ascii="Cambria" w:hAnsi="Cambria"/>
          <w:sz w:val="20"/>
          <w:szCs w:val="20"/>
        </w:rPr>
      </w:pPr>
      <w:r>
        <w:rPr>
          <w:rFonts w:ascii="Cambria" w:hAnsi="Cambria"/>
          <w:sz w:val="20"/>
          <w:bdr w:val="none" w:sz="0" w:space="0" w:color="auto"/>
        </w:rPr>
        <w:t xml:space="preserve">Reliable studies reveal numerous abuses with respect to the assembly plants' </w:t>
      </w:r>
      <w:r w:rsidR="00670E42">
        <w:rPr>
          <w:rFonts w:ascii="Cambria" w:hAnsi="Cambria"/>
          <w:sz w:val="20"/>
          <w:bdr w:val="none" w:sz="0" w:space="0" w:color="auto"/>
        </w:rPr>
        <w:t>failure to</w:t>
      </w:r>
      <w:r>
        <w:rPr>
          <w:rFonts w:ascii="Cambria" w:hAnsi="Cambria"/>
          <w:sz w:val="20"/>
          <w:bdr w:val="none" w:sz="0" w:space="0" w:color="auto"/>
        </w:rPr>
        <w:t xml:space="preserve"> provide decent and legally required working conditions or pay the minimum wage; their use of child labor, compulsory overtime; the lack of sanitation; dismissals of workers' leaders, and so on. Six out of every 10 such employers force personnel to work overtime, with average working hours per week ranging from 55 to 70.  Cases have even been documented of workers forced to stay in the factory from Monday through Saturday, without going out, working 80 hours a week.</w:t>
      </w:r>
      <w:r>
        <w:rPr>
          <w:rStyle w:val="FootnoteReference"/>
          <w:rFonts w:ascii="Cambria" w:hAnsi="Cambria"/>
          <w:spacing w:val="-3"/>
          <w:sz w:val="20"/>
          <w:shd w:val="clear" w:color="auto" w:fill="FFFFFF"/>
        </w:rPr>
        <w:footnoteReference w:id="75"/>
      </w:r>
      <w:r>
        <w:rPr>
          <w:rFonts w:ascii="Cambria" w:hAnsi="Cambria"/>
          <w:sz w:val="20"/>
          <w:bdr w:val="none" w:sz="0" w:space="0" w:color="auto"/>
        </w:rPr>
        <w:t xml:space="preserve">  </w:t>
      </w:r>
    </w:p>
    <w:p w:rsidR="006B32D3" w:rsidRPr="00BF3D11" w:rsidRDefault="006B32D3" w:rsidP="006B32D3">
      <w:pPr>
        <w:pStyle w:val="MediumGrid1-Accent21"/>
        <w:ind w:left="0"/>
        <w:jc w:val="both"/>
        <w:rPr>
          <w:rFonts w:ascii="Cambria" w:hAnsi="Cambria"/>
          <w:sz w:val="20"/>
          <w:szCs w:val="20"/>
        </w:rPr>
      </w:pPr>
    </w:p>
    <w:p w:rsidR="006B32D3" w:rsidRPr="00BF3D11" w:rsidRDefault="006B32D3" w:rsidP="006B32D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Pr>
          <w:rFonts w:ascii="Cambria" w:hAnsi="Cambria"/>
          <w:sz w:val="20"/>
        </w:rPr>
        <w:t xml:space="preserve">In 2003, the IACHR wrote in its report on Justice and Social Inclusion: The Challenges of Democracy in Guatemala, the Commission continued to observe attacks on human rights defenders, including trade unionists, as well as the impunity habitually associated with those violations. As the IACHR put it: </w:t>
      </w:r>
    </w:p>
    <w:p w:rsidR="006B32D3" w:rsidRPr="00BF3D11" w:rsidRDefault="006B32D3" w:rsidP="006B32D3">
      <w:pPr>
        <w:pStyle w:val="MediumGrid1-Accent21"/>
        <w:ind w:left="0"/>
        <w:jc w:val="both"/>
        <w:rPr>
          <w:rFonts w:ascii="Cambria" w:hAnsi="Cambria"/>
          <w:sz w:val="20"/>
          <w:szCs w:val="20"/>
        </w:rPr>
      </w:pPr>
    </w:p>
    <w:p w:rsidR="006B32D3" w:rsidRPr="00B406B3" w:rsidRDefault="006B32D3" w:rsidP="006B32D3">
      <w:pPr>
        <w:pStyle w:val="MediumGrid1-Accent21"/>
        <w:ind w:right="720"/>
        <w:jc w:val="both"/>
        <w:rPr>
          <w:rFonts w:ascii="Cambria" w:hAnsi="Cambria"/>
          <w:sz w:val="20"/>
          <w:szCs w:val="20"/>
        </w:rPr>
      </w:pPr>
      <w:r>
        <w:rPr>
          <w:rFonts w:ascii="Cambria" w:hAnsi="Cambria"/>
          <w:sz w:val="20"/>
          <w:bdr w:val="none" w:sz="0" w:space="0" w:color="auto"/>
        </w:rPr>
        <w:t>(...) threats and attacks on human rights defenders in Guatemala are still not punished</w:t>
      </w:r>
      <w:r w:rsidR="00670E42">
        <w:rPr>
          <w:rFonts w:ascii="Cambria" w:hAnsi="Cambria"/>
          <w:sz w:val="20"/>
          <w:bdr w:val="none" w:sz="0" w:space="0" w:color="auto"/>
        </w:rPr>
        <w:t>.</w:t>
      </w:r>
      <w:r>
        <w:rPr>
          <w:rFonts w:ascii="Cambria" w:hAnsi="Cambria"/>
          <w:sz w:val="20"/>
          <w:bdr w:val="none" w:sz="0" w:space="0" w:color="auto"/>
        </w:rPr>
        <w:t xml:space="preserve"> The cover up of the act of harassment or aggression to the defender is evident and consists, for example, in </w:t>
      </w:r>
      <w:proofErr w:type="gramStart"/>
      <w:r>
        <w:rPr>
          <w:rFonts w:ascii="Cambria" w:hAnsi="Cambria"/>
          <w:sz w:val="20"/>
          <w:bdr w:val="none" w:sz="0" w:space="0" w:color="auto"/>
        </w:rPr>
        <w:t>disappearing</w:t>
      </w:r>
      <w:proofErr w:type="gramEnd"/>
      <w:r>
        <w:rPr>
          <w:rFonts w:ascii="Cambria" w:hAnsi="Cambria"/>
          <w:sz w:val="20"/>
          <w:bdr w:val="none" w:sz="0" w:space="0" w:color="auto"/>
        </w:rPr>
        <w:t xml:space="preserve"> the evidence related to the facts. Impunity in these cases encourages new violations against human rights defenders, which at the same time limits their work.</w:t>
      </w:r>
      <w:r>
        <w:rPr>
          <w:rStyle w:val="FootnoteReference"/>
          <w:rFonts w:ascii="Cambria" w:hAnsi="Cambria"/>
          <w:sz w:val="20"/>
          <w:bdr w:val="none" w:sz="0" w:space="0" w:color="auto"/>
        </w:rPr>
        <w:footnoteReference w:id="76"/>
      </w:r>
    </w:p>
    <w:p w:rsidR="006B32D3" w:rsidRPr="00B406B3" w:rsidRDefault="006B32D3" w:rsidP="006B32D3">
      <w:pPr>
        <w:tabs>
          <w:tab w:val="left" w:pos="720"/>
          <w:tab w:val="left" w:pos="840"/>
        </w:tabs>
        <w:ind w:left="720"/>
        <w:jc w:val="both"/>
        <w:rPr>
          <w:rFonts w:ascii="Cambria" w:hAnsi="Cambria"/>
          <w:b/>
          <w:sz w:val="20"/>
          <w:szCs w:val="20"/>
        </w:rPr>
      </w:pPr>
    </w:p>
    <w:p w:rsidR="006B32D3" w:rsidRPr="00B406B3" w:rsidRDefault="006B32D3" w:rsidP="006B32D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color w:val="auto"/>
          <w:sz w:val="20"/>
          <w:szCs w:val="20"/>
        </w:rPr>
      </w:pPr>
      <w:r>
        <w:rPr>
          <w:rFonts w:ascii="Cambria" w:hAnsi="Cambria"/>
          <w:color w:val="auto"/>
          <w:sz w:val="20"/>
          <w:shd w:val="clear" w:color="auto" w:fill="FFFFFF"/>
        </w:rPr>
        <w:t xml:space="preserve">The United Nations </w:t>
      </w:r>
      <w:r w:rsidR="00670E42">
        <w:rPr>
          <w:rFonts w:ascii="Cambria" w:hAnsi="Cambria"/>
          <w:color w:val="auto"/>
          <w:sz w:val="20"/>
          <w:shd w:val="clear" w:color="auto" w:fill="FFFFFF"/>
        </w:rPr>
        <w:t xml:space="preserve">Mission </w:t>
      </w:r>
      <w:r w:rsidR="00670E42">
        <w:rPr>
          <w:rStyle w:val="apple-converted-space"/>
          <w:rFonts w:ascii="Cambria" w:hAnsi="Cambria"/>
          <w:color w:val="auto"/>
          <w:sz w:val="20"/>
          <w:shd w:val="clear" w:color="auto" w:fill="FFFFFF"/>
        </w:rPr>
        <w:t>for</w:t>
      </w:r>
      <w:r>
        <w:rPr>
          <w:rStyle w:val="Emphasis"/>
          <w:rFonts w:ascii="Cambria" w:hAnsi="Cambria"/>
          <w:i w:val="0"/>
          <w:color w:val="auto"/>
          <w:sz w:val="20"/>
          <w:shd w:val="clear" w:color="auto" w:fill="FFFFFF"/>
        </w:rPr>
        <w:t xml:space="preserve"> Verification</w:t>
      </w:r>
      <w:r>
        <w:rPr>
          <w:rStyle w:val="apple-converted-space"/>
          <w:rFonts w:ascii="Cambria" w:hAnsi="Cambria"/>
          <w:color w:val="auto"/>
          <w:sz w:val="20"/>
          <w:shd w:val="clear" w:color="auto" w:fill="FFFFFF"/>
        </w:rPr>
        <w:t> </w:t>
      </w:r>
      <w:r>
        <w:rPr>
          <w:rFonts w:ascii="Cambria" w:hAnsi="Cambria"/>
          <w:color w:val="auto"/>
          <w:sz w:val="20"/>
          <w:shd w:val="clear" w:color="auto" w:fill="FFFFFF"/>
        </w:rPr>
        <w:t>of Human Rights in Guatemala (MINUGUA) stated in its first annual report, in 1995, that impunity was the greatest obstacle to achieving observance of human rights in Guatemala.</w:t>
      </w:r>
      <w:r>
        <w:rPr>
          <w:rStyle w:val="FootnoteReference"/>
          <w:rFonts w:ascii="Cambria" w:hAnsi="Cambria"/>
          <w:color w:val="auto"/>
          <w:sz w:val="20"/>
        </w:rPr>
        <w:footnoteReference w:id="77"/>
      </w:r>
      <w:r>
        <w:rPr>
          <w:rFonts w:ascii="Cambria" w:hAnsi="Cambria"/>
          <w:color w:val="auto"/>
          <w:sz w:val="20"/>
          <w:shd w:val="clear" w:color="auto" w:fill="FFFFFF"/>
        </w:rPr>
        <w:t xml:space="preserve"> In its 1998 annual report MINUGUA maintained that there were “</w:t>
      </w:r>
      <w:r>
        <w:rPr>
          <w:rFonts w:ascii="Cambria" w:hAnsi="Cambria"/>
          <w:color w:val="252525"/>
          <w:sz w:val="20"/>
          <w:shd w:val="clear" w:color="auto" w:fill="FFFFFF"/>
        </w:rPr>
        <w:t xml:space="preserve">problems with </w:t>
      </w:r>
      <w:r>
        <w:rPr>
          <w:rFonts w:ascii="Cambria" w:hAnsi="Cambria"/>
          <w:color w:val="252525"/>
          <w:sz w:val="20"/>
          <w:shd w:val="clear" w:color="auto" w:fill="FFFFFF"/>
        </w:rPr>
        <w:lastRenderedPageBreak/>
        <w:t>the actual exercise of and protection for trade union freedom</w:t>
      </w:r>
      <w:r w:rsidR="00670E42">
        <w:rPr>
          <w:rFonts w:ascii="Cambria" w:hAnsi="Cambria"/>
          <w:color w:val="252525"/>
          <w:sz w:val="20"/>
          <w:shd w:val="clear" w:color="auto" w:fill="FFFFFF"/>
        </w:rPr>
        <w:t>.”</w:t>
      </w:r>
      <w:r>
        <w:rPr>
          <w:rStyle w:val="FootnoteReference"/>
          <w:rFonts w:ascii="Cambria" w:hAnsi="Cambria"/>
          <w:color w:val="auto"/>
          <w:sz w:val="20"/>
          <w:shd w:val="clear" w:color="auto" w:fill="FFFFFF"/>
        </w:rPr>
        <w:footnoteReference w:id="78"/>
      </w:r>
      <w:r>
        <w:t xml:space="preserve"> [CHECK QUOTE]</w:t>
      </w:r>
      <w:r>
        <w:rPr>
          <w:rFonts w:ascii="Cambria" w:hAnsi="Cambria"/>
          <w:color w:val="auto"/>
          <w:sz w:val="20"/>
          <w:shd w:val="clear" w:color="auto" w:fill="FFFFFF"/>
        </w:rPr>
        <w:t xml:space="preserve"> </w:t>
      </w:r>
      <w:r>
        <w:rPr>
          <w:rFonts w:ascii="Cambria" w:hAnsi="Cambria"/>
          <w:color w:val="auto"/>
          <w:sz w:val="20"/>
        </w:rPr>
        <w:t>Likewise, in its 2002 annual report, MINUGUA pointed to attacks on the right to life and personal liberty of trade unionists.</w:t>
      </w:r>
      <w:r>
        <w:rPr>
          <w:rStyle w:val="FootnoteReference"/>
          <w:rFonts w:ascii="Cambria" w:hAnsi="Cambria"/>
          <w:color w:val="auto"/>
          <w:sz w:val="20"/>
        </w:rPr>
        <w:footnoteReference w:id="79"/>
      </w:r>
      <w:r>
        <w:rPr>
          <w:rFonts w:ascii="Cambria" w:hAnsi="Cambria"/>
          <w:color w:val="auto"/>
          <w:sz w:val="20"/>
        </w:rPr>
        <w:t xml:space="preserve"> It maintained that "action by State institutions to punish these crimes is seen to be limited and provides insufficient safeguards for the exercise of trade union freedom</w:t>
      </w:r>
      <w:r>
        <w:rPr>
          <w:rFonts w:ascii="Cambria" w:hAnsi="Cambria"/>
          <w:color w:val="auto"/>
          <w:sz w:val="20"/>
          <w:shd w:val="clear" w:color="auto" w:fill="FFFFFF"/>
        </w:rPr>
        <w:t>"</w:t>
      </w:r>
      <w:r>
        <w:rPr>
          <w:rStyle w:val="FootnoteReference"/>
          <w:rFonts w:ascii="Cambria" w:hAnsi="Cambria"/>
          <w:color w:val="auto"/>
          <w:sz w:val="20"/>
        </w:rPr>
        <w:footnoteReference w:id="80"/>
      </w:r>
      <w:r>
        <w:rPr>
          <w:rFonts w:ascii="Cambria" w:hAnsi="Cambria"/>
          <w:color w:val="auto"/>
          <w:sz w:val="20"/>
          <w:shd w:val="clear" w:color="auto" w:fill="FFFFFF"/>
        </w:rPr>
        <w:t>.</w:t>
      </w:r>
    </w:p>
    <w:p w:rsidR="006B32D3" w:rsidRPr="00B406B3" w:rsidRDefault="006B32D3" w:rsidP="006B32D3">
      <w:pPr>
        <w:pStyle w:val="BodyTextIndent"/>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color w:val="auto"/>
          <w:sz w:val="20"/>
          <w:szCs w:val="20"/>
          <w:shd w:val="clear" w:color="auto" w:fill="FFFFFF"/>
        </w:rPr>
      </w:pPr>
    </w:p>
    <w:p w:rsidR="006B32D3" w:rsidRPr="00B406B3" w:rsidRDefault="006B32D3" w:rsidP="006B32D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Pr>
          <w:rFonts w:ascii="Cambria" w:hAnsi="Cambria"/>
          <w:sz w:val="20"/>
        </w:rPr>
        <w:t>In its final report, in 1999, the Commission for Historical Clarification (CEH) pointed out that during the armed conflict in Guatemala trade union leaders were among the victims.</w:t>
      </w:r>
      <w:r>
        <w:rPr>
          <w:rStyle w:val="FootnoteReference"/>
          <w:rFonts w:ascii="Cambria" w:hAnsi="Cambria"/>
          <w:sz w:val="20"/>
        </w:rPr>
        <w:footnoteReference w:id="81"/>
      </w:r>
      <w:r>
        <w:rPr>
          <w:rFonts w:ascii="Cambria" w:hAnsi="Cambria"/>
          <w:sz w:val="20"/>
        </w:rPr>
        <w:t xml:space="preserve"> The CEH pointed out that, citing the so-called Doctrine of National Security and anti-communism as a pretext and justification, crimes </w:t>
      </w:r>
      <w:r>
        <w:rPr>
          <w:rFonts w:ascii="Cambria" w:hAnsi="Cambria"/>
          <w:color w:val="auto"/>
          <w:sz w:val="20"/>
          <w:shd w:val="clear" w:color="auto" w:fill="FFFFFF"/>
        </w:rPr>
        <w:t>were committed</w:t>
      </w:r>
      <w:r>
        <w:rPr>
          <w:rFonts w:ascii="Cambria" w:hAnsi="Cambria"/>
          <w:sz w:val="20"/>
        </w:rPr>
        <w:t xml:space="preserve"> such as the kidnapping and murder of all kinds of trade unionists, all of whom were labeled “subversives”.</w:t>
      </w:r>
      <w:r>
        <w:rPr>
          <w:rStyle w:val="FootnoteReference"/>
          <w:rFonts w:ascii="Cambria" w:hAnsi="Cambria"/>
          <w:sz w:val="20"/>
        </w:rPr>
        <w:footnoteReference w:id="82"/>
      </w:r>
    </w:p>
    <w:p w:rsidR="006B32D3" w:rsidRPr="00B406B3" w:rsidRDefault="006B32D3" w:rsidP="006B32D3">
      <w:pPr>
        <w:jc w:val="both"/>
        <w:rPr>
          <w:rFonts w:ascii="Cambria" w:hAnsi="Cambria"/>
          <w:sz w:val="20"/>
          <w:szCs w:val="20"/>
        </w:rPr>
      </w:pPr>
    </w:p>
    <w:p w:rsidR="006B32D3" w:rsidRPr="00B406B3" w:rsidRDefault="006B32D3" w:rsidP="006B32D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Pr>
          <w:rFonts w:ascii="Cambria" w:hAnsi="Cambria"/>
          <w:sz w:val="20"/>
        </w:rPr>
        <w:t xml:space="preserve">Regarding the </w:t>
      </w:r>
      <w:r>
        <w:rPr>
          <w:rFonts w:ascii="Cambria" w:hAnsi="Cambria"/>
          <w:color w:val="auto"/>
          <w:sz w:val="20"/>
          <w:shd w:val="clear" w:color="auto" w:fill="FFFFFF"/>
        </w:rPr>
        <w:t>acts</w:t>
      </w:r>
      <w:r>
        <w:rPr>
          <w:rFonts w:ascii="Cambria" w:hAnsi="Cambria"/>
          <w:sz w:val="20"/>
        </w:rPr>
        <w:t xml:space="preserve"> of violence against trade unionists, the CEH had the following to say:</w:t>
      </w:r>
    </w:p>
    <w:p w:rsidR="006B32D3" w:rsidRPr="00B406B3" w:rsidRDefault="006B32D3" w:rsidP="006B32D3">
      <w:pPr>
        <w:jc w:val="both"/>
        <w:rPr>
          <w:rFonts w:ascii="Cambria" w:hAnsi="Cambria"/>
          <w:sz w:val="20"/>
          <w:szCs w:val="20"/>
        </w:rPr>
      </w:pPr>
    </w:p>
    <w:p w:rsidR="006B32D3" w:rsidRPr="00B406B3" w:rsidRDefault="006B32D3" w:rsidP="006B32D3">
      <w:pPr>
        <w:ind w:left="720" w:right="720"/>
        <w:jc w:val="both"/>
        <w:rPr>
          <w:rFonts w:ascii="Cambria" w:eastAsia="Times New Roman" w:hAnsi="Cambria"/>
          <w:sz w:val="20"/>
          <w:szCs w:val="20"/>
        </w:rPr>
      </w:pPr>
      <w:r>
        <w:rPr>
          <w:rFonts w:ascii="Cambria" w:hAnsi="Cambria"/>
          <w:sz w:val="20"/>
        </w:rPr>
        <w:t xml:space="preserve">In urban areas, diverse human rights violations were committed against trade union members </w:t>
      </w:r>
      <w:r>
        <w:rPr>
          <w:rFonts w:ascii="Cambria" w:eastAsia="Times New Roman" w:hAnsi="Cambria"/>
          <w:sz w:val="20"/>
          <w:szCs w:val="20"/>
        </w:rPr>
        <w:br/>
      </w:r>
      <w:r>
        <w:rPr>
          <w:rFonts w:ascii="Cambria" w:hAnsi="Cambria"/>
          <w:sz w:val="20"/>
        </w:rPr>
        <w:t xml:space="preserve">(...) who were directly perpetrated by agents of the State or persons acting with its protection, tolerance or acquiescence and were based on close co-operation between powerful business people and security forces. These acts were committed in order to protect business interests, in accordance with openly anti-trade union government policies. </w:t>
      </w:r>
      <w:r>
        <w:rPr>
          <w:rStyle w:val="FootnoteReference"/>
          <w:rFonts w:ascii="Cambria" w:hAnsi="Cambria"/>
          <w:sz w:val="20"/>
        </w:rPr>
        <w:footnoteReference w:id="83"/>
      </w:r>
    </w:p>
    <w:p w:rsidR="006B32D3" w:rsidRPr="00B406B3" w:rsidRDefault="006B32D3" w:rsidP="006B32D3">
      <w:pPr>
        <w:pStyle w:val="BodyTextIndent"/>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olor w:val="auto"/>
          <w:sz w:val="20"/>
          <w:szCs w:val="20"/>
        </w:rPr>
      </w:pPr>
    </w:p>
    <w:p w:rsidR="006B32D3" w:rsidRPr="00B406B3" w:rsidRDefault="006B32D3" w:rsidP="006B32D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Pr>
          <w:rFonts w:ascii="Cambria" w:hAnsi="Cambria"/>
          <w:sz w:val="20"/>
        </w:rPr>
        <w:t xml:space="preserve">In addition, the Inter-American Court deemed it demonstrated in the </w:t>
      </w:r>
      <w:r>
        <w:rPr>
          <w:rFonts w:ascii="Cambria" w:hAnsi="Cambria"/>
          <w:i/>
          <w:sz w:val="20"/>
        </w:rPr>
        <w:t xml:space="preserve">Case of </w:t>
      </w:r>
      <w:proofErr w:type="spellStart"/>
      <w:r>
        <w:rPr>
          <w:rFonts w:ascii="Cambria" w:hAnsi="Cambria"/>
          <w:i/>
          <w:sz w:val="20"/>
        </w:rPr>
        <w:t>García</w:t>
      </w:r>
      <w:proofErr w:type="spellEnd"/>
      <w:r>
        <w:rPr>
          <w:rFonts w:ascii="Cambria" w:hAnsi="Cambria"/>
          <w:i/>
          <w:sz w:val="20"/>
        </w:rPr>
        <w:t xml:space="preserve"> and Family v. Guatemala</w:t>
      </w:r>
      <w:r>
        <w:rPr>
          <w:rFonts w:ascii="Cambria" w:hAnsi="Cambria"/>
          <w:sz w:val="20"/>
        </w:rPr>
        <w:t>, that trade union organizations "were considered 'internal enemies' in the internal armed conflict in Guatemala."</w:t>
      </w:r>
      <w:r>
        <w:rPr>
          <w:rStyle w:val="FootnoteReference"/>
          <w:rFonts w:ascii="Cambria" w:hAnsi="Cambria"/>
          <w:sz w:val="20"/>
        </w:rPr>
        <w:footnoteReference w:id="84"/>
      </w:r>
      <w:r>
        <w:rPr>
          <w:rFonts w:ascii="Cambria" w:hAnsi="Cambria"/>
          <w:sz w:val="20"/>
        </w:rPr>
        <w:t xml:space="preserve"> It added that during that time "there was a pattern of actions by the State aimed at capturing or eliminating </w:t>
      </w:r>
      <w:r w:rsidR="00670E42">
        <w:rPr>
          <w:rFonts w:ascii="Cambria" w:hAnsi="Cambria"/>
          <w:sz w:val="20"/>
        </w:rPr>
        <w:t>the leaders of</w:t>
      </w:r>
      <w:r>
        <w:rPr>
          <w:rFonts w:ascii="Cambria" w:hAnsi="Cambria"/>
          <w:sz w:val="20"/>
        </w:rPr>
        <w:t xml:space="preserve"> unions (...</w:t>
      </w:r>
      <w:r w:rsidR="00670E42">
        <w:rPr>
          <w:rFonts w:ascii="Cambria" w:hAnsi="Cambria"/>
          <w:sz w:val="20"/>
        </w:rPr>
        <w:t>) because</w:t>
      </w:r>
      <w:r>
        <w:rPr>
          <w:rFonts w:ascii="Cambria" w:hAnsi="Cambria"/>
          <w:sz w:val="20"/>
        </w:rPr>
        <w:t xml:space="preserve"> they opposed the State’s ideology."</w:t>
      </w:r>
      <w:r>
        <w:rPr>
          <w:rStyle w:val="FootnoteReference"/>
          <w:rFonts w:ascii="Cambria" w:hAnsi="Cambria"/>
          <w:sz w:val="20"/>
        </w:rPr>
        <w:footnoteReference w:id="85"/>
      </w:r>
    </w:p>
    <w:p w:rsidR="006B32D3" w:rsidRPr="00B406B3" w:rsidRDefault="006B32D3" w:rsidP="006B32D3">
      <w:pPr>
        <w:jc w:val="both"/>
        <w:rPr>
          <w:rFonts w:ascii="Cambria" w:eastAsia="Times New Roman" w:hAnsi="Cambria"/>
          <w:sz w:val="20"/>
          <w:szCs w:val="20"/>
        </w:rPr>
      </w:pPr>
    </w:p>
    <w:p w:rsidR="006B32D3" w:rsidRPr="00B406B3" w:rsidRDefault="006B32D3" w:rsidP="006B32D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Pr>
          <w:rFonts w:ascii="Cambria" w:hAnsi="Cambria"/>
          <w:sz w:val="20"/>
        </w:rPr>
        <w:t>For its part, in the Case of Carlos Gómez v. Guatemala, regarding attacks on a trade unionist in 1993, the IACHR pronounced as follows:</w:t>
      </w:r>
    </w:p>
    <w:p w:rsidR="006B32D3" w:rsidRPr="00B406B3" w:rsidRDefault="006B32D3" w:rsidP="006B32D3">
      <w:pPr>
        <w:jc w:val="both"/>
        <w:rPr>
          <w:rFonts w:ascii="Cambria" w:eastAsia="Times New Roman" w:hAnsi="Cambria"/>
          <w:sz w:val="20"/>
          <w:szCs w:val="20"/>
        </w:rPr>
      </w:pPr>
    </w:p>
    <w:p w:rsidR="006B32D3" w:rsidRPr="00B406B3" w:rsidRDefault="006B32D3" w:rsidP="006B32D3">
      <w:pPr>
        <w:ind w:left="720" w:right="720"/>
        <w:jc w:val="both"/>
        <w:rPr>
          <w:rFonts w:ascii="Cambria" w:eastAsia="Times New Roman" w:hAnsi="Cambria"/>
          <w:sz w:val="20"/>
          <w:szCs w:val="20"/>
        </w:rPr>
      </w:pPr>
      <w:r>
        <w:rPr>
          <w:rFonts w:ascii="Cambria" w:hAnsi="Cambria"/>
          <w:color w:val="000000"/>
          <w:spacing w:val="-3"/>
          <w:sz w:val="20"/>
        </w:rPr>
        <w:t xml:space="preserve"> [I]t has been and continues to be Government practice in Guatemala to use official agents in acts of repression and clandestine attacks against human rights and union groups.</w:t>
      </w:r>
      <w:r>
        <w:rPr>
          <w:rStyle w:val="FootnoteReference"/>
          <w:rFonts w:ascii="Cambria" w:hAnsi="Cambria"/>
          <w:color w:val="000000"/>
          <w:spacing w:val="-3"/>
          <w:sz w:val="20"/>
        </w:rPr>
        <w:footnoteReference w:id="86"/>
      </w:r>
    </w:p>
    <w:p w:rsidR="006B32D3" w:rsidRPr="00B406B3" w:rsidRDefault="006B32D3" w:rsidP="006B32D3">
      <w:pPr>
        <w:jc w:val="both"/>
        <w:rPr>
          <w:rFonts w:ascii="Cambria" w:hAnsi="Cambria"/>
          <w:sz w:val="20"/>
          <w:szCs w:val="20"/>
        </w:rPr>
      </w:pPr>
    </w:p>
    <w:p w:rsidR="006B32D3" w:rsidRPr="00B406B3" w:rsidRDefault="006B32D3" w:rsidP="006B32D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Pr>
          <w:rFonts w:ascii="Cambria" w:hAnsi="Cambria"/>
          <w:sz w:val="20"/>
        </w:rPr>
        <w:t xml:space="preserve">The ILO's Commission of Inquiry, established to review Guatemala's compliance with the Freedom of Association and Protection of the Right to </w:t>
      </w:r>
      <w:proofErr w:type="spellStart"/>
      <w:r>
        <w:rPr>
          <w:rFonts w:ascii="Cambria" w:hAnsi="Cambria"/>
          <w:sz w:val="20"/>
        </w:rPr>
        <w:t>Organise</w:t>
      </w:r>
      <w:proofErr w:type="spellEnd"/>
      <w:r>
        <w:rPr>
          <w:rFonts w:ascii="Cambria" w:hAnsi="Cambria"/>
          <w:sz w:val="20"/>
        </w:rPr>
        <w:t xml:space="preserve"> Convention stated in its 2014 Report that: </w:t>
      </w:r>
    </w:p>
    <w:p w:rsidR="006B32D3" w:rsidRPr="00B406B3" w:rsidRDefault="006B32D3" w:rsidP="006B32D3">
      <w:pPr>
        <w:jc w:val="both"/>
        <w:rPr>
          <w:rFonts w:ascii="Cambria" w:eastAsia="Times New Roman" w:hAnsi="Cambria"/>
          <w:sz w:val="20"/>
          <w:szCs w:val="20"/>
        </w:rPr>
      </w:pPr>
    </w:p>
    <w:p w:rsidR="006B32D3" w:rsidRPr="00B406B3" w:rsidRDefault="006B32D3" w:rsidP="006B32D3">
      <w:pPr>
        <w:ind w:left="720" w:right="720"/>
        <w:jc w:val="both"/>
        <w:rPr>
          <w:rFonts w:ascii="Cambria" w:eastAsia="Times New Roman" w:hAnsi="Cambria"/>
          <w:sz w:val="20"/>
          <w:szCs w:val="20"/>
        </w:rPr>
      </w:pPr>
      <w:r>
        <w:rPr>
          <w:rFonts w:ascii="Cambria" w:hAnsi="Cambria"/>
          <w:sz w:val="20"/>
        </w:rPr>
        <w:t xml:space="preserve">(...) for several years it, like the Committee on Freedom of Association, has been examining allegations of serious acts of violence against trade union leaders and members of trade unions, and seeing how they have gone unpunished. (...) The Committee observes with profound concern that the allegations are extremely serious and refer to numerous murders </w:t>
      </w:r>
      <w:r>
        <w:rPr>
          <w:rFonts w:ascii="Cambria" w:hAnsi="Cambria"/>
          <w:sz w:val="20"/>
        </w:rPr>
        <w:lastRenderedPageBreak/>
        <w:t xml:space="preserve">(58 murders have been examined by the Committee since 2004) and acts of violence </w:t>
      </w:r>
      <w:r w:rsidR="00670E42">
        <w:rPr>
          <w:rFonts w:ascii="Cambria" w:hAnsi="Cambria"/>
          <w:sz w:val="20"/>
        </w:rPr>
        <w:t>against trade</w:t>
      </w:r>
      <w:r>
        <w:rPr>
          <w:rFonts w:ascii="Cambria" w:hAnsi="Cambria"/>
          <w:sz w:val="20"/>
        </w:rPr>
        <w:t xml:space="preserve"> union leaders and members of trade unions</w:t>
      </w:r>
      <w:r w:rsidR="00670E42">
        <w:rPr>
          <w:rFonts w:ascii="Cambria" w:hAnsi="Cambria"/>
          <w:sz w:val="20"/>
        </w:rPr>
        <w:t>, in</w:t>
      </w:r>
      <w:r>
        <w:rPr>
          <w:rFonts w:ascii="Cambria" w:hAnsi="Cambria"/>
          <w:sz w:val="20"/>
        </w:rPr>
        <w:t xml:space="preserve"> a context of persistent impunity.</w:t>
      </w:r>
      <w:r>
        <w:rPr>
          <w:rStyle w:val="FootnoteReference"/>
          <w:rFonts w:ascii="Cambria" w:hAnsi="Cambria"/>
          <w:color w:val="000000"/>
          <w:spacing w:val="-3"/>
          <w:sz w:val="20"/>
        </w:rPr>
        <w:footnoteReference w:id="87"/>
      </w:r>
    </w:p>
    <w:p w:rsidR="006B32D3" w:rsidRPr="00B406B3" w:rsidRDefault="006B32D3" w:rsidP="006B32D3">
      <w:pPr>
        <w:pStyle w:val="MediumGrid1-Accent21"/>
        <w:jc w:val="both"/>
        <w:rPr>
          <w:rFonts w:ascii="Cambria" w:hAnsi="Cambria"/>
          <w:sz w:val="20"/>
          <w:szCs w:val="20"/>
        </w:rPr>
      </w:pPr>
    </w:p>
    <w:p w:rsidR="006B32D3" w:rsidRPr="00B406B3" w:rsidRDefault="006B32D3" w:rsidP="006B32D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Cambria" w:hAnsi="Cambria"/>
          <w:sz w:val="20"/>
          <w:szCs w:val="20"/>
        </w:rPr>
      </w:pPr>
      <w:r>
        <w:rPr>
          <w:rFonts w:ascii="Cambria" w:hAnsi="Cambria"/>
          <w:sz w:val="20"/>
        </w:rPr>
        <w:t xml:space="preserve">For its part, the Human Rights Office of the Archdiocese of Guatemala stated in a communique issued in March 1995 that </w:t>
      </w:r>
      <w:r w:rsidR="00670E42">
        <w:rPr>
          <w:rFonts w:ascii="Cambria" w:hAnsi="Cambria"/>
          <w:sz w:val="20"/>
        </w:rPr>
        <w:t>multiple cases</w:t>
      </w:r>
      <w:r>
        <w:rPr>
          <w:rFonts w:ascii="Cambria" w:hAnsi="Cambria"/>
          <w:sz w:val="20"/>
        </w:rPr>
        <w:t xml:space="preserve"> had been documented of violations of the rights to liberty and life of the trade union </w:t>
      </w:r>
      <w:r w:rsidR="00670E42">
        <w:rPr>
          <w:rFonts w:ascii="Cambria" w:hAnsi="Cambria"/>
          <w:sz w:val="20"/>
        </w:rPr>
        <w:t>sector in</w:t>
      </w:r>
      <w:r>
        <w:rPr>
          <w:rFonts w:ascii="Cambria" w:hAnsi="Cambria"/>
          <w:sz w:val="20"/>
        </w:rPr>
        <w:t xml:space="preserve"> recent years.</w:t>
      </w:r>
      <w:r>
        <w:rPr>
          <w:rStyle w:val="FootnoteReference"/>
          <w:rFonts w:ascii="Cambria" w:hAnsi="Cambria"/>
          <w:sz w:val="20"/>
        </w:rPr>
        <w:footnoteReference w:id="88"/>
      </w:r>
      <w:r>
        <w:rPr>
          <w:rFonts w:ascii="Cambria" w:hAnsi="Cambria"/>
          <w:sz w:val="20"/>
        </w:rPr>
        <w:t xml:space="preserve"> It claimed that there had been complaints of clandestine State squads in charge </w:t>
      </w:r>
      <w:r w:rsidR="00670E42">
        <w:rPr>
          <w:rFonts w:ascii="Cambria" w:hAnsi="Cambria"/>
          <w:sz w:val="20"/>
        </w:rPr>
        <w:t>of</w:t>
      </w:r>
      <w:r>
        <w:rPr>
          <w:rFonts w:ascii="Cambria" w:hAnsi="Cambria"/>
          <w:sz w:val="20"/>
        </w:rPr>
        <w:t xml:space="preserve"> carrying out those human rights violations.</w:t>
      </w:r>
      <w:r>
        <w:rPr>
          <w:rStyle w:val="FootnoteReference"/>
          <w:rFonts w:ascii="Cambria" w:hAnsi="Cambria"/>
          <w:sz w:val="20"/>
        </w:rPr>
        <w:footnoteReference w:id="89"/>
      </w:r>
    </w:p>
    <w:p w:rsidR="006B32D3" w:rsidRPr="00B406B3" w:rsidRDefault="006B32D3" w:rsidP="006B32D3">
      <w:pPr>
        <w:pStyle w:val="ColorfulShading-Accent31"/>
        <w:ind w:left="0"/>
        <w:jc w:val="both"/>
        <w:rPr>
          <w:sz w:val="20"/>
          <w:szCs w:val="20"/>
        </w:rPr>
      </w:pPr>
    </w:p>
    <w:p w:rsidR="006B32D3" w:rsidRPr="00BF3D11" w:rsidRDefault="006B32D3" w:rsidP="006B32D3">
      <w:pPr>
        <w:pStyle w:val="Heading1"/>
      </w:pPr>
      <w:bookmarkStart w:id="60" w:name="_Toc473188701"/>
      <w:bookmarkStart w:id="61" w:name="_Toc478023978"/>
      <w:r>
        <w:t>ANALYSIS OF LAW</w:t>
      </w:r>
      <w:bookmarkEnd w:id="60"/>
      <w:bookmarkEnd w:id="61"/>
    </w:p>
    <w:p w:rsidR="006B32D3" w:rsidRPr="00BF3D11" w:rsidRDefault="006B32D3" w:rsidP="006B32D3">
      <w:pPr>
        <w:pStyle w:val="ColorfulShading-Accent31"/>
        <w:ind w:left="0"/>
        <w:jc w:val="both"/>
        <w:rPr>
          <w:sz w:val="20"/>
          <w:szCs w:val="20"/>
        </w:rPr>
      </w:pPr>
    </w:p>
    <w:p w:rsidR="006B32D3" w:rsidRPr="00BF3D11" w:rsidRDefault="006B32D3" w:rsidP="006B32D3">
      <w:pPr>
        <w:pStyle w:val="Heading2"/>
        <w:numPr>
          <w:ilvl w:val="0"/>
          <w:numId w:val="59"/>
        </w:numPr>
        <w:spacing w:before="0" w:after="0"/>
        <w:ind w:left="1440" w:hanging="720"/>
        <w:jc w:val="both"/>
        <w:rPr>
          <w:rFonts w:ascii="Cambria" w:hAnsi="Cambria"/>
          <w:i w:val="0"/>
          <w:sz w:val="20"/>
          <w:szCs w:val="20"/>
        </w:rPr>
      </w:pPr>
      <w:bookmarkStart w:id="62" w:name="_Toc473188702"/>
      <w:bookmarkStart w:id="63" w:name="_Toc478023979"/>
      <w:r>
        <w:rPr>
          <w:rFonts w:ascii="Cambria" w:hAnsi="Cambria"/>
          <w:i w:val="0"/>
          <w:sz w:val="20"/>
        </w:rPr>
        <w:t>Rights to life, personal integrity, and personal liberty (Articles 4.1</w:t>
      </w:r>
      <w:r>
        <w:rPr>
          <w:rStyle w:val="FootnoteReference"/>
          <w:rFonts w:ascii="Cambria" w:hAnsi="Cambria"/>
          <w:i w:val="0"/>
          <w:sz w:val="20"/>
        </w:rPr>
        <w:footnoteReference w:id="90"/>
      </w:r>
      <w:r>
        <w:rPr>
          <w:rFonts w:ascii="Cambria" w:hAnsi="Cambria"/>
          <w:i w:val="0"/>
          <w:sz w:val="20"/>
        </w:rPr>
        <w:t>, 5.1</w:t>
      </w:r>
      <w:r>
        <w:rPr>
          <w:rStyle w:val="FootnoteReference"/>
          <w:rFonts w:ascii="Cambria" w:hAnsi="Cambria"/>
          <w:i w:val="0"/>
          <w:sz w:val="20"/>
        </w:rPr>
        <w:footnoteReference w:id="91"/>
      </w:r>
      <w:r w:rsidR="00670E42">
        <w:rPr>
          <w:rFonts w:ascii="Cambria" w:hAnsi="Cambria"/>
          <w:i w:val="0"/>
          <w:sz w:val="20"/>
        </w:rPr>
        <w:t>, 7.1</w:t>
      </w:r>
      <w:r>
        <w:rPr>
          <w:rStyle w:val="FootnoteReference"/>
          <w:rFonts w:ascii="Cambria" w:hAnsi="Cambria"/>
          <w:i w:val="0"/>
          <w:sz w:val="20"/>
        </w:rPr>
        <w:footnoteReference w:id="92"/>
      </w:r>
      <w:r>
        <w:rPr>
          <w:rFonts w:ascii="Cambria" w:hAnsi="Cambria"/>
          <w:i w:val="0"/>
          <w:sz w:val="20"/>
        </w:rPr>
        <w:t>, and 16</w:t>
      </w:r>
      <w:r>
        <w:rPr>
          <w:rStyle w:val="FootnoteReference"/>
          <w:rFonts w:ascii="Cambria" w:hAnsi="Cambria"/>
          <w:i w:val="0"/>
          <w:sz w:val="20"/>
        </w:rPr>
        <w:footnoteReference w:id="93"/>
      </w:r>
      <w:r>
        <w:rPr>
          <w:rFonts w:ascii="Cambria" w:hAnsi="Cambria"/>
          <w:i w:val="0"/>
          <w:sz w:val="20"/>
        </w:rPr>
        <w:t xml:space="preserve"> of the American Convention in connection with Article 1(1) thereof)</w:t>
      </w:r>
      <w:bookmarkEnd w:id="62"/>
      <w:bookmarkEnd w:id="63"/>
      <w:r>
        <w:rPr>
          <w:rFonts w:ascii="Cambria" w:hAnsi="Cambria"/>
          <w:i w:val="0"/>
          <w:sz w:val="20"/>
        </w:rPr>
        <w:t xml:space="preserve"> </w:t>
      </w:r>
    </w:p>
    <w:p w:rsidR="006B32D3" w:rsidRPr="00BF3D11" w:rsidRDefault="006B32D3" w:rsidP="006B32D3">
      <w:pPr>
        <w:jc w:val="both"/>
        <w:rPr>
          <w:rFonts w:ascii="Cambria" w:hAnsi="Cambria"/>
          <w:sz w:val="20"/>
          <w:szCs w:val="20"/>
        </w:rPr>
      </w:pPr>
    </w:p>
    <w:p w:rsidR="006B32D3" w:rsidRPr="00BF3D11" w:rsidRDefault="006B32D3" w:rsidP="006B32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hAnsi="Cambria"/>
          <w:sz w:val="20"/>
          <w:szCs w:val="20"/>
        </w:rPr>
      </w:pPr>
      <w:r>
        <w:rPr>
          <w:rFonts w:ascii="Cambria" w:hAnsi="Cambria"/>
          <w:sz w:val="20"/>
        </w:rPr>
        <w:t>The Commission has established that the rights to life and personal integrity are of critical importance in the Convention. Accordingly, States should not merely abstain from violating rights, but must adopt positive measures to be determined based on the specific needs of protection of the subject of law, either because of his or her personal situation or because of the specific circumstances in which he or she finds himself/herself.</w:t>
      </w:r>
      <w:r>
        <w:rPr>
          <w:rStyle w:val="FootnoteReference"/>
          <w:rFonts w:ascii="Cambria" w:hAnsi="Cambria"/>
          <w:sz w:val="20"/>
        </w:rPr>
        <w:footnoteReference w:id="94"/>
      </w:r>
    </w:p>
    <w:p w:rsidR="006B32D3" w:rsidRPr="00BF3D11" w:rsidRDefault="006B32D3" w:rsidP="006B32D3">
      <w:pPr>
        <w:jc w:val="both"/>
        <w:rPr>
          <w:rFonts w:ascii="Cambria" w:hAnsi="Cambria"/>
          <w:sz w:val="20"/>
          <w:szCs w:val="20"/>
        </w:rPr>
      </w:pPr>
    </w:p>
    <w:p w:rsidR="006B32D3" w:rsidRPr="00BF3D11" w:rsidRDefault="006B32D3" w:rsidP="006B32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hAnsi="Cambria"/>
          <w:sz w:val="20"/>
          <w:szCs w:val="20"/>
        </w:rPr>
      </w:pPr>
      <w:r>
        <w:rPr>
          <w:rFonts w:ascii="Cambria" w:hAnsi="Cambria"/>
          <w:sz w:val="20"/>
        </w:rPr>
        <w:t>It follows from inter-American jurisprudence that insofar as a missing person's report is concerned the response of the State is inevitably linked to the protection of the life and well-being of the person reported missing. Whether the disappearance may have occurred at the hands of private citizens or at the hands of state agents is immaterial where duty of the State to render an immediate and exhaustive response is concerned. The Commission reiterates that “when there are reasonable grounds to suspect that a person has been disappeared, it is essential for prosecutorial and judicial authorities to take prompt and immediate action by ordering timely and necessary measures to determine the whereabouts of the victim or the place where he or she might be deprived of liberty.”</w:t>
      </w:r>
      <w:bookmarkStart w:id="64" w:name="_Ref280106061"/>
      <w:r>
        <w:rPr>
          <w:rStyle w:val="FootnoteReference"/>
          <w:rFonts w:ascii="Cambria" w:hAnsi="Cambria"/>
          <w:sz w:val="20"/>
        </w:rPr>
        <w:footnoteReference w:id="95"/>
      </w:r>
      <w:bookmarkEnd w:id="64"/>
      <w:r>
        <w:rPr>
          <w:rFonts w:ascii="Cambria" w:hAnsi="Cambria"/>
          <w:sz w:val="20"/>
        </w:rPr>
        <w:t xml:space="preserve"> </w:t>
      </w:r>
    </w:p>
    <w:p w:rsidR="006B32D3" w:rsidRPr="00BF3D11" w:rsidRDefault="006B32D3" w:rsidP="006B32D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6B32D3" w:rsidRPr="00BF3D11" w:rsidRDefault="006B32D3" w:rsidP="006B32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hAnsi="Cambria"/>
          <w:sz w:val="20"/>
          <w:szCs w:val="20"/>
        </w:rPr>
      </w:pPr>
      <w:r>
        <w:rPr>
          <w:rFonts w:ascii="Cambria" w:hAnsi="Cambria"/>
          <w:sz w:val="20"/>
        </w:rPr>
        <w:t xml:space="preserve">In the instant case, there is no dispute about the fact that Alejandro </w:t>
      </w:r>
      <w:proofErr w:type="spellStart"/>
      <w:r>
        <w:rPr>
          <w:rFonts w:ascii="Cambria" w:hAnsi="Cambria"/>
          <w:sz w:val="20"/>
        </w:rPr>
        <w:t>Yovany</w:t>
      </w:r>
      <w:proofErr w:type="spellEnd"/>
      <w:r>
        <w:rPr>
          <w:rFonts w:ascii="Cambria" w:hAnsi="Cambria"/>
          <w:sz w:val="20"/>
        </w:rPr>
        <w:t xml:space="preserve"> Gómez was deprived of liberty on March 13, 1995 and murdered at some still to be determined moment between then and March 19, 1995, the day his body was found. In that sense, for the Commission it stands clear that Mr. Gómez was deprived of his rights to personal liberty and life. Likewise, bearing in mind that Mr. Gómez was not murdered </w:t>
      </w:r>
      <w:proofErr w:type="gramStart"/>
      <w:r>
        <w:rPr>
          <w:rFonts w:ascii="Cambria" w:hAnsi="Cambria"/>
          <w:sz w:val="20"/>
        </w:rPr>
        <w:t>immediately,</w:t>
      </w:r>
      <w:proofErr w:type="gramEnd"/>
      <w:r>
        <w:rPr>
          <w:rFonts w:ascii="Cambria" w:hAnsi="Cambria"/>
          <w:sz w:val="20"/>
        </w:rPr>
        <w:t xml:space="preserve"> the </w:t>
      </w:r>
      <w:r w:rsidR="00670E42">
        <w:rPr>
          <w:rFonts w:ascii="Cambria" w:hAnsi="Cambria"/>
          <w:sz w:val="20"/>
        </w:rPr>
        <w:t>Commission is</w:t>
      </w:r>
      <w:r>
        <w:rPr>
          <w:rFonts w:ascii="Cambria" w:hAnsi="Cambria"/>
          <w:sz w:val="20"/>
        </w:rPr>
        <w:t xml:space="preserve"> of the understanding that he also underwent impairment of his personal integrity, a conclusion also supported by testimony that he was beaten at the time of his detention. </w:t>
      </w:r>
      <w:r>
        <w:rPr>
          <w:rFonts w:ascii="Cambria" w:hAnsi="Cambria"/>
          <w:sz w:val="20"/>
        </w:rPr>
        <w:lastRenderedPageBreak/>
        <w:t xml:space="preserve">Since the possible participation of State agents in these acts is not documented in the file, analysis of the possibility of  assigning international responsibility to the </w:t>
      </w:r>
      <w:r w:rsidR="00670E42">
        <w:rPr>
          <w:rFonts w:ascii="Cambria" w:hAnsi="Cambria"/>
          <w:sz w:val="20"/>
        </w:rPr>
        <w:t>State needs</w:t>
      </w:r>
      <w:r>
        <w:rPr>
          <w:rFonts w:ascii="Cambria" w:hAnsi="Cambria"/>
          <w:sz w:val="20"/>
        </w:rPr>
        <w:t xml:space="preserve"> to be based on the State's duty to provide guarantees and, in particular, to prevent [such an outcome]. The duty to investigate will be addressed later in this report. </w:t>
      </w:r>
    </w:p>
    <w:p w:rsidR="006B32D3" w:rsidRPr="00BF3D11" w:rsidRDefault="006B32D3" w:rsidP="006B32D3">
      <w:pPr>
        <w:ind w:firstLine="567"/>
        <w:jc w:val="both"/>
        <w:rPr>
          <w:rFonts w:ascii="Cambria" w:hAnsi="Cambria"/>
          <w:sz w:val="20"/>
          <w:szCs w:val="20"/>
        </w:rPr>
      </w:pPr>
    </w:p>
    <w:p w:rsidR="006B32D3" w:rsidRPr="00BF3D11" w:rsidRDefault="006B32D3" w:rsidP="006B32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hAnsi="Cambria"/>
          <w:sz w:val="20"/>
          <w:szCs w:val="20"/>
        </w:rPr>
      </w:pPr>
      <w:r>
        <w:rPr>
          <w:rFonts w:ascii="Cambria" w:hAnsi="Cambria"/>
          <w:sz w:val="20"/>
        </w:rPr>
        <w:t xml:space="preserve">As for the duty to prevent, the IACHR observes that nothing in the file before the IACHR indicates the existence of threats against Alejandro </w:t>
      </w:r>
      <w:proofErr w:type="spellStart"/>
      <w:r>
        <w:rPr>
          <w:rFonts w:ascii="Cambria" w:hAnsi="Cambria"/>
          <w:sz w:val="20"/>
        </w:rPr>
        <w:t>Yovany</w:t>
      </w:r>
      <w:proofErr w:type="spellEnd"/>
      <w:r>
        <w:rPr>
          <w:rFonts w:ascii="Cambria" w:hAnsi="Cambria"/>
          <w:sz w:val="20"/>
        </w:rPr>
        <w:t xml:space="preserve"> Gómez prior to March 13, 1995; nor is there information suggesting that State authorities has been alerted to the possibility of such threats. Accordingly, and as was the case in other similar cases, the Commission considers that analysis of the duty to prevent should be conducted as of the moment at which the Guatemalan State became aware that Alejandro </w:t>
      </w:r>
      <w:proofErr w:type="spellStart"/>
      <w:r>
        <w:rPr>
          <w:rFonts w:ascii="Cambria" w:hAnsi="Cambria"/>
          <w:sz w:val="20"/>
        </w:rPr>
        <w:t>Yovany</w:t>
      </w:r>
      <w:proofErr w:type="spellEnd"/>
      <w:r>
        <w:rPr>
          <w:rFonts w:ascii="Cambria" w:hAnsi="Cambria"/>
          <w:sz w:val="20"/>
        </w:rPr>
        <w:t xml:space="preserve"> Gómez  had disappeared, that is to say, from the moment that the family filed the complaint on march 14, 1995. This takes into account that, </w:t>
      </w:r>
      <w:r w:rsidR="00670E42">
        <w:rPr>
          <w:rFonts w:ascii="Cambria" w:hAnsi="Cambria"/>
          <w:sz w:val="20"/>
        </w:rPr>
        <w:t>once a</w:t>
      </w:r>
      <w:r>
        <w:rPr>
          <w:rFonts w:ascii="Cambria" w:hAnsi="Cambria"/>
          <w:sz w:val="20"/>
        </w:rPr>
        <w:t xml:space="preserve"> complaint has been filed of the disappearances of a person under the jurisdiction of a State, that State is required to make every effort to prevent impairment of the disappeared person's personal integrity and life. Moreover, in certain cases, that duty to prevent is heightened by the specific at-risk situation of the individual in question.</w:t>
      </w:r>
    </w:p>
    <w:p w:rsidR="006B32D3" w:rsidRPr="00BF3D11" w:rsidRDefault="006B32D3" w:rsidP="006B32D3">
      <w:pPr>
        <w:pStyle w:val="ColorfulList-Accent11"/>
        <w:rPr>
          <w:rFonts w:ascii="Cambria" w:hAnsi="Cambria"/>
          <w:sz w:val="20"/>
          <w:szCs w:val="20"/>
        </w:rPr>
      </w:pPr>
    </w:p>
    <w:p w:rsidR="006B32D3" w:rsidRPr="00BF3D11" w:rsidRDefault="006B32D3" w:rsidP="006B32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hAnsi="Cambria"/>
          <w:sz w:val="20"/>
          <w:szCs w:val="20"/>
        </w:rPr>
      </w:pPr>
      <w:r>
        <w:rPr>
          <w:rFonts w:ascii="Cambria" w:hAnsi="Cambria"/>
          <w:sz w:val="20"/>
        </w:rPr>
        <w:t xml:space="preserve">The Commission believes that from the </w:t>
      </w:r>
      <w:r w:rsidR="00670E42">
        <w:rPr>
          <w:rFonts w:ascii="Cambria" w:hAnsi="Cambria"/>
          <w:sz w:val="20"/>
        </w:rPr>
        <w:t>moment family</w:t>
      </w:r>
      <w:r>
        <w:rPr>
          <w:rFonts w:ascii="Cambria" w:hAnsi="Cambria"/>
          <w:sz w:val="20"/>
        </w:rPr>
        <w:t xml:space="preserve"> members filed their complaint, it should have been abundantly clear to the state authorities that the victim was in a situation of extreme danger. The Commission considers that from that moment on the State knew that Mr. Gómez was at serious risk.  Worth mentioning, too, is that the preventive obligation of the State was heightened by the fact </w:t>
      </w:r>
      <w:r w:rsidR="00670E42">
        <w:rPr>
          <w:rFonts w:ascii="Cambria" w:hAnsi="Cambria"/>
          <w:sz w:val="20"/>
        </w:rPr>
        <w:t>that the</w:t>
      </w:r>
      <w:r>
        <w:rPr>
          <w:rFonts w:ascii="Cambria" w:hAnsi="Cambria"/>
          <w:sz w:val="20"/>
        </w:rPr>
        <w:t xml:space="preserve"> impairment of trade unionists' rights was not only public knowledge at the time; the trade union's public complaints to the Ministry of the Interior between the moment of his disappearance and the finding of his body had, in addition, all made reference to Mr. Gómez's job as the secretary of finance of a trade union. Based on that knowledge, the State was obliged to take immediate and specific steps to ascertain Mr. Gómez's whereabouts.</w:t>
      </w:r>
    </w:p>
    <w:p w:rsidR="006B32D3" w:rsidRPr="00BF3D11" w:rsidRDefault="006B32D3" w:rsidP="006B32D3">
      <w:pPr>
        <w:pStyle w:val="ColorfulList-Accent11"/>
        <w:rPr>
          <w:rFonts w:ascii="Cambria" w:hAnsi="Cambria"/>
          <w:sz w:val="20"/>
          <w:szCs w:val="20"/>
        </w:rPr>
      </w:pPr>
    </w:p>
    <w:p w:rsidR="006B32D3" w:rsidRPr="00BF3D11" w:rsidRDefault="006B32D3" w:rsidP="006B32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hAnsi="Cambria"/>
          <w:sz w:val="20"/>
          <w:szCs w:val="20"/>
        </w:rPr>
      </w:pPr>
      <w:r>
        <w:rPr>
          <w:rFonts w:ascii="Cambria" w:hAnsi="Cambria"/>
          <w:sz w:val="20"/>
        </w:rPr>
        <w:t xml:space="preserve">As mentioned earlier, the </w:t>
      </w:r>
      <w:r w:rsidR="00670E42">
        <w:rPr>
          <w:rFonts w:ascii="Cambria" w:hAnsi="Cambria"/>
          <w:sz w:val="20"/>
        </w:rPr>
        <w:t>complaint</w:t>
      </w:r>
      <w:r>
        <w:rPr>
          <w:rFonts w:ascii="Cambria" w:hAnsi="Cambria"/>
          <w:sz w:val="20"/>
        </w:rPr>
        <w:t xml:space="preserve"> regarding Mr. Gómez's disappearance was filed on March 14, 1995 with the National Police. Mr. Gómez's corpse was found five days later, on March 19, 1995. In the interval, the trade union Mr. Gómez worked for sent communications to the Ministry of the Interior and the then President of the Republic requesting that steps be taken to find Alejandro </w:t>
      </w:r>
      <w:proofErr w:type="spellStart"/>
      <w:r>
        <w:rPr>
          <w:rFonts w:ascii="Cambria" w:hAnsi="Cambria"/>
          <w:sz w:val="20"/>
        </w:rPr>
        <w:t>Yovany</w:t>
      </w:r>
      <w:proofErr w:type="spellEnd"/>
      <w:r>
        <w:rPr>
          <w:rFonts w:ascii="Cambria" w:hAnsi="Cambria"/>
          <w:sz w:val="20"/>
        </w:rPr>
        <w:t xml:space="preserve"> Gómez.</w:t>
      </w:r>
    </w:p>
    <w:p w:rsidR="006B32D3" w:rsidRPr="00BF3D11" w:rsidRDefault="006B32D3" w:rsidP="006B32D3">
      <w:pPr>
        <w:pStyle w:val="ColorfulList-Accent11"/>
        <w:rPr>
          <w:rFonts w:ascii="Cambria" w:hAnsi="Cambria"/>
          <w:sz w:val="20"/>
          <w:szCs w:val="20"/>
        </w:rPr>
      </w:pPr>
    </w:p>
    <w:p w:rsidR="006B32D3" w:rsidRPr="00BF3D11" w:rsidRDefault="006B32D3" w:rsidP="006B32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hAnsi="Cambria"/>
          <w:sz w:val="20"/>
          <w:szCs w:val="20"/>
        </w:rPr>
      </w:pPr>
      <w:r>
        <w:rPr>
          <w:rFonts w:ascii="Cambria" w:hAnsi="Cambria"/>
          <w:sz w:val="20"/>
        </w:rPr>
        <w:t xml:space="preserve">Nevertheless, it transpires from the file with the IACHR that the State took no steps to look for Mr. Gómez between March 14 and 19, 1995. Nor is there any indication of a police report on the subject. On the contrary, the petitioners alleged that on March 18, police officers told Mr. Gómez's father that "no action had been taken and the police could not assign anyone to the case until the following Monday, when the family would provide a vehicle to conduct the investigation because they (the police) did not have one.." The Commission notes that the State did not contest those allegations; nor did it make any argument to show that it had taken steps to look for Mr. Gómez in the five days between the denunciation of his disappearance and the finding of the body. </w:t>
      </w:r>
    </w:p>
    <w:p w:rsidR="006B32D3" w:rsidRPr="00BF3D11" w:rsidRDefault="006B32D3" w:rsidP="006B32D3">
      <w:pPr>
        <w:pStyle w:val="ColorfulList-Accent11"/>
        <w:rPr>
          <w:rFonts w:ascii="Cambria" w:hAnsi="Cambria"/>
          <w:sz w:val="20"/>
          <w:szCs w:val="20"/>
        </w:rPr>
      </w:pPr>
    </w:p>
    <w:p w:rsidR="006B32D3" w:rsidRPr="00BF3D11" w:rsidRDefault="006B32D3" w:rsidP="006B32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hAnsi="Cambria"/>
          <w:sz w:val="20"/>
          <w:szCs w:val="20"/>
        </w:rPr>
      </w:pPr>
      <w:r>
        <w:rPr>
          <w:rFonts w:ascii="Cambria" w:hAnsi="Cambria"/>
          <w:sz w:val="20"/>
        </w:rPr>
        <w:t xml:space="preserve">Accordingly, the Commission considers in the instant case that the failure to respond immediately and diligently in the form of a search for Mr. Gómez in the five days during which he was disappeared until the finding of his body was an unmitigated omission and therefore constituted failure to comply with the duty to protect his rights to life and personal integrity, which, as the State knew, were at risk. Moreover, considering that Mr. Gómez was deprived of his liberty before being killed, the Commission considers that the State also failed to comply with its duty to protect the victim's right to personal liberty. </w:t>
      </w:r>
    </w:p>
    <w:p w:rsidR="006B32D3" w:rsidRPr="00BF3D11" w:rsidRDefault="006B32D3" w:rsidP="006B32D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6B32D3" w:rsidRPr="00BF3D11" w:rsidRDefault="006B32D3" w:rsidP="006B32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hAnsi="Cambria"/>
          <w:sz w:val="20"/>
          <w:szCs w:val="20"/>
        </w:rPr>
      </w:pPr>
      <w:r>
        <w:rPr>
          <w:rFonts w:ascii="Cambria" w:hAnsi="Cambria"/>
          <w:sz w:val="20"/>
        </w:rPr>
        <w:t xml:space="preserve">The Commission considers that these conclusions are independent of the fact that it is not known with </w:t>
      </w:r>
      <w:r w:rsidR="00670E42">
        <w:rPr>
          <w:rFonts w:ascii="Cambria" w:hAnsi="Cambria"/>
          <w:sz w:val="20"/>
        </w:rPr>
        <w:t>certainty</w:t>
      </w:r>
      <w:r>
        <w:rPr>
          <w:rFonts w:ascii="Cambria" w:hAnsi="Cambria"/>
          <w:sz w:val="20"/>
        </w:rPr>
        <w:t xml:space="preserve"> how much time elapsed </w:t>
      </w:r>
      <w:r w:rsidR="00670E42">
        <w:rPr>
          <w:rFonts w:ascii="Cambria" w:hAnsi="Cambria"/>
          <w:sz w:val="20"/>
        </w:rPr>
        <w:t>between the</w:t>
      </w:r>
      <w:r>
        <w:rPr>
          <w:rFonts w:ascii="Cambria" w:hAnsi="Cambria"/>
          <w:sz w:val="20"/>
        </w:rPr>
        <w:t xml:space="preserve"> deprivation of Mr. Gómez's liberty and his death. Regarding this aspect, in the </w:t>
      </w:r>
      <w:r>
        <w:rPr>
          <w:rFonts w:ascii="Cambria" w:hAnsi="Cambria"/>
          <w:i/>
          <w:sz w:val="20"/>
        </w:rPr>
        <w:t xml:space="preserve">Case of </w:t>
      </w:r>
      <w:proofErr w:type="spellStart"/>
      <w:r>
        <w:rPr>
          <w:rFonts w:ascii="Cambria" w:hAnsi="Cambria"/>
          <w:i/>
          <w:sz w:val="20"/>
        </w:rPr>
        <w:t>Velásquez</w:t>
      </w:r>
      <w:proofErr w:type="spellEnd"/>
      <w:r>
        <w:rPr>
          <w:rFonts w:ascii="Cambria" w:hAnsi="Cambria"/>
          <w:i/>
          <w:sz w:val="20"/>
        </w:rPr>
        <w:t xml:space="preserve"> </w:t>
      </w:r>
      <w:proofErr w:type="spellStart"/>
      <w:r>
        <w:rPr>
          <w:rFonts w:ascii="Cambria" w:hAnsi="Cambria"/>
          <w:i/>
          <w:sz w:val="20"/>
        </w:rPr>
        <w:t>Paiz</w:t>
      </w:r>
      <w:proofErr w:type="spellEnd"/>
      <w:r>
        <w:rPr>
          <w:rFonts w:ascii="Cambria" w:hAnsi="Cambria"/>
          <w:i/>
          <w:sz w:val="20"/>
        </w:rPr>
        <w:t xml:space="preserve"> v. Guatemala</w:t>
      </w:r>
      <w:r>
        <w:rPr>
          <w:rFonts w:ascii="Cambria" w:hAnsi="Cambria"/>
          <w:sz w:val="20"/>
        </w:rPr>
        <w:t xml:space="preserve">, the Inter-American Court stated that analysis of compliance with the duty to prevent </w:t>
      </w:r>
      <w:r w:rsidR="00670E42">
        <w:rPr>
          <w:rFonts w:ascii="Cambria" w:hAnsi="Cambria"/>
          <w:sz w:val="20"/>
        </w:rPr>
        <w:t>should refer</w:t>
      </w:r>
      <w:r>
        <w:rPr>
          <w:rFonts w:ascii="Cambria" w:hAnsi="Cambria"/>
          <w:sz w:val="20"/>
        </w:rPr>
        <w:t xml:space="preserve"> to measures that the State could reasonably be expected to have taken under the circumstances of the specific case.</w:t>
      </w:r>
      <w:r>
        <w:rPr>
          <w:rStyle w:val="FootnoteReference"/>
          <w:rFonts w:ascii="Cambria" w:hAnsi="Cambria"/>
          <w:sz w:val="20"/>
        </w:rPr>
        <w:footnoteReference w:id="96"/>
      </w:r>
      <w:r>
        <w:rPr>
          <w:rFonts w:ascii="Cambria" w:hAnsi="Cambria"/>
          <w:sz w:val="20"/>
        </w:rPr>
        <w:t xml:space="preserve"> Accordingly</w:t>
      </w:r>
      <w:r w:rsidR="00670E42">
        <w:rPr>
          <w:rFonts w:ascii="Cambria" w:hAnsi="Cambria"/>
          <w:sz w:val="20"/>
        </w:rPr>
        <w:t>, until</w:t>
      </w:r>
      <w:r>
        <w:rPr>
          <w:rFonts w:ascii="Cambria" w:hAnsi="Cambria"/>
          <w:sz w:val="20"/>
        </w:rPr>
        <w:t xml:space="preserve"> the finding of the </w:t>
      </w:r>
      <w:r>
        <w:rPr>
          <w:rFonts w:ascii="Cambria" w:hAnsi="Cambria"/>
          <w:sz w:val="20"/>
        </w:rPr>
        <w:lastRenderedPageBreak/>
        <w:t xml:space="preserve">body, the State could be expected to have adopted immediate and diligent search measures to find and protect the victim, which, as we have just concluded, did not happen in the instant case. </w:t>
      </w:r>
    </w:p>
    <w:p w:rsidR="006B32D3" w:rsidRPr="00BF3D11" w:rsidRDefault="006B32D3" w:rsidP="006B32D3">
      <w:pPr>
        <w:pStyle w:val="ColorfulList-Accent11"/>
        <w:ind w:left="0" w:firstLine="567"/>
        <w:rPr>
          <w:rFonts w:ascii="Cambria" w:hAnsi="Cambria"/>
          <w:sz w:val="20"/>
          <w:szCs w:val="20"/>
        </w:rPr>
      </w:pPr>
    </w:p>
    <w:p w:rsidR="006B32D3" w:rsidRPr="00BF3D11" w:rsidRDefault="006B32D3" w:rsidP="006B32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hAnsi="Cambria"/>
          <w:sz w:val="20"/>
          <w:szCs w:val="20"/>
        </w:rPr>
      </w:pPr>
      <w:r>
        <w:rPr>
          <w:rFonts w:ascii="Cambria" w:hAnsi="Cambria"/>
          <w:sz w:val="20"/>
        </w:rPr>
        <w:t xml:space="preserve">Based on the foregoing, the Commission concludes that the State of Guatemala violated the rights to life, humane treatment (personal integrity), and personal liberty recognized at Articles 4.1, 5.1, and 7.1 of the American Convention, in connection with the obligation to prevent as a component of the duty to ensure rights established in Article 1(1) of that instrument, to the detriment of Alejandro </w:t>
      </w:r>
      <w:proofErr w:type="spellStart"/>
      <w:r>
        <w:rPr>
          <w:rFonts w:ascii="Cambria" w:hAnsi="Cambria"/>
          <w:sz w:val="20"/>
        </w:rPr>
        <w:t>Yovany</w:t>
      </w:r>
      <w:proofErr w:type="spellEnd"/>
      <w:r>
        <w:rPr>
          <w:rFonts w:ascii="Cambria" w:hAnsi="Cambria"/>
          <w:sz w:val="20"/>
        </w:rPr>
        <w:t xml:space="preserve"> Gómez. </w:t>
      </w:r>
    </w:p>
    <w:p w:rsidR="006B32D3" w:rsidRPr="00B406B3" w:rsidRDefault="006B32D3" w:rsidP="006B32D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6B32D3" w:rsidRPr="00B406B3" w:rsidRDefault="006B32D3" w:rsidP="006B32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hAnsi="Cambria"/>
          <w:sz w:val="20"/>
          <w:szCs w:val="20"/>
        </w:rPr>
      </w:pPr>
      <w:r>
        <w:rPr>
          <w:rFonts w:ascii="Cambria" w:hAnsi="Cambria"/>
          <w:sz w:val="20"/>
        </w:rPr>
        <w:t>At the same time, as regards the right to freedom of association, according to the jurisprudence of the Inter-American Court, this right has two dimensions: an individual dimension and a social dimension. With respect to the individual dimension, the Inter-American Court has established that "those who are protected by the Convention [...] have the right and freedom to associate freely with other persons, without the interference of the public authorities limiting or obstructing the exercise of the respective right."</w:t>
      </w:r>
      <w:r>
        <w:rPr>
          <w:rStyle w:val="FootnoteReference"/>
          <w:rFonts w:ascii="Cambria" w:hAnsi="Cambria"/>
          <w:sz w:val="20"/>
        </w:rPr>
        <w:footnoteReference w:id="97"/>
      </w:r>
      <w:r>
        <w:rPr>
          <w:rFonts w:ascii="Cambria" w:hAnsi="Cambria"/>
          <w:sz w:val="20"/>
        </w:rPr>
        <w:t xml:space="preserve">  As for the right's collective dimension, the Court has maintained that in exercising the </w:t>
      </w:r>
      <w:r w:rsidR="00670E42">
        <w:rPr>
          <w:rFonts w:ascii="Cambria" w:hAnsi="Cambria"/>
          <w:sz w:val="20"/>
        </w:rPr>
        <w:t>right upheld</w:t>
      </w:r>
      <w:r>
        <w:rPr>
          <w:rFonts w:ascii="Cambria" w:hAnsi="Cambria"/>
          <w:sz w:val="20"/>
        </w:rPr>
        <w:t xml:space="preserve"> in Article 16, persons "enjoy the right and freedom to seek the common achievement of a licit goal, without pressure or interference that could alter or change their purpose."</w:t>
      </w:r>
      <w:r>
        <w:rPr>
          <w:rStyle w:val="FootnoteReference"/>
          <w:rFonts w:ascii="Cambria" w:hAnsi="Cambria"/>
          <w:sz w:val="20"/>
        </w:rPr>
        <w:footnoteReference w:id="98"/>
      </w:r>
      <w:r>
        <w:rPr>
          <w:rFonts w:ascii="Cambria" w:hAnsi="Cambria"/>
          <w:sz w:val="20"/>
        </w:rPr>
        <w:t xml:space="preserve"> At the same time, the Inter-American Court has established that the positive obligations to prevent and investigate violations of this right must be taken on "even in relations between private persons, if the case so warrants."</w:t>
      </w:r>
      <w:r>
        <w:rPr>
          <w:rStyle w:val="FootnoteReference"/>
          <w:rFonts w:ascii="Cambria" w:hAnsi="Cambria"/>
          <w:sz w:val="20"/>
        </w:rPr>
        <w:footnoteReference w:id="99"/>
      </w:r>
    </w:p>
    <w:p w:rsidR="006B32D3" w:rsidRPr="00B406B3" w:rsidRDefault="006B32D3" w:rsidP="006B32D3">
      <w:pPr>
        <w:pStyle w:val="ListParagraph"/>
        <w:rPr>
          <w:rFonts w:ascii="Cambria" w:hAnsi="Cambria"/>
          <w:sz w:val="20"/>
          <w:szCs w:val="20"/>
        </w:rPr>
      </w:pPr>
    </w:p>
    <w:p w:rsidR="006B32D3" w:rsidRPr="00B406B3" w:rsidRDefault="006B32D3" w:rsidP="006B32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hAnsi="Cambria"/>
          <w:sz w:val="20"/>
          <w:szCs w:val="20"/>
        </w:rPr>
      </w:pPr>
      <w:r>
        <w:rPr>
          <w:rFonts w:ascii="Cambria" w:hAnsi="Cambria"/>
          <w:sz w:val="20"/>
        </w:rPr>
        <w:t xml:space="preserve">In the instant case, the Commission already concluded that the State failed to comply with its duty to guarantee the rights to life, humane treatment (personal integrity), and personal liberty of Alejandro Gómez </w:t>
      </w:r>
      <w:proofErr w:type="spellStart"/>
      <w:r>
        <w:rPr>
          <w:rFonts w:ascii="Cambria" w:hAnsi="Cambria"/>
          <w:sz w:val="20"/>
        </w:rPr>
        <w:t>Virula</w:t>
      </w:r>
      <w:proofErr w:type="spellEnd"/>
      <w:r>
        <w:rPr>
          <w:rFonts w:ascii="Cambria" w:hAnsi="Cambria"/>
          <w:sz w:val="20"/>
        </w:rPr>
        <w:t xml:space="preserve">, in both their prevention and protection dimensions. Under proven facts, the Commission determined that Mr. Gómez </w:t>
      </w:r>
      <w:proofErr w:type="spellStart"/>
      <w:r>
        <w:rPr>
          <w:rFonts w:ascii="Cambria" w:hAnsi="Cambria"/>
          <w:sz w:val="20"/>
        </w:rPr>
        <w:t>Virula</w:t>
      </w:r>
      <w:proofErr w:type="spellEnd"/>
      <w:r>
        <w:rPr>
          <w:rFonts w:ascii="Cambria" w:hAnsi="Cambria"/>
          <w:sz w:val="20"/>
        </w:rPr>
        <w:t xml:space="preserve"> was a trade union </w:t>
      </w:r>
      <w:proofErr w:type="gramStart"/>
      <w:r>
        <w:rPr>
          <w:rFonts w:ascii="Cambria" w:hAnsi="Cambria"/>
          <w:sz w:val="20"/>
        </w:rPr>
        <w:t>activities</w:t>
      </w:r>
      <w:proofErr w:type="gramEnd"/>
      <w:r>
        <w:rPr>
          <w:rFonts w:ascii="Cambria" w:hAnsi="Cambria"/>
          <w:sz w:val="20"/>
        </w:rPr>
        <w:t xml:space="preserve">, particularly in his capacity as Secretary of Finance of the RCA </w:t>
      </w:r>
      <w:proofErr w:type="spellStart"/>
      <w:r>
        <w:rPr>
          <w:rFonts w:ascii="Cambria" w:hAnsi="Cambria"/>
          <w:sz w:val="20"/>
        </w:rPr>
        <w:t>Maquila</w:t>
      </w:r>
      <w:proofErr w:type="spellEnd"/>
      <w:r>
        <w:rPr>
          <w:rFonts w:ascii="Cambria" w:hAnsi="Cambria"/>
          <w:sz w:val="20"/>
        </w:rPr>
        <w:t xml:space="preserve"> Workers' Union and, inter alia, in connection with a labor suit against the assembly plant he was connected with. Thus, the disappearance and murder of Mr. Gómez </w:t>
      </w:r>
      <w:proofErr w:type="spellStart"/>
      <w:r w:rsidR="00670E42">
        <w:rPr>
          <w:rFonts w:ascii="Cambria" w:hAnsi="Cambria"/>
          <w:sz w:val="20"/>
        </w:rPr>
        <w:t>Virula</w:t>
      </w:r>
      <w:proofErr w:type="spellEnd"/>
      <w:r w:rsidR="00670E42">
        <w:rPr>
          <w:rFonts w:ascii="Cambria" w:hAnsi="Cambria"/>
          <w:sz w:val="20"/>
        </w:rPr>
        <w:t xml:space="preserve"> in</w:t>
      </w:r>
      <w:r>
        <w:rPr>
          <w:rFonts w:ascii="Cambria" w:hAnsi="Cambria"/>
          <w:sz w:val="20"/>
        </w:rPr>
        <w:t xml:space="preserve"> connection with his trade union activities, as well as the broader context already described in this report of various kinds of retaliation against trade union activists in </w:t>
      </w:r>
      <w:r w:rsidR="00670E42">
        <w:rPr>
          <w:rFonts w:ascii="Cambria" w:hAnsi="Cambria"/>
          <w:sz w:val="20"/>
        </w:rPr>
        <w:t>Guatemala,</w:t>
      </w:r>
      <w:r>
        <w:rPr>
          <w:rFonts w:ascii="Cambria" w:hAnsi="Cambria"/>
          <w:sz w:val="20"/>
        </w:rPr>
        <w:t xml:space="preserve"> lead one to consider that there was </w:t>
      </w:r>
      <w:r w:rsidR="00670E42">
        <w:rPr>
          <w:rFonts w:ascii="Cambria" w:hAnsi="Cambria"/>
          <w:sz w:val="20"/>
        </w:rPr>
        <w:t>significant circumstantial</w:t>
      </w:r>
      <w:r>
        <w:rPr>
          <w:rFonts w:ascii="Cambria" w:hAnsi="Cambria"/>
          <w:sz w:val="20"/>
        </w:rPr>
        <w:t xml:space="preserve"> evidence that Mr. Gómez </w:t>
      </w:r>
      <w:proofErr w:type="spellStart"/>
      <w:r>
        <w:rPr>
          <w:rFonts w:ascii="Cambria" w:hAnsi="Cambria"/>
          <w:sz w:val="20"/>
        </w:rPr>
        <w:t>Virula's</w:t>
      </w:r>
      <w:proofErr w:type="spellEnd"/>
      <w:r>
        <w:rPr>
          <w:rFonts w:ascii="Cambria" w:hAnsi="Cambria"/>
          <w:sz w:val="20"/>
        </w:rPr>
        <w:t xml:space="preserve"> disappearance and murder may have been related t</w:t>
      </w:r>
      <w:r w:rsidR="00670E42">
        <w:rPr>
          <w:rFonts w:ascii="Cambria" w:hAnsi="Cambria"/>
          <w:sz w:val="20"/>
        </w:rPr>
        <w:t>o</w:t>
      </w:r>
      <w:r>
        <w:rPr>
          <w:rFonts w:ascii="Cambria" w:hAnsi="Cambria"/>
          <w:sz w:val="20"/>
        </w:rPr>
        <w:t xml:space="preserve"> his activities. </w:t>
      </w:r>
    </w:p>
    <w:p w:rsidR="006B32D3" w:rsidRPr="00B406B3" w:rsidRDefault="006B32D3" w:rsidP="006B32D3">
      <w:pPr>
        <w:pStyle w:val="ListParagraph"/>
        <w:rPr>
          <w:rFonts w:ascii="Cambria" w:hAnsi="Cambria"/>
          <w:sz w:val="20"/>
          <w:szCs w:val="20"/>
        </w:rPr>
      </w:pPr>
    </w:p>
    <w:p w:rsidR="006B32D3" w:rsidRPr="00B406B3" w:rsidRDefault="006B32D3" w:rsidP="006B32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hAnsi="Cambria"/>
          <w:sz w:val="20"/>
          <w:szCs w:val="20"/>
        </w:rPr>
      </w:pPr>
      <w:r>
        <w:rPr>
          <w:rFonts w:ascii="Cambria" w:hAnsi="Cambria"/>
          <w:sz w:val="20"/>
        </w:rPr>
        <w:t xml:space="preserve">Despite that circumstantial evidence, and as  the analysis in later parts of this report shows, such circumstantial evidence was not exhaustively investigated with the due diligence needed to comply with the State's truth and justice obligations in respect of human rights violations, even if those violations are committed by private individuals. In light of the above, and given the lack of any other hypothesis regarding what happened to the  victim in the framework of an investigation in keeping with the State's international obligations, the Commission considers it reasonable to infer that the disappearance and death of Alexander Gómez </w:t>
      </w:r>
      <w:proofErr w:type="spellStart"/>
      <w:r>
        <w:rPr>
          <w:rFonts w:ascii="Cambria" w:hAnsi="Cambria"/>
          <w:sz w:val="20"/>
        </w:rPr>
        <w:t>Virula</w:t>
      </w:r>
      <w:proofErr w:type="spellEnd"/>
      <w:r>
        <w:rPr>
          <w:rFonts w:ascii="Cambria" w:hAnsi="Cambria"/>
          <w:sz w:val="20"/>
        </w:rPr>
        <w:t xml:space="preserve"> were related to his trade union activities and that there was therefore a failure to comply with the duty to prevent [violations] in respect of his rights to life, human treatment (personal integrity), and personal liberty. That implies, in addition. failure to comply with that duty in respect of his right of freedom of association, in that there are aspects not duly investigated by the State that allow one to conclude that his role as a trade unionist was the motive for what happened.  </w:t>
      </w:r>
    </w:p>
    <w:p w:rsidR="006B32D3" w:rsidRPr="00B406B3" w:rsidRDefault="006B32D3" w:rsidP="006B32D3">
      <w:pPr>
        <w:pStyle w:val="ListParagraph"/>
        <w:rPr>
          <w:rFonts w:ascii="Cambria" w:hAnsi="Cambria"/>
          <w:sz w:val="20"/>
          <w:szCs w:val="20"/>
        </w:rPr>
      </w:pPr>
    </w:p>
    <w:p w:rsidR="006B32D3" w:rsidRPr="00B406B3" w:rsidRDefault="006B32D3" w:rsidP="006B32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hAnsi="Cambria"/>
          <w:sz w:val="20"/>
          <w:szCs w:val="20"/>
        </w:rPr>
      </w:pPr>
      <w:r>
        <w:rPr>
          <w:rFonts w:ascii="Cambria" w:hAnsi="Cambria"/>
          <w:sz w:val="20"/>
        </w:rPr>
        <w:t xml:space="preserve">Consequently, the Commission concludes that the State is responsible for violation of the right of association established under Article 16.1 of the American Convention, to the detriment of Alexander Gómez </w:t>
      </w:r>
      <w:proofErr w:type="spellStart"/>
      <w:r>
        <w:rPr>
          <w:rFonts w:ascii="Cambria" w:hAnsi="Cambria"/>
          <w:sz w:val="20"/>
        </w:rPr>
        <w:t>Virula</w:t>
      </w:r>
      <w:proofErr w:type="spellEnd"/>
      <w:r>
        <w:rPr>
          <w:rFonts w:ascii="Cambria" w:hAnsi="Cambria"/>
          <w:sz w:val="20"/>
        </w:rPr>
        <w:t>.</w:t>
      </w:r>
    </w:p>
    <w:p w:rsidR="006B32D3" w:rsidRDefault="006B32D3" w:rsidP="006B32D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6B32D3" w:rsidRPr="00BF3D11" w:rsidRDefault="006B32D3" w:rsidP="006B32D3">
      <w:pPr>
        <w:pStyle w:val="Heading2"/>
        <w:numPr>
          <w:ilvl w:val="0"/>
          <w:numId w:val="59"/>
        </w:numPr>
        <w:spacing w:before="0" w:after="0"/>
        <w:ind w:left="1440" w:hanging="720"/>
        <w:jc w:val="both"/>
        <w:rPr>
          <w:rFonts w:ascii="Cambria" w:hAnsi="Cambria"/>
          <w:i w:val="0"/>
          <w:sz w:val="20"/>
          <w:szCs w:val="20"/>
        </w:rPr>
      </w:pPr>
      <w:bookmarkStart w:id="65" w:name="_Toc473188703"/>
      <w:bookmarkStart w:id="66" w:name="_Toc478023980"/>
      <w:r>
        <w:rPr>
          <w:rFonts w:ascii="Cambria" w:hAnsi="Cambria"/>
          <w:i w:val="0"/>
          <w:sz w:val="20"/>
        </w:rPr>
        <w:t>Right to judicial guarantees and judicial protection (Articles 8.1</w:t>
      </w:r>
      <w:proofErr w:type="gramStart"/>
      <w:r>
        <w:rPr>
          <w:rFonts w:ascii="Cambria" w:hAnsi="Cambria"/>
          <w:i w:val="0"/>
          <w:sz w:val="20"/>
        </w:rPr>
        <w:t>,</w:t>
      </w:r>
      <w:proofErr w:type="gramEnd"/>
      <w:r>
        <w:rPr>
          <w:rStyle w:val="FootnoteReference"/>
          <w:rFonts w:ascii="Cambria" w:hAnsi="Cambria"/>
          <w:i w:val="0"/>
          <w:sz w:val="20"/>
        </w:rPr>
        <w:footnoteReference w:id="100"/>
      </w:r>
      <w:r>
        <w:rPr>
          <w:rFonts w:ascii="Cambria" w:hAnsi="Cambria"/>
          <w:i w:val="0"/>
          <w:sz w:val="20"/>
        </w:rPr>
        <w:t>and 25.1.</w:t>
      </w:r>
      <w:r>
        <w:rPr>
          <w:rStyle w:val="FootnoteReference"/>
          <w:rFonts w:ascii="Cambria" w:hAnsi="Cambria"/>
          <w:i w:val="0"/>
          <w:sz w:val="20"/>
        </w:rPr>
        <w:footnoteReference w:id="101"/>
      </w:r>
      <w:r>
        <w:rPr>
          <w:rFonts w:ascii="Cambria" w:hAnsi="Cambria"/>
          <w:i w:val="0"/>
          <w:sz w:val="20"/>
        </w:rPr>
        <w:t xml:space="preserve"> of the American Convention in conjunction with Article 1.1 thereof)</w:t>
      </w:r>
      <w:bookmarkEnd w:id="65"/>
      <w:bookmarkEnd w:id="66"/>
      <w:r>
        <w:rPr>
          <w:rFonts w:ascii="Cambria" w:hAnsi="Cambria"/>
          <w:i w:val="0"/>
          <w:sz w:val="20"/>
        </w:rPr>
        <w:t xml:space="preserve"> </w:t>
      </w:r>
    </w:p>
    <w:p w:rsidR="006B32D3" w:rsidRPr="00BF3D11" w:rsidRDefault="006B32D3" w:rsidP="006B32D3">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rPr>
      </w:pPr>
    </w:p>
    <w:p w:rsidR="006B32D3" w:rsidRPr="00BF3D11" w:rsidRDefault="006B32D3" w:rsidP="006B32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hAnsi="Cambria"/>
          <w:spacing w:val="-2"/>
          <w:sz w:val="20"/>
          <w:szCs w:val="20"/>
        </w:rPr>
      </w:pPr>
      <w:r>
        <w:rPr>
          <w:rFonts w:ascii="Cambria" w:hAnsi="Cambria"/>
          <w:spacing w:val="-2"/>
          <w:sz w:val="20"/>
        </w:rPr>
        <w:t>According to the consistent case law of the organs of the inter-American system, as a result of the protection granted by Articles 8 and 25 of the Convention, the States are obliged to provide effective judicial recourses to the victims of human rights violations that must be substantiated in accordance with the rules of due process of law.</w:t>
      </w:r>
      <w:r>
        <w:rPr>
          <w:rFonts w:ascii="Cambria" w:hAnsi="Cambria"/>
          <w:spacing w:val="-2"/>
          <w:sz w:val="20"/>
          <w:vertAlign w:val="superscript"/>
        </w:rPr>
        <w:footnoteReference w:id="102"/>
      </w:r>
      <w:r>
        <w:rPr>
          <w:rFonts w:ascii="Cambria" w:hAnsi="Cambria"/>
          <w:spacing w:val="-2"/>
          <w:sz w:val="20"/>
        </w:rPr>
        <w:t xml:space="preserve"> Furthermore, the Court has held that the right of access to justice should ensure, within a reasonable time, the right of the alleged victims or their next of kin to have everything necessary done to learn the truth about what happened and to investigate, try and, as appropriate, punish those responsible.</w:t>
      </w:r>
      <w:r>
        <w:rPr>
          <w:rFonts w:ascii="Cambria" w:hAnsi="Cambria"/>
          <w:spacing w:val="-2"/>
          <w:sz w:val="20"/>
          <w:vertAlign w:val="superscript"/>
        </w:rPr>
        <w:footnoteReference w:id="103"/>
      </w:r>
      <w:r>
        <w:rPr>
          <w:rFonts w:ascii="Cambria" w:hAnsi="Cambria"/>
          <w:spacing w:val="-2"/>
          <w:sz w:val="20"/>
        </w:rPr>
        <w:t xml:space="preserve"> That obligation, which relates to means rather than to results, must be assumed by the State as its own legal duty and not as a mere formality preordained to be ineffective.</w:t>
      </w:r>
      <w:r>
        <w:rPr>
          <w:rStyle w:val="FootnoteReference"/>
          <w:rFonts w:ascii="Cambria" w:hAnsi="Cambria"/>
          <w:sz w:val="20"/>
        </w:rPr>
        <w:footnoteReference w:id="104"/>
      </w:r>
      <w:r>
        <w:rPr>
          <w:rFonts w:ascii="Cambria" w:hAnsi="Cambria"/>
          <w:spacing w:val="-2"/>
          <w:sz w:val="20"/>
        </w:rPr>
        <w:t xml:space="preserve"> </w:t>
      </w:r>
    </w:p>
    <w:p w:rsidR="006B32D3" w:rsidRPr="00BF3D11" w:rsidRDefault="006B32D3" w:rsidP="006B32D3">
      <w:pPr>
        <w:ind w:firstLine="567"/>
        <w:rPr>
          <w:rFonts w:ascii="Cambria" w:hAnsi="Cambria"/>
          <w:sz w:val="20"/>
          <w:szCs w:val="20"/>
        </w:rPr>
      </w:pPr>
    </w:p>
    <w:p w:rsidR="006B32D3" w:rsidRPr="006152E0" w:rsidRDefault="006B32D3" w:rsidP="006B32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r>
        <w:rPr>
          <w:rFonts w:ascii="Cambria" w:hAnsi="Cambria"/>
          <w:sz w:val="20"/>
        </w:rPr>
        <w:t>Thus, the State has the obligation to ensure that "each State act that comprises the investigation proceeding, and the entire investigation in itself, should be oriented at a specific purpose: the determination of the truth and the investigation, finding, arrest, prosecution and, if applicable, punishment of those responsible for the events.”</w:t>
      </w:r>
      <w:r>
        <w:rPr>
          <w:rStyle w:val="FootnoteReference"/>
          <w:rFonts w:ascii="Cambria" w:hAnsi="Cambria"/>
          <w:sz w:val="20"/>
        </w:rPr>
        <w:footnoteReference w:id="105"/>
      </w:r>
      <w:r>
        <w:rPr>
          <w:rFonts w:ascii="Cambria" w:hAnsi="Cambria"/>
          <w:sz w:val="20"/>
        </w:rPr>
        <w:t xml:space="preserve"> </w:t>
      </w:r>
    </w:p>
    <w:p w:rsidR="006B32D3" w:rsidRPr="0083453F" w:rsidRDefault="006B32D3" w:rsidP="006B32D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Batang" w:hAnsi="Cambria"/>
          <w:b/>
          <w:sz w:val="20"/>
          <w:szCs w:val="20"/>
        </w:rPr>
      </w:pPr>
    </w:p>
    <w:p w:rsidR="006B32D3" w:rsidRPr="0044524B" w:rsidRDefault="006B32D3" w:rsidP="006B32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Batang" w:hAnsi="Cambria"/>
          <w:b/>
          <w:sz w:val="20"/>
          <w:szCs w:val="20"/>
        </w:rPr>
      </w:pPr>
      <w:r>
        <w:rPr>
          <w:rFonts w:ascii="Cambria" w:hAnsi="Cambria"/>
          <w:sz w:val="20"/>
        </w:rPr>
        <w:t>In addition, the investigation must be serious, impartial, and effective and directed toward ascertaining the truth and finding, arresting, trying and, where applicable, punishing the perpetrators.</w:t>
      </w:r>
      <w:r>
        <w:rPr>
          <w:rFonts w:ascii="Cambria" w:hAnsi="Cambria"/>
          <w:sz w:val="20"/>
          <w:vertAlign w:val="superscript"/>
        </w:rPr>
        <w:footnoteReference w:id="106"/>
      </w:r>
      <w:r>
        <w:rPr>
          <w:rFonts w:ascii="Cambria" w:hAnsi="Cambria"/>
          <w:sz w:val="20"/>
        </w:rPr>
        <w:t xml:space="preserve"> The aforementioned obligation </w:t>
      </w:r>
      <w:r w:rsidR="00670E42">
        <w:rPr>
          <w:rFonts w:ascii="Cambria" w:hAnsi="Cambria"/>
          <w:sz w:val="20"/>
        </w:rPr>
        <w:t>holds “</w:t>
      </w:r>
      <w:r>
        <w:rPr>
          <w:rFonts w:ascii="Cambria" w:hAnsi="Cambria"/>
          <w:sz w:val="20"/>
        </w:rPr>
        <w:t>regardless of what agent (even a private party) is eventually found responsible for the violation. Where the acts of private parties that violate the Convention are not seriously investigated, those parties are aided in a sense by the government, thereby rendering the State internationally responsible”</w:t>
      </w:r>
      <w:r>
        <w:rPr>
          <w:rFonts w:ascii="Cambria" w:hAnsi="Cambria"/>
          <w:sz w:val="20"/>
          <w:vertAlign w:val="superscript"/>
        </w:rPr>
        <w:footnoteReference w:id="107"/>
      </w:r>
      <w:r>
        <w:rPr>
          <w:rFonts w:ascii="Cambria" w:hAnsi="Cambria"/>
          <w:sz w:val="20"/>
        </w:rPr>
        <w:t xml:space="preserve"> Likewise, due diligence requires that the investigating body perform all the actions and inquiries needed to achieve the sought-after outcome. Otherwise, the investigation is not effective under the terms of the Convention.</w:t>
      </w:r>
      <w:r>
        <w:rPr>
          <w:rFonts w:ascii="Cambria" w:hAnsi="Cambria"/>
          <w:sz w:val="20"/>
          <w:vertAlign w:val="superscript"/>
        </w:rPr>
        <w:footnoteReference w:id="108"/>
      </w:r>
    </w:p>
    <w:p w:rsidR="006B32D3" w:rsidRDefault="006B32D3" w:rsidP="006B32D3">
      <w:pPr>
        <w:pStyle w:val="ListParagraph"/>
        <w:rPr>
          <w:rFonts w:ascii="Cambria" w:eastAsia="Batang" w:hAnsi="Cambria"/>
          <w:b/>
          <w:sz w:val="20"/>
          <w:szCs w:val="20"/>
        </w:rPr>
      </w:pPr>
    </w:p>
    <w:p w:rsidR="006B32D3" w:rsidRPr="00BF3D11" w:rsidRDefault="006B32D3" w:rsidP="006B32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Batang" w:hAnsi="Cambria"/>
          <w:b/>
          <w:sz w:val="20"/>
          <w:szCs w:val="20"/>
        </w:rPr>
      </w:pPr>
      <w:r>
        <w:rPr>
          <w:rFonts w:ascii="Cambria" w:hAnsi="Cambria"/>
          <w:sz w:val="20"/>
        </w:rPr>
        <w:lastRenderedPageBreak/>
        <w:t>The IACHR recalls that the obligation to investigate and punish every act that entails a violation of the rights protected by the Convention requires that not only the direct perpetrators of human rights violations be punished, but also the instigators and those who aid and abet such acts.</w:t>
      </w:r>
      <w:r>
        <w:rPr>
          <w:rStyle w:val="FootnoteReference"/>
          <w:rFonts w:ascii="Cambria" w:hAnsi="Cambria"/>
          <w:sz w:val="20"/>
        </w:rPr>
        <w:footnoteReference w:id="109"/>
      </w:r>
    </w:p>
    <w:p w:rsidR="006B32D3" w:rsidRPr="00BF3D11" w:rsidRDefault="006B32D3" w:rsidP="006B32D3">
      <w:pPr>
        <w:pStyle w:val="ColorfulList-Accent11"/>
        <w:rPr>
          <w:rFonts w:ascii="Cambria" w:eastAsia="Batang" w:hAnsi="Cambria"/>
          <w:b/>
          <w:sz w:val="20"/>
          <w:szCs w:val="20"/>
        </w:rPr>
      </w:pPr>
    </w:p>
    <w:p w:rsidR="006B32D3" w:rsidRPr="00BF3D11" w:rsidRDefault="006B32D3" w:rsidP="006B32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Batang" w:hAnsi="Cambria"/>
          <w:b/>
          <w:sz w:val="20"/>
          <w:szCs w:val="20"/>
        </w:rPr>
      </w:pPr>
      <w:r>
        <w:rPr>
          <w:rFonts w:ascii="Cambria" w:hAnsi="Cambria"/>
          <w:sz w:val="20"/>
        </w:rPr>
        <w:t>In light of the above, analysis is needed to ascertain whether the manner in which the investigation into Mr. Gómez's death was conducted constituted a violation of the obligation to guarantee the substantive rights reviewed in the foregoing section and of the obligations derived from the rights upheld in Articles 8.1 and 25.1 of the American Convention. To that end, the IACHR will proceed to review the following aspects: irregularities in the investigation after the finding of Alejandro Gómez's body and subsequent acts carried out by State agents; ii) lack of due diligence in subsequent stages of the investigation; and iii) the matter of  reasonable time allowed.</w:t>
      </w:r>
    </w:p>
    <w:p w:rsidR="006B32D3" w:rsidRPr="00BF3D11" w:rsidRDefault="006B32D3" w:rsidP="006B32D3">
      <w:pPr>
        <w:pStyle w:val="ColorfulList-Accent11"/>
        <w:ind w:left="0"/>
        <w:rPr>
          <w:rFonts w:ascii="Cambria" w:hAnsi="Cambria"/>
          <w:sz w:val="20"/>
          <w:szCs w:val="20"/>
        </w:rPr>
      </w:pPr>
    </w:p>
    <w:p w:rsidR="006B32D3" w:rsidRPr="00BF3D11" w:rsidRDefault="006B32D3" w:rsidP="006B32D3">
      <w:pPr>
        <w:pStyle w:val="Heading2"/>
        <w:numPr>
          <w:ilvl w:val="3"/>
          <w:numId w:val="55"/>
        </w:numPr>
        <w:tabs>
          <w:tab w:val="clear" w:pos="2880"/>
          <w:tab w:val="num" w:pos="1440"/>
        </w:tabs>
        <w:spacing w:before="0" w:after="0"/>
        <w:ind w:left="1440" w:hanging="720"/>
        <w:jc w:val="both"/>
        <w:rPr>
          <w:rFonts w:ascii="Cambria" w:hAnsi="Cambria"/>
          <w:i w:val="0"/>
          <w:sz w:val="20"/>
          <w:szCs w:val="20"/>
        </w:rPr>
      </w:pPr>
      <w:bookmarkStart w:id="67" w:name="_Toc473188704"/>
      <w:bookmarkStart w:id="68" w:name="_Toc478023981"/>
      <w:proofErr w:type="gramStart"/>
      <w:r>
        <w:rPr>
          <w:rFonts w:ascii="Cambria" w:hAnsi="Cambria"/>
          <w:i w:val="0"/>
          <w:sz w:val="20"/>
        </w:rPr>
        <w:t xml:space="preserve">Irregularities in the investigation following the finding </w:t>
      </w:r>
      <w:r w:rsidR="00670E42">
        <w:rPr>
          <w:rFonts w:ascii="Cambria" w:hAnsi="Cambria"/>
          <w:i w:val="0"/>
          <w:sz w:val="20"/>
        </w:rPr>
        <w:t>of Alejandro</w:t>
      </w:r>
      <w:r>
        <w:rPr>
          <w:rFonts w:ascii="Cambria" w:hAnsi="Cambria"/>
          <w:i w:val="0"/>
          <w:sz w:val="20"/>
        </w:rPr>
        <w:t xml:space="preserve"> Gómez's body and subsequent acts by State agents.</w:t>
      </w:r>
      <w:bookmarkEnd w:id="67"/>
      <w:bookmarkEnd w:id="68"/>
      <w:proofErr w:type="gramEnd"/>
    </w:p>
    <w:p w:rsidR="006B32D3" w:rsidRPr="00BF3D11" w:rsidRDefault="006B32D3" w:rsidP="006B32D3">
      <w:pPr>
        <w:rPr>
          <w:rFonts w:ascii="Cambria" w:hAnsi="Cambria"/>
          <w:sz w:val="20"/>
          <w:szCs w:val="20"/>
        </w:rPr>
      </w:pPr>
    </w:p>
    <w:p w:rsidR="006B32D3" w:rsidRPr="00BF3D11" w:rsidRDefault="006B32D3" w:rsidP="006B32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Batang" w:hAnsi="Cambria"/>
          <w:sz w:val="20"/>
          <w:szCs w:val="20"/>
        </w:rPr>
      </w:pPr>
      <w:r>
        <w:rPr>
          <w:rFonts w:ascii="Cambria" w:hAnsi="Cambria"/>
          <w:sz w:val="20"/>
        </w:rPr>
        <w:t xml:space="preserve">The Court has established that efficient and fervent determination of </w:t>
      </w:r>
      <w:r w:rsidR="00670E42">
        <w:rPr>
          <w:rFonts w:ascii="Cambria" w:hAnsi="Cambria"/>
          <w:sz w:val="20"/>
        </w:rPr>
        <w:t>the truth</w:t>
      </w:r>
      <w:r>
        <w:rPr>
          <w:rFonts w:ascii="Cambria" w:hAnsi="Cambria"/>
          <w:sz w:val="20"/>
        </w:rPr>
        <w:t xml:space="preserve"> in connection with the obligation to investigate a </w:t>
      </w:r>
      <w:r w:rsidR="00670E42">
        <w:rPr>
          <w:rFonts w:ascii="Cambria" w:hAnsi="Cambria"/>
          <w:sz w:val="20"/>
        </w:rPr>
        <w:t>death must</w:t>
      </w:r>
      <w:r>
        <w:rPr>
          <w:rFonts w:ascii="Cambria" w:hAnsi="Cambria"/>
          <w:sz w:val="20"/>
        </w:rPr>
        <w:t xml:space="preserve"> be evident as of the very first procedures.</w:t>
      </w:r>
      <w:r>
        <w:rPr>
          <w:rFonts w:ascii="Cambria" w:hAnsi="Cambria"/>
          <w:sz w:val="20"/>
          <w:vertAlign w:val="superscript"/>
        </w:rPr>
        <w:footnoteReference w:id="110"/>
      </w:r>
      <w:r>
        <w:rPr>
          <w:rFonts w:ascii="Cambria" w:hAnsi="Cambria"/>
          <w:sz w:val="20"/>
        </w:rPr>
        <w:t xml:space="preserve"> In this area, with respect to handling of the crime scene, the identification and handling of the victim's corpse, the autopsy, and maintenance of the chain of custody of all items of forensic evidence, and bearing in mind the United Nations Manual on the Effective Prevention and Investigation of Extra-legal, Arbitrary and Summary Executions (Protocol of Minnesota), States must take minimal and indispensable steps to ensure the preservation of all elements of proof and evidence that may contribute to the success of the investigation.</w:t>
      </w:r>
      <w:r>
        <w:rPr>
          <w:rFonts w:ascii="Cambria" w:hAnsi="Cambria"/>
          <w:sz w:val="20"/>
          <w:vertAlign w:val="superscript"/>
        </w:rPr>
        <w:footnoteReference w:id="111"/>
      </w:r>
      <w:r>
        <w:rPr>
          <w:rFonts w:ascii="Cambria" w:hAnsi="Cambria"/>
          <w:sz w:val="20"/>
        </w:rPr>
        <w:t xml:space="preserve"> </w:t>
      </w:r>
    </w:p>
    <w:p w:rsidR="006B32D3" w:rsidRPr="00BF3D11" w:rsidRDefault="006B32D3" w:rsidP="006B32D3">
      <w:pPr>
        <w:autoSpaceDE w:val="0"/>
        <w:autoSpaceDN w:val="0"/>
        <w:adjustRightInd w:val="0"/>
        <w:jc w:val="both"/>
        <w:rPr>
          <w:rFonts w:ascii="Cambria" w:hAnsi="Cambria" w:cs="Arial"/>
          <w:sz w:val="20"/>
          <w:szCs w:val="20"/>
        </w:rPr>
      </w:pPr>
    </w:p>
    <w:p w:rsidR="006B32D3" w:rsidRPr="00BF3D11" w:rsidRDefault="006B32D3" w:rsidP="006B32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Batang" w:hAnsi="Cambria"/>
          <w:sz w:val="20"/>
          <w:szCs w:val="20"/>
        </w:rPr>
      </w:pPr>
      <w:r>
        <w:rPr>
          <w:rFonts w:ascii="Cambria" w:hAnsi="Cambria"/>
          <w:sz w:val="20"/>
        </w:rPr>
        <w:t>The Court and the Commission have specified that the State authorities who conduct an investigation of this type must try, at the very least, inter alia: (</w:t>
      </w:r>
      <w:proofErr w:type="spellStart"/>
      <w:r>
        <w:rPr>
          <w:rFonts w:ascii="Cambria" w:hAnsi="Cambria"/>
          <w:sz w:val="20"/>
        </w:rPr>
        <w:t>i</w:t>
      </w:r>
      <w:proofErr w:type="spellEnd"/>
      <w:r>
        <w:rPr>
          <w:rFonts w:ascii="Cambria" w:hAnsi="Cambria"/>
          <w:sz w:val="20"/>
        </w:rPr>
        <w:t>) to identify the victim; (ii) to recover and preserve the probative material related to the death in order to assist in any potential criminal investigation of those responsible; (iii) to identify possible witnesses and obtain their statements in relation to the death under investigation; (iv) to determine the cause, manner, place and time of death, as well as any pattern or practice that could have caused the death, and (v) to distinguish between natural death, accidental death, suicide and homicide. In addition, the crime scene must be exhaustively investigated and autopsies, as well as analyses of skeletal remains, must be rigorously performed by competent professionals, employing the most appropriate procedures.</w:t>
      </w:r>
      <w:r>
        <w:rPr>
          <w:rFonts w:ascii="Cambria" w:hAnsi="Cambria"/>
          <w:sz w:val="20"/>
          <w:vertAlign w:val="superscript"/>
        </w:rPr>
        <w:footnoteReference w:id="112"/>
      </w:r>
    </w:p>
    <w:p w:rsidR="006B32D3" w:rsidRPr="00BF3D11" w:rsidRDefault="006B32D3" w:rsidP="006B32D3">
      <w:pPr>
        <w:ind w:right="18"/>
        <w:jc w:val="both"/>
        <w:rPr>
          <w:rFonts w:ascii="Cambria" w:eastAsia="Calibri" w:hAnsi="Cambria"/>
          <w:sz w:val="20"/>
          <w:szCs w:val="20"/>
        </w:rPr>
      </w:pPr>
    </w:p>
    <w:p w:rsidR="006B32D3" w:rsidRPr="00BF3D11" w:rsidRDefault="006B32D3" w:rsidP="006B32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Batang" w:hAnsi="Cambria"/>
          <w:sz w:val="20"/>
          <w:szCs w:val="20"/>
        </w:rPr>
      </w:pPr>
      <w:r>
        <w:rPr>
          <w:rFonts w:ascii="Cambria" w:hAnsi="Cambria"/>
          <w:sz w:val="20"/>
        </w:rPr>
        <w:t xml:space="preserve">The Commission underscores that correct handling of the crime scene is a starting point for the investigation and therefore vital for throwing light on the nature, </w:t>
      </w:r>
      <w:proofErr w:type="gramStart"/>
      <w:r>
        <w:rPr>
          <w:rFonts w:ascii="Cambria" w:hAnsi="Cambria"/>
          <w:sz w:val="20"/>
        </w:rPr>
        <w:t>circumstances,</w:t>
      </w:r>
      <w:proofErr w:type="gramEnd"/>
      <w:r>
        <w:rPr>
          <w:rFonts w:ascii="Cambria" w:hAnsi="Cambria"/>
          <w:sz w:val="20"/>
        </w:rPr>
        <w:t xml:space="preserve"> and characteristics of the crime and the participant in the crime.</w:t>
      </w:r>
      <w:r>
        <w:rPr>
          <w:rFonts w:ascii="Cambria" w:hAnsi="Cambria"/>
          <w:sz w:val="20"/>
          <w:vertAlign w:val="superscript"/>
        </w:rPr>
        <w:footnoteReference w:id="113"/>
      </w:r>
      <w:r>
        <w:rPr>
          <w:rFonts w:ascii="Cambria" w:hAnsi="Cambria"/>
          <w:sz w:val="20"/>
        </w:rPr>
        <w:t xml:space="preserve"> In its jurisprudence, the Court has held that a State may be liable for a failure to "order, practice or evaluate evidence that may have been vital for a proper clarification of homicides."</w:t>
      </w:r>
      <w:r>
        <w:rPr>
          <w:rFonts w:ascii="Cambria" w:hAnsi="Cambria"/>
          <w:sz w:val="20"/>
          <w:vertAlign w:val="superscript"/>
        </w:rPr>
        <w:footnoteReference w:id="114"/>
      </w:r>
      <w:r>
        <w:rPr>
          <w:rFonts w:ascii="Cambria" w:hAnsi="Cambria"/>
          <w:sz w:val="20"/>
        </w:rPr>
        <w:t xml:space="preserve"> </w:t>
      </w:r>
    </w:p>
    <w:p w:rsidR="006B32D3" w:rsidRPr="00BF3D11" w:rsidRDefault="006B32D3" w:rsidP="006B32D3">
      <w:pPr>
        <w:pStyle w:val="ColorfulList-Accent11"/>
        <w:rPr>
          <w:rFonts w:ascii="Cambria" w:eastAsia="Batang" w:hAnsi="Cambria"/>
          <w:bCs/>
          <w:sz w:val="20"/>
          <w:szCs w:val="20"/>
        </w:rPr>
      </w:pPr>
    </w:p>
    <w:p w:rsidR="006B32D3" w:rsidRPr="00BF3D11" w:rsidRDefault="006B32D3" w:rsidP="006B32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Batang" w:hAnsi="Cambria"/>
          <w:sz w:val="20"/>
          <w:szCs w:val="20"/>
        </w:rPr>
      </w:pPr>
      <w:r>
        <w:rPr>
          <w:rFonts w:ascii="Cambria" w:hAnsi="Cambria"/>
          <w:sz w:val="20"/>
        </w:rPr>
        <w:lastRenderedPageBreak/>
        <w:t>Regarding the crime scene, international standards indicate that the investigators must, at the very least: photograph the scene and any other physical evidence, and the body as it was found and after it has been moved; gather and conserve the samples of blood, hair, fibers, threads and other clues; examine the area to look for footprints or any other trace that could be used as evidence, and prepare a detailed report with any observations regarding the scene, the measures taken by the investigators, and the assigned storage for all the evidence collected. The area next to the body must be sealed off and entry into it prohibited except for the investigator and his/her team.</w:t>
      </w:r>
      <w:r>
        <w:rPr>
          <w:rFonts w:ascii="Cambria" w:hAnsi="Cambria"/>
          <w:sz w:val="20"/>
          <w:vertAlign w:val="superscript"/>
        </w:rPr>
        <w:footnoteReference w:id="115"/>
      </w:r>
      <w:r>
        <w:rPr>
          <w:rFonts w:ascii="Cambria" w:hAnsi="Cambria"/>
          <w:sz w:val="20"/>
        </w:rPr>
        <w:t xml:space="preserve"> Until that has been done, all contamination of the crime scene must be avoided. The area must be guarded 24/7. One of the greatest risks at the site where the body is found is handling of the corpse, which should only be done in the presence of professionals, who need to examine it and move it appropriately depending on the condition of the body.</w:t>
      </w:r>
      <w:r>
        <w:rPr>
          <w:rFonts w:ascii="Cambria" w:hAnsi="Cambria"/>
          <w:sz w:val="20"/>
          <w:vertAlign w:val="superscript"/>
        </w:rPr>
        <w:footnoteReference w:id="116"/>
      </w:r>
      <w:r>
        <w:rPr>
          <w:rFonts w:ascii="Cambria" w:hAnsi="Cambria"/>
          <w:sz w:val="20"/>
        </w:rPr>
        <w:t xml:space="preserve"> </w:t>
      </w:r>
    </w:p>
    <w:p w:rsidR="006B32D3" w:rsidRPr="00BF3D11" w:rsidRDefault="006B32D3" w:rsidP="006B32D3">
      <w:pPr>
        <w:autoSpaceDE w:val="0"/>
        <w:autoSpaceDN w:val="0"/>
        <w:adjustRightInd w:val="0"/>
        <w:jc w:val="both"/>
        <w:rPr>
          <w:rFonts w:ascii="Cambria" w:hAnsi="Cambria"/>
          <w:sz w:val="20"/>
          <w:szCs w:val="20"/>
        </w:rPr>
      </w:pPr>
    </w:p>
    <w:p w:rsidR="006B32D3" w:rsidRPr="00BF3D11" w:rsidRDefault="006B32D3" w:rsidP="006B32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contextualSpacing/>
        <w:jc w:val="both"/>
        <w:rPr>
          <w:rFonts w:ascii="Cambria" w:hAnsi="Cambria"/>
          <w:sz w:val="20"/>
          <w:szCs w:val="20"/>
        </w:rPr>
      </w:pPr>
      <w:r>
        <w:rPr>
          <w:rFonts w:ascii="Cambria" w:hAnsi="Cambria"/>
          <w:sz w:val="20"/>
        </w:rPr>
        <w:t>Likewise, due diligence in a forensic investigation of a death requires maintaining the chain of custody of all forensic evidence.</w:t>
      </w:r>
      <w:r>
        <w:rPr>
          <w:rFonts w:ascii="Cambria" w:hAnsi="Cambria"/>
          <w:sz w:val="20"/>
          <w:vertAlign w:val="superscript"/>
        </w:rPr>
        <w:footnoteReference w:id="117"/>
      </w:r>
      <w:r>
        <w:rPr>
          <w:rFonts w:ascii="Cambria" w:hAnsi="Cambria"/>
          <w:sz w:val="20"/>
        </w:rPr>
        <w:t xml:space="preserve"> The Court has pointed out that that consists of keeping accurate written records, supplemented, where applicable, with photographs and other graphic material documenting the history of the piece of evidence as it passes through and is handled by various investigators responsible for the case.</w:t>
      </w:r>
      <w:r>
        <w:rPr>
          <w:rFonts w:ascii="Cambria" w:hAnsi="Cambria"/>
          <w:sz w:val="20"/>
          <w:vertAlign w:val="superscript"/>
        </w:rPr>
        <w:footnoteReference w:id="118"/>
      </w:r>
      <w:r>
        <w:rPr>
          <w:rFonts w:ascii="Cambria" w:hAnsi="Cambria"/>
          <w:sz w:val="20"/>
        </w:rPr>
        <w:t xml:space="preserve"> </w:t>
      </w:r>
    </w:p>
    <w:p w:rsidR="006B32D3" w:rsidRPr="00BF3D11" w:rsidRDefault="006B32D3" w:rsidP="006B32D3">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mbria" w:hAnsi="Cambria"/>
          <w:sz w:val="20"/>
          <w:szCs w:val="20"/>
        </w:rPr>
      </w:pPr>
    </w:p>
    <w:p w:rsidR="006B32D3" w:rsidRPr="00BF3D11" w:rsidRDefault="006B32D3" w:rsidP="006B32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Batang" w:hAnsi="Cambria"/>
          <w:sz w:val="20"/>
          <w:szCs w:val="20"/>
        </w:rPr>
      </w:pPr>
      <w:r>
        <w:rPr>
          <w:rFonts w:ascii="Cambria" w:hAnsi="Cambria"/>
          <w:sz w:val="20"/>
        </w:rPr>
        <w:t xml:space="preserve">As for autopsies, they should at </w:t>
      </w:r>
      <w:r w:rsidR="00670E42">
        <w:rPr>
          <w:rFonts w:ascii="Cambria" w:hAnsi="Cambria"/>
          <w:sz w:val="20"/>
        </w:rPr>
        <w:t>minimum</w:t>
      </w:r>
      <w:r>
        <w:rPr>
          <w:rFonts w:ascii="Cambria" w:hAnsi="Cambria"/>
          <w:sz w:val="20"/>
        </w:rPr>
        <w:t xml:space="preserve"> garner information needed to identify the dead person and the time, date, cause and type of death. Certain formalities need to be </w:t>
      </w:r>
      <w:r w:rsidR="00670E42">
        <w:rPr>
          <w:rFonts w:ascii="Cambria" w:hAnsi="Cambria"/>
          <w:sz w:val="20"/>
        </w:rPr>
        <w:t>followed,</w:t>
      </w:r>
      <w:r>
        <w:rPr>
          <w:rFonts w:ascii="Cambria" w:hAnsi="Cambria"/>
          <w:sz w:val="20"/>
        </w:rPr>
        <w:t xml:space="preserve"> such as indicating the date and time at which they start, as well as the location at which they are conducted and the name of the public servant performing the autopsy.</w:t>
      </w:r>
      <w:r>
        <w:rPr>
          <w:rFonts w:ascii="Cambria" w:hAnsi="Cambria"/>
          <w:sz w:val="20"/>
          <w:vertAlign w:val="superscript"/>
        </w:rPr>
        <w:footnoteReference w:id="119"/>
      </w:r>
      <w:r>
        <w:rPr>
          <w:rFonts w:ascii="Cambria" w:hAnsi="Cambria"/>
          <w:sz w:val="20"/>
        </w:rPr>
        <w:t xml:space="preserve"> </w:t>
      </w:r>
    </w:p>
    <w:p w:rsidR="006B32D3" w:rsidRPr="00BF3D11" w:rsidRDefault="006B32D3" w:rsidP="006B32D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Batang" w:hAnsi="Cambria"/>
          <w:sz w:val="20"/>
          <w:szCs w:val="20"/>
        </w:rPr>
      </w:pPr>
    </w:p>
    <w:p w:rsidR="006B32D3" w:rsidRPr="00BF3D11" w:rsidRDefault="006B32D3" w:rsidP="006B32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Batang" w:hAnsi="Cambria"/>
          <w:sz w:val="20"/>
          <w:szCs w:val="20"/>
        </w:rPr>
      </w:pPr>
      <w:r>
        <w:rPr>
          <w:rFonts w:ascii="Cambria" w:hAnsi="Cambria"/>
          <w:sz w:val="20"/>
        </w:rPr>
        <w:t xml:space="preserve">In the instant case, the IACHR reiterates that Mr. Gómez's corpse was found on March </w:t>
      </w:r>
      <w:r w:rsidR="00670E42">
        <w:rPr>
          <w:rFonts w:ascii="Cambria" w:hAnsi="Cambria"/>
          <w:sz w:val="20"/>
        </w:rPr>
        <w:t>19,</w:t>
      </w:r>
      <w:r>
        <w:rPr>
          <w:rFonts w:ascii="Cambria" w:hAnsi="Cambria"/>
          <w:sz w:val="20"/>
        </w:rPr>
        <w:t xml:space="preserve"> 1885 in a gully in Guatemala City. The Commission also again points out that the criminal investigation did not begin with the reports of the victim's disappearance, but specifically once Alejandro </w:t>
      </w:r>
      <w:proofErr w:type="spellStart"/>
      <w:r>
        <w:rPr>
          <w:rFonts w:ascii="Cambria" w:hAnsi="Cambria"/>
          <w:sz w:val="20"/>
        </w:rPr>
        <w:t>Yovany</w:t>
      </w:r>
      <w:proofErr w:type="spellEnd"/>
      <w:r>
        <w:rPr>
          <w:rFonts w:ascii="Cambria" w:hAnsi="Cambria"/>
          <w:sz w:val="20"/>
        </w:rPr>
        <w:t xml:space="preserve"> Gómez's corpse had been found. That omission not only constitutes the reason for the State's international liability as discussed earlier. It also constituted a violation of the right to judicial guarantees and judicial protection. </w:t>
      </w:r>
    </w:p>
    <w:p w:rsidR="006B32D3" w:rsidRPr="00BF3D11" w:rsidRDefault="006B32D3" w:rsidP="006B32D3">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Batang" w:hAnsi="Cambria"/>
          <w:sz w:val="20"/>
          <w:szCs w:val="20"/>
        </w:rPr>
      </w:pPr>
    </w:p>
    <w:p w:rsidR="006B32D3" w:rsidRPr="00BF3D11" w:rsidRDefault="006B32D3" w:rsidP="006B32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Batang" w:hAnsi="Cambria"/>
          <w:sz w:val="20"/>
          <w:szCs w:val="20"/>
        </w:rPr>
      </w:pPr>
      <w:r>
        <w:rPr>
          <w:rFonts w:ascii="Cambria" w:hAnsi="Cambria"/>
          <w:sz w:val="20"/>
        </w:rPr>
        <w:t xml:space="preserve">Now, as regards the investigation conducted following the discovery of the body, the </w:t>
      </w:r>
      <w:r w:rsidR="00670E42">
        <w:rPr>
          <w:rFonts w:ascii="Cambria" w:hAnsi="Cambria"/>
          <w:sz w:val="20"/>
        </w:rPr>
        <w:t>Commission has</w:t>
      </w:r>
      <w:r>
        <w:rPr>
          <w:rFonts w:ascii="Cambria" w:hAnsi="Cambria"/>
          <w:sz w:val="20"/>
        </w:rPr>
        <w:t xml:space="preserve"> the following to say regarding compliance with standards described for minimal steps to be undertaken in violent death cases. The Commission stresses that the State is duty bound to place on record that such minimum steps were taken, so that the lack of any such indication with respect to this investigation leads the IACH to infer that they were not in fact undertaken.</w:t>
      </w:r>
    </w:p>
    <w:p w:rsidR="006B32D3" w:rsidRPr="00BF3D11" w:rsidRDefault="006B32D3" w:rsidP="006B32D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Batang" w:hAnsi="Cambria"/>
          <w:sz w:val="20"/>
          <w:szCs w:val="20"/>
        </w:rPr>
      </w:pPr>
    </w:p>
    <w:p w:rsidR="006B32D3" w:rsidRPr="00BF3D11" w:rsidRDefault="006B32D3" w:rsidP="006B32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Batang" w:hAnsi="Cambria"/>
          <w:sz w:val="20"/>
          <w:szCs w:val="20"/>
        </w:rPr>
      </w:pPr>
      <w:r>
        <w:rPr>
          <w:rFonts w:ascii="Cambria" w:hAnsi="Cambria"/>
          <w:sz w:val="20"/>
        </w:rPr>
        <w:t>First, the ICHR notes that the State did not present information regarding the establishment of an official record of the finding of Mr. Gómez's body. Even though the State is supposed to know this, the Commission has been given no information as to who found the body and under what circumstances. Nor are there any indications in connection with the criminal investigation that efforts were made to ascertain these details regarding the initial finding of the corpse.</w:t>
      </w:r>
    </w:p>
    <w:p w:rsidR="006B32D3" w:rsidRPr="00BF3D11" w:rsidRDefault="006B32D3" w:rsidP="006B32D3">
      <w:pPr>
        <w:pStyle w:val="ColorfulList-Accent11"/>
        <w:rPr>
          <w:rFonts w:ascii="Cambria" w:eastAsia="Batang" w:hAnsi="Cambria"/>
          <w:sz w:val="20"/>
          <w:szCs w:val="20"/>
        </w:rPr>
      </w:pPr>
    </w:p>
    <w:p w:rsidR="006B32D3" w:rsidRPr="00BF3D11" w:rsidRDefault="006B32D3" w:rsidP="006B32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Batang" w:hAnsi="Cambria"/>
          <w:sz w:val="20"/>
          <w:szCs w:val="20"/>
        </w:rPr>
      </w:pPr>
      <w:r>
        <w:rPr>
          <w:rFonts w:ascii="Cambria" w:hAnsi="Cambria"/>
          <w:sz w:val="20"/>
        </w:rPr>
        <w:t xml:space="preserve">Second, the Commission notes that the State also failed to provide information regarding the measures adopted to safeguard the crime scene and the evidence obtained by investigators in connection with it. In that sense, the IACHR has no certainty that efforts were made to gather and document evidence </w:t>
      </w:r>
      <w:r>
        <w:rPr>
          <w:rFonts w:ascii="Cambria" w:hAnsi="Cambria"/>
          <w:sz w:val="20"/>
        </w:rPr>
        <w:lastRenderedPageBreak/>
        <w:t>that might help with the investigation. Nor is there any proof that on-site inspections were carried out with the meticulousness needed to ascertain such details as the presence of blood stains in the vicinity of the body, hair, fibers, threads, footsteps or other traces, or marks made by a vehicle, or any other relevant evidence.</w:t>
      </w:r>
    </w:p>
    <w:p w:rsidR="006B32D3" w:rsidRPr="00BF3D11" w:rsidRDefault="006B32D3" w:rsidP="006B32D3">
      <w:pPr>
        <w:pStyle w:val="ColorfulList-Accent11"/>
        <w:rPr>
          <w:rFonts w:ascii="Cambria" w:eastAsia="Batang" w:hAnsi="Cambria"/>
          <w:sz w:val="20"/>
          <w:szCs w:val="20"/>
        </w:rPr>
      </w:pPr>
    </w:p>
    <w:p w:rsidR="006B32D3" w:rsidRPr="00BF3D11" w:rsidRDefault="006B32D3" w:rsidP="006B32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Batang" w:hAnsi="Cambria"/>
          <w:sz w:val="20"/>
          <w:szCs w:val="20"/>
        </w:rPr>
      </w:pPr>
      <w:r>
        <w:rPr>
          <w:rFonts w:ascii="Cambria" w:hAnsi="Cambria"/>
          <w:sz w:val="20"/>
        </w:rPr>
        <w:t xml:space="preserve">Third, the IACHR notes that the State did not present information regarding the autopsy performed on Mr. Gómez's body. Here, the petitioners reported that they were initially denied access to the forensic report and only later were told of the causes of Mr. Gómez's death. The Commission observes that </w:t>
      </w:r>
      <w:r w:rsidR="00670E42">
        <w:rPr>
          <w:rFonts w:ascii="Cambria" w:hAnsi="Cambria"/>
          <w:sz w:val="20"/>
        </w:rPr>
        <w:t>neither an approximate time nor</w:t>
      </w:r>
      <w:r>
        <w:rPr>
          <w:rFonts w:ascii="Cambria" w:hAnsi="Cambria"/>
          <w:sz w:val="20"/>
        </w:rPr>
        <w:t xml:space="preserve"> </w:t>
      </w:r>
      <w:r w:rsidR="00670E42">
        <w:rPr>
          <w:rFonts w:ascii="Cambria" w:hAnsi="Cambria"/>
          <w:sz w:val="20"/>
        </w:rPr>
        <w:t>place of death is</w:t>
      </w:r>
      <w:r>
        <w:rPr>
          <w:rFonts w:ascii="Cambria" w:hAnsi="Cambria"/>
          <w:sz w:val="20"/>
        </w:rPr>
        <w:t xml:space="preserve"> mentioned </w:t>
      </w:r>
      <w:r w:rsidR="00670E42">
        <w:rPr>
          <w:rFonts w:ascii="Cambria" w:hAnsi="Cambria"/>
          <w:sz w:val="20"/>
        </w:rPr>
        <w:t>in the</w:t>
      </w:r>
      <w:r>
        <w:rPr>
          <w:rFonts w:ascii="Cambria" w:hAnsi="Cambria"/>
          <w:sz w:val="20"/>
        </w:rPr>
        <w:t xml:space="preserve"> information provided by the parties. Along the same lines, the IACHR notes that although it was pointed out that Mr. Gómez's body showed signs of trauma and bruising, no forensic study of them was conducted. Nor were those injuries properly described. No mention was made of any indication, patters, or </w:t>
      </w:r>
      <w:r w:rsidR="00670E42">
        <w:rPr>
          <w:rFonts w:ascii="Cambria" w:hAnsi="Cambria"/>
          <w:sz w:val="20"/>
        </w:rPr>
        <w:t>signs that</w:t>
      </w:r>
      <w:r>
        <w:rPr>
          <w:rFonts w:ascii="Cambria" w:hAnsi="Cambria"/>
          <w:sz w:val="20"/>
        </w:rPr>
        <w:t xml:space="preserve"> could establish whether those injuries were pre- or post mortem. Fourth, the Commission takes note that the criminal investigation was unable to determine </w:t>
      </w:r>
      <w:r w:rsidR="00670E42">
        <w:rPr>
          <w:rFonts w:ascii="Cambria" w:hAnsi="Cambria"/>
          <w:sz w:val="20"/>
        </w:rPr>
        <w:t>the day</w:t>
      </w:r>
      <w:r>
        <w:rPr>
          <w:rFonts w:ascii="Cambria" w:hAnsi="Cambria"/>
          <w:sz w:val="20"/>
        </w:rPr>
        <w:t xml:space="preserve"> and approximate time of Mr. Gómez's death.</w:t>
      </w:r>
    </w:p>
    <w:p w:rsidR="006B32D3" w:rsidRPr="00BF3D11" w:rsidRDefault="006B32D3" w:rsidP="006B32D3">
      <w:pPr>
        <w:pStyle w:val="ColorfulList-Accent11"/>
        <w:rPr>
          <w:rFonts w:ascii="Cambria" w:eastAsia="Batang" w:hAnsi="Cambria"/>
          <w:sz w:val="20"/>
          <w:szCs w:val="20"/>
        </w:rPr>
      </w:pPr>
    </w:p>
    <w:p w:rsidR="006B32D3" w:rsidRPr="00BF3D11" w:rsidRDefault="006B32D3" w:rsidP="006B32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Batang" w:hAnsi="Cambria"/>
          <w:sz w:val="20"/>
          <w:szCs w:val="20"/>
        </w:rPr>
      </w:pPr>
      <w:r>
        <w:rPr>
          <w:rFonts w:ascii="Cambria" w:hAnsi="Cambria"/>
          <w:sz w:val="20"/>
        </w:rPr>
        <w:t xml:space="preserve">In light of all the above, the IACHR considers that from the preliminary stages of the investigation onwards, the State failed to comply with its obligation to investigate with due diligence. </w:t>
      </w:r>
    </w:p>
    <w:p w:rsidR="006B32D3" w:rsidRPr="00BF3D11" w:rsidRDefault="006B32D3" w:rsidP="006B32D3">
      <w:pPr>
        <w:rPr>
          <w:rFonts w:ascii="Cambria" w:hAnsi="Cambria"/>
          <w:sz w:val="20"/>
          <w:szCs w:val="20"/>
        </w:rPr>
      </w:pPr>
    </w:p>
    <w:p w:rsidR="006B32D3" w:rsidRPr="00BF3D11" w:rsidRDefault="006B32D3" w:rsidP="006B32D3">
      <w:pPr>
        <w:pStyle w:val="Heading2"/>
        <w:numPr>
          <w:ilvl w:val="0"/>
          <w:numId w:val="63"/>
        </w:numPr>
        <w:tabs>
          <w:tab w:val="clear" w:pos="2880"/>
          <w:tab w:val="num" w:pos="1440"/>
        </w:tabs>
        <w:spacing w:before="0" w:after="0"/>
        <w:ind w:left="1440" w:hanging="720"/>
        <w:jc w:val="both"/>
        <w:rPr>
          <w:rFonts w:ascii="Cambria" w:hAnsi="Cambria"/>
          <w:i w:val="0"/>
          <w:sz w:val="20"/>
          <w:szCs w:val="20"/>
        </w:rPr>
      </w:pPr>
      <w:bookmarkStart w:id="69" w:name="_Toc473188705"/>
      <w:bookmarkStart w:id="70" w:name="_Toc478023982"/>
      <w:r>
        <w:rPr>
          <w:rFonts w:ascii="Cambria" w:hAnsi="Cambria"/>
          <w:i w:val="0"/>
          <w:sz w:val="20"/>
        </w:rPr>
        <w:t>Lack of due diligence</w:t>
      </w:r>
      <w:bookmarkEnd w:id="69"/>
      <w:r>
        <w:rPr>
          <w:rFonts w:ascii="Cambria" w:hAnsi="Cambria"/>
          <w:i w:val="0"/>
          <w:sz w:val="20"/>
        </w:rPr>
        <w:t xml:space="preserve"> in subsequent stages of the investigation</w:t>
      </w:r>
      <w:bookmarkEnd w:id="70"/>
    </w:p>
    <w:p w:rsidR="006B32D3" w:rsidRPr="00BF3D11" w:rsidRDefault="006B32D3" w:rsidP="006B32D3">
      <w:pPr>
        <w:rPr>
          <w:rFonts w:ascii="Cambria" w:hAnsi="Cambria"/>
          <w:sz w:val="20"/>
          <w:szCs w:val="20"/>
        </w:rPr>
      </w:pPr>
    </w:p>
    <w:p w:rsidR="006B32D3" w:rsidRPr="00BF3D11" w:rsidRDefault="006B32D3" w:rsidP="006B32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hAnsi="Cambria"/>
          <w:sz w:val="20"/>
          <w:szCs w:val="20"/>
        </w:rPr>
      </w:pPr>
      <w:r>
        <w:rPr>
          <w:rFonts w:ascii="Cambria" w:hAnsi="Cambria"/>
          <w:sz w:val="20"/>
        </w:rPr>
        <w:t>The Commission has established that, to be effective, investigations into human rights violations need to avoid omissions in the gathering of evidence and the pursuit of logical lines of inquiry.</w:t>
      </w:r>
      <w:r>
        <w:rPr>
          <w:rFonts w:ascii="Cambria" w:hAnsi="Cambria"/>
          <w:sz w:val="20"/>
          <w:vertAlign w:val="superscript"/>
        </w:rPr>
        <w:footnoteReference w:id="120"/>
      </w:r>
      <w:r>
        <w:rPr>
          <w:rFonts w:ascii="Cambria" w:hAnsi="Cambria"/>
          <w:sz w:val="20"/>
        </w:rPr>
        <w:t xml:space="preserve"> In cases that involve the violent death or disappearance of a person, the Commission and the Court have held that the investigation initiated should be carried out in such a manner as guarantee proper analysis of the hypotheses as to responsibility arising from it,</w:t>
      </w:r>
      <w:r>
        <w:rPr>
          <w:rStyle w:val="FootnoteReference"/>
          <w:rFonts w:ascii="Cambria" w:hAnsi="Cambria"/>
          <w:sz w:val="20"/>
        </w:rPr>
        <w:footnoteReference w:id="121"/>
      </w:r>
      <w:r>
        <w:rPr>
          <w:rFonts w:ascii="Cambria" w:hAnsi="Cambria"/>
          <w:sz w:val="20"/>
        </w:rPr>
        <w:t xml:space="preserve"> and, in order to demonstrate the diligence of its inquiries, the State must show that it carried out an immediate, exhaustive and impartial investigation</w:t>
      </w:r>
      <w:r>
        <w:rPr>
          <w:rStyle w:val="FootnoteReference"/>
          <w:rFonts w:ascii="Cambria" w:hAnsi="Cambria"/>
          <w:sz w:val="20"/>
        </w:rPr>
        <w:footnoteReference w:id="122"/>
      </w:r>
      <w:r>
        <w:rPr>
          <w:rFonts w:ascii="Cambria" w:hAnsi="Cambria"/>
          <w:sz w:val="20"/>
        </w:rPr>
        <w:t xml:space="preserve"> in which all possible lines of inquiry have been explored in a bid to identify the perpetrators of the crime with a view to their subsequent prosecution and punishment.</w:t>
      </w:r>
      <w:r>
        <w:rPr>
          <w:rStyle w:val="FootnoteReference"/>
          <w:rFonts w:ascii="Cambria" w:hAnsi="Cambria"/>
          <w:sz w:val="20"/>
        </w:rPr>
        <w:footnoteReference w:id="123"/>
      </w:r>
      <w:r>
        <w:rPr>
          <w:rFonts w:ascii="Cambria" w:hAnsi="Cambria"/>
          <w:sz w:val="20"/>
        </w:rPr>
        <w:t xml:space="preserve"> </w:t>
      </w:r>
    </w:p>
    <w:p w:rsidR="006B32D3" w:rsidRPr="00BF3D11" w:rsidRDefault="006B32D3" w:rsidP="006B32D3">
      <w:pPr>
        <w:pBdr>
          <w:top w:val="none" w:sz="0" w:space="0" w:color="auto"/>
          <w:left w:val="none" w:sz="0" w:space="0" w:color="auto"/>
          <w:bottom w:val="none" w:sz="0" w:space="0" w:color="auto"/>
          <w:right w:val="none" w:sz="0" w:space="0" w:color="auto"/>
          <w:between w:val="none" w:sz="0" w:space="0" w:color="auto"/>
          <w:bar w:val="none" w:sz="0" w:color="auto"/>
        </w:pBdr>
        <w:ind w:left="1440"/>
        <w:jc w:val="both"/>
        <w:rPr>
          <w:rFonts w:ascii="Cambria" w:eastAsia="Batang" w:hAnsi="Cambria"/>
          <w:sz w:val="20"/>
          <w:szCs w:val="20"/>
        </w:rPr>
      </w:pPr>
    </w:p>
    <w:p w:rsidR="006B32D3" w:rsidRPr="00BF3D11" w:rsidRDefault="006B32D3" w:rsidP="006B32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429"/>
          <w:tab w:val="num" w:pos="0"/>
        </w:tabs>
        <w:jc w:val="both"/>
        <w:rPr>
          <w:rFonts w:ascii="Cambria" w:eastAsia="Batang" w:hAnsi="Cambria"/>
          <w:sz w:val="20"/>
          <w:szCs w:val="20"/>
        </w:rPr>
      </w:pPr>
      <w:r>
        <w:rPr>
          <w:rFonts w:ascii="Cambria" w:hAnsi="Cambria"/>
          <w:sz w:val="20"/>
        </w:rPr>
        <w:t xml:space="preserve">The Inter-American </w:t>
      </w:r>
      <w:r w:rsidR="00670E42">
        <w:rPr>
          <w:rFonts w:ascii="Cambria" w:hAnsi="Cambria"/>
          <w:sz w:val="20"/>
        </w:rPr>
        <w:t>Court has</w:t>
      </w:r>
      <w:r>
        <w:rPr>
          <w:rFonts w:ascii="Cambria" w:hAnsi="Cambria"/>
          <w:sz w:val="20"/>
        </w:rPr>
        <w:t xml:space="preserve"> held that it is not the task of the organs of the inter-American system to "analyze the hypothesis about perpetrators prepared during the investigation of the events of the ... case and determine individual responsibility, whose definition corresponds to domestic criminal tribunals, but rather evaluate the acts and omission of State agents, pursuant to the evidence submitted by the parties."</w:t>
      </w:r>
      <w:r>
        <w:rPr>
          <w:rStyle w:val="FootnoteReference"/>
          <w:rFonts w:ascii="Cambria" w:hAnsi="Cambria"/>
          <w:sz w:val="20"/>
        </w:rPr>
        <w:footnoteReference w:id="124"/>
      </w:r>
      <w:r>
        <w:rPr>
          <w:rFonts w:ascii="Cambria" w:hAnsi="Cambria"/>
          <w:sz w:val="20"/>
        </w:rPr>
        <w:t xml:space="preserve"> </w:t>
      </w:r>
    </w:p>
    <w:p w:rsidR="006B32D3" w:rsidRPr="00BF3D11" w:rsidRDefault="006B32D3" w:rsidP="006B32D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6B32D3" w:rsidRPr="00291B43" w:rsidRDefault="006B32D3" w:rsidP="006B32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429"/>
          <w:tab w:val="num" w:pos="0"/>
        </w:tabs>
        <w:jc w:val="both"/>
        <w:rPr>
          <w:rFonts w:ascii="Cambria" w:eastAsia="Batang" w:hAnsi="Cambria"/>
          <w:sz w:val="20"/>
          <w:szCs w:val="20"/>
        </w:rPr>
      </w:pPr>
      <w:r>
        <w:rPr>
          <w:rFonts w:ascii="Cambria" w:hAnsi="Cambria"/>
          <w:sz w:val="20"/>
        </w:rPr>
        <w:t>However, in cases that involve the violent death or disappearance of a person, the Commission and the Court have held that the investigation initiated should be carried out in such a manner as guarantee proper analysis of the hypotheses as to responsibility arising from it,</w:t>
      </w:r>
      <w:r>
        <w:rPr>
          <w:rStyle w:val="FootnoteReference"/>
          <w:rFonts w:ascii="Cambria" w:hAnsi="Cambria"/>
          <w:sz w:val="20"/>
        </w:rPr>
        <w:footnoteReference w:id="125"/>
      </w:r>
      <w:r>
        <w:rPr>
          <w:rFonts w:ascii="Cambria" w:hAnsi="Cambria"/>
          <w:sz w:val="20"/>
        </w:rPr>
        <w:t xml:space="preserve"> and, in order to demonstrate the diligence of its inquiries, the State must show that it carried out an immediate, exhaustive </w:t>
      </w:r>
      <w:r>
        <w:rPr>
          <w:rFonts w:ascii="Cambria" w:hAnsi="Cambria"/>
          <w:sz w:val="20"/>
        </w:rPr>
        <w:lastRenderedPageBreak/>
        <w:t>and impartial investigation</w:t>
      </w:r>
      <w:r>
        <w:rPr>
          <w:rStyle w:val="FootnoteReference"/>
          <w:rFonts w:ascii="Cambria" w:hAnsi="Cambria"/>
          <w:spacing w:val="-2"/>
          <w:sz w:val="20"/>
        </w:rPr>
        <w:footnoteReference w:id="126"/>
      </w:r>
      <w:r>
        <w:rPr>
          <w:rFonts w:ascii="Cambria" w:hAnsi="Cambria"/>
          <w:sz w:val="20"/>
        </w:rPr>
        <w:t xml:space="preserve"> in which all possible lines of inquiry have been explored in a bid to identify the perpetrators of the crime with a view to their subsequent prosecution and punishment.</w:t>
      </w:r>
      <w:r>
        <w:rPr>
          <w:rStyle w:val="FootnoteReference"/>
          <w:rFonts w:ascii="Cambria" w:hAnsi="Cambria"/>
          <w:sz w:val="20"/>
        </w:rPr>
        <w:footnoteReference w:id="127"/>
      </w:r>
      <w:r>
        <w:rPr>
          <w:rFonts w:ascii="Cambria" w:hAnsi="Cambria"/>
          <w:sz w:val="20"/>
        </w:rPr>
        <w:t xml:space="preserve"> </w:t>
      </w:r>
    </w:p>
    <w:p w:rsidR="006B32D3" w:rsidRDefault="006B32D3" w:rsidP="006B32D3">
      <w:pPr>
        <w:pStyle w:val="ListParagraph"/>
        <w:rPr>
          <w:rFonts w:ascii="Cambria" w:hAnsi="Cambria" w:cs="Calibri"/>
          <w:sz w:val="20"/>
          <w:szCs w:val="20"/>
        </w:rPr>
      </w:pPr>
    </w:p>
    <w:p w:rsidR="006B32D3" w:rsidRPr="00BF3D11" w:rsidRDefault="006B32D3" w:rsidP="006B32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1429"/>
          <w:tab w:val="num" w:pos="0"/>
        </w:tabs>
        <w:jc w:val="both"/>
        <w:rPr>
          <w:rFonts w:ascii="Cambria" w:eastAsia="Batang" w:hAnsi="Cambria"/>
          <w:sz w:val="20"/>
          <w:szCs w:val="20"/>
        </w:rPr>
      </w:pPr>
      <w:r>
        <w:rPr>
          <w:rFonts w:ascii="Cambria" w:hAnsi="Cambria"/>
          <w:sz w:val="20"/>
        </w:rPr>
        <w:t>Furthermore, as part of the requisite due diligence in investigating violations of the rights of human rights defenders, the investigating authority should take into account the work of the defender attacked in order to identify which interests could have been harmed in the pursuit of that work in order, thus, to establish lines of inquiry and theories for the crime.</w:t>
      </w:r>
      <w:r>
        <w:rPr>
          <w:rStyle w:val="FootnoteReference"/>
          <w:rFonts w:ascii="Cambria" w:hAnsi="Cambria"/>
          <w:sz w:val="20"/>
        </w:rPr>
        <w:footnoteReference w:id="128"/>
      </w:r>
      <w:r>
        <w:rPr>
          <w:rFonts w:ascii="Cambria" w:hAnsi="Cambria"/>
          <w:sz w:val="20"/>
        </w:rPr>
        <w:t xml:space="preserve"> The Commission has further pointed out that the fact that the sources of the attacks may not have been State agents does not exempt the State from its obligations to protect the lives and personal integrity of trade union leaders.</w:t>
      </w:r>
      <w:r>
        <w:rPr>
          <w:rStyle w:val="FootnoteReference"/>
          <w:rFonts w:ascii="Cambria" w:hAnsi="Cambria"/>
          <w:sz w:val="20"/>
          <w:bdr w:val="none" w:sz="0" w:space="0" w:color="auto"/>
        </w:rPr>
        <w:footnoteReference w:id="129"/>
      </w:r>
    </w:p>
    <w:p w:rsidR="006B32D3" w:rsidRPr="00BF3D11" w:rsidRDefault="006B32D3" w:rsidP="006B32D3">
      <w:pPr>
        <w:rPr>
          <w:rFonts w:ascii="Cambria" w:hAnsi="Cambria"/>
          <w:sz w:val="20"/>
          <w:szCs w:val="20"/>
        </w:rPr>
      </w:pPr>
    </w:p>
    <w:p w:rsidR="006B32D3" w:rsidRPr="00BF3D11" w:rsidRDefault="006B32D3" w:rsidP="006B32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hAnsi="Cambria"/>
          <w:sz w:val="20"/>
          <w:szCs w:val="20"/>
        </w:rPr>
      </w:pPr>
      <w:r>
        <w:rPr>
          <w:rFonts w:ascii="Cambria" w:hAnsi="Cambria"/>
          <w:sz w:val="20"/>
        </w:rPr>
        <w:t xml:space="preserve">In its most recent report on the human rights situation in Guatemala, the IACHR </w:t>
      </w:r>
      <w:r w:rsidR="00670E42">
        <w:rPr>
          <w:rFonts w:ascii="Cambria" w:hAnsi="Cambria"/>
          <w:sz w:val="20"/>
        </w:rPr>
        <w:t>continued to</w:t>
      </w:r>
      <w:r>
        <w:rPr>
          <w:rFonts w:ascii="Cambria" w:hAnsi="Cambria"/>
          <w:sz w:val="20"/>
        </w:rPr>
        <w:t xml:space="preserve"> record the occurrence of murders of trade unionists.</w:t>
      </w:r>
      <w:r>
        <w:rPr>
          <w:rStyle w:val="FootnoteReference"/>
          <w:rFonts w:ascii="Cambria" w:hAnsi="Cambria"/>
          <w:sz w:val="20"/>
        </w:rPr>
        <w:footnoteReference w:id="130"/>
      </w:r>
      <w:r>
        <w:rPr>
          <w:rFonts w:ascii="Cambria" w:hAnsi="Cambria"/>
          <w:sz w:val="20"/>
        </w:rPr>
        <w:t xml:space="preserve"> The Commission pointed out that the State has an obligation to open lines of inquiry that take into account whether or not such acts were committed on account of their activities as trade unionists.</w:t>
      </w:r>
      <w:r>
        <w:rPr>
          <w:rStyle w:val="FootnoteReference"/>
          <w:rFonts w:ascii="Cambria" w:hAnsi="Cambria"/>
          <w:sz w:val="20"/>
        </w:rPr>
        <w:footnoteReference w:id="131"/>
      </w:r>
      <w:r>
        <w:rPr>
          <w:rFonts w:ascii="Cambria" w:hAnsi="Cambria"/>
          <w:sz w:val="20"/>
        </w:rPr>
        <w:t xml:space="preserve"> </w:t>
      </w:r>
    </w:p>
    <w:p w:rsidR="006B32D3" w:rsidRPr="00BF3D11" w:rsidRDefault="006B32D3" w:rsidP="006B32D3">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6B32D3" w:rsidRPr="00BF3D11" w:rsidRDefault="006B32D3" w:rsidP="006B32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hAnsi="Cambria" w:cs="Calibri"/>
          <w:sz w:val="20"/>
          <w:szCs w:val="20"/>
        </w:rPr>
      </w:pPr>
      <w:r>
        <w:rPr>
          <w:rFonts w:ascii="Cambria" w:hAnsi="Cambria"/>
          <w:sz w:val="20"/>
        </w:rPr>
        <w:t>The IACHR takes note of Mr. Gómez's activities relating to his work as Secretary of Finance of the RCA Assembly Plant's Workers Union. In particular, the Commission observes that, at the time of his disappearance and subsequent murder</w:t>
      </w:r>
      <w:r w:rsidR="00670E42">
        <w:rPr>
          <w:rFonts w:ascii="Cambria" w:hAnsi="Cambria"/>
          <w:sz w:val="20"/>
        </w:rPr>
        <w:t>, filed</w:t>
      </w:r>
      <w:r>
        <w:rPr>
          <w:rFonts w:ascii="Cambria" w:hAnsi="Cambria"/>
          <w:sz w:val="20"/>
        </w:rPr>
        <w:t xml:space="preserve"> a complaint with the RCA Assembly Plant for the allegedly arbitrary dismissal of 70 people. In connection with that complaint and subsequent meetings with that company, and because of the position he held, Mr. Gómez played a very prominent part.</w:t>
      </w:r>
    </w:p>
    <w:p w:rsidR="006B32D3" w:rsidRPr="00BF3D11" w:rsidRDefault="006B32D3" w:rsidP="006B32D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6B32D3" w:rsidRPr="00BF3D11" w:rsidRDefault="006B32D3" w:rsidP="006B32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hAnsi="Cambria"/>
          <w:sz w:val="20"/>
          <w:szCs w:val="20"/>
        </w:rPr>
      </w:pPr>
      <w:r>
        <w:rPr>
          <w:rFonts w:ascii="Cambria" w:hAnsi="Cambria"/>
          <w:sz w:val="20"/>
        </w:rPr>
        <w:t xml:space="preserve">In the instant case, the Commission notes that the only steps taken in the early months of the investigation were the summonsing of </w:t>
      </w:r>
      <w:proofErr w:type="spellStart"/>
      <w:r>
        <w:rPr>
          <w:rFonts w:ascii="Cambria" w:hAnsi="Cambria"/>
          <w:sz w:val="20"/>
        </w:rPr>
        <w:t>i</w:t>
      </w:r>
      <w:proofErr w:type="spellEnd"/>
      <w:r>
        <w:rPr>
          <w:rFonts w:ascii="Cambria" w:hAnsi="Cambria"/>
          <w:sz w:val="20"/>
        </w:rPr>
        <w:t xml:space="preserve">) Gustavo Cardona,  the last person to see Mr. Gómez alive; and ii) the two (Korean) owners of the Assembly Plant. The IACD observes that those persons did not initially appear in response to those summons and that there is no evidence that the State took any steps to ensure that they did so. The IACHR underscore the fact that those irregularities were highlighted by the Human Rights Office of the Archdiocese of Guatemala. </w:t>
      </w:r>
    </w:p>
    <w:p w:rsidR="006B32D3" w:rsidRPr="00BF3D11" w:rsidRDefault="006B32D3" w:rsidP="006B32D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6B32D3" w:rsidRPr="00BF3D11" w:rsidRDefault="006B32D3" w:rsidP="006B32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hAnsi="Cambria"/>
          <w:sz w:val="20"/>
          <w:szCs w:val="20"/>
        </w:rPr>
      </w:pPr>
      <w:r>
        <w:rPr>
          <w:rFonts w:ascii="Cambria" w:hAnsi="Cambria"/>
          <w:sz w:val="20"/>
        </w:rPr>
        <w:t>Likewise, the IACHR note</w:t>
      </w:r>
      <w:r w:rsidR="00670E42">
        <w:rPr>
          <w:rFonts w:ascii="Cambria" w:hAnsi="Cambria"/>
          <w:sz w:val="20"/>
        </w:rPr>
        <w:t>s</w:t>
      </w:r>
      <w:r>
        <w:rPr>
          <w:rFonts w:ascii="Cambria" w:hAnsi="Cambria"/>
          <w:sz w:val="20"/>
        </w:rPr>
        <w:t xml:space="preserve"> that four months after the start of the criminal investigation, without any evidence of additional inquiries, the National Police issued a report pointing to the two owners of the Assembly Plan as the alleged instigators. Despite that, the Commission notes that no steps were taken to locate them and ensure that they would appear and participate in the proceedings. The IACHR notes that the State has justified its failure to act by pointing out that it is presumed that both individuals have fled the country.</w:t>
      </w:r>
    </w:p>
    <w:p w:rsidR="006B32D3" w:rsidRPr="00BF3D11" w:rsidRDefault="006B32D3" w:rsidP="006B32D3">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6B32D3" w:rsidRPr="00BF3D11" w:rsidRDefault="006B32D3" w:rsidP="006B32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hAnsi="Cambria"/>
          <w:sz w:val="20"/>
          <w:szCs w:val="20"/>
        </w:rPr>
      </w:pPr>
      <w:r>
        <w:rPr>
          <w:rFonts w:ascii="Cambria" w:hAnsi="Cambria"/>
          <w:sz w:val="20"/>
        </w:rPr>
        <w:t xml:space="preserve">That same police report also identified Gustavo Cardona -- later identified under another name -- as the alleged perpetrator of the facts "because he failed to appear and make a statement when summoned, " with no indication of any other grounds that had led the Police to that </w:t>
      </w:r>
      <w:r w:rsidR="00670E42">
        <w:rPr>
          <w:rFonts w:ascii="Cambria" w:hAnsi="Cambria"/>
          <w:sz w:val="20"/>
        </w:rPr>
        <w:t>conclusion</w:t>
      </w:r>
      <w:r>
        <w:rPr>
          <w:rFonts w:ascii="Cambria" w:hAnsi="Cambria"/>
          <w:sz w:val="20"/>
        </w:rPr>
        <w:t xml:space="preserve">. The IACHR observes that later on a statement was taken from Mr. Cardona, who  reported circumstances in which Mr. Gómez had been beaten and taken away by unknown individuals, without there being any follow-up to the information provided by this declarant. </w:t>
      </w:r>
    </w:p>
    <w:p w:rsidR="006B32D3" w:rsidRPr="00BF3D11" w:rsidRDefault="006B32D3" w:rsidP="006B32D3">
      <w:pPr>
        <w:pStyle w:val="ColorfulList-Accent11"/>
        <w:rPr>
          <w:rFonts w:ascii="Cambria" w:hAnsi="Cambria"/>
          <w:sz w:val="20"/>
          <w:szCs w:val="20"/>
        </w:rPr>
      </w:pPr>
    </w:p>
    <w:p w:rsidR="006B32D3" w:rsidRPr="00BF3D11" w:rsidRDefault="006B32D3" w:rsidP="006B32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hAnsi="Cambria"/>
          <w:sz w:val="20"/>
          <w:szCs w:val="20"/>
        </w:rPr>
      </w:pPr>
      <w:r>
        <w:rPr>
          <w:rFonts w:ascii="Cambria" w:hAnsi="Cambria"/>
          <w:sz w:val="20"/>
        </w:rPr>
        <w:lastRenderedPageBreak/>
        <w:t xml:space="preserve">In addition, the IACHR notes that almost two years elapsed before a </w:t>
      </w:r>
      <w:r w:rsidR="00670E42">
        <w:rPr>
          <w:rFonts w:ascii="Cambria" w:hAnsi="Cambria"/>
          <w:sz w:val="20"/>
        </w:rPr>
        <w:t>statement</w:t>
      </w:r>
      <w:r>
        <w:rPr>
          <w:rFonts w:ascii="Cambria" w:hAnsi="Cambria"/>
          <w:sz w:val="20"/>
        </w:rPr>
        <w:t xml:space="preserve"> was taken from Mr. Gómez's father. A statement was also requested from the lawyer of the trade union of which </w:t>
      </w:r>
      <w:r w:rsidR="00670E42">
        <w:rPr>
          <w:rFonts w:ascii="Cambria" w:hAnsi="Cambria"/>
          <w:sz w:val="20"/>
        </w:rPr>
        <w:t>Mr.</w:t>
      </w:r>
      <w:r>
        <w:rPr>
          <w:rFonts w:ascii="Cambria" w:hAnsi="Cambria"/>
          <w:sz w:val="20"/>
        </w:rPr>
        <w:t xml:space="preserve"> Gómez was a member. Nevertheless, that person never turned up and there is no evidence of the State taking any steps to ensure that he did.</w:t>
      </w:r>
    </w:p>
    <w:p w:rsidR="006B32D3" w:rsidRPr="00BF3D11" w:rsidRDefault="006B32D3" w:rsidP="006B32D3">
      <w:pPr>
        <w:pStyle w:val="ColorfulList-Accent11"/>
        <w:rPr>
          <w:rFonts w:ascii="Cambria" w:hAnsi="Cambria"/>
          <w:sz w:val="20"/>
          <w:szCs w:val="20"/>
        </w:rPr>
      </w:pPr>
    </w:p>
    <w:p w:rsidR="006B32D3" w:rsidRPr="00BF3D11" w:rsidRDefault="006B32D3" w:rsidP="006B32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hAnsi="Cambria"/>
          <w:sz w:val="20"/>
          <w:szCs w:val="20"/>
        </w:rPr>
      </w:pPr>
      <w:r>
        <w:rPr>
          <w:rFonts w:ascii="Cambria" w:hAnsi="Cambria"/>
          <w:sz w:val="20"/>
        </w:rPr>
        <w:t xml:space="preserve">Later on, the Public Prosecutors' Office requested that the investigation be archived due to "the discrepancy between witnesses' versions regarding who should be suspected of perpetrating the crime and the failure of persons summonsed to appear." The Commission considers that the request to archive the case because of the existence of different versions of what happened without exhausting even basic investigative procedures, much less the possibilities of throwing light on the discrepancies, is a move incompatible with the </w:t>
      </w:r>
      <w:r w:rsidR="00670E42">
        <w:rPr>
          <w:rFonts w:ascii="Cambria" w:hAnsi="Cambria"/>
          <w:sz w:val="20"/>
        </w:rPr>
        <w:t>obligation</w:t>
      </w:r>
      <w:r>
        <w:rPr>
          <w:rFonts w:ascii="Cambria" w:hAnsi="Cambria"/>
          <w:sz w:val="20"/>
        </w:rPr>
        <w:t xml:space="preserve"> to investigate with due diligence. </w:t>
      </w:r>
    </w:p>
    <w:p w:rsidR="006B32D3" w:rsidRPr="00BF3D11" w:rsidRDefault="006B32D3" w:rsidP="006B32D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6B32D3" w:rsidRPr="00BF3D11" w:rsidRDefault="00670E42" w:rsidP="006B32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hAnsi="Cambria"/>
          <w:sz w:val="20"/>
          <w:szCs w:val="20"/>
        </w:rPr>
      </w:pPr>
      <w:r>
        <w:rPr>
          <w:rFonts w:ascii="Cambria" w:hAnsi="Cambria"/>
          <w:sz w:val="20"/>
        </w:rPr>
        <w:t>Even</w:t>
      </w:r>
      <w:r w:rsidR="006B32D3">
        <w:rPr>
          <w:rFonts w:ascii="Cambria" w:hAnsi="Cambria"/>
          <w:sz w:val="20"/>
        </w:rPr>
        <w:t xml:space="preserve"> though the judge overseeing the case denied the request of the Public Prosecutors' Office, there have been no signs since 1997 of any steps to investigate the disappearance and subsequent death of Mr. Gómez, throw light </w:t>
      </w:r>
      <w:r>
        <w:rPr>
          <w:rFonts w:ascii="Cambria" w:hAnsi="Cambria"/>
          <w:sz w:val="20"/>
        </w:rPr>
        <w:t>on</w:t>
      </w:r>
      <w:r w:rsidR="006B32D3">
        <w:rPr>
          <w:rFonts w:ascii="Cambria" w:hAnsi="Cambria"/>
          <w:sz w:val="20"/>
        </w:rPr>
        <w:t xml:space="preserve"> the circumstances in which it occurred, and punish those responsible. </w:t>
      </w:r>
      <w:r>
        <w:rPr>
          <w:rFonts w:ascii="Cambria" w:hAnsi="Cambria"/>
          <w:sz w:val="20"/>
        </w:rPr>
        <w:t>This lack</w:t>
      </w:r>
      <w:r w:rsidR="006B32D3">
        <w:rPr>
          <w:rFonts w:ascii="Cambria" w:hAnsi="Cambria"/>
          <w:sz w:val="20"/>
        </w:rPr>
        <w:t xml:space="preserve"> of effort and diligence on the part of the authorities is especially serious in light of the absence of practically any indications of investigation in the file on the case. </w:t>
      </w:r>
    </w:p>
    <w:p w:rsidR="006B32D3" w:rsidRPr="00BF3D11" w:rsidRDefault="006B32D3" w:rsidP="006B32D3">
      <w:pPr>
        <w:rPr>
          <w:rFonts w:ascii="Cambria" w:hAnsi="Cambria"/>
          <w:sz w:val="20"/>
          <w:szCs w:val="20"/>
        </w:rPr>
      </w:pPr>
    </w:p>
    <w:p w:rsidR="006B32D3" w:rsidRPr="00BF3D11" w:rsidRDefault="006B32D3" w:rsidP="006B32D3">
      <w:pPr>
        <w:pStyle w:val="Heading2"/>
        <w:numPr>
          <w:ilvl w:val="0"/>
          <w:numId w:val="63"/>
        </w:numPr>
        <w:tabs>
          <w:tab w:val="clear" w:pos="2880"/>
          <w:tab w:val="num" w:pos="1440"/>
        </w:tabs>
        <w:spacing w:before="0" w:after="0"/>
        <w:ind w:left="1440" w:hanging="720"/>
        <w:jc w:val="both"/>
        <w:rPr>
          <w:rFonts w:ascii="Cambria" w:hAnsi="Cambria"/>
          <w:i w:val="0"/>
          <w:sz w:val="20"/>
          <w:szCs w:val="20"/>
        </w:rPr>
      </w:pPr>
      <w:bookmarkStart w:id="71" w:name="_Toc473188706"/>
      <w:bookmarkStart w:id="72" w:name="_Toc478023983"/>
      <w:r>
        <w:rPr>
          <w:rFonts w:ascii="Cambria" w:hAnsi="Cambria"/>
          <w:i w:val="0"/>
          <w:sz w:val="20"/>
        </w:rPr>
        <w:t>Reasonable period of time</w:t>
      </w:r>
      <w:bookmarkEnd w:id="71"/>
      <w:bookmarkEnd w:id="72"/>
    </w:p>
    <w:p w:rsidR="006B32D3" w:rsidRPr="00BF3D11" w:rsidRDefault="006B32D3" w:rsidP="006B32D3">
      <w:pPr>
        <w:rPr>
          <w:rFonts w:ascii="Cambria" w:hAnsi="Cambria"/>
          <w:sz w:val="20"/>
          <w:szCs w:val="20"/>
        </w:rPr>
      </w:pPr>
    </w:p>
    <w:p w:rsidR="006B32D3" w:rsidRPr="00BF3D11" w:rsidRDefault="006B32D3" w:rsidP="006B32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hAnsi="Cambria"/>
          <w:sz w:val="20"/>
          <w:szCs w:val="20"/>
        </w:rPr>
      </w:pPr>
      <w:r>
        <w:rPr>
          <w:rFonts w:ascii="Cambria" w:hAnsi="Cambria"/>
          <w:sz w:val="20"/>
        </w:rPr>
        <w:t>Article 8(1) of the American Convention establishes as one of the elements of a fair trial that tribunals reach a decision on cases submitted for their consideration within a reasonable time. Accordingly, unwarranted delay may, in itself, constitute a violation of judicial guarantees.</w:t>
      </w:r>
      <w:r>
        <w:rPr>
          <w:rStyle w:val="FootnoteReference"/>
          <w:rFonts w:ascii="Cambria" w:hAnsi="Cambria"/>
          <w:sz w:val="20"/>
        </w:rPr>
        <w:footnoteReference w:id="132"/>
      </w:r>
      <w:r>
        <w:rPr>
          <w:rFonts w:ascii="Cambria" w:hAnsi="Cambria"/>
          <w:sz w:val="20"/>
        </w:rPr>
        <w:t xml:space="preserve"> It is for the State to explain and prove why it has required more time than would be reasonable to deliver final judgment in a specific case.</w:t>
      </w:r>
      <w:r>
        <w:rPr>
          <w:rStyle w:val="FootnoteReference"/>
          <w:rFonts w:ascii="Cambria" w:hAnsi="Cambria"/>
          <w:sz w:val="20"/>
        </w:rPr>
        <w:footnoteReference w:id="133"/>
      </w:r>
      <w:r>
        <w:rPr>
          <w:rFonts w:ascii="Cambria" w:hAnsi="Cambria"/>
          <w:sz w:val="20"/>
        </w:rPr>
        <w:t xml:space="preserve"> Thus, how reasonable the period of time taken is has to be assessed in relation to the total duration of the criminal proceedings</w:t>
      </w:r>
      <w:r>
        <w:rPr>
          <w:rStyle w:val="FootnoteReference"/>
          <w:rFonts w:ascii="Cambria" w:hAnsi="Cambria"/>
          <w:sz w:val="20"/>
        </w:rPr>
        <w:footnoteReference w:id="134"/>
      </w:r>
      <w:r>
        <w:rPr>
          <w:rFonts w:ascii="Cambria" w:hAnsi="Cambria"/>
          <w:sz w:val="20"/>
        </w:rPr>
        <w:t xml:space="preserve"> and in light of the four elements that Court has considered in its case law: (</w:t>
      </w:r>
      <w:proofErr w:type="spellStart"/>
      <w:r>
        <w:rPr>
          <w:rFonts w:ascii="Cambria" w:hAnsi="Cambria"/>
          <w:sz w:val="20"/>
        </w:rPr>
        <w:t>i</w:t>
      </w:r>
      <w:proofErr w:type="spellEnd"/>
      <w:r>
        <w:rPr>
          <w:rFonts w:ascii="Cambria" w:hAnsi="Cambria"/>
          <w:sz w:val="20"/>
        </w:rPr>
        <w:t>) the complexity of the matter; (ii) the procedural activity of the interested party; (iii) the conduct of the judicial authorities</w:t>
      </w:r>
      <w:r w:rsidR="00670E42">
        <w:rPr>
          <w:rFonts w:ascii="Cambria" w:hAnsi="Cambria"/>
          <w:sz w:val="20"/>
        </w:rPr>
        <w:t>, and</w:t>
      </w:r>
      <w:r>
        <w:rPr>
          <w:rFonts w:ascii="Cambria" w:hAnsi="Cambria"/>
          <w:sz w:val="20"/>
        </w:rPr>
        <w:t xml:space="preserve"> (iv) the general effects on the legal situation of the person involved in the proceeding.</w:t>
      </w:r>
      <w:r>
        <w:rPr>
          <w:rStyle w:val="FootnoteReference"/>
          <w:rFonts w:ascii="Cambria" w:hAnsi="Cambria"/>
          <w:sz w:val="20"/>
        </w:rPr>
        <w:t xml:space="preserve"> </w:t>
      </w:r>
      <w:r>
        <w:rPr>
          <w:rStyle w:val="FootnoteReference"/>
          <w:rFonts w:ascii="Cambria" w:hAnsi="Cambria"/>
          <w:sz w:val="20"/>
        </w:rPr>
        <w:footnoteReference w:id="135"/>
      </w:r>
    </w:p>
    <w:p w:rsidR="006B32D3" w:rsidRPr="00BF3D11" w:rsidRDefault="006B32D3" w:rsidP="006B32D3">
      <w:pPr>
        <w:pStyle w:val="BodyTextIndent"/>
        <w:ind w:left="0" w:firstLine="567"/>
        <w:rPr>
          <w:rFonts w:ascii="Cambria" w:hAnsi="Cambria"/>
          <w:sz w:val="20"/>
          <w:szCs w:val="20"/>
        </w:rPr>
      </w:pPr>
    </w:p>
    <w:p w:rsidR="006B32D3" w:rsidRPr="00BF3D11" w:rsidRDefault="006B32D3" w:rsidP="006B32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hAnsi="Cambria"/>
          <w:sz w:val="20"/>
          <w:szCs w:val="20"/>
        </w:rPr>
      </w:pPr>
      <w:r>
        <w:rPr>
          <w:rFonts w:ascii="Cambria" w:hAnsi="Cambria"/>
          <w:sz w:val="20"/>
        </w:rPr>
        <w:t xml:space="preserve">As far as complexity is concerned, the State merely indicated that the two suspects in Mr. Gómez's death were fugitives from justice. In that regard, the IACHR considers that for a complexity argument to be valid the State must provide specific information directly connecting the elements of complexity invoked to the delays in the proceeding. That has not happened in this case. </w:t>
      </w:r>
    </w:p>
    <w:p w:rsidR="006B32D3" w:rsidRPr="00BF3D11" w:rsidRDefault="006B32D3" w:rsidP="006B32D3">
      <w:pPr>
        <w:pStyle w:val="BodyTextIndent"/>
        <w:ind w:left="0" w:firstLine="567"/>
        <w:rPr>
          <w:rFonts w:ascii="Cambria" w:hAnsi="Cambria"/>
          <w:sz w:val="20"/>
          <w:szCs w:val="20"/>
        </w:rPr>
      </w:pPr>
      <w:r>
        <w:rPr>
          <w:rFonts w:ascii="Cambria" w:hAnsi="Cambria"/>
          <w:sz w:val="20"/>
        </w:rPr>
        <w:t xml:space="preserve"> </w:t>
      </w:r>
    </w:p>
    <w:p w:rsidR="006B32D3" w:rsidRPr="00BF3D11" w:rsidRDefault="006B32D3" w:rsidP="006B32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567"/>
        <w:jc w:val="both"/>
        <w:rPr>
          <w:rFonts w:ascii="Cambria" w:hAnsi="Cambria"/>
          <w:sz w:val="20"/>
          <w:szCs w:val="20"/>
        </w:rPr>
      </w:pPr>
      <w:r>
        <w:rPr>
          <w:rFonts w:ascii="Cambria" w:hAnsi="Cambria"/>
          <w:sz w:val="20"/>
        </w:rPr>
        <w:t>As to the activities of the interested parties, the Commission finds nothing whatever in the record to suggest that the relatives obstructed the proceeding or could be blamed in any way for the delay. As to the conduct of the judicial authorities, the Commission has already established in this report that there was a breach of the obligation to act with due diligence in the criminal investigation. Having reached these conclusions, the IACHR does not consider it necessary to analyze the fourth element.</w:t>
      </w:r>
    </w:p>
    <w:p w:rsidR="006B32D3" w:rsidRPr="00BF3D11" w:rsidRDefault="006B32D3" w:rsidP="006B32D3">
      <w:pPr>
        <w:pStyle w:val="BodyTextIndent"/>
        <w:ind w:left="0" w:firstLine="567"/>
        <w:rPr>
          <w:rFonts w:ascii="Cambria" w:hAnsi="Cambria" w:cs="Garamond"/>
          <w:spacing w:val="-2"/>
          <w:sz w:val="20"/>
          <w:szCs w:val="20"/>
        </w:rPr>
      </w:pPr>
    </w:p>
    <w:p w:rsidR="006B32D3" w:rsidRPr="00BF3D11" w:rsidRDefault="006B32D3" w:rsidP="006B32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450"/>
        </w:tabs>
        <w:jc w:val="both"/>
        <w:rPr>
          <w:rFonts w:ascii="Cambria" w:hAnsi="Cambria"/>
          <w:sz w:val="20"/>
          <w:szCs w:val="20"/>
        </w:rPr>
      </w:pPr>
      <w:r>
        <w:rPr>
          <w:rFonts w:ascii="Cambria" w:hAnsi="Cambria"/>
          <w:sz w:val="20"/>
        </w:rPr>
        <w:t xml:space="preserve">Bearing in mind the ambiguity of the information as to whether the investigation was formally archived, the Commission considers that the more than 21 year that have elapsed since the complaint was filed regarding the disappearance and subsequent death of Mr. Gómez constitutes an excessive period of time that the State has not justified. Therefore, the Commission finds that the State violated the reasonable-time rule. </w:t>
      </w:r>
    </w:p>
    <w:p w:rsidR="006B32D3" w:rsidRPr="00BF3D11" w:rsidRDefault="006B32D3" w:rsidP="006B32D3">
      <w:pPr>
        <w:rPr>
          <w:rFonts w:ascii="Cambria" w:hAnsi="Cambria"/>
          <w:sz w:val="20"/>
          <w:szCs w:val="20"/>
        </w:rPr>
      </w:pPr>
    </w:p>
    <w:p w:rsidR="006B32D3" w:rsidRPr="00BF3D11" w:rsidRDefault="006B32D3" w:rsidP="006B32D3">
      <w:pPr>
        <w:ind w:left="720"/>
        <w:rPr>
          <w:rFonts w:ascii="Cambria" w:hAnsi="Cambria"/>
          <w:b/>
          <w:sz w:val="20"/>
          <w:szCs w:val="20"/>
        </w:rPr>
      </w:pPr>
      <w:r>
        <w:rPr>
          <w:rFonts w:ascii="Cambria" w:hAnsi="Cambria"/>
          <w:b/>
          <w:sz w:val="20"/>
        </w:rPr>
        <w:t>4.</w:t>
      </w:r>
      <w:r>
        <w:tab/>
      </w:r>
      <w:r>
        <w:rPr>
          <w:rFonts w:ascii="Cambria" w:hAnsi="Cambria"/>
          <w:b/>
          <w:sz w:val="20"/>
        </w:rPr>
        <w:t>Conclusion</w:t>
      </w:r>
    </w:p>
    <w:p w:rsidR="006B32D3" w:rsidRPr="00BF3D11" w:rsidRDefault="006B32D3" w:rsidP="006B32D3">
      <w:pPr>
        <w:rPr>
          <w:rFonts w:ascii="Cambria" w:hAnsi="Cambria"/>
          <w:sz w:val="20"/>
          <w:szCs w:val="20"/>
        </w:rPr>
      </w:pPr>
    </w:p>
    <w:p w:rsidR="006B32D3" w:rsidRPr="00BF3D11" w:rsidRDefault="006B32D3" w:rsidP="006B32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450"/>
        </w:tabs>
        <w:jc w:val="both"/>
        <w:rPr>
          <w:rFonts w:ascii="Cambria" w:hAnsi="Cambria"/>
          <w:sz w:val="20"/>
          <w:szCs w:val="20"/>
        </w:rPr>
      </w:pPr>
      <w:r>
        <w:rPr>
          <w:rFonts w:ascii="Cambria" w:hAnsi="Cambria"/>
          <w:sz w:val="20"/>
        </w:rPr>
        <w:t xml:space="preserve">In light of the above considerations, the Commission concludes that the State of Guatemala is responsible for violation of the rights to judicial guarantees and judicial protection recognized in Articles 8.1 and 25.1  of the American Convention, in conjunction with the obligations contained in Articles 1.1 thereof, to the detriment of Alejandro </w:t>
      </w:r>
      <w:proofErr w:type="spellStart"/>
      <w:r>
        <w:rPr>
          <w:rFonts w:ascii="Cambria" w:hAnsi="Cambria"/>
          <w:sz w:val="20"/>
        </w:rPr>
        <w:t>Yovany</w:t>
      </w:r>
      <w:proofErr w:type="spellEnd"/>
      <w:r>
        <w:rPr>
          <w:rFonts w:ascii="Cambria" w:hAnsi="Cambria"/>
          <w:sz w:val="20"/>
        </w:rPr>
        <w:t xml:space="preserve"> Gómez, given the total lack of steps taken to find him prior to the discovery of his body, and of his parents given all the actions and omissions described in this section.</w:t>
      </w:r>
    </w:p>
    <w:p w:rsidR="006B32D3" w:rsidRPr="00BF3D11" w:rsidRDefault="006B32D3" w:rsidP="006B32D3">
      <w:pPr>
        <w:rPr>
          <w:rFonts w:ascii="Cambria" w:hAnsi="Cambria"/>
          <w:sz w:val="20"/>
          <w:szCs w:val="20"/>
        </w:rPr>
      </w:pPr>
    </w:p>
    <w:p w:rsidR="006B32D3" w:rsidRPr="00BF3D11" w:rsidRDefault="006B32D3" w:rsidP="006B32D3">
      <w:pPr>
        <w:pStyle w:val="Heading2"/>
        <w:numPr>
          <w:ilvl w:val="0"/>
          <w:numId w:val="59"/>
        </w:numPr>
        <w:spacing w:before="0" w:after="0"/>
        <w:ind w:left="1440" w:hanging="720"/>
        <w:jc w:val="both"/>
        <w:rPr>
          <w:rFonts w:ascii="Cambria" w:hAnsi="Cambria"/>
          <w:i w:val="0"/>
          <w:sz w:val="20"/>
          <w:szCs w:val="20"/>
        </w:rPr>
      </w:pPr>
      <w:bookmarkStart w:id="73" w:name="_Toc473188707"/>
      <w:bookmarkStart w:id="74" w:name="_Toc478023984"/>
      <w:r>
        <w:rPr>
          <w:rFonts w:ascii="Cambria" w:hAnsi="Cambria"/>
          <w:i w:val="0"/>
          <w:sz w:val="20"/>
        </w:rPr>
        <w:t xml:space="preserve">Right to human treatment/personal integrity (Article 5.1 of the American Convention in conjunction with Article 1.1. thereof) to the detriment of Alejandro </w:t>
      </w:r>
      <w:proofErr w:type="spellStart"/>
      <w:r>
        <w:rPr>
          <w:rFonts w:ascii="Cambria" w:hAnsi="Cambria"/>
          <w:i w:val="0"/>
          <w:sz w:val="20"/>
        </w:rPr>
        <w:t>Yovany</w:t>
      </w:r>
      <w:proofErr w:type="spellEnd"/>
      <w:r>
        <w:rPr>
          <w:rFonts w:ascii="Cambria" w:hAnsi="Cambria"/>
          <w:i w:val="0"/>
          <w:sz w:val="20"/>
        </w:rPr>
        <w:t xml:space="preserve"> Gómez's family.</w:t>
      </w:r>
      <w:bookmarkEnd w:id="73"/>
      <w:bookmarkEnd w:id="74"/>
    </w:p>
    <w:p w:rsidR="006B32D3" w:rsidRPr="00BF3D11" w:rsidRDefault="006B32D3" w:rsidP="006B32D3">
      <w:pPr>
        <w:tabs>
          <w:tab w:val="left" w:pos="1440"/>
        </w:tabs>
        <w:jc w:val="both"/>
        <w:rPr>
          <w:rFonts w:ascii="Cambria" w:hAnsi="Cambria"/>
          <w:sz w:val="20"/>
          <w:szCs w:val="20"/>
        </w:rPr>
      </w:pPr>
    </w:p>
    <w:p w:rsidR="006B32D3" w:rsidRPr="00BF3D11" w:rsidRDefault="006B32D3" w:rsidP="006B32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hAnsi="Cambria"/>
          <w:sz w:val="20"/>
          <w:szCs w:val="20"/>
        </w:rPr>
      </w:pPr>
      <w:r>
        <w:rPr>
          <w:rFonts w:ascii="Cambria" w:hAnsi="Cambria"/>
          <w:sz w:val="20"/>
        </w:rPr>
        <w:t>Article 5(1) of the American Convention on Human Rights provides, “Every person has the right to have his physical, mental, and moral integrity respected." The Inter-American Court has indicated that the next-of-kin of victims of certain human rights violations may, in turn, be considered victims.</w:t>
      </w:r>
      <w:r>
        <w:rPr>
          <w:sz w:val="20"/>
          <w:vertAlign w:val="superscript"/>
        </w:rPr>
        <w:footnoteReference w:id="136"/>
      </w:r>
      <w:r>
        <w:rPr>
          <w:rFonts w:ascii="Cambria" w:hAnsi="Cambria"/>
          <w:sz w:val="20"/>
        </w:rPr>
        <w:t xml:space="preserve"> In that regard, the Court has ruled that their right to mental and moral integrity [may be] violated based on the ... particular circumstances of the violations perpetrated against their loved ones and owing to the subsequent acts or omissions of the State authorities in relation to the facts.</w:t>
      </w:r>
      <w:r>
        <w:rPr>
          <w:rStyle w:val="FootnoteReference"/>
          <w:rFonts w:ascii="Cambria" w:hAnsi="Cambria"/>
          <w:sz w:val="20"/>
        </w:rPr>
        <w:footnoteReference w:id="137"/>
      </w:r>
    </w:p>
    <w:p w:rsidR="006B32D3" w:rsidRPr="00BF3D11" w:rsidRDefault="006B32D3" w:rsidP="006B32D3">
      <w:pPr>
        <w:pStyle w:val="BodyTextIndent"/>
        <w:tabs>
          <w:tab w:val="left" w:pos="1440"/>
        </w:tabs>
        <w:ind w:firstLine="0"/>
        <w:rPr>
          <w:rFonts w:ascii="Cambria" w:hAnsi="Cambria"/>
          <w:color w:val="auto"/>
          <w:sz w:val="20"/>
          <w:szCs w:val="20"/>
        </w:rPr>
      </w:pPr>
    </w:p>
    <w:p w:rsidR="006B32D3" w:rsidRPr="00BF3D11" w:rsidRDefault="006B32D3" w:rsidP="006B32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hAnsi="Cambria"/>
          <w:sz w:val="20"/>
          <w:szCs w:val="20"/>
        </w:rPr>
      </w:pPr>
      <w:r>
        <w:rPr>
          <w:rFonts w:ascii="Cambria" w:hAnsi="Cambria"/>
          <w:sz w:val="20"/>
        </w:rPr>
        <w:t xml:space="preserve">Specifically with respect to cases where a complete and effective investigation was lacking, as in this matter, the Court has held that: </w:t>
      </w:r>
    </w:p>
    <w:p w:rsidR="006B32D3" w:rsidRPr="00BF3D11" w:rsidRDefault="006B32D3" w:rsidP="006B32D3">
      <w:pPr>
        <w:pStyle w:val="BodyTextIndent"/>
        <w:tabs>
          <w:tab w:val="left" w:pos="1440"/>
        </w:tabs>
        <w:ind w:firstLine="0"/>
        <w:rPr>
          <w:rFonts w:ascii="Cambria" w:hAnsi="Cambria"/>
          <w:color w:val="auto"/>
          <w:sz w:val="20"/>
          <w:szCs w:val="20"/>
        </w:rPr>
      </w:pPr>
    </w:p>
    <w:p w:rsidR="006B32D3" w:rsidRPr="00BF3D11" w:rsidRDefault="006B32D3" w:rsidP="006B32D3">
      <w:pPr>
        <w:pStyle w:val="BodyTextIndent"/>
        <w:tabs>
          <w:tab w:val="left" w:pos="1440"/>
          <w:tab w:val="left" w:pos="8640"/>
        </w:tabs>
        <w:ind w:left="720" w:right="720" w:firstLine="0"/>
        <w:jc w:val="both"/>
        <w:rPr>
          <w:rFonts w:ascii="Cambria" w:hAnsi="Cambria"/>
          <w:color w:val="auto"/>
          <w:sz w:val="20"/>
          <w:szCs w:val="20"/>
        </w:rPr>
      </w:pPr>
      <w:r>
        <w:rPr>
          <w:rFonts w:ascii="Cambria" w:hAnsi="Cambria"/>
          <w:color w:val="auto"/>
          <w:sz w:val="20"/>
        </w:rPr>
        <w:t>The absence of a complete and effective investigation into the facts constitutes a source of additional suffering and anguish for victims and their next of kin, who have the right to know the truth of what happened. This right to the truth requires a procedural determination of the most complete historical truth possible, including the determination of patterns of collective action and of all those who, in different ways, took part in the said violations, as well as their corresponding responsibilities.</w:t>
      </w:r>
      <w:r>
        <w:rPr>
          <w:rStyle w:val="FootnoteReference"/>
          <w:rFonts w:ascii="Cambria" w:hAnsi="Cambria"/>
          <w:color w:val="auto"/>
          <w:sz w:val="20"/>
        </w:rPr>
        <w:footnoteReference w:id="138"/>
      </w:r>
      <w:r>
        <w:rPr>
          <w:rFonts w:ascii="Cambria" w:hAnsi="Cambria"/>
          <w:color w:val="auto"/>
          <w:sz w:val="20"/>
        </w:rPr>
        <w:t xml:space="preserve">  </w:t>
      </w:r>
    </w:p>
    <w:p w:rsidR="006B32D3" w:rsidRPr="00BF3D11" w:rsidRDefault="006B32D3" w:rsidP="006B32D3">
      <w:pPr>
        <w:pStyle w:val="BodyTextIndent"/>
        <w:tabs>
          <w:tab w:val="left" w:pos="1440"/>
        </w:tabs>
        <w:ind w:firstLine="0"/>
        <w:rPr>
          <w:rFonts w:ascii="Cambria" w:hAnsi="Cambria"/>
          <w:color w:val="auto"/>
          <w:sz w:val="20"/>
          <w:szCs w:val="20"/>
        </w:rPr>
      </w:pPr>
    </w:p>
    <w:p w:rsidR="006B32D3" w:rsidRPr="00BF3D11" w:rsidRDefault="006B32D3" w:rsidP="006B32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hAnsi="Cambria"/>
          <w:sz w:val="20"/>
          <w:szCs w:val="20"/>
        </w:rPr>
      </w:pPr>
      <w:r>
        <w:rPr>
          <w:rFonts w:ascii="Cambria" w:hAnsi="Cambria"/>
          <w:sz w:val="20"/>
        </w:rPr>
        <w:t xml:space="preserve">The Commission considers that the loss of a loved one in circumstances such as those described in this case, as well as the lack of a thorough and effective investigation which in turn causes pain and anguish at not knowing what happened, in themselves constitute harm to the mental and moral integrity of the members of Mr.  Gómez's family. Consequently, the Commission concludes that the State violated the right to mental and moral integrity, as recognized in Article 5.1 of the American Convention, in connection with the obligations set out in Article 1(1.1) thereof, in respect of Alejandro </w:t>
      </w:r>
      <w:proofErr w:type="spellStart"/>
      <w:r>
        <w:rPr>
          <w:rFonts w:ascii="Cambria" w:hAnsi="Cambria"/>
          <w:sz w:val="20"/>
        </w:rPr>
        <w:t>Yovany</w:t>
      </w:r>
      <w:proofErr w:type="spellEnd"/>
      <w:r>
        <w:rPr>
          <w:rFonts w:ascii="Cambria" w:hAnsi="Cambria"/>
          <w:sz w:val="20"/>
        </w:rPr>
        <w:t xml:space="preserve"> Gómez's next of kin.</w:t>
      </w:r>
    </w:p>
    <w:p w:rsidR="006B32D3" w:rsidRPr="00BF3D11" w:rsidRDefault="006B32D3" w:rsidP="006B32D3">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olor w:val="auto"/>
          <w:sz w:val="20"/>
          <w:szCs w:val="20"/>
        </w:rPr>
      </w:pPr>
    </w:p>
    <w:p w:rsidR="006B32D3" w:rsidRPr="00BF3D11" w:rsidRDefault="006B32D3" w:rsidP="006B32D3">
      <w:pPr>
        <w:pStyle w:val="Heading1"/>
      </w:pPr>
      <w:bookmarkStart w:id="75" w:name="_Toc370830584"/>
      <w:bookmarkStart w:id="76" w:name="_Toc370831309"/>
      <w:bookmarkStart w:id="77" w:name="_Toc412635589"/>
      <w:bookmarkStart w:id="78" w:name="_Toc416685646"/>
      <w:bookmarkStart w:id="79" w:name="_Toc473188708"/>
      <w:bookmarkStart w:id="80" w:name="_Toc478023985"/>
      <w:r>
        <w:t>CONCLUSIONS</w:t>
      </w:r>
      <w:bookmarkEnd w:id="75"/>
      <w:bookmarkEnd w:id="76"/>
      <w:bookmarkEnd w:id="77"/>
      <w:bookmarkEnd w:id="78"/>
      <w:bookmarkEnd w:id="79"/>
      <w:bookmarkEnd w:id="80"/>
    </w:p>
    <w:p w:rsidR="006B32D3" w:rsidRPr="00BF3D11" w:rsidRDefault="006B32D3" w:rsidP="006B32D3">
      <w:pPr>
        <w:rPr>
          <w:rFonts w:ascii="Cambria" w:hAnsi="Cambria"/>
          <w:sz w:val="20"/>
          <w:szCs w:val="20"/>
        </w:rPr>
      </w:pPr>
    </w:p>
    <w:p w:rsidR="006B32D3" w:rsidRPr="00BF3D11" w:rsidRDefault="00670E42" w:rsidP="006B32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hAnsi="Cambria"/>
          <w:sz w:val="20"/>
          <w:szCs w:val="20"/>
        </w:rPr>
      </w:pPr>
      <w:r>
        <w:rPr>
          <w:rFonts w:ascii="Cambria" w:hAnsi="Cambria"/>
          <w:sz w:val="20"/>
        </w:rPr>
        <w:t>Based</w:t>
      </w:r>
      <w:r w:rsidR="006B32D3">
        <w:rPr>
          <w:rFonts w:ascii="Cambria" w:hAnsi="Cambria"/>
          <w:sz w:val="20"/>
        </w:rPr>
        <w:t xml:space="preserve"> on the above considerations of fact and law, the Inter-American Commission concludes that the State is responsible for </w:t>
      </w:r>
      <w:proofErr w:type="spellStart"/>
      <w:r w:rsidR="006B32D3">
        <w:rPr>
          <w:rFonts w:ascii="Cambria" w:hAnsi="Cambria"/>
          <w:sz w:val="20"/>
        </w:rPr>
        <w:t>i</w:t>
      </w:r>
      <w:proofErr w:type="spellEnd"/>
      <w:r w:rsidR="006B32D3">
        <w:rPr>
          <w:rFonts w:ascii="Cambria" w:hAnsi="Cambria"/>
          <w:sz w:val="20"/>
        </w:rPr>
        <w:t xml:space="preserve">) violation of the rights to life, personal integrity, and personal liberty established in Articles 4.1, 5.1, 7.1, 16, 8.1, and 25.1 of the American Convention, in conjunction with Article 1.1 of the same instrument, to the detriment of Alejandro </w:t>
      </w:r>
      <w:proofErr w:type="spellStart"/>
      <w:r w:rsidR="006B32D3">
        <w:rPr>
          <w:rFonts w:ascii="Cambria" w:hAnsi="Cambria"/>
          <w:sz w:val="20"/>
        </w:rPr>
        <w:t>Yovany</w:t>
      </w:r>
      <w:proofErr w:type="spellEnd"/>
      <w:r w:rsidR="006B32D3">
        <w:rPr>
          <w:rFonts w:ascii="Cambria" w:hAnsi="Cambria"/>
          <w:sz w:val="20"/>
        </w:rPr>
        <w:t xml:space="preserve"> Gómez </w:t>
      </w:r>
      <w:proofErr w:type="spellStart"/>
      <w:r w:rsidR="006B32D3">
        <w:rPr>
          <w:rFonts w:ascii="Cambria" w:hAnsi="Cambria"/>
          <w:sz w:val="20"/>
        </w:rPr>
        <w:t>Virula</w:t>
      </w:r>
      <w:proofErr w:type="spellEnd"/>
      <w:r w:rsidR="006B32D3">
        <w:rPr>
          <w:rFonts w:ascii="Cambria" w:hAnsi="Cambria"/>
          <w:sz w:val="20"/>
        </w:rPr>
        <w:t xml:space="preserve">;  and ii) violation of the rights to personal integrity, judicial guarantees and judicial protection established in Articles 5.1, 8.1, and 25.1 of the American Convention, in conjunction with Article 1.1 of the same instrument, to the detriment of  Mr. Gómez's parents, Antonio Gómez and Paula </w:t>
      </w:r>
      <w:proofErr w:type="spellStart"/>
      <w:r w:rsidR="006B32D3">
        <w:rPr>
          <w:rFonts w:ascii="Cambria" w:hAnsi="Cambria"/>
          <w:sz w:val="20"/>
        </w:rPr>
        <w:t>Virula</w:t>
      </w:r>
      <w:proofErr w:type="spellEnd"/>
      <w:r w:rsidR="006B32D3">
        <w:rPr>
          <w:rFonts w:ascii="Cambria" w:hAnsi="Cambria"/>
          <w:sz w:val="20"/>
        </w:rPr>
        <w:t>.</w:t>
      </w:r>
    </w:p>
    <w:p w:rsidR="006B32D3" w:rsidRPr="00BF3D11" w:rsidRDefault="006B32D3" w:rsidP="006B32D3">
      <w:pPr>
        <w:rPr>
          <w:rFonts w:ascii="Cambria" w:hAnsi="Cambria"/>
          <w:sz w:val="20"/>
          <w:szCs w:val="20"/>
        </w:rPr>
      </w:pPr>
    </w:p>
    <w:p w:rsidR="006B32D3" w:rsidRPr="001216A1" w:rsidRDefault="006B32D3" w:rsidP="006B32D3">
      <w:pPr>
        <w:pStyle w:val="Heading1"/>
      </w:pPr>
      <w:bookmarkStart w:id="81" w:name="_Toc473188709"/>
      <w:bookmarkStart w:id="82" w:name="_Toc478023986"/>
      <w:r>
        <w:lastRenderedPageBreak/>
        <w:t>RECOMMENDATIONS</w:t>
      </w:r>
      <w:bookmarkEnd w:id="81"/>
      <w:bookmarkEnd w:id="82"/>
    </w:p>
    <w:p w:rsidR="006B32D3" w:rsidRPr="001216A1" w:rsidRDefault="006B32D3" w:rsidP="006B32D3">
      <w:pPr>
        <w:rPr>
          <w:rFonts w:ascii="Cambria" w:hAnsi="Cambria"/>
          <w:sz w:val="20"/>
          <w:szCs w:val="20"/>
        </w:rPr>
      </w:pPr>
    </w:p>
    <w:p w:rsidR="006B32D3" w:rsidRPr="00BF3D11" w:rsidRDefault="006B32D3" w:rsidP="006B32D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hAnsi="Cambria" w:cs="Arial"/>
          <w:sz w:val="20"/>
          <w:szCs w:val="20"/>
        </w:rPr>
      </w:pPr>
      <w:r>
        <w:rPr>
          <w:rFonts w:ascii="Cambria" w:hAnsi="Cambria"/>
          <w:sz w:val="20"/>
        </w:rPr>
        <w:t xml:space="preserve">In light of the foregoing conclusions, </w:t>
      </w:r>
    </w:p>
    <w:p w:rsidR="006B32D3" w:rsidRPr="00BF3D11" w:rsidRDefault="006B32D3" w:rsidP="006B32D3">
      <w:pPr>
        <w:ind w:firstLine="567"/>
        <w:jc w:val="both"/>
        <w:rPr>
          <w:rFonts w:ascii="Cambria" w:hAnsi="Cambria" w:cs="Arial"/>
          <w:sz w:val="20"/>
          <w:szCs w:val="20"/>
        </w:rPr>
      </w:pPr>
    </w:p>
    <w:p w:rsidR="006B32D3" w:rsidRPr="00BF3D11" w:rsidRDefault="006B32D3" w:rsidP="006B32D3">
      <w:pPr>
        <w:ind w:firstLine="567"/>
        <w:jc w:val="center"/>
        <w:rPr>
          <w:rFonts w:ascii="Cambria" w:hAnsi="Cambria" w:cs="Arial"/>
          <w:b/>
          <w:sz w:val="20"/>
          <w:szCs w:val="20"/>
        </w:rPr>
      </w:pPr>
      <w:r>
        <w:rPr>
          <w:rFonts w:ascii="Cambria" w:hAnsi="Cambria"/>
          <w:b/>
          <w:sz w:val="20"/>
        </w:rPr>
        <w:t>THE INTER-AMERICAN COMMISSION ON HUMAN RIGHTS,</w:t>
      </w:r>
    </w:p>
    <w:p w:rsidR="006B32D3" w:rsidRPr="00BF3D11" w:rsidRDefault="006B32D3" w:rsidP="006B32D3">
      <w:pPr>
        <w:ind w:firstLine="567"/>
        <w:jc w:val="center"/>
        <w:rPr>
          <w:rFonts w:ascii="Cambria" w:hAnsi="Cambria" w:cs="Arial"/>
          <w:b/>
          <w:sz w:val="20"/>
          <w:szCs w:val="20"/>
        </w:rPr>
      </w:pPr>
      <w:r>
        <w:rPr>
          <w:rFonts w:ascii="Cambria" w:hAnsi="Cambria"/>
          <w:b/>
          <w:sz w:val="20"/>
        </w:rPr>
        <w:t>RECOMMENDS THAT THE STATE OF GUATEMALA:</w:t>
      </w:r>
    </w:p>
    <w:p w:rsidR="006B32D3" w:rsidRPr="00BF3D11" w:rsidRDefault="006B32D3" w:rsidP="006B32D3">
      <w:pPr>
        <w:tabs>
          <w:tab w:val="left" w:pos="360"/>
        </w:tabs>
        <w:ind w:firstLine="567"/>
        <w:jc w:val="both"/>
        <w:rPr>
          <w:rFonts w:ascii="Cambria" w:hAnsi="Cambria" w:cs="Arial"/>
          <w:sz w:val="20"/>
          <w:szCs w:val="20"/>
        </w:rPr>
      </w:pPr>
    </w:p>
    <w:p w:rsidR="006B32D3" w:rsidRPr="00BF3D11" w:rsidRDefault="006B32D3" w:rsidP="006B32D3">
      <w:pPr>
        <w:pStyle w:val="BodyText3"/>
        <w:numPr>
          <w:ilvl w:val="1"/>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860"/>
          <w:tab w:val="left" w:pos="1440"/>
        </w:tabs>
        <w:spacing w:after="0"/>
        <w:ind w:left="0" w:firstLine="720"/>
        <w:jc w:val="both"/>
        <w:rPr>
          <w:rFonts w:ascii="Cambria" w:hAnsi="Cambria"/>
          <w:sz w:val="20"/>
          <w:szCs w:val="20"/>
        </w:rPr>
      </w:pPr>
      <w:r>
        <w:rPr>
          <w:rFonts w:ascii="Cambria" w:hAnsi="Cambria"/>
          <w:sz w:val="20"/>
        </w:rPr>
        <w:t xml:space="preserve"> Provide full reparation for the human rights violations found in the instant report, including both material and moral dimensions. The State should adopt financial compensation measures</w:t>
      </w:r>
      <w:r w:rsidR="00670E42">
        <w:rPr>
          <w:rFonts w:ascii="Cambria" w:hAnsi="Cambria"/>
          <w:sz w:val="20"/>
        </w:rPr>
        <w:t>; make</w:t>
      </w:r>
      <w:r>
        <w:rPr>
          <w:rFonts w:ascii="Cambria" w:hAnsi="Cambria"/>
          <w:sz w:val="20"/>
        </w:rPr>
        <w:t xml:space="preserve"> reparation for the moral prejudice done to the victims, and provide rehabilitation facilities for the family members that desire them.</w:t>
      </w:r>
    </w:p>
    <w:p w:rsidR="006B32D3" w:rsidRPr="00BF3D11" w:rsidRDefault="006B32D3" w:rsidP="006B32D3">
      <w:pPr>
        <w:pStyle w:val="BodyText3"/>
        <w:tabs>
          <w:tab w:val="left" w:pos="1440"/>
        </w:tabs>
        <w:spacing w:after="0"/>
        <w:ind w:firstLine="720"/>
        <w:jc w:val="both"/>
        <w:rPr>
          <w:rFonts w:ascii="Cambria" w:hAnsi="Cambria"/>
          <w:sz w:val="20"/>
          <w:szCs w:val="20"/>
        </w:rPr>
      </w:pPr>
    </w:p>
    <w:p w:rsidR="006B32D3" w:rsidRPr="00BF3D11" w:rsidRDefault="006B32D3" w:rsidP="006B32D3">
      <w:pPr>
        <w:pStyle w:val="BodyText3"/>
        <w:numPr>
          <w:ilvl w:val="1"/>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860"/>
          <w:tab w:val="left" w:pos="1440"/>
        </w:tabs>
        <w:spacing w:after="0"/>
        <w:ind w:left="0" w:firstLine="720"/>
        <w:jc w:val="both"/>
        <w:rPr>
          <w:rFonts w:ascii="Cambria" w:hAnsi="Cambria"/>
          <w:sz w:val="20"/>
          <w:szCs w:val="20"/>
        </w:rPr>
      </w:pPr>
      <w:r>
        <w:rPr>
          <w:rFonts w:ascii="Cambria" w:hAnsi="Cambria"/>
          <w:sz w:val="20"/>
        </w:rPr>
        <w:t xml:space="preserve"> Conduct and complete a full, effective, impartial judicial investigation in a prompt manner, in order to establish the circumstances in which Alejandro </w:t>
      </w:r>
      <w:proofErr w:type="spellStart"/>
      <w:r>
        <w:rPr>
          <w:rFonts w:ascii="Cambria" w:hAnsi="Cambria"/>
          <w:sz w:val="20"/>
        </w:rPr>
        <w:t>Yovany</w:t>
      </w:r>
      <w:proofErr w:type="spellEnd"/>
      <w:r>
        <w:rPr>
          <w:rFonts w:ascii="Cambria" w:hAnsi="Cambria"/>
          <w:sz w:val="20"/>
        </w:rPr>
        <w:t xml:space="preserve"> Gómez disappeared and died; explore and thoroughly exhaust the logical lines of inquiry in connection with the case; and identify and, as appropriate, punish all those who participated in the acts. </w:t>
      </w:r>
    </w:p>
    <w:p w:rsidR="006B32D3" w:rsidRPr="00BF3D11" w:rsidRDefault="006B32D3" w:rsidP="006B32D3">
      <w:pPr>
        <w:pStyle w:val="BodyText3"/>
        <w:tabs>
          <w:tab w:val="left" w:pos="1440"/>
        </w:tabs>
        <w:spacing w:after="0"/>
        <w:ind w:firstLine="720"/>
        <w:jc w:val="both"/>
        <w:rPr>
          <w:rFonts w:ascii="Cambria" w:hAnsi="Cambria"/>
          <w:sz w:val="20"/>
          <w:szCs w:val="20"/>
        </w:rPr>
      </w:pPr>
    </w:p>
    <w:p w:rsidR="006B32D3" w:rsidRPr="00BF3D11" w:rsidRDefault="006B32D3" w:rsidP="006B32D3">
      <w:pPr>
        <w:pStyle w:val="BodyText3"/>
        <w:numPr>
          <w:ilvl w:val="1"/>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860"/>
          <w:tab w:val="left" w:pos="1440"/>
        </w:tabs>
        <w:spacing w:after="0"/>
        <w:ind w:left="0" w:firstLine="720"/>
        <w:jc w:val="both"/>
        <w:rPr>
          <w:rFonts w:ascii="Cambria" w:hAnsi="Cambria"/>
          <w:sz w:val="20"/>
          <w:szCs w:val="20"/>
        </w:rPr>
      </w:pPr>
      <w:r>
        <w:rPr>
          <w:rFonts w:ascii="Cambria" w:hAnsi="Cambria"/>
          <w:sz w:val="20"/>
        </w:rPr>
        <w:t xml:space="preserve"> Impose appropriate administrative, disciplinary or criminal penalties for the acts or omissions of state officials that contributed to the denial of justice and impunity regarding the facts in the case.</w:t>
      </w:r>
    </w:p>
    <w:p w:rsidR="006B32D3" w:rsidRPr="00BF3D11" w:rsidRDefault="006B32D3" w:rsidP="006B32D3">
      <w:pPr>
        <w:pStyle w:val="ColorfulList-Accent11"/>
        <w:tabs>
          <w:tab w:val="left" w:pos="1440"/>
        </w:tabs>
        <w:ind w:left="0" w:firstLine="720"/>
        <w:rPr>
          <w:rFonts w:ascii="Cambria" w:hAnsi="Cambria"/>
          <w:sz w:val="20"/>
          <w:szCs w:val="20"/>
        </w:rPr>
      </w:pPr>
    </w:p>
    <w:p w:rsidR="006B32D3" w:rsidRPr="00BF3D11" w:rsidRDefault="006B32D3" w:rsidP="006B32D3">
      <w:pPr>
        <w:pStyle w:val="BodyText3"/>
        <w:numPr>
          <w:ilvl w:val="1"/>
          <w:numId w:val="60"/>
        </w:numPr>
        <w:pBdr>
          <w:top w:val="none" w:sz="0" w:space="0" w:color="auto"/>
          <w:left w:val="none" w:sz="0" w:space="0" w:color="auto"/>
          <w:bottom w:val="none" w:sz="0" w:space="0" w:color="auto"/>
          <w:right w:val="none" w:sz="0" w:space="0" w:color="auto"/>
          <w:between w:val="none" w:sz="0" w:space="0" w:color="auto"/>
          <w:bar w:val="none" w:sz="0" w:color="auto"/>
        </w:pBdr>
        <w:tabs>
          <w:tab w:val="clear" w:pos="1860"/>
          <w:tab w:val="left" w:pos="1440"/>
        </w:tabs>
        <w:spacing w:after="0"/>
        <w:ind w:left="0" w:firstLine="720"/>
        <w:jc w:val="both"/>
        <w:rPr>
          <w:rFonts w:ascii="Cambria" w:hAnsi="Cambria"/>
          <w:sz w:val="20"/>
          <w:szCs w:val="20"/>
        </w:rPr>
      </w:pPr>
      <w:r>
        <w:rPr>
          <w:rFonts w:ascii="Cambria" w:hAnsi="Cambria"/>
          <w:sz w:val="20"/>
        </w:rPr>
        <w:t xml:space="preserve"> Implement "non-repetition"  measures that include  measures to ensure </w:t>
      </w:r>
      <w:proofErr w:type="spellStart"/>
      <w:r>
        <w:rPr>
          <w:rFonts w:ascii="Cambria" w:hAnsi="Cambria"/>
          <w:sz w:val="20"/>
        </w:rPr>
        <w:t>i</w:t>
      </w:r>
      <w:proofErr w:type="spellEnd"/>
      <w:r>
        <w:rPr>
          <w:rFonts w:ascii="Cambria" w:hAnsi="Cambria"/>
          <w:sz w:val="20"/>
        </w:rPr>
        <w:t xml:space="preserve">) that investigations into denunciations of  disappearances comply with the standards established in this report regarding the duty to respond immediately with efforts to determine the whereabouts of the person whose disappearance has been reported; ii) that investigations into violent deaths comply with the duty to investigate with due diligence, as described in this report; and iii) heightened capacity to investigate the deaths of human rights defenders in Guatemala, especially trade unionists, that may be related to their work. </w:t>
      </w:r>
    </w:p>
    <w:p w:rsidR="006B32D3" w:rsidRPr="00BF3D11" w:rsidRDefault="006B32D3" w:rsidP="006B32D3">
      <w:pPr>
        <w:tabs>
          <w:tab w:val="left" w:pos="1440"/>
        </w:tabs>
        <w:ind w:firstLine="720"/>
        <w:jc w:val="both"/>
        <w:rPr>
          <w:rFonts w:ascii="Cambria" w:hAnsi="Cambria"/>
          <w:sz w:val="20"/>
          <w:szCs w:val="20"/>
        </w:rPr>
      </w:pPr>
    </w:p>
    <w:p w:rsidR="006B32D3" w:rsidRPr="00BF3D11" w:rsidRDefault="006B32D3" w:rsidP="006B32D3">
      <w:pPr>
        <w:tabs>
          <w:tab w:val="left" w:pos="1440"/>
          <w:tab w:val="center" w:pos="5400"/>
        </w:tabs>
        <w:suppressAutoHyphens/>
        <w:ind w:firstLine="720"/>
        <w:jc w:val="center"/>
        <w:rPr>
          <w:rFonts w:ascii="Cambria" w:hAnsi="Cambria" w:cs="Calibri"/>
          <w:color w:val="808080"/>
          <w:sz w:val="20"/>
          <w:szCs w:val="20"/>
        </w:rPr>
      </w:pPr>
    </w:p>
    <w:p w:rsidR="006B32D3" w:rsidRPr="00BF3D11" w:rsidRDefault="006B32D3" w:rsidP="006B32D3">
      <w:pPr>
        <w:tabs>
          <w:tab w:val="left" w:pos="1440"/>
        </w:tabs>
        <w:ind w:firstLine="720"/>
        <w:rPr>
          <w:rFonts w:ascii="Cambria" w:hAnsi="Cambria"/>
          <w:sz w:val="20"/>
          <w:szCs w:val="20"/>
        </w:rPr>
      </w:pPr>
    </w:p>
    <w:p w:rsidR="006B32D3" w:rsidRPr="00C471EC" w:rsidRDefault="006B32D3" w:rsidP="006B32D3">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rPr>
      </w:pPr>
    </w:p>
    <w:p w:rsidR="006B32D3" w:rsidRPr="006B32D3" w:rsidRDefault="006B32D3" w:rsidP="006B32D3">
      <w:pPr>
        <w:tabs>
          <w:tab w:val="center" w:pos="5400"/>
        </w:tabs>
        <w:suppressAutoHyphens/>
        <w:spacing w:line="276" w:lineRule="auto"/>
        <w:jc w:val="center"/>
        <w:rPr>
          <w:rFonts w:ascii="Cambria" w:hAnsi="Cambria"/>
          <w:sz w:val="20"/>
          <w:szCs w:val="20"/>
        </w:rPr>
      </w:pPr>
    </w:p>
    <w:p w:rsidR="003161A0" w:rsidRPr="006B32D3" w:rsidRDefault="003161A0" w:rsidP="006B32D3"/>
    <w:sectPr w:rsidR="003161A0" w:rsidRPr="006B32D3" w:rsidSect="00934A2C">
      <w:headerReference w:type="even" r:id="rId15"/>
      <w:headerReference w:type="default" r:id="rId16"/>
      <w:footerReference w:type="default" r:id="rId17"/>
      <w:footerReference w:type="first" r:id="rId18"/>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2A5" w:rsidRDefault="003F32A5">
      <w:r>
        <w:separator/>
      </w:r>
    </w:p>
  </w:endnote>
  <w:endnote w:type="continuationSeparator" w:id="0">
    <w:p w:rsidR="003F32A5" w:rsidRDefault="003F3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2D3" w:rsidRPr="006311DA" w:rsidRDefault="006B32D3">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Pr>
        <w:noProof/>
        <w:sz w:val="16"/>
      </w:rPr>
      <w:t>2</w:t>
    </w:r>
    <w:r w:rsidRPr="006311DA">
      <w:rPr>
        <w:noProof/>
        <w:sz w:val="16"/>
      </w:rPr>
      <w:fldChar w:fldCharType="end"/>
    </w:r>
  </w:p>
  <w:p w:rsidR="006B32D3" w:rsidRDefault="006B32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2D3" w:rsidRDefault="006B32D3">
    <w:pPr>
      <w:pStyle w:val="Footer"/>
      <w:jc w:val="center"/>
    </w:pPr>
  </w:p>
  <w:p w:rsidR="006B32D3" w:rsidRDefault="006B32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FE0" w:rsidRPr="00934A2C" w:rsidRDefault="009A3FE0">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457A71">
      <w:rPr>
        <w:noProof/>
        <w:sz w:val="16"/>
        <w:szCs w:val="22"/>
      </w:rPr>
      <w:t>3</w:t>
    </w:r>
    <w:r w:rsidRPr="00934A2C">
      <w:rPr>
        <w:noProof/>
        <w:sz w:val="16"/>
        <w:szCs w:val="22"/>
      </w:rPr>
      <w:fldChar w:fldCharType="end"/>
    </w:r>
  </w:p>
  <w:p w:rsidR="009A3FE0" w:rsidRDefault="009A3FE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FE0" w:rsidRPr="00934A2C" w:rsidRDefault="009A3FE0">
    <w:pPr>
      <w:pStyle w:val="Footer"/>
      <w:jc w:val="center"/>
      <w:rPr>
        <w:sz w:val="16"/>
        <w:szCs w:val="22"/>
      </w:rPr>
    </w:pPr>
  </w:p>
  <w:p w:rsidR="009A3FE0" w:rsidRDefault="009A3F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2A5" w:rsidRPr="007372D2" w:rsidRDefault="003F32A5">
      <w:pPr>
        <w:rPr>
          <w:rFonts w:ascii="Cambria" w:hAnsi="Cambria"/>
          <w:sz w:val="16"/>
          <w:szCs w:val="16"/>
        </w:rPr>
      </w:pPr>
      <w:r w:rsidRPr="007372D2">
        <w:rPr>
          <w:rFonts w:ascii="Cambria" w:hAnsi="Cambria"/>
          <w:sz w:val="16"/>
          <w:szCs w:val="16"/>
        </w:rPr>
        <w:separator/>
      </w:r>
    </w:p>
  </w:footnote>
  <w:footnote w:type="continuationSeparator" w:id="0">
    <w:p w:rsidR="003F32A5" w:rsidRPr="007372D2" w:rsidRDefault="003F32A5" w:rsidP="000F35ED">
      <w:pPr>
        <w:rPr>
          <w:rFonts w:ascii="Cambria" w:hAnsi="Cambria"/>
          <w:sz w:val="16"/>
          <w:szCs w:val="16"/>
        </w:rPr>
      </w:pPr>
      <w:r w:rsidRPr="007372D2">
        <w:rPr>
          <w:rFonts w:ascii="Cambria" w:hAnsi="Cambria"/>
          <w:sz w:val="16"/>
          <w:szCs w:val="16"/>
        </w:rPr>
        <w:separator/>
      </w:r>
    </w:p>
    <w:p w:rsidR="003F32A5" w:rsidRPr="007372D2" w:rsidRDefault="003F32A5" w:rsidP="000F35ED">
      <w:pPr>
        <w:pStyle w:val="Footer"/>
        <w:rPr>
          <w:sz w:val="16"/>
          <w:szCs w:val="16"/>
        </w:rPr>
      </w:pPr>
      <w:r w:rsidRPr="007372D2">
        <w:rPr>
          <w:sz w:val="16"/>
          <w:szCs w:val="16"/>
        </w:rPr>
        <w:t xml:space="preserve">[… </w:t>
      </w:r>
      <w:proofErr w:type="spellStart"/>
      <w:proofErr w:type="gramStart"/>
      <w:r w:rsidRPr="007372D2">
        <w:rPr>
          <w:sz w:val="16"/>
          <w:szCs w:val="16"/>
        </w:rPr>
        <w:t>continuación</w:t>
      </w:r>
      <w:proofErr w:type="spellEnd"/>
      <w:proofErr w:type="gramEnd"/>
      <w:r w:rsidRPr="007372D2">
        <w:rPr>
          <w:sz w:val="16"/>
          <w:szCs w:val="16"/>
        </w:rPr>
        <w:t>]</w:t>
      </w:r>
    </w:p>
  </w:footnote>
  <w:footnote w:type="continuationNotice" w:id="1">
    <w:p w:rsidR="003F32A5" w:rsidRPr="007372D2" w:rsidRDefault="003F32A5" w:rsidP="000F35ED">
      <w:pPr>
        <w:jc w:val="right"/>
        <w:rPr>
          <w:rFonts w:ascii="Cambria" w:hAnsi="Cambria"/>
          <w:sz w:val="16"/>
          <w:szCs w:val="16"/>
          <w:lang w:val="es-ES"/>
        </w:rPr>
      </w:pPr>
      <w:r w:rsidRPr="007372D2">
        <w:rPr>
          <w:rFonts w:ascii="Cambria" w:hAnsi="Cambria"/>
          <w:sz w:val="16"/>
          <w:szCs w:val="16"/>
          <w:lang w:val="es-ES"/>
        </w:rPr>
        <w:t>[</w:t>
      </w:r>
      <w:proofErr w:type="gramStart"/>
      <w:r w:rsidRPr="007372D2">
        <w:rPr>
          <w:rFonts w:ascii="Cambria" w:hAnsi="Cambria"/>
          <w:sz w:val="16"/>
          <w:szCs w:val="16"/>
          <w:lang w:val="es-ES"/>
        </w:rPr>
        <w:t>continúa</w:t>
      </w:r>
      <w:proofErr w:type="gramEnd"/>
      <w:r w:rsidRPr="007372D2">
        <w:rPr>
          <w:rFonts w:ascii="Cambria" w:hAnsi="Cambria"/>
          <w:sz w:val="16"/>
          <w:szCs w:val="16"/>
          <w:lang w:val="es-ES"/>
        </w:rPr>
        <w:t>…]</w:t>
      </w:r>
    </w:p>
  </w:footnote>
  <w:footnote w:id="2">
    <w:p w:rsidR="006B32D3" w:rsidRPr="00457A71" w:rsidRDefault="006B32D3" w:rsidP="006B32D3">
      <w:pPr>
        <w:pStyle w:val="FootnoteText"/>
        <w:tabs>
          <w:tab w:val="left" w:pos="720"/>
        </w:tabs>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Subsequently, the Centro para la </w:t>
      </w:r>
      <w:proofErr w:type="spellStart"/>
      <w:r>
        <w:rPr>
          <w:rFonts w:ascii="Cambria" w:hAnsi="Cambria"/>
          <w:sz w:val="16"/>
        </w:rPr>
        <w:t>Acción</w:t>
      </w:r>
      <w:proofErr w:type="spellEnd"/>
      <w:r>
        <w:rPr>
          <w:rFonts w:ascii="Cambria" w:hAnsi="Cambria"/>
          <w:sz w:val="16"/>
        </w:rPr>
        <w:t xml:space="preserve"> Legal en Derechos Humanos (CALDH) established itself as petitioner. </w:t>
      </w:r>
    </w:p>
  </w:footnote>
  <w:footnote w:id="3">
    <w:p w:rsidR="006B32D3" w:rsidRPr="00457A71" w:rsidRDefault="006B32D3" w:rsidP="006B32D3">
      <w:pPr>
        <w:pStyle w:val="FootnoteText"/>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IACHR, Report N° 15/15, Petition 374-05: Members of the Trade Union of Workers of the National Federation of Coffee Growers of Colombia. Colombia. </w:t>
      </w:r>
      <w:proofErr w:type="gramStart"/>
      <w:r>
        <w:rPr>
          <w:rFonts w:ascii="Cambria" w:hAnsi="Cambria"/>
          <w:sz w:val="16"/>
        </w:rPr>
        <w:t>March 24, 2015, par. 41.</w:t>
      </w:r>
      <w:proofErr w:type="gramEnd"/>
      <w:r>
        <w:rPr>
          <w:rFonts w:ascii="Cambria" w:hAnsi="Cambria"/>
          <w:sz w:val="16"/>
        </w:rPr>
        <w:t xml:space="preserve"> See, also: </w:t>
      </w:r>
      <w:r>
        <w:rPr>
          <w:rStyle w:val="Strong"/>
          <w:rFonts w:ascii="Cambria" w:hAnsi="Cambria"/>
          <w:b w:val="0"/>
          <w:sz w:val="16"/>
          <w:shd w:val="clear" w:color="auto" w:fill="FFFFFF"/>
        </w:rPr>
        <w:t xml:space="preserve">I/A Court HR. </w:t>
      </w:r>
      <w:r>
        <w:rPr>
          <w:rStyle w:val="Strong"/>
          <w:rFonts w:ascii="Cambria" w:hAnsi="Cambria"/>
          <w:b w:val="0"/>
          <w:i/>
          <w:sz w:val="16"/>
          <w:shd w:val="clear" w:color="auto" w:fill="FFFFFF"/>
        </w:rPr>
        <w:t>Case of Wong Ho Wing v. Peru.</w:t>
      </w:r>
      <w:r>
        <w:rPr>
          <w:rStyle w:val="Strong"/>
          <w:rFonts w:ascii="Cambria" w:hAnsi="Cambria"/>
          <w:b w:val="0"/>
          <w:sz w:val="16"/>
          <w:shd w:val="clear" w:color="auto" w:fill="FFFFFF"/>
        </w:rPr>
        <w:t xml:space="preserve"> </w:t>
      </w:r>
      <w:proofErr w:type="gramStart"/>
      <w:r>
        <w:rPr>
          <w:rStyle w:val="Strong"/>
          <w:rFonts w:ascii="Cambria" w:hAnsi="Cambria"/>
          <w:b w:val="0"/>
          <w:sz w:val="16"/>
          <w:shd w:val="clear" w:color="auto" w:fill="FFFFFF"/>
        </w:rPr>
        <w:t>Preliminary Objection, Merits, Reparations and Costs.</w:t>
      </w:r>
      <w:proofErr w:type="gramEnd"/>
      <w:r>
        <w:rPr>
          <w:rStyle w:val="Strong"/>
          <w:rFonts w:ascii="Cambria" w:hAnsi="Cambria"/>
          <w:b w:val="0"/>
          <w:sz w:val="16"/>
          <w:shd w:val="clear" w:color="auto" w:fill="FFFFFF"/>
        </w:rPr>
        <w:t xml:space="preserve"> Judgment of June 30, 2015. </w:t>
      </w:r>
      <w:proofErr w:type="gramStart"/>
      <w:r>
        <w:rPr>
          <w:rStyle w:val="Strong"/>
          <w:rFonts w:ascii="Cambria" w:hAnsi="Cambria"/>
          <w:b w:val="0"/>
          <w:sz w:val="16"/>
          <w:shd w:val="clear" w:color="auto" w:fill="FFFFFF"/>
        </w:rPr>
        <w:t>Series C No. 297, par. 25.</w:t>
      </w:r>
      <w:proofErr w:type="gramEnd"/>
    </w:p>
  </w:footnote>
  <w:footnote w:id="4">
    <w:p w:rsidR="006B32D3" w:rsidRPr="00457A71" w:rsidRDefault="006B32D3" w:rsidP="006B32D3">
      <w:pPr>
        <w:pStyle w:val="FootnoteText"/>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Although in a subsequent written statement, the State indicated that there were no records of any investigation, taking into consideration the rest of the information provided by the parties, the IACHR is of the understanding that there had been an investigation and that it had been archived for alleged lack of evidence. </w:t>
      </w:r>
    </w:p>
  </w:footnote>
  <w:footnote w:id="5">
    <w:p w:rsidR="006B32D3" w:rsidRPr="00457A71" w:rsidRDefault="006B32D3" w:rsidP="006B32D3">
      <w:pPr>
        <w:pStyle w:val="FootnoteText"/>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Petitioners’ communication of November 24, 2003.</w:t>
      </w:r>
      <w:proofErr w:type="gramEnd"/>
    </w:p>
  </w:footnote>
  <w:footnote w:id="6">
    <w:p w:rsidR="006B32D3" w:rsidRPr="00457A71" w:rsidRDefault="006B32D3" w:rsidP="006B32D3">
      <w:pPr>
        <w:pStyle w:val="FootnoteText"/>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Petitioners’ communication of November 24, 2003.</w:t>
      </w:r>
      <w:proofErr w:type="gramEnd"/>
    </w:p>
  </w:footnote>
  <w:footnote w:id="7">
    <w:p w:rsidR="006B32D3" w:rsidRPr="00457A71" w:rsidRDefault="006B32D3" w:rsidP="006B32D3">
      <w:pPr>
        <w:pStyle w:val="FootnoteText"/>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Original petition </w:t>
      </w:r>
    </w:p>
  </w:footnote>
  <w:footnote w:id="8">
    <w:p w:rsidR="006B32D3" w:rsidRPr="00457A71" w:rsidRDefault="006B32D3" w:rsidP="006B32D3">
      <w:pPr>
        <w:pStyle w:val="FootnoteText"/>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Original petition </w:t>
      </w:r>
    </w:p>
  </w:footnote>
  <w:footnote w:id="9">
    <w:p w:rsidR="006B32D3" w:rsidRPr="00457A71" w:rsidRDefault="006B32D3" w:rsidP="006B32D3">
      <w:pPr>
        <w:pStyle w:val="FootnoteText"/>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Original petition </w:t>
      </w:r>
    </w:p>
  </w:footnote>
  <w:footnote w:id="10">
    <w:p w:rsidR="006B32D3" w:rsidRPr="00457A71" w:rsidRDefault="006B32D3" w:rsidP="006B32D3">
      <w:pPr>
        <w:pStyle w:val="FootnoteText"/>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Original petition </w:t>
      </w:r>
    </w:p>
  </w:footnote>
  <w:footnote w:id="11">
    <w:p w:rsidR="006B32D3" w:rsidRPr="00457A71" w:rsidRDefault="006B32D3" w:rsidP="006B32D3">
      <w:pPr>
        <w:pStyle w:val="FootnoteText"/>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Original petition </w:t>
      </w:r>
    </w:p>
  </w:footnote>
  <w:footnote w:id="12">
    <w:p w:rsidR="006B32D3" w:rsidRPr="00457A71" w:rsidRDefault="006B32D3" w:rsidP="006B32D3">
      <w:pPr>
        <w:pStyle w:val="FootnoteText"/>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Original petition </w:t>
      </w:r>
    </w:p>
  </w:footnote>
  <w:footnote w:id="13">
    <w:p w:rsidR="006B32D3" w:rsidRPr="00457A71" w:rsidRDefault="006B32D3" w:rsidP="006B32D3">
      <w:pPr>
        <w:pStyle w:val="FootnoteText"/>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r>
        <w:rPr>
          <w:rFonts w:ascii="Cambria" w:hAnsi="Cambria"/>
          <w:sz w:val="16"/>
          <w:szCs w:val="16"/>
        </w:rPr>
        <w:br/>
      </w:r>
      <w:r>
        <w:rPr>
          <w:rFonts w:ascii="Cambria" w:hAnsi="Cambria"/>
          <w:sz w:val="16"/>
        </w:rPr>
        <w:t xml:space="preserve">Original petition </w:t>
      </w:r>
    </w:p>
  </w:footnote>
  <w:footnote w:id="14">
    <w:p w:rsidR="006B32D3" w:rsidRPr="00457A71" w:rsidRDefault="006B32D3" w:rsidP="006B32D3">
      <w:pPr>
        <w:pStyle w:val="FootnoteText"/>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Original petition </w:t>
      </w:r>
    </w:p>
  </w:footnote>
  <w:footnote w:id="15">
    <w:p w:rsidR="006B32D3" w:rsidRPr="00457A71" w:rsidRDefault="006B32D3" w:rsidP="006B32D3">
      <w:pPr>
        <w:pStyle w:val="FootnoteText"/>
        <w:tabs>
          <w:tab w:val="left" w:pos="720"/>
        </w:tabs>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 xml:space="preserve">Communication from Unión </w:t>
      </w:r>
      <w:proofErr w:type="spellStart"/>
      <w:r>
        <w:rPr>
          <w:rFonts w:ascii="Cambria" w:hAnsi="Cambria"/>
          <w:sz w:val="16"/>
        </w:rPr>
        <w:t>Sindical</w:t>
      </w:r>
      <w:proofErr w:type="spellEnd"/>
      <w:r>
        <w:rPr>
          <w:rFonts w:ascii="Cambria" w:hAnsi="Cambria"/>
          <w:sz w:val="16"/>
        </w:rPr>
        <w:t xml:space="preserve"> de </w:t>
      </w:r>
      <w:proofErr w:type="spellStart"/>
      <w:r>
        <w:rPr>
          <w:rFonts w:ascii="Cambria" w:hAnsi="Cambria"/>
          <w:sz w:val="16"/>
        </w:rPr>
        <w:t>Trabajadores</w:t>
      </w:r>
      <w:proofErr w:type="spellEnd"/>
      <w:r>
        <w:rPr>
          <w:rFonts w:ascii="Cambria" w:hAnsi="Cambria"/>
          <w:sz w:val="16"/>
        </w:rPr>
        <w:t xml:space="preserve"> de Guatemala.</w:t>
      </w:r>
      <w:proofErr w:type="gramEnd"/>
      <w:r>
        <w:rPr>
          <w:rFonts w:ascii="Cambria" w:hAnsi="Cambria"/>
          <w:sz w:val="16"/>
        </w:rPr>
        <w:t xml:space="preserve">  Annex C to the original petition.</w:t>
      </w:r>
    </w:p>
  </w:footnote>
  <w:footnote w:id="16">
    <w:p w:rsidR="006B32D3" w:rsidRPr="00457A71" w:rsidRDefault="006B32D3" w:rsidP="006B32D3">
      <w:pPr>
        <w:pStyle w:val="FootnoteText"/>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Original petition </w:t>
      </w:r>
    </w:p>
  </w:footnote>
  <w:footnote w:id="17">
    <w:p w:rsidR="006B32D3" w:rsidRPr="00457A71" w:rsidRDefault="006B32D3" w:rsidP="006B32D3">
      <w:pPr>
        <w:pStyle w:val="FootnoteText"/>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Original petition </w:t>
      </w:r>
    </w:p>
  </w:footnote>
  <w:footnote w:id="18">
    <w:p w:rsidR="006B32D3" w:rsidRPr="00457A71" w:rsidRDefault="006B32D3" w:rsidP="006B32D3">
      <w:pPr>
        <w:pStyle w:val="FootnoteText"/>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Original petition </w:t>
      </w:r>
    </w:p>
  </w:footnote>
  <w:footnote w:id="19">
    <w:p w:rsidR="006B32D3" w:rsidRPr="00457A71" w:rsidRDefault="006B32D3" w:rsidP="006B32D3">
      <w:pPr>
        <w:pStyle w:val="FootnoteText"/>
        <w:tabs>
          <w:tab w:val="left" w:pos="720"/>
        </w:tabs>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 xml:space="preserve">Communication from Unión </w:t>
      </w:r>
      <w:proofErr w:type="spellStart"/>
      <w:r>
        <w:rPr>
          <w:rFonts w:ascii="Cambria" w:hAnsi="Cambria"/>
          <w:sz w:val="16"/>
        </w:rPr>
        <w:t>Sindical</w:t>
      </w:r>
      <w:proofErr w:type="spellEnd"/>
      <w:r>
        <w:rPr>
          <w:rFonts w:ascii="Cambria" w:hAnsi="Cambria"/>
          <w:sz w:val="16"/>
        </w:rPr>
        <w:t xml:space="preserve"> de </w:t>
      </w:r>
      <w:proofErr w:type="spellStart"/>
      <w:r>
        <w:rPr>
          <w:rFonts w:ascii="Cambria" w:hAnsi="Cambria"/>
          <w:sz w:val="16"/>
        </w:rPr>
        <w:t>Trabajadores</w:t>
      </w:r>
      <w:proofErr w:type="spellEnd"/>
      <w:r>
        <w:rPr>
          <w:rFonts w:ascii="Cambria" w:hAnsi="Cambria"/>
          <w:sz w:val="16"/>
        </w:rPr>
        <w:t xml:space="preserve"> de Guatemala.</w:t>
      </w:r>
      <w:proofErr w:type="gramEnd"/>
      <w:r>
        <w:rPr>
          <w:rFonts w:ascii="Cambria" w:hAnsi="Cambria"/>
          <w:sz w:val="16"/>
        </w:rPr>
        <w:t xml:space="preserve"> Annex C to the original petition.</w:t>
      </w:r>
    </w:p>
  </w:footnote>
  <w:footnote w:id="20">
    <w:p w:rsidR="006B32D3" w:rsidRPr="00457A71" w:rsidRDefault="006B32D3" w:rsidP="006B32D3">
      <w:pPr>
        <w:pStyle w:val="FootnoteText"/>
        <w:tabs>
          <w:tab w:val="left" w:pos="720"/>
        </w:tabs>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 xml:space="preserve">Communication from Unión </w:t>
      </w:r>
      <w:proofErr w:type="spellStart"/>
      <w:r>
        <w:rPr>
          <w:rFonts w:ascii="Cambria" w:hAnsi="Cambria"/>
          <w:sz w:val="16"/>
        </w:rPr>
        <w:t>Sindical</w:t>
      </w:r>
      <w:proofErr w:type="spellEnd"/>
      <w:r>
        <w:rPr>
          <w:rFonts w:ascii="Cambria" w:hAnsi="Cambria"/>
          <w:sz w:val="16"/>
        </w:rPr>
        <w:t xml:space="preserve"> de </w:t>
      </w:r>
      <w:proofErr w:type="spellStart"/>
      <w:r>
        <w:rPr>
          <w:rFonts w:ascii="Cambria" w:hAnsi="Cambria"/>
          <w:sz w:val="16"/>
        </w:rPr>
        <w:t>Trabajadores</w:t>
      </w:r>
      <w:proofErr w:type="spellEnd"/>
      <w:r>
        <w:rPr>
          <w:rFonts w:ascii="Cambria" w:hAnsi="Cambria"/>
          <w:sz w:val="16"/>
        </w:rPr>
        <w:t xml:space="preserve"> de Guatemala.</w:t>
      </w:r>
      <w:proofErr w:type="gramEnd"/>
      <w:r>
        <w:rPr>
          <w:rFonts w:ascii="Cambria" w:hAnsi="Cambria"/>
          <w:sz w:val="16"/>
        </w:rPr>
        <w:t xml:space="preserve"> Annex C to the original petition.</w:t>
      </w:r>
    </w:p>
  </w:footnote>
  <w:footnote w:id="21">
    <w:p w:rsidR="006B32D3" w:rsidRPr="00457A71" w:rsidRDefault="006B32D3" w:rsidP="006B32D3">
      <w:pPr>
        <w:pStyle w:val="FootnoteText"/>
        <w:tabs>
          <w:tab w:val="left" w:pos="720"/>
        </w:tabs>
        <w:spacing w:after="120"/>
        <w:ind w:firstLine="720"/>
        <w:jc w:val="both"/>
        <w:rPr>
          <w:rFonts w:ascii="Cambria" w:hAnsi="Cambria"/>
          <w:sz w:val="16"/>
          <w:szCs w:val="16"/>
        </w:rPr>
      </w:pPr>
      <w:r>
        <w:rPr>
          <w:rStyle w:val="FootnoteReference"/>
          <w:rFonts w:ascii="Cambria" w:hAnsi="Cambria"/>
          <w:sz w:val="16"/>
        </w:rPr>
        <w:footnoteRef/>
      </w:r>
      <w:r w:rsidRPr="00457A71">
        <w:rPr>
          <w:rFonts w:ascii="Cambria" w:hAnsi="Cambria"/>
          <w:sz w:val="16"/>
          <w:lang w:val="es-ES"/>
        </w:rPr>
        <w:t xml:space="preserve"> </w:t>
      </w:r>
      <w:r w:rsidRPr="00457A71">
        <w:rPr>
          <w:rFonts w:ascii="Cambria" w:hAnsi="Cambria"/>
          <w:sz w:val="16"/>
          <w:lang w:val="es-ES"/>
        </w:rPr>
        <w:t xml:space="preserve">Communication from Unión Sindical de Trabajadores de Guatemala. </w:t>
      </w:r>
      <w:r>
        <w:rPr>
          <w:rFonts w:ascii="Cambria" w:hAnsi="Cambria"/>
          <w:sz w:val="16"/>
        </w:rPr>
        <w:t>Annex C to the original petition.</w:t>
      </w:r>
    </w:p>
  </w:footnote>
  <w:footnote w:id="22">
    <w:p w:rsidR="006B32D3" w:rsidRPr="00457A71" w:rsidRDefault="006B32D3" w:rsidP="006B32D3">
      <w:pPr>
        <w:pStyle w:val="FootnoteText"/>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 xml:space="preserve">Communication from Unión </w:t>
      </w:r>
      <w:proofErr w:type="spellStart"/>
      <w:r>
        <w:rPr>
          <w:rFonts w:ascii="Cambria" w:hAnsi="Cambria"/>
          <w:sz w:val="16"/>
        </w:rPr>
        <w:t>Sindical</w:t>
      </w:r>
      <w:proofErr w:type="spellEnd"/>
      <w:r>
        <w:rPr>
          <w:rFonts w:ascii="Cambria" w:hAnsi="Cambria"/>
          <w:sz w:val="16"/>
        </w:rPr>
        <w:t xml:space="preserve"> de </w:t>
      </w:r>
      <w:proofErr w:type="spellStart"/>
      <w:r>
        <w:rPr>
          <w:rFonts w:ascii="Cambria" w:hAnsi="Cambria"/>
          <w:sz w:val="16"/>
        </w:rPr>
        <w:t>Trabajadores</w:t>
      </w:r>
      <w:proofErr w:type="spellEnd"/>
      <w:r>
        <w:rPr>
          <w:rFonts w:ascii="Cambria" w:hAnsi="Cambria"/>
          <w:sz w:val="16"/>
        </w:rPr>
        <w:t xml:space="preserve"> de Guatemala of March 17, 1995.</w:t>
      </w:r>
      <w:proofErr w:type="gramEnd"/>
      <w:r>
        <w:rPr>
          <w:rFonts w:ascii="Cambria" w:hAnsi="Cambria"/>
          <w:sz w:val="16"/>
        </w:rPr>
        <w:t xml:space="preserve"> Annex to the initial petition. </w:t>
      </w:r>
    </w:p>
  </w:footnote>
  <w:footnote w:id="23">
    <w:p w:rsidR="006B32D3" w:rsidRPr="00457A71" w:rsidRDefault="006B32D3" w:rsidP="006B32D3">
      <w:pPr>
        <w:pStyle w:val="FootnoteText"/>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Original petition </w:t>
      </w:r>
    </w:p>
  </w:footnote>
  <w:footnote w:id="24">
    <w:p w:rsidR="006B32D3" w:rsidRPr="00457A71" w:rsidRDefault="006B32D3" w:rsidP="006B32D3">
      <w:pPr>
        <w:pStyle w:val="FootnoteText"/>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Original petition</w:t>
      </w:r>
    </w:p>
  </w:footnote>
  <w:footnote w:id="25">
    <w:p w:rsidR="006B32D3" w:rsidRPr="00457A71" w:rsidRDefault="006B32D3" w:rsidP="006B32D3">
      <w:pPr>
        <w:pStyle w:val="FootnoteText"/>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Original petition </w:t>
      </w:r>
    </w:p>
  </w:footnote>
  <w:footnote w:id="26">
    <w:p w:rsidR="006B32D3" w:rsidRPr="00457A71" w:rsidRDefault="006B32D3" w:rsidP="006B32D3">
      <w:pPr>
        <w:pStyle w:val="FootnoteText"/>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Original petition </w:t>
      </w:r>
    </w:p>
  </w:footnote>
  <w:footnote w:id="27">
    <w:p w:rsidR="006B32D3" w:rsidRPr="00457A71" w:rsidRDefault="006B32D3" w:rsidP="006B32D3">
      <w:pPr>
        <w:pStyle w:val="FootnoteText"/>
        <w:tabs>
          <w:tab w:val="left" w:pos="720"/>
        </w:tabs>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Communique issued by the Human Rights Office of the Archdiocese of </w:t>
      </w:r>
      <w:proofErr w:type="gramStart"/>
      <w:r>
        <w:rPr>
          <w:rFonts w:ascii="Cambria" w:hAnsi="Cambria"/>
          <w:sz w:val="16"/>
        </w:rPr>
        <w:t>Guatemala ,</w:t>
      </w:r>
      <w:proofErr w:type="gramEnd"/>
      <w:r>
        <w:rPr>
          <w:rFonts w:ascii="Cambria" w:hAnsi="Cambria"/>
          <w:sz w:val="16"/>
        </w:rPr>
        <w:t xml:space="preserve"> March 20, 1995. Annex to the initial petition.</w:t>
      </w:r>
    </w:p>
  </w:footnote>
  <w:footnote w:id="28">
    <w:p w:rsidR="006B32D3" w:rsidRPr="00457A71" w:rsidRDefault="006B32D3" w:rsidP="006B32D3">
      <w:pPr>
        <w:pStyle w:val="FootnoteText"/>
        <w:tabs>
          <w:tab w:val="left" w:pos="720"/>
        </w:tabs>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Communique issued by the Human Rights Office of the Archdiocese of Guatemala. Annex 1 to the initial petition.</w:t>
      </w:r>
    </w:p>
  </w:footnote>
  <w:footnote w:id="29">
    <w:p w:rsidR="006B32D3" w:rsidRPr="00457A71" w:rsidRDefault="006B32D3" w:rsidP="006B32D3">
      <w:pPr>
        <w:pStyle w:val="FootnoteText"/>
        <w:tabs>
          <w:tab w:val="left" w:pos="720"/>
        </w:tabs>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Communique issued by the Human Rights Office of the Archdiocese of Guatemala. Annex 1 to the initial petition.</w:t>
      </w:r>
    </w:p>
  </w:footnote>
  <w:footnote w:id="30">
    <w:p w:rsidR="006B32D3" w:rsidRPr="00457A71" w:rsidRDefault="006B32D3" w:rsidP="006B32D3">
      <w:pPr>
        <w:pStyle w:val="FootnoteText"/>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Petitioners’ communication of November 24, 2003.</w:t>
      </w:r>
      <w:proofErr w:type="gramEnd"/>
    </w:p>
  </w:footnote>
  <w:footnote w:id="31">
    <w:p w:rsidR="006B32D3" w:rsidRPr="00457A71" w:rsidRDefault="006B32D3" w:rsidP="006B32D3">
      <w:pPr>
        <w:pStyle w:val="FootnoteText"/>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Original petition </w:t>
      </w:r>
    </w:p>
  </w:footnote>
  <w:footnote w:id="32">
    <w:p w:rsidR="006B32D3" w:rsidRPr="00457A71" w:rsidRDefault="006B32D3" w:rsidP="006B32D3">
      <w:pPr>
        <w:pStyle w:val="FootnoteText"/>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Petitioners’ communication of November 24, 2003.</w:t>
      </w:r>
      <w:proofErr w:type="gramEnd"/>
    </w:p>
  </w:footnote>
  <w:footnote w:id="33">
    <w:p w:rsidR="006B32D3" w:rsidRPr="00457A71" w:rsidRDefault="006B32D3" w:rsidP="006B32D3">
      <w:pPr>
        <w:pStyle w:val="FootnoteText"/>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Petitioners’ communication of November 24, 2003.</w:t>
      </w:r>
      <w:proofErr w:type="gramEnd"/>
      <w:r>
        <w:rPr>
          <w:rFonts w:ascii="Cambria" w:hAnsi="Cambria"/>
          <w:sz w:val="16"/>
        </w:rPr>
        <w:t xml:space="preserve"> Original petition</w:t>
      </w:r>
    </w:p>
  </w:footnote>
  <w:footnote w:id="34">
    <w:p w:rsidR="006B32D3" w:rsidRPr="00457A71" w:rsidRDefault="006B32D3" w:rsidP="006B32D3">
      <w:pPr>
        <w:pStyle w:val="FootnoteText"/>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Petitioners’ communication of November 24, 2003.</w:t>
      </w:r>
      <w:proofErr w:type="gramEnd"/>
    </w:p>
  </w:footnote>
  <w:footnote w:id="35">
    <w:p w:rsidR="006B32D3" w:rsidRPr="00457A71" w:rsidRDefault="006B32D3" w:rsidP="006B32D3">
      <w:pPr>
        <w:pStyle w:val="FootnoteText"/>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Petitioners’ communication of November 24, 2003.</w:t>
      </w:r>
      <w:proofErr w:type="gramEnd"/>
    </w:p>
  </w:footnote>
  <w:footnote w:id="36">
    <w:p w:rsidR="006B32D3" w:rsidRPr="00457A71" w:rsidRDefault="006B32D3" w:rsidP="006B32D3">
      <w:pPr>
        <w:pStyle w:val="FootnoteText"/>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Petitioners’ communication of November 24, 2003.</w:t>
      </w:r>
      <w:proofErr w:type="gramEnd"/>
    </w:p>
  </w:footnote>
  <w:footnote w:id="37">
    <w:p w:rsidR="006B32D3" w:rsidRPr="00457A71" w:rsidRDefault="006B32D3" w:rsidP="006B32D3">
      <w:pPr>
        <w:pStyle w:val="FootnoteText"/>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Original petition </w:t>
      </w:r>
    </w:p>
  </w:footnote>
  <w:footnote w:id="38">
    <w:p w:rsidR="006B32D3" w:rsidRPr="00457A71" w:rsidRDefault="006B32D3" w:rsidP="006B32D3">
      <w:pPr>
        <w:pStyle w:val="FootnoteText"/>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State’s communication of December 11, 2006.</w:t>
      </w:r>
      <w:proofErr w:type="gramEnd"/>
    </w:p>
  </w:footnote>
  <w:footnote w:id="39">
    <w:p w:rsidR="006B32D3" w:rsidRPr="00457A71" w:rsidRDefault="006B32D3" w:rsidP="006B32D3">
      <w:pPr>
        <w:pStyle w:val="FootnoteText"/>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State’s communication of December 11, 2006.</w:t>
      </w:r>
      <w:proofErr w:type="gramEnd"/>
    </w:p>
  </w:footnote>
  <w:footnote w:id="40">
    <w:p w:rsidR="006B32D3" w:rsidRPr="00457A71" w:rsidRDefault="006B32D3" w:rsidP="006B32D3">
      <w:pPr>
        <w:pStyle w:val="FootnoteText"/>
        <w:tabs>
          <w:tab w:val="left" w:pos="720"/>
        </w:tabs>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Communique issued by the Human Rights Office of the Archdiocese of </w:t>
      </w:r>
      <w:proofErr w:type="gramStart"/>
      <w:r>
        <w:rPr>
          <w:rFonts w:ascii="Cambria" w:hAnsi="Cambria"/>
          <w:sz w:val="16"/>
        </w:rPr>
        <w:t>Guatemala ,</w:t>
      </w:r>
      <w:proofErr w:type="gramEnd"/>
      <w:r>
        <w:rPr>
          <w:rFonts w:ascii="Cambria" w:hAnsi="Cambria"/>
          <w:sz w:val="16"/>
        </w:rPr>
        <w:t xml:space="preserve"> March 20, 1995. Annex to the initial petition.</w:t>
      </w:r>
    </w:p>
  </w:footnote>
  <w:footnote w:id="41">
    <w:p w:rsidR="006B32D3" w:rsidRPr="00457A71" w:rsidRDefault="006B32D3" w:rsidP="006B32D3">
      <w:pPr>
        <w:pStyle w:val="FootnoteText"/>
        <w:tabs>
          <w:tab w:val="left" w:pos="720"/>
        </w:tabs>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Communique issued by the Human Rights Office of the Archdiocese of </w:t>
      </w:r>
      <w:proofErr w:type="gramStart"/>
      <w:r>
        <w:rPr>
          <w:rFonts w:ascii="Cambria" w:hAnsi="Cambria"/>
          <w:sz w:val="16"/>
        </w:rPr>
        <w:t>Guatemala ,</w:t>
      </w:r>
      <w:proofErr w:type="gramEnd"/>
      <w:r>
        <w:rPr>
          <w:rFonts w:ascii="Cambria" w:hAnsi="Cambria"/>
          <w:sz w:val="16"/>
        </w:rPr>
        <w:t xml:space="preserve"> March 20, 1995. Annex to the initial petition.</w:t>
      </w:r>
    </w:p>
  </w:footnote>
  <w:footnote w:id="42">
    <w:p w:rsidR="006B32D3" w:rsidRPr="00457A71" w:rsidRDefault="006B32D3" w:rsidP="006B32D3">
      <w:pPr>
        <w:pStyle w:val="FootnoteText"/>
        <w:tabs>
          <w:tab w:val="left" w:pos="720"/>
        </w:tabs>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Communique issued by the Human Rights Office of the Archdiocese of </w:t>
      </w:r>
      <w:proofErr w:type="gramStart"/>
      <w:r>
        <w:rPr>
          <w:rFonts w:ascii="Cambria" w:hAnsi="Cambria"/>
          <w:sz w:val="16"/>
        </w:rPr>
        <w:t>Guatemala ,</w:t>
      </w:r>
      <w:proofErr w:type="gramEnd"/>
      <w:r>
        <w:rPr>
          <w:rFonts w:ascii="Cambria" w:hAnsi="Cambria"/>
          <w:sz w:val="16"/>
        </w:rPr>
        <w:t xml:space="preserve"> March 20, 1995. Annex to the initial petition.</w:t>
      </w:r>
    </w:p>
  </w:footnote>
  <w:footnote w:id="43">
    <w:p w:rsidR="006B32D3" w:rsidRPr="00457A71" w:rsidRDefault="006B32D3" w:rsidP="006B32D3">
      <w:pPr>
        <w:pStyle w:val="FootnoteText"/>
        <w:tabs>
          <w:tab w:val="left" w:pos="720"/>
        </w:tabs>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Communique issued by the Human Rights Office of the Archdiocese of </w:t>
      </w:r>
      <w:proofErr w:type="gramStart"/>
      <w:r>
        <w:rPr>
          <w:rFonts w:ascii="Cambria" w:hAnsi="Cambria"/>
          <w:sz w:val="16"/>
        </w:rPr>
        <w:t>Guatemala ,</w:t>
      </w:r>
      <w:proofErr w:type="gramEnd"/>
      <w:r>
        <w:rPr>
          <w:rFonts w:ascii="Cambria" w:hAnsi="Cambria"/>
          <w:sz w:val="16"/>
        </w:rPr>
        <w:t xml:space="preserve"> March 20, 1995. Annex to the initial petition.</w:t>
      </w:r>
    </w:p>
  </w:footnote>
  <w:footnote w:id="44">
    <w:p w:rsidR="006B32D3" w:rsidRPr="00457A71" w:rsidRDefault="006B32D3" w:rsidP="006B32D3">
      <w:pPr>
        <w:pStyle w:val="FootnoteText"/>
        <w:tabs>
          <w:tab w:val="left" w:pos="720"/>
        </w:tabs>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Petitioners’ communication </w:t>
      </w:r>
      <w:proofErr w:type="gramStart"/>
      <w:r>
        <w:rPr>
          <w:rFonts w:ascii="Cambria" w:hAnsi="Cambria"/>
          <w:sz w:val="16"/>
        </w:rPr>
        <w:t>of  March</w:t>
      </w:r>
      <w:proofErr w:type="gramEnd"/>
      <w:r>
        <w:rPr>
          <w:rFonts w:ascii="Cambria" w:hAnsi="Cambria"/>
          <w:sz w:val="16"/>
        </w:rPr>
        <w:t xml:space="preserve"> 23, 2000.</w:t>
      </w:r>
    </w:p>
  </w:footnote>
  <w:footnote w:id="45">
    <w:p w:rsidR="006B32D3" w:rsidRPr="00457A71" w:rsidRDefault="006B32D3" w:rsidP="006B32D3">
      <w:pPr>
        <w:pStyle w:val="FootnoteText"/>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State’s communication of December 11, 2006.</w:t>
      </w:r>
      <w:proofErr w:type="gramEnd"/>
    </w:p>
  </w:footnote>
  <w:footnote w:id="46">
    <w:p w:rsidR="006B32D3" w:rsidRPr="00457A71" w:rsidRDefault="006B32D3" w:rsidP="006B32D3">
      <w:pPr>
        <w:pStyle w:val="FootnoteText"/>
        <w:tabs>
          <w:tab w:val="left" w:pos="720"/>
        </w:tabs>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Petitioners’ communication </w:t>
      </w:r>
      <w:proofErr w:type="gramStart"/>
      <w:r>
        <w:rPr>
          <w:rFonts w:ascii="Cambria" w:hAnsi="Cambria"/>
          <w:sz w:val="16"/>
        </w:rPr>
        <w:t>of  March</w:t>
      </w:r>
      <w:proofErr w:type="gramEnd"/>
      <w:r>
        <w:rPr>
          <w:rFonts w:ascii="Cambria" w:hAnsi="Cambria"/>
          <w:sz w:val="16"/>
        </w:rPr>
        <w:t xml:space="preserve"> 23, 2000.</w:t>
      </w:r>
    </w:p>
  </w:footnote>
  <w:footnote w:id="47">
    <w:p w:rsidR="006B32D3" w:rsidRPr="00457A71" w:rsidRDefault="006B32D3" w:rsidP="006B32D3">
      <w:pPr>
        <w:pStyle w:val="FootnoteText"/>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State’s communication of December 11, 2006.</w:t>
      </w:r>
      <w:proofErr w:type="gramEnd"/>
    </w:p>
  </w:footnote>
  <w:footnote w:id="48">
    <w:p w:rsidR="006B32D3" w:rsidRPr="00457A71" w:rsidRDefault="006B32D3" w:rsidP="006B32D3">
      <w:pPr>
        <w:pStyle w:val="FootnoteText"/>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State’s communication of December 11, 2006.</w:t>
      </w:r>
      <w:proofErr w:type="gramEnd"/>
    </w:p>
  </w:footnote>
  <w:footnote w:id="49">
    <w:p w:rsidR="006B32D3" w:rsidRPr="00457A71" w:rsidRDefault="006B32D3" w:rsidP="006B32D3">
      <w:pPr>
        <w:pStyle w:val="FootnoteText"/>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State’s communication of December 11, 2006.</w:t>
      </w:r>
      <w:proofErr w:type="gramEnd"/>
    </w:p>
  </w:footnote>
  <w:footnote w:id="50">
    <w:p w:rsidR="006B32D3" w:rsidRPr="00457A71" w:rsidRDefault="006B32D3" w:rsidP="006B32D3">
      <w:pPr>
        <w:pStyle w:val="FootnoteText"/>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State’s communication of December 11, 2006.</w:t>
      </w:r>
      <w:proofErr w:type="gramEnd"/>
    </w:p>
  </w:footnote>
  <w:footnote w:id="51">
    <w:p w:rsidR="006B32D3" w:rsidRPr="00457A71" w:rsidRDefault="006B32D3" w:rsidP="006B32D3">
      <w:pPr>
        <w:pStyle w:val="FootnoteText"/>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State’s communication of December 11, 2006.</w:t>
      </w:r>
      <w:proofErr w:type="gramEnd"/>
    </w:p>
  </w:footnote>
  <w:footnote w:id="52">
    <w:p w:rsidR="006B32D3" w:rsidRPr="00457A71" w:rsidRDefault="006B32D3" w:rsidP="006B32D3">
      <w:pPr>
        <w:pStyle w:val="FootnoteText"/>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State’s communication of December 11, 2006.</w:t>
      </w:r>
      <w:proofErr w:type="gramEnd"/>
      <w:r>
        <w:rPr>
          <w:rFonts w:ascii="Cambria" w:hAnsi="Cambria"/>
          <w:sz w:val="16"/>
        </w:rPr>
        <w:t xml:space="preserve"> Taken from the: Statement made on August 25, 1995 before the Judge of the Sixth Criminal Court of First Instance.</w:t>
      </w:r>
    </w:p>
  </w:footnote>
  <w:footnote w:id="53">
    <w:p w:rsidR="006B32D3" w:rsidRPr="00457A71" w:rsidRDefault="006B32D3" w:rsidP="006B32D3">
      <w:pPr>
        <w:pStyle w:val="FootnoteText"/>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State’s communication of December 11, 2006.</w:t>
      </w:r>
      <w:proofErr w:type="gramEnd"/>
    </w:p>
  </w:footnote>
  <w:footnote w:id="54">
    <w:p w:rsidR="006B32D3" w:rsidRPr="00457A71" w:rsidRDefault="006B32D3" w:rsidP="006B32D3">
      <w:pPr>
        <w:pStyle w:val="FootnoteText"/>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Petitioners’ communication </w:t>
      </w:r>
      <w:proofErr w:type="gramStart"/>
      <w:r>
        <w:rPr>
          <w:rFonts w:ascii="Cambria" w:hAnsi="Cambria"/>
          <w:sz w:val="16"/>
        </w:rPr>
        <w:t>of  November</w:t>
      </w:r>
      <w:proofErr w:type="gramEnd"/>
      <w:r>
        <w:rPr>
          <w:rFonts w:ascii="Cambria" w:hAnsi="Cambria"/>
          <w:sz w:val="16"/>
        </w:rPr>
        <w:t xml:space="preserve"> 24, 2003.</w:t>
      </w:r>
    </w:p>
  </w:footnote>
  <w:footnote w:id="55">
    <w:p w:rsidR="006B32D3" w:rsidRPr="00457A71" w:rsidRDefault="006B32D3" w:rsidP="006B32D3">
      <w:pPr>
        <w:pStyle w:val="FootnoteText"/>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Petitioners’ communication </w:t>
      </w:r>
      <w:proofErr w:type="gramStart"/>
      <w:r>
        <w:rPr>
          <w:rFonts w:ascii="Cambria" w:hAnsi="Cambria"/>
          <w:sz w:val="16"/>
        </w:rPr>
        <w:t>of  November</w:t>
      </w:r>
      <w:proofErr w:type="gramEnd"/>
      <w:r>
        <w:rPr>
          <w:rFonts w:ascii="Cambria" w:hAnsi="Cambria"/>
          <w:sz w:val="16"/>
        </w:rPr>
        <w:t xml:space="preserve"> 24, 2003.</w:t>
      </w:r>
    </w:p>
  </w:footnote>
  <w:footnote w:id="56">
    <w:p w:rsidR="006B32D3" w:rsidRPr="00457A71" w:rsidRDefault="006B32D3" w:rsidP="006B32D3">
      <w:pPr>
        <w:pStyle w:val="FootnoteText"/>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State’s communication of December 11, 2006.</w:t>
      </w:r>
      <w:proofErr w:type="gramEnd"/>
    </w:p>
  </w:footnote>
  <w:footnote w:id="57">
    <w:p w:rsidR="006B32D3" w:rsidRPr="00457A71" w:rsidRDefault="006B32D3" w:rsidP="006B32D3">
      <w:pPr>
        <w:pStyle w:val="FootnoteText"/>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State’s communication of December 11, 2006.</w:t>
      </w:r>
      <w:proofErr w:type="gramEnd"/>
    </w:p>
  </w:footnote>
  <w:footnote w:id="58">
    <w:p w:rsidR="006B32D3" w:rsidRPr="00457A71" w:rsidRDefault="006B32D3" w:rsidP="006B32D3">
      <w:pPr>
        <w:pStyle w:val="FootnoteText"/>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State’s communication of December 11, 2006.</w:t>
      </w:r>
      <w:proofErr w:type="gramEnd"/>
    </w:p>
  </w:footnote>
  <w:footnote w:id="59">
    <w:p w:rsidR="006B32D3" w:rsidRPr="00457A71" w:rsidRDefault="006B32D3" w:rsidP="006B32D3">
      <w:pPr>
        <w:pStyle w:val="FootnoteText"/>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State’s communication of December 11, 2006.</w:t>
      </w:r>
      <w:proofErr w:type="gramEnd"/>
    </w:p>
  </w:footnote>
  <w:footnote w:id="60">
    <w:p w:rsidR="006B32D3" w:rsidRPr="00457A71" w:rsidRDefault="006B32D3" w:rsidP="006B32D3">
      <w:pPr>
        <w:pStyle w:val="FootnoteText"/>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State’s communication of December 11, 2006.</w:t>
      </w:r>
      <w:proofErr w:type="gramEnd"/>
    </w:p>
  </w:footnote>
  <w:footnote w:id="61">
    <w:p w:rsidR="006B32D3" w:rsidRPr="00457A71" w:rsidRDefault="006B32D3" w:rsidP="006B32D3">
      <w:pPr>
        <w:pStyle w:val="FootnoteText"/>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hyperlink r:id="rId1">
        <w:r>
          <w:rPr>
            <w:rStyle w:val="Hyperlink"/>
            <w:rFonts w:ascii="Cambria" w:hAnsi="Cambria"/>
            <w:sz w:val="16"/>
          </w:rPr>
          <w:t xml:space="preserve">Code of Criminal Procedure </w:t>
        </w:r>
        <w:proofErr w:type="gramStart"/>
        <w:r>
          <w:rPr>
            <w:rStyle w:val="Hyperlink"/>
            <w:rFonts w:ascii="Cambria" w:hAnsi="Cambria"/>
            <w:sz w:val="16"/>
          </w:rPr>
          <w:t>of  Guatemala</w:t>
        </w:r>
        <w:proofErr w:type="gramEnd"/>
      </w:hyperlink>
      <w:r>
        <w:rPr>
          <w:rFonts w:ascii="Cambria" w:hAnsi="Cambria"/>
          <w:sz w:val="16"/>
        </w:rPr>
        <w:t xml:space="preserve">. </w:t>
      </w:r>
    </w:p>
  </w:footnote>
  <w:footnote w:id="62">
    <w:p w:rsidR="006B32D3" w:rsidRPr="00457A71" w:rsidRDefault="006B32D3" w:rsidP="006B32D3">
      <w:pPr>
        <w:pStyle w:val="FootnoteText"/>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The State’s communication </w:t>
      </w:r>
      <w:proofErr w:type="gramStart"/>
      <w:r>
        <w:rPr>
          <w:rFonts w:ascii="Cambria" w:hAnsi="Cambria"/>
          <w:sz w:val="16"/>
        </w:rPr>
        <w:t>of  December</w:t>
      </w:r>
      <w:proofErr w:type="gramEnd"/>
      <w:r>
        <w:rPr>
          <w:rFonts w:ascii="Cambria" w:hAnsi="Cambria"/>
          <w:sz w:val="16"/>
        </w:rPr>
        <w:t xml:space="preserve"> 11, 2006.</w:t>
      </w:r>
    </w:p>
  </w:footnote>
  <w:footnote w:id="63">
    <w:p w:rsidR="006B32D3" w:rsidRPr="00457A71" w:rsidRDefault="006B32D3" w:rsidP="006B32D3">
      <w:pPr>
        <w:pStyle w:val="FootnoteText"/>
        <w:tabs>
          <w:tab w:val="left" w:pos="720"/>
        </w:tabs>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The Sixth Court of First Instance for Drug-trafficking and Crimes against the Environment issued a ruling. </w:t>
      </w:r>
      <w:proofErr w:type="gramStart"/>
      <w:r>
        <w:rPr>
          <w:rFonts w:ascii="Cambria" w:hAnsi="Cambria"/>
          <w:sz w:val="16"/>
        </w:rPr>
        <w:t>Attached to the State’s communication of June 16, 1997.</w:t>
      </w:r>
      <w:proofErr w:type="gramEnd"/>
    </w:p>
  </w:footnote>
  <w:footnote w:id="64">
    <w:p w:rsidR="006B32D3" w:rsidRPr="00457A71" w:rsidRDefault="006B32D3" w:rsidP="006B32D3">
      <w:pPr>
        <w:pStyle w:val="FootnoteText"/>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Articles 150, 160, 178, and 327 of the Code of Criminal Procedure.</w:t>
      </w:r>
      <w:proofErr w:type="gramEnd"/>
    </w:p>
  </w:footnote>
  <w:footnote w:id="65">
    <w:p w:rsidR="006B32D3" w:rsidRPr="00457A71" w:rsidRDefault="006B32D3" w:rsidP="006B32D3">
      <w:pPr>
        <w:pStyle w:val="FootnoteText"/>
        <w:tabs>
          <w:tab w:val="left" w:pos="720"/>
        </w:tabs>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The Sixth Court of First Instance for Drug-trafficking and Crimes against the Environment issued a ruling. </w:t>
      </w:r>
      <w:proofErr w:type="gramStart"/>
      <w:r>
        <w:rPr>
          <w:rFonts w:ascii="Cambria" w:hAnsi="Cambria"/>
          <w:sz w:val="16"/>
        </w:rPr>
        <w:t>Attached to the State’s communication of June 16, 1997.</w:t>
      </w:r>
      <w:proofErr w:type="gramEnd"/>
    </w:p>
  </w:footnote>
  <w:footnote w:id="66">
    <w:p w:rsidR="006B32D3" w:rsidRPr="00457A71" w:rsidRDefault="006B32D3" w:rsidP="006B32D3">
      <w:pPr>
        <w:pStyle w:val="FootnoteText"/>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State’s communication of June 13, 1999.</w:t>
      </w:r>
      <w:proofErr w:type="gramEnd"/>
    </w:p>
  </w:footnote>
  <w:footnote w:id="67">
    <w:p w:rsidR="006B32D3" w:rsidRPr="00457A71" w:rsidRDefault="006B32D3" w:rsidP="006B32D3">
      <w:pPr>
        <w:pStyle w:val="FootnoteText"/>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State’s communication of June 13, 1999.</w:t>
      </w:r>
      <w:proofErr w:type="gramEnd"/>
    </w:p>
  </w:footnote>
  <w:footnote w:id="68">
    <w:p w:rsidR="006B32D3" w:rsidRPr="00457A71" w:rsidRDefault="006B32D3" w:rsidP="006B32D3">
      <w:pPr>
        <w:pStyle w:val="FootnoteText"/>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State’s communication of June 13, 1999.</w:t>
      </w:r>
      <w:proofErr w:type="gramEnd"/>
    </w:p>
  </w:footnote>
  <w:footnote w:id="69">
    <w:p w:rsidR="006B32D3" w:rsidRPr="00457A71" w:rsidRDefault="006B32D3" w:rsidP="006B32D3">
      <w:pPr>
        <w:pStyle w:val="FootnoteText"/>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State’s communication of June 13, 1999.</w:t>
      </w:r>
      <w:proofErr w:type="gramEnd"/>
    </w:p>
  </w:footnote>
  <w:footnote w:id="70">
    <w:p w:rsidR="006B32D3" w:rsidRPr="00457A71" w:rsidRDefault="006B32D3" w:rsidP="006B32D3">
      <w:pPr>
        <w:pStyle w:val="FootnoteText"/>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State’s communication of June 13, 1999.</w:t>
      </w:r>
      <w:proofErr w:type="gramEnd"/>
    </w:p>
  </w:footnote>
  <w:footnote w:id="71">
    <w:p w:rsidR="006B32D3" w:rsidRPr="00457A71" w:rsidRDefault="006B32D3" w:rsidP="006B32D3">
      <w:pPr>
        <w:pStyle w:val="FootnoteText"/>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Official </w:t>
      </w:r>
      <w:proofErr w:type="gramStart"/>
      <w:r>
        <w:rPr>
          <w:rFonts w:ascii="Cambria" w:hAnsi="Cambria"/>
          <w:sz w:val="16"/>
        </w:rPr>
        <w:t>Letter  of</w:t>
      </w:r>
      <w:proofErr w:type="gramEnd"/>
      <w:r>
        <w:rPr>
          <w:rFonts w:ascii="Cambria" w:hAnsi="Cambria"/>
          <w:sz w:val="16"/>
        </w:rPr>
        <w:t xml:space="preserve"> the Public Prosecutors' Office (</w:t>
      </w:r>
      <w:proofErr w:type="spellStart"/>
      <w:r>
        <w:rPr>
          <w:rFonts w:ascii="Cambria" w:hAnsi="Cambria"/>
          <w:i/>
          <w:sz w:val="16"/>
        </w:rPr>
        <w:t>Ministerio</w:t>
      </w:r>
      <w:proofErr w:type="spellEnd"/>
      <w:r>
        <w:rPr>
          <w:rFonts w:ascii="Cambria" w:hAnsi="Cambria"/>
          <w:i/>
          <w:sz w:val="16"/>
        </w:rPr>
        <w:t xml:space="preserve"> </w:t>
      </w:r>
      <w:proofErr w:type="spellStart"/>
      <w:r>
        <w:rPr>
          <w:rFonts w:ascii="Cambria" w:hAnsi="Cambria"/>
          <w:i/>
          <w:sz w:val="16"/>
        </w:rPr>
        <w:t>Público</w:t>
      </w:r>
      <w:proofErr w:type="spellEnd"/>
      <w:r>
        <w:rPr>
          <w:rFonts w:ascii="Cambria" w:hAnsi="Cambria"/>
          <w:i/>
          <w:sz w:val="16"/>
        </w:rPr>
        <w:t>).</w:t>
      </w:r>
      <w:r>
        <w:rPr>
          <w:rFonts w:ascii="Cambria" w:hAnsi="Cambria"/>
          <w:sz w:val="16"/>
        </w:rPr>
        <w:t xml:space="preserve"> </w:t>
      </w:r>
      <w:proofErr w:type="gramStart"/>
      <w:r>
        <w:rPr>
          <w:rFonts w:ascii="Cambria" w:hAnsi="Cambria"/>
          <w:sz w:val="16"/>
        </w:rPr>
        <w:t>Attached to the State’s communication of February 24, 2015.</w:t>
      </w:r>
      <w:proofErr w:type="gramEnd"/>
    </w:p>
  </w:footnote>
  <w:footnote w:id="72">
    <w:p w:rsidR="006B32D3" w:rsidRPr="00457A71" w:rsidRDefault="006B32D3" w:rsidP="006B32D3">
      <w:pPr>
        <w:pStyle w:val="FootnoteText"/>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r>
        <w:t xml:space="preserve">IACHR, </w:t>
      </w:r>
      <w:hyperlink r:id="rId2">
        <w:r>
          <w:rPr>
            <w:rStyle w:val="Hyperlink"/>
            <w:rFonts w:ascii="Cambria" w:hAnsi="Cambria"/>
            <w:sz w:val="16"/>
          </w:rPr>
          <w:t>Fourth Report on the Situation of Human Rights in Guatemala</w:t>
        </w:r>
      </w:hyperlink>
      <w:r>
        <w:t>, June 1, 1993.</w:t>
      </w:r>
      <w:r>
        <w:rPr>
          <w:rFonts w:ascii="Cambria" w:hAnsi="Cambria"/>
          <w:sz w:val="16"/>
        </w:rPr>
        <w:t xml:space="preserve"> </w:t>
      </w:r>
    </w:p>
  </w:footnote>
  <w:footnote w:id="73">
    <w:p w:rsidR="006B32D3" w:rsidRPr="00457A71" w:rsidRDefault="006B32D3" w:rsidP="006B32D3">
      <w:pPr>
        <w:pStyle w:val="FootnoteText"/>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r>
        <w:t xml:space="preserve">IACHR, </w:t>
      </w:r>
      <w:hyperlink r:id="rId3">
        <w:r>
          <w:rPr>
            <w:rStyle w:val="Hyperlink"/>
            <w:rFonts w:ascii="Cambria" w:hAnsi="Cambria"/>
            <w:sz w:val="16"/>
          </w:rPr>
          <w:t>Fourth Report on the Situation of Human Rights in Guatemala</w:t>
        </w:r>
      </w:hyperlink>
      <w:r>
        <w:t>, June 1, 1993.</w:t>
      </w:r>
      <w:r>
        <w:rPr>
          <w:rFonts w:ascii="Cambria" w:hAnsi="Cambria"/>
          <w:sz w:val="16"/>
        </w:rPr>
        <w:t xml:space="preserve"> </w:t>
      </w:r>
    </w:p>
  </w:footnote>
  <w:footnote w:id="74">
    <w:p w:rsidR="006B32D3" w:rsidRPr="00457A71" w:rsidRDefault="006B32D3" w:rsidP="006B32D3">
      <w:pPr>
        <w:pStyle w:val="FootnoteText"/>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r>
        <w:t xml:space="preserve">IACHR, </w:t>
      </w:r>
      <w:hyperlink r:id="rId4">
        <w:r>
          <w:rPr>
            <w:rStyle w:val="Hyperlink"/>
            <w:rFonts w:ascii="Cambria" w:hAnsi="Cambria"/>
            <w:sz w:val="16"/>
          </w:rPr>
          <w:t>Fourth Report on the Situation of Human Rights in Guatemala</w:t>
        </w:r>
      </w:hyperlink>
      <w:r>
        <w:t>, June 1, 1993.</w:t>
      </w:r>
      <w:r>
        <w:rPr>
          <w:rFonts w:ascii="Cambria" w:hAnsi="Cambria"/>
          <w:sz w:val="16"/>
        </w:rPr>
        <w:t xml:space="preserve"> </w:t>
      </w:r>
    </w:p>
  </w:footnote>
  <w:footnote w:id="75">
    <w:p w:rsidR="006B32D3" w:rsidRPr="00457A71" w:rsidRDefault="006B32D3" w:rsidP="006B32D3">
      <w:pPr>
        <w:pStyle w:val="FootnoteText"/>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r>
        <w:t xml:space="preserve">IACHR, </w:t>
      </w:r>
      <w:hyperlink r:id="rId5">
        <w:r>
          <w:rPr>
            <w:rStyle w:val="Hyperlink"/>
            <w:rFonts w:ascii="Cambria" w:hAnsi="Cambria"/>
            <w:sz w:val="16"/>
          </w:rPr>
          <w:t>Fourth Report on the Situation of Human Rights in Guatemala</w:t>
        </w:r>
      </w:hyperlink>
      <w:r>
        <w:t>, June 1, 1993.</w:t>
      </w:r>
      <w:r>
        <w:rPr>
          <w:rFonts w:ascii="Cambria" w:hAnsi="Cambria"/>
          <w:sz w:val="16"/>
        </w:rPr>
        <w:t xml:space="preserve"> </w:t>
      </w:r>
    </w:p>
  </w:footnote>
  <w:footnote w:id="76">
    <w:p w:rsidR="006B32D3" w:rsidRPr="00457A71" w:rsidRDefault="006B32D3" w:rsidP="006B32D3">
      <w:pPr>
        <w:pStyle w:val="FootnoteText"/>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IACHR</w:t>
      </w:r>
      <w:hyperlink r:id="rId6">
        <w:r>
          <w:rPr>
            <w:rStyle w:val="Hyperlink"/>
            <w:rFonts w:ascii="Cambria" w:hAnsi="Cambria"/>
            <w:sz w:val="16"/>
          </w:rPr>
          <w:t>, Justice and Social Inclusion:</w:t>
        </w:r>
      </w:hyperlink>
      <w:hyperlink r:id="rId7">
        <w:r>
          <w:rPr>
            <w:rStyle w:val="Hyperlink"/>
            <w:rFonts w:ascii="Cambria" w:hAnsi="Cambria"/>
            <w:sz w:val="16"/>
          </w:rPr>
          <w:t xml:space="preserve"> The Challenges of Democracy in Guatemala</w:t>
        </w:r>
      </w:hyperlink>
      <w:r>
        <w:t>, December 29, 2003, par.</w:t>
      </w:r>
      <w:r>
        <w:rPr>
          <w:rFonts w:ascii="Cambria" w:hAnsi="Cambria"/>
          <w:sz w:val="16"/>
        </w:rPr>
        <w:t xml:space="preserve"> 76.</w:t>
      </w:r>
    </w:p>
  </w:footnote>
  <w:footnote w:id="77">
    <w:p w:rsidR="006B32D3" w:rsidRPr="00457A71" w:rsidRDefault="006B32D3" w:rsidP="006B32D3">
      <w:pPr>
        <w:pStyle w:val="FootnoteText"/>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Press release</w:t>
      </w:r>
      <w:r>
        <w:t xml:space="preserve"> "</w:t>
      </w:r>
      <w:hyperlink r:id="rId8">
        <w:r>
          <w:rPr>
            <w:rStyle w:val="Hyperlink"/>
            <w:rFonts w:ascii="Cambria" w:hAnsi="Cambria"/>
            <w:sz w:val="16"/>
          </w:rPr>
          <w:t>Guatemala UN ascertains impunity for violating human rights</w:t>
        </w:r>
      </w:hyperlink>
      <w:r>
        <w:rPr>
          <w:rFonts w:ascii="Cambria" w:hAnsi="Cambria"/>
          <w:sz w:val="16"/>
        </w:rPr>
        <w:t xml:space="preserve">”, March 14, 1995. </w:t>
      </w:r>
    </w:p>
  </w:footnote>
  <w:footnote w:id="78">
    <w:p w:rsidR="006B32D3" w:rsidRPr="00457A71" w:rsidRDefault="006B32D3" w:rsidP="006B32D3">
      <w:pPr>
        <w:pStyle w:val="FootnoteText"/>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MINUGUA, </w:t>
      </w:r>
      <w:hyperlink r:id="rId9">
        <w:proofErr w:type="gramStart"/>
        <w:r>
          <w:rPr>
            <w:rStyle w:val="Hyperlink"/>
            <w:rFonts w:ascii="Cambria" w:hAnsi="Cambria"/>
            <w:sz w:val="16"/>
          </w:rPr>
          <w:t>Report  on</w:t>
        </w:r>
        <w:proofErr w:type="gramEnd"/>
        <w:r>
          <w:rPr>
            <w:rStyle w:val="Hyperlink"/>
            <w:rFonts w:ascii="Cambria" w:hAnsi="Cambria"/>
            <w:sz w:val="16"/>
          </w:rPr>
          <w:t xml:space="preserve"> Human Rights, 1998</w:t>
        </w:r>
      </w:hyperlink>
      <w:r>
        <w:rPr>
          <w:rFonts w:ascii="Cambria" w:hAnsi="Cambria"/>
          <w:sz w:val="16"/>
        </w:rPr>
        <w:t xml:space="preserve">. </w:t>
      </w:r>
    </w:p>
  </w:footnote>
  <w:footnote w:id="79">
    <w:p w:rsidR="006B32D3" w:rsidRPr="00457A71" w:rsidRDefault="006B32D3" w:rsidP="006B32D3">
      <w:pPr>
        <w:pStyle w:val="FootnoteText"/>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MINUGUA, </w:t>
      </w:r>
      <w:hyperlink r:id="rId10">
        <w:proofErr w:type="gramStart"/>
        <w:r>
          <w:rPr>
            <w:rStyle w:val="Hyperlink"/>
            <w:rFonts w:ascii="Cambria" w:hAnsi="Cambria"/>
            <w:sz w:val="16"/>
          </w:rPr>
          <w:t>Report  on</w:t>
        </w:r>
        <w:proofErr w:type="gramEnd"/>
        <w:r>
          <w:rPr>
            <w:rStyle w:val="Hyperlink"/>
            <w:rFonts w:ascii="Cambria" w:hAnsi="Cambria"/>
            <w:sz w:val="16"/>
          </w:rPr>
          <w:t xml:space="preserve"> Human Rights, September 2000</w:t>
        </w:r>
      </w:hyperlink>
      <w:r>
        <w:rPr>
          <w:rFonts w:ascii="Cambria" w:hAnsi="Cambria"/>
          <w:sz w:val="16"/>
        </w:rPr>
        <w:t xml:space="preserve">. </w:t>
      </w:r>
    </w:p>
  </w:footnote>
  <w:footnote w:id="80">
    <w:p w:rsidR="006B32D3" w:rsidRPr="00457A71" w:rsidRDefault="006B32D3" w:rsidP="006B32D3">
      <w:pPr>
        <w:pStyle w:val="FootnoteText"/>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MINUGUA, </w:t>
      </w:r>
      <w:hyperlink r:id="rId11">
        <w:proofErr w:type="gramStart"/>
        <w:r>
          <w:rPr>
            <w:rStyle w:val="Hyperlink"/>
            <w:rFonts w:ascii="Cambria" w:hAnsi="Cambria"/>
            <w:sz w:val="16"/>
          </w:rPr>
          <w:t>Report  on</w:t>
        </w:r>
        <w:proofErr w:type="gramEnd"/>
        <w:r>
          <w:rPr>
            <w:rStyle w:val="Hyperlink"/>
            <w:rFonts w:ascii="Cambria" w:hAnsi="Cambria"/>
            <w:sz w:val="16"/>
          </w:rPr>
          <w:t xml:space="preserve"> Human Rights, September 2000</w:t>
        </w:r>
      </w:hyperlink>
      <w:r>
        <w:rPr>
          <w:rFonts w:ascii="Cambria" w:hAnsi="Cambria"/>
          <w:sz w:val="16"/>
        </w:rPr>
        <w:t xml:space="preserve">. </w:t>
      </w:r>
    </w:p>
  </w:footnote>
  <w:footnote w:id="81">
    <w:p w:rsidR="006B32D3" w:rsidRPr="00457A71" w:rsidRDefault="006B32D3" w:rsidP="006B32D3">
      <w:pPr>
        <w:pStyle w:val="FootnoteText"/>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Commission for Historical Clarification, </w:t>
      </w:r>
      <w:hyperlink r:id="rId12">
        <w:r>
          <w:rPr>
            <w:rStyle w:val="Hyperlink"/>
            <w:rFonts w:ascii="Cambria" w:hAnsi="Cambria"/>
            <w:sz w:val="16"/>
          </w:rPr>
          <w:t>Guatemala – Memory of Silence</w:t>
        </w:r>
      </w:hyperlink>
      <w:r>
        <w:rPr>
          <w:rFonts w:ascii="Cambria" w:hAnsi="Cambria"/>
          <w:sz w:val="16"/>
        </w:rPr>
        <w:t xml:space="preserve">, </w:t>
      </w:r>
      <w:proofErr w:type="gramStart"/>
      <w:r>
        <w:rPr>
          <w:rFonts w:ascii="Cambria" w:hAnsi="Cambria"/>
          <w:sz w:val="16"/>
        </w:rPr>
        <w:t>Conclusions  and</w:t>
      </w:r>
      <w:proofErr w:type="gramEnd"/>
      <w:r>
        <w:rPr>
          <w:rFonts w:ascii="Cambria" w:hAnsi="Cambria"/>
          <w:sz w:val="16"/>
        </w:rPr>
        <w:t xml:space="preserve"> Recommendations, par. 26.</w:t>
      </w:r>
    </w:p>
  </w:footnote>
  <w:footnote w:id="82">
    <w:p w:rsidR="006B32D3" w:rsidRPr="00457A71" w:rsidRDefault="006B32D3" w:rsidP="006B32D3">
      <w:pPr>
        <w:pStyle w:val="FootnoteText"/>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Commission for Historical Clarification, </w:t>
      </w:r>
      <w:hyperlink r:id="rId13">
        <w:r>
          <w:rPr>
            <w:rStyle w:val="Hyperlink"/>
            <w:rFonts w:ascii="Cambria" w:hAnsi="Cambria"/>
            <w:sz w:val="16"/>
          </w:rPr>
          <w:t>Guatemala – Memory of Silence</w:t>
        </w:r>
      </w:hyperlink>
      <w:r>
        <w:rPr>
          <w:rFonts w:ascii="Cambria" w:hAnsi="Cambria"/>
          <w:sz w:val="16"/>
        </w:rPr>
        <w:t xml:space="preserve">, </w:t>
      </w:r>
      <w:proofErr w:type="gramStart"/>
      <w:r>
        <w:rPr>
          <w:rFonts w:ascii="Cambria" w:hAnsi="Cambria"/>
          <w:sz w:val="16"/>
        </w:rPr>
        <w:t>Conclusions  and</w:t>
      </w:r>
      <w:proofErr w:type="gramEnd"/>
      <w:r>
        <w:rPr>
          <w:rFonts w:ascii="Cambria" w:hAnsi="Cambria"/>
          <w:sz w:val="16"/>
        </w:rPr>
        <w:t xml:space="preserve"> Recommendations, par. 83.</w:t>
      </w:r>
    </w:p>
  </w:footnote>
  <w:footnote w:id="83">
    <w:p w:rsidR="006B32D3" w:rsidRPr="00457A71" w:rsidRDefault="006B32D3" w:rsidP="006B32D3">
      <w:pPr>
        <w:pStyle w:val="FootnoteText"/>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Commission for Historical Clarification, </w:t>
      </w:r>
      <w:hyperlink r:id="rId14">
        <w:r>
          <w:rPr>
            <w:rStyle w:val="Hyperlink"/>
            <w:rFonts w:ascii="Cambria" w:hAnsi="Cambria"/>
            <w:sz w:val="16"/>
          </w:rPr>
          <w:t>Guatemala – Memory of Silence</w:t>
        </w:r>
      </w:hyperlink>
      <w:r>
        <w:rPr>
          <w:rFonts w:ascii="Cambria" w:hAnsi="Cambria"/>
          <w:sz w:val="16"/>
        </w:rPr>
        <w:t xml:space="preserve">, </w:t>
      </w:r>
      <w:proofErr w:type="gramStart"/>
      <w:r>
        <w:rPr>
          <w:rFonts w:ascii="Cambria" w:hAnsi="Cambria"/>
          <w:sz w:val="16"/>
        </w:rPr>
        <w:t>Conclusions  and</w:t>
      </w:r>
      <w:proofErr w:type="gramEnd"/>
      <w:r>
        <w:rPr>
          <w:rFonts w:ascii="Cambria" w:hAnsi="Cambria"/>
          <w:sz w:val="16"/>
        </w:rPr>
        <w:t xml:space="preserve"> Recommendations, par. 146.</w:t>
      </w:r>
    </w:p>
  </w:footnote>
  <w:footnote w:id="84">
    <w:p w:rsidR="006B32D3" w:rsidRPr="00457A71" w:rsidRDefault="006B32D3" w:rsidP="006B32D3">
      <w:pPr>
        <w:spacing w:after="120"/>
        <w:ind w:firstLine="720"/>
        <w:jc w:val="both"/>
        <w:rPr>
          <w:rFonts w:ascii="Cambria" w:eastAsia="Times New Roman"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color w:val="000000"/>
          <w:sz w:val="16"/>
          <w:shd w:val="clear" w:color="auto" w:fill="FFFFFF"/>
        </w:rPr>
        <w:t xml:space="preserve">I/A Court HR. </w:t>
      </w:r>
      <w:r>
        <w:rPr>
          <w:rFonts w:ascii="Cambria" w:hAnsi="Cambria"/>
          <w:i/>
          <w:color w:val="000000"/>
          <w:sz w:val="16"/>
          <w:shd w:val="clear" w:color="auto" w:fill="FFFFFF"/>
        </w:rPr>
        <w:t xml:space="preserve">Case of </w:t>
      </w:r>
      <w:proofErr w:type="spellStart"/>
      <w:r>
        <w:rPr>
          <w:rFonts w:ascii="Cambria" w:hAnsi="Cambria"/>
          <w:i/>
          <w:color w:val="000000"/>
          <w:sz w:val="16"/>
          <w:shd w:val="clear" w:color="auto" w:fill="FFFFFF"/>
        </w:rPr>
        <w:t>García</w:t>
      </w:r>
      <w:proofErr w:type="spellEnd"/>
      <w:r>
        <w:rPr>
          <w:rFonts w:ascii="Cambria" w:hAnsi="Cambria"/>
          <w:i/>
          <w:color w:val="000000"/>
          <w:sz w:val="16"/>
          <w:shd w:val="clear" w:color="auto" w:fill="FFFFFF"/>
        </w:rPr>
        <w:t xml:space="preserve"> and Family v. </w:t>
      </w:r>
      <w:r>
        <w:rPr>
          <w:rFonts w:ascii="Cambria" w:hAnsi="Cambria"/>
          <w:color w:val="000000"/>
          <w:sz w:val="16"/>
          <w:shd w:val="clear" w:color="auto" w:fill="FFFFFF"/>
        </w:rPr>
        <w:t>Guatemala.</w:t>
      </w:r>
      <w:proofErr w:type="gramEnd"/>
      <w:r>
        <w:rPr>
          <w:rFonts w:ascii="Cambria" w:hAnsi="Cambria"/>
          <w:color w:val="000000"/>
          <w:sz w:val="16"/>
          <w:shd w:val="clear" w:color="auto" w:fill="FFFFFF"/>
        </w:rPr>
        <w:t xml:space="preserve"> </w:t>
      </w:r>
      <w:proofErr w:type="gramStart"/>
      <w:r>
        <w:rPr>
          <w:rFonts w:ascii="Cambria" w:hAnsi="Cambria"/>
          <w:color w:val="000000"/>
          <w:sz w:val="16"/>
          <w:shd w:val="clear" w:color="auto" w:fill="FFFFFF"/>
        </w:rPr>
        <w:t>Merits, Reparations, and Costs.</w:t>
      </w:r>
      <w:proofErr w:type="gramEnd"/>
      <w:r>
        <w:rPr>
          <w:rFonts w:ascii="Cambria" w:hAnsi="Cambria"/>
          <w:color w:val="000000"/>
          <w:sz w:val="16"/>
          <w:shd w:val="clear" w:color="auto" w:fill="FFFFFF"/>
        </w:rPr>
        <w:t xml:space="preserve"> </w:t>
      </w:r>
      <w:proofErr w:type="gramStart"/>
      <w:r>
        <w:rPr>
          <w:rFonts w:ascii="Cambria" w:hAnsi="Cambria"/>
          <w:color w:val="000000"/>
          <w:sz w:val="16"/>
          <w:shd w:val="clear" w:color="auto" w:fill="FFFFFF"/>
        </w:rPr>
        <w:t>Judgment of November 29, 2012, Series C No., par. 118.</w:t>
      </w:r>
      <w:proofErr w:type="gramEnd"/>
      <w:r>
        <w:rPr>
          <w:rFonts w:ascii="Cambria" w:hAnsi="Cambria"/>
          <w:b/>
          <w:color w:val="000000"/>
          <w:sz w:val="16"/>
          <w:shd w:val="clear" w:color="auto" w:fill="FFFFFF"/>
        </w:rPr>
        <w:t xml:space="preserve"> </w:t>
      </w:r>
    </w:p>
  </w:footnote>
  <w:footnote w:id="85">
    <w:p w:rsidR="006B32D3" w:rsidRPr="00457A71" w:rsidRDefault="006B32D3" w:rsidP="006B32D3">
      <w:pPr>
        <w:pStyle w:val="FootnoteText"/>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 xml:space="preserve">I/A Court HR. </w:t>
      </w:r>
      <w:r>
        <w:rPr>
          <w:rFonts w:ascii="Cambria" w:hAnsi="Cambria"/>
          <w:i/>
          <w:sz w:val="16"/>
          <w:shd w:val="clear" w:color="auto" w:fill="FFFFFF"/>
        </w:rPr>
        <w:t xml:space="preserve">Case of </w:t>
      </w:r>
      <w:proofErr w:type="spellStart"/>
      <w:r>
        <w:rPr>
          <w:rFonts w:ascii="Cambria" w:hAnsi="Cambria"/>
          <w:i/>
          <w:sz w:val="16"/>
          <w:shd w:val="clear" w:color="auto" w:fill="FFFFFF"/>
        </w:rPr>
        <w:t>García</w:t>
      </w:r>
      <w:proofErr w:type="spellEnd"/>
      <w:r>
        <w:rPr>
          <w:rFonts w:ascii="Cambria" w:hAnsi="Cambria"/>
          <w:i/>
          <w:sz w:val="16"/>
          <w:shd w:val="clear" w:color="auto" w:fill="FFFFFF"/>
        </w:rPr>
        <w:t xml:space="preserve"> and Family v. Guatemala</w:t>
      </w:r>
      <w:r>
        <w:rPr>
          <w:rFonts w:ascii="Cambria" w:hAnsi="Cambria"/>
          <w:sz w:val="16"/>
        </w:rPr>
        <w:t>.</w:t>
      </w:r>
      <w:proofErr w:type="gramEnd"/>
      <w:r>
        <w:rPr>
          <w:rFonts w:ascii="Cambria" w:hAnsi="Cambria"/>
          <w:sz w:val="16"/>
        </w:rPr>
        <w:t xml:space="preserve"> </w:t>
      </w:r>
      <w:proofErr w:type="gramStart"/>
      <w:r>
        <w:rPr>
          <w:rFonts w:ascii="Cambria" w:hAnsi="Cambria"/>
          <w:sz w:val="16"/>
        </w:rPr>
        <w:t>Merits, Reparations, and Costs.</w:t>
      </w:r>
      <w:proofErr w:type="gramEnd"/>
      <w:r>
        <w:rPr>
          <w:rFonts w:ascii="Cambria" w:hAnsi="Cambria"/>
          <w:sz w:val="16"/>
        </w:rPr>
        <w:t xml:space="preserve"> </w:t>
      </w:r>
      <w:proofErr w:type="gramStart"/>
      <w:r>
        <w:rPr>
          <w:rFonts w:ascii="Cambria" w:hAnsi="Cambria"/>
          <w:sz w:val="16"/>
        </w:rPr>
        <w:t>Judgment of November 29, 2012, Series C No., par. 120.</w:t>
      </w:r>
      <w:proofErr w:type="gramEnd"/>
    </w:p>
  </w:footnote>
  <w:footnote w:id="86">
    <w:p w:rsidR="006B32D3" w:rsidRPr="00457A71" w:rsidRDefault="006B32D3" w:rsidP="006B32D3">
      <w:pPr>
        <w:pStyle w:val="FootnoteText"/>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IACHR, Report 29/96, Case 11.303, Merits</w:t>
      </w:r>
      <w:proofErr w:type="gramStart"/>
      <w:r>
        <w:rPr>
          <w:rFonts w:ascii="Cambria" w:hAnsi="Cambria"/>
          <w:sz w:val="16"/>
        </w:rPr>
        <w:t xml:space="preserve">,  </w:t>
      </w:r>
      <w:r>
        <w:rPr>
          <w:rFonts w:ascii="Cambria" w:hAnsi="Cambria"/>
          <w:i/>
          <w:sz w:val="16"/>
        </w:rPr>
        <w:t>Carlos</w:t>
      </w:r>
      <w:proofErr w:type="gramEnd"/>
      <w:r>
        <w:rPr>
          <w:rFonts w:ascii="Cambria" w:hAnsi="Cambria"/>
          <w:i/>
          <w:sz w:val="16"/>
        </w:rPr>
        <w:t xml:space="preserve"> Gómez, </w:t>
      </w:r>
      <w:r>
        <w:rPr>
          <w:rFonts w:ascii="Cambria" w:hAnsi="Cambria"/>
          <w:sz w:val="16"/>
        </w:rPr>
        <w:t>October 16, 1996, par. 67.</w:t>
      </w:r>
    </w:p>
  </w:footnote>
  <w:footnote w:id="87">
    <w:p w:rsidR="006B32D3" w:rsidRPr="00457A71" w:rsidRDefault="006B32D3" w:rsidP="006B32D3">
      <w:pPr>
        <w:spacing w:after="120"/>
        <w:ind w:firstLine="720"/>
        <w:jc w:val="both"/>
        <w:rPr>
          <w:rFonts w:ascii="Cambria" w:eastAsia="Times New Roman"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 xml:space="preserve">ILO, Commission of Inquiry, </w:t>
      </w:r>
      <w:hyperlink r:id="rId15">
        <w:r>
          <w:rPr>
            <w:rStyle w:val="Hyperlink"/>
            <w:rFonts w:ascii="Cambria" w:hAnsi="Cambria"/>
            <w:sz w:val="16"/>
          </w:rPr>
          <w:t xml:space="preserve">Freedom of Association and Protection of the Right to </w:t>
        </w:r>
        <w:proofErr w:type="spellStart"/>
        <w:r>
          <w:rPr>
            <w:rStyle w:val="Hyperlink"/>
            <w:rFonts w:ascii="Cambria" w:hAnsi="Cambria"/>
            <w:sz w:val="16"/>
          </w:rPr>
          <w:t>Organise</w:t>
        </w:r>
        <w:proofErr w:type="spellEnd"/>
        <w:r>
          <w:rPr>
            <w:rStyle w:val="Hyperlink"/>
            <w:rFonts w:ascii="Cambria" w:hAnsi="Cambria"/>
            <w:sz w:val="16"/>
          </w:rPr>
          <w:t xml:space="preserve"> Convention, 1948</w:t>
        </w:r>
      </w:hyperlink>
      <w:r>
        <w:rPr>
          <w:rFonts w:ascii="Cambria" w:hAnsi="Cambria"/>
          <w:sz w:val="16"/>
        </w:rPr>
        <w:t>.</w:t>
      </w:r>
      <w:proofErr w:type="gramEnd"/>
    </w:p>
  </w:footnote>
  <w:footnote w:id="88">
    <w:p w:rsidR="006B32D3" w:rsidRPr="00457A71" w:rsidRDefault="006B32D3" w:rsidP="006B32D3">
      <w:pPr>
        <w:pStyle w:val="FootnoteText"/>
        <w:tabs>
          <w:tab w:val="left" w:pos="720"/>
        </w:tabs>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Communique issued by the Human Rights Office of the Archdiocese of Guatemala. Annex 1 to the initial petition.</w:t>
      </w:r>
    </w:p>
  </w:footnote>
  <w:footnote w:id="89">
    <w:p w:rsidR="006B32D3" w:rsidRPr="00457A71" w:rsidRDefault="006B32D3" w:rsidP="006B32D3">
      <w:pPr>
        <w:pStyle w:val="FootnoteText"/>
        <w:tabs>
          <w:tab w:val="left" w:pos="720"/>
        </w:tabs>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Communique issued by the Human Rights Office of the Archdiocese of Guatemala. Annex 1 to the initial petition.</w:t>
      </w:r>
    </w:p>
  </w:footnote>
  <w:footnote w:id="90">
    <w:p w:rsidR="006B32D3" w:rsidRPr="00457A71" w:rsidRDefault="006B32D3" w:rsidP="006B32D3">
      <w:pPr>
        <w:pStyle w:val="FootnoteText"/>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Article 4.1 of the American Convention: Every person has the right to have his life respected.  This right shall be protected by law and, in general, from the moment of conception.  No one shall be arbitrarily deprived of his life.</w:t>
      </w:r>
    </w:p>
  </w:footnote>
  <w:footnote w:id="91">
    <w:p w:rsidR="006B32D3" w:rsidRPr="00457A71" w:rsidRDefault="006B32D3" w:rsidP="006B32D3">
      <w:pPr>
        <w:pStyle w:val="FootnoteText"/>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Article 5.1 of the American Convention: Every person has the right to have his physical, mental, and moral integrity respected.</w:t>
      </w:r>
    </w:p>
  </w:footnote>
  <w:footnote w:id="92">
    <w:p w:rsidR="006B32D3" w:rsidRPr="00457A71" w:rsidRDefault="006B32D3" w:rsidP="006B32D3">
      <w:pPr>
        <w:tabs>
          <w:tab w:val="left" w:pos="360"/>
        </w:tabs>
        <w:suppressAutoHyphens/>
        <w:spacing w:after="120"/>
        <w:jc w:val="both"/>
        <w:rPr>
          <w:rFonts w:ascii="Cambria" w:hAnsi="Cambria"/>
          <w:spacing w:val="-3"/>
          <w:sz w:val="16"/>
          <w:szCs w:val="16"/>
        </w:rPr>
      </w:pPr>
      <w:r>
        <w:tab/>
      </w:r>
      <w:r>
        <w:tab/>
      </w:r>
      <w:r>
        <w:rPr>
          <w:rStyle w:val="FootnoteReference"/>
          <w:rFonts w:ascii="Cambria" w:hAnsi="Cambria"/>
          <w:sz w:val="16"/>
        </w:rPr>
        <w:footnoteRef/>
      </w:r>
      <w:r>
        <w:rPr>
          <w:rFonts w:ascii="Cambria" w:hAnsi="Cambria"/>
          <w:sz w:val="16"/>
        </w:rPr>
        <w:t xml:space="preserve"> Article 7.1 of the American Convention: Every person has the right to personal liberty and security.</w:t>
      </w:r>
    </w:p>
  </w:footnote>
  <w:footnote w:id="93">
    <w:p w:rsidR="006B32D3" w:rsidRPr="00457A71" w:rsidRDefault="006B32D3" w:rsidP="006B32D3">
      <w:pPr>
        <w:pStyle w:val="FootnoteText"/>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Article 16.1 of the American Convention: Everyone has the right to associate freely for ideological, religious, political, economic, labor, social, cultural, sports, or other purposes.</w:t>
      </w:r>
    </w:p>
  </w:footnote>
  <w:footnote w:id="94">
    <w:p w:rsidR="006B32D3" w:rsidRPr="00457A71" w:rsidRDefault="006B32D3" w:rsidP="006B32D3">
      <w:pPr>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IACHR, Report  No. 13/15, Case 12.349, Report on Admissibility and Merits, Mayra Angelina Gutiérrez Hernández and Family, Guatemala, March 23, 2015, par. 165. </w:t>
      </w:r>
      <w:proofErr w:type="gramStart"/>
      <w:r>
        <w:rPr>
          <w:rFonts w:ascii="Cambria" w:hAnsi="Cambria"/>
          <w:sz w:val="16"/>
        </w:rPr>
        <w:t xml:space="preserve">I/A Court HR. </w:t>
      </w:r>
      <w:r>
        <w:rPr>
          <w:rFonts w:ascii="Cambria" w:hAnsi="Cambria"/>
          <w:i/>
          <w:sz w:val="16"/>
        </w:rPr>
        <w:t>Case of González et al. (“Cotton Field”) v. Mexico</w:t>
      </w:r>
      <w:r>
        <w:rPr>
          <w:rFonts w:ascii="Cambria" w:hAnsi="Cambria"/>
          <w:sz w:val="16"/>
        </w:rPr>
        <w:t>.</w:t>
      </w:r>
      <w:proofErr w:type="gramEnd"/>
      <w:r>
        <w:rPr>
          <w:rFonts w:ascii="Cambria" w:hAnsi="Cambria"/>
          <w:b/>
          <w:sz w:val="16"/>
        </w:rPr>
        <w:t xml:space="preserve"> </w:t>
      </w:r>
      <w:proofErr w:type="gramStart"/>
      <w:r>
        <w:rPr>
          <w:rFonts w:ascii="Cambria" w:hAnsi="Cambria"/>
          <w:sz w:val="16"/>
        </w:rPr>
        <w:t>Preliminary Objection, Merits, Reparations and Costs.</w:t>
      </w:r>
      <w:proofErr w:type="gramEnd"/>
      <w:r>
        <w:rPr>
          <w:rFonts w:ascii="Cambria" w:hAnsi="Cambria"/>
          <w:sz w:val="16"/>
        </w:rPr>
        <w:t xml:space="preserve"> Judgment of November 16, 2009. </w:t>
      </w:r>
      <w:proofErr w:type="gramStart"/>
      <w:r>
        <w:rPr>
          <w:rFonts w:ascii="Cambria" w:hAnsi="Cambria"/>
          <w:sz w:val="16"/>
        </w:rPr>
        <w:t>Series C No. 205, par. 243.</w:t>
      </w:r>
      <w:proofErr w:type="gramEnd"/>
      <w:r>
        <w:rPr>
          <w:rFonts w:ascii="Cambria" w:hAnsi="Cambria"/>
          <w:sz w:val="16"/>
        </w:rPr>
        <w:t xml:space="preserve"> </w:t>
      </w:r>
    </w:p>
  </w:footnote>
  <w:footnote w:id="95">
    <w:p w:rsidR="006B32D3" w:rsidRPr="00457A71" w:rsidRDefault="006B32D3" w:rsidP="006B32D3">
      <w:pPr>
        <w:tabs>
          <w:tab w:val="left" w:pos="900"/>
          <w:tab w:val="left" w:pos="1080"/>
        </w:tabs>
        <w:autoSpaceDE w:val="0"/>
        <w:autoSpaceDN w:val="0"/>
        <w:adjustRightInd w:val="0"/>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 xml:space="preserve">I/A Court HR. </w:t>
      </w:r>
      <w:r>
        <w:rPr>
          <w:rFonts w:ascii="Cambria" w:hAnsi="Cambria"/>
          <w:i/>
          <w:sz w:val="16"/>
        </w:rPr>
        <w:t xml:space="preserve">Case of </w:t>
      </w:r>
      <w:proofErr w:type="spellStart"/>
      <w:r>
        <w:rPr>
          <w:rFonts w:ascii="Cambria" w:hAnsi="Cambria"/>
          <w:i/>
          <w:sz w:val="16"/>
        </w:rPr>
        <w:t>Anzualdo</w:t>
      </w:r>
      <w:proofErr w:type="spellEnd"/>
      <w:r>
        <w:rPr>
          <w:rFonts w:ascii="Cambria" w:hAnsi="Cambria"/>
          <w:i/>
          <w:sz w:val="16"/>
        </w:rPr>
        <w:t xml:space="preserve"> Castro v. </w:t>
      </w:r>
      <w:r>
        <w:rPr>
          <w:rFonts w:ascii="Cambria" w:hAnsi="Cambria"/>
          <w:sz w:val="16"/>
        </w:rPr>
        <w:t>Peru.</w:t>
      </w:r>
      <w:proofErr w:type="gramEnd"/>
      <w:r>
        <w:rPr>
          <w:rFonts w:ascii="Cambria" w:hAnsi="Cambria"/>
          <w:sz w:val="16"/>
        </w:rPr>
        <w:t xml:space="preserve"> </w:t>
      </w:r>
      <w:proofErr w:type="gramStart"/>
      <w:r>
        <w:rPr>
          <w:rFonts w:ascii="Cambria" w:hAnsi="Cambria"/>
          <w:sz w:val="16"/>
        </w:rPr>
        <w:t>Preliminary Objection, Merits, Reparations and Costs.</w:t>
      </w:r>
      <w:proofErr w:type="gramEnd"/>
      <w:r>
        <w:rPr>
          <w:rFonts w:ascii="Cambria" w:hAnsi="Cambria"/>
          <w:sz w:val="16"/>
        </w:rPr>
        <w:t xml:space="preserve"> Judgment of September 22, 2009. </w:t>
      </w:r>
      <w:proofErr w:type="gramStart"/>
      <w:r>
        <w:rPr>
          <w:rFonts w:ascii="Cambria" w:hAnsi="Cambria"/>
          <w:sz w:val="16"/>
        </w:rPr>
        <w:t xml:space="preserve">Series C No. 202, par. 134; and </w:t>
      </w:r>
      <w:r>
        <w:rPr>
          <w:rFonts w:ascii="Cambria" w:hAnsi="Cambria"/>
          <w:i/>
          <w:sz w:val="16"/>
        </w:rPr>
        <w:t xml:space="preserve">Case of </w:t>
      </w:r>
      <w:proofErr w:type="spellStart"/>
      <w:r>
        <w:rPr>
          <w:rFonts w:ascii="Cambria" w:hAnsi="Cambria"/>
          <w:i/>
          <w:sz w:val="16"/>
        </w:rPr>
        <w:t>Radilla</w:t>
      </w:r>
      <w:proofErr w:type="spellEnd"/>
      <w:r>
        <w:rPr>
          <w:rFonts w:ascii="Cambria" w:hAnsi="Cambria"/>
          <w:i/>
          <w:sz w:val="16"/>
        </w:rPr>
        <w:t xml:space="preserve"> Pacheco v. Mexico</w:t>
      </w:r>
      <w:r>
        <w:rPr>
          <w:rFonts w:ascii="Cambria" w:hAnsi="Cambria"/>
          <w:sz w:val="16"/>
        </w:rPr>
        <w:t>.</w:t>
      </w:r>
      <w:proofErr w:type="gramEnd"/>
      <w:r>
        <w:rPr>
          <w:rFonts w:ascii="Cambria" w:hAnsi="Cambria"/>
          <w:b/>
          <w:sz w:val="16"/>
        </w:rPr>
        <w:t xml:space="preserve"> </w:t>
      </w:r>
      <w:proofErr w:type="gramStart"/>
      <w:r>
        <w:rPr>
          <w:rFonts w:ascii="Cambria" w:hAnsi="Cambria"/>
          <w:sz w:val="16"/>
        </w:rPr>
        <w:t>Preliminary Objections, Merits, Reparations, and Costs.</w:t>
      </w:r>
      <w:proofErr w:type="gramEnd"/>
      <w:r>
        <w:rPr>
          <w:rFonts w:ascii="Cambria" w:hAnsi="Cambria"/>
          <w:sz w:val="16"/>
        </w:rPr>
        <w:t xml:space="preserve"> Judgment of November 23, 2009. </w:t>
      </w:r>
      <w:proofErr w:type="gramStart"/>
      <w:r>
        <w:rPr>
          <w:rFonts w:ascii="Cambria" w:hAnsi="Cambria"/>
          <w:sz w:val="16"/>
        </w:rPr>
        <w:t>Series C No. 209, par. 221.</w:t>
      </w:r>
      <w:proofErr w:type="gramEnd"/>
      <w:r>
        <w:rPr>
          <w:rFonts w:ascii="Cambria" w:hAnsi="Cambria"/>
          <w:sz w:val="16"/>
        </w:rPr>
        <w:t xml:space="preserve"> </w:t>
      </w:r>
    </w:p>
    <w:p w:rsidR="006B32D3" w:rsidRPr="00457A71" w:rsidRDefault="006B32D3" w:rsidP="006B32D3">
      <w:pPr>
        <w:tabs>
          <w:tab w:val="left" w:pos="900"/>
          <w:tab w:val="left" w:pos="1080"/>
        </w:tabs>
        <w:autoSpaceDE w:val="0"/>
        <w:autoSpaceDN w:val="0"/>
        <w:adjustRightInd w:val="0"/>
        <w:spacing w:after="120"/>
        <w:ind w:firstLine="720"/>
        <w:jc w:val="both"/>
        <w:rPr>
          <w:rFonts w:ascii="Cambria" w:hAnsi="Cambria"/>
          <w:sz w:val="16"/>
          <w:szCs w:val="16"/>
        </w:rPr>
      </w:pPr>
    </w:p>
  </w:footnote>
  <w:footnote w:id="96">
    <w:p w:rsidR="006B32D3" w:rsidRPr="00457A71" w:rsidRDefault="006B32D3" w:rsidP="006B32D3">
      <w:pPr>
        <w:pStyle w:val="FootnoteText"/>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 xml:space="preserve">I/A Court HR. </w:t>
      </w:r>
      <w:r>
        <w:rPr>
          <w:rFonts w:ascii="Cambria" w:hAnsi="Cambria"/>
          <w:i/>
          <w:sz w:val="16"/>
        </w:rPr>
        <w:t xml:space="preserve">Case of </w:t>
      </w:r>
      <w:proofErr w:type="spellStart"/>
      <w:r>
        <w:rPr>
          <w:rFonts w:ascii="Cambria" w:hAnsi="Cambria"/>
          <w:i/>
          <w:sz w:val="16"/>
        </w:rPr>
        <w:t>Velásquez</w:t>
      </w:r>
      <w:proofErr w:type="spellEnd"/>
      <w:r>
        <w:rPr>
          <w:rFonts w:ascii="Cambria" w:hAnsi="Cambria"/>
          <w:i/>
          <w:sz w:val="16"/>
        </w:rPr>
        <w:t xml:space="preserve"> </w:t>
      </w:r>
      <w:proofErr w:type="spellStart"/>
      <w:r>
        <w:rPr>
          <w:rFonts w:ascii="Cambria" w:hAnsi="Cambria"/>
          <w:i/>
          <w:sz w:val="16"/>
        </w:rPr>
        <w:t>Paiz</w:t>
      </w:r>
      <w:proofErr w:type="spellEnd"/>
      <w:r>
        <w:rPr>
          <w:rFonts w:ascii="Cambria" w:hAnsi="Cambria"/>
          <w:i/>
          <w:sz w:val="16"/>
        </w:rPr>
        <w:t xml:space="preserve"> et al. v. Guatemala</w:t>
      </w:r>
      <w:r>
        <w:rPr>
          <w:rFonts w:ascii="Cambria" w:hAnsi="Cambria"/>
          <w:sz w:val="16"/>
        </w:rPr>
        <w:t>.</w:t>
      </w:r>
      <w:proofErr w:type="gramEnd"/>
      <w:r>
        <w:rPr>
          <w:rFonts w:ascii="Cambria" w:hAnsi="Cambria"/>
          <w:sz w:val="16"/>
        </w:rPr>
        <w:t xml:space="preserve"> </w:t>
      </w:r>
      <w:proofErr w:type="gramStart"/>
      <w:r>
        <w:rPr>
          <w:rFonts w:ascii="Cambria" w:hAnsi="Cambria"/>
          <w:sz w:val="16"/>
        </w:rPr>
        <w:t>Preliminary Objections, Merits, Reparations, and Costs.</w:t>
      </w:r>
      <w:proofErr w:type="gramEnd"/>
      <w:r>
        <w:rPr>
          <w:rFonts w:ascii="Cambria" w:hAnsi="Cambria"/>
          <w:sz w:val="16"/>
        </w:rPr>
        <w:t xml:space="preserve"> Judgment of November 19, 2015. </w:t>
      </w:r>
      <w:proofErr w:type="gramStart"/>
      <w:r>
        <w:rPr>
          <w:rFonts w:ascii="Cambria" w:hAnsi="Cambria"/>
          <w:sz w:val="16"/>
        </w:rPr>
        <w:t>Series C No. 307, par. 109.</w:t>
      </w:r>
      <w:proofErr w:type="gramEnd"/>
    </w:p>
  </w:footnote>
  <w:footnote w:id="97">
    <w:p w:rsidR="006B32D3" w:rsidRPr="00457A71" w:rsidRDefault="006B32D3" w:rsidP="006B32D3">
      <w:pPr>
        <w:pStyle w:val="FootnoteText"/>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 xml:space="preserve">I/A Court HR. </w:t>
      </w:r>
      <w:r>
        <w:rPr>
          <w:rFonts w:ascii="Cambria" w:hAnsi="Cambria"/>
          <w:i/>
          <w:sz w:val="16"/>
        </w:rPr>
        <w:t xml:space="preserve">Case of </w:t>
      </w:r>
      <w:proofErr w:type="spellStart"/>
      <w:r>
        <w:rPr>
          <w:rFonts w:ascii="Cambria" w:hAnsi="Cambria"/>
          <w:i/>
          <w:sz w:val="16"/>
        </w:rPr>
        <w:t>Huilca</w:t>
      </w:r>
      <w:proofErr w:type="spellEnd"/>
      <w:r>
        <w:rPr>
          <w:rFonts w:ascii="Cambria" w:hAnsi="Cambria"/>
          <w:i/>
          <w:sz w:val="16"/>
        </w:rPr>
        <w:t xml:space="preserve"> </w:t>
      </w:r>
      <w:proofErr w:type="spellStart"/>
      <w:r>
        <w:rPr>
          <w:rFonts w:ascii="Cambria" w:hAnsi="Cambria"/>
          <w:i/>
          <w:sz w:val="16"/>
        </w:rPr>
        <w:t>Tecse</w:t>
      </w:r>
      <w:proofErr w:type="spellEnd"/>
      <w:r>
        <w:rPr>
          <w:rFonts w:ascii="Cambria" w:hAnsi="Cambria"/>
          <w:i/>
          <w:sz w:val="16"/>
        </w:rPr>
        <w:t xml:space="preserve"> v. </w:t>
      </w:r>
      <w:r>
        <w:rPr>
          <w:rFonts w:ascii="Cambria" w:hAnsi="Cambria"/>
          <w:sz w:val="16"/>
        </w:rPr>
        <w:t>Peru.</w:t>
      </w:r>
      <w:proofErr w:type="gramEnd"/>
      <w:r>
        <w:rPr>
          <w:rFonts w:ascii="Cambria" w:hAnsi="Cambria"/>
          <w:sz w:val="16"/>
        </w:rPr>
        <w:t xml:space="preserve"> </w:t>
      </w:r>
      <w:proofErr w:type="gramStart"/>
      <w:r>
        <w:rPr>
          <w:rFonts w:ascii="Cambria" w:hAnsi="Cambria"/>
          <w:sz w:val="16"/>
        </w:rPr>
        <w:t>Merits, Reparations, and Costs.</w:t>
      </w:r>
      <w:proofErr w:type="gramEnd"/>
      <w:r>
        <w:rPr>
          <w:rFonts w:ascii="Cambria" w:hAnsi="Cambria"/>
          <w:sz w:val="16"/>
        </w:rPr>
        <w:t xml:space="preserve"> </w:t>
      </w:r>
      <w:proofErr w:type="gramStart"/>
      <w:r>
        <w:rPr>
          <w:rFonts w:ascii="Cambria" w:hAnsi="Cambria"/>
          <w:sz w:val="16"/>
        </w:rPr>
        <w:t>Judgment of March 3, 2005, Series C No. 121, par. 69.</w:t>
      </w:r>
      <w:proofErr w:type="gramEnd"/>
    </w:p>
  </w:footnote>
  <w:footnote w:id="98">
    <w:p w:rsidR="006B32D3" w:rsidRPr="00457A71" w:rsidRDefault="006B32D3" w:rsidP="006B32D3">
      <w:pPr>
        <w:pStyle w:val="FootnoteText"/>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 xml:space="preserve">I/A Court HR. </w:t>
      </w:r>
      <w:r>
        <w:rPr>
          <w:rFonts w:ascii="Cambria" w:hAnsi="Cambria"/>
          <w:i/>
          <w:sz w:val="16"/>
        </w:rPr>
        <w:t xml:space="preserve">Case of </w:t>
      </w:r>
      <w:proofErr w:type="spellStart"/>
      <w:r>
        <w:rPr>
          <w:rFonts w:ascii="Cambria" w:hAnsi="Cambria"/>
          <w:i/>
          <w:sz w:val="16"/>
        </w:rPr>
        <w:t>Huilca</w:t>
      </w:r>
      <w:proofErr w:type="spellEnd"/>
      <w:r>
        <w:rPr>
          <w:rFonts w:ascii="Cambria" w:hAnsi="Cambria"/>
          <w:i/>
          <w:sz w:val="16"/>
        </w:rPr>
        <w:t xml:space="preserve"> </w:t>
      </w:r>
      <w:proofErr w:type="spellStart"/>
      <w:r>
        <w:rPr>
          <w:rFonts w:ascii="Cambria" w:hAnsi="Cambria"/>
          <w:i/>
          <w:sz w:val="16"/>
        </w:rPr>
        <w:t>Tecse</w:t>
      </w:r>
      <w:proofErr w:type="spellEnd"/>
      <w:r>
        <w:rPr>
          <w:rFonts w:ascii="Cambria" w:hAnsi="Cambria"/>
          <w:i/>
          <w:sz w:val="16"/>
        </w:rPr>
        <w:t xml:space="preserve"> v. </w:t>
      </w:r>
      <w:r>
        <w:rPr>
          <w:rFonts w:ascii="Cambria" w:hAnsi="Cambria"/>
          <w:sz w:val="16"/>
        </w:rPr>
        <w:t>Peru.</w:t>
      </w:r>
      <w:proofErr w:type="gramEnd"/>
      <w:r>
        <w:rPr>
          <w:rFonts w:ascii="Cambria" w:hAnsi="Cambria"/>
          <w:sz w:val="16"/>
        </w:rPr>
        <w:t xml:space="preserve"> </w:t>
      </w:r>
      <w:proofErr w:type="gramStart"/>
      <w:r>
        <w:rPr>
          <w:rFonts w:ascii="Cambria" w:hAnsi="Cambria"/>
          <w:sz w:val="16"/>
        </w:rPr>
        <w:t>Merits, Reparations, and Costs.</w:t>
      </w:r>
      <w:proofErr w:type="gramEnd"/>
      <w:r>
        <w:rPr>
          <w:rFonts w:ascii="Cambria" w:hAnsi="Cambria"/>
          <w:sz w:val="16"/>
        </w:rPr>
        <w:t xml:space="preserve"> </w:t>
      </w:r>
      <w:proofErr w:type="gramStart"/>
      <w:r>
        <w:rPr>
          <w:rFonts w:ascii="Cambria" w:hAnsi="Cambria"/>
          <w:sz w:val="16"/>
        </w:rPr>
        <w:t>Judgment of March 3, 2005, Series C No. 121, par. 69.</w:t>
      </w:r>
      <w:proofErr w:type="gramEnd"/>
    </w:p>
  </w:footnote>
  <w:footnote w:id="99">
    <w:p w:rsidR="006B32D3" w:rsidRPr="00457A71" w:rsidRDefault="006B32D3" w:rsidP="006B32D3">
      <w:pPr>
        <w:pStyle w:val="FootnoteText"/>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 xml:space="preserve">I/A Court HR. </w:t>
      </w:r>
      <w:r>
        <w:rPr>
          <w:rFonts w:ascii="Cambria" w:hAnsi="Cambria"/>
          <w:i/>
          <w:sz w:val="16"/>
        </w:rPr>
        <w:t xml:space="preserve">Case of </w:t>
      </w:r>
      <w:proofErr w:type="spellStart"/>
      <w:r>
        <w:rPr>
          <w:rFonts w:ascii="Cambria" w:hAnsi="Cambria"/>
          <w:i/>
          <w:sz w:val="16"/>
        </w:rPr>
        <w:t>Kawas-Fernández</w:t>
      </w:r>
      <w:proofErr w:type="spellEnd"/>
      <w:r>
        <w:rPr>
          <w:rFonts w:ascii="Cambria" w:hAnsi="Cambria"/>
          <w:i/>
          <w:sz w:val="16"/>
        </w:rPr>
        <w:t xml:space="preserve"> v. Honduras.</w:t>
      </w:r>
      <w:proofErr w:type="gramEnd"/>
      <w:r>
        <w:rPr>
          <w:rFonts w:ascii="Cambria" w:hAnsi="Cambria"/>
          <w:sz w:val="16"/>
        </w:rPr>
        <w:t xml:space="preserve"> </w:t>
      </w:r>
      <w:proofErr w:type="gramStart"/>
      <w:r>
        <w:rPr>
          <w:rFonts w:ascii="Cambria" w:hAnsi="Cambria"/>
          <w:sz w:val="16"/>
        </w:rPr>
        <w:t>Merits, Reparations, and Costs.</w:t>
      </w:r>
      <w:proofErr w:type="gramEnd"/>
      <w:r>
        <w:rPr>
          <w:rFonts w:ascii="Cambria" w:hAnsi="Cambria"/>
          <w:sz w:val="16"/>
        </w:rPr>
        <w:t xml:space="preserve"> </w:t>
      </w:r>
      <w:proofErr w:type="gramStart"/>
      <w:r>
        <w:rPr>
          <w:rFonts w:ascii="Cambria" w:hAnsi="Cambria"/>
          <w:sz w:val="16"/>
        </w:rPr>
        <w:t>Judgment of April 3, 2009, Series C No. 196, par. 144.</w:t>
      </w:r>
      <w:proofErr w:type="gramEnd"/>
      <w:r>
        <w:rPr>
          <w:rFonts w:ascii="Cambria" w:hAnsi="Cambria"/>
          <w:sz w:val="16"/>
        </w:rPr>
        <w:t xml:space="preserve"> Cf. </w:t>
      </w:r>
      <w:proofErr w:type="gramStart"/>
      <w:r>
        <w:rPr>
          <w:rFonts w:ascii="Cambria" w:hAnsi="Cambria"/>
          <w:sz w:val="16"/>
        </w:rPr>
        <w:t>I/A</w:t>
      </w:r>
      <w:proofErr w:type="gramEnd"/>
      <w:r>
        <w:rPr>
          <w:rFonts w:ascii="Cambria" w:hAnsi="Cambria"/>
          <w:sz w:val="16"/>
        </w:rPr>
        <w:t xml:space="preserve"> Court H.R., </w:t>
      </w:r>
      <w:r>
        <w:rPr>
          <w:rFonts w:ascii="Cambria" w:hAnsi="Cambria"/>
          <w:i/>
          <w:sz w:val="16"/>
        </w:rPr>
        <w:t xml:space="preserve">Case of </w:t>
      </w:r>
      <w:proofErr w:type="spellStart"/>
      <w:r>
        <w:rPr>
          <w:rFonts w:ascii="Cambria" w:hAnsi="Cambria"/>
          <w:i/>
          <w:sz w:val="16"/>
        </w:rPr>
        <w:t>Huilca</w:t>
      </w:r>
      <w:proofErr w:type="spellEnd"/>
      <w:r>
        <w:rPr>
          <w:rFonts w:ascii="Cambria" w:hAnsi="Cambria"/>
          <w:i/>
          <w:sz w:val="16"/>
        </w:rPr>
        <w:t xml:space="preserve"> </w:t>
      </w:r>
      <w:proofErr w:type="spellStart"/>
      <w:r>
        <w:rPr>
          <w:rFonts w:ascii="Cambria" w:hAnsi="Cambria"/>
          <w:i/>
          <w:sz w:val="16"/>
        </w:rPr>
        <w:t>Tecse</w:t>
      </w:r>
      <w:proofErr w:type="spellEnd"/>
      <w:r>
        <w:rPr>
          <w:rFonts w:ascii="Cambria" w:hAnsi="Cambria"/>
          <w:i/>
          <w:sz w:val="16"/>
        </w:rPr>
        <w:t xml:space="preserve"> v. </w:t>
      </w:r>
      <w:r>
        <w:rPr>
          <w:rFonts w:ascii="Cambria" w:hAnsi="Cambria"/>
          <w:sz w:val="16"/>
        </w:rPr>
        <w:t xml:space="preserve">Peru. </w:t>
      </w:r>
      <w:proofErr w:type="gramStart"/>
      <w:r>
        <w:rPr>
          <w:rFonts w:ascii="Cambria" w:hAnsi="Cambria"/>
          <w:sz w:val="16"/>
        </w:rPr>
        <w:t>Merits, Reparations, and Costs.</w:t>
      </w:r>
      <w:proofErr w:type="gramEnd"/>
      <w:r>
        <w:rPr>
          <w:rFonts w:ascii="Cambria" w:hAnsi="Cambria"/>
          <w:sz w:val="16"/>
        </w:rPr>
        <w:t xml:space="preserve"> Judgment of March 3, 2005, Series C No. 121, par. 76; and I/A Court H.R., Case of </w:t>
      </w:r>
      <w:proofErr w:type="spellStart"/>
      <w:r>
        <w:rPr>
          <w:rFonts w:ascii="Cambria" w:hAnsi="Cambria"/>
          <w:sz w:val="16"/>
        </w:rPr>
        <w:t>Cantoral-Huamaní</w:t>
      </w:r>
      <w:proofErr w:type="spellEnd"/>
      <w:r>
        <w:rPr>
          <w:rFonts w:ascii="Cambria" w:hAnsi="Cambria"/>
          <w:sz w:val="16"/>
        </w:rPr>
        <w:t xml:space="preserve"> and </w:t>
      </w:r>
      <w:proofErr w:type="spellStart"/>
      <w:r>
        <w:rPr>
          <w:rFonts w:ascii="Cambria" w:hAnsi="Cambria"/>
          <w:sz w:val="16"/>
        </w:rPr>
        <w:t>García</w:t>
      </w:r>
      <w:proofErr w:type="spellEnd"/>
      <w:r>
        <w:rPr>
          <w:rFonts w:ascii="Cambria" w:hAnsi="Cambria"/>
          <w:sz w:val="16"/>
        </w:rPr>
        <w:t>-Santa Cruz v.</w:t>
      </w:r>
      <w:r>
        <w:rPr>
          <w:rFonts w:ascii="Cambria" w:hAnsi="Cambria"/>
          <w:i/>
          <w:sz w:val="16"/>
        </w:rPr>
        <w:t xml:space="preserve"> </w:t>
      </w:r>
      <w:r>
        <w:rPr>
          <w:rFonts w:ascii="Cambria" w:hAnsi="Cambria"/>
          <w:sz w:val="16"/>
        </w:rPr>
        <w:t xml:space="preserve">Peru. </w:t>
      </w:r>
      <w:proofErr w:type="gramStart"/>
      <w:r>
        <w:rPr>
          <w:rFonts w:ascii="Cambria" w:hAnsi="Cambria"/>
          <w:sz w:val="16"/>
        </w:rPr>
        <w:t>Preliminary Objection, Merits, Reparations and Costs.</w:t>
      </w:r>
      <w:proofErr w:type="gramEnd"/>
      <w:r>
        <w:rPr>
          <w:rFonts w:ascii="Cambria" w:hAnsi="Cambria"/>
          <w:sz w:val="16"/>
        </w:rPr>
        <w:t xml:space="preserve"> </w:t>
      </w:r>
      <w:proofErr w:type="gramStart"/>
      <w:r>
        <w:rPr>
          <w:rFonts w:ascii="Cambria" w:hAnsi="Cambria"/>
          <w:sz w:val="16"/>
        </w:rPr>
        <w:t>Judgment of July 10, 2007, Series C No. 167, par. 141.</w:t>
      </w:r>
      <w:proofErr w:type="gramEnd"/>
    </w:p>
  </w:footnote>
  <w:footnote w:id="100">
    <w:p w:rsidR="006B32D3" w:rsidRPr="00457A71" w:rsidRDefault="006B32D3" w:rsidP="006B32D3">
      <w:pPr>
        <w:pStyle w:val="FootnoteText"/>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Article 8.1 of the American Convention: Every person has the right to a hearing, with due guarantees and within a reasonable time, by a competent, independent, and impartial tribunal, previously established by law, in the substantiation of any accusation of a criminal nature made against him or for the determination of his rights and obligations of a civil, labor, fiscal, or any other nature.</w:t>
      </w:r>
    </w:p>
  </w:footnote>
  <w:footnote w:id="101">
    <w:p w:rsidR="006B32D3" w:rsidRPr="00457A71" w:rsidRDefault="006B32D3" w:rsidP="006B32D3">
      <w:pPr>
        <w:pStyle w:val="FootnoteText"/>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Article 25.1 of the American Convention: Everyone has the right to simple and prompt recourse, or any other effective recourse, to a competent court or tribunal for protection against acts that violate his fundamental rights recognized by the constitution or laws of the state concerned or by this Convention, even though such violation may have been committed by persons acting in the course of their official duties.</w:t>
      </w:r>
    </w:p>
  </w:footnote>
  <w:footnote w:id="102">
    <w:p w:rsidR="006B32D3" w:rsidRPr="00457A71" w:rsidRDefault="006B32D3" w:rsidP="006B32D3">
      <w:pPr>
        <w:pStyle w:val="FootnoteText"/>
        <w:tabs>
          <w:tab w:val="left" w:pos="720"/>
        </w:tabs>
        <w:spacing w:after="120"/>
        <w:ind w:firstLine="720"/>
        <w:jc w:val="both"/>
        <w:rPr>
          <w:rFonts w:ascii="Cambria" w:hAnsi="Cambria"/>
          <w:spacing w:val="-4"/>
          <w:sz w:val="16"/>
          <w:szCs w:val="16"/>
        </w:rPr>
      </w:pPr>
      <w:r>
        <w:rPr>
          <w:rStyle w:val="FootnoteReference"/>
          <w:rFonts w:ascii="Cambria" w:hAnsi="Cambria"/>
          <w:spacing w:val="-4"/>
          <w:sz w:val="16"/>
        </w:rPr>
        <w:footnoteRef/>
      </w:r>
      <w:r>
        <w:rPr>
          <w:rFonts w:ascii="Cambria" w:hAnsi="Cambria"/>
          <w:spacing w:val="-4"/>
          <w:sz w:val="16"/>
        </w:rPr>
        <w:t xml:space="preserve"> I/A Court HR. </w:t>
      </w:r>
      <w:r>
        <w:rPr>
          <w:rFonts w:ascii="Cambria" w:hAnsi="Cambria"/>
          <w:i/>
          <w:sz w:val="16"/>
        </w:rPr>
        <w:t>Case of Rodríguez Vera et al. (Persons Disappeared from the Palace of Justice) v. Colombia.</w:t>
      </w:r>
      <w:r>
        <w:rPr>
          <w:rFonts w:ascii="Cambria" w:hAnsi="Cambria"/>
          <w:spacing w:val="-4"/>
          <w:sz w:val="16"/>
        </w:rPr>
        <w:t xml:space="preserve"> </w:t>
      </w:r>
      <w:proofErr w:type="gramStart"/>
      <w:r>
        <w:rPr>
          <w:rFonts w:ascii="Cambria" w:hAnsi="Cambria"/>
          <w:spacing w:val="-4"/>
          <w:sz w:val="16"/>
        </w:rPr>
        <w:t>Preliminary Objections, Merits, Reparations, and Costs.</w:t>
      </w:r>
      <w:proofErr w:type="gramEnd"/>
      <w:r>
        <w:rPr>
          <w:rFonts w:ascii="Cambria" w:hAnsi="Cambria"/>
          <w:spacing w:val="-4"/>
          <w:sz w:val="16"/>
        </w:rPr>
        <w:t xml:space="preserve"> Judgment of November 14, 2014. </w:t>
      </w:r>
      <w:proofErr w:type="gramStart"/>
      <w:r>
        <w:rPr>
          <w:rFonts w:ascii="Cambria" w:hAnsi="Cambria"/>
          <w:spacing w:val="-4"/>
          <w:sz w:val="16"/>
        </w:rPr>
        <w:t>Series C No. 287, par. 435.</w:t>
      </w:r>
      <w:proofErr w:type="gramEnd"/>
      <w:r>
        <w:rPr>
          <w:rFonts w:ascii="Cambria" w:hAnsi="Cambria"/>
          <w:spacing w:val="-4"/>
          <w:sz w:val="16"/>
        </w:rPr>
        <w:t xml:space="preserve"> </w:t>
      </w:r>
    </w:p>
  </w:footnote>
  <w:footnote w:id="103">
    <w:p w:rsidR="006B32D3" w:rsidRPr="00457A71" w:rsidRDefault="006B32D3" w:rsidP="006B32D3">
      <w:pPr>
        <w:pStyle w:val="FootnoteText"/>
        <w:tabs>
          <w:tab w:val="left" w:pos="720"/>
        </w:tabs>
        <w:spacing w:after="120"/>
        <w:ind w:firstLine="720"/>
        <w:jc w:val="both"/>
        <w:rPr>
          <w:rFonts w:ascii="Cambria" w:hAnsi="Cambria"/>
          <w:spacing w:val="-4"/>
          <w:sz w:val="16"/>
          <w:szCs w:val="16"/>
        </w:rPr>
      </w:pPr>
      <w:r>
        <w:rPr>
          <w:rStyle w:val="FootnoteReference"/>
          <w:rFonts w:ascii="Cambria" w:hAnsi="Cambria"/>
          <w:spacing w:val="-4"/>
          <w:sz w:val="16"/>
        </w:rPr>
        <w:footnoteRef/>
      </w:r>
      <w:r>
        <w:rPr>
          <w:rFonts w:ascii="Cambria" w:hAnsi="Cambria"/>
          <w:spacing w:val="-4"/>
          <w:sz w:val="16"/>
        </w:rPr>
        <w:t xml:space="preserve"> I/A Court HR. </w:t>
      </w:r>
      <w:r>
        <w:rPr>
          <w:rFonts w:ascii="Cambria" w:hAnsi="Cambria"/>
          <w:i/>
          <w:spacing w:val="-4"/>
          <w:sz w:val="16"/>
        </w:rPr>
        <w:t>Case of Human Rights Defender et al. v. Guatemala</w:t>
      </w:r>
      <w:r>
        <w:rPr>
          <w:rFonts w:ascii="Cambria" w:hAnsi="Cambria"/>
          <w:spacing w:val="-4"/>
          <w:sz w:val="16"/>
        </w:rPr>
        <w:t xml:space="preserve">. </w:t>
      </w:r>
      <w:proofErr w:type="gramStart"/>
      <w:r>
        <w:rPr>
          <w:rFonts w:ascii="Cambria" w:hAnsi="Cambria"/>
          <w:spacing w:val="-4"/>
          <w:sz w:val="16"/>
        </w:rPr>
        <w:t>Preliminary Objections, Merits, Reparations, and Costs.</w:t>
      </w:r>
      <w:proofErr w:type="gramEnd"/>
      <w:r>
        <w:rPr>
          <w:rFonts w:ascii="Cambria" w:hAnsi="Cambria"/>
          <w:spacing w:val="-4"/>
          <w:sz w:val="16"/>
        </w:rPr>
        <w:t xml:space="preserve"> Judgment </w:t>
      </w:r>
      <w:proofErr w:type="gramStart"/>
      <w:r>
        <w:rPr>
          <w:rFonts w:ascii="Cambria" w:hAnsi="Cambria"/>
          <w:spacing w:val="-4"/>
          <w:sz w:val="16"/>
        </w:rPr>
        <w:t>of  August</w:t>
      </w:r>
      <w:proofErr w:type="gramEnd"/>
      <w:r>
        <w:rPr>
          <w:rFonts w:ascii="Cambria" w:hAnsi="Cambria"/>
          <w:spacing w:val="-4"/>
          <w:sz w:val="16"/>
        </w:rPr>
        <w:t xml:space="preserve"> 28, 2014. </w:t>
      </w:r>
      <w:proofErr w:type="gramStart"/>
      <w:r>
        <w:rPr>
          <w:rFonts w:ascii="Cambria" w:hAnsi="Cambria"/>
          <w:spacing w:val="-4"/>
          <w:sz w:val="16"/>
        </w:rPr>
        <w:t>Series C No. 283, par. 199.</w:t>
      </w:r>
      <w:proofErr w:type="gramEnd"/>
    </w:p>
  </w:footnote>
  <w:footnote w:id="104">
    <w:p w:rsidR="006B32D3" w:rsidRPr="00457A71" w:rsidRDefault="006B32D3" w:rsidP="006B32D3">
      <w:pPr>
        <w:pStyle w:val="FootnoteText"/>
        <w:spacing w:after="120"/>
        <w:ind w:firstLine="720"/>
        <w:jc w:val="both"/>
        <w:rPr>
          <w:rFonts w:ascii="Cambria" w:hAnsi="Cambria"/>
          <w:sz w:val="16"/>
          <w:szCs w:val="16"/>
        </w:rPr>
      </w:pPr>
      <w:r>
        <w:rPr>
          <w:rStyle w:val="FootnoteReference"/>
          <w:rFonts w:ascii="Cambria" w:hAnsi="Cambria"/>
          <w:sz w:val="16"/>
        </w:rPr>
        <w:footnoteRef/>
      </w:r>
      <w:r>
        <w:rPr>
          <w:rStyle w:val="FootnoteReference"/>
          <w:rFonts w:ascii="Cambria" w:hAnsi="Cambria"/>
          <w:sz w:val="16"/>
        </w:rPr>
        <w:t xml:space="preserve"> </w:t>
      </w:r>
      <w:proofErr w:type="gramStart"/>
      <w:r>
        <w:rPr>
          <w:rFonts w:ascii="Cambria" w:hAnsi="Cambria"/>
          <w:sz w:val="16"/>
        </w:rPr>
        <w:t xml:space="preserve">I/A Court HR. </w:t>
      </w:r>
      <w:r>
        <w:rPr>
          <w:rFonts w:ascii="Cambria" w:hAnsi="Cambria"/>
          <w:i/>
          <w:sz w:val="16"/>
        </w:rPr>
        <w:t xml:space="preserve">Case of </w:t>
      </w:r>
      <w:proofErr w:type="spellStart"/>
      <w:r>
        <w:rPr>
          <w:rFonts w:ascii="Cambria" w:hAnsi="Cambria"/>
          <w:i/>
          <w:sz w:val="16"/>
        </w:rPr>
        <w:t>Cantoral</w:t>
      </w:r>
      <w:proofErr w:type="spellEnd"/>
      <w:r>
        <w:rPr>
          <w:rFonts w:ascii="Cambria" w:hAnsi="Cambria"/>
          <w:i/>
          <w:sz w:val="16"/>
        </w:rPr>
        <w:t xml:space="preserve"> </w:t>
      </w:r>
      <w:proofErr w:type="spellStart"/>
      <w:r>
        <w:rPr>
          <w:rFonts w:ascii="Cambria" w:hAnsi="Cambria"/>
          <w:i/>
          <w:sz w:val="16"/>
        </w:rPr>
        <w:t>Huamaní</w:t>
      </w:r>
      <w:proofErr w:type="spellEnd"/>
      <w:r>
        <w:rPr>
          <w:rFonts w:ascii="Cambria" w:hAnsi="Cambria"/>
          <w:i/>
          <w:sz w:val="16"/>
        </w:rPr>
        <w:t xml:space="preserve"> and </w:t>
      </w:r>
      <w:proofErr w:type="spellStart"/>
      <w:r>
        <w:rPr>
          <w:rFonts w:ascii="Cambria" w:hAnsi="Cambria"/>
          <w:i/>
          <w:sz w:val="16"/>
        </w:rPr>
        <w:t>García</w:t>
      </w:r>
      <w:proofErr w:type="spellEnd"/>
      <w:r>
        <w:rPr>
          <w:rFonts w:ascii="Cambria" w:hAnsi="Cambria"/>
          <w:i/>
          <w:sz w:val="16"/>
        </w:rPr>
        <w:t xml:space="preserve"> Santa Cruz v. </w:t>
      </w:r>
      <w:r>
        <w:rPr>
          <w:rFonts w:ascii="Cambria" w:hAnsi="Cambria"/>
          <w:sz w:val="16"/>
        </w:rPr>
        <w:t>Peru.</w:t>
      </w:r>
      <w:proofErr w:type="gramEnd"/>
      <w:r>
        <w:rPr>
          <w:rFonts w:ascii="Cambria" w:hAnsi="Cambria"/>
          <w:sz w:val="16"/>
        </w:rPr>
        <w:t xml:space="preserve"> </w:t>
      </w:r>
      <w:proofErr w:type="gramStart"/>
      <w:r>
        <w:rPr>
          <w:rFonts w:ascii="Cambria" w:hAnsi="Cambria"/>
          <w:sz w:val="16"/>
        </w:rPr>
        <w:t>Preliminary Objection, Merits, Reparations and Costs.</w:t>
      </w:r>
      <w:proofErr w:type="gramEnd"/>
      <w:r>
        <w:rPr>
          <w:rFonts w:ascii="Cambria" w:hAnsi="Cambria"/>
          <w:sz w:val="16"/>
        </w:rPr>
        <w:t xml:space="preserve"> Judgment </w:t>
      </w:r>
      <w:proofErr w:type="gramStart"/>
      <w:r>
        <w:rPr>
          <w:rFonts w:ascii="Cambria" w:hAnsi="Cambria"/>
          <w:sz w:val="16"/>
        </w:rPr>
        <w:t>of  July</w:t>
      </w:r>
      <w:proofErr w:type="gramEnd"/>
      <w:r>
        <w:rPr>
          <w:rFonts w:ascii="Cambria" w:hAnsi="Cambria"/>
          <w:sz w:val="16"/>
        </w:rPr>
        <w:t xml:space="preserve"> 10, 2007. </w:t>
      </w:r>
      <w:proofErr w:type="gramStart"/>
      <w:r>
        <w:rPr>
          <w:rFonts w:ascii="Cambria" w:hAnsi="Cambria"/>
          <w:sz w:val="16"/>
        </w:rPr>
        <w:t>Series C No. 167, par. 131.</w:t>
      </w:r>
      <w:proofErr w:type="gramEnd"/>
      <w:r>
        <w:rPr>
          <w:rFonts w:ascii="Cambria" w:hAnsi="Cambria"/>
          <w:sz w:val="16"/>
        </w:rPr>
        <w:t xml:space="preserve"> </w:t>
      </w:r>
    </w:p>
  </w:footnote>
  <w:footnote w:id="105">
    <w:p w:rsidR="006B32D3" w:rsidRPr="00457A71" w:rsidRDefault="006B32D3" w:rsidP="006B32D3">
      <w:pPr>
        <w:pStyle w:val="FootnoteText"/>
        <w:spacing w:after="120"/>
        <w:ind w:firstLine="720"/>
        <w:jc w:val="both"/>
        <w:rPr>
          <w:rFonts w:ascii="Cambria" w:hAnsi="Cambria"/>
          <w:color w:val="auto"/>
          <w:sz w:val="16"/>
          <w:szCs w:val="16"/>
        </w:rPr>
      </w:pPr>
      <w:r>
        <w:rPr>
          <w:rStyle w:val="FootnoteReference"/>
          <w:rFonts w:ascii="Cambria" w:hAnsi="Cambria"/>
          <w:color w:val="auto"/>
          <w:sz w:val="16"/>
        </w:rPr>
        <w:footnoteRef/>
      </w:r>
      <w:r>
        <w:rPr>
          <w:rStyle w:val="FootnoteReference"/>
          <w:rFonts w:ascii="Cambria" w:hAnsi="Cambria"/>
          <w:color w:val="auto"/>
          <w:sz w:val="16"/>
        </w:rPr>
        <w:t xml:space="preserve"> </w:t>
      </w:r>
      <w:r>
        <w:rPr>
          <w:rFonts w:ascii="Cambria" w:hAnsi="Cambria"/>
          <w:color w:val="auto"/>
          <w:sz w:val="16"/>
        </w:rPr>
        <w:t xml:space="preserve">IACHR, Report 85/13, Case 12.251, Admissibility and </w:t>
      </w:r>
      <w:proofErr w:type="spellStart"/>
      <w:r>
        <w:rPr>
          <w:rFonts w:ascii="Cambria" w:hAnsi="Cambria"/>
          <w:color w:val="auto"/>
          <w:sz w:val="16"/>
        </w:rPr>
        <w:t>Merits,Vereda</w:t>
      </w:r>
      <w:proofErr w:type="spellEnd"/>
      <w:r>
        <w:rPr>
          <w:rFonts w:ascii="Cambria" w:hAnsi="Cambria"/>
          <w:color w:val="auto"/>
          <w:sz w:val="16"/>
        </w:rPr>
        <w:t xml:space="preserve"> la Esperanza, Colombia, November 4, 2013, par. 242. </w:t>
      </w:r>
      <w:proofErr w:type="gramStart"/>
      <w:r>
        <w:rPr>
          <w:rFonts w:ascii="Cambria" w:hAnsi="Cambria"/>
          <w:color w:val="auto"/>
          <w:sz w:val="16"/>
        </w:rPr>
        <w:t xml:space="preserve">I/A Court HR. </w:t>
      </w:r>
      <w:r>
        <w:rPr>
          <w:rFonts w:ascii="Cambria" w:hAnsi="Cambria"/>
          <w:i/>
          <w:color w:val="auto"/>
          <w:sz w:val="16"/>
        </w:rPr>
        <w:t xml:space="preserve">Case of </w:t>
      </w:r>
      <w:proofErr w:type="spellStart"/>
      <w:r>
        <w:rPr>
          <w:rFonts w:ascii="Cambria" w:hAnsi="Cambria"/>
          <w:i/>
          <w:color w:val="auto"/>
          <w:sz w:val="16"/>
        </w:rPr>
        <w:t>Kawas-Fernández</w:t>
      </w:r>
      <w:proofErr w:type="spellEnd"/>
      <w:r>
        <w:rPr>
          <w:rFonts w:ascii="Cambria" w:hAnsi="Cambria"/>
          <w:i/>
          <w:color w:val="auto"/>
          <w:sz w:val="16"/>
        </w:rPr>
        <w:t xml:space="preserve"> v. Honduras.</w:t>
      </w:r>
      <w:proofErr w:type="gramEnd"/>
      <w:r>
        <w:rPr>
          <w:rFonts w:ascii="Cambria" w:hAnsi="Cambria"/>
          <w:color w:val="auto"/>
          <w:sz w:val="16"/>
        </w:rPr>
        <w:t xml:space="preserve"> </w:t>
      </w:r>
      <w:proofErr w:type="gramStart"/>
      <w:r>
        <w:rPr>
          <w:rFonts w:ascii="Cambria" w:hAnsi="Cambria"/>
          <w:color w:val="auto"/>
          <w:sz w:val="16"/>
        </w:rPr>
        <w:t>Merits, Reparations, and Costs.</w:t>
      </w:r>
      <w:proofErr w:type="gramEnd"/>
      <w:r>
        <w:rPr>
          <w:rFonts w:ascii="Cambria" w:hAnsi="Cambria"/>
          <w:color w:val="auto"/>
          <w:sz w:val="16"/>
        </w:rPr>
        <w:t xml:space="preserve"> </w:t>
      </w:r>
      <w:proofErr w:type="gramStart"/>
      <w:r>
        <w:rPr>
          <w:rFonts w:ascii="Cambria" w:hAnsi="Cambria"/>
          <w:color w:val="auto"/>
          <w:sz w:val="16"/>
        </w:rPr>
        <w:t>Judgment of Friday, April 03, 2009, Series C No. 196, par. 101.</w:t>
      </w:r>
      <w:proofErr w:type="gramEnd"/>
      <w:r>
        <w:rPr>
          <w:rFonts w:ascii="Cambria" w:hAnsi="Cambria"/>
          <w:color w:val="auto"/>
          <w:sz w:val="16"/>
        </w:rPr>
        <w:t xml:space="preserve"> </w:t>
      </w:r>
    </w:p>
  </w:footnote>
  <w:footnote w:id="106">
    <w:p w:rsidR="006B32D3" w:rsidRPr="00457A71" w:rsidRDefault="006B32D3" w:rsidP="006B32D3">
      <w:pPr>
        <w:widowControl w:val="0"/>
        <w:tabs>
          <w:tab w:val="left" w:pos="720"/>
        </w:tabs>
        <w:autoSpaceDE w:val="0"/>
        <w:autoSpaceDN w:val="0"/>
        <w:adjustRightInd w:val="0"/>
        <w:spacing w:after="120"/>
        <w:jc w:val="both"/>
        <w:rPr>
          <w:rFonts w:ascii="Cambria" w:hAnsi="Cambria" w:cs="Verdana"/>
          <w:spacing w:val="-4"/>
          <w:sz w:val="16"/>
          <w:szCs w:val="16"/>
        </w:rPr>
      </w:pPr>
      <w:r>
        <w:tab/>
      </w:r>
      <w:r>
        <w:rPr>
          <w:rStyle w:val="FootnoteReference"/>
          <w:rFonts w:ascii="Cambria" w:hAnsi="Cambria"/>
          <w:spacing w:val="-4"/>
          <w:sz w:val="16"/>
        </w:rPr>
        <w:footnoteRef/>
      </w:r>
      <w:r>
        <w:rPr>
          <w:rFonts w:ascii="Cambria" w:hAnsi="Cambria"/>
          <w:spacing w:val="-4"/>
          <w:sz w:val="16"/>
        </w:rPr>
        <w:t xml:space="preserve"> </w:t>
      </w:r>
      <w:proofErr w:type="gramStart"/>
      <w:r>
        <w:rPr>
          <w:rFonts w:ascii="Cambria" w:hAnsi="Cambria"/>
          <w:spacing w:val="-4"/>
          <w:sz w:val="16"/>
        </w:rPr>
        <w:t>I/A Court HR. Case of Juan Humberto Sánchez v.</w:t>
      </w:r>
      <w:r>
        <w:rPr>
          <w:rFonts w:ascii="Cambria" w:hAnsi="Cambria"/>
          <w:i/>
          <w:spacing w:val="-4"/>
          <w:sz w:val="16"/>
        </w:rPr>
        <w:t xml:space="preserve"> Honduras.</w:t>
      </w:r>
      <w:proofErr w:type="gramEnd"/>
      <w:r>
        <w:rPr>
          <w:rFonts w:ascii="Cambria" w:hAnsi="Cambria"/>
          <w:spacing w:val="-4"/>
          <w:sz w:val="16"/>
        </w:rPr>
        <w:t xml:space="preserve"> </w:t>
      </w:r>
      <w:proofErr w:type="gramStart"/>
      <w:r>
        <w:rPr>
          <w:rFonts w:ascii="Cambria" w:hAnsi="Cambria"/>
          <w:spacing w:val="-4"/>
          <w:sz w:val="16"/>
        </w:rPr>
        <w:t>Preliminary Objection, Merits, Reparations and Costs.</w:t>
      </w:r>
      <w:proofErr w:type="gramEnd"/>
      <w:r>
        <w:rPr>
          <w:rFonts w:ascii="Cambria" w:hAnsi="Cambria"/>
          <w:spacing w:val="-4"/>
          <w:sz w:val="16"/>
        </w:rPr>
        <w:t xml:space="preserve"> Judgment of   June 7, 2003. </w:t>
      </w:r>
      <w:proofErr w:type="gramStart"/>
      <w:r>
        <w:rPr>
          <w:rFonts w:ascii="Cambria" w:hAnsi="Cambria"/>
          <w:spacing w:val="-4"/>
          <w:sz w:val="16"/>
        </w:rPr>
        <w:t>Series C No. 99, par. 127.</w:t>
      </w:r>
      <w:proofErr w:type="gramEnd"/>
    </w:p>
  </w:footnote>
  <w:footnote w:id="107">
    <w:p w:rsidR="006B32D3" w:rsidRPr="00457A71" w:rsidRDefault="006B32D3" w:rsidP="006B32D3">
      <w:pPr>
        <w:widowControl w:val="0"/>
        <w:tabs>
          <w:tab w:val="left" w:pos="720"/>
        </w:tabs>
        <w:autoSpaceDE w:val="0"/>
        <w:autoSpaceDN w:val="0"/>
        <w:adjustRightInd w:val="0"/>
        <w:spacing w:after="120"/>
        <w:jc w:val="both"/>
        <w:rPr>
          <w:rFonts w:ascii="Cambria" w:hAnsi="Cambria" w:cs="Verdana"/>
          <w:spacing w:val="-4"/>
          <w:sz w:val="16"/>
          <w:szCs w:val="16"/>
        </w:rPr>
      </w:pPr>
      <w:r>
        <w:tab/>
      </w:r>
      <w:r>
        <w:rPr>
          <w:rStyle w:val="FootnoteReference"/>
          <w:rFonts w:ascii="Cambria" w:hAnsi="Cambria"/>
          <w:spacing w:val="-4"/>
          <w:sz w:val="16"/>
        </w:rPr>
        <w:footnoteRef/>
      </w:r>
      <w:r>
        <w:rPr>
          <w:rFonts w:ascii="Cambria" w:hAnsi="Cambria"/>
          <w:spacing w:val="-4"/>
          <w:sz w:val="16"/>
        </w:rPr>
        <w:t xml:space="preserve"> </w:t>
      </w:r>
      <w:proofErr w:type="gramStart"/>
      <w:r>
        <w:rPr>
          <w:rFonts w:ascii="Cambria" w:hAnsi="Cambria"/>
          <w:spacing w:val="-4"/>
          <w:sz w:val="16"/>
        </w:rPr>
        <w:t xml:space="preserve">I/A Court HR. </w:t>
      </w:r>
      <w:r>
        <w:rPr>
          <w:rStyle w:val="Strong"/>
          <w:rFonts w:ascii="Cambria" w:hAnsi="Cambria"/>
          <w:b w:val="0"/>
          <w:i/>
          <w:color w:val="000000"/>
          <w:sz w:val="16"/>
          <w:shd w:val="clear" w:color="auto" w:fill="FFFFFF"/>
        </w:rPr>
        <w:t xml:space="preserve">Case of Espinoza </w:t>
      </w:r>
      <w:proofErr w:type="spellStart"/>
      <w:r>
        <w:rPr>
          <w:rStyle w:val="Strong"/>
          <w:rFonts w:ascii="Cambria" w:hAnsi="Cambria"/>
          <w:b w:val="0"/>
          <w:i/>
          <w:color w:val="000000"/>
          <w:sz w:val="16"/>
          <w:shd w:val="clear" w:color="auto" w:fill="FFFFFF"/>
        </w:rPr>
        <w:t>Gonzáles</w:t>
      </w:r>
      <w:proofErr w:type="spellEnd"/>
      <w:r>
        <w:rPr>
          <w:rStyle w:val="Strong"/>
          <w:rFonts w:ascii="Cambria" w:hAnsi="Cambria"/>
          <w:b w:val="0"/>
          <w:i/>
          <w:color w:val="000000"/>
          <w:sz w:val="16"/>
          <w:shd w:val="clear" w:color="auto" w:fill="FFFFFF"/>
        </w:rPr>
        <w:t xml:space="preserve"> v. </w:t>
      </w:r>
      <w:proofErr w:type="spellStart"/>
      <w:r>
        <w:rPr>
          <w:rStyle w:val="Strong"/>
          <w:rFonts w:ascii="Cambria" w:hAnsi="Cambria"/>
          <w:b w:val="0"/>
          <w:i/>
          <w:color w:val="000000"/>
          <w:sz w:val="16"/>
          <w:shd w:val="clear" w:color="auto" w:fill="FFFFFF"/>
        </w:rPr>
        <w:t>Perú</w:t>
      </w:r>
      <w:proofErr w:type="spellEnd"/>
      <w:r>
        <w:rPr>
          <w:rStyle w:val="Strong"/>
          <w:rFonts w:ascii="Cambria" w:hAnsi="Cambria"/>
          <w:b w:val="0"/>
          <w:color w:val="000000"/>
          <w:sz w:val="16"/>
          <w:shd w:val="clear" w:color="auto" w:fill="FFFFFF"/>
        </w:rPr>
        <w:t>.</w:t>
      </w:r>
      <w:proofErr w:type="gramEnd"/>
      <w:r>
        <w:rPr>
          <w:rStyle w:val="Strong"/>
          <w:rFonts w:ascii="Cambria" w:hAnsi="Cambria"/>
          <w:b w:val="0"/>
          <w:color w:val="000000"/>
          <w:sz w:val="16"/>
          <w:shd w:val="clear" w:color="auto" w:fill="FFFFFF"/>
        </w:rPr>
        <w:t xml:space="preserve"> </w:t>
      </w:r>
      <w:proofErr w:type="gramStart"/>
      <w:r>
        <w:rPr>
          <w:rStyle w:val="Strong"/>
          <w:rFonts w:ascii="Cambria" w:hAnsi="Cambria"/>
          <w:b w:val="0"/>
          <w:color w:val="000000"/>
          <w:sz w:val="16"/>
          <w:shd w:val="clear" w:color="auto" w:fill="FFFFFF"/>
        </w:rPr>
        <w:t>Preliminary Objections, Merits, Reparations, and Costs.</w:t>
      </w:r>
      <w:proofErr w:type="gramEnd"/>
      <w:r>
        <w:rPr>
          <w:rStyle w:val="Strong"/>
          <w:rFonts w:ascii="Cambria" w:hAnsi="Cambria"/>
          <w:b w:val="0"/>
          <w:color w:val="000000"/>
          <w:sz w:val="16"/>
          <w:shd w:val="clear" w:color="auto" w:fill="FFFFFF"/>
        </w:rPr>
        <w:t xml:space="preserve"> Judgment of November 20, 2014. </w:t>
      </w:r>
      <w:proofErr w:type="gramStart"/>
      <w:r>
        <w:rPr>
          <w:rStyle w:val="Strong"/>
          <w:rFonts w:ascii="Cambria" w:hAnsi="Cambria"/>
          <w:b w:val="0"/>
          <w:color w:val="000000"/>
          <w:sz w:val="16"/>
          <w:shd w:val="clear" w:color="auto" w:fill="FFFFFF"/>
        </w:rPr>
        <w:t>Series C No. 289, par. 238</w:t>
      </w:r>
      <w:r>
        <w:rPr>
          <w:rFonts w:ascii="Cambria" w:hAnsi="Cambria"/>
          <w:spacing w:val="-4"/>
          <w:sz w:val="16"/>
        </w:rPr>
        <w:t>.</w:t>
      </w:r>
      <w:proofErr w:type="gramEnd"/>
    </w:p>
  </w:footnote>
  <w:footnote w:id="108">
    <w:p w:rsidR="006B32D3" w:rsidRPr="00457A71" w:rsidRDefault="006B32D3" w:rsidP="006B32D3">
      <w:pPr>
        <w:spacing w:after="120"/>
        <w:ind w:firstLine="720"/>
        <w:jc w:val="both"/>
        <w:rPr>
          <w:rFonts w:ascii="Cambria" w:hAnsi="Cambria"/>
          <w:spacing w:val="-4"/>
          <w:sz w:val="16"/>
          <w:szCs w:val="16"/>
        </w:rPr>
      </w:pPr>
      <w:r>
        <w:rPr>
          <w:rStyle w:val="FootnoteReference"/>
          <w:rFonts w:ascii="Cambria" w:hAnsi="Cambria"/>
          <w:spacing w:val="-4"/>
          <w:sz w:val="16"/>
        </w:rPr>
        <w:footnoteRef/>
      </w:r>
      <w:r>
        <w:rPr>
          <w:rFonts w:ascii="Cambria" w:hAnsi="Cambria"/>
          <w:spacing w:val="-4"/>
          <w:sz w:val="16"/>
        </w:rPr>
        <w:t xml:space="preserve"> </w:t>
      </w:r>
      <w:proofErr w:type="gramStart"/>
      <w:r>
        <w:rPr>
          <w:rFonts w:ascii="Cambria" w:hAnsi="Cambria"/>
          <w:spacing w:val="-4"/>
          <w:sz w:val="16"/>
        </w:rPr>
        <w:t xml:space="preserve">I/A Court HR. </w:t>
      </w:r>
      <w:r>
        <w:rPr>
          <w:rFonts w:ascii="Cambria" w:hAnsi="Cambria"/>
          <w:i/>
          <w:spacing w:val="-4"/>
          <w:sz w:val="16"/>
        </w:rPr>
        <w:t xml:space="preserve">227; and Case of the Serrano Cruz Sisters v. </w:t>
      </w:r>
      <w:r>
        <w:rPr>
          <w:rFonts w:ascii="Cambria" w:hAnsi="Cambria"/>
          <w:spacing w:val="-4"/>
          <w:sz w:val="16"/>
        </w:rPr>
        <w:t>El Salvador.</w:t>
      </w:r>
      <w:proofErr w:type="gramEnd"/>
      <w:r>
        <w:rPr>
          <w:rFonts w:ascii="Cambria" w:hAnsi="Cambria"/>
          <w:spacing w:val="-4"/>
          <w:sz w:val="16"/>
        </w:rPr>
        <w:t xml:space="preserve"> </w:t>
      </w:r>
      <w:proofErr w:type="gramStart"/>
      <w:r>
        <w:rPr>
          <w:rFonts w:ascii="Cambria" w:hAnsi="Cambria"/>
          <w:spacing w:val="-4"/>
          <w:sz w:val="16"/>
        </w:rPr>
        <w:t>Merits, Reparations, and Costs.</w:t>
      </w:r>
      <w:proofErr w:type="gramEnd"/>
      <w:r>
        <w:rPr>
          <w:rFonts w:ascii="Cambria" w:hAnsi="Cambria"/>
          <w:spacing w:val="-4"/>
          <w:sz w:val="16"/>
        </w:rPr>
        <w:t xml:space="preserve"> Judgment of March 1, 2005. </w:t>
      </w:r>
      <w:proofErr w:type="gramStart"/>
      <w:r>
        <w:rPr>
          <w:rFonts w:ascii="Cambria" w:hAnsi="Cambria"/>
          <w:spacing w:val="-4"/>
          <w:sz w:val="16"/>
        </w:rPr>
        <w:t>Series C No. 120, par. 83.</w:t>
      </w:r>
      <w:proofErr w:type="gramEnd"/>
    </w:p>
  </w:footnote>
  <w:footnote w:id="109">
    <w:p w:rsidR="006B32D3" w:rsidRPr="00457A71" w:rsidRDefault="006B32D3" w:rsidP="006B32D3">
      <w:pPr>
        <w:pStyle w:val="FootnoteText"/>
        <w:spacing w:after="120"/>
        <w:ind w:firstLine="720"/>
        <w:jc w:val="both"/>
        <w:rPr>
          <w:rFonts w:ascii="Cambria" w:hAnsi="Cambria"/>
          <w:color w:val="auto"/>
          <w:sz w:val="16"/>
          <w:szCs w:val="16"/>
        </w:rPr>
      </w:pPr>
      <w:r>
        <w:rPr>
          <w:rStyle w:val="FootnoteReference"/>
          <w:rFonts w:ascii="Cambria" w:hAnsi="Cambria"/>
          <w:color w:val="auto"/>
          <w:sz w:val="16"/>
        </w:rPr>
        <w:footnoteRef/>
      </w:r>
      <w:r>
        <w:rPr>
          <w:rFonts w:ascii="Cambria" w:hAnsi="Cambria"/>
          <w:color w:val="auto"/>
          <w:sz w:val="16"/>
        </w:rPr>
        <w:t xml:space="preserve"> </w:t>
      </w:r>
      <w:proofErr w:type="gramStart"/>
      <w:r>
        <w:t xml:space="preserve">IACHR, </w:t>
      </w:r>
      <w:hyperlink r:id="rId16">
        <w:r>
          <w:rPr>
            <w:rStyle w:val="Hyperlink"/>
            <w:rFonts w:ascii="Cambria" w:hAnsi="Cambria"/>
            <w:sz w:val="16"/>
          </w:rPr>
          <w:t>Report on the Situation of Human Rights Defenders in the Americas</w:t>
        </w:r>
      </w:hyperlink>
      <w:r>
        <w:t xml:space="preserve"> OEA/</w:t>
      </w:r>
      <w:proofErr w:type="spellStart"/>
      <w:r>
        <w:t>Ser.L</w:t>
      </w:r>
      <w:proofErr w:type="spellEnd"/>
      <w:r>
        <w:t>/V/II.124.</w:t>
      </w:r>
      <w:proofErr w:type="gramEnd"/>
      <w:r>
        <w:rPr>
          <w:rFonts w:ascii="Cambria" w:hAnsi="Cambria"/>
          <w:color w:val="auto"/>
          <w:sz w:val="16"/>
        </w:rPr>
        <w:t xml:space="preserve"> </w:t>
      </w:r>
      <w:proofErr w:type="gramStart"/>
      <w:r>
        <w:rPr>
          <w:rFonts w:ascii="Cambria" w:hAnsi="Cambria"/>
          <w:color w:val="auto"/>
          <w:sz w:val="16"/>
        </w:rPr>
        <w:t>Doc. 5 rev.1, March 7, 2006, par. 109.</w:t>
      </w:r>
      <w:proofErr w:type="gramEnd"/>
      <w:r>
        <w:rPr>
          <w:rFonts w:ascii="Cambria" w:hAnsi="Cambria"/>
          <w:color w:val="auto"/>
          <w:sz w:val="16"/>
        </w:rPr>
        <w:t xml:space="preserve"> </w:t>
      </w:r>
      <w:proofErr w:type="gramStart"/>
      <w:r>
        <w:rPr>
          <w:rFonts w:ascii="Cambria" w:hAnsi="Cambria"/>
          <w:color w:val="auto"/>
          <w:sz w:val="16"/>
        </w:rPr>
        <w:t xml:space="preserve">I/A Court HR. </w:t>
      </w:r>
      <w:r>
        <w:rPr>
          <w:rFonts w:ascii="Cambria" w:hAnsi="Cambria"/>
          <w:i/>
          <w:color w:val="auto"/>
          <w:sz w:val="16"/>
        </w:rPr>
        <w:t xml:space="preserve">Case of the Gómez </w:t>
      </w:r>
      <w:proofErr w:type="spellStart"/>
      <w:r>
        <w:rPr>
          <w:rFonts w:ascii="Cambria" w:hAnsi="Cambria"/>
          <w:i/>
          <w:color w:val="auto"/>
          <w:sz w:val="16"/>
        </w:rPr>
        <w:t>Paquiyauri</w:t>
      </w:r>
      <w:proofErr w:type="spellEnd"/>
      <w:r>
        <w:rPr>
          <w:rFonts w:ascii="Cambria" w:hAnsi="Cambria"/>
          <w:i/>
          <w:color w:val="auto"/>
          <w:sz w:val="16"/>
        </w:rPr>
        <w:t xml:space="preserve"> Brothers v. </w:t>
      </w:r>
      <w:r>
        <w:rPr>
          <w:rFonts w:ascii="Cambria" w:hAnsi="Cambria"/>
          <w:color w:val="auto"/>
          <w:sz w:val="16"/>
        </w:rPr>
        <w:t>Peru.</w:t>
      </w:r>
      <w:proofErr w:type="gramEnd"/>
      <w:r>
        <w:rPr>
          <w:rFonts w:ascii="Cambria" w:hAnsi="Cambria"/>
          <w:b/>
          <w:color w:val="auto"/>
          <w:sz w:val="16"/>
        </w:rPr>
        <w:t xml:space="preserve"> </w:t>
      </w:r>
      <w:proofErr w:type="gramStart"/>
      <w:r>
        <w:rPr>
          <w:rFonts w:ascii="Cambria" w:hAnsi="Cambria"/>
          <w:color w:val="auto"/>
          <w:sz w:val="16"/>
        </w:rPr>
        <w:t>Merits, Reparations, and Costs.</w:t>
      </w:r>
      <w:proofErr w:type="gramEnd"/>
      <w:r>
        <w:rPr>
          <w:rFonts w:ascii="Cambria" w:hAnsi="Cambria"/>
          <w:color w:val="auto"/>
          <w:sz w:val="16"/>
        </w:rPr>
        <w:t xml:space="preserve"> Judgment of July 8, 2004. </w:t>
      </w:r>
      <w:proofErr w:type="gramStart"/>
      <w:r>
        <w:rPr>
          <w:rFonts w:ascii="Cambria" w:hAnsi="Cambria"/>
          <w:color w:val="auto"/>
          <w:sz w:val="16"/>
        </w:rPr>
        <w:t xml:space="preserve">Series C No. 110, par. 146; </w:t>
      </w:r>
      <w:r>
        <w:rPr>
          <w:rFonts w:ascii="Cambria" w:hAnsi="Cambria"/>
          <w:i/>
          <w:color w:val="auto"/>
          <w:sz w:val="16"/>
        </w:rPr>
        <w:t>Case of Myrna Mack Chang v. Guatemala</w:t>
      </w:r>
      <w:r>
        <w:rPr>
          <w:rFonts w:ascii="Cambria" w:hAnsi="Cambria"/>
          <w:color w:val="auto"/>
          <w:sz w:val="16"/>
        </w:rPr>
        <w:t>.</w:t>
      </w:r>
      <w:proofErr w:type="gramEnd"/>
      <w:r>
        <w:rPr>
          <w:rFonts w:ascii="Cambria" w:hAnsi="Cambria"/>
          <w:color w:val="auto"/>
          <w:sz w:val="16"/>
        </w:rPr>
        <w:t xml:space="preserve"> </w:t>
      </w:r>
      <w:proofErr w:type="gramStart"/>
      <w:r>
        <w:rPr>
          <w:rFonts w:ascii="Cambria" w:hAnsi="Cambria"/>
          <w:color w:val="auto"/>
          <w:sz w:val="16"/>
        </w:rPr>
        <w:t>Merits, Reparations, and Costs.</w:t>
      </w:r>
      <w:proofErr w:type="gramEnd"/>
      <w:r>
        <w:rPr>
          <w:rFonts w:ascii="Cambria" w:hAnsi="Cambria"/>
          <w:color w:val="auto"/>
          <w:sz w:val="16"/>
        </w:rPr>
        <w:t xml:space="preserve"> Judgment of November 25, 2003. </w:t>
      </w:r>
      <w:proofErr w:type="gramStart"/>
      <w:r>
        <w:rPr>
          <w:rFonts w:ascii="Cambria" w:hAnsi="Cambria"/>
          <w:color w:val="auto"/>
          <w:sz w:val="16"/>
        </w:rPr>
        <w:t>Series C No. 101, par. 275; and Case of Juan Humberto Sánchez v.</w:t>
      </w:r>
      <w:r>
        <w:rPr>
          <w:rFonts w:ascii="Cambria" w:hAnsi="Cambria"/>
          <w:i/>
          <w:color w:val="auto"/>
          <w:sz w:val="16"/>
        </w:rPr>
        <w:t xml:space="preserve"> Honduras.</w:t>
      </w:r>
      <w:proofErr w:type="gramEnd"/>
      <w:r>
        <w:rPr>
          <w:rFonts w:ascii="Cambria" w:hAnsi="Cambria"/>
          <w:b/>
          <w:color w:val="auto"/>
          <w:sz w:val="16"/>
        </w:rPr>
        <w:t xml:space="preserve"> </w:t>
      </w:r>
      <w:proofErr w:type="gramStart"/>
      <w:r>
        <w:rPr>
          <w:rFonts w:ascii="Cambria" w:hAnsi="Cambria"/>
          <w:color w:val="auto"/>
          <w:sz w:val="16"/>
        </w:rPr>
        <w:t>Preliminary Objection, Merits, Reparations and Costs.</w:t>
      </w:r>
      <w:proofErr w:type="gramEnd"/>
      <w:r>
        <w:rPr>
          <w:rFonts w:ascii="Cambria" w:hAnsi="Cambria"/>
          <w:color w:val="auto"/>
          <w:sz w:val="16"/>
        </w:rPr>
        <w:t xml:space="preserve"> Judgment of June 7, 2003. </w:t>
      </w:r>
      <w:proofErr w:type="gramStart"/>
      <w:r>
        <w:rPr>
          <w:rFonts w:ascii="Cambria" w:hAnsi="Cambria"/>
          <w:color w:val="auto"/>
          <w:sz w:val="16"/>
        </w:rPr>
        <w:t>Series C No. 99, par. 186; Case of the Constitutional Court v.</w:t>
      </w:r>
      <w:r>
        <w:rPr>
          <w:rFonts w:ascii="Cambria" w:hAnsi="Cambria"/>
          <w:i/>
          <w:color w:val="auto"/>
          <w:sz w:val="16"/>
        </w:rPr>
        <w:t xml:space="preserve"> </w:t>
      </w:r>
      <w:r>
        <w:rPr>
          <w:rFonts w:ascii="Cambria" w:hAnsi="Cambria"/>
          <w:color w:val="auto"/>
          <w:sz w:val="16"/>
        </w:rPr>
        <w:t>Peru.</w:t>
      </w:r>
      <w:proofErr w:type="gramEnd"/>
      <w:r>
        <w:rPr>
          <w:rFonts w:ascii="Cambria" w:hAnsi="Cambria"/>
          <w:color w:val="auto"/>
          <w:sz w:val="16"/>
        </w:rPr>
        <w:t xml:space="preserve"> </w:t>
      </w:r>
      <w:proofErr w:type="gramStart"/>
      <w:r>
        <w:rPr>
          <w:rFonts w:ascii="Cambria" w:hAnsi="Cambria"/>
          <w:color w:val="auto"/>
          <w:sz w:val="16"/>
        </w:rPr>
        <w:t>Competence.</w:t>
      </w:r>
      <w:proofErr w:type="gramEnd"/>
      <w:r>
        <w:rPr>
          <w:rFonts w:ascii="Cambria" w:hAnsi="Cambria"/>
          <w:color w:val="auto"/>
          <w:sz w:val="16"/>
        </w:rPr>
        <w:t xml:space="preserve"> Judgment of September 24, 1999. </w:t>
      </w:r>
      <w:proofErr w:type="gramStart"/>
      <w:r>
        <w:rPr>
          <w:rFonts w:ascii="Cambria" w:hAnsi="Cambria"/>
          <w:color w:val="auto"/>
          <w:sz w:val="16"/>
        </w:rPr>
        <w:t>Series C No. 55, par. 123.</w:t>
      </w:r>
      <w:proofErr w:type="gramEnd"/>
      <w:r>
        <w:rPr>
          <w:rFonts w:ascii="Cambria" w:hAnsi="Cambria"/>
          <w:color w:val="auto"/>
          <w:sz w:val="16"/>
        </w:rPr>
        <w:t xml:space="preserve">  </w:t>
      </w:r>
    </w:p>
  </w:footnote>
  <w:footnote w:id="110">
    <w:p w:rsidR="006B32D3" w:rsidRPr="00457A71" w:rsidRDefault="006B32D3" w:rsidP="006B32D3">
      <w:pPr>
        <w:pStyle w:val="FootnoteText"/>
        <w:tabs>
          <w:tab w:val="left" w:pos="810"/>
        </w:tabs>
        <w:spacing w:after="120"/>
        <w:ind w:firstLine="720"/>
        <w:jc w:val="both"/>
        <w:rPr>
          <w:rFonts w:ascii="Cambria" w:hAnsi="Cambria"/>
          <w:spacing w:val="-4"/>
          <w:sz w:val="16"/>
          <w:szCs w:val="16"/>
        </w:rPr>
      </w:pPr>
      <w:r>
        <w:rPr>
          <w:rStyle w:val="FootnoteReference"/>
          <w:rFonts w:ascii="Cambria" w:hAnsi="Cambria"/>
          <w:spacing w:val="-4"/>
          <w:sz w:val="16"/>
        </w:rPr>
        <w:footnoteRef/>
      </w:r>
      <w:r>
        <w:rPr>
          <w:rFonts w:ascii="Cambria" w:hAnsi="Cambria"/>
          <w:spacing w:val="-4"/>
          <w:sz w:val="16"/>
        </w:rPr>
        <w:t xml:space="preserve"> IACHR Report No. 49/15, Case 12.585, Merits, </w:t>
      </w:r>
      <w:proofErr w:type="spellStart"/>
      <w:r>
        <w:rPr>
          <w:rFonts w:ascii="Cambria" w:hAnsi="Cambria"/>
          <w:spacing w:val="-4"/>
          <w:sz w:val="16"/>
        </w:rPr>
        <w:t>Ángel</w:t>
      </w:r>
      <w:proofErr w:type="spellEnd"/>
      <w:r>
        <w:rPr>
          <w:rFonts w:ascii="Cambria" w:hAnsi="Cambria"/>
          <w:spacing w:val="-4"/>
          <w:sz w:val="16"/>
        </w:rPr>
        <w:t xml:space="preserve"> Pacheco León and Family, Honduras, July 28, 2015, par. 82.</w:t>
      </w:r>
    </w:p>
  </w:footnote>
  <w:footnote w:id="111">
    <w:p w:rsidR="006B32D3" w:rsidRPr="00457A71" w:rsidRDefault="006B32D3" w:rsidP="006B32D3">
      <w:pPr>
        <w:pStyle w:val="FootnoteText"/>
        <w:tabs>
          <w:tab w:val="left" w:pos="810"/>
        </w:tabs>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I/A Court HR. </w:t>
      </w:r>
      <w:r>
        <w:rPr>
          <w:rFonts w:ascii="Cambria" w:hAnsi="Cambria"/>
          <w:i/>
          <w:spacing w:val="-4"/>
          <w:sz w:val="16"/>
        </w:rPr>
        <w:t>Case of Human Rights Defender et al. v. Guatemala</w:t>
      </w:r>
      <w:r>
        <w:rPr>
          <w:rFonts w:ascii="Cambria" w:hAnsi="Cambria"/>
          <w:sz w:val="16"/>
        </w:rPr>
        <w:t xml:space="preserve">. </w:t>
      </w:r>
      <w:proofErr w:type="gramStart"/>
      <w:r>
        <w:rPr>
          <w:rFonts w:ascii="Cambria" w:hAnsi="Cambria"/>
          <w:sz w:val="16"/>
        </w:rPr>
        <w:t>Preliminary Objections, Merits, Reparations, and Costs.</w:t>
      </w:r>
      <w:proofErr w:type="gramEnd"/>
      <w:r>
        <w:rPr>
          <w:rFonts w:ascii="Cambria" w:hAnsi="Cambria"/>
          <w:sz w:val="16"/>
        </w:rPr>
        <w:t xml:space="preserve"> Judgment of August 28, 2014. </w:t>
      </w:r>
      <w:proofErr w:type="gramStart"/>
      <w:r>
        <w:rPr>
          <w:rFonts w:ascii="Cambria" w:hAnsi="Cambria"/>
          <w:sz w:val="16"/>
        </w:rPr>
        <w:t>Series C No. 283, par. 204.</w:t>
      </w:r>
      <w:proofErr w:type="gramEnd"/>
    </w:p>
  </w:footnote>
  <w:footnote w:id="112">
    <w:p w:rsidR="006B32D3" w:rsidRPr="00457A71" w:rsidRDefault="006B32D3" w:rsidP="006B32D3">
      <w:pPr>
        <w:pStyle w:val="FootnoteText"/>
        <w:tabs>
          <w:tab w:val="left" w:pos="810"/>
        </w:tabs>
        <w:spacing w:after="120"/>
        <w:ind w:firstLine="720"/>
        <w:jc w:val="both"/>
        <w:rPr>
          <w:rFonts w:ascii="Cambria" w:hAnsi="Cambria"/>
          <w:spacing w:val="-4"/>
          <w:sz w:val="16"/>
          <w:szCs w:val="16"/>
        </w:rPr>
      </w:pPr>
      <w:r>
        <w:rPr>
          <w:rStyle w:val="FootnoteReference"/>
          <w:rFonts w:ascii="Cambria" w:hAnsi="Cambria"/>
          <w:spacing w:val="-4"/>
          <w:sz w:val="16"/>
        </w:rPr>
        <w:footnoteRef/>
      </w:r>
      <w:r>
        <w:rPr>
          <w:rFonts w:ascii="Cambria" w:hAnsi="Cambria"/>
          <w:spacing w:val="-4"/>
          <w:sz w:val="16"/>
        </w:rPr>
        <w:t xml:space="preserve"> Cf. IACHR. Report No. 10/95. </w:t>
      </w:r>
      <w:proofErr w:type="gramStart"/>
      <w:r>
        <w:rPr>
          <w:rFonts w:ascii="Cambria" w:hAnsi="Cambria"/>
          <w:spacing w:val="-4"/>
          <w:sz w:val="16"/>
        </w:rPr>
        <w:t>Case 10.580.</w:t>
      </w:r>
      <w:proofErr w:type="gramEnd"/>
      <w:r>
        <w:rPr>
          <w:rFonts w:ascii="Cambria" w:hAnsi="Cambria"/>
          <w:spacing w:val="-4"/>
          <w:sz w:val="16"/>
        </w:rPr>
        <w:t xml:space="preserve"> Ecuador. September 12, 1995. </w:t>
      </w:r>
      <w:proofErr w:type="gramStart"/>
      <w:r>
        <w:rPr>
          <w:rFonts w:ascii="Cambria" w:hAnsi="Cambria"/>
          <w:spacing w:val="-4"/>
          <w:sz w:val="16"/>
        </w:rPr>
        <w:t xml:space="preserve">par. 32; I/A Court H.R. </w:t>
      </w:r>
      <w:r>
        <w:rPr>
          <w:rFonts w:ascii="Cambria" w:hAnsi="Cambria"/>
          <w:i/>
          <w:spacing w:val="-4"/>
          <w:sz w:val="16"/>
        </w:rPr>
        <w:t>Case of Juan Humberto Sánchez v. Honduras</w:t>
      </w:r>
      <w:r>
        <w:rPr>
          <w:rStyle w:val="Strong"/>
          <w:rFonts w:ascii="Cambria" w:hAnsi="Cambria"/>
          <w:sz w:val="16"/>
        </w:rPr>
        <w:t>.</w:t>
      </w:r>
      <w:proofErr w:type="gramEnd"/>
      <w:r>
        <w:rPr>
          <w:rStyle w:val="Strong"/>
          <w:rFonts w:ascii="Cambria" w:hAnsi="Cambria"/>
          <w:sz w:val="16"/>
        </w:rPr>
        <w:t xml:space="preserve"> </w:t>
      </w:r>
      <w:proofErr w:type="gramStart"/>
      <w:r>
        <w:rPr>
          <w:rStyle w:val="Strong"/>
          <w:rFonts w:ascii="Cambria" w:hAnsi="Cambria"/>
          <w:b w:val="0"/>
          <w:sz w:val="16"/>
        </w:rPr>
        <w:t>Preliminary Objection, Merits, Reparations and Costs.</w:t>
      </w:r>
      <w:proofErr w:type="gramEnd"/>
      <w:r>
        <w:rPr>
          <w:rStyle w:val="Strong"/>
          <w:rFonts w:ascii="Cambria" w:hAnsi="Cambria"/>
          <w:b w:val="0"/>
          <w:sz w:val="16"/>
        </w:rPr>
        <w:t xml:space="preserve"> Judgment of June 7, 2003. </w:t>
      </w:r>
      <w:proofErr w:type="gramStart"/>
      <w:r>
        <w:rPr>
          <w:rStyle w:val="Strong"/>
          <w:rFonts w:ascii="Cambria" w:hAnsi="Cambria"/>
          <w:b w:val="0"/>
          <w:sz w:val="16"/>
        </w:rPr>
        <w:t xml:space="preserve">Series C No. 99, </w:t>
      </w:r>
      <w:r>
        <w:rPr>
          <w:rFonts w:ascii="Cambria" w:hAnsi="Cambria"/>
          <w:spacing w:val="-4"/>
          <w:sz w:val="16"/>
        </w:rPr>
        <w:t>par. 127.</w:t>
      </w:r>
      <w:proofErr w:type="gramEnd"/>
    </w:p>
  </w:footnote>
  <w:footnote w:id="113">
    <w:p w:rsidR="006B32D3" w:rsidRPr="00457A71" w:rsidRDefault="006B32D3" w:rsidP="006B32D3">
      <w:pPr>
        <w:pStyle w:val="FootnoteText"/>
        <w:tabs>
          <w:tab w:val="left" w:pos="810"/>
        </w:tabs>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IACHR Report No. 49/15, Case 12.585, Merits, </w:t>
      </w:r>
      <w:proofErr w:type="spellStart"/>
      <w:r>
        <w:rPr>
          <w:rFonts w:ascii="Cambria" w:hAnsi="Cambria"/>
          <w:sz w:val="16"/>
        </w:rPr>
        <w:t>Ángel</w:t>
      </w:r>
      <w:proofErr w:type="spellEnd"/>
      <w:r>
        <w:rPr>
          <w:rFonts w:ascii="Cambria" w:hAnsi="Cambria"/>
          <w:sz w:val="16"/>
        </w:rPr>
        <w:t xml:space="preserve"> Pacheco León and Family, Honduras, July 28, 2015, par. 87.</w:t>
      </w:r>
    </w:p>
  </w:footnote>
  <w:footnote w:id="114">
    <w:p w:rsidR="006B32D3" w:rsidRPr="00457A71" w:rsidRDefault="006B32D3" w:rsidP="006B32D3">
      <w:pPr>
        <w:pStyle w:val="FootnoteText"/>
        <w:tabs>
          <w:tab w:val="left" w:pos="810"/>
        </w:tabs>
        <w:spacing w:after="120"/>
        <w:ind w:firstLine="720"/>
        <w:jc w:val="both"/>
        <w:rPr>
          <w:rFonts w:ascii="Cambria" w:hAnsi="Cambria"/>
          <w:bCs/>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 xml:space="preserve">I/A Court HR. </w:t>
      </w:r>
      <w:r>
        <w:rPr>
          <w:rFonts w:ascii="Cambria" w:hAnsi="Cambria"/>
          <w:i/>
          <w:sz w:val="16"/>
        </w:rPr>
        <w:t xml:space="preserve">Case of </w:t>
      </w:r>
      <w:proofErr w:type="spellStart"/>
      <w:r>
        <w:rPr>
          <w:rFonts w:ascii="Cambria" w:hAnsi="Cambria"/>
          <w:i/>
          <w:sz w:val="16"/>
        </w:rPr>
        <w:t>Veliz</w:t>
      </w:r>
      <w:proofErr w:type="spellEnd"/>
      <w:r>
        <w:rPr>
          <w:rFonts w:ascii="Cambria" w:hAnsi="Cambria"/>
          <w:i/>
          <w:sz w:val="16"/>
        </w:rPr>
        <w:t xml:space="preserve"> Franco et al. v. Guatemala</w:t>
      </w:r>
      <w:r>
        <w:rPr>
          <w:rFonts w:ascii="Cambria" w:hAnsi="Cambria"/>
          <w:sz w:val="16"/>
        </w:rPr>
        <w:t>.</w:t>
      </w:r>
      <w:proofErr w:type="gramEnd"/>
      <w:r>
        <w:rPr>
          <w:rFonts w:ascii="Cambria" w:hAnsi="Cambria"/>
          <w:sz w:val="16"/>
        </w:rPr>
        <w:t xml:space="preserve"> </w:t>
      </w:r>
      <w:proofErr w:type="gramStart"/>
      <w:r>
        <w:rPr>
          <w:rFonts w:ascii="Cambria" w:hAnsi="Cambria"/>
          <w:sz w:val="16"/>
        </w:rPr>
        <w:t>Preliminary Objections, Merits, Reparations, and Costs.</w:t>
      </w:r>
      <w:proofErr w:type="gramEnd"/>
      <w:r>
        <w:rPr>
          <w:rFonts w:ascii="Cambria" w:hAnsi="Cambria"/>
          <w:sz w:val="16"/>
        </w:rPr>
        <w:t xml:space="preserve"> Judgment of May 19, 2014. </w:t>
      </w:r>
      <w:proofErr w:type="gramStart"/>
      <w:r>
        <w:rPr>
          <w:rFonts w:ascii="Cambria" w:hAnsi="Cambria"/>
          <w:sz w:val="16"/>
        </w:rPr>
        <w:t>Series C No. 277, par. 195.</w:t>
      </w:r>
      <w:proofErr w:type="gramEnd"/>
      <w:r>
        <w:rPr>
          <w:rFonts w:ascii="Cambria" w:hAnsi="Cambria"/>
          <w:sz w:val="16"/>
        </w:rPr>
        <w:t xml:space="preserve"> </w:t>
      </w:r>
    </w:p>
  </w:footnote>
  <w:footnote w:id="115">
    <w:p w:rsidR="006B32D3" w:rsidRPr="00457A71" w:rsidRDefault="006B32D3" w:rsidP="006B32D3">
      <w:pPr>
        <w:pStyle w:val="FootnoteText"/>
        <w:tabs>
          <w:tab w:val="left" w:pos="810"/>
        </w:tabs>
        <w:spacing w:after="120"/>
        <w:ind w:firstLine="720"/>
        <w:jc w:val="both"/>
        <w:rPr>
          <w:rFonts w:ascii="Cambria" w:hAnsi="Cambria" w:cs="Verdana"/>
          <w:spacing w:val="-4"/>
          <w:sz w:val="16"/>
          <w:szCs w:val="16"/>
        </w:rPr>
      </w:pPr>
      <w:r>
        <w:rPr>
          <w:rStyle w:val="FootnoteReference"/>
          <w:rFonts w:ascii="Cambria" w:hAnsi="Cambria"/>
          <w:spacing w:val="-4"/>
          <w:sz w:val="16"/>
        </w:rPr>
        <w:footnoteRef/>
      </w:r>
      <w:r>
        <w:rPr>
          <w:rFonts w:ascii="Cambria" w:hAnsi="Cambria"/>
          <w:spacing w:val="-4"/>
          <w:sz w:val="16"/>
        </w:rPr>
        <w:t xml:space="preserve"> </w:t>
      </w:r>
      <w:proofErr w:type="gramStart"/>
      <w:r>
        <w:rPr>
          <w:rFonts w:ascii="Cambria" w:hAnsi="Cambria"/>
          <w:spacing w:val="-4"/>
          <w:sz w:val="16"/>
        </w:rPr>
        <w:t>United Nations Manual on the Effective Prevention and Investigation of Extra-legal, Arbitrary and Summary Executions (Protocol of Minnesota).</w:t>
      </w:r>
      <w:proofErr w:type="gramEnd"/>
    </w:p>
  </w:footnote>
  <w:footnote w:id="116">
    <w:p w:rsidR="006B32D3" w:rsidRPr="00457A71" w:rsidRDefault="006B32D3" w:rsidP="006B32D3">
      <w:pPr>
        <w:pStyle w:val="FootnoteText"/>
        <w:tabs>
          <w:tab w:val="left" w:pos="810"/>
        </w:tabs>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Office of the United Nations High Commissioner for Human Rights.</w:t>
      </w:r>
      <w:proofErr w:type="gramEnd"/>
      <w:r>
        <w:rPr>
          <w:rFonts w:ascii="Cambria" w:hAnsi="Cambria"/>
          <w:sz w:val="16"/>
        </w:rPr>
        <w:t xml:space="preserve"> Model Protocol for Forensic Investigation of Deaths Suspected of Having Been Caused by Human Rights Violations, </w:t>
      </w:r>
      <w:proofErr w:type="gramStart"/>
      <w:r>
        <w:rPr>
          <w:rFonts w:ascii="Cambria" w:hAnsi="Cambria"/>
          <w:sz w:val="16"/>
        </w:rPr>
        <w:t>Draft  MEX</w:t>
      </w:r>
      <w:proofErr w:type="gramEnd"/>
      <w:r>
        <w:rPr>
          <w:rFonts w:ascii="Cambria" w:hAnsi="Cambria"/>
          <w:sz w:val="16"/>
        </w:rPr>
        <w:t>/00/AH/10.</w:t>
      </w:r>
    </w:p>
  </w:footnote>
  <w:footnote w:id="117">
    <w:p w:rsidR="006B32D3" w:rsidRPr="00457A71" w:rsidRDefault="006B32D3" w:rsidP="006B32D3">
      <w:pPr>
        <w:pStyle w:val="FootnoteText"/>
        <w:tabs>
          <w:tab w:val="left" w:pos="810"/>
        </w:tabs>
        <w:spacing w:after="120"/>
        <w:ind w:firstLine="720"/>
        <w:jc w:val="both"/>
        <w:rPr>
          <w:rFonts w:ascii="Cambria" w:hAnsi="Cambria"/>
          <w:spacing w:val="-4"/>
          <w:sz w:val="16"/>
          <w:szCs w:val="16"/>
        </w:rPr>
      </w:pPr>
      <w:r>
        <w:rPr>
          <w:rStyle w:val="FootnoteReference"/>
          <w:rFonts w:ascii="Cambria" w:hAnsi="Cambria"/>
          <w:spacing w:val="-4"/>
          <w:sz w:val="16"/>
        </w:rPr>
        <w:footnoteRef/>
      </w:r>
      <w:r>
        <w:rPr>
          <w:rFonts w:ascii="Cambria" w:hAnsi="Cambria"/>
          <w:spacing w:val="-4"/>
          <w:sz w:val="16"/>
        </w:rPr>
        <w:t xml:space="preserve"> </w:t>
      </w:r>
      <w:proofErr w:type="gramStart"/>
      <w:r>
        <w:rPr>
          <w:rFonts w:ascii="Cambria" w:hAnsi="Cambria"/>
          <w:spacing w:val="-4"/>
          <w:sz w:val="16"/>
        </w:rPr>
        <w:t xml:space="preserve">I/A Court HR. </w:t>
      </w:r>
      <w:r>
        <w:rPr>
          <w:rFonts w:ascii="Cambria" w:hAnsi="Cambria"/>
          <w:i/>
          <w:spacing w:val="-4"/>
          <w:sz w:val="16"/>
        </w:rPr>
        <w:t>Case of González et al. (“Cotton Field”) v. Mexico</w:t>
      </w:r>
      <w:r>
        <w:rPr>
          <w:rFonts w:ascii="Cambria" w:hAnsi="Cambria"/>
          <w:spacing w:val="-4"/>
          <w:sz w:val="16"/>
        </w:rPr>
        <w:t>.</w:t>
      </w:r>
      <w:proofErr w:type="gramEnd"/>
      <w:r>
        <w:rPr>
          <w:rFonts w:ascii="Cambria" w:hAnsi="Cambria"/>
          <w:spacing w:val="-4"/>
          <w:sz w:val="16"/>
        </w:rPr>
        <w:t xml:space="preserve"> </w:t>
      </w:r>
      <w:proofErr w:type="gramStart"/>
      <w:r>
        <w:rPr>
          <w:rFonts w:ascii="Cambria" w:hAnsi="Cambria"/>
          <w:spacing w:val="-4"/>
          <w:sz w:val="16"/>
        </w:rPr>
        <w:t>Preliminary Objection, Merits, Reparations and Costs.</w:t>
      </w:r>
      <w:proofErr w:type="gramEnd"/>
      <w:r>
        <w:rPr>
          <w:rFonts w:ascii="Cambria" w:hAnsi="Cambria"/>
          <w:spacing w:val="-4"/>
          <w:sz w:val="16"/>
        </w:rPr>
        <w:t xml:space="preserve"> Judgment of November 16, 2009. </w:t>
      </w:r>
      <w:proofErr w:type="gramStart"/>
      <w:r>
        <w:rPr>
          <w:rFonts w:ascii="Cambria" w:hAnsi="Cambria"/>
          <w:spacing w:val="-4"/>
          <w:sz w:val="16"/>
        </w:rPr>
        <w:t>Series C No. 205, par. 207.</w:t>
      </w:r>
      <w:proofErr w:type="gramEnd"/>
      <w:r>
        <w:rPr>
          <w:rFonts w:ascii="Cambria" w:hAnsi="Cambria"/>
          <w:spacing w:val="-4"/>
          <w:sz w:val="16"/>
        </w:rPr>
        <w:t xml:space="preserve"> </w:t>
      </w:r>
    </w:p>
  </w:footnote>
  <w:footnote w:id="118">
    <w:p w:rsidR="006B32D3" w:rsidRPr="00457A71" w:rsidRDefault="006B32D3" w:rsidP="006B32D3">
      <w:pPr>
        <w:pStyle w:val="FootnoteText"/>
        <w:tabs>
          <w:tab w:val="left" w:pos="810"/>
        </w:tabs>
        <w:spacing w:after="120"/>
        <w:ind w:firstLine="720"/>
        <w:jc w:val="both"/>
        <w:rPr>
          <w:rFonts w:ascii="Cambria" w:hAnsi="Cambria"/>
          <w:spacing w:val="-4"/>
          <w:sz w:val="16"/>
          <w:szCs w:val="16"/>
        </w:rPr>
      </w:pPr>
      <w:r>
        <w:rPr>
          <w:rStyle w:val="FootnoteReference"/>
          <w:rFonts w:ascii="Cambria" w:hAnsi="Cambria"/>
          <w:spacing w:val="-4"/>
          <w:sz w:val="16"/>
        </w:rPr>
        <w:footnoteRef/>
      </w:r>
      <w:r>
        <w:rPr>
          <w:rFonts w:ascii="Cambria" w:hAnsi="Cambria"/>
          <w:spacing w:val="-4"/>
          <w:sz w:val="16"/>
        </w:rPr>
        <w:t xml:space="preserve"> I/A Court HR. </w:t>
      </w:r>
      <w:r>
        <w:rPr>
          <w:rFonts w:ascii="Cambria" w:hAnsi="Cambria"/>
          <w:i/>
          <w:spacing w:val="-4"/>
          <w:sz w:val="16"/>
        </w:rPr>
        <w:t>Case of Human Rights Defender et al. v. Guatemala</w:t>
      </w:r>
      <w:r>
        <w:rPr>
          <w:rFonts w:ascii="Cambria" w:hAnsi="Cambria"/>
          <w:spacing w:val="-4"/>
          <w:sz w:val="16"/>
        </w:rPr>
        <w:t xml:space="preserve">. </w:t>
      </w:r>
      <w:proofErr w:type="gramStart"/>
      <w:r>
        <w:rPr>
          <w:rFonts w:ascii="Cambria" w:hAnsi="Cambria"/>
          <w:spacing w:val="-4"/>
          <w:sz w:val="16"/>
        </w:rPr>
        <w:t>Preliminary Objections, Merits, Reparations, and Costs.</w:t>
      </w:r>
      <w:proofErr w:type="gramEnd"/>
      <w:r>
        <w:rPr>
          <w:rFonts w:ascii="Cambria" w:hAnsi="Cambria"/>
          <w:spacing w:val="-4"/>
          <w:sz w:val="16"/>
        </w:rPr>
        <w:t xml:space="preserve"> Judgment of August 28, 2014. </w:t>
      </w:r>
      <w:proofErr w:type="gramStart"/>
      <w:r>
        <w:rPr>
          <w:rFonts w:ascii="Cambria" w:hAnsi="Cambria"/>
          <w:spacing w:val="-4"/>
          <w:sz w:val="16"/>
        </w:rPr>
        <w:t>Series C No. 283, par. 207.</w:t>
      </w:r>
      <w:proofErr w:type="gramEnd"/>
    </w:p>
  </w:footnote>
  <w:footnote w:id="119">
    <w:p w:rsidR="006B32D3" w:rsidRPr="00457A71" w:rsidRDefault="006B32D3" w:rsidP="006B32D3">
      <w:pPr>
        <w:pStyle w:val="FootnoteText"/>
        <w:tabs>
          <w:tab w:val="left" w:pos="810"/>
        </w:tabs>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 xml:space="preserve">I/A Court HR. </w:t>
      </w:r>
      <w:r>
        <w:rPr>
          <w:rFonts w:ascii="Cambria" w:hAnsi="Cambria"/>
          <w:i/>
          <w:sz w:val="16"/>
        </w:rPr>
        <w:t xml:space="preserve">Case of </w:t>
      </w:r>
      <w:proofErr w:type="spellStart"/>
      <w:r>
        <w:rPr>
          <w:rFonts w:ascii="Cambria" w:hAnsi="Cambria"/>
          <w:i/>
          <w:sz w:val="16"/>
        </w:rPr>
        <w:t>Veliz</w:t>
      </w:r>
      <w:proofErr w:type="spellEnd"/>
      <w:r>
        <w:rPr>
          <w:rFonts w:ascii="Cambria" w:hAnsi="Cambria"/>
          <w:i/>
          <w:sz w:val="16"/>
        </w:rPr>
        <w:t xml:space="preserve"> Franco et al. v. Guatemala</w:t>
      </w:r>
      <w:r>
        <w:rPr>
          <w:rFonts w:ascii="Cambria" w:hAnsi="Cambria"/>
          <w:sz w:val="16"/>
        </w:rPr>
        <w:t>.</w:t>
      </w:r>
      <w:proofErr w:type="gramEnd"/>
      <w:r>
        <w:rPr>
          <w:rFonts w:ascii="Cambria" w:hAnsi="Cambria"/>
          <w:sz w:val="16"/>
        </w:rPr>
        <w:t xml:space="preserve"> </w:t>
      </w:r>
      <w:proofErr w:type="gramStart"/>
      <w:r>
        <w:rPr>
          <w:rFonts w:ascii="Cambria" w:hAnsi="Cambria"/>
          <w:sz w:val="16"/>
        </w:rPr>
        <w:t>Preliminary Objections, Merits, Reparations, and Costs.</w:t>
      </w:r>
      <w:proofErr w:type="gramEnd"/>
      <w:r>
        <w:rPr>
          <w:rFonts w:ascii="Cambria" w:hAnsi="Cambria"/>
          <w:sz w:val="16"/>
        </w:rPr>
        <w:t xml:space="preserve"> Judgment of May 19, 2014. </w:t>
      </w:r>
      <w:proofErr w:type="gramStart"/>
      <w:r>
        <w:rPr>
          <w:rFonts w:ascii="Cambria" w:hAnsi="Cambria"/>
          <w:sz w:val="16"/>
        </w:rPr>
        <w:t>Series C No. 277, par. 194.</w:t>
      </w:r>
      <w:proofErr w:type="gramEnd"/>
      <w:r>
        <w:rPr>
          <w:rFonts w:ascii="Cambria" w:hAnsi="Cambria"/>
          <w:sz w:val="16"/>
        </w:rPr>
        <w:t xml:space="preserve">  </w:t>
      </w:r>
    </w:p>
  </w:footnote>
  <w:footnote w:id="120">
    <w:p w:rsidR="006B32D3" w:rsidRPr="00457A71" w:rsidRDefault="006B32D3" w:rsidP="006B32D3">
      <w:pPr>
        <w:tabs>
          <w:tab w:val="left" w:pos="720"/>
          <w:tab w:val="left" w:pos="810"/>
        </w:tabs>
        <w:autoSpaceDE w:val="0"/>
        <w:autoSpaceDN w:val="0"/>
        <w:adjustRightInd w:val="0"/>
        <w:spacing w:after="120"/>
        <w:ind w:firstLine="720"/>
        <w:jc w:val="both"/>
        <w:rPr>
          <w:rFonts w:ascii="Cambria" w:hAnsi="Cambria"/>
          <w:spacing w:val="-4"/>
          <w:sz w:val="16"/>
          <w:szCs w:val="16"/>
        </w:rPr>
      </w:pPr>
      <w:r>
        <w:rPr>
          <w:rStyle w:val="FootnoteReference"/>
          <w:rFonts w:ascii="Cambria" w:hAnsi="Cambria"/>
          <w:spacing w:val="-4"/>
          <w:sz w:val="16"/>
        </w:rPr>
        <w:footnoteRef/>
      </w:r>
      <w:r>
        <w:rPr>
          <w:rFonts w:ascii="Cambria" w:hAnsi="Cambria"/>
          <w:spacing w:val="-4"/>
          <w:sz w:val="16"/>
        </w:rPr>
        <w:t xml:space="preserve"> IACHR, Report  No. 13/15, Case 12.349, Report on Admissibility and Merits, Mayra Angelina Gutiérrez Hernández and Family, Guatemala, March 23, 2015, par. 129.</w:t>
      </w:r>
    </w:p>
  </w:footnote>
  <w:footnote w:id="121">
    <w:p w:rsidR="006B32D3" w:rsidRPr="00D02E8E" w:rsidRDefault="006B32D3" w:rsidP="006B32D3">
      <w:pPr>
        <w:pStyle w:val="FootnoteText"/>
        <w:spacing w:after="120"/>
        <w:ind w:firstLine="720"/>
        <w:jc w:val="both"/>
        <w:rPr>
          <w:rFonts w:ascii="Cambria" w:hAnsi="Cambria"/>
          <w:sz w:val="16"/>
          <w:szCs w:val="16"/>
          <w:lang w:val="es-MX"/>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 xml:space="preserve">I/A Court HR. </w:t>
      </w:r>
      <w:r>
        <w:rPr>
          <w:rFonts w:ascii="Cambria" w:hAnsi="Cambria"/>
          <w:i/>
          <w:sz w:val="16"/>
        </w:rPr>
        <w:t xml:space="preserve">Case of </w:t>
      </w:r>
      <w:proofErr w:type="spellStart"/>
      <w:r>
        <w:rPr>
          <w:rFonts w:ascii="Cambria" w:hAnsi="Cambria"/>
          <w:i/>
          <w:sz w:val="16"/>
        </w:rPr>
        <w:t>Kawas-Fernández</w:t>
      </w:r>
      <w:proofErr w:type="spellEnd"/>
      <w:r>
        <w:rPr>
          <w:rFonts w:ascii="Cambria" w:hAnsi="Cambria"/>
          <w:i/>
          <w:sz w:val="16"/>
        </w:rPr>
        <w:t xml:space="preserve"> v. Honduras.</w:t>
      </w:r>
      <w:proofErr w:type="gramEnd"/>
      <w:r>
        <w:rPr>
          <w:rFonts w:ascii="Cambria" w:hAnsi="Cambria"/>
          <w:sz w:val="16"/>
        </w:rPr>
        <w:t xml:space="preserve"> </w:t>
      </w:r>
      <w:proofErr w:type="gramStart"/>
      <w:r>
        <w:rPr>
          <w:rFonts w:ascii="Cambria" w:hAnsi="Cambria"/>
          <w:sz w:val="16"/>
        </w:rPr>
        <w:t>Merits, Reparations, and Costs.</w:t>
      </w:r>
      <w:proofErr w:type="gramEnd"/>
      <w:r>
        <w:rPr>
          <w:rFonts w:ascii="Cambria" w:hAnsi="Cambria"/>
          <w:sz w:val="16"/>
        </w:rPr>
        <w:t xml:space="preserve"> Judgment of April 3, 2009. </w:t>
      </w:r>
      <w:r w:rsidRPr="00457A71">
        <w:rPr>
          <w:rFonts w:ascii="Cambria" w:hAnsi="Cambria"/>
          <w:sz w:val="16"/>
          <w:lang w:val="es-ES"/>
        </w:rPr>
        <w:t xml:space="preserve">Series C No. 196, par.112.  </w:t>
      </w:r>
    </w:p>
  </w:footnote>
  <w:footnote w:id="122">
    <w:p w:rsidR="006B32D3" w:rsidRPr="000D60A2" w:rsidRDefault="006B32D3" w:rsidP="006B32D3">
      <w:pPr>
        <w:spacing w:after="120"/>
        <w:ind w:firstLine="720"/>
        <w:jc w:val="both"/>
        <w:rPr>
          <w:rFonts w:ascii="Cambria" w:hAnsi="Cambria" w:cs="Arial"/>
          <w:sz w:val="16"/>
          <w:szCs w:val="16"/>
          <w:lang w:val="pt-BR"/>
        </w:rPr>
      </w:pPr>
      <w:r>
        <w:rPr>
          <w:rStyle w:val="FootnoteReference"/>
          <w:rFonts w:ascii="Cambria" w:hAnsi="Cambria"/>
          <w:sz w:val="16"/>
        </w:rPr>
        <w:footnoteRef/>
      </w:r>
      <w:r w:rsidRPr="00457A71">
        <w:rPr>
          <w:rFonts w:ascii="Cambria" w:hAnsi="Cambria"/>
          <w:sz w:val="16"/>
          <w:lang w:val="es-ES"/>
        </w:rPr>
        <w:t xml:space="preserve"> </w:t>
      </w:r>
      <w:r w:rsidRPr="00457A71">
        <w:rPr>
          <w:rFonts w:ascii="Cambria" w:hAnsi="Cambria"/>
          <w:sz w:val="16"/>
          <w:lang w:val="es-ES"/>
        </w:rPr>
        <w:t xml:space="preserve">IACHR. Report No. 51/13. Case 12.551. Paloma Angélica Escobar Ledezma et al. Merits (Publication). Mexico. par. 82; IACHR, Report on Merits No. 55/97, Juan Carlos Abella et al. </w:t>
      </w:r>
      <w:r w:rsidRPr="00457A71">
        <w:rPr>
          <w:rFonts w:ascii="Cambria" w:hAnsi="Cambria"/>
          <w:sz w:val="16"/>
          <w:lang w:val="pt-BR"/>
        </w:rPr>
        <w:t>(Argentina), November 18, 1997, par. 412.</w:t>
      </w:r>
    </w:p>
  </w:footnote>
  <w:footnote w:id="123">
    <w:p w:rsidR="006B32D3" w:rsidRPr="00457A71" w:rsidRDefault="006B32D3" w:rsidP="006B32D3">
      <w:pPr>
        <w:pStyle w:val="FootnoteText"/>
        <w:spacing w:after="120"/>
        <w:ind w:firstLine="720"/>
        <w:jc w:val="both"/>
        <w:rPr>
          <w:rFonts w:ascii="Cambria" w:hAnsi="Cambria"/>
          <w:sz w:val="16"/>
          <w:szCs w:val="16"/>
          <w:lang w:val="pt-BR"/>
        </w:rPr>
      </w:pPr>
      <w:r>
        <w:rPr>
          <w:rStyle w:val="FootnoteReference"/>
          <w:rFonts w:ascii="Cambria" w:hAnsi="Cambria"/>
          <w:sz w:val="16"/>
        </w:rPr>
        <w:footnoteRef/>
      </w:r>
      <w:r w:rsidRPr="00457A71">
        <w:rPr>
          <w:rFonts w:ascii="Cambria" w:hAnsi="Cambria"/>
          <w:sz w:val="16"/>
          <w:lang w:val="pt-BR"/>
        </w:rPr>
        <w:t xml:space="preserve"> </w:t>
      </w:r>
      <w:r w:rsidRPr="00457A71">
        <w:rPr>
          <w:rFonts w:ascii="Cambria" w:hAnsi="Cambria"/>
          <w:sz w:val="16"/>
          <w:lang w:val="pt-BR"/>
        </w:rPr>
        <w:t xml:space="preserve">IACHR, Report No, 25/09, Merits (Sebastião Camargo Filho) Brazil, March 19, 2009, par. 109. </w:t>
      </w:r>
    </w:p>
  </w:footnote>
  <w:footnote w:id="124">
    <w:p w:rsidR="006B32D3" w:rsidRPr="00457A71" w:rsidRDefault="006B32D3" w:rsidP="006B32D3">
      <w:pPr>
        <w:pStyle w:val="FootnoteText"/>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 xml:space="preserve">I/A Court HR. </w:t>
      </w:r>
      <w:r>
        <w:rPr>
          <w:rFonts w:ascii="Cambria" w:hAnsi="Cambria"/>
          <w:i/>
          <w:sz w:val="16"/>
        </w:rPr>
        <w:t xml:space="preserve">Case of </w:t>
      </w:r>
      <w:proofErr w:type="spellStart"/>
      <w:r>
        <w:rPr>
          <w:rFonts w:ascii="Cambria" w:hAnsi="Cambria"/>
          <w:i/>
          <w:sz w:val="16"/>
        </w:rPr>
        <w:t>Kawas-Fernández</w:t>
      </w:r>
      <w:proofErr w:type="spellEnd"/>
      <w:r>
        <w:rPr>
          <w:rFonts w:ascii="Cambria" w:hAnsi="Cambria"/>
          <w:i/>
          <w:sz w:val="16"/>
        </w:rPr>
        <w:t xml:space="preserve"> v. Honduras.</w:t>
      </w:r>
      <w:proofErr w:type="gramEnd"/>
      <w:r>
        <w:rPr>
          <w:rFonts w:ascii="Cambria" w:hAnsi="Cambria"/>
          <w:sz w:val="16"/>
        </w:rPr>
        <w:t xml:space="preserve"> </w:t>
      </w:r>
      <w:proofErr w:type="gramStart"/>
      <w:r>
        <w:rPr>
          <w:rFonts w:ascii="Cambria" w:hAnsi="Cambria"/>
          <w:sz w:val="16"/>
        </w:rPr>
        <w:t>Merits, Reparations, and Costs.</w:t>
      </w:r>
      <w:proofErr w:type="gramEnd"/>
      <w:r>
        <w:rPr>
          <w:rFonts w:ascii="Cambria" w:hAnsi="Cambria"/>
          <w:sz w:val="16"/>
        </w:rPr>
        <w:t xml:space="preserve"> </w:t>
      </w:r>
      <w:proofErr w:type="gramStart"/>
      <w:r>
        <w:rPr>
          <w:rFonts w:ascii="Cambria" w:hAnsi="Cambria"/>
          <w:sz w:val="16"/>
        </w:rPr>
        <w:t>Judgment of Friday, April 3, 2009, Series C No. 196, par. 79.</w:t>
      </w:r>
      <w:proofErr w:type="gramEnd"/>
    </w:p>
  </w:footnote>
  <w:footnote w:id="125">
    <w:p w:rsidR="006B32D3" w:rsidRPr="00457A71" w:rsidRDefault="006B32D3" w:rsidP="006B32D3">
      <w:pPr>
        <w:pStyle w:val="FootnoteText"/>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 xml:space="preserve">I/A Court HR. </w:t>
      </w:r>
      <w:r>
        <w:rPr>
          <w:rFonts w:ascii="Cambria" w:hAnsi="Cambria"/>
          <w:i/>
          <w:sz w:val="16"/>
        </w:rPr>
        <w:t xml:space="preserve">Case of </w:t>
      </w:r>
      <w:proofErr w:type="spellStart"/>
      <w:r>
        <w:rPr>
          <w:rFonts w:ascii="Cambria" w:hAnsi="Cambria"/>
          <w:i/>
          <w:sz w:val="16"/>
        </w:rPr>
        <w:t>Kawas-Fernández</w:t>
      </w:r>
      <w:proofErr w:type="spellEnd"/>
      <w:r>
        <w:rPr>
          <w:rFonts w:ascii="Cambria" w:hAnsi="Cambria"/>
          <w:i/>
          <w:sz w:val="16"/>
        </w:rPr>
        <w:t xml:space="preserve"> v. Honduras.</w:t>
      </w:r>
      <w:proofErr w:type="gramEnd"/>
      <w:r>
        <w:rPr>
          <w:rFonts w:ascii="Cambria" w:hAnsi="Cambria"/>
          <w:sz w:val="16"/>
        </w:rPr>
        <w:t xml:space="preserve"> </w:t>
      </w:r>
      <w:proofErr w:type="gramStart"/>
      <w:r>
        <w:rPr>
          <w:rFonts w:ascii="Cambria" w:hAnsi="Cambria"/>
          <w:sz w:val="16"/>
        </w:rPr>
        <w:t>Merits, Reparations, and Costs.</w:t>
      </w:r>
      <w:proofErr w:type="gramEnd"/>
      <w:r>
        <w:rPr>
          <w:rFonts w:ascii="Cambria" w:hAnsi="Cambria"/>
          <w:sz w:val="16"/>
        </w:rPr>
        <w:t xml:space="preserve"> Judgment of Friday, April 03, 2009. Series C No. 196, par.112.  </w:t>
      </w:r>
    </w:p>
  </w:footnote>
  <w:footnote w:id="126">
    <w:p w:rsidR="006B32D3" w:rsidRPr="00457A71" w:rsidRDefault="006B32D3" w:rsidP="006B32D3">
      <w:pPr>
        <w:pStyle w:val="FootnoteText"/>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IACHR.</w:t>
      </w:r>
      <w:proofErr w:type="gramEnd"/>
      <w:r>
        <w:rPr>
          <w:rFonts w:ascii="Cambria" w:hAnsi="Cambria"/>
          <w:sz w:val="16"/>
        </w:rPr>
        <w:t xml:space="preserve"> Report No. 51/13. </w:t>
      </w:r>
      <w:proofErr w:type="gramStart"/>
      <w:r>
        <w:rPr>
          <w:rFonts w:ascii="Cambria" w:hAnsi="Cambria"/>
          <w:sz w:val="16"/>
        </w:rPr>
        <w:t>Case 12.551.</w:t>
      </w:r>
      <w:proofErr w:type="gramEnd"/>
      <w:r>
        <w:rPr>
          <w:rFonts w:ascii="Cambria" w:hAnsi="Cambria"/>
          <w:sz w:val="16"/>
        </w:rPr>
        <w:t xml:space="preserve"> Paloma </w:t>
      </w:r>
      <w:proofErr w:type="spellStart"/>
      <w:r>
        <w:rPr>
          <w:rFonts w:ascii="Cambria" w:hAnsi="Cambria"/>
          <w:sz w:val="16"/>
        </w:rPr>
        <w:t>Angélica</w:t>
      </w:r>
      <w:proofErr w:type="spellEnd"/>
      <w:r>
        <w:rPr>
          <w:rFonts w:ascii="Cambria" w:hAnsi="Cambria"/>
          <w:sz w:val="16"/>
        </w:rPr>
        <w:t xml:space="preserve"> Escobar </w:t>
      </w:r>
      <w:proofErr w:type="spellStart"/>
      <w:r>
        <w:rPr>
          <w:rFonts w:ascii="Cambria" w:hAnsi="Cambria"/>
          <w:sz w:val="16"/>
        </w:rPr>
        <w:t>Ledezma</w:t>
      </w:r>
      <w:proofErr w:type="spellEnd"/>
      <w:r>
        <w:rPr>
          <w:rFonts w:ascii="Cambria" w:hAnsi="Cambria"/>
          <w:sz w:val="16"/>
        </w:rPr>
        <w:t xml:space="preserve"> et al. Merits (Publication). Mexico. </w:t>
      </w:r>
      <w:proofErr w:type="gramStart"/>
      <w:r>
        <w:rPr>
          <w:rFonts w:ascii="Cambria" w:hAnsi="Cambria"/>
          <w:sz w:val="16"/>
        </w:rPr>
        <w:t>par. 82.</w:t>
      </w:r>
      <w:proofErr w:type="gramEnd"/>
    </w:p>
  </w:footnote>
  <w:footnote w:id="127">
    <w:p w:rsidR="006B32D3" w:rsidRPr="00457A71" w:rsidRDefault="006B32D3" w:rsidP="006B32D3">
      <w:pPr>
        <w:pStyle w:val="FootnoteText"/>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IACHR, Report No. 111/09, Case 11.324, Merits, </w:t>
      </w:r>
      <w:proofErr w:type="spellStart"/>
      <w:r>
        <w:rPr>
          <w:rFonts w:ascii="Cambria" w:hAnsi="Cambria"/>
          <w:sz w:val="16"/>
        </w:rPr>
        <w:t>Narciso</w:t>
      </w:r>
      <w:proofErr w:type="spellEnd"/>
      <w:r>
        <w:rPr>
          <w:rFonts w:ascii="Cambria" w:hAnsi="Cambria"/>
          <w:sz w:val="16"/>
        </w:rPr>
        <w:t xml:space="preserve"> González Medina, Dominican Republic, November 10, 2009, par. 240.</w:t>
      </w:r>
    </w:p>
  </w:footnote>
  <w:footnote w:id="128">
    <w:p w:rsidR="006B32D3" w:rsidRPr="00457A71" w:rsidRDefault="006B32D3" w:rsidP="006B32D3">
      <w:pPr>
        <w:pStyle w:val="FootnoteText"/>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IACHR, Report No. 56/12, Merits, </w:t>
      </w:r>
      <w:proofErr w:type="spellStart"/>
      <w:r>
        <w:rPr>
          <w:rFonts w:ascii="Cambria" w:hAnsi="Cambria"/>
          <w:sz w:val="16"/>
        </w:rPr>
        <w:t>Florentín</w:t>
      </w:r>
      <w:proofErr w:type="spellEnd"/>
      <w:r>
        <w:rPr>
          <w:rFonts w:ascii="Cambria" w:hAnsi="Cambria"/>
          <w:sz w:val="16"/>
        </w:rPr>
        <w:t xml:space="preserve"> </w:t>
      </w:r>
      <w:proofErr w:type="spellStart"/>
      <w:r>
        <w:rPr>
          <w:rFonts w:ascii="Cambria" w:hAnsi="Cambria"/>
          <w:sz w:val="16"/>
        </w:rPr>
        <w:t>Gudiel</w:t>
      </w:r>
      <w:proofErr w:type="spellEnd"/>
      <w:r>
        <w:rPr>
          <w:rFonts w:ascii="Cambria" w:hAnsi="Cambria"/>
          <w:sz w:val="16"/>
        </w:rPr>
        <w:t xml:space="preserve"> Ramos, </w:t>
      </w:r>
      <w:proofErr w:type="spellStart"/>
      <w:r>
        <w:rPr>
          <w:rFonts w:ascii="Cambria" w:hAnsi="Cambria"/>
          <w:sz w:val="16"/>
        </w:rPr>
        <w:t>Makrina</w:t>
      </w:r>
      <w:proofErr w:type="spellEnd"/>
      <w:r>
        <w:rPr>
          <w:rFonts w:ascii="Cambria" w:hAnsi="Cambria"/>
          <w:sz w:val="16"/>
        </w:rPr>
        <w:t xml:space="preserve"> </w:t>
      </w:r>
      <w:proofErr w:type="spellStart"/>
      <w:r>
        <w:rPr>
          <w:rFonts w:ascii="Cambria" w:hAnsi="Cambria"/>
          <w:sz w:val="16"/>
        </w:rPr>
        <w:t>Gudiel</w:t>
      </w:r>
      <w:proofErr w:type="spellEnd"/>
      <w:r>
        <w:rPr>
          <w:rFonts w:ascii="Cambria" w:hAnsi="Cambria"/>
          <w:sz w:val="16"/>
        </w:rPr>
        <w:t xml:space="preserve"> </w:t>
      </w:r>
      <w:proofErr w:type="spellStart"/>
      <w:r>
        <w:rPr>
          <w:rFonts w:ascii="Cambria" w:hAnsi="Cambria"/>
          <w:sz w:val="16"/>
        </w:rPr>
        <w:t>Álvarez</w:t>
      </w:r>
      <w:proofErr w:type="spellEnd"/>
      <w:r>
        <w:rPr>
          <w:rFonts w:ascii="Cambria" w:hAnsi="Cambria"/>
          <w:sz w:val="16"/>
        </w:rPr>
        <w:t xml:space="preserve"> et al., Guatemala, March 21, 2012, par. 126. See also IACHR, </w:t>
      </w:r>
      <w:hyperlink r:id="rId17">
        <w:r>
          <w:rPr>
            <w:rStyle w:val="Hyperlink"/>
            <w:rFonts w:ascii="Cambria" w:hAnsi="Cambria"/>
            <w:sz w:val="16"/>
          </w:rPr>
          <w:t>Second Report on the Situation of Human Rights Defenders in the Americas</w:t>
        </w:r>
      </w:hyperlink>
      <w:r>
        <w:rPr>
          <w:rFonts w:ascii="Cambria" w:hAnsi="Cambria"/>
          <w:sz w:val="16"/>
        </w:rPr>
        <w:t>, December 31, 2011, par. 236.</w:t>
      </w:r>
    </w:p>
  </w:footnote>
  <w:footnote w:id="129">
    <w:p w:rsidR="006B32D3" w:rsidRPr="00457A71" w:rsidRDefault="006B32D3" w:rsidP="006B32D3">
      <w:pPr>
        <w:pStyle w:val="FootnoteText"/>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r>
        <w:t xml:space="preserve">IACHR, </w:t>
      </w:r>
      <w:hyperlink r:id="rId18">
        <w:r>
          <w:rPr>
            <w:rStyle w:val="Hyperlink"/>
            <w:rFonts w:ascii="Cambria" w:hAnsi="Cambria"/>
            <w:sz w:val="16"/>
          </w:rPr>
          <w:t>Second Report on the Situation of Human Rights Defenders in the Americas</w:t>
        </w:r>
      </w:hyperlink>
      <w:r>
        <w:t>, par.</w:t>
      </w:r>
      <w:r>
        <w:rPr>
          <w:rFonts w:ascii="Cambria" w:hAnsi="Cambria"/>
          <w:sz w:val="16"/>
        </w:rPr>
        <w:t xml:space="preserve"> 268.</w:t>
      </w:r>
    </w:p>
  </w:footnote>
  <w:footnote w:id="130">
    <w:p w:rsidR="006B32D3" w:rsidRPr="00457A71" w:rsidRDefault="006B32D3" w:rsidP="006B32D3">
      <w:pPr>
        <w:pStyle w:val="FootnoteText"/>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IACHR, </w:t>
      </w:r>
      <w:hyperlink r:id="rId19">
        <w:r>
          <w:rPr>
            <w:rFonts w:ascii="Cambria" w:hAnsi="Cambria"/>
            <w:sz w:val="16"/>
          </w:rPr>
          <w:t xml:space="preserve">Situation of Human Rights in </w:t>
        </w:r>
        <w:proofErr w:type="gramStart"/>
        <w:r>
          <w:rPr>
            <w:rFonts w:ascii="Cambria" w:hAnsi="Cambria"/>
            <w:sz w:val="16"/>
          </w:rPr>
          <w:t>Guatemala</w:t>
        </w:r>
        <w:r>
          <w:rPr>
            <w:rStyle w:val="Hyperlink"/>
            <w:rFonts w:ascii="Cambria" w:hAnsi="Cambria"/>
            <w:sz w:val="16"/>
          </w:rPr>
          <w:t>.</w:t>
        </w:r>
      </w:hyperlink>
      <w:r>
        <w:rPr>
          <w:rFonts w:ascii="Cambria" w:hAnsi="Cambria"/>
          <w:sz w:val="16"/>
        </w:rPr>
        <w:t>,</w:t>
      </w:r>
      <w:proofErr w:type="gramEnd"/>
      <w:r>
        <w:rPr>
          <w:rFonts w:ascii="Cambria" w:hAnsi="Cambria"/>
          <w:sz w:val="16"/>
        </w:rPr>
        <w:t xml:space="preserve"> December 31, 2015, par. 231. </w:t>
      </w:r>
    </w:p>
  </w:footnote>
  <w:footnote w:id="131">
    <w:p w:rsidR="006B32D3" w:rsidRPr="00457A71" w:rsidRDefault="006B32D3" w:rsidP="006B32D3">
      <w:pPr>
        <w:pStyle w:val="FootnoteText"/>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IACHR, </w:t>
      </w:r>
      <w:hyperlink r:id="rId20">
        <w:r>
          <w:rPr>
            <w:rFonts w:ascii="Cambria" w:hAnsi="Cambria"/>
            <w:sz w:val="16"/>
          </w:rPr>
          <w:t xml:space="preserve">Situation of Human Rights in </w:t>
        </w:r>
        <w:proofErr w:type="gramStart"/>
        <w:r>
          <w:rPr>
            <w:rFonts w:ascii="Cambria" w:hAnsi="Cambria"/>
            <w:sz w:val="16"/>
          </w:rPr>
          <w:t>Guatemala</w:t>
        </w:r>
        <w:r>
          <w:rPr>
            <w:rStyle w:val="Hyperlink"/>
            <w:rFonts w:ascii="Cambria" w:hAnsi="Cambria"/>
            <w:sz w:val="16"/>
          </w:rPr>
          <w:t>.</w:t>
        </w:r>
      </w:hyperlink>
      <w:r>
        <w:rPr>
          <w:rFonts w:ascii="Cambria" w:hAnsi="Cambria"/>
          <w:sz w:val="16"/>
        </w:rPr>
        <w:t>,</w:t>
      </w:r>
      <w:proofErr w:type="gramEnd"/>
      <w:r>
        <w:rPr>
          <w:rFonts w:ascii="Cambria" w:hAnsi="Cambria"/>
          <w:sz w:val="16"/>
        </w:rPr>
        <w:t xml:space="preserve"> December 31, 2015, par. 231. </w:t>
      </w:r>
    </w:p>
  </w:footnote>
  <w:footnote w:id="132">
    <w:p w:rsidR="006B32D3" w:rsidRPr="00457A71" w:rsidRDefault="006B32D3" w:rsidP="006B32D3">
      <w:pPr>
        <w:pStyle w:val="FootnoteText"/>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 xml:space="preserve">I/A Court HR. </w:t>
      </w:r>
      <w:r>
        <w:rPr>
          <w:rFonts w:ascii="Cambria" w:hAnsi="Cambria"/>
          <w:i/>
          <w:sz w:val="16"/>
        </w:rPr>
        <w:t xml:space="preserve">Case of </w:t>
      </w:r>
      <w:proofErr w:type="spellStart"/>
      <w:r>
        <w:rPr>
          <w:rFonts w:ascii="Cambria" w:hAnsi="Cambria"/>
          <w:i/>
          <w:sz w:val="16"/>
        </w:rPr>
        <w:t>García</w:t>
      </w:r>
      <w:proofErr w:type="spellEnd"/>
      <w:r>
        <w:rPr>
          <w:rFonts w:ascii="Cambria" w:hAnsi="Cambria"/>
          <w:i/>
          <w:sz w:val="16"/>
        </w:rPr>
        <w:t xml:space="preserve"> </w:t>
      </w:r>
      <w:proofErr w:type="spellStart"/>
      <w:r>
        <w:rPr>
          <w:rFonts w:ascii="Cambria" w:hAnsi="Cambria"/>
          <w:i/>
          <w:sz w:val="16"/>
        </w:rPr>
        <w:t>Asto</w:t>
      </w:r>
      <w:proofErr w:type="spellEnd"/>
      <w:r>
        <w:rPr>
          <w:rFonts w:ascii="Cambria" w:hAnsi="Cambria"/>
          <w:i/>
          <w:sz w:val="16"/>
        </w:rPr>
        <w:t xml:space="preserve"> and </w:t>
      </w:r>
      <w:proofErr w:type="spellStart"/>
      <w:r>
        <w:rPr>
          <w:rFonts w:ascii="Cambria" w:hAnsi="Cambria"/>
          <w:i/>
          <w:sz w:val="16"/>
        </w:rPr>
        <w:t>Ramírez</w:t>
      </w:r>
      <w:proofErr w:type="spellEnd"/>
      <w:r>
        <w:rPr>
          <w:rFonts w:ascii="Cambria" w:hAnsi="Cambria"/>
          <w:i/>
          <w:sz w:val="16"/>
        </w:rPr>
        <w:t xml:space="preserve"> Rojas v. </w:t>
      </w:r>
      <w:r>
        <w:rPr>
          <w:rFonts w:ascii="Cambria" w:hAnsi="Cambria"/>
          <w:sz w:val="16"/>
        </w:rPr>
        <w:t>Peru.</w:t>
      </w:r>
      <w:proofErr w:type="gramEnd"/>
      <w:r>
        <w:rPr>
          <w:rFonts w:ascii="Cambria" w:hAnsi="Cambria"/>
          <w:sz w:val="16"/>
        </w:rPr>
        <w:t xml:space="preserve"> Judgment of November 25, 2005. </w:t>
      </w:r>
      <w:proofErr w:type="gramStart"/>
      <w:r>
        <w:rPr>
          <w:rFonts w:ascii="Cambria" w:hAnsi="Cambria"/>
          <w:sz w:val="16"/>
        </w:rPr>
        <w:t>Series C No. 137, par. 166.</w:t>
      </w:r>
      <w:proofErr w:type="gramEnd"/>
    </w:p>
  </w:footnote>
  <w:footnote w:id="133">
    <w:p w:rsidR="006B32D3" w:rsidRPr="00457A71" w:rsidRDefault="006B32D3" w:rsidP="006B32D3">
      <w:pPr>
        <w:pStyle w:val="FootnoteText"/>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 xml:space="preserve">I/A Court HR. </w:t>
      </w:r>
      <w:r>
        <w:rPr>
          <w:rFonts w:ascii="Cambria" w:hAnsi="Cambria"/>
          <w:i/>
          <w:sz w:val="16"/>
        </w:rPr>
        <w:t xml:space="preserve">Case of Ricardo </w:t>
      </w:r>
      <w:proofErr w:type="spellStart"/>
      <w:r>
        <w:rPr>
          <w:rFonts w:ascii="Cambria" w:hAnsi="Cambria"/>
          <w:i/>
          <w:sz w:val="16"/>
        </w:rPr>
        <w:t>Canese</w:t>
      </w:r>
      <w:proofErr w:type="spellEnd"/>
      <w:r>
        <w:rPr>
          <w:rFonts w:ascii="Cambria" w:hAnsi="Cambria"/>
          <w:i/>
          <w:sz w:val="16"/>
        </w:rPr>
        <w:t xml:space="preserve"> v. </w:t>
      </w:r>
      <w:r>
        <w:rPr>
          <w:rFonts w:ascii="Cambria" w:hAnsi="Cambria"/>
          <w:sz w:val="16"/>
        </w:rPr>
        <w:t>Paraguay.</w:t>
      </w:r>
      <w:proofErr w:type="gramEnd"/>
      <w:r>
        <w:rPr>
          <w:rFonts w:ascii="Cambria" w:hAnsi="Cambria"/>
          <w:sz w:val="16"/>
        </w:rPr>
        <w:t xml:space="preserve"> Judgment of August 31, 2004. </w:t>
      </w:r>
      <w:proofErr w:type="gramStart"/>
      <w:r>
        <w:rPr>
          <w:rFonts w:ascii="Cambria" w:hAnsi="Cambria"/>
          <w:sz w:val="16"/>
        </w:rPr>
        <w:t>Series C No. 111, par. 142.</w:t>
      </w:r>
      <w:proofErr w:type="gramEnd"/>
    </w:p>
  </w:footnote>
  <w:footnote w:id="134">
    <w:p w:rsidR="006B32D3" w:rsidRPr="00457A71" w:rsidRDefault="006B32D3" w:rsidP="006B32D3">
      <w:pPr>
        <w:pStyle w:val="FootnoteText"/>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 xml:space="preserve">I/A Court HR. </w:t>
      </w:r>
      <w:r>
        <w:rPr>
          <w:rFonts w:ascii="Cambria" w:hAnsi="Cambria"/>
          <w:i/>
          <w:sz w:val="16"/>
        </w:rPr>
        <w:t xml:space="preserve">Case of López </w:t>
      </w:r>
      <w:proofErr w:type="spellStart"/>
      <w:r>
        <w:rPr>
          <w:rFonts w:ascii="Cambria" w:hAnsi="Cambria"/>
          <w:i/>
          <w:sz w:val="16"/>
        </w:rPr>
        <w:t>Álvarez</w:t>
      </w:r>
      <w:proofErr w:type="spellEnd"/>
      <w:r>
        <w:rPr>
          <w:rFonts w:ascii="Cambria" w:hAnsi="Cambria"/>
          <w:i/>
          <w:sz w:val="16"/>
        </w:rPr>
        <w:t xml:space="preserve"> v. Honduras.</w:t>
      </w:r>
      <w:proofErr w:type="gramEnd"/>
      <w:r>
        <w:rPr>
          <w:rFonts w:ascii="Cambria" w:hAnsi="Cambria"/>
          <w:sz w:val="16"/>
        </w:rPr>
        <w:t xml:space="preserve"> Judgment of February 01, 2006. </w:t>
      </w:r>
      <w:proofErr w:type="gramStart"/>
      <w:r>
        <w:rPr>
          <w:rFonts w:ascii="Cambria" w:hAnsi="Cambria"/>
          <w:sz w:val="16"/>
        </w:rPr>
        <w:t>Series C No. 141, par. 129.</w:t>
      </w:r>
      <w:proofErr w:type="gramEnd"/>
    </w:p>
  </w:footnote>
  <w:footnote w:id="135">
    <w:p w:rsidR="006B32D3" w:rsidRPr="00457A71" w:rsidRDefault="006B32D3" w:rsidP="006B32D3">
      <w:pPr>
        <w:pStyle w:val="FootnoteText"/>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 xml:space="preserve">I/A Court HR. </w:t>
      </w:r>
      <w:r>
        <w:rPr>
          <w:rFonts w:ascii="Cambria" w:hAnsi="Cambria"/>
          <w:i/>
          <w:sz w:val="16"/>
          <w:shd w:val="clear" w:color="auto" w:fill="FFFFFF"/>
        </w:rPr>
        <w:t>Case of the Massacre of Santo Domingo v. Colombia.</w:t>
      </w:r>
      <w:proofErr w:type="gramEnd"/>
      <w:r>
        <w:rPr>
          <w:rFonts w:ascii="Cambria" w:hAnsi="Cambria"/>
          <w:sz w:val="16"/>
        </w:rPr>
        <w:t xml:space="preserve"> </w:t>
      </w:r>
      <w:proofErr w:type="gramStart"/>
      <w:r>
        <w:rPr>
          <w:rFonts w:ascii="Cambria" w:hAnsi="Cambria"/>
          <w:sz w:val="16"/>
        </w:rPr>
        <w:t>Preliminary Objections, Merits and Reparations.</w:t>
      </w:r>
      <w:proofErr w:type="gramEnd"/>
      <w:r>
        <w:rPr>
          <w:rFonts w:ascii="Cambria" w:hAnsi="Cambria"/>
          <w:sz w:val="16"/>
        </w:rPr>
        <w:t xml:space="preserve"> Judgment of November 30, 2012. </w:t>
      </w:r>
      <w:proofErr w:type="gramStart"/>
      <w:r>
        <w:rPr>
          <w:rFonts w:ascii="Cambria" w:hAnsi="Cambria"/>
          <w:sz w:val="16"/>
        </w:rPr>
        <w:t>Series C No. 259, par. 164.</w:t>
      </w:r>
      <w:proofErr w:type="gramEnd"/>
    </w:p>
  </w:footnote>
  <w:footnote w:id="136">
    <w:p w:rsidR="006B32D3" w:rsidRPr="00457A71" w:rsidRDefault="006B32D3" w:rsidP="006B32D3">
      <w:pPr>
        <w:tabs>
          <w:tab w:val="left" w:pos="900"/>
          <w:tab w:val="left" w:pos="1080"/>
        </w:tabs>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IACHR.</w:t>
      </w:r>
      <w:proofErr w:type="gramEnd"/>
      <w:r>
        <w:rPr>
          <w:rFonts w:ascii="Cambria" w:hAnsi="Cambria"/>
          <w:sz w:val="16"/>
        </w:rPr>
        <w:t xml:space="preserve"> Report No. 11/10. </w:t>
      </w:r>
      <w:proofErr w:type="gramStart"/>
      <w:r>
        <w:rPr>
          <w:rFonts w:ascii="Cambria" w:hAnsi="Cambria"/>
          <w:sz w:val="16"/>
        </w:rPr>
        <w:t>Case 12.488.</w:t>
      </w:r>
      <w:proofErr w:type="gramEnd"/>
      <w:r>
        <w:rPr>
          <w:rFonts w:ascii="Cambria" w:hAnsi="Cambria"/>
          <w:sz w:val="16"/>
        </w:rPr>
        <w:t xml:space="preserve"> </w:t>
      </w:r>
      <w:proofErr w:type="gramStart"/>
      <w:r>
        <w:rPr>
          <w:rFonts w:ascii="Cambria" w:hAnsi="Cambria"/>
          <w:sz w:val="16"/>
        </w:rPr>
        <w:t>Merits.</w:t>
      </w:r>
      <w:proofErr w:type="gramEnd"/>
      <w:r>
        <w:rPr>
          <w:rFonts w:ascii="Cambria" w:hAnsi="Cambria"/>
          <w:sz w:val="16"/>
        </w:rPr>
        <w:t xml:space="preserve"> </w:t>
      </w:r>
      <w:proofErr w:type="gramStart"/>
      <w:r>
        <w:rPr>
          <w:rFonts w:ascii="Cambria" w:hAnsi="Cambria"/>
          <w:sz w:val="16"/>
        </w:rPr>
        <w:t>Member of the Barrios family.</w:t>
      </w:r>
      <w:proofErr w:type="gramEnd"/>
      <w:r>
        <w:rPr>
          <w:rFonts w:ascii="Cambria" w:hAnsi="Cambria"/>
          <w:sz w:val="16"/>
        </w:rPr>
        <w:t xml:space="preserve"> Venezuela. March 16, 2010. 91. IACHR. Report on Terrorism and Human Rights. </w:t>
      </w:r>
      <w:proofErr w:type="gramStart"/>
      <w:r>
        <w:rPr>
          <w:rFonts w:ascii="Cambria" w:hAnsi="Cambria"/>
          <w:sz w:val="16"/>
        </w:rPr>
        <w:t xml:space="preserve">par. 227; I/A Court H.R. </w:t>
      </w:r>
      <w:r>
        <w:rPr>
          <w:rFonts w:ascii="Cambria" w:hAnsi="Cambria"/>
          <w:i/>
          <w:sz w:val="16"/>
        </w:rPr>
        <w:t xml:space="preserve">Case of </w:t>
      </w:r>
      <w:proofErr w:type="spellStart"/>
      <w:r>
        <w:rPr>
          <w:rFonts w:ascii="Cambria" w:hAnsi="Cambria"/>
          <w:i/>
          <w:sz w:val="16"/>
        </w:rPr>
        <w:t>Cantoral</w:t>
      </w:r>
      <w:proofErr w:type="spellEnd"/>
      <w:r>
        <w:rPr>
          <w:rFonts w:ascii="Cambria" w:hAnsi="Cambria"/>
          <w:i/>
          <w:sz w:val="16"/>
        </w:rPr>
        <w:t xml:space="preserve"> </w:t>
      </w:r>
      <w:proofErr w:type="spellStart"/>
      <w:r>
        <w:rPr>
          <w:rFonts w:ascii="Cambria" w:hAnsi="Cambria"/>
          <w:i/>
          <w:sz w:val="16"/>
        </w:rPr>
        <w:t>Huamaní</w:t>
      </w:r>
      <w:proofErr w:type="spellEnd"/>
      <w:r>
        <w:rPr>
          <w:rFonts w:ascii="Cambria" w:hAnsi="Cambria"/>
          <w:i/>
          <w:sz w:val="16"/>
        </w:rPr>
        <w:t xml:space="preserve"> and </w:t>
      </w:r>
      <w:proofErr w:type="spellStart"/>
      <w:r>
        <w:rPr>
          <w:rFonts w:ascii="Cambria" w:hAnsi="Cambria"/>
          <w:i/>
          <w:sz w:val="16"/>
        </w:rPr>
        <w:t>García</w:t>
      </w:r>
      <w:proofErr w:type="spellEnd"/>
      <w:r>
        <w:rPr>
          <w:rFonts w:ascii="Cambria" w:hAnsi="Cambria"/>
          <w:i/>
          <w:sz w:val="16"/>
        </w:rPr>
        <w:t xml:space="preserve"> Santa Cruz v. </w:t>
      </w:r>
      <w:r>
        <w:rPr>
          <w:rFonts w:ascii="Cambria" w:hAnsi="Cambria"/>
          <w:sz w:val="16"/>
        </w:rPr>
        <w:t>Peru.</w:t>
      </w:r>
      <w:proofErr w:type="gramEnd"/>
      <w:r>
        <w:rPr>
          <w:rFonts w:ascii="Cambria" w:hAnsi="Cambria"/>
          <w:sz w:val="16"/>
        </w:rPr>
        <w:t xml:space="preserve"> </w:t>
      </w:r>
      <w:proofErr w:type="gramStart"/>
      <w:r>
        <w:rPr>
          <w:rFonts w:ascii="Cambria" w:hAnsi="Cambria"/>
          <w:sz w:val="16"/>
        </w:rPr>
        <w:t>Preliminary Objection, Merits, Reparations and Costs.</w:t>
      </w:r>
      <w:proofErr w:type="gramEnd"/>
      <w:r>
        <w:rPr>
          <w:rFonts w:ascii="Cambria" w:hAnsi="Cambria"/>
          <w:sz w:val="16"/>
        </w:rPr>
        <w:t xml:space="preserve"> Judgment of July 10, 2007. </w:t>
      </w:r>
      <w:proofErr w:type="gramStart"/>
      <w:r>
        <w:rPr>
          <w:rFonts w:ascii="Cambria" w:hAnsi="Cambria"/>
          <w:sz w:val="16"/>
        </w:rPr>
        <w:t xml:space="preserve">Series C No. 167, par. 112; and </w:t>
      </w:r>
      <w:r>
        <w:rPr>
          <w:rFonts w:ascii="Cambria" w:hAnsi="Cambria"/>
          <w:i/>
          <w:sz w:val="16"/>
        </w:rPr>
        <w:t xml:space="preserve">Case of Bueno-Alves v. </w:t>
      </w:r>
      <w:r>
        <w:rPr>
          <w:rFonts w:ascii="Cambria" w:hAnsi="Cambria"/>
          <w:sz w:val="16"/>
        </w:rPr>
        <w:t>Argentina.</w:t>
      </w:r>
      <w:proofErr w:type="gramEnd"/>
      <w:r>
        <w:rPr>
          <w:rFonts w:ascii="Cambria" w:hAnsi="Cambria"/>
          <w:sz w:val="16"/>
        </w:rPr>
        <w:t xml:space="preserve"> </w:t>
      </w:r>
      <w:proofErr w:type="gramStart"/>
      <w:r>
        <w:rPr>
          <w:rFonts w:ascii="Cambria" w:hAnsi="Cambria"/>
          <w:sz w:val="16"/>
        </w:rPr>
        <w:t>Merits, Reparations, and Costs.</w:t>
      </w:r>
      <w:proofErr w:type="gramEnd"/>
      <w:r>
        <w:rPr>
          <w:rFonts w:ascii="Cambria" w:hAnsi="Cambria"/>
          <w:sz w:val="16"/>
        </w:rPr>
        <w:t xml:space="preserve"> Judgment of May 11, 2007. Series C. No. 164, par: 102. </w:t>
      </w:r>
    </w:p>
  </w:footnote>
  <w:footnote w:id="137">
    <w:p w:rsidR="006B32D3" w:rsidRPr="00457A71" w:rsidRDefault="006B32D3" w:rsidP="006B32D3">
      <w:pPr>
        <w:tabs>
          <w:tab w:val="left" w:pos="1080"/>
        </w:tabs>
        <w:spacing w:after="120"/>
        <w:ind w:firstLine="720"/>
        <w:jc w:val="both"/>
        <w:rPr>
          <w:rFonts w:ascii="Cambria" w:hAnsi="Cambria"/>
          <w:sz w:val="16"/>
          <w:szCs w:val="16"/>
        </w:rPr>
      </w:pPr>
      <w:r>
        <w:rPr>
          <w:rStyle w:val="FootnoteReference"/>
          <w:rFonts w:ascii="Cambria" w:hAnsi="Cambria"/>
          <w:sz w:val="16"/>
        </w:rPr>
        <w:footnoteRef/>
      </w:r>
      <w:r>
        <w:rPr>
          <w:rFonts w:ascii="Cambria" w:hAnsi="Cambria"/>
          <w:sz w:val="16"/>
        </w:rPr>
        <w:t xml:space="preserve"> </w:t>
      </w:r>
      <w:proofErr w:type="gramStart"/>
      <w:r>
        <w:rPr>
          <w:rFonts w:ascii="Cambria" w:hAnsi="Cambria"/>
          <w:sz w:val="16"/>
        </w:rPr>
        <w:t xml:space="preserve">I/A Court HR. </w:t>
      </w:r>
      <w:r>
        <w:rPr>
          <w:rFonts w:ascii="Cambria" w:hAnsi="Cambria"/>
          <w:i/>
          <w:sz w:val="16"/>
        </w:rPr>
        <w:t>Case of Vargas-</w:t>
      </w:r>
      <w:proofErr w:type="spellStart"/>
      <w:r>
        <w:rPr>
          <w:rFonts w:ascii="Cambria" w:hAnsi="Cambria"/>
          <w:i/>
          <w:sz w:val="16"/>
        </w:rPr>
        <w:t>Areco</w:t>
      </w:r>
      <w:proofErr w:type="spellEnd"/>
      <w:r>
        <w:rPr>
          <w:rFonts w:ascii="Cambria" w:hAnsi="Cambria"/>
          <w:i/>
          <w:sz w:val="16"/>
        </w:rPr>
        <w:t xml:space="preserve"> v. </w:t>
      </w:r>
      <w:r>
        <w:rPr>
          <w:rFonts w:ascii="Cambria" w:hAnsi="Cambria"/>
          <w:sz w:val="16"/>
        </w:rPr>
        <w:t>Paraguay.</w:t>
      </w:r>
      <w:proofErr w:type="gramEnd"/>
      <w:r>
        <w:rPr>
          <w:rFonts w:ascii="Cambria" w:hAnsi="Cambria"/>
          <w:sz w:val="16"/>
        </w:rPr>
        <w:t xml:space="preserve"> Judgment of September 26, 2006. </w:t>
      </w:r>
      <w:proofErr w:type="gramStart"/>
      <w:r>
        <w:rPr>
          <w:rFonts w:ascii="Cambria" w:hAnsi="Cambria"/>
          <w:sz w:val="16"/>
        </w:rPr>
        <w:t>Series C No. 155, par. 96.</w:t>
      </w:r>
      <w:proofErr w:type="gramEnd"/>
    </w:p>
  </w:footnote>
  <w:footnote w:id="138">
    <w:p w:rsidR="006B32D3" w:rsidRPr="00D02E8E" w:rsidRDefault="006B32D3" w:rsidP="006B32D3">
      <w:pPr>
        <w:pStyle w:val="FootnoteText"/>
        <w:spacing w:after="120"/>
        <w:ind w:firstLine="720"/>
        <w:jc w:val="both"/>
        <w:rPr>
          <w:rFonts w:ascii="Cambria" w:hAnsi="Cambria"/>
          <w:color w:val="auto"/>
          <w:sz w:val="16"/>
          <w:szCs w:val="16"/>
        </w:rPr>
      </w:pPr>
      <w:r>
        <w:rPr>
          <w:rStyle w:val="FootnoteReference"/>
          <w:rFonts w:ascii="Cambria" w:hAnsi="Cambria"/>
          <w:color w:val="auto"/>
          <w:sz w:val="16"/>
        </w:rPr>
        <w:footnoteRef/>
      </w:r>
      <w:r>
        <w:rPr>
          <w:rFonts w:ascii="Cambria" w:hAnsi="Cambria"/>
          <w:color w:val="auto"/>
          <w:sz w:val="16"/>
        </w:rPr>
        <w:t xml:space="preserve"> </w:t>
      </w:r>
      <w:proofErr w:type="gramStart"/>
      <w:r>
        <w:rPr>
          <w:rFonts w:ascii="Cambria" w:hAnsi="Cambria"/>
          <w:color w:val="auto"/>
          <w:sz w:val="16"/>
        </w:rPr>
        <w:t xml:space="preserve">I/A Court HR. </w:t>
      </w:r>
      <w:r>
        <w:rPr>
          <w:rFonts w:ascii="Cambria" w:hAnsi="Cambria"/>
          <w:i/>
          <w:color w:val="auto"/>
          <w:sz w:val="16"/>
        </w:rPr>
        <w:t xml:space="preserve">Case of the </w:t>
      </w:r>
      <w:proofErr w:type="spellStart"/>
      <w:r>
        <w:rPr>
          <w:rFonts w:ascii="Cambria" w:hAnsi="Cambria"/>
          <w:i/>
          <w:color w:val="auto"/>
          <w:sz w:val="16"/>
        </w:rPr>
        <w:t>Rochela</w:t>
      </w:r>
      <w:proofErr w:type="spellEnd"/>
      <w:r>
        <w:rPr>
          <w:rFonts w:ascii="Cambria" w:hAnsi="Cambria"/>
          <w:i/>
          <w:color w:val="auto"/>
          <w:sz w:val="16"/>
        </w:rPr>
        <w:t xml:space="preserve"> Massacre v. Colombia.</w:t>
      </w:r>
      <w:proofErr w:type="gramEnd"/>
      <w:r>
        <w:rPr>
          <w:rFonts w:ascii="Cambria" w:hAnsi="Cambria"/>
          <w:color w:val="auto"/>
          <w:sz w:val="16"/>
        </w:rPr>
        <w:t xml:space="preserve"> </w:t>
      </w:r>
      <w:proofErr w:type="gramStart"/>
      <w:r>
        <w:rPr>
          <w:rFonts w:ascii="Cambria" w:hAnsi="Cambria"/>
          <w:color w:val="auto"/>
          <w:sz w:val="16"/>
        </w:rPr>
        <w:t>Merits, Reparations, and Costs.</w:t>
      </w:r>
      <w:proofErr w:type="gramEnd"/>
      <w:r>
        <w:rPr>
          <w:rFonts w:ascii="Cambria" w:hAnsi="Cambria"/>
          <w:color w:val="auto"/>
          <w:sz w:val="16"/>
        </w:rPr>
        <w:t xml:space="preserve"> </w:t>
      </w:r>
      <w:proofErr w:type="gramStart"/>
      <w:r>
        <w:rPr>
          <w:rFonts w:ascii="Cambria" w:hAnsi="Cambria"/>
          <w:color w:val="auto"/>
          <w:sz w:val="16"/>
        </w:rPr>
        <w:t>Judgment of May 11, 2007, Series C No. 163, par. 195.</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2D3" w:rsidRDefault="006B32D3"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6B32D3" w:rsidRDefault="006B32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2D3" w:rsidRDefault="00A37F3B" w:rsidP="002C1641">
    <w:pPr>
      <w:pStyle w:val="Header"/>
      <w:tabs>
        <w:tab w:val="clear" w:pos="4320"/>
        <w:tab w:val="clear" w:pos="8640"/>
      </w:tabs>
      <w:jc w:val="center"/>
      <w:rPr>
        <w:sz w:val="22"/>
        <w:szCs w:val="22"/>
      </w:rPr>
    </w:pPr>
    <w:r>
      <w:rPr>
        <w:noProof/>
        <w:sz w:val="22"/>
        <w:szCs w:val="22"/>
        <w:lang w:val="es-ES" w:eastAsia="es-ES" w:bidi="ar-SA"/>
      </w:rPr>
      <w:drawing>
        <wp:inline distT="0" distB="0" distL="0" distR="0">
          <wp:extent cx="2209165" cy="116840"/>
          <wp:effectExtent l="0" t="0" r="635" b="0"/>
          <wp:docPr id="5" name="Picture 21" descr="iachr-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achr-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165" cy="116840"/>
                  </a:xfrm>
                  <a:prstGeom prst="rect">
                    <a:avLst/>
                  </a:prstGeom>
                  <a:noFill/>
                  <a:ln>
                    <a:noFill/>
                  </a:ln>
                </pic:spPr>
              </pic:pic>
            </a:graphicData>
          </a:graphic>
        </wp:inline>
      </w:drawing>
    </w:r>
  </w:p>
  <w:p w:rsidR="006B32D3" w:rsidRPr="00EC7D62" w:rsidRDefault="00457A71" w:rsidP="002C1641">
    <w:pPr>
      <w:pStyle w:val="Header"/>
      <w:tabs>
        <w:tab w:val="clear" w:pos="4320"/>
        <w:tab w:val="clear" w:pos="8640"/>
      </w:tabs>
      <w:jc w:val="center"/>
      <w:rPr>
        <w:sz w:val="22"/>
        <w:szCs w:val="22"/>
      </w:rPr>
    </w:pPr>
    <w:r>
      <w:rPr>
        <w:sz w:val="22"/>
        <w:szCs w:val="22"/>
      </w:rPr>
      <w:pict>
        <v:rect id="_x0000_i1030"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FE0" w:rsidRDefault="009A3FE0" w:rsidP="0089339B">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9A3FE0" w:rsidRDefault="009A3FE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FE0" w:rsidRDefault="00A37F3B" w:rsidP="00A50FCF">
    <w:pPr>
      <w:pStyle w:val="Header"/>
      <w:tabs>
        <w:tab w:val="clear" w:pos="4320"/>
        <w:tab w:val="clear" w:pos="8640"/>
      </w:tabs>
      <w:jc w:val="center"/>
      <w:rPr>
        <w:sz w:val="22"/>
        <w:szCs w:val="22"/>
      </w:rPr>
    </w:pPr>
    <w:r>
      <w:rPr>
        <w:noProof/>
        <w:sz w:val="22"/>
        <w:szCs w:val="22"/>
        <w:lang w:val="es-ES" w:eastAsia="es-ES" w:bidi="ar-SA"/>
      </w:rPr>
      <w:drawing>
        <wp:inline distT="0" distB="0" distL="0" distR="0">
          <wp:extent cx="2209165" cy="116840"/>
          <wp:effectExtent l="0" t="0" r="635" b="0"/>
          <wp:docPr id="7" name="Picture 7" descr="iachr-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achr-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165" cy="116840"/>
                  </a:xfrm>
                  <a:prstGeom prst="rect">
                    <a:avLst/>
                  </a:prstGeom>
                  <a:noFill/>
                  <a:ln>
                    <a:noFill/>
                  </a:ln>
                </pic:spPr>
              </pic:pic>
            </a:graphicData>
          </a:graphic>
        </wp:inline>
      </w:drawing>
    </w:r>
  </w:p>
  <w:p w:rsidR="009A3FE0" w:rsidRPr="00EC7D62" w:rsidRDefault="00457A71" w:rsidP="00A50FCF">
    <w:pPr>
      <w:pStyle w:val="Header"/>
      <w:tabs>
        <w:tab w:val="clear" w:pos="4320"/>
        <w:tab w:val="clear" w:pos="8640"/>
      </w:tabs>
      <w:jc w:val="center"/>
      <w:rPr>
        <w:sz w:val="22"/>
        <w:szCs w:val="22"/>
      </w:rPr>
    </w:pPr>
    <w:r>
      <w:rPr>
        <w:sz w:val="22"/>
        <w:szCs w:val="22"/>
      </w:rPr>
      <w:pict>
        <v:rect id="_x0000_i1032"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4CC1BE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10DE4925"/>
    <w:multiLevelType w:val="hybridMultilevel"/>
    <w:tmpl w:val="C0A2790A"/>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574320E"/>
    <w:multiLevelType w:val="hybridMultilevel"/>
    <w:tmpl w:val="0F2EA5B8"/>
    <w:lvl w:ilvl="0" w:tplc="6ACCA896">
      <w:start w:val="2"/>
      <w:numFmt w:val="decimal"/>
      <w:lvlText w:val="%1."/>
      <w:lvlJc w:val="left"/>
      <w:pPr>
        <w:tabs>
          <w:tab w:val="num" w:pos="2880"/>
        </w:tabs>
        <w:ind w:left="2880" w:hanging="360"/>
      </w:pPr>
      <w:rPr>
        <w:rFonts w:ascii="Cambria" w:hAnsi="Cambria"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050020"/>
    <w:multiLevelType w:val="hybridMultilevel"/>
    <w:tmpl w:val="1B3290F6"/>
    <w:lvl w:ilvl="0" w:tplc="9E98C24A">
      <w:start w:val="1"/>
      <w:numFmt w:val="decimal"/>
      <w:lvlText w:val="%1."/>
      <w:lvlJc w:val="left"/>
      <w:pPr>
        <w:tabs>
          <w:tab w:val="num" w:pos="1429"/>
        </w:tabs>
        <w:ind w:firstLine="720"/>
      </w:pPr>
      <w:rPr>
        <w:rFonts w:ascii="Cambria" w:hAnsi="Cambria" w:cs="Times New Roman" w:hint="default"/>
        <w:b w:val="0"/>
        <w:i w:val="0"/>
        <w:sz w:val="20"/>
        <w:szCs w:val="20"/>
        <w:lang w:val="es-PE"/>
      </w:rPr>
    </w:lvl>
    <w:lvl w:ilvl="1" w:tplc="04090019">
      <w:start w:val="1"/>
      <w:numFmt w:val="lowerLetter"/>
      <w:lvlText w:val="%2."/>
      <w:lvlJc w:val="left"/>
      <w:pPr>
        <w:tabs>
          <w:tab w:val="num" w:pos="1440"/>
        </w:tabs>
        <w:ind w:left="1440" w:hanging="360"/>
      </w:pPr>
      <w:rPr>
        <w:rFonts w:cs="Times New Roman"/>
      </w:rPr>
    </w:lvl>
    <w:lvl w:ilvl="2" w:tplc="C66EDE0C">
      <w:start w:val="3"/>
      <w:numFmt w:val="upperRoman"/>
      <w:lvlText w:val="%3."/>
      <w:lvlJc w:val="left"/>
      <w:pPr>
        <w:tabs>
          <w:tab w:val="num" w:pos="2700"/>
        </w:tabs>
        <w:ind w:left="2700" w:hanging="720"/>
      </w:pPr>
      <w:rPr>
        <w:rFonts w:cs="Times New Roman" w:hint="default"/>
      </w:rPr>
    </w:lvl>
    <w:lvl w:ilvl="3" w:tplc="976A6A1E">
      <w:start w:val="1"/>
      <w:numFmt w:val="decimal"/>
      <w:lvlText w:val="%4."/>
      <w:lvlJc w:val="left"/>
      <w:pPr>
        <w:tabs>
          <w:tab w:val="num" w:pos="2880"/>
        </w:tabs>
        <w:ind w:left="2880" w:hanging="360"/>
      </w:pPr>
      <w:rPr>
        <w:rFonts w:ascii="Cambria" w:hAnsi="Cambria" w:hint="default"/>
        <w:b/>
        <w:i w:val="0"/>
        <w:sz w:val="20"/>
        <w:szCs w:val="20"/>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E7E108A"/>
    <w:multiLevelType w:val="hybridMultilevel"/>
    <w:tmpl w:val="DA2C6C14"/>
    <w:lvl w:ilvl="0" w:tplc="94B670EA">
      <w:start w:val="1"/>
      <w:numFmt w:val="upperLetter"/>
      <w:lvlText w:val="%1."/>
      <w:lvlJc w:val="left"/>
      <w:pPr>
        <w:ind w:left="3600" w:hanging="360"/>
      </w:pPr>
      <w:rPr>
        <w:rFonts w:ascii="Cambria" w:hAnsi="Cambria" w:hint="default"/>
        <w:b/>
        <w:color w:val="auto"/>
        <w:sz w:val="20"/>
        <w:szCs w:val="2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3">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nsid w:val="1F3979AB"/>
    <w:multiLevelType w:val="hybridMultilevel"/>
    <w:tmpl w:val="68F03888"/>
    <w:lvl w:ilvl="0" w:tplc="300E081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nsid w:val="3E063A69"/>
    <w:multiLevelType w:val="hybridMultilevel"/>
    <w:tmpl w:val="3A7C3A3E"/>
    <w:lvl w:ilvl="0" w:tplc="08ECA122">
      <w:start w:val="8"/>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3F13EE8"/>
    <w:multiLevelType w:val="hybridMultilevel"/>
    <w:tmpl w:val="78BC45F8"/>
    <w:lvl w:ilvl="0" w:tplc="73E4764C">
      <w:start w:val="1"/>
      <w:numFmt w:val="upperLetter"/>
      <w:lvlText w:val="%1."/>
      <w:lvlJc w:val="left"/>
      <w:pPr>
        <w:tabs>
          <w:tab w:val="num" w:pos="1440"/>
        </w:tabs>
        <w:ind w:left="1440" w:hanging="720"/>
      </w:pPr>
      <w:rPr>
        <w:rFonts w:hint="default"/>
      </w:rPr>
    </w:lvl>
    <w:lvl w:ilvl="1" w:tplc="04090003">
      <w:start w:val="1"/>
      <w:numFmt w:val="decimal"/>
      <w:lvlText w:val="%2."/>
      <w:lvlJc w:val="left"/>
      <w:pPr>
        <w:tabs>
          <w:tab w:val="num" w:pos="1860"/>
        </w:tabs>
        <w:ind w:left="1860" w:hanging="420"/>
      </w:pPr>
      <w:rPr>
        <w:rFonts w:hint="default"/>
      </w:rPr>
    </w:lvl>
    <w:lvl w:ilvl="2" w:tplc="04090005">
      <w:start w:val="2"/>
      <w:numFmt w:val="lowerLetter"/>
      <w:lvlText w:val="%3."/>
      <w:lvlJc w:val="left"/>
      <w:pPr>
        <w:tabs>
          <w:tab w:val="num" w:pos="3060"/>
        </w:tabs>
        <w:ind w:left="3060" w:hanging="720"/>
      </w:pPr>
      <w:rPr>
        <w:rFonts w:hint="default"/>
      </w:r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37">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57727599"/>
    <w:multiLevelType w:val="hybridMultilevel"/>
    <w:tmpl w:val="4B1E4F2E"/>
    <w:lvl w:ilvl="0" w:tplc="20A2291C">
      <w:start w:val="1"/>
      <w:numFmt w:val="decimal"/>
      <w:pStyle w:val="PrrafodeSentencia"/>
      <w:lvlText w:val="%1."/>
      <w:lvlJc w:val="left"/>
      <w:pPr>
        <w:ind w:left="360" w:hanging="360"/>
      </w:pPr>
      <w:rPr>
        <w:rFonts w:ascii="Verdana" w:eastAsia="Times New Roman" w:hAnsi="Verdana" w:cs="Times New Roman" w:hint="default"/>
        <w:b w:val="0"/>
        <w:i w:val="0"/>
        <w:color w:val="auto"/>
        <w:w w:val="100"/>
        <w:sz w:val="20"/>
        <w:szCs w:val="20"/>
        <w:lang w:val="es-ES_tradnl"/>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8">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nsid w:val="5BD4289F"/>
    <w:multiLevelType w:val="hybridMultilevel"/>
    <w:tmpl w:val="628871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0786ED7"/>
    <w:multiLevelType w:val="hybridMultilevel"/>
    <w:tmpl w:val="37564B64"/>
    <w:lvl w:ilvl="0" w:tplc="B644D75E">
      <w:start w:val="1"/>
      <w:numFmt w:val="upperRoman"/>
      <w:pStyle w:val="Heading1"/>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8"/>
  </w:num>
  <w:num w:numId="4">
    <w:abstractNumId w:val="25"/>
  </w:num>
  <w:num w:numId="5">
    <w:abstractNumId w:val="52"/>
  </w:num>
  <w:num w:numId="6">
    <w:abstractNumId w:val="30"/>
  </w:num>
  <w:num w:numId="7">
    <w:abstractNumId w:val="9"/>
  </w:num>
  <w:num w:numId="8">
    <w:abstractNumId w:val="21"/>
  </w:num>
  <w:num w:numId="9">
    <w:abstractNumId w:val="46"/>
  </w:num>
  <w:num w:numId="10">
    <w:abstractNumId w:val="1"/>
  </w:num>
  <w:num w:numId="11">
    <w:abstractNumId w:val="41"/>
  </w:num>
  <w:num w:numId="12">
    <w:abstractNumId w:val="42"/>
  </w:num>
  <w:num w:numId="13">
    <w:abstractNumId w:val="48"/>
  </w:num>
  <w:num w:numId="14">
    <w:abstractNumId w:val="2"/>
  </w:num>
  <w:num w:numId="15">
    <w:abstractNumId w:val="3"/>
  </w:num>
  <w:num w:numId="16">
    <w:abstractNumId w:val="10"/>
  </w:num>
  <w:num w:numId="17">
    <w:abstractNumId w:val="11"/>
  </w:num>
  <w:num w:numId="18">
    <w:abstractNumId w:val="13"/>
  </w:num>
  <w:num w:numId="19">
    <w:abstractNumId w:val="14"/>
  </w:num>
  <w:num w:numId="20">
    <w:abstractNumId w:val="16"/>
  </w:num>
  <w:num w:numId="21">
    <w:abstractNumId w:val="17"/>
  </w:num>
  <w:num w:numId="22">
    <w:abstractNumId w:val="18"/>
  </w:num>
  <w:num w:numId="23">
    <w:abstractNumId w:val="19"/>
  </w:num>
  <w:num w:numId="24">
    <w:abstractNumId w:val="20"/>
  </w:num>
  <w:num w:numId="25">
    <w:abstractNumId w:val="22"/>
  </w:num>
  <w:num w:numId="26">
    <w:abstractNumId w:val="23"/>
  </w:num>
  <w:num w:numId="27">
    <w:abstractNumId w:val="26"/>
  </w:num>
  <w:num w:numId="28">
    <w:abstractNumId w:val="27"/>
  </w:num>
  <w:num w:numId="29">
    <w:abstractNumId w:val="28"/>
  </w:num>
  <w:num w:numId="30">
    <w:abstractNumId w:val="29"/>
  </w:num>
  <w:num w:numId="31">
    <w:abstractNumId w:val="31"/>
  </w:num>
  <w:num w:numId="32">
    <w:abstractNumId w:val="33"/>
  </w:num>
  <w:num w:numId="33">
    <w:abstractNumId w:val="34"/>
  </w:num>
  <w:num w:numId="34">
    <w:abstractNumId w:val="35"/>
  </w:num>
  <w:num w:numId="35">
    <w:abstractNumId w:val="37"/>
  </w:num>
  <w:num w:numId="36">
    <w:abstractNumId w:val="38"/>
  </w:num>
  <w:num w:numId="37">
    <w:abstractNumId w:val="39"/>
  </w:num>
  <w:num w:numId="38">
    <w:abstractNumId w:val="40"/>
  </w:num>
  <w:num w:numId="39">
    <w:abstractNumId w:val="43"/>
  </w:num>
  <w:num w:numId="40">
    <w:abstractNumId w:val="44"/>
  </w:num>
  <w:num w:numId="41">
    <w:abstractNumId w:val="51"/>
  </w:num>
  <w:num w:numId="42">
    <w:abstractNumId w:val="53"/>
  </w:num>
  <w:num w:numId="43">
    <w:abstractNumId w:val="54"/>
  </w:num>
  <w:num w:numId="44">
    <w:abstractNumId w:val="56"/>
  </w:num>
  <w:num w:numId="45">
    <w:abstractNumId w:val="57"/>
  </w:num>
  <w:num w:numId="46">
    <w:abstractNumId w:val="59"/>
  </w:num>
  <w:num w:numId="47">
    <w:abstractNumId w:val="60"/>
  </w:num>
  <w:num w:numId="48">
    <w:abstractNumId w:val="61"/>
  </w:num>
  <w:num w:numId="49">
    <w:abstractNumId w:val="62"/>
  </w:num>
  <w:num w:numId="50">
    <w:abstractNumId w:val="63"/>
  </w:num>
  <w:num w:numId="51">
    <w:abstractNumId w:val="24"/>
  </w:num>
  <w:num w:numId="52">
    <w:abstractNumId w:val="45"/>
  </w:num>
  <w:num w:numId="53">
    <w:abstractNumId w:val="55"/>
  </w:num>
  <w:num w:numId="54">
    <w:abstractNumId w:val="50"/>
  </w:num>
  <w:num w:numId="55">
    <w:abstractNumId w:val="8"/>
  </w:num>
  <w:num w:numId="56">
    <w:abstractNumId w:val="15"/>
  </w:num>
  <w:num w:numId="57">
    <w:abstractNumId w:val="12"/>
  </w:num>
  <w:num w:numId="58">
    <w:abstractNumId w:val="5"/>
  </w:num>
  <w:num w:numId="59">
    <w:abstractNumId w:val="49"/>
  </w:num>
  <w:num w:numId="60">
    <w:abstractNumId w:val="36"/>
  </w:num>
  <w:num w:numId="61">
    <w:abstractNumId w:val="0"/>
  </w:num>
  <w:num w:numId="62">
    <w:abstractNumId w:val="47"/>
  </w:num>
  <w:num w:numId="63">
    <w:abstractNumId w:val="7"/>
  </w:num>
  <w:num w:numId="64">
    <w:abstractNumId w:val="3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hdrShapeDefaults>
    <o:shapedefaults v:ext="edit" spidmax="4101"/>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6E1F"/>
    <w:rsid w:val="000070D7"/>
    <w:rsid w:val="00007828"/>
    <w:rsid w:val="00007D4C"/>
    <w:rsid w:val="000166C8"/>
    <w:rsid w:val="00016C80"/>
    <w:rsid w:val="0001788C"/>
    <w:rsid w:val="00020808"/>
    <w:rsid w:val="00021110"/>
    <w:rsid w:val="00021AAC"/>
    <w:rsid w:val="00026248"/>
    <w:rsid w:val="0002788B"/>
    <w:rsid w:val="000308B6"/>
    <w:rsid w:val="00030F02"/>
    <w:rsid w:val="00035453"/>
    <w:rsid w:val="00037208"/>
    <w:rsid w:val="00037713"/>
    <w:rsid w:val="00040AA4"/>
    <w:rsid w:val="00040C3A"/>
    <w:rsid w:val="00042219"/>
    <w:rsid w:val="00044DDD"/>
    <w:rsid w:val="000451D1"/>
    <w:rsid w:val="00045D4D"/>
    <w:rsid w:val="00050A35"/>
    <w:rsid w:val="00050D56"/>
    <w:rsid w:val="00051B53"/>
    <w:rsid w:val="00051CE0"/>
    <w:rsid w:val="00053951"/>
    <w:rsid w:val="00053E54"/>
    <w:rsid w:val="0005620A"/>
    <w:rsid w:val="00057ED4"/>
    <w:rsid w:val="0006129C"/>
    <w:rsid w:val="00063B94"/>
    <w:rsid w:val="00064B44"/>
    <w:rsid w:val="000716C5"/>
    <w:rsid w:val="00074AC5"/>
    <w:rsid w:val="00075E23"/>
    <w:rsid w:val="00075EB2"/>
    <w:rsid w:val="0007728C"/>
    <w:rsid w:val="00084156"/>
    <w:rsid w:val="000842C9"/>
    <w:rsid w:val="0008461D"/>
    <w:rsid w:val="000862FE"/>
    <w:rsid w:val="0009344A"/>
    <w:rsid w:val="00094DF0"/>
    <w:rsid w:val="000966F0"/>
    <w:rsid w:val="00097E05"/>
    <w:rsid w:val="000A18CA"/>
    <w:rsid w:val="000A392E"/>
    <w:rsid w:val="000A4DD2"/>
    <w:rsid w:val="000A575F"/>
    <w:rsid w:val="000B4AB4"/>
    <w:rsid w:val="000C34E3"/>
    <w:rsid w:val="000C638C"/>
    <w:rsid w:val="000C7CE2"/>
    <w:rsid w:val="000D0B23"/>
    <w:rsid w:val="000D10DB"/>
    <w:rsid w:val="000D1864"/>
    <w:rsid w:val="000D1BCF"/>
    <w:rsid w:val="000D60A2"/>
    <w:rsid w:val="000E083C"/>
    <w:rsid w:val="000E0A72"/>
    <w:rsid w:val="000E2AD8"/>
    <w:rsid w:val="000E4CD7"/>
    <w:rsid w:val="000E5EB5"/>
    <w:rsid w:val="000E7C9B"/>
    <w:rsid w:val="000F1A24"/>
    <w:rsid w:val="000F2057"/>
    <w:rsid w:val="000F28C6"/>
    <w:rsid w:val="000F35ED"/>
    <w:rsid w:val="000F43A8"/>
    <w:rsid w:val="000F494B"/>
    <w:rsid w:val="000F74D2"/>
    <w:rsid w:val="0010110A"/>
    <w:rsid w:val="00102B7B"/>
    <w:rsid w:val="00102F02"/>
    <w:rsid w:val="00103DEF"/>
    <w:rsid w:val="00104A6A"/>
    <w:rsid w:val="00107131"/>
    <w:rsid w:val="0010736F"/>
    <w:rsid w:val="0011057D"/>
    <w:rsid w:val="00112700"/>
    <w:rsid w:val="00113F73"/>
    <w:rsid w:val="00115F81"/>
    <w:rsid w:val="0011701E"/>
    <w:rsid w:val="0011787A"/>
    <w:rsid w:val="001216A1"/>
    <w:rsid w:val="00121CC2"/>
    <w:rsid w:val="0012687C"/>
    <w:rsid w:val="00127203"/>
    <w:rsid w:val="001330FB"/>
    <w:rsid w:val="00133470"/>
    <w:rsid w:val="00133EE5"/>
    <w:rsid w:val="001366A4"/>
    <w:rsid w:val="00137DCD"/>
    <w:rsid w:val="00141CF3"/>
    <w:rsid w:val="0014720C"/>
    <w:rsid w:val="0015110B"/>
    <w:rsid w:val="0015180C"/>
    <w:rsid w:val="00152226"/>
    <w:rsid w:val="0015421F"/>
    <w:rsid w:val="001608A1"/>
    <w:rsid w:val="00161414"/>
    <w:rsid w:val="0016253E"/>
    <w:rsid w:val="00165250"/>
    <w:rsid w:val="00167A34"/>
    <w:rsid w:val="00172538"/>
    <w:rsid w:val="00173297"/>
    <w:rsid w:val="0017533B"/>
    <w:rsid w:val="001803DE"/>
    <w:rsid w:val="0018354E"/>
    <w:rsid w:val="00190D41"/>
    <w:rsid w:val="00191BCE"/>
    <w:rsid w:val="00192E52"/>
    <w:rsid w:val="00197403"/>
    <w:rsid w:val="00197828"/>
    <w:rsid w:val="00197E50"/>
    <w:rsid w:val="001A6EF3"/>
    <w:rsid w:val="001A70FA"/>
    <w:rsid w:val="001A7870"/>
    <w:rsid w:val="001C1B41"/>
    <w:rsid w:val="001C3273"/>
    <w:rsid w:val="001C34E0"/>
    <w:rsid w:val="001D0061"/>
    <w:rsid w:val="001D65EF"/>
    <w:rsid w:val="001E2F1D"/>
    <w:rsid w:val="001E3062"/>
    <w:rsid w:val="001E45AA"/>
    <w:rsid w:val="001E5F6D"/>
    <w:rsid w:val="001F0CC1"/>
    <w:rsid w:val="001F0D63"/>
    <w:rsid w:val="001F1BB1"/>
    <w:rsid w:val="001F6244"/>
    <w:rsid w:val="001F69B8"/>
    <w:rsid w:val="00200802"/>
    <w:rsid w:val="002027C1"/>
    <w:rsid w:val="00202F72"/>
    <w:rsid w:val="0020556A"/>
    <w:rsid w:val="00217B5C"/>
    <w:rsid w:val="00220354"/>
    <w:rsid w:val="00221BC0"/>
    <w:rsid w:val="00222A5F"/>
    <w:rsid w:val="00223D09"/>
    <w:rsid w:val="002250A3"/>
    <w:rsid w:val="00235217"/>
    <w:rsid w:val="002426E0"/>
    <w:rsid w:val="00246C65"/>
    <w:rsid w:val="00246D1F"/>
    <w:rsid w:val="002471C5"/>
    <w:rsid w:val="00247403"/>
    <w:rsid w:val="00247542"/>
    <w:rsid w:val="00247C1B"/>
    <w:rsid w:val="0025470E"/>
    <w:rsid w:val="00254A4A"/>
    <w:rsid w:val="002557AA"/>
    <w:rsid w:val="0026264D"/>
    <w:rsid w:val="002660A2"/>
    <w:rsid w:val="00266B61"/>
    <w:rsid w:val="0026712A"/>
    <w:rsid w:val="00267ACE"/>
    <w:rsid w:val="00267B71"/>
    <w:rsid w:val="00267CDC"/>
    <w:rsid w:val="00267E96"/>
    <w:rsid w:val="002704DB"/>
    <w:rsid w:val="00271A05"/>
    <w:rsid w:val="002737BD"/>
    <w:rsid w:val="00273BB5"/>
    <w:rsid w:val="002807F5"/>
    <w:rsid w:val="00280EAE"/>
    <w:rsid w:val="00281FE9"/>
    <w:rsid w:val="002840D4"/>
    <w:rsid w:val="0028711C"/>
    <w:rsid w:val="00291B43"/>
    <w:rsid w:val="0029607A"/>
    <w:rsid w:val="002A0AAE"/>
    <w:rsid w:val="002A36C8"/>
    <w:rsid w:val="002A5820"/>
    <w:rsid w:val="002B5446"/>
    <w:rsid w:val="002C26AE"/>
    <w:rsid w:val="002C7D84"/>
    <w:rsid w:val="002D0B9D"/>
    <w:rsid w:val="002D11D6"/>
    <w:rsid w:val="002D2B26"/>
    <w:rsid w:val="002D5443"/>
    <w:rsid w:val="002D64BE"/>
    <w:rsid w:val="002D6DF8"/>
    <w:rsid w:val="002D7EA2"/>
    <w:rsid w:val="002E0EEA"/>
    <w:rsid w:val="002E0F87"/>
    <w:rsid w:val="002E187C"/>
    <w:rsid w:val="002F0391"/>
    <w:rsid w:val="002F249C"/>
    <w:rsid w:val="002F2A3A"/>
    <w:rsid w:val="002F2C3C"/>
    <w:rsid w:val="002F7585"/>
    <w:rsid w:val="00300B14"/>
    <w:rsid w:val="0030179B"/>
    <w:rsid w:val="00302733"/>
    <w:rsid w:val="003047CA"/>
    <w:rsid w:val="00311807"/>
    <w:rsid w:val="003122CD"/>
    <w:rsid w:val="003139FE"/>
    <w:rsid w:val="00313BA2"/>
    <w:rsid w:val="00314078"/>
    <w:rsid w:val="0031535D"/>
    <w:rsid w:val="003161A0"/>
    <w:rsid w:val="003262C9"/>
    <w:rsid w:val="00330827"/>
    <w:rsid w:val="00330C8A"/>
    <w:rsid w:val="0033169F"/>
    <w:rsid w:val="00342FA7"/>
    <w:rsid w:val="00343665"/>
    <w:rsid w:val="00344608"/>
    <w:rsid w:val="00346C95"/>
    <w:rsid w:val="00354201"/>
    <w:rsid w:val="00355F37"/>
    <w:rsid w:val="00356185"/>
    <w:rsid w:val="00360380"/>
    <w:rsid w:val="00373B91"/>
    <w:rsid w:val="00373FA8"/>
    <w:rsid w:val="0037519E"/>
    <w:rsid w:val="003762F2"/>
    <w:rsid w:val="00376A5A"/>
    <w:rsid w:val="00382A37"/>
    <w:rsid w:val="00382B2B"/>
    <w:rsid w:val="00384602"/>
    <w:rsid w:val="00385BA6"/>
    <w:rsid w:val="00386CF0"/>
    <w:rsid w:val="00394D58"/>
    <w:rsid w:val="00395A0D"/>
    <w:rsid w:val="003A4606"/>
    <w:rsid w:val="003A4D96"/>
    <w:rsid w:val="003A4E74"/>
    <w:rsid w:val="003A6CAF"/>
    <w:rsid w:val="003B0E97"/>
    <w:rsid w:val="003B1947"/>
    <w:rsid w:val="003B2839"/>
    <w:rsid w:val="003B34BA"/>
    <w:rsid w:val="003B42AB"/>
    <w:rsid w:val="003B5042"/>
    <w:rsid w:val="003B5BF0"/>
    <w:rsid w:val="003B6272"/>
    <w:rsid w:val="003B64FD"/>
    <w:rsid w:val="003C1298"/>
    <w:rsid w:val="003C5109"/>
    <w:rsid w:val="003C676B"/>
    <w:rsid w:val="003C7096"/>
    <w:rsid w:val="003D3BC2"/>
    <w:rsid w:val="003D43A2"/>
    <w:rsid w:val="003D58D8"/>
    <w:rsid w:val="003D5FB3"/>
    <w:rsid w:val="003E0671"/>
    <w:rsid w:val="003E435A"/>
    <w:rsid w:val="003E4861"/>
    <w:rsid w:val="003E6CA1"/>
    <w:rsid w:val="003F0AA6"/>
    <w:rsid w:val="003F32A5"/>
    <w:rsid w:val="003F3873"/>
    <w:rsid w:val="003F48BA"/>
    <w:rsid w:val="003F59E2"/>
    <w:rsid w:val="003F7C2F"/>
    <w:rsid w:val="003F7CF5"/>
    <w:rsid w:val="00400830"/>
    <w:rsid w:val="00400E1B"/>
    <w:rsid w:val="00400EBF"/>
    <w:rsid w:val="0040671F"/>
    <w:rsid w:val="00406770"/>
    <w:rsid w:val="00407003"/>
    <w:rsid w:val="004165C2"/>
    <w:rsid w:val="00417603"/>
    <w:rsid w:val="00417A38"/>
    <w:rsid w:val="00420452"/>
    <w:rsid w:val="00421532"/>
    <w:rsid w:val="00421CD5"/>
    <w:rsid w:val="0042474F"/>
    <w:rsid w:val="00427478"/>
    <w:rsid w:val="00427BF9"/>
    <w:rsid w:val="00432A3D"/>
    <w:rsid w:val="00433D80"/>
    <w:rsid w:val="004358D7"/>
    <w:rsid w:val="00436B6B"/>
    <w:rsid w:val="00437753"/>
    <w:rsid w:val="00441B1F"/>
    <w:rsid w:val="00441ECB"/>
    <w:rsid w:val="004422F2"/>
    <w:rsid w:val="00442FA5"/>
    <w:rsid w:val="0044524B"/>
    <w:rsid w:val="0044700A"/>
    <w:rsid w:val="00451834"/>
    <w:rsid w:val="0045286F"/>
    <w:rsid w:val="00453EB0"/>
    <w:rsid w:val="00453F37"/>
    <w:rsid w:val="00455F1C"/>
    <w:rsid w:val="00457A71"/>
    <w:rsid w:val="00457AA5"/>
    <w:rsid w:val="00457D19"/>
    <w:rsid w:val="00457DB6"/>
    <w:rsid w:val="00461D6A"/>
    <w:rsid w:val="0046215B"/>
    <w:rsid w:val="004633F0"/>
    <w:rsid w:val="0046440C"/>
    <w:rsid w:val="0046505E"/>
    <w:rsid w:val="00467056"/>
    <w:rsid w:val="00467B7E"/>
    <w:rsid w:val="00470B91"/>
    <w:rsid w:val="004720C4"/>
    <w:rsid w:val="00477592"/>
    <w:rsid w:val="00481871"/>
    <w:rsid w:val="0048223F"/>
    <w:rsid w:val="00486F1C"/>
    <w:rsid w:val="004916F2"/>
    <w:rsid w:val="0049419D"/>
    <w:rsid w:val="004945D6"/>
    <w:rsid w:val="00494A17"/>
    <w:rsid w:val="00495600"/>
    <w:rsid w:val="004A2EDB"/>
    <w:rsid w:val="004A3866"/>
    <w:rsid w:val="004A63AF"/>
    <w:rsid w:val="004B0C0F"/>
    <w:rsid w:val="004B1656"/>
    <w:rsid w:val="004B5825"/>
    <w:rsid w:val="004C1714"/>
    <w:rsid w:val="004C20D2"/>
    <w:rsid w:val="004C4B62"/>
    <w:rsid w:val="004C54C9"/>
    <w:rsid w:val="004C7866"/>
    <w:rsid w:val="004D37EF"/>
    <w:rsid w:val="004D525C"/>
    <w:rsid w:val="004D6025"/>
    <w:rsid w:val="004D6811"/>
    <w:rsid w:val="004D7FF2"/>
    <w:rsid w:val="004E2649"/>
    <w:rsid w:val="004E3113"/>
    <w:rsid w:val="004E6F42"/>
    <w:rsid w:val="004E7E9B"/>
    <w:rsid w:val="004F0EDD"/>
    <w:rsid w:val="004F145C"/>
    <w:rsid w:val="00501399"/>
    <w:rsid w:val="00505FAA"/>
    <w:rsid w:val="00506123"/>
    <w:rsid w:val="0050633D"/>
    <w:rsid w:val="00507BC4"/>
    <w:rsid w:val="0051084C"/>
    <w:rsid w:val="005128E4"/>
    <w:rsid w:val="005133DB"/>
    <w:rsid w:val="0052045E"/>
    <w:rsid w:val="00520740"/>
    <w:rsid w:val="0052162E"/>
    <w:rsid w:val="00524332"/>
    <w:rsid w:val="00525560"/>
    <w:rsid w:val="00527A84"/>
    <w:rsid w:val="00530632"/>
    <w:rsid w:val="0053077C"/>
    <w:rsid w:val="00532B1A"/>
    <w:rsid w:val="00532CF6"/>
    <w:rsid w:val="005350C9"/>
    <w:rsid w:val="005367C8"/>
    <w:rsid w:val="00544C49"/>
    <w:rsid w:val="005516A1"/>
    <w:rsid w:val="0056444B"/>
    <w:rsid w:val="00566CC6"/>
    <w:rsid w:val="00567083"/>
    <w:rsid w:val="00571391"/>
    <w:rsid w:val="0057402A"/>
    <w:rsid w:val="005771D0"/>
    <w:rsid w:val="005773E2"/>
    <w:rsid w:val="00581D80"/>
    <w:rsid w:val="005850DC"/>
    <w:rsid w:val="005863CA"/>
    <w:rsid w:val="005864F8"/>
    <w:rsid w:val="0058686F"/>
    <w:rsid w:val="00590147"/>
    <w:rsid w:val="0059088D"/>
    <w:rsid w:val="0059191A"/>
    <w:rsid w:val="005921FF"/>
    <w:rsid w:val="00592F1F"/>
    <w:rsid w:val="00593FF3"/>
    <w:rsid w:val="00595BC2"/>
    <w:rsid w:val="005A2F94"/>
    <w:rsid w:val="005A6D0E"/>
    <w:rsid w:val="005B0EDD"/>
    <w:rsid w:val="005B382F"/>
    <w:rsid w:val="005B52B0"/>
    <w:rsid w:val="005B6806"/>
    <w:rsid w:val="005B7FDA"/>
    <w:rsid w:val="005C0F66"/>
    <w:rsid w:val="005C13BC"/>
    <w:rsid w:val="005C4225"/>
    <w:rsid w:val="005C42CD"/>
    <w:rsid w:val="005C438F"/>
    <w:rsid w:val="005C4E3B"/>
    <w:rsid w:val="005C75CF"/>
    <w:rsid w:val="005D24F8"/>
    <w:rsid w:val="005D2D28"/>
    <w:rsid w:val="005D4B90"/>
    <w:rsid w:val="005E150C"/>
    <w:rsid w:val="005E4F10"/>
    <w:rsid w:val="005E7933"/>
    <w:rsid w:val="005F0DAD"/>
    <w:rsid w:val="005F0F33"/>
    <w:rsid w:val="005F2B45"/>
    <w:rsid w:val="00600DEB"/>
    <w:rsid w:val="0060166C"/>
    <w:rsid w:val="006024B2"/>
    <w:rsid w:val="00603A0C"/>
    <w:rsid w:val="00605782"/>
    <w:rsid w:val="006061D1"/>
    <w:rsid w:val="00606FE2"/>
    <w:rsid w:val="0061182E"/>
    <w:rsid w:val="00614C63"/>
    <w:rsid w:val="0061669D"/>
    <w:rsid w:val="00624F35"/>
    <w:rsid w:val="00627403"/>
    <w:rsid w:val="0062780E"/>
    <w:rsid w:val="00627C9F"/>
    <w:rsid w:val="00630BDB"/>
    <w:rsid w:val="006311E9"/>
    <w:rsid w:val="006317E0"/>
    <w:rsid w:val="00632354"/>
    <w:rsid w:val="006358A8"/>
    <w:rsid w:val="00641B0B"/>
    <w:rsid w:val="00642810"/>
    <w:rsid w:val="006432A2"/>
    <w:rsid w:val="006432D2"/>
    <w:rsid w:val="00643C8A"/>
    <w:rsid w:val="00652333"/>
    <w:rsid w:val="00653688"/>
    <w:rsid w:val="00655D21"/>
    <w:rsid w:val="00656132"/>
    <w:rsid w:val="00661421"/>
    <w:rsid w:val="00665089"/>
    <w:rsid w:val="006664D5"/>
    <w:rsid w:val="00670E42"/>
    <w:rsid w:val="006728FA"/>
    <w:rsid w:val="00673E50"/>
    <w:rsid w:val="00675D05"/>
    <w:rsid w:val="00676153"/>
    <w:rsid w:val="00677491"/>
    <w:rsid w:val="0068009E"/>
    <w:rsid w:val="00680B0E"/>
    <w:rsid w:val="00684DD9"/>
    <w:rsid w:val="00687B52"/>
    <w:rsid w:val="00692219"/>
    <w:rsid w:val="00692AE2"/>
    <w:rsid w:val="006A178A"/>
    <w:rsid w:val="006A17D2"/>
    <w:rsid w:val="006A33FD"/>
    <w:rsid w:val="006A473C"/>
    <w:rsid w:val="006A52D8"/>
    <w:rsid w:val="006A73E6"/>
    <w:rsid w:val="006A7737"/>
    <w:rsid w:val="006B0DDC"/>
    <w:rsid w:val="006B1DEC"/>
    <w:rsid w:val="006B2D5C"/>
    <w:rsid w:val="006B2F4B"/>
    <w:rsid w:val="006B32D3"/>
    <w:rsid w:val="006B3E83"/>
    <w:rsid w:val="006B5A05"/>
    <w:rsid w:val="006B6B82"/>
    <w:rsid w:val="006C388F"/>
    <w:rsid w:val="006C4EB1"/>
    <w:rsid w:val="006C6AF6"/>
    <w:rsid w:val="006C7003"/>
    <w:rsid w:val="006D0D04"/>
    <w:rsid w:val="006D2D18"/>
    <w:rsid w:val="006D3AD0"/>
    <w:rsid w:val="006D79D5"/>
    <w:rsid w:val="006E0166"/>
    <w:rsid w:val="006E13C3"/>
    <w:rsid w:val="006E3007"/>
    <w:rsid w:val="006E4988"/>
    <w:rsid w:val="006E624A"/>
    <w:rsid w:val="006E744E"/>
    <w:rsid w:val="006E7B34"/>
    <w:rsid w:val="006F02A1"/>
    <w:rsid w:val="006F11B5"/>
    <w:rsid w:val="007054F2"/>
    <w:rsid w:val="007066A3"/>
    <w:rsid w:val="0070697F"/>
    <w:rsid w:val="007139AB"/>
    <w:rsid w:val="00715162"/>
    <w:rsid w:val="00720FD7"/>
    <w:rsid w:val="0072199C"/>
    <w:rsid w:val="007226AF"/>
    <w:rsid w:val="00722C9F"/>
    <w:rsid w:val="00722DB2"/>
    <w:rsid w:val="00723D10"/>
    <w:rsid w:val="00724224"/>
    <w:rsid w:val="007244BB"/>
    <w:rsid w:val="007253B8"/>
    <w:rsid w:val="007259F2"/>
    <w:rsid w:val="007309FB"/>
    <w:rsid w:val="00732C1E"/>
    <w:rsid w:val="0073419E"/>
    <w:rsid w:val="007361AB"/>
    <w:rsid w:val="007372D2"/>
    <w:rsid w:val="0073741F"/>
    <w:rsid w:val="007451CE"/>
    <w:rsid w:val="0074584A"/>
    <w:rsid w:val="007479E0"/>
    <w:rsid w:val="00747BBB"/>
    <w:rsid w:val="007504E2"/>
    <w:rsid w:val="00753BC4"/>
    <w:rsid w:val="0075473E"/>
    <w:rsid w:val="007559BB"/>
    <w:rsid w:val="0075722E"/>
    <w:rsid w:val="00757902"/>
    <w:rsid w:val="0076001F"/>
    <w:rsid w:val="00761E8B"/>
    <w:rsid w:val="0076643F"/>
    <w:rsid w:val="007752CA"/>
    <w:rsid w:val="0077691E"/>
    <w:rsid w:val="00777F63"/>
    <w:rsid w:val="007816C5"/>
    <w:rsid w:val="00792B26"/>
    <w:rsid w:val="00793455"/>
    <w:rsid w:val="00793ED9"/>
    <w:rsid w:val="00793EDB"/>
    <w:rsid w:val="007A0E1D"/>
    <w:rsid w:val="007A12CB"/>
    <w:rsid w:val="007A2B8B"/>
    <w:rsid w:val="007A2C58"/>
    <w:rsid w:val="007A3C61"/>
    <w:rsid w:val="007A5817"/>
    <w:rsid w:val="007A5B0C"/>
    <w:rsid w:val="007B2D06"/>
    <w:rsid w:val="007B3B65"/>
    <w:rsid w:val="007B4626"/>
    <w:rsid w:val="007B60E9"/>
    <w:rsid w:val="007B6CC3"/>
    <w:rsid w:val="007B7D98"/>
    <w:rsid w:val="007C04F1"/>
    <w:rsid w:val="007C3334"/>
    <w:rsid w:val="007C598C"/>
    <w:rsid w:val="007C5C27"/>
    <w:rsid w:val="007D1025"/>
    <w:rsid w:val="007D1A6C"/>
    <w:rsid w:val="007D2B98"/>
    <w:rsid w:val="007D3BD1"/>
    <w:rsid w:val="007D4186"/>
    <w:rsid w:val="007D46E7"/>
    <w:rsid w:val="007E0268"/>
    <w:rsid w:val="007E21BC"/>
    <w:rsid w:val="007E64F6"/>
    <w:rsid w:val="007E69E7"/>
    <w:rsid w:val="007E7DD1"/>
    <w:rsid w:val="007F034F"/>
    <w:rsid w:val="007F0979"/>
    <w:rsid w:val="008005F9"/>
    <w:rsid w:val="008032A2"/>
    <w:rsid w:val="00803F1C"/>
    <w:rsid w:val="00804361"/>
    <w:rsid w:val="0080600E"/>
    <w:rsid w:val="00810A34"/>
    <w:rsid w:val="00812F05"/>
    <w:rsid w:val="00815498"/>
    <w:rsid w:val="00815C25"/>
    <w:rsid w:val="008167E4"/>
    <w:rsid w:val="00816FC9"/>
    <w:rsid w:val="00817612"/>
    <w:rsid w:val="00820C34"/>
    <w:rsid w:val="00821CE0"/>
    <w:rsid w:val="00831725"/>
    <w:rsid w:val="00831BCA"/>
    <w:rsid w:val="008338A4"/>
    <w:rsid w:val="0083453F"/>
    <w:rsid w:val="00834A6D"/>
    <w:rsid w:val="008362B7"/>
    <w:rsid w:val="00837C45"/>
    <w:rsid w:val="0084347C"/>
    <w:rsid w:val="00843E95"/>
    <w:rsid w:val="00844730"/>
    <w:rsid w:val="008457C2"/>
    <w:rsid w:val="00845E53"/>
    <w:rsid w:val="008503EB"/>
    <w:rsid w:val="008520A5"/>
    <w:rsid w:val="008520CB"/>
    <w:rsid w:val="00852456"/>
    <w:rsid w:val="00853731"/>
    <w:rsid w:val="008548CA"/>
    <w:rsid w:val="0085564F"/>
    <w:rsid w:val="008576E2"/>
    <w:rsid w:val="00857A82"/>
    <w:rsid w:val="00862E05"/>
    <w:rsid w:val="00864065"/>
    <w:rsid w:val="00866579"/>
    <w:rsid w:val="008668AE"/>
    <w:rsid w:val="00866ABC"/>
    <w:rsid w:val="00871D4C"/>
    <w:rsid w:val="00873836"/>
    <w:rsid w:val="00873949"/>
    <w:rsid w:val="008802BB"/>
    <w:rsid w:val="008854B4"/>
    <w:rsid w:val="00885737"/>
    <w:rsid w:val="0088758C"/>
    <w:rsid w:val="00890650"/>
    <w:rsid w:val="0089339B"/>
    <w:rsid w:val="0089508A"/>
    <w:rsid w:val="00895B0E"/>
    <w:rsid w:val="00895D4F"/>
    <w:rsid w:val="00897E12"/>
    <w:rsid w:val="008A2DF0"/>
    <w:rsid w:val="008A5F0C"/>
    <w:rsid w:val="008A7E0F"/>
    <w:rsid w:val="008B0C40"/>
    <w:rsid w:val="008B12F5"/>
    <w:rsid w:val="008B316C"/>
    <w:rsid w:val="008B45D2"/>
    <w:rsid w:val="008C058F"/>
    <w:rsid w:val="008C4508"/>
    <w:rsid w:val="008C5607"/>
    <w:rsid w:val="008D0717"/>
    <w:rsid w:val="008D3C50"/>
    <w:rsid w:val="008D768D"/>
    <w:rsid w:val="008E3759"/>
    <w:rsid w:val="008E4A0F"/>
    <w:rsid w:val="008E6847"/>
    <w:rsid w:val="008E7833"/>
    <w:rsid w:val="008F1912"/>
    <w:rsid w:val="008F1E25"/>
    <w:rsid w:val="008F298D"/>
    <w:rsid w:val="008F2DA8"/>
    <w:rsid w:val="008F360A"/>
    <w:rsid w:val="008F4B2A"/>
    <w:rsid w:val="008F5AED"/>
    <w:rsid w:val="008F5DB7"/>
    <w:rsid w:val="009002DA"/>
    <w:rsid w:val="0090270B"/>
    <w:rsid w:val="009027F2"/>
    <w:rsid w:val="009041DC"/>
    <w:rsid w:val="00904468"/>
    <w:rsid w:val="009073FC"/>
    <w:rsid w:val="00910DA6"/>
    <w:rsid w:val="00914933"/>
    <w:rsid w:val="00917B5A"/>
    <w:rsid w:val="00920A58"/>
    <w:rsid w:val="00920A8C"/>
    <w:rsid w:val="009223E4"/>
    <w:rsid w:val="009233DB"/>
    <w:rsid w:val="00925599"/>
    <w:rsid w:val="00930BD4"/>
    <w:rsid w:val="00934A2C"/>
    <w:rsid w:val="00937A87"/>
    <w:rsid w:val="00947322"/>
    <w:rsid w:val="009556D2"/>
    <w:rsid w:val="00963E97"/>
    <w:rsid w:val="0096490E"/>
    <w:rsid w:val="0096706E"/>
    <w:rsid w:val="009759B8"/>
    <w:rsid w:val="00975C4E"/>
    <w:rsid w:val="009765FD"/>
    <w:rsid w:val="00976E5E"/>
    <w:rsid w:val="00981FBA"/>
    <w:rsid w:val="00987EED"/>
    <w:rsid w:val="009920A8"/>
    <w:rsid w:val="00995C02"/>
    <w:rsid w:val="00995F94"/>
    <w:rsid w:val="00996FA3"/>
    <w:rsid w:val="00997BC5"/>
    <w:rsid w:val="00997CF9"/>
    <w:rsid w:val="009A1908"/>
    <w:rsid w:val="009A3FE0"/>
    <w:rsid w:val="009A4A5D"/>
    <w:rsid w:val="009A4B18"/>
    <w:rsid w:val="009A4F41"/>
    <w:rsid w:val="009A54C5"/>
    <w:rsid w:val="009B1199"/>
    <w:rsid w:val="009B25F3"/>
    <w:rsid w:val="009B30D8"/>
    <w:rsid w:val="009B381B"/>
    <w:rsid w:val="009B3BAB"/>
    <w:rsid w:val="009B74FA"/>
    <w:rsid w:val="009C2602"/>
    <w:rsid w:val="009C2C5C"/>
    <w:rsid w:val="009C5421"/>
    <w:rsid w:val="009D1020"/>
    <w:rsid w:val="009D15AE"/>
    <w:rsid w:val="009D1753"/>
    <w:rsid w:val="009D705A"/>
    <w:rsid w:val="009D7611"/>
    <w:rsid w:val="009E040E"/>
    <w:rsid w:val="009E0B61"/>
    <w:rsid w:val="009E53DE"/>
    <w:rsid w:val="009F4210"/>
    <w:rsid w:val="009F48FE"/>
    <w:rsid w:val="009F52CB"/>
    <w:rsid w:val="009F59D1"/>
    <w:rsid w:val="009F62EF"/>
    <w:rsid w:val="009F649C"/>
    <w:rsid w:val="009F6A22"/>
    <w:rsid w:val="00A01EF3"/>
    <w:rsid w:val="00A03551"/>
    <w:rsid w:val="00A04BAA"/>
    <w:rsid w:val="00A0558A"/>
    <w:rsid w:val="00A0587A"/>
    <w:rsid w:val="00A1090E"/>
    <w:rsid w:val="00A11E0E"/>
    <w:rsid w:val="00A11EEF"/>
    <w:rsid w:val="00A13900"/>
    <w:rsid w:val="00A157AE"/>
    <w:rsid w:val="00A16325"/>
    <w:rsid w:val="00A20BC4"/>
    <w:rsid w:val="00A21D19"/>
    <w:rsid w:val="00A272C2"/>
    <w:rsid w:val="00A27E6E"/>
    <w:rsid w:val="00A328B3"/>
    <w:rsid w:val="00A3680A"/>
    <w:rsid w:val="00A37F3B"/>
    <w:rsid w:val="00A50FCF"/>
    <w:rsid w:val="00A528D1"/>
    <w:rsid w:val="00A5752C"/>
    <w:rsid w:val="00A610CD"/>
    <w:rsid w:val="00A63AA6"/>
    <w:rsid w:val="00A65AD7"/>
    <w:rsid w:val="00A66084"/>
    <w:rsid w:val="00A662A6"/>
    <w:rsid w:val="00A7089E"/>
    <w:rsid w:val="00A7551F"/>
    <w:rsid w:val="00A7580B"/>
    <w:rsid w:val="00A76446"/>
    <w:rsid w:val="00A8175B"/>
    <w:rsid w:val="00A8281A"/>
    <w:rsid w:val="00A86796"/>
    <w:rsid w:val="00A91D18"/>
    <w:rsid w:val="00A953CC"/>
    <w:rsid w:val="00A953EA"/>
    <w:rsid w:val="00AA057D"/>
    <w:rsid w:val="00AA09A2"/>
    <w:rsid w:val="00AA404F"/>
    <w:rsid w:val="00AA47FD"/>
    <w:rsid w:val="00AA5D9C"/>
    <w:rsid w:val="00AA6117"/>
    <w:rsid w:val="00AA7996"/>
    <w:rsid w:val="00AB1B6D"/>
    <w:rsid w:val="00AB23ED"/>
    <w:rsid w:val="00AB2E45"/>
    <w:rsid w:val="00AB3E74"/>
    <w:rsid w:val="00AC19CB"/>
    <w:rsid w:val="00AC4FAC"/>
    <w:rsid w:val="00AC7929"/>
    <w:rsid w:val="00AC7D07"/>
    <w:rsid w:val="00AD2FC2"/>
    <w:rsid w:val="00AD64EF"/>
    <w:rsid w:val="00AD6CC1"/>
    <w:rsid w:val="00AD7004"/>
    <w:rsid w:val="00AD7770"/>
    <w:rsid w:val="00AE4F32"/>
    <w:rsid w:val="00AE5488"/>
    <w:rsid w:val="00AE6F91"/>
    <w:rsid w:val="00AF2A06"/>
    <w:rsid w:val="00AF2D4B"/>
    <w:rsid w:val="00AF4FB1"/>
    <w:rsid w:val="00AF5571"/>
    <w:rsid w:val="00AF5BF2"/>
    <w:rsid w:val="00AF672A"/>
    <w:rsid w:val="00B018C1"/>
    <w:rsid w:val="00B01A71"/>
    <w:rsid w:val="00B02899"/>
    <w:rsid w:val="00B04155"/>
    <w:rsid w:val="00B07341"/>
    <w:rsid w:val="00B11154"/>
    <w:rsid w:val="00B12579"/>
    <w:rsid w:val="00B13656"/>
    <w:rsid w:val="00B17110"/>
    <w:rsid w:val="00B20DEA"/>
    <w:rsid w:val="00B22C3B"/>
    <w:rsid w:val="00B23082"/>
    <w:rsid w:val="00B25EBA"/>
    <w:rsid w:val="00B274EF"/>
    <w:rsid w:val="00B27CFB"/>
    <w:rsid w:val="00B30149"/>
    <w:rsid w:val="00B30539"/>
    <w:rsid w:val="00B30DAB"/>
    <w:rsid w:val="00B314DB"/>
    <w:rsid w:val="00B32F9B"/>
    <w:rsid w:val="00B33208"/>
    <w:rsid w:val="00B361F2"/>
    <w:rsid w:val="00B3718B"/>
    <w:rsid w:val="00B402F7"/>
    <w:rsid w:val="00B406B3"/>
    <w:rsid w:val="00B44689"/>
    <w:rsid w:val="00B44E73"/>
    <w:rsid w:val="00B4632A"/>
    <w:rsid w:val="00B50EA1"/>
    <w:rsid w:val="00B530F1"/>
    <w:rsid w:val="00B604CA"/>
    <w:rsid w:val="00B60A57"/>
    <w:rsid w:val="00B619C5"/>
    <w:rsid w:val="00B63E1C"/>
    <w:rsid w:val="00B64685"/>
    <w:rsid w:val="00B65902"/>
    <w:rsid w:val="00B7067D"/>
    <w:rsid w:val="00B7307C"/>
    <w:rsid w:val="00B760A0"/>
    <w:rsid w:val="00B772BF"/>
    <w:rsid w:val="00B774E7"/>
    <w:rsid w:val="00B822CD"/>
    <w:rsid w:val="00B8494D"/>
    <w:rsid w:val="00B86D8D"/>
    <w:rsid w:val="00B92512"/>
    <w:rsid w:val="00B93CAD"/>
    <w:rsid w:val="00BA04BF"/>
    <w:rsid w:val="00BA276C"/>
    <w:rsid w:val="00BA2C92"/>
    <w:rsid w:val="00BA679E"/>
    <w:rsid w:val="00BA7AC4"/>
    <w:rsid w:val="00BA7ECF"/>
    <w:rsid w:val="00BB19FC"/>
    <w:rsid w:val="00BB2AA7"/>
    <w:rsid w:val="00BB306F"/>
    <w:rsid w:val="00BB4B21"/>
    <w:rsid w:val="00BB547D"/>
    <w:rsid w:val="00BC17FD"/>
    <w:rsid w:val="00BD14CC"/>
    <w:rsid w:val="00BD1D6C"/>
    <w:rsid w:val="00BD33B0"/>
    <w:rsid w:val="00BD3A2F"/>
    <w:rsid w:val="00BD4B89"/>
    <w:rsid w:val="00BD4D02"/>
    <w:rsid w:val="00BD61E0"/>
    <w:rsid w:val="00BD6AAD"/>
    <w:rsid w:val="00BD72FB"/>
    <w:rsid w:val="00BE0B43"/>
    <w:rsid w:val="00BE2484"/>
    <w:rsid w:val="00BE4623"/>
    <w:rsid w:val="00BE4AB4"/>
    <w:rsid w:val="00BE6A5B"/>
    <w:rsid w:val="00BF18E9"/>
    <w:rsid w:val="00BF3D11"/>
    <w:rsid w:val="00BF6FD8"/>
    <w:rsid w:val="00BF773C"/>
    <w:rsid w:val="00C031C8"/>
    <w:rsid w:val="00C03680"/>
    <w:rsid w:val="00C054DF"/>
    <w:rsid w:val="00C07ECE"/>
    <w:rsid w:val="00C12A46"/>
    <w:rsid w:val="00C12DF4"/>
    <w:rsid w:val="00C13727"/>
    <w:rsid w:val="00C14996"/>
    <w:rsid w:val="00C160E2"/>
    <w:rsid w:val="00C21762"/>
    <w:rsid w:val="00C21934"/>
    <w:rsid w:val="00C21EFB"/>
    <w:rsid w:val="00C23A60"/>
    <w:rsid w:val="00C24249"/>
    <w:rsid w:val="00C24543"/>
    <w:rsid w:val="00C256A2"/>
    <w:rsid w:val="00C3400F"/>
    <w:rsid w:val="00C35E31"/>
    <w:rsid w:val="00C406E0"/>
    <w:rsid w:val="00C421BC"/>
    <w:rsid w:val="00C4262B"/>
    <w:rsid w:val="00C44B14"/>
    <w:rsid w:val="00C45B32"/>
    <w:rsid w:val="00C471EC"/>
    <w:rsid w:val="00C4754A"/>
    <w:rsid w:val="00C5028A"/>
    <w:rsid w:val="00C5048D"/>
    <w:rsid w:val="00C50A1D"/>
    <w:rsid w:val="00C50E19"/>
    <w:rsid w:val="00C510B8"/>
    <w:rsid w:val="00C51515"/>
    <w:rsid w:val="00C5660B"/>
    <w:rsid w:val="00C6017D"/>
    <w:rsid w:val="00C6151E"/>
    <w:rsid w:val="00C6244E"/>
    <w:rsid w:val="00C627CC"/>
    <w:rsid w:val="00C66B72"/>
    <w:rsid w:val="00C71BBD"/>
    <w:rsid w:val="00C7253F"/>
    <w:rsid w:val="00C76C69"/>
    <w:rsid w:val="00C82064"/>
    <w:rsid w:val="00C9567A"/>
    <w:rsid w:val="00CA59DE"/>
    <w:rsid w:val="00CB16EF"/>
    <w:rsid w:val="00CB1E95"/>
    <w:rsid w:val="00CB212D"/>
    <w:rsid w:val="00CB2660"/>
    <w:rsid w:val="00CB4C1A"/>
    <w:rsid w:val="00CB7319"/>
    <w:rsid w:val="00CC3A65"/>
    <w:rsid w:val="00CC5E90"/>
    <w:rsid w:val="00CC67D4"/>
    <w:rsid w:val="00CD046C"/>
    <w:rsid w:val="00CD0F3A"/>
    <w:rsid w:val="00CD150C"/>
    <w:rsid w:val="00CD3682"/>
    <w:rsid w:val="00CD4AC8"/>
    <w:rsid w:val="00CE076C"/>
    <w:rsid w:val="00CE2B41"/>
    <w:rsid w:val="00CE5199"/>
    <w:rsid w:val="00CE5D47"/>
    <w:rsid w:val="00CE66D5"/>
    <w:rsid w:val="00CF1088"/>
    <w:rsid w:val="00CF2321"/>
    <w:rsid w:val="00CF637A"/>
    <w:rsid w:val="00CF6972"/>
    <w:rsid w:val="00D02E8E"/>
    <w:rsid w:val="00D059DE"/>
    <w:rsid w:val="00D07479"/>
    <w:rsid w:val="00D10650"/>
    <w:rsid w:val="00D11B94"/>
    <w:rsid w:val="00D13651"/>
    <w:rsid w:val="00D13F30"/>
    <w:rsid w:val="00D13FCE"/>
    <w:rsid w:val="00D1462E"/>
    <w:rsid w:val="00D2066A"/>
    <w:rsid w:val="00D2177B"/>
    <w:rsid w:val="00D24554"/>
    <w:rsid w:val="00D245FA"/>
    <w:rsid w:val="00D25049"/>
    <w:rsid w:val="00D2509F"/>
    <w:rsid w:val="00D25645"/>
    <w:rsid w:val="00D25AC1"/>
    <w:rsid w:val="00D27569"/>
    <w:rsid w:val="00D27627"/>
    <w:rsid w:val="00D306D1"/>
    <w:rsid w:val="00D330C9"/>
    <w:rsid w:val="00D34786"/>
    <w:rsid w:val="00D35EAF"/>
    <w:rsid w:val="00D37BFC"/>
    <w:rsid w:val="00D409C3"/>
    <w:rsid w:val="00D42DF7"/>
    <w:rsid w:val="00D46CA7"/>
    <w:rsid w:val="00D47A8E"/>
    <w:rsid w:val="00D52D14"/>
    <w:rsid w:val="00D56908"/>
    <w:rsid w:val="00D622D5"/>
    <w:rsid w:val="00D62F7C"/>
    <w:rsid w:val="00D66CB8"/>
    <w:rsid w:val="00D712D3"/>
    <w:rsid w:val="00D71422"/>
    <w:rsid w:val="00D72DC6"/>
    <w:rsid w:val="00D73217"/>
    <w:rsid w:val="00D7356B"/>
    <w:rsid w:val="00D737A9"/>
    <w:rsid w:val="00D7558D"/>
    <w:rsid w:val="00D756CC"/>
    <w:rsid w:val="00D7693D"/>
    <w:rsid w:val="00D80A38"/>
    <w:rsid w:val="00D812B2"/>
    <w:rsid w:val="00D8142B"/>
    <w:rsid w:val="00D81D92"/>
    <w:rsid w:val="00D91D6C"/>
    <w:rsid w:val="00D93609"/>
    <w:rsid w:val="00D96594"/>
    <w:rsid w:val="00D976C9"/>
    <w:rsid w:val="00DA53ED"/>
    <w:rsid w:val="00DA67BA"/>
    <w:rsid w:val="00DA6D6F"/>
    <w:rsid w:val="00DA7B5F"/>
    <w:rsid w:val="00DA7C0E"/>
    <w:rsid w:val="00DB6809"/>
    <w:rsid w:val="00DB7FD4"/>
    <w:rsid w:val="00DC0397"/>
    <w:rsid w:val="00DC11E7"/>
    <w:rsid w:val="00DC3579"/>
    <w:rsid w:val="00DC3A84"/>
    <w:rsid w:val="00DC3D55"/>
    <w:rsid w:val="00DC3EF2"/>
    <w:rsid w:val="00DC63CA"/>
    <w:rsid w:val="00DC7023"/>
    <w:rsid w:val="00DC769A"/>
    <w:rsid w:val="00DD3D86"/>
    <w:rsid w:val="00DD465D"/>
    <w:rsid w:val="00DD4C3C"/>
    <w:rsid w:val="00DD508A"/>
    <w:rsid w:val="00DD5C0B"/>
    <w:rsid w:val="00DD5FB5"/>
    <w:rsid w:val="00DE02C7"/>
    <w:rsid w:val="00DE3446"/>
    <w:rsid w:val="00DF1038"/>
    <w:rsid w:val="00DF1CA1"/>
    <w:rsid w:val="00DF1EC4"/>
    <w:rsid w:val="00DF4982"/>
    <w:rsid w:val="00DF557C"/>
    <w:rsid w:val="00DF60B5"/>
    <w:rsid w:val="00DF6C52"/>
    <w:rsid w:val="00DF7788"/>
    <w:rsid w:val="00E0340B"/>
    <w:rsid w:val="00E04A90"/>
    <w:rsid w:val="00E07E14"/>
    <w:rsid w:val="00E1034C"/>
    <w:rsid w:val="00E15EE9"/>
    <w:rsid w:val="00E219C7"/>
    <w:rsid w:val="00E24A29"/>
    <w:rsid w:val="00E255BA"/>
    <w:rsid w:val="00E267EF"/>
    <w:rsid w:val="00E312A5"/>
    <w:rsid w:val="00E34C4D"/>
    <w:rsid w:val="00E34E9F"/>
    <w:rsid w:val="00E360D8"/>
    <w:rsid w:val="00E413FC"/>
    <w:rsid w:val="00E41451"/>
    <w:rsid w:val="00E43157"/>
    <w:rsid w:val="00E461CE"/>
    <w:rsid w:val="00E50B23"/>
    <w:rsid w:val="00E551BA"/>
    <w:rsid w:val="00E6029F"/>
    <w:rsid w:val="00E60D0E"/>
    <w:rsid w:val="00E6199C"/>
    <w:rsid w:val="00E632C1"/>
    <w:rsid w:val="00E6553D"/>
    <w:rsid w:val="00E720CA"/>
    <w:rsid w:val="00E7291D"/>
    <w:rsid w:val="00E8494F"/>
    <w:rsid w:val="00E84E92"/>
    <w:rsid w:val="00E84EB5"/>
    <w:rsid w:val="00E85662"/>
    <w:rsid w:val="00E8789F"/>
    <w:rsid w:val="00E916D8"/>
    <w:rsid w:val="00E9308E"/>
    <w:rsid w:val="00E94DD9"/>
    <w:rsid w:val="00E97B71"/>
    <w:rsid w:val="00EA048D"/>
    <w:rsid w:val="00EA3D34"/>
    <w:rsid w:val="00EA47EE"/>
    <w:rsid w:val="00EA6D60"/>
    <w:rsid w:val="00EB112A"/>
    <w:rsid w:val="00EB28E9"/>
    <w:rsid w:val="00EB454D"/>
    <w:rsid w:val="00EB6F1F"/>
    <w:rsid w:val="00EB70B7"/>
    <w:rsid w:val="00EC074F"/>
    <w:rsid w:val="00ED056B"/>
    <w:rsid w:val="00ED1894"/>
    <w:rsid w:val="00ED2B10"/>
    <w:rsid w:val="00ED6A0A"/>
    <w:rsid w:val="00ED7455"/>
    <w:rsid w:val="00ED76BE"/>
    <w:rsid w:val="00EE08FD"/>
    <w:rsid w:val="00EE0FE5"/>
    <w:rsid w:val="00EE2FA1"/>
    <w:rsid w:val="00EE4675"/>
    <w:rsid w:val="00EE4C88"/>
    <w:rsid w:val="00EE5A35"/>
    <w:rsid w:val="00EE7866"/>
    <w:rsid w:val="00EE7B8F"/>
    <w:rsid w:val="00EF2ACB"/>
    <w:rsid w:val="00EF3ED3"/>
    <w:rsid w:val="00EF5AF0"/>
    <w:rsid w:val="00EF619B"/>
    <w:rsid w:val="00EF7DDB"/>
    <w:rsid w:val="00F00B13"/>
    <w:rsid w:val="00F00B55"/>
    <w:rsid w:val="00F02AD1"/>
    <w:rsid w:val="00F03E85"/>
    <w:rsid w:val="00F04F52"/>
    <w:rsid w:val="00F07553"/>
    <w:rsid w:val="00F07DB3"/>
    <w:rsid w:val="00F12320"/>
    <w:rsid w:val="00F15299"/>
    <w:rsid w:val="00F15F02"/>
    <w:rsid w:val="00F165D2"/>
    <w:rsid w:val="00F2143B"/>
    <w:rsid w:val="00F23A74"/>
    <w:rsid w:val="00F2445C"/>
    <w:rsid w:val="00F24C74"/>
    <w:rsid w:val="00F253CC"/>
    <w:rsid w:val="00F27D1F"/>
    <w:rsid w:val="00F30368"/>
    <w:rsid w:val="00F307CD"/>
    <w:rsid w:val="00F31739"/>
    <w:rsid w:val="00F31D55"/>
    <w:rsid w:val="00F32549"/>
    <w:rsid w:val="00F36678"/>
    <w:rsid w:val="00F37106"/>
    <w:rsid w:val="00F40F41"/>
    <w:rsid w:val="00F43697"/>
    <w:rsid w:val="00F45BFC"/>
    <w:rsid w:val="00F47B54"/>
    <w:rsid w:val="00F519CF"/>
    <w:rsid w:val="00F556D4"/>
    <w:rsid w:val="00F55C5C"/>
    <w:rsid w:val="00F56BA5"/>
    <w:rsid w:val="00F60E22"/>
    <w:rsid w:val="00F62FFC"/>
    <w:rsid w:val="00F63943"/>
    <w:rsid w:val="00F64AF5"/>
    <w:rsid w:val="00F66932"/>
    <w:rsid w:val="00F66F87"/>
    <w:rsid w:val="00F67E0D"/>
    <w:rsid w:val="00F80E96"/>
    <w:rsid w:val="00F81395"/>
    <w:rsid w:val="00F84A82"/>
    <w:rsid w:val="00F84CB1"/>
    <w:rsid w:val="00F85FF7"/>
    <w:rsid w:val="00F86BA3"/>
    <w:rsid w:val="00F917D1"/>
    <w:rsid w:val="00F9285A"/>
    <w:rsid w:val="00F95CBE"/>
    <w:rsid w:val="00F9653B"/>
    <w:rsid w:val="00FA21AD"/>
    <w:rsid w:val="00FA4569"/>
    <w:rsid w:val="00FA5A0F"/>
    <w:rsid w:val="00FA5BB6"/>
    <w:rsid w:val="00FA76AB"/>
    <w:rsid w:val="00FB2C00"/>
    <w:rsid w:val="00FB62CF"/>
    <w:rsid w:val="00FB69B1"/>
    <w:rsid w:val="00FC21E9"/>
    <w:rsid w:val="00FC33E1"/>
    <w:rsid w:val="00FD0884"/>
    <w:rsid w:val="00FD3C3B"/>
    <w:rsid w:val="00FD3F03"/>
    <w:rsid w:val="00FD48A1"/>
    <w:rsid w:val="00FE1F22"/>
    <w:rsid w:val="00FE6B45"/>
    <w:rsid w:val="00FF1321"/>
    <w:rsid w:val="00FF55F3"/>
    <w:rsid w:val="00FF5851"/>
    <w:rsid w:val="00FF6BEE"/>
    <w:rsid w:val="00FF7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page number"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3"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63"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pBdr>
        <w:top w:val="nil"/>
        <w:left w:val="nil"/>
        <w:bottom w:val="nil"/>
        <w:right w:val="nil"/>
        <w:between w:val="nil"/>
        <w:bar w:val="nil"/>
      </w:pBdr>
    </w:pPr>
    <w:rPr>
      <w:sz w:val="24"/>
      <w:szCs w:val="24"/>
      <w:bdr w:val="nil"/>
      <w:lang w:bidi="en-US"/>
    </w:rPr>
  </w:style>
  <w:style w:type="paragraph" w:styleId="Heading1">
    <w:name w:val="heading 1"/>
    <w:basedOn w:val="Normal"/>
    <w:next w:val="Normal"/>
    <w:link w:val="Heading1Char"/>
    <w:uiPriority w:val="9"/>
    <w:qFormat/>
    <w:rsid w:val="00996FA3"/>
    <w:pPr>
      <w:keepNext/>
      <w:keepLines/>
      <w:numPr>
        <w:numId w:val="53"/>
      </w:numPr>
      <w:tabs>
        <w:tab w:val="left" w:pos="1440"/>
      </w:tabs>
      <w:ind w:left="0" w:firstLine="720"/>
      <w:jc w:val="both"/>
      <w:outlineLvl w:val="0"/>
    </w:pPr>
    <w:rPr>
      <w:rFonts w:ascii="Cambria" w:eastAsia="MS Gothic" w:hAnsi="Cambria"/>
      <w:b/>
      <w:bCs/>
      <w:sz w:val="20"/>
      <w:szCs w:val="20"/>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bidi="en-US"/>
    </w:rPr>
  </w:style>
  <w:style w:type="paragraph" w:styleId="Footer">
    <w:name w:val="footer"/>
    <w:link w:val="FooterChar"/>
    <w:uiPriority w:val="99"/>
    <w:pPr>
      <w:pBdr>
        <w:top w:val="nil"/>
        <w:left w:val="nil"/>
        <w:bottom w:val="nil"/>
        <w:right w:val="nil"/>
        <w:between w:val="nil"/>
        <w:bar w:val="nil"/>
      </w:pBdr>
      <w:tabs>
        <w:tab w:val="center" w:pos="4513"/>
        <w:tab w:val="right" w:pos="9026"/>
      </w:tabs>
    </w:pPr>
    <w:rPr>
      <w:rFonts w:ascii="Cambria" w:eastAsia="Cambria" w:hAnsi="Cambria" w:cs="Cambria"/>
      <w:color w:val="000000"/>
      <w:sz w:val="24"/>
      <w:szCs w:val="24"/>
      <w:u w:color="000000"/>
      <w:bdr w:val="nil"/>
      <w:lang w:bidi="en-US"/>
    </w:rPr>
  </w:style>
  <w:style w:type="paragraph" w:customStyle="1" w:styleId="Cuerpo">
    <w:name w:val="Cuerpo"/>
    <w:pPr>
      <w:pBdr>
        <w:top w:val="nil"/>
        <w:left w:val="nil"/>
        <w:bottom w:val="nil"/>
        <w:right w:val="nil"/>
        <w:between w:val="nil"/>
        <w:bar w:val="nil"/>
      </w:pBdr>
    </w:pPr>
    <w:rPr>
      <w:rFonts w:ascii="Cambria" w:eastAsia="Cambria" w:hAnsi="Cambria" w:cs="Cambria"/>
      <w:color w:val="000000"/>
      <w:sz w:val="24"/>
      <w:szCs w:val="24"/>
      <w:u w:color="000000"/>
      <w:bdr w:val="nil"/>
      <w:lang w:bidi="en-US"/>
    </w:rPr>
  </w:style>
  <w:style w:type="paragraph" w:styleId="BodyTextIndent">
    <w:name w:val="Body Text Indent"/>
    <w:link w:val="BodyTextIndentChar"/>
    <w:pPr>
      <w:pBdr>
        <w:top w:val="nil"/>
        <w:left w:val="nil"/>
        <w:bottom w:val="nil"/>
        <w:right w:val="nil"/>
        <w:between w:val="nil"/>
        <w:bar w:val="nil"/>
      </w:pBdr>
      <w:ind w:left="2160" w:hanging="720"/>
    </w:pPr>
    <w:rPr>
      <w:rFonts w:eastAsia="Times New Roman"/>
      <w:color w:val="000000"/>
      <w:sz w:val="24"/>
      <w:szCs w:val="24"/>
      <w:u w:color="000000"/>
      <w:bdr w:val="nil"/>
      <w:lang w:bidi="en-US"/>
    </w:rPr>
  </w:style>
  <w:style w:type="paragraph" w:customStyle="1" w:styleId="ColorfulShading-Accent31">
    <w:name w:val="Colorful Shading - Accent 31"/>
    <w:uiPriority w:val="34"/>
    <w:qFormat/>
    <w:pPr>
      <w:pBdr>
        <w:top w:val="nil"/>
        <w:left w:val="nil"/>
        <w:bottom w:val="nil"/>
        <w:right w:val="nil"/>
        <w:between w:val="nil"/>
        <w:bar w:val="nil"/>
      </w:pBdr>
      <w:ind w:left="720"/>
    </w:pPr>
    <w:rPr>
      <w:rFonts w:ascii="Cambria" w:eastAsia="Cambria" w:hAnsi="Cambria" w:cs="Cambria"/>
      <w:color w:val="000000"/>
      <w:sz w:val="24"/>
      <w:szCs w:val="24"/>
      <w:u w:color="000000"/>
      <w:bdr w:val="nil"/>
      <w:lang w:bidi="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pPr>
      <w:pBdr>
        <w:top w:val="nil"/>
        <w:left w:val="nil"/>
        <w:bottom w:val="nil"/>
        <w:right w:val="nil"/>
        <w:between w:val="nil"/>
        <w:bar w:val="nil"/>
      </w:pBdr>
    </w:pPr>
    <w:rPr>
      <w:rFonts w:ascii="Calibri" w:eastAsia="Calibri" w:hAnsi="Calibri" w:cs="Calibri"/>
      <w:color w:val="000000"/>
      <w:u w:color="000000"/>
      <w:bdr w:val="nil"/>
      <w:lang w:bidi="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link w:val="Heading1"/>
    <w:uiPriority w:val="9"/>
    <w:rsid w:val="00996FA3"/>
    <w:rPr>
      <w:rFonts w:ascii="Cambria" w:eastAsia="MS Gothic" w:hAnsi="Cambria"/>
      <w:b/>
      <w:bCs/>
      <w:bdr w:val="nil"/>
      <w:lang w:val="en-US"/>
    </w:rPr>
  </w:style>
  <w:style w:type="table" w:styleId="MediumGrid1-Accent3">
    <w:name w:val="Medium Grid 1 Accent 3"/>
    <w:basedOn w:val="TableNormal"/>
    <w:uiPriority w:val="63"/>
    <w:rsid w:val="006A17D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CD3682"/>
    <w:pPr>
      <w:tabs>
        <w:tab w:val="left" w:pos="1440"/>
        <w:tab w:val="right" w:leader="dot" w:pos="9350"/>
      </w:tabs>
      <w:spacing w:after="100"/>
    </w:pPr>
    <w:rPr>
      <w:rFonts w:ascii="Cambria" w:hAnsi="Cambria"/>
      <w:b/>
      <w:noProof/>
      <w:sz w:val="20"/>
      <w:szCs w:val="20"/>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Ref. de nota al pi,Re"/>
    <w:link w:val="1"/>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autoSpaceDE w:val="0"/>
      <w:autoSpaceDN w:val="0"/>
      <w:adjustRightInd w:val="0"/>
    </w:pPr>
    <w:rPr>
      <w:rFonts w:eastAsia="Times New Roman"/>
      <w:color w:val="000000"/>
      <w:sz w:val="24"/>
      <w:szCs w:val="24"/>
      <w:lang w:bidi="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styleId="NormalWeb">
    <w:name w:val="Normal (Web)"/>
    <w:basedOn w:val="Normal"/>
    <w:uiPriority w:val="99"/>
    <w:rsid w:val="0016141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Unicode MS" w:hAnsi="Arial Unicode MS" w:cs="Arial Unicode MS"/>
      <w:bdr w:val="none" w:sz="0" w:space="0" w:color="auto"/>
    </w:rPr>
  </w:style>
  <w:style w:type="character" w:customStyle="1" w:styleId="BodyTextIndentChar">
    <w:name w:val="Body Text Indent Char"/>
    <w:link w:val="BodyTextIndent"/>
    <w:locked/>
    <w:rsid w:val="00161414"/>
    <w:rPr>
      <w:rFonts w:eastAsia="Times New Roman"/>
      <w:color w:val="000000"/>
      <w:sz w:val="24"/>
      <w:szCs w:val="24"/>
      <w:u w:color="000000"/>
      <w:lang w:val="en-US"/>
    </w:rPr>
  </w:style>
  <w:style w:type="character" w:customStyle="1" w:styleId="FootnoteTextChar3">
    <w:name w:val="Footnote Text Char3"/>
    <w:aliases w:val="Footnote Text Char Char Char Char Char Char1,Footnote Text Char Char Char Char Char2,FA Fu Char1,Footnote reference Char1,Footnote Text Char Char Char Char2,Footnote Text Cha Char1,FA Fußnotentext Char1,FA Fuﬂnotentext Char1,Ca Char2"/>
    <w:locked/>
    <w:rsid w:val="0089339B"/>
    <w:rPr>
      <w:rFonts w:ascii="Univers" w:hAnsi="Univers"/>
    </w:rPr>
  </w:style>
  <w:style w:type="character" w:customStyle="1" w:styleId="BodyTextIndentChar1">
    <w:name w:val="Body Text Indent Char1"/>
    <w:locked/>
    <w:rsid w:val="001D0061"/>
    <w:rPr>
      <w:rFonts w:eastAsia="Times New Roman"/>
      <w:color w:val="000000"/>
      <w:sz w:val="24"/>
      <w:szCs w:val="24"/>
      <w:u w:color="000000"/>
      <w:lang w:val="en-US"/>
    </w:rPr>
  </w:style>
  <w:style w:type="character" w:customStyle="1" w:styleId="apple-converted-space">
    <w:name w:val="apple-converted-space"/>
    <w:rsid w:val="003122CD"/>
  </w:style>
  <w:style w:type="paragraph" w:customStyle="1" w:styleId="LightGrid-Accent31">
    <w:name w:val="Light Grid - Accent 31"/>
    <w:basedOn w:val="Normal"/>
    <w:uiPriority w:val="72"/>
    <w:qFormat/>
    <w:rsid w:val="00947322"/>
    <w:pPr>
      <w:ind w:left="720"/>
    </w:pPr>
  </w:style>
  <w:style w:type="character" w:styleId="CommentReference">
    <w:name w:val="annotation reference"/>
    <w:uiPriority w:val="99"/>
    <w:semiHidden/>
    <w:unhideWhenUsed/>
    <w:rsid w:val="008520A5"/>
    <w:rPr>
      <w:sz w:val="16"/>
      <w:szCs w:val="16"/>
    </w:rPr>
  </w:style>
  <w:style w:type="paragraph" w:styleId="CommentText">
    <w:name w:val="annotation text"/>
    <w:basedOn w:val="Normal"/>
    <w:link w:val="CommentTextChar"/>
    <w:uiPriority w:val="99"/>
    <w:semiHidden/>
    <w:unhideWhenUsed/>
    <w:rsid w:val="008520A5"/>
    <w:rPr>
      <w:sz w:val="20"/>
      <w:szCs w:val="20"/>
    </w:rPr>
  </w:style>
  <w:style w:type="character" w:customStyle="1" w:styleId="CommentTextChar">
    <w:name w:val="Comment Text Char"/>
    <w:link w:val="CommentText"/>
    <w:uiPriority w:val="99"/>
    <w:semiHidden/>
    <w:rsid w:val="008520A5"/>
    <w:rPr>
      <w:bdr w:val="nil"/>
    </w:rPr>
  </w:style>
  <w:style w:type="paragraph" w:styleId="CommentSubject">
    <w:name w:val="annotation subject"/>
    <w:basedOn w:val="CommentText"/>
    <w:next w:val="CommentText"/>
    <w:link w:val="CommentSubjectChar"/>
    <w:uiPriority w:val="99"/>
    <w:semiHidden/>
    <w:unhideWhenUsed/>
    <w:rsid w:val="008520A5"/>
    <w:rPr>
      <w:b/>
      <w:bCs/>
    </w:rPr>
  </w:style>
  <w:style w:type="character" w:customStyle="1" w:styleId="CommentSubjectChar">
    <w:name w:val="Comment Subject Char"/>
    <w:link w:val="CommentSubject"/>
    <w:uiPriority w:val="99"/>
    <w:semiHidden/>
    <w:rsid w:val="008520A5"/>
    <w:rPr>
      <w:b/>
      <w:bCs/>
      <w:bdr w:val="nil"/>
    </w:rPr>
  </w:style>
  <w:style w:type="paragraph" w:customStyle="1" w:styleId="MediumGrid1-Accent21">
    <w:name w:val="Medium Grid 1 - Accent 21"/>
    <w:basedOn w:val="Normal"/>
    <w:uiPriority w:val="72"/>
    <w:qFormat/>
    <w:rsid w:val="00311807"/>
    <w:pPr>
      <w:ind w:left="720"/>
    </w:pPr>
  </w:style>
  <w:style w:type="character" w:styleId="Emphasis">
    <w:name w:val="Emphasis"/>
    <w:uiPriority w:val="20"/>
    <w:qFormat/>
    <w:rsid w:val="0040671F"/>
    <w:rPr>
      <w:i/>
      <w:iCs/>
    </w:rPr>
  </w:style>
  <w:style w:type="paragraph" w:customStyle="1" w:styleId="ColorfulList-Accent11">
    <w:name w:val="Colorful List - Accent 11"/>
    <w:aliases w:val="Colorful List - Accent 111"/>
    <w:basedOn w:val="Normal"/>
    <w:link w:val="ColorfulList-Accent1Char"/>
    <w:uiPriority w:val="34"/>
    <w:qFormat/>
    <w:rsid w:val="00E6199C"/>
    <w:pPr>
      <w:ind w:left="720"/>
    </w:pPr>
  </w:style>
  <w:style w:type="character" w:customStyle="1" w:styleId="ColorfulList-Accent1Char">
    <w:name w:val="Colorful List - Accent 1 Char"/>
    <w:aliases w:val="Colorful List - Accent 11 Char"/>
    <w:link w:val="ColorfulList-Accent11"/>
    <w:uiPriority w:val="34"/>
    <w:locked/>
    <w:rsid w:val="00FF6BEE"/>
    <w:rPr>
      <w:sz w:val="24"/>
      <w:szCs w:val="24"/>
      <w:bdr w:val="nil"/>
    </w:rPr>
  </w:style>
  <w:style w:type="paragraph" w:styleId="BodyText3">
    <w:name w:val="Body Text 3"/>
    <w:basedOn w:val="Normal"/>
    <w:link w:val="BodyText3Char"/>
    <w:uiPriority w:val="99"/>
    <w:semiHidden/>
    <w:unhideWhenUsed/>
    <w:rsid w:val="00A7089E"/>
    <w:pPr>
      <w:spacing w:after="120"/>
    </w:pPr>
    <w:rPr>
      <w:sz w:val="16"/>
      <w:szCs w:val="16"/>
    </w:rPr>
  </w:style>
  <w:style w:type="character" w:customStyle="1" w:styleId="BodyText3Char">
    <w:name w:val="Body Text 3 Char"/>
    <w:link w:val="BodyText3"/>
    <w:uiPriority w:val="99"/>
    <w:semiHidden/>
    <w:rsid w:val="00A7089E"/>
    <w:rPr>
      <w:sz w:val="16"/>
      <w:szCs w:val="16"/>
      <w:bdr w:val="nil"/>
    </w:rPr>
  </w:style>
  <w:style w:type="paragraph" w:styleId="ListBullet">
    <w:name w:val="List Bullet"/>
    <w:basedOn w:val="Normal"/>
    <w:uiPriority w:val="99"/>
    <w:unhideWhenUsed/>
    <w:rsid w:val="00254A4A"/>
    <w:pPr>
      <w:numPr>
        <w:numId w:val="6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pPr>
    <w:rPr>
      <w:rFonts w:ascii="Calibri" w:eastAsia="Times New Roman" w:hAnsi="Calibri"/>
      <w:sz w:val="22"/>
      <w:szCs w:val="22"/>
      <w:bdr w:val="none" w:sz="0" w:space="0" w:color="auto"/>
    </w:rPr>
  </w:style>
  <w:style w:type="character" w:styleId="Strong">
    <w:name w:val="Strong"/>
    <w:uiPriority w:val="22"/>
    <w:qFormat/>
    <w:rsid w:val="00254A4A"/>
    <w:rPr>
      <w:b/>
      <w:bCs/>
    </w:rPr>
  </w:style>
  <w:style w:type="paragraph" w:customStyle="1" w:styleId="PrrafodeSentencia">
    <w:name w:val="*. Párrafo de Sentencia"/>
    <w:basedOn w:val="MediumGrid1-Accent21"/>
    <w:autoRedefine/>
    <w:qFormat/>
    <w:rsid w:val="00254A4A"/>
    <w:pPr>
      <w:numPr>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pPr>
    <w:rPr>
      <w:rFonts w:ascii="Verdana" w:eastAsia="Batang" w:hAnsi="Verdana"/>
      <w:sz w:val="20"/>
      <w:szCs w:val="20"/>
      <w:bdr w:val="none" w:sz="0" w:space="0" w:color="auto"/>
    </w:rPr>
  </w:style>
  <w:style w:type="paragraph" w:customStyle="1" w:styleId="1">
    <w:name w:val="1"/>
    <w:basedOn w:val="Normal"/>
    <w:link w:val="FootnoteReference"/>
    <w:rsid w:val="00084156"/>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bdr w:val="none" w:sz="0" w:space="0" w:color="auto"/>
      <w:vertAlign w:val="superscript"/>
    </w:rPr>
  </w:style>
  <w:style w:type="paragraph" w:styleId="ListParagraph">
    <w:name w:val="List Paragraph"/>
    <w:basedOn w:val="Normal"/>
    <w:uiPriority w:val="34"/>
    <w:qFormat/>
    <w:rsid w:val="003D58D8"/>
    <w:pPr>
      <w:ind w:left="720"/>
    </w:pPr>
  </w:style>
  <w:style w:type="character" w:styleId="FollowedHyperlink">
    <w:name w:val="FollowedHyperlink"/>
    <w:uiPriority w:val="99"/>
    <w:semiHidden/>
    <w:unhideWhenUsed/>
    <w:rsid w:val="00812F05"/>
    <w:rPr>
      <w:color w:val="800080"/>
      <w:u w:val="single"/>
    </w:rPr>
  </w:style>
  <w:style w:type="table" w:styleId="MediumShading1-Accent1">
    <w:name w:val="Medium Shading 1 Accent 1"/>
    <w:basedOn w:val="TableNormal"/>
    <w:uiPriority w:val="63"/>
    <w:rsid w:val="006B32D3"/>
    <w:pPr>
      <w:pBdr>
        <w:top w:val="nil"/>
        <w:left w:val="nil"/>
        <w:bottom w:val="nil"/>
        <w:right w:val="nil"/>
        <w:between w:val="nil"/>
        <w:bar w:val="nil"/>
      </w:pBdr>
    </w:pPr>
    <w:rPr>
      <w:bdr w:val="ni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page number"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3"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63"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pBdr>
        <w:top w:val="nil"/>
        <w:left w:val="nil"/>
        <w:bottom w:val="nil"/>
        <w:right w:val="nil"/>
        <w:between w:val="nil"/>
        <w:bar w:val="nil"/>
      </w:pBdr>
    </w:pPr>
    <w:rPr>
      <w:sz w:val="24"/>
      <w:szCs w:val="24"/>
      <w:bdr w:val="nil"/>
      <w:lang w:bidi="en-US"/>
    </w:rPr>
  </w:style>
  <w:style w:type="paragraph" w:styleId="Heading1">
    <w:name w:val="heading 1"/>
    <w:basedOn w:val="Normal"/>
    <w:next w:val="Normal"/>
    <w:link w:val="Heading1Char"/>
    <w:uiPriority w:val="9"/>
    <w:qFormat/>
    <w:rsid w:val="00996FA3"/>
    <w:pPr>
      <w:keepNext/>
      <w:keepLines/>
      <w:numPr>
        <w:numId w:val="53"/>
      </w:numPr>
      <w:tabs>
        <w:tab w:val="left" w:pos="1440"/>
      </w:tabs>
      <w:ind w:left="0" w:firstLine="720"/>
      <w:jc w:val="both"/>
      <w:outlineLvl w:val="0"/>
    </w:pPr>
    <w:rPr>
      <w:rFonts w:ascii="Cambria" w:eastAsia="MS Gothic" w:hAnsi="Cambria"/>
      <w:b/>
      <w:bCs/>
      <w:sz w:val="20"/>
      <w:szCs w:val="20"/>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bidi="en-US"/>
    </w:rPr>
  </w:style>
  <w:style w:type="paragraph" w:styleId="Footer">
    <w:name w:val="footer"/>
    <w:link w:val="FooterChar"/>
    <w:uiPriority w:val="99"/>
    <w:pPr>
      <w:pBdr>
        <w:top w:val="nil"/>
        <w:left w:val="nil"/>
        <w:bottom w:val="nil"/>
        <w:right w:val="nil"/>
        <w:between w:val="nil"/>
        <w:bar w:val="nil"/>
      </w:pBdr>
      <w:tabs>
        <w:tab w:val="center" w:pos="4513"/>
        <w:tab w:val="right" w:pos="9026"/>
      </w:tabs>
    </w:pPr>
    <w:rPr>
      <w:rFonts w:ascii="Cambria" w:eastAsia="Cambria" w:hAnsi="Cambria" w:cs="Cambria"/>
      <w:color w:val="000000"/>
      <w:sz w:val="24"/>
      <w:szCs w:val="24"/>
      <w:u w:color="000000"/>
      <w:bdr w:val="nil"/>
      <w:lang w:bidi="en-US"/>
    </w:rPr>
  </w:style>
  <w:style w:type="paragraph" w:customStyle="1" w:styleId="Cuerpo">
    <w:name w:val="Cuerpo"/>
    <w:pPr>
      <w:pBdr>
        <w:top w:val="nil"/>
        <w:left w:val="nil"/>
        <w:bottom w:val="nil"/>
        <w:right w:val="nil"/>
        <w:between w:val="nil"/>
        <w:bar w:val="nil"/>
      </w:pBdr>
    </w:pPr>
    <w:rPr>
      <w:rFonts w:ascii="Cambria" w:eastAsia="Cambria" w:hAnsi="Cambria" w:cs="Cambria"/>
      <w:color w:val="000000"/>
      <w:sz w:val="24"/>
      <w:szCs w:val="24"/>
      <w:u w:color="000000"/>
      <w:bdr w:val="nil"/>
      <w:lang w:bidi="en-US"/>
    </w:rPr>
  </w:style>
  <w:style w:type="paragraph" w:styleId="BodyTextIndent">
    <w:name w:val="Body Text Indent"/>
    <w:link w:val="BodyTextIndentChar"/>
    <w:pPr>
      <w:pBdr>
        <w:top w:val="nil"/>
        <w:left w:val="nil"/>
        <w:bottom w:val="nil"/>
        <w:right w:val="nil"/>
        <w:between w:val="nil"/>
        <w:bar w:val="nil"/>
      </w:pBdr>
      <w:ind w:left="2160" w:hanging="720"/>
    </w:pPr>
    <w:rPr>
      <w:rFonts w:eastAsia="Times New Roman"/>
      <w:color w:val="000000"/>
      <w:sz w:val="24"/>
      <w:szCs w:val="24"/>
      <w:u w:color="000000"/>
      <w:bdr w:val="nil"/>
      <w:lang w:bidi="en-US"/>
    </w:rPr>
  </w:style>
  <w:style w:type="paragraph" w:customStyle="1" w:styleId="ColorfulShading-Accent31">
    <w:name w:val="Colorful Shading - Accent 31"/>
    <w:uiPriority w:val="34"/>
    <w:qFormat/>
    <w:pPr>
      <w:pBdr>
        <w:top w:val="nil"/>
        <w:left w:val="nil"/>
        <w:bottom w:val="nil"/>
        <w:right w:val="nil"/>
        <w:between w:val="nil"/>
        <w:bar w:val="nil"/>
      </w:pBdr>
      <w:ind w:left="720"/>
    </w:pPr>
    <w:rPr>
      <w:rFonts w:ascii="Cambria" w:eastAsia="Cambria" w:hAnsi="Cambria" w:cs="Cambria"/>
      <w:color w:val="000000"/>
      <w:sz w:val="24"/>
      <w:szCs w:val="24"/>
      <w:u w:color="000000"/>
      <w:bdr w:val="nil"/>
      <w:lang w:bidi="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pPr>
      <w:pBdr>
        <w:top w:val="nil"/>
        <w:left w:val="nil"/>
        <w:bottom w:val="nil"/>
        <w:right w:val="nil"/>
        <w:between w:val="nil"/>
        <w:bar w:val="nil"/>
      </w:pBdr>
    </w:pPr>
    <w:rPr>
      <w:rFonts w:ascii="Calibri" w:eastAsia="Calibri" w:hAnsi="Calibri" w:cs="Calibri"/>
      <w:color w:val="000000"/>
      <w:u w:color="000000"/>
      <w:bdr w:val="nil"/>
      <w:lang w:bidi="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link w:val="Heading1"/>
    <w:uiPriority w:val="9"/>
    <w:rsid w:val="00996FA3"/>
    <w:rPr>
      <w:rFonts w:ascii="Cambria" w:eastAsia="MS Gothic" w:hAnsi="Cambria"/>
      <w:b/>
      <w:bCs/>
      <w:bdr w:val="nil"/>
      <w:lang w:val="en-US"/>
    </w:rPr>
  </w:style>
  <w:style w:type="table" w:styleId="MediumGrid1-Accent3">
    <w:name w:val="Medium Grid 1 Accent 3"/>
    <w:basedOn w:val="TableNormal"/>
    <w:uiPriority w:val="63"/>
    <w:rsid w:val="006A17D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CD3682"/>
    <w:pPr>
      <w:tabs>
        <w:tab w:val="left" w:pos="1440"/>
        <w:tab w:val="right" w:leader="dot" w:pos="9350"/>
      </w:tabs>
      <w:spacing w:after="100"/>
    </w:pPr>
    <w:rPr>
      <w:rFonts w:ascii="Cambria" w:hAnsi="Cambria"/>
      <w:b/>
      <w:noProof/>
      <w:sz w:val="20"/>
      <w:szCs w:val="20"/>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Ref. de nota al pi,Re"/>
    <w:link w:val="1"/>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autoSpaceDE w:val="0"/>
      <w:autoSpaceDN w:val="0"/>
      <w:adjustRightInd w:val="0"/>
    </w:pPr>
    <w:rPr>
      <w:rFonts w:eastAsia="Times New Roman"/>
      <w:color w:val="000000"/>
      <w:sz w:val="24"/>
      <w:szCs w:val="24"/>
      <w:lang w:bidi="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styleId="NormalWeb">
    <w:name w:val="Normal (Web)"/>
    <w:basedOn w:val="Normal"/>
    <w:uiPriority w:val="99"/>
    <w:rsid w:val="0016141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Unicode MS" w:hAnsi="Arial Unicode MS" w:cs="Arial Unicode MS"/>
      <w:bdr w:val="none" w:sz="0" w:space="0" w:color="auto"/>
    </w:rPr>
  </w:style>
  <w:style w:type="character" w:customStyle="1" w:styleId="BodyTextIndentChar">
    <w:name w:val="Body Text Indent Char"/>
    <w:link w:val="BodyTextIndent"/>
    <w:locked/>
    <w:rsid w:val="00161414"/>
    <w:rPr>
      <w:rFonts w:eastAsia="Times New Roman"/>
      <w:color w:val="000000"/>
      <w:sz w:val="24"/>
      <w:szCs w:val="24"/>
      <w:u w:color="000000"/>
      <w:lang w:val="en-US"/>
    </w:rPr>
  </w:style>
  <w:style w:type="character" w:customStyle="1" w:styleId="FootnoteTextChar3">
    <w:name w:val="Footnote Text Char3"/>
    <w:aliases w:val="Footnote Text Char Char Char Char Char Char1,Footnote Text Char Char Char Char Char2,FA Fu Char1,Footnote reference Char1,Footnote Text Char Char Char Char2,Footnote Text Cha Char1,FA Fußnotentext Char1,FA Fuﬂnotentext Char1,Ca Char2"/>
    <w:locked/>
    <w:rsid w:val="0089339B"/>
    <w:rPr>
      <w:rFonts w:ascii="Univers" w:hAnsi="Univers"/>
    </w:rPr>
  </w:style>
  <w:style w:type="character" w:customStyle="1" w:styleId="BodyTextIndentChar1">
    <w:name w:val="Body Text Indent Char1"/>
    <w:locked/>
    <w:rsid w:val="001D0061"/>
    <w:rPr>
      <w:rFonts w:eastAsia="Times New Roman"/>
      <w:color w:val="000000"/>
      <w:sz w:val="24"/>
      <w:szCs w:val="24"/>
      <w:u w:color="000000"/>
      <w:lang w:val="en-US"/>
    </w:rPr>
  </w:style>
  <w:style w:type="character" w:customStyle="1" w:styleId="apple-converted-space">
    <w:name w:val="apple-converted-space"/>
    <w:rsid w:val="003122CD"/>
  </w:style>
  <w:style w:type="paragraph" w:customStyle="1" w:styleId="LightGrid-Accent31">
    <w:name w:val="Light Grid - Accent 31"/>
    <w:basedOn w:val="Normal"/>
    <w:uiPriority w:val="72"/>
    <w:qFormat/>
    <w:rsid w:val="00947322"/>
    <w:pPr>
      <w:ind w:left="720"/>
    </w:pPr>
  </w:style>
  <w:style w:type="character" w:styleId="CommentReference">
    <w:name w:val="annotation reference"/>
    <w:uiPriority w:val="99"/>
    <w:semiHidden/>
    <w:unhideWhenUsed/>
    <w:rsid w:val="008520A5"/>
    <w:rPr>
      <w:sz w:val="16"/>
      <w:szCs w:val="16"/>
    </w:rPr>
  </w:style>
  <w:style w:type="paragraph" w:styleId="CommentText">
    <w:name w:val="annotation text"/>
    <w:basedOn w:val="Normal"/>
    <w:link w:val="CommentTextChar"/>
    <w:uiPriority w:val="99"/>
    <w:semiHidden/>
    <w:unhideWhenUsed/>
    <w:rsid w:val="008520A5"/>
    <w:rPr>
      <w:sz w:val="20"/>
      <w:szCs w:val="20"/>
    </w:rPr>
  </w:style>
  <w:style w:type="character" w:customStyle="1" w:styleId="CommentTextChar">
    <w:name w:val="Comment Text Char"/>
    <w:link w:val="CommentText"/>
    <w:uiPriority w:val="99"/>
    <w:semiHidden/>
    <w:rsid w:val="008520A5"/>
    <w:rPr>
      <w:bdr w:val="nil"/>
    </w:rPr>
  </w:style>
  <w:style w:type="paragraph" w:styleId="CommentSubject">
    <w:name w:val="annotation subject"/>
    <w:basedOn w:val="CommentText"/>
    <w:next w:val="CommentText"/>
    <w:link w:val="CommentSubjectChar"/>
    <w:uiPriority w:val="99"/>
    <w:semiHidden/>
    <w:unhideWhenUsed/>
    <w:rsid w:val="008520A5"/>
    <w:rPr>
      <w:b/>
      <w:bCs/>
    </w:rPr>
  </w:style>
  <w:style w:type="character" w:customStyle="1" w:styleId="CommentSubjectChar">
    <w:name w:val="Comment Subject Char"/>
    <w:link w:val="CommentSubject"/>
    <w:uiPriority w:val="99"/>
    <w:semiHidden/>
    <w:rsid w:val="008520A5"/>
    <w:rPr>
      <w:b/>
      <w:bCs/>
      <w:bdr w:val="nil"/>
    </w:rPr>
  </w:style>
  <w:style w:type="paragraph" w:customStyle="1" w:styleId="MediumGrid1-Accent21">
    <w:name w:val="Medium Grid 1 - Accent 21"/>
    <w:basedOn w:val="Normal"/>
    <w:uiPriority w:val="72"/>
    <w:qFormat/>
    <w:rsid w:val="00311807"/>
    <w:pPr>
      <w:ind w:left="720"/>
    </w:pPr>
  </w:style>
  <w:style w:type="character" w:styleId="Emphasis">
    <w:name w:val="Emphasis"/>
    <w:uiPriority w:val="20"/>
    <w:qFormat/>
    <w:rsid w:val="0040671F"/>
    <w:rPr>
      <w:i/>
      <w:iCs/>
    </w:rPr>
  </w:style>
  <w:style w:type="paragraph" w:customStyle="1" w:styleId="ColorfulList-Accent11">
    <w:name w:val="Colorful List - Accent 11"/>
    <w:aliases w:val="Colorful List - Accent 111"/>
    <w:basedOn w:val="Normal"/>
    <w:link w:val="ColorfulList-Accent1Char"/>
    <w:uiPriority w:val="34"/>
    <w:qFormat/>
    <w:rsid w:val="00E6199C"/>
    <w:pPr>
      <w:ind w:left="720"/>
    </w:pPr>
  </w:style>
  <w:style w:type="character" w:customStyle="1" w:styleId="ColorfulList-Accent1Char">
    <w:name w:val="Colorful List - Accent 1 Char"/>
    <w:aliases w:val="Colorful List - Accent 11 Char"/>
    <w:link w:val="ColorfulList-Accent11"/>
    <w:uiPriority w:val="34"/>
    <w:locked/>
    <w:rsid w:val="00FF6BEE"/>
    <w:rPr>
      <w:sz w:val="24"/>
      <w:szCs w:val="24"/>
      <w:bdr w:val="nil"/>
    </w:rPr>
  </w:style>
  <w:style w:type="paragraph" w:styleId="BodyText3">
    <w:name w:val="Body Text 3"/>
    <w:basedOn w:val="Normal"/>
    <w:link w:val="BodyText3Char"/>
    <w:uiPriority w:val="99"/>
    <w:semiHidden/>
    <w:unhideWhenUsed/>
    <w:rsid w:val="00A7089E"/>
    <w:pPr>
      <w:spacing w:after="120"/>
    </w:pPr>
    <w:rPr>
      <w:sz w:val="16"/>
      <w:szCs w:val="16"/>
    </w:rPr>
  </w:style>
  <w:style w:type="character" w:customStyle="1" w:styleId="BodyText3Char">
    <w:name w:val="Body Text 3 Char"/>
    <w:link w:val="BodyText3"/>
    <w:uiPriority w:val="99"/>
    <w:semiHidden/>
    <w:rsid w:val="00A7089E"/>
    <w:rPr>
      <w:sz w:val="16"/>
      <w:szCs w:val="16"/>
      <w:bdr w:val="nil"/>
    </w:rPr>
  </w:style>
  <w:style w:type="paragraph" w:styleId="ListBullet">
    <w:name w:val="List Bullet"/>
    <w:basedOn w:val="Normal"/>
    <w:uiPriority w:val="99"/>
    <w:unhideWhenUsed/>
    <w:rsid w:val="00254A4A"/>
    <w:pPr>
      <w:numPr>
        <w:numId w:val="6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pPr>
    <w:rPr>
      <w:rFonts w:ascii="Calibri" w:eastAsia="Times New Roman" w:hAnsi="Calibri"/>
      <w:sz w:val="22"/>
      <w:szCs w:val="22"/>
      <w:bdr w:val="none" w:sz="0" w:space="0" w:color="auto"/>
    </w:rPr>
  </w:style>
  <w:style w:type="character" w:styleId="Strong">
    <w:name w:val="Strong"/>
    <w:uiPriority w:val="22"/>
    <w:qFormat/>
    <w:rsid w:val="00254A4A"/>
    <w:rPr>
      <w:b/>
      <w:bCs/>
    </w:rPr>
  </w:style>
  <w:style w:type="paragraph" w:customStyle="1" w:styleId="PrrafodeSentencia">
    <w:name w:val="*. Párrafo de Sentencia"/>
    <w:basedOn w:val="MediumGrid1-Accent21"/>
    <w:autoRedefine/>
    <w:qFormat/>
    <w:rsid w:val="00254A4A"/>
    <w:pPr>
      <w:numPr>
        <w:numId w:val="62"/>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pPr>
    <w:rPr>
      <w:rFonts w:ascii="Verdana" w:eastAsia="Batang" w:hAnsi="Verdana"/>
      <w:sz w:val="20"/>
      <w:szCs w:val="20"/>
      <w:bdr w:val="none" w:sz="0" w:space="0" w:color="auto"/>
    </w:rPr>
  </w:style>
  <w:style w:type="paragraph" w:customStyle="1" w:styleId="1">
    <w:name w:val="1"/>
    <w:basedOn w:val="Normal"/>
    <w:link w:val="FootnoteReference"/>
    <w:rsid w:val="00084156"/>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bdr w:val="none" w:sz="0" w:space="0" w:color="auto"/>
      <w:vertAlign w:val="superscript"/>
    </w:rPr>
  </w:style>
  <w:style w:type="paragraph" w:styleId="ListParagraph">
    <w:name w:val="List Paragraph"/>
    <w:basedOn w:val="Normal"/>
    <w:uiPriority w:val="34"/>
    <w:qFormat/>
    <w:rsid w:val="003D58D8"/>
    <w:pPr>
      <w:ind w:left="720"/>
    </w:pPr>
  </w:style>
  <w:style w:type="character" w:styleId="FollowedHyperlink">
    <w:name w:val="FollowedHyperlink"/>
    <w:uiPriority w:val="99"/>
    <w:semiHidden/>
    <w:unhideWhenUsed/>
    <w:rsid w:val="00812F05"/>
    <w:rPr>
      <w:color w:val="800080"/>
      <w:u w:val="single"/>
    </w:rPr>
  </w:style>
  <w:style w:type="table" w:styleId="MediumShading1-Accent1">
    <w:name w:val="Medium Shading 1 Accent 1"/>
    <w:basedOn w:val="TableNormal"/>
    <w:uiPriority w:val="63"/>
    <w:rsid w:val="006B32D3"/>
    <w:pPr>
      <w:pBdr>
        <w:top w:val="nil"/>
        <w:left w:val="nil"/>
        <w:bottom w:val="nil"/>
        <w:right w:val="nil"/>
        <w:between w:val="nil"/>
        <w:bar w:val="nil"/>
      </w:pBdr>
    </w:pPr>
    <w:rPr>
      <w:bdr w:val="ni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11820">
      <w:bodyDiv w:val="1"/>
      <w:marLeft w:val="0"/>
      <w:marRight w:val="0"/>
      <w:marTop w:val="0"/>
      <w:marBottom w:val="0"/>
      <w:divBdr>
        <w:top w:val="none" w:sz="0" w:space="0" w:color="auto"/>
        <w:left w:val="none" w:sz="0" w:space="0" w:color="auto"/>
        <w:bottom w:val="none" w:sz="0" w:space="0" w:color="auto"/>
        <w:right w:val="none" w:sz="0" w:space="0" w:color="auto"/>
      </w:divBdr>
    </w:div>
    <w:div w:id="174195368">
      <w:bodyDiv w:val="1"/>
      <w:marLeft w:val="0"/>
      <w:marRight w:val="0"/>
      <w:marTop w:val="0"/>
      <w:marBottom w:val="0"/>
      <w:divBdr>
        <w:top w:val="none" w:sz="0" w:space="0" w:color="auto"/>
        <w:left w:val="none" w:sz="0" w:space="0" w:color="auto"/>
        <w:bottom w:val="none" w:sz="0" w:space="0" w:color="auto"/>
        <w:right w:val="none" w:sz="0" w:space="0" w:color="auto"/>
      </w:divBdr>
    </w:div>
    <w:div w:id="227570173">
      <w:bodyDiv w:val="1"/>
      <w:marLeft w:val="0"/>
      <w:marRight w:val="0"/>
      <w:marTop w:val="0"/>
      <w:marBottom w:val="0"/>
      <w:divBdr>
        <w:top w:val="none" w:sz="0" w:space="0" w:color="auto"/>
        <w:left w:val="none" w:sz="0" w:space="0" w:color="auto"/>
        <w:bottom w:val="none" w:sz="0" w:space="0" w:color="auto"/>
        <w:right w:val="none" w:sz="0" w:space="0" w:color="auto"/>
      </w:divBdr>
    </w:div>
    <w:div w:id="342510048">
      <w:bodyDiv w:val="1"/>
      <w:marLeft w:val="0"/>
      <w:marRight w:val="0"/>
      <w:marTop w:val="0"/>
      <w:marBottom w:val="0"/>
      <w:divBdr>
        <w:top w:val="none" w:sz="0" w:space="0" w:color="auto"/>
        <w:left w:val="none" w:sz="0" w:space="0" w:color="auto"/>
        <w:bottom w:val="none" w:sz="0" w:space="0" w:color="auto"/>
        <w:right w:val="none" w:sz="0" w:space="0" w:color="auto"/>
      </w:divBdr>
    </w:div>
    <w:div w:id="390537910">
      <w:bodyDiv w:val="1"/>
      <w:marLeft w:val="0"/>
      <w:marRight w:val="0"/>
      <w:marTop w:val="0"/>
      <w:marBottom w:val="0"/>
      <w:divBdr>
        <w:top w:val="none" w:sz="0" w:space="0" w:color="auto"/>
        <w:left w:val="none" w:sz="0" w:space="0" w:color="auto"/>
        <w:bottom w:val="none" w:sz="0" w:space="0" w:color="auto"/>
        <w:right w:val="none" w:sz="0" w:space="0" w:color="auto"/>
      </w:divBdr>
    </w:div>
    <w:div w:id="734931854">
      <w:bodyDiv w:val="1"/>
      <w:marLeft w:val="0"/>
      <w:marRight w:val="0"/>
      <w:marTop w:val="0"/>
      <w:marBottom w:val="0"/>
      <w:divBdr>
        <w:top w:val="none" w:sz="0" w:space="0" w:color="auto"/>
        <w:left w:val="none" w:sz="0" w:space="0" w:color="auto"/>
        <w:bottom w:val="none" w:sz="0" w:space="0" w:color="auto"/>
        <w:right w:val="none" w:sz="0" w:space="0" w:color="auto"/>
      </w:divBdr>
    </w:div>
    <w:div w:id="883951426">
      <w:bodyDiv w:val="1"/>
      <w:marLeft w:val="0"/>
      <w:marRight w:val="0"/>
      <w:marTop w:val="0"/>
      <w:marBottom w:val="0"/>
      <w:divBdr>
        <w:top w:val="none" w:sz="0" w:space="0" w:color="auto"/>
        <w:left w:val="none" w:sz="0" w:space="0" w:color="auto"/>
        <w:bottom w:val="none" w:sz="0" w:space="0" w:color="auto"/>
        <w:right w:val="none" w:sz="0" w:space="0" w:color="auto"/>
      </w:divBdr>
    </w:div>
    <w:div w:id="999695248">
      <w:bodyDiv w:val="1"/>
      <w:marLeft w:val="0"/>
      <w:marRight w:val="0"/>
      <w:marTop w:val="0"/>
      <w:marBottom w:val="0"/>
      <w:divBdr>
        <w:top w:val="none" w:sz="0" w:space="0" w:color="auto"/>
        <w:left w:val="none" w:sz="0" w:space="0" w:color="auto"/>
        <w:bottom w:val="none" w:sz="0" w:space="0" w:color="auto"/>
        <w:right w:val="none" w:sz="0" w:space="0" w:color="auto"/>
      </w:divBdr>
    </w:div>
    <w:div w:id="1204098108">
      <w:bodyDiv w:val="1"/>
      <w:marLeft w:val="0"/>
      <w:marRight w:val="0"/>
      <w:marTop w:val="0"/>
      <w:marBottom w:val="0"/>
      <w:divBdr>
        <w:top w:val="none" w:sz="0" w:space="0" w:color="auto"/>
        <w:left w:val="none" w:sz="0" w:space="0" w:color="auto"/>
        <w:bottom w:val="none" w:sz="0" w:space="0" w:color="auto"/>
        <w:right w:val="none" w:sz="0" w:space="0" w:color="auto"/>
      </w:divBdr>
    </w:div>
    <w:div w:id="1471677166">
      <w:bodyDiv w:val="1"/>
      <w:marLeft w:val="0"/>
      <w:marRight w:val="0"/>
      <w:marTop w:val="0"/>
      <w:marBottom w:val="0"/>
      <w:divBdr>
        <w:top w:val="none" w:sz="0" w:space="0" w:color="auto"/>
        <w:left w:val="none" w:sz="0" w:space="0" w:color="auto"/>
        <w:bottom w:val="none" w:sz="0" w:space="0" w:color="auto"/>
        <w:right w:val="none" w:sz="0" w:space="0" w:color="auto"/>
      </w:divBdr>
    </w:div>
    <w:div w:id="1645156846">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1419154">
      <w:bodyDiv w:val="1"/>
      <w:marLeft w:val="0"/>
      <w:marRight w:val="0"/>
      <w:marTop w:val="0"/>
      <w:marBottom w:val="0"/>
      <w:divBdr>
        <w:top w:val="none" w:sz="0" w:space="0" w:color="auto"/>
        <w:left w:val="none" w:sz="0" w:space="0" w:color="auto"/>
        <w:bottom w:val="none" w:sz="0" w:space="0" w:color="auto"/>
        <w:right w:val="none" w:sz="0" w:space="0" w:color="auto"/>
      </w:divBdr>
    </w:div>
    <w:div w:id="1886411524">
      <w:bodyDiv w:val="1"/>
      <w:marLeft w:val="0"/>
      <w:marRight w:val="0"/>
      <w:marTop w:val="0"/>
      <w:marBottom w:val="0"/>
      <w:divBdr>
        <w:top w:val="none" w:sz="0" w:space="0" w:color="auto"/>
        <w:left w:val="none" w:sz="0" w:space="0" w:color="auto"/>
        <w:bottom w:val="none" w:sz="0" w:space="0" w:color="auto"/>
        <w:right w:val="none" w:sz="0" w:space="0" w:color="auto"/>
      </w:divBdr>
    </w:div>
    <w:div w:id="198222805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ipsnoticias.net/1995/03/guatemala-onu-comprueba-impunidad-para-violar-derechos-humanos/" TargetMode="External"/><Relationship Id="rId13" Type="http://schemas.openxmlformats.org/officeDocument/2006/relationships/hyperlink" Target="http://www.undp.org/content/dam/guatemala/docs/publications/UNDP_gt_PrevyRecu_MemoriadelSilencio.pdf%20%20%5BTr.%20See%20also:%20https://www.aaas.org/sites/default/files/migrate/uploads/mos_en.pdf%5D" TargetMode="External"/><Relationship Id="rId18" Type="http://schemas.openxmlformats.org/officeDocument/2006/relationships/hyperlink" Target="http://www.oas.org/es/cidh/defensores/docs/pdf/defensores2011.pdf" TargetMode="External"/><Relationship Id="rId3" Type="http://schemas.openxmlformats.org/officeDocument/2006/relationships/hyperlink" Target="http://www.cidh.org/countryrep/Guatemala93eng/cap.9.htm" TargetMode="External"/><Relationship Id="rId7" Type="http://schemas.openxmlformats.org/officeDocument/2006/relationships/hyperlink" Target="http://www.cidh.org/countryrep/Guatemala2003eng/Conclusions.htm" TargetMode="External"/><Relationship Id="rId12" Type="http://schemas.openxmlformats.org/officeDocument/2006/relationships/hyperlink" Target="http://www.undp.org/content/dam/guatemala/docs/publications/UNDP_gt_PrevyRecu_MemoriadelSilencio.pdf%20%20%5BTr.%20See%20also:%20https://www.aaas.org/sites/default/files/migrate/uploads/mos_en.pdf%5D" TargetMode="External"/><Relationship Id="rId17" Type="http://schemas.openxmlformats.org/officeDocument/2006/relationships/hyperlink" Target="http://www.oas.org/es/cidh/defensores/docs/pdf/defensores2011.pdf" TargetMode="External"/><Relationship Id="rId2" Type="http://schemas.openxmlformats.org/officeDocument/2006/relationships/hyperlink" Target="http://www.cidh.org/countryrep/Guatemala93eng/toc.htm" TargetMode="External"/><Relationship Id="rId16" Type="http://schemas.openxmlformats.org/officeDocument/2006/relationships/hyperlink" Target="http://www.cidh.org/countryrep/Defensores/defensoresindice.htm" TargetMode="External"/><Relationship Id="rId20" Type="http://schemas.openxmlformats.org/officeDocument/2006/relationships/hyperlink" Target="http://oas.org/en/iachr/reports/pdfs/Guatemala2016-en.pdf" TargetMode="External"/><Relationship Id="rId1" Type="http://schemas.openxmlformats.org/officeDocument/2006/relationships/hyperlink" Target="http://www.cicad.oas.org/fortalecimiento_institucional/legislations/PDF/GT/decreto_congresional_51-92_codigo_procesal_penal.pdf" TargetMode="External"/><Relationship Id="rId6" Type="http://schemas.openxmlformats.org/officeDocument/2006/relationships/hyperlink" Target="http://www.cidh.org/countryrep/Guatemala2003eng/Conclusions.htm" TargetMode="External"/><Relationship Id="rId11" Type="http://schemas.openxmlformats.org/officeDocument/2006/relationships/hyperlink" Target="http://www.acnur.org/t3/uploads/media/549.pdf?view=1" TargetMode="External"/><Relationship Id="rId5" Type="http://schemas.openxmlformats.org/officeDocument/2006/relationships/hyperlink" Target="http://www.cidh.org/countryrep/Guatemala93eng/cap.9.htm" TargetMode="External"/><Relationship Id="rId15" Type="http://schemas.openxmlformats.org/officeDocument/2006/relationships/hyperlink" Target="http://bdspublico.lim.ilo.org/Guatemala/c87gu.pdf" TargetMode="External"/><Relationship Id="rId10" Type="http://schemas.openxmlformats.org/officeDocument/2006/relationships/hyperlink" Target="http://www.acnur.org/t3/uploads/media/549.pdf?view=1" TargetMode="External"/><Relationship Id="rId19" Type="http://schemas.openxmlformats.org/officeDocument/2006/relationships/hyperlink" Target="http://oas.org/en/iachr/reports/pdfs/Guatemala2016-en.pdf" TargetMode="External"/><Relationship Id="rId4" Type="http://schemas.openxmlformats.org/officeDocument/2006/relationships/hyperlink" Target="http://www.cidh.org/countryrep/Guatemala93eng/cap.9.htm" TargetMode="External"/><Relationship Id="rId9" Type="http://schemas.openxmlformats.org/officeDocument/2006/relationships/hyperlink" Target="http://www.acnur.org/fileadmin/scripts/doc.php?file=pais/docs/405" TargetMode="External"/><Relationship Id="rId14" Type="http://schemas.openxmlformats.org/officeDocument/2006/relationships/hyperlink" Target="http://www.undp.org/content/dam/guatemala/docs/publications/UNDP_gt_PrevyRecu_MemoriadelSilencio.pdf%20%20%5BTr.%20See%20also:%20https://www.aaas.org/sites/default/files/migrate/uploads/mos_en.pdf%5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BAD15-DF10-42B8-8DB8-EC7F3043A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11850</Words>
  <Characters>65179</Characters>
  <Application>Microsoft Office Word</Application>
  <DocSecurity>0</DocSecurity>
  <Lines>543</Lines>
  <Paragraphs>153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76876</CharactersWithSpaces>
  <SharedDoc>false</SharedDoc>
  <HLinks>
    <vt:vector size="168" baseType="variant">
      <vt:variant>
        <vt:i4>1638456</vt:i4>
      </vt:variant>
      <vt:variant>
        <vt:i4>140</vt:i4>
      </vt:variant>
      <vt:variant>
        <vt:i4>0</vt:i4>
      </vt:variant>
      <vt:variant>
        <vt:i4>5</vt:i4>
      </vt:variant>
      <vt:variant>
        <vt:lpwstr/>
      </vt:variant>
      <vt:variant>
        <vt:lpwstr>_Toc473188709</vt:lpwstr>
      </vt:variant>
      <vt:variant>
        <vt:i4>1638456</vt:i4>
      </vt:variant>
      <vt:variant>
        <vt:i4>134</vt:i4>
      </vt:variant>
      <vt:variant>
        <vt:i4>0</vt:i4>
      </vt:variant>
      <vt:variant>
        <vt:i4>5</vt:i4>
      </vt:variant>
      <vt:variant>
        <vt:lpwstr/>
      </vt:variant>
      <vt:variant>
        <vt:lpwstr>_Toc473188708</vt:lpwstr>
      </vt:variant>
      <vt:variant>
        <vt:i4>1638456</vt:i4>
      </vt:variant>
      <vt:variant>
        <vt:i4>128</vt:i4>
      </vt:variant>
      <vt:variant>
        <vt:i4>0</vt:i4>
      </vt:variant>
      <vt:variant>
        <vt:i4>5</vt:i4>
      </vt:variant>
      <vt:variant>
        <vt:lpwstr/>
      </vt:variant>
      <vt:variant>
        <vt:lpwstr>_Toc473188707</vt:lpwstr>
      </vt:variant>
      <vt:variant>
        <vt:i4>1638456</vt:i4>
      </vt:variant>
      <vt:variant>
        <vt:i4>122</vt:i4>
      </vt:variant>
      <vt:variant>
        <vt:i4>0</vt:i4>
      </vt:variant>
      <vt:variant>
        <vt:i4>5</vt:i4>
      </vt:variant>
      <vt:variant>
        <vt:lpwstr/>
      </vt:variant>
      <vt:variant>
        <vt:lpwstr>_Toc473188703</vt:lpwstr>
      </vt:variant>
      <vt:variant>
        <vt:i4>1638456</vt:i4>
      </vt:variant>
      <vt:variant>
        <vt:i4>116</vt:i4>
      </vt:variant>
      <vt:variant>
        <vt:i4>0</vt:i4>
      </vt:variant>
      <vt:variant>
        <vt:i4>5</vt:i4>
      </vt:variant>
      <vt:variant>
        <vt:lpwstr/>
      </vt:variant>
      <vt:variant>
        <vt:lpwstr>_Toc473188702</vt:lpwstr>
      </vt:variant>
      <vt:variant>
        <vt:i4>1638456</vt:i4>
      </vt:variant>
      <vt:variant>
        <vt:i4>110</vt:i4>
      </vt:variant>
      <vt:variant>
        <vt:i4>0</vt:i4>
      </vt:variant>
      <vt:variant>
        <vt:i4>5</vt:i4>
      </vt:variant>
      <vt:variant>
        <vt:lpwstr/>
      </vt:variant>
      <vt:variant>
        <vt:lpwstr>_Toc473188701</vt:lpwstr>
      </vt:variant>
      <vt:variant>
        <vt:i4>1638456</vt:i4>
      </vt:variant>
      <vt:variant>
        <vt:i4>104</vt:i4>
      </vt:variant>
      <vt:variant>
        <vt:i4>0</vt:i4>
      </vt:variant>
      <vt:variant>
        <vt:i4>5</vt:i4>
      </vt:variant>
      <vt:variant>
        <vt:lpwstr/>
      </vt:variant>
      <vt:variant>
        <vt:lpwstr>_Toc473188700</vt:lpwstr>
      </vt:variant>
      <vt:variant>
        <vt:i4>1048633</vt:i4>
      </vt:variant>
      <vt:variant>
        <vt:i4>98</vt:i4>
      </vt:variant>
      <vt:variant>
        <vt:i4>0</vt:i4>
      </vt:variant>
      <vt:variant>
        <vt:i4>5</vt:i4>
      </vt:variant>
      <vt:variant>
        <vt:lpwstr/>
      </vt:variant>
      <vt:variant>
        <vt:lpwstr>_Toc473188699</vt:lpwstr>
      </vt:variant>
      <vt:variant>
        <vt:i4>1048633</vt:i4>
      </vt:variant>
      <vt:variant>
        <vt:i4>92</vt:i4>
      </vt:variant>
      <vt:variant>
        <vt:i4>0</vt:i4>
      </vt:variant>
      <vt:variant>
        <vt:i4>5</vt:i4>
      </vt:variant>
      <vt:variant>
        <vt:lpwstr/>
      </vt:variant>
      <vt:variant>
        <vt:lpwstr>_Toc473188698</vt:lpwstr>
      </vt:variant>
      <vt:variant>
        <vt:i4>1048633</vt:i4>
      </vt:variant>
      <vt:variant>
        <vt:i4>86</vt:i4>
      </vt:variant>
      <vt:variant>
        <vt:i4>0</vt:i4>
      </vt:variant>
      <vt:variant>
        <vt:i4>5</vt:i4>
      </vt:variant>
      <vt:variant>
        <vt:lpwstr/>
      </vt:variant>
      <vt:variant>
        <vt:lpwstr>_Toc473188697</vt:lpwstr>
      </vt:variant>
      <vt:variant>
        <vt:i4>1048633</vt:i4>
      </vt:variant>
      <vt:variant>
        <vt:i4>80</vt:i4>
      </vt:variant>
      <vt:variant>
        <vt:i4>0</vt:i4>
      </vt:variant>
      <vt:variant>
        <vt:i4>5</vt:i4>
      </vt:variant>
      <vt:variant>
        <vt:lpwstr/>
      </vt:variant>
      <vt:variant>
        <vt:lpwstr>_Toc473188696</vt:lpwstr>
      </vt:variant>
      <vt:variant>
        <vt:i4>1048633</vt:i4>
      </vt:variant>
      <vt:variant>
        <vt:i4>74</vt:i4>
      </vt:variant>
      <vt:variant>
        <vt:i4>0</vt:i4>
      </vt:variant>
      <vt:variant>
        <vt:i4>5</vt:i4>
      </vt:variant>
      <vt:variant>
        <vt:lpwstr/>
      </vt:variant>
      <vt:variant>
        <vt:lpwstr>_Toc473188695</vt:lpwstr>
      </vt:variant>
      <vt:variant>
        <vt:i4>1048633</vt:i4>
      </vt:variant>
      <vt:variant>
        <vt:i4>68</vt:i4>
      </vt:variant>
      <vt:variant>
        <vt:i4>0</vt:i4>
      </vt:variant>
      <vt:variant>
        <vt:i4>5</vt:i4>
      </vt:variant>
      <vt:variant>
        <vt:lpwstr/>
      </vt:variant>
      <vt:variant>
        <vt:lpwstr>_Toc473188694</vt:lpwstr>
      </vt:variant>
      <vt:variant>
        <vt:i4>1048633</vt:i4>
      </vt:variant>
      <vt:variant>
        <vt:i4>62</vt:i4>
      </vt:variant>
      <vt:variant>
        <vt:i4>0</vt:i4>
      </vt:variant>
      <vt:variant>
        <vt:i4>5</vt:i4>
      </vt:variant>
      <vt:variant>
        <vt:lpwstr/>
      </vt:variant>
      <vt:variant>
        <vt:lpwstr>_Toc473188693</vt:lpwstr>
      </vt:variant>
      <vt:variant>
        <vt:i4>1048633</vt:i4>
      </vt:variant>
      <vt:variant>
        <vt:i4>56</vt:i4>
      </vt:variant>
      <vt:variant>
        <vt:i4>0</vt:i4>
      </vt:variant>
      <vt:variant>
        <vt:i4>5</vt:i4>
      </vt:variant>
      <vt:variant>
        <vt:lpwstr/>
      </vt:variant>
      <vt:variant>
        <vt:lpwstr>_Toc473188692</vt:lpwstr>
      </vt:variant>
      <vt:variant>
        <vt:i4>1048633</vt:i4>
      </vt:variant>
      <vt:variant>
        <vt:i4>50</vt:i4>
      </vt:variant>
      <vt:variant>
        <vt:i4>0</vt:i4>
      </vt:variant>
      <vt:variant>
        <vt:i4>5</vt:i4>
      </vt:variant>
      <vt:variant>
        <vt:lpwstr/>
      </vt:variant>
      <vt:variant>
        <vt:lpwstr>_Toc473188691</vt:lpwstr>
      </vt:variant>
      <vt:variant>
        <vt:i4>1048633</vt:i4>
      </vt:variant>
      <vt:variant>
        <vt:i4>44</vt:i4>
      </vt:variant>
      <vt:variant>
        <vt:i4>0</vt:i4>
      </vt:variant>
      <vt:variant>
        <vt:i4>5</vt:i4>
      </vt:variant>
      <vt:variant>
        <vt:lpwstr/>
      </vt:variant>
      <vt:variant>
        <vt:lpwstr>_Toc473188690</vt:lpwstr>
      </vt:variant>
      <vt:variant>
        <vt:i4>1114169</vt:i4>
      </vt:variant>
      <vt:variant>
        <vt:i4>38</vt:i4>
      </vt:variant>
      <vt:variant>
        <vt:i4>0</vt:i4>
      </vt:variant>
      <vt:variant>
        <vt:i4>5</vt:i4>
      </vt:variant>
      <vt:variant>
        <vt:lpwstr/>
      </vt:variant>
      <vt:variant>
        <vt:lpwstr>_Toc473188689</vt:lpwstr>
      </vt:variant>
      <vt:variant>
        <vt:i4>1114169</vt:i4>
      </vt:variant>
      <vt:variant>
        <vt:i4>32</vt:i4>
      </vt:variant>
      <vt:variant>
        <vt:i4>0</vt:i4>
      </vt:variant>
      <vt:variant>
        <vt:i4>5</vt:i4>
      </vt:variant>
      <vt:variant>
        <vt:lpwstr/>
      </vt:variant>
      <vt:variant>
        <vt:lpwstr>_Toc473188688</vt:lpwstr>
      </vt:variant>
      <vt:variant>
        <vt:i4>1114169</vt:i4>
      </vt:variant>
      <vt:variant>
        <vt:i4>26</vt:i4>
      </vt:variant>
      <vt:variant>
        <vt:i4>0</vt:i4>
      </vt:variant>
      <vt:variant>
        <vt:i4>5</vt:i4>
      </vt:variant>
      <vt:variant>
        <vt:lpwstr/>
      </vt:variant>
      <vt:variant>
        <vt:lpwstr>_Toc473188687</vt:lpwstr>
      </vt:variant>
      <vt:variant>
        <vt:i4>1114169</vt:i4>
      </vt:variant>
      <vt:variant>
        <vt:i4>20</vt:i4>
      </vt:variant>
      <vt:variant>
        <vt:i4>0</vt:i4>
      </vt:variant>
      <vt:variant>
        <vt:i4>5</vt:i4>
      </vt:variant>
      <vt:variant>
        <vt:lpwstr/>
      </vt:variant>
      <vt:variant>
        <vt:lpwstr>_Toc473188686</vt:lpwstr>
      </vt:variant>
      <vt:variant>
        <vt:i4>1114169</vt:i4>
      </vt:variant>
      <vt:variant>
        <vt:i4>14</vt:i4>
      </vt:variant>
      <vt:variant>
        <vt:i4>0</vt:i4>
      </vt:variant>
      <vt:variant>
        <vt:i4>5</vt:i4>
      </vt:variant>
      <vt:variant>
        <vt:lpwstr/>
      </vt:variant>
      <vt:variant>
        <vt:lpwstr>_Toc473188685</vt:lpwstr>
      </vt:variant>
      <vt:variant>
        <vt:i4>1114169</vt:i4>
      </vt:variant>
      <vt:variant>
        <vt:i4>8</vt:i4>
      </vt:variant>
      <vt:variant>
        <vt:i4>0</vt:i4>
      </vt:variant>
      <vt:variant>
        <vt:i4>5</vt:i4>
      </vt:variant>
      <vt:variant>
        <vt:lpwstr/>
      </vt:variant>
      <vt:variant>
        <vt:lpwstr>_Toc473188684</vt:lpwstr>
      </vt:variant>
      <vt:variant>
        <vt:i4>1114169</vt:i4>
      </vt:variant>
      <vt:variant>
        <vt:i4>2</vt:i4>
      </vt:variant>
      <vt:variant>
        <vt:i4>0</vt:i4>
      </vt:variant>
      <vt:variant>
        <vt:i4>5</vt:i4>
      </vt:variant>
      <vt:variant>
        <vt:lpwstr/>
      </vt:variant>
      <vt:variant>
        <vt:lpwstr>_Toc473188683</vt:lpwstr>
      </vt:variant>
      <vt:variant>
        <vt:i4>786500</vt:i4>
      </vt:variant>
      <vt:variant>
        <vt:i4>9</vt:i4>
      </vt:variant>
      <vt:variant>
        <vt:i4>0</vt:i4>
      </vt:variant>
      <vt:variant>
        <vt:i4>5</vt:i4>
      </vt:variant>
      <vt:variant>
        <vt:lpwstr>http://bdspublico.lim.ilo.org/Guatemala/c87gu.pdf</vt:lpwstr>
      </vt:variant>
      <vt:variant>
        <vt:lpwstr/>
      </vt:variant>
      <vt:variant>
        <vt:i4>5046376</vt:i4>
      </vt:variant>
      <vt:variant>
        <vt:i4>6</vt:i4>
      </vt:variant>
      <vt:variant>
        <vt:i4>0</vt:i4>
      </vt:variant>
      <vt:variant>
        <vt:i4>5</vt:i4>
      </vt:variant>
      <vt:variant>
        <vt:lpwstr>http://www.undp.org/content/dam/guatemala/docs/publications/UNDP_gt_PrevyRecu_MemoriadelSilencio.pdf</vt:lpwstr>
      </vt:variant>
      <vt:variant>
        <vt:lpwstr/>
      </vt:variant>
      <vt:variant>
        <vt:i4>5046376</vt:i4>
      </vt:variant>
      <vt:variant>
        <vt:i4>3</vt:i4>
      </vt:variant>
      <vt:variant>
        <vt:i4>0</vt:i4>
      </vt:variant>
      <vt:variant>
        <vt:i4>5</vt:i4>
      </vt:variant>
      <vt:variant>
        <vt:lpwstr>http://www.undp.org/content/dam/guatemala/docs/publications/UNDP_gt_PrevyRecu_MemoriadelSilencio.pdf</vt:lpwstr>
      </vt:variant>
      <vt:variant>
        <vt:lpwstr/>
      </vt:variant>
      <vt:variant>
        <vt:i4>5046376</vt:i4>
      </vt:variant>
      <vt:variant>
        <vt:i4>0</vt:i4>
      </vt:variant>
      <vt:variant>
        <vt:i4>0</vt:i4>
      </vt:variant>
      <vt:variant>
        <vt:i4>5</vt:i4>
      </vt:variant>
      <vt:variant>
        <vt:lpwstr>http://www.undp.org/content/dam/guatemala/docs/publications/UNDP_gt_PrevyRecu_MemoriadelSilencio.pdf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CIDH</dc:creator>
  <cp:lastModifiedBy>%username%</cp:lastModifiedBy>
  <cp:revision>3</cp:revision>
  <cp:lastPrinted>2017-03-13T15:39:00Z</cp:lastPrinted>
  <dcterms:created xsi:type="dcterms:W3CDTF">2017-03-23T13:14:00Z</dcterms:created>
  <dcterms:modified xsi:type="dcterms:W3CDTF">2017-03-23T13:19:00Z</dcterms:modified>
</cp:coreProperties>
</file>