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27159C" w:rsidRDefault="006311DA" w:rsidP="00627C9F">
      <w:pPr>
        <w:jc w:val="both"/>
        <w:rPr>
          <w:rFonts w:asciiTheme="majorHAnsi" w:hAnsiTheme="majorHAnsi" w:cs="Univers"/>
          <w:b/>
          <w:bCs/>
          <w:sz w:val="22"/>
          <w:szCs w:val="22"/>
        </w:rPr>
      </w:pPr>
      <w:r w:rsidRPr="0027159C">
        <w:rPr>
          <w:rFonts w:asciiTheme="majorHAnsi" w:hAnsiTheme="majorHAnsi"/>
          <w:noProof/>
          <w:sz w:val="22"/>
          <w:szCs w:val="22"/>
          <w:lang w:val="es-UY" w:eastAsia="es-UY" w:bidi="ar-SA"/>
        </w:rPr>
        <mc:AlternateContent>
          <mc:Choice Requires="wps">
            <w:drawing>
              <wp:anchor distT="0" distB="0" distL="114300" distR="114300" simplePos="0" relativeHeight="251661311" behindDoc="0" locked="0" layoutInCell="1" allowOverlap="1" wp14:anchorId="719BAF97" wp14:editId="7CAC1C7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xmlns:o="urn:schemas-microsoft-com:office:office" xmlns:v="urn:schemas-microsoft-com:vml"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Pr="0027159C">
        <w:rPr>
          <w:rFonts w:asciiTheme="majorHAnsi" w:hAnsiTheme="majorHAnsi"/>
          <w:noProof/>
          <w:sz w:val="22"/>
          <w:szCs w:val="22"/>
          <w:lang w:val="es-UY" w:eastAsia="es-UY" w:bidi="ar-SA"/>
        </w:rPr>
        <mc:AlternateContent>
          <mc:Choice Requires="wps">
            <w:drawing>
              <wp:anchor distT="0" distB="0" distL="114300" distR="114300" simplePos="0" relativeHeight="251673600" behindDoc="0" locked="0" layoutInCell="1" allowOverlap="1" wp14:anchorId="2B92CE0F" wp14:editId="39F7EC4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7C8" w:rsidRDefault="00C807C8">
                            <w:r>
                              <w:rPr>
                                <w:noProof/>
                                <w:lang w:val="es-UY" w:eastAsia="es-UY" w:bidi="ar-SA"/>
                              </w:rPr>
                              <w:drawing>
                                <wp:inline distT="0" distB="0" distL="0" distR="0" wp14:anchorId="4AC4BD1E" wp14:editId="789806D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807C8" w:rsidRDefault="00C807C8">
                      <w:r>
                        <w:rPr>
                          <w:noProof/>
                          <w:lang w:bidi="ar-SA"/>
                        </w:rPr>
                        <w:drawing>
                          <wp:inline distT="0" distB="0" distL="0" distR="0" wp14:anchorId="4AC4BD1E" wp14:editId="789806D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27159C" w:rsidRDefault="00040C3A" w:rsidP="00040C3A">
      <w:pPr>
        <w:tabs>
          <w:tab w:val="center" w:pos="5400"/>
        </w:tabs>
        <w:suppressAutoHyphens/>
        <w:jc w:val="both"/>
        <w:rPr>
          <w:rFonts w:asciiTheme="majorHAnsi" w:hAnsiTheme="majorHAnsi"/>
          <w:sz w:val="22"/>
          <w:szCs w:val="22"/>
        </w:rPr>
      </w:pPr>
    </w:p>
    <w:p w:rsidR="00040C3A" w:rsidRPr="0027159C" w:rsidRDefault="00040C3A" w:rsidP="00040C3A">
      <w:pPr>
        <w:tabs>
          <w:tab w:val="center" w:pos="5400"/>
        </w:tabs>
        <w:suppressAutoHyphens/>
        <w:jc w:val="both"/>
        <w:rPr>
          <w:rFonts w:asciiTheme="majorHAnsi" w:hAnsiTheme="majorHAnsi"/>
          <w:sz w:val="22"/>
          <w:szCs w:val="22"/>
        </w:rPr>
      </w:pPr>
    </w:p>
    <w:p w:rsidR="005128E4" w:rsidRPr="0027159C" w:rsidRDefault="005128E4" w:rsidP="00040C3A">
      <w:pPr>
        <w:tabs>
          <w:tab w:val="center" w:pos="5400"/>
        </w:tabs>
        <w:suppressAutoHyphens/>
        <w:rPr>
          <w:rFonts w:asciiTheme="majorHAnsi" w:hAnsiTheme="majorHAnsi"/>
          <w:sz w:val="22"/>
          <w:szCs w:val="22"/>
        </w:rPr>
      </w:pPr>
    </w:p>
    <w:p w:rsidR="005128E4" w:rsidRPr="0027159C" w:rsidRDefault="005128E4" w:rsidP="00040C3A">
      <w:pPr>
        <w:tabs>
          <w:tab w:val="center" w:pos="5400"/>
        </w:tabs>
        <w:suppressAutoHyphens/>
        <w:rPr>
          <w:rFonts w:asciiTheme="majorHAnsi" w:hAnsiTheme="majorHAnsi"/>
          <w:sz w:val="22"/>
          <w:szCs w:val="22"/>
        </w:rPr>
      </w:pPr>
    </w:p>
    <w:p w:rsidR="005128E4" w:rsidRPr="0027159C" w:rsidRDefault="005128E4" w:rsidP="00040C3A">
      <w:pPr>
        <w:tabs>
          <w:tab w:val="center" w:pos="5400"/>
        </w:tabs>
        <w:suppressAutoHyphens/>
        <w:rPr>
          <w:rFonts w:asciiTheme="majorHAnsi" w:hAnsiTheme="majorHAnsi"/>
          <w:sz w:val="22"/>
          <w:szCs w:val="22"/>
        </w:rPr>
      </w:pPr>
    </w:p>
    <w:p w:rsidR="00040C3A" w:rsidRPr="0027159C" w:rsidRDefault="00040C3A" w:rsidP="005128E4">
      <w:pPr>
        <w:tabs>
          <w:tab w:val="center" w:pos="5400"/>
        </w:tabs>
        <w:suppressAutoHyphens/>
        <w:jc w:val="center"/>
        <w:rPr>
          <w:rFonts w:asciiTheme="majorHAnsi" w:hAnsiTheme="majorHAnsi"/>
          <w:sz w:val="22"/>
          <w:szCs w:val="22"/>
        </w:rPr>
      </w:pPr>
    </w:p>
    <w:p w:rsidR="00040C3A" w:rsidRPr="0027159C" w:rsidRDefault="00040C3A" w:rsidP="005128E4">
      <w:pPr>
        <w:tabs>
          <w:tab w:val="center" w:pos="5400"/>
        </w:tabs>
        <w:suppressAutoHyphens/>
        <w:jc w:val="center"/>
        <w:rPr>
          <w:rFonts w:asciiTheme="majorHAnsi" w:hAnsiTheme="majorHAnsi"/>
          <w:sz w:val="22"/>
          <w:szCs w:val="22"/>
        </w:rPr>
      </w:pPr>
    </w:p>
    <w:p w:rsidR="005B52B0" w:rsidRPr="0027159C" w:rsidRDefault="005B52B0" w:rsidP="005128E4">
      <w:pPr>
        <w:tabs>
          <w:tab w:val="center" w:pos="5400"/>
        </w:tabs>
        <w:suppressAutoHyphens/>
        <w:jc w:val="center"/>
        <w:rPr>
          <w:rFonts w:asciiTheme="majorHAnsi" w:hAnsiTheme="majorHAnsi"/>
          <w:sz w:val="22"/>
          <w:szCs w:val="22"/>
        </w:rPr>
      </w:pPr>
      <w:bookmarkStart w:id="0" w:name="_GoBack"/>
      <w:bookmarkEnd w:id="0"/>
    </w:p>
    <w:p w:rsidR="005B52B0" w:rsidRPr="0027159C" w:rsidRDefault="005B52B0" w:rsidP="005128E4">
      <w:pPr>
        <w:tabs>
          <w:tab w:val="center" w:pos="5400"/>
        </w:tabs>
        <w:suppressAutoHyphens/>
        <w:jc w:val="center"/>
        <w:rPr>
          <w:rFonts w:asciiTheme="majorHAnsi" w:hAnsiTheme="majorHAnsi"/>
          <w:sz w:val="22"/>
          <w:szCs w:val="22"/>
        </w:rPr>
      </w:pPr>
    </w:p>
    <w:p w:rsidR="005B52B0" w:rsidRPr="0027159C" w:rsidRDefault="005B52B0" w:rsidP="005128E4">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E533FF" w:rsidP="00040C3A">
      <w:pPr>
        <w:tabs>
          <w:tab w:val="center" w:pos="5400"/>
        </w:tabs>
        <w:suppressAutoHyphens/>
        <w:jc w:val="center"/>
        <w:rPr>
          <w:rFonts w:asciiTheme="majorHAnsi" w:hAnsiTheme="majorHAnsi"/>
          <w:sz w:val="22"/>
          <w:szCs w:val="22"/>
        </w:rPr>
      </w:pPr>
      <w:r w:rsidRPr="0027159C">
        <w:rPr>
          <w:rFonts w:asciiTheme="majorHAnsi" w:hAnsiTheme="majorHAnsi"/>
          <w:noProof/>
          <w:sz w:val="22"/>
          <w:szCs w:val="22"/>
          <w:lang w:val="es-UY" w:eastAsia="es-UY" w:bidi="ar-SA"/>
        </w:rPr>
        <mc:AlternateContent>
          <mc:Choice Requires="wps">
            <w:drawing>
              <wp:anchor distT="0" distB="0" distL="114300" distR="114300" simplePos="0" relativeHeight="251669504" behindDoc="0" locked="0" layoutInCell="1" allowOverlap="1" wp14:anchorId="59083002" wp14:editId="2A26A93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7C8" w:rsidRPr="004B7EB6" w:rsidRDefault="00C807C8"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7A6A52">
                              <w:rPr>
                                <w:rFonts w:asciiTheme="majorHAnsi" w:hAnsiTheme="majorHAnsi"/>
                                <w:b/>
                                <w:color w:val="0D0D0D" w:themeColor="text1" w:themeTint="F2"/>
                                <w:sz w:val="36"/>
                              </w:rPr>
                              <w:t>100</w:t>
                            </w:r>
                            <w:r>
                              <w:rPr>
                                <w:rFonts w:asciiTheme="majorHAnsi" w:hAnsiTheme="majorHAnsi"/>
                                <w:b/>
                                <w:color w:val="0D0D0D" w:themeColor="text1" w:themeTint="F2"/>
                                <w:sz w:val="36"/>
                              </w:rPr>
                              <w:t>/17</w:t>
                            </w:r>
                          </w:p>
                          <w:p w:rsidR="00C807C8" w:rsidRPr="004B7EB6" w:rsidRDefault="00C807C8"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12.685</w:t>
                            </w:r>
                          </w:p>
                          <w:p w:rsidR="00C807C8" w:rsidRPr="004B7EB6" w:rsidRDefault="00C807C8" w:rsidP="00202702">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MERITS </w:t>
                            </w:r>
                          </w:p>
                          <w:p w:rsidR="00C807C8" w:rsidRPr="004B7EB6" w:rsidRDefault="00C807C8" w:rsidP="004B7EB6">
                            <w:pPr>
                              <w:spacing w:line="276" w:lineRule="auto"/>
                              <w:rPr>
                                <w:rFonts w:asciiTheme="majorHAnsi" w:hAnsiTheme="majorHAnsi" w:cs="Arial"/>
                                <w:color w:val="0D0D0D" w:themeColor="text1" w:themeTint="F2"/>
                                <w:szCs w:val="22"/>
                              </w:rPr>
                            </w:pPr>
                          </w:p>
                          <w:p w:rsidR="00C807C8" w:rsidRPr="00786E2B" w:rsidRDefault="00C807C8" w:rsidP="00E0673D">
                            <w:pPr>
                              <w:rPr>
                                <w:rFonts w:asciiTheme="majorHAnsi" w:hAnsiTheme="majorHAnsi"/>
                                <w:color w:val="0D0D0D" w:themeColor="text1" w:themeTint="F2"/>
                                <w:lang w:val="es-CO"/>
                              </w:rPr>
                            </w:pPr>
                            <w:r>
                              <w:rPr>
                                <w:rFonts w:asciiTheme="majorHAnsi" w:hAnsiTheme="majorHAnsi"/>
                                <w:color w:val="0D0D0D" w:themeColor="text1" w:themeTint="F2"/>
                                <w:lang w:val="es-CO"/>
                              </w:rPr>
                              <w:t>JUAN FRANCISCO ARROM SUHURT Y ANUNCIO MARTIN MENDEZ</w:t>
                            </w:r>
                          </w:p>
                          <w:p w:rsidR="00C807C8" w:rsidRPr="00786E2B" w:rsidRDefault="00C807C8" w:rsidP="00202702">
                            <w:pPr>
                              <w:spacing w:line="276" w:lineRule="auto"/>
                              <w:rPr>
                                <w:rFonts w:asciiTheme="majorHAnsi" w:hAnsiTheme="majorHAnsi" w:cs="Arial"/>
                                <w:color w:val="0D0D0D" w:themeColor="text1" w:themeTint="F2"/>
                                <w:szCs w:val="22"/>
                                <w:lang w:val="es-CO"/>
                              </w:rPr>
                            </w:pPr>
                          </w:p>
                          <w:p w:rsidR="00C807C8" w:rsidRPr="004B7EB6" w:rsidRDefault="00C807C8" w:rsidP="00202702">
                            <w:pPr>
                              <w:spacing w:line="276" w:lineRule="auto"/>
                              <w:rPr>
                                <w:rFonts w:asciiTheme="majorHAnsi" w:hAnsiTheme="majorHAnsi"/>
                                <w:color w:val="0D0D0D" w:themeColor="text1" w:themeTint="F2"/>
                              </w:rPr>
                            </w:pPr>
                            <w:r>
                              <w:rPr>
                                <w:rFonts w:asciiTheme="majorHAnsi" w:hAnsiTheme="majorHAnsi"/>
                                <w:color w:val="0D0D0D" w:themeColor="text1" w:themeTint="F2"/>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C807C8" w:rsidRPr="004B7EB6" w:rsidRDefault="00C807C8"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 xml:space="preserve">REPORT No. </w:t>
                      </w:r>
                      <w:r w:rsidR="007A6A52">
                        <w:rPr>
                          <w:rFonts w:asciiTheme="majorHAnsi" w:hAnsiTheme="majorHAnsi"/>
                          <w:b/>
                          <w:color w:val="0D0D0D" w:themeColor="text1" w:themeTint="F2"/>
                          <w:sz w:val="36"/>
                        </w:rPr>
                        <w:t>100</w:t>
                      </w:r>
                      <w:r>
                        <w:rPr>
                          <w:rFonts w:asciiTheme="majorHAnsi" w:hAnsiTheme="majorHAnsi"/>
                          <w:b/>
                          <w:color w:val="0D0D0D" w:themeColor="text1" w:themeTint="F2"/>
                          <w:sz w:val="36"/>
                        </w:rPr>
                        <w:t>/17</w:t>
                      </w:r>
                    </w:p>
                    <w:p w:rsidR="00C807C8" w:rsidRPr="004B7EB6" w:rsidRDefault="00C807C8" w:rsidP="004B7EB6">
                      <w:pPr>
                        <w:spacing w:line="276" w:lineRule="auto"/>
                        <w:rPr>
                          <w:rFonts w:asciiTheme="majorHAnsi" w:hAnsiTheme="majorHAnsi" w:cs="Arial"/>
                          <w:b/>
                          <w:bCs/>
                          <w:color w:val="0D0D0D" w:themeColor="text1" w:themeTint="F2"/>
                          <w:sz w:val="36"/>
                          <w:szCs w:val="40"/>
                        </w:rPr>
                      </w:pPr>
                      <w:r>
                        <w:rPr>
                          <w:rFonts w:asciiTheme="majorHAnsi" w:hAnsiTheme="majorHAnsi"/>
                          <w:b/>
                          <w:color w:val="0D0D0D" w:themeColor="text1" w:themeTint="F2"/>
                          <w:sz w:val="36"/>
                        </w:rPr>
                        <w:t>CASE 12.685</w:t>
                      </w:r>
                    </w:p>
                    <w:p w:rsidR="00C807C8" w:rsidRPr="004B7EB6" w:rsidRDefault="00C807C8" w:rsidP="00202702">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MERITS </w:t>
                      </w:r>
                    </w:p>
                    <w:p w:rsidR="00C807C8" w:rsidRPr="004B7EB6" w:rsidRDefault="00C807C8" w:rsidP="004B7EB6">
                      <w:pPr>
                        <w:spacing w:line="276" w:lineRule="auto"/>
                        <w:rPr>
                          <w:rFonts w:asciiTheme="majorHAnsi" w:hAnsiTheme="majorHAnsi" w:cs="Arial"/>
                          <w:color w:val="0D0D0D" w:themeColor="text1" w:themeTint="F2"/>
                          <w:szCs w:val="22"/>
                        </w:rPr>
                      </w:pPr>
                    </w:p>
                    <w:p w:rsidR="00C807C8" w:rsidRPr="00786E2B" w:rsidRDefault="00C807C8" w:rsidP="00E0673D">
                      <w:pPr>
                        <w:rPr>
                          <w:rFonts w:asciiTheme="majorHAnsi" w:hAnsiTheme="majorHAnsi"/>
                          <w:color w:val="0D0D0D" w:themeColor="text1" w:themeTint="F2"/>
                          <w:lang w:val="es-CO"/>
                        </w:rPr>
                      </w:pPr>
                      <w:r>
                        <w:rPr>
                          <w:rFonts w:asciiTheme="majorHAnsi" w:hAnsiTheme="majorHAnsi"/>
                          <w:color w:val="0D0D0D" w:themeColor="text1" w:themeTint="F2"/>
                          <w:lang w:val="es-CO"/>
                        </w:rPr>
                        <w:t>JUAN FRANCISCO ARROM SUHURT Y ANUNCIO MARTIN MENDEZ</w:t>
                      </w:r>
                    </w:p>
                    <w:p w:rsidR="00C807C8" w:rsidRPr="00786E2B" w:rsidRDefault="00C807C8" w:rsidP="00202702">
                      <w:pPr>
                        <w:spacing w:line="276" w:lineRule="auto"/>
                        <w:rPr>
                          <w:rFonts w:asciiTheme="majorHAnsi" w:hAnsiTheme="majorHAnsi" w:cs="Arial"/>
                          <w:color w:val="0D0D0D" w:themeColor="text1" w:themeTint="F2"/>
                          <w:szCs w:val="22"/>
                          <w:lang w:val="es-CO"/>
                        </w:rPr>
                      </w:pPr>
                    </w:p>
                    <w:p w:rsidR="00C807C8" w:rsidRPr="004B7EB6" w:rsidRDefault="00C807C8" w:rsidP="00202702">
                      <w:pPr>
                        <w:spacing w:line="276" w:lineRule="auto"/>
                        <w:rPr>
                          <w:rFonts w:asciiTheme="majorHAnsi" w:hAnsiTheme="majorHAnsi"/>
                          <w:color w:val="0D0D0D" w:themeColor="text1" w:themeTint="F2"/>
                        </w:rPr>
                      </w:pPr>
                      <w:r>
                        <w:rPr>
                          <w:rFonts w:asciiTheme="majorHAnsi" w:hAnsiTheme="majorHAnsi"/>
                          <w:color w:val="0D0D0D" w:themeColor="text1" w:themeTint="F2"/>
                        </w:rPr>
                        <w:t>PARAGUAY</w:t>
                      </w:r>
                    </w:p>
                  </w:txbxContent>
                </v:textbox>
              </v:shape>
            </w:pict>
          </mc:Fallback>
        </mc:AlternateContent>
      </w:r>
      <w:r w:rsidRPr="0027159C">
        <w:rPr>
          <w:rFonts w:asciiTheme="majorHAnsi" w:hAnsiTheme="majorHAnsi"/>
          <w:noProof/>
          <w:sz w:val="22"/>
          <w:szCs w:val="22"/>
          <w:lang w:val="es-UY" w:eastAsia="es-UY" w:bidi="ar-SA"/>
        </w:rPr>
        <mc:AlternateContent>
          <mc:Choice Requires="wps">
            <w:drawing>
              <wp:anchor distT="0" distB="0" distL="114300" distR="114300" simplePos="0" relativeHeight="251671552" behindDoc="0" locked="0" layoutInCell="1" allowOverlap="1" wp14:anchorId="2836CA26" wp14:editId="58F5D07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7C8" w:rsidRPr="002033D6" w:rsidRDefault="00C807C8" w:rsidP="002C1641">
                            <w:pPr>
                              <w:jc w:val="right"/>
                              <w:rPr>
                                <w:rFonts w:asciiTheme="minorHAnsi" w:hAnsiTheme="minorHAnsi"/>
                                <w:color w:val="FFFFFF" w:themeColor="background1"/>
                                <w:sz w:val="22"/>
                              </w:rPr>
                            </w:pPr>
                            <w:r w:rsidRPr="002033D6">
                              <w:rPr>
                                <w:rFonts w:asciiTheme="minorHAnsi" w:hAnsiTheme="minorHAnsi"/>
                                <w:color w:val="FFFFFF" w:themeColor="background1"/>
                                <w:sz w:val="22"/>
                              </w:rPr>
                              <w:t>OEA/Ser.L/V/II.XX</w:t>
                            </w:r>
                          </w:p>
                          <w:p w:rsidR="00C807C8" w:rsidRPr="002033D6" w:rsidRDefault="00C807C8" w:rsidP="002C1641">
                            <w:pPr>
                              <w:jc w:val="right"/>
                              <w:rPr>
                                <w:rFonts w:asciiTheme="minorHAnsi" w:hAnsiTheme="minorHAnsi"/>
                                <w:color w:val="FFFFFF" w:themeColor="background1"/>
                                <w:sz w:val="22"/>
                              </w:rPr>
                            </w:pPr>
                            <w:r w:rsidRPr="002033D6">
                              <w:rPr>
                                <w:rFonts w:asciiTheme="minorHAnsi" w:hAnsiTheme="minorHAnsi"/>
                                <w:color w:val="FFFFFF" w:themeColor="background1"/>
                                <w:sz w:val="22"/>
                              </w:rPr>
                              <w:t>Doc. 118</w:t>
                            </w:r>
                          </w:p>
                          <w:p w:rsidR="00C807C8" w:rsidRPr="004B7EB6" w:rsidRDefault="00C807C8" w:rsidP="002C1641">
                            <w:pPr>
                              <w:jc w:val="right"/>
                              <w:rPr>
                                <w:rFonts w:asciiTheme="minorHAnsi" w:hAnsiTheme="minorHAnsi"/>
                                <w:color w:val="FFFFFF" w:themeColor="background1"/>
                                <w:sz w:val="22"/>
                              </w:rPr>
                            </w:pPr>
                            <w:r>
                              <w:rPr>
                                <w:rFonts w:asciiTheme="minorHAnsi" w:hAnsiTheme="minorHAnsi"/>
                                <w:color w:val="FFFFFF" w:themeColor="background1"/>
                                <w:sz w:val="22"/>
                              </w:rPr>
                              <w:t>September 5,  2017</w:t>
                            </w:r>
                          </w:p>
                          <w:p w:rsidR="00C807C8" w:rsidRPr="004B7EB6" w:rsidRDefault="00C807C8"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C807C8" w:rsidRPr="00770B87" w:rsidRDefault="00C807C8"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w:t>
                      </w:r>
                      <w:r w:rsidRPr="00770B87">
                        <w:rPr>
                          <w:rFonts w:asciiTheme="minorHAnsi" w:hAnsiTheme="minorHAnsi"/>
                          <w:color w:val="FFFFFF" w:themeColor="background1"/>
                          <w:sz w:val="22"/>
                          <w:lang w:val="pt-BR"/>
                        </w:rPr>
                        <w:t>X</w:t>
                      </w:r>
                    </w:p>
                    <w:p w:rsidR="00C807C8" w:rsidRPr="00770B87" w:rsidRDefault="00C807C8" w:rsidP="002C1641">
                      <w:pPr>
                        <w:jc w:val="right"/>
                        <w:rPr>
                          <w:rFonts w:asciiTheme="minorHAnsi" w:hAnsiTheme="minorHAnsi"/>
                          <w:color w:val="FFFFFF" w:themeColor="background1"/>
                          <w:sz w:val="22"/>
                          <w:lang w:val="pt-BR"/>
                        </w:rPr>
                      </w:pPr>
                      <w:r w:rsidRPr="00770B87">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118</w:t>
                      </w:r>
                    </w:p>
                    <w:p w:rsidR="00C807C8" w:rsidRPr="004B7EB6" w:rsidRDefault="00C807C8" w:rsidP="002C1641">
                      <w:pPr>
                        <w:jc w:val="right"/>
                        <w:rPr>
                          <w:rFonts w:asciiTheme="minorHAnsi" w:hAnsiTheme="minorHAnsi"/>
                          <w:color w:val="FFFFFF" w:themeColor="background1"/>
                          <w:sz w:val="22"/>
                        </w:rPr>
                      </w:pPr>
                      <w:r>
                        <w:rPr>
                          <w:rFonts w:asciiTheme="minorHAnsi" w:hAnsiTheme="minorHAnsi"/>
                          <w:color w:val="FFFFFF" w:themeColor="background1"/>
                          <w:sz w:val="22"/>
                        </w:rPr>
                        <w:t>September 5</w:t>
                      </w:r>
                      <w:proofErr w:type="gramStart"/>
                      <w:r>
                        <w:rPr>
                          <w:rFonts w:asciiTheme="minorHAnsi" w:hAnsiTheme="minorHAnsi"/>
                          <w:color w:val="FFFFFF" w:themeColor="background1"/>
                          <w:sz w:val="22"/>
                        </w:rPr>
                        <w:t>,  2017</w:t>
                      </w:r>
                      <w:proofErr w:type="gramEnd"/>
                    </w:p>
                    <w:p w:rsidR="00C807C8" w:rsidRPr="004B7EB6" w:rsidRDefault="00C807C8"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cs="Arial"/>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5128E4" w:rsidRPr="0027159C" w:rsidRDefault="005128E4"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5128E4" w:rsidRPr="0027159C" w:rsidRDefault="005128E4" w:rsidP="00040C3A">
      <w:pPr>
        <w:tabs>
          <w:tab w:val="center" w:pos="5400"/>
        </w:tabs>
        <w:suppressAutoHyphens/>
        <w:jc w:val="center"/>
        <w:rPr>
          <w:rFonts w:asciiTheme="majorHAnsi" w:hAnsiTheme="majorHAnsi"/>
          <w:sz w:val="22"/>
          <w:szCs w:val="22"/>
        </w:rPr>
      </w:pPr>
    </w:p>
    <w:p w:rsidR="005128E4" w:rsidRPr="0027159C" w:rsidRDefault="005128E4" w:rsidP="00040C3A">
      <w:pPr>
        <w:tabs>
          <w:tab w:val="center" w:pos="5400"/>
        </w:tabs>
        <w:suppressAutoHyphens/>
        <w:jc w:val="center"/>
        <w:rPr>
          <w:rFonts w:asciiTheme="majorHAnsi" w:hAnsiTheme="majorHAnsi"/>
          <w:sz w:val="22"/>
          <w:szCs w:val="22"/>
        </w:rPr>
      </w:pPr>
    </w:p>
    <w:p w:rsidR="005128E4" w:rsidRPr="0027159C" w:rsidRDefault="005128E4"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040C3A" w:rsidRPr="0027159C" w:rsidRDefault="00040C3A" w:rsidP="00040C3A">
      <w:pPr>
        <w:tabs>
          <w:tab w:val="center" w:pos="5400"/>
        </w:tabs>
        <w:suppressAutoHyphens/>
        <w:jc w:val="center"/>
        <w:rPr>
          <w:rFonts w:asciiTheme="majorHAnsi" w:hAnsiTheme="majorHAnsi"/>
          <w:sz w:val="22"/>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3C32BC" w:rsidP="00040C3A">
      <w:pPr>
        <w:tabs>
          <w:tab w:val="center" w:pos="5400"/>
        </w:tabs>
        <w:suppressAutoHyphens/>
        <w:jc w:val="center"/>
        <w:rPr>
          <w:rFonts w:asciiTheme="majorHAnsi" w:hAnsiTheme="majorHAnsi"/>
          <w:sz w:val="18"/>
          <w:szCs w:val="22"/>
        </w:rPr>
      </w:pPr>
      <w:r w:rsidRPr="0027159C">
        <w:rPr>
          <w:rFonts w:asciiTheme="majorHAnsi" w:hAnsiTheme="majorHAnsi"/>
          <w:noProof/>
          <w:sz w:val="22"/>
          <w:szCs w:val="22"/>
          <w:lang w:val="es-UY" w:eastAsia="es-UY" w:bidi="ar-SA"/>
        </w:rPr>
        <mc:AlternateContent>
          <mc:Choice Requires="wps">
            <w:drawing>
              <wp:anchor distT="0" distB="0" distL="114300" distR="114300" simplePos="0" relativeHeight="251670528" behindDoc="0" locked="0" layoutInCell="1" allowOverlap="1" wp14:anchorId="694C76EB" wp14:editId="357B0CF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7C8" w:rsidRPr="003C32BC" w:rsidRDefault="00C807C8"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by the Commission at its session No. 2096  held on  September 5, 2017</w:t>
                            </w:r>
                            <w:r>
                              <w:rPr>
                                <w:rFonts w:asciiTheme="majorHAnsi" w:hAnsiTheme="majorHAnsi"/>
                                <w:color w:val="0D0D0D" w:themeColor="text1" w:themeTint="F2"/>
                                <w:sz w:val="18"/>
                                <w:szCs w:val="20"/>
                              </w:rPr>
                              <w:br/>
                            </w:r>
                            <w:r>
                              <w:rPr>
                                <w:rFonts w:asciiTheme="majorHAnsi" w:hAnsiTheme="majorHAnsi"/>
                                <w:color w:val="0D0D0D" w:themeColor="text1" w:themeTint="F2"/>
                                <w:sz w:val="18"/>
                              </w:rPr>
                              <w:t>16t4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C807C8" w:rsidRPr="003C32BC" w:rsidRDefault="00C807C8"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Commission at its session No. </w:t>
                      </w:r>
                      <w:proofErr w:type="gramStart"/>
                      <w:r>
                        <w:rPr>
                          <w:rFonts w:asciiTheme="majorHAnsi" w:hAnsiTheme="majorHAnsi"/>
                          <w:color w:val="0D0D0D" w:themeColor="text1" w:themeTint="F2"/>
                          <w:sz w:val="18"/>
                        </w:rPr>
                        <w:t>2096  held</w:t>
                      </w:r>
                      <w:proofErr w:type="gramEnd"/>
                      <w:r>
                        <w:rPr>
                          <w:rFonts w:asciiTheme="majorHAnsi" w:hAnsiTheme="majorHAnsi"/>
                          <w:color w:val="0D0D0D" w:themeColor="text1" w:themeTint="F2"/>
                          <w:sz w:val="18"/>
                        </w:rPr>
                        <w:t xml:space="preserve"> on  September 5, 2017</w:t>
                      </w:r>
                      <w:r>
                        <w:rPr>
                          <w:rFonts w:asciiTheme="majorHAnsi" w:hAnsiTheme="majorHAnsi"/>
                          <w:color w:val="0D0D0D" w:themeColor="text1" w:themeTint="F2"/>
                          <w:sz w:val="18"/>
                          <w:szCs w:val="20"/>
                        </w:rPr>
                        <w:br/>
                      </w:r>
                      <w:r>
                        <w:rPr>
                          <w:rFonts w:asciiTheme="majorHAnsi" w:hAnsiTheme="majorHAnsi"/>
                          <w:color w:val="0D0D0D" w:themeColor="text1" w:themeTint="F2"/>
                          <w:sz w:val="18"/>
                        </w:rPr>
                        <w:t>16t4 Period of Sessions</w:t>
                      </w:r>
                    </w:p>
                  </w:txbxContent>
                </v:textbox>
              </v:shape>
            </w:pict>
          </mc:Fallback>
        </mc:AlternateContent>
      </w: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3C32BC" w:rsidP="00040C3A">
      <w:pPr>
        <w:tabs>
          <w:tab w:val="center" w:pos="5400"/>
        </w:tabs>
        <w:suppressAutoHyphens/>
        <w:jc w:val="center"/>
        <w:rPr>
          <w:rFonts w:asciiTheme="majorHAnsi" w:hAnsiTheme="majorHAnsi"/>
          <w:sz w:val="18"/>
          <w:szCs w:val="22"/>
        </w:rPr>
      </w:pPr>
      <w:r w:rsidRPr="0027159C">
        <w:rPr>
          <w:rFonts w:asciiTheme="majorHAnsi" w:hAnsiTheme="majorHAnsi"/>
          <w:noProof/>
          <w:sz w:val="18"/>
          <w:szCs w:val="22"/>
          <w:lang w:val="es-UY" w:eastAsia="es-UY" w:bidi="ar-SA"/>
        </w:rPr>
        <mc:AlternateContent>
          <mc:Choice Requires="wps">
            <w:drawing>
              <wp:anchor distT="0" distB="0" distL="114300" distR="114300" simplePos="0" relativeHeight="251683840" behindDoc="0" locked="0" layoutInCell="1" allowOverlap="1" wp14:anchorId="4CACE8F2" wp14:editId="207172D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7C8" w:rsidRPr="003C32BC" w:rsidRDefault="00C807C8"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100/17, Case 12.685/ Merit/Juan FranciscoArrom Suhurt, Anuncio Martí Méndez y otros. Paraguay. September 5,</w:t>
                            </w:r>
                            <w:r>
                              <w:rPr>
                                <w:rFonts w:asciiTheme="majorHAnsi" w:hAnsiTheme="majorHAnsi"/>
                                <w:color w:val="595959" w:themeColor="text1" w:themeTint="A6"/>
                                <w:sz w:val="18"/>
                                <w:vertAlign w:val="superscript"/>
                              </w:rPr>
                              <w:t xml:space="preserve"> </w:t>
                            </w:r>
                            <w:r w:rsidRPr="00770B87">
                              <w:rPr>
                                <w:rFonts w:asciiTheme="majorHAnsi" w:hAnsiTheme="majorHAnsi"/>
                                <w:color w:val="595959" w:themeColor="text1" w:themeTint="A6"/>
                                <w:sz w:val="18"/>
                              </w:rPr>
                              <w:t>2017.</w:t>
                            </w:r>
                            <w:r>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C807C8" w:rsidRPr="003C32BC" w:rsidRDefault="00C807C8"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100/17, Case 12.685/ Merit/Juan </w:t>
                      </w:r>
                      <w:proofErr w:type="spellStart"/>
                      <w:r>
                        <w:rPr>
                          <w:rFonts w:asciiTheme="majorHAnsi" w:hAnsiTheme="majorHAnsi"/>
                          <w:color w:val="595959" w:themeColor="text1" w:themeTint="A6"/>
                          <w:sz w:val="18"/>
                        </w:rPr>
                        <w:t>FranciscoArrom</w:t>
                      </w:r>
                      <w:proofErr w:type="spellEnd"/>
                      <w:r>
                        <w:rPr>
                          <w:rFonts w:asciiTheme="majorHAnsi" w:hAnsiTheme="majorHAnsi"/>
                          <w:color w:val="595959" w:themeColor="text1" w:themeTint="A6"/>
                          <w:sz w:val="18"/>
                        </w:rPr>
                        <w:t xml:space="preserve"> Suhurt, </w:t>
                      </w:r>
                      <w:proofErr w:type="spellStart"/>
                      <w:r>
                        <w:rPr>
                          <w:rFonts w:asciiTheme="majorHAnsi" w:hAnsiTheme="majorHAnsi"/>
                          <w:color w:val="595959" w:themeColor="text1" w:themeTint="A6"/>
                          <w:sz w:val="18"/>
                        </w:rPr>
                        <w:t>Anuncio</w:t>
                      </w:r>
                      <w:proofErr w:type="spellEnd"/>
                      <w:r>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Martí</w:t>
                      </w:r>
                      <w:proofErr w:type="spellEnd"/>
                      <w:r>
                        <w:rPr>
                          <w:rFonts w:asciiTheme="majorHAnsi" w:hAnsiTheme="majorHAnsi"/>
                          <w:color w:val="595959" w:themeColor="text1" w:themeTint="A6"/>
                          <w:sz w:val="18"/>
                        </w:rPr>
                        <w:t xml:space="preserve"> Méndez y </w:t>
                      </w:r>
                      <w:proofErr w:type="spellStart"/>
                      <w:r>
                        <w:rPr>
                          <w:rFonts w:asciiTheme="majorHAnsi" w:hAnsiTheme="majorHAnsi"/>
                          <w:color w:val="595959" w:themeColor="text1" w:themeTint="A6"/>
                          <w:sz w:val="18"/>
                        </w:rPr>
                        <w:t>otros</w:t>
                      </w:r>
                      <w:proofErr w:type="spellEnd"/>
                      <w:r>
                        <w:rPr>
                          <w:rFonts w:asciiTheme="majorHAnsi" w:hAnsiTheme="majorHAnsi"/>
                          <w:color w:val="595959" w:themeColor="text1" w:themeTint="A6"/>
                          <w:sz w:val="18"/>
                        </w:rPr>
                        <w:t>. Paraguay. September 5,</w:t>
                      </w:r>
                      <w:r>
                        <w:rPr>
                          <w:rFonts w:asciiTheme="majorHAnsi" w:hAnsiTheme="majorHAnsi"/>
                          <w:color w:val="595959" w:themeColor="text1" w:themeTint="A6"/>
                          <w:sz w:val="18"/>
                          <w:vertAlign w:val="superscript"/>
                        </w:rPr>
                        <w:t xml:space="preserve"> </w:t>
                      </w:r>
                      <w:r w:rsidRPr="00770B87">
                        <w:rPr>
                          <w:rFonts w:asciiTheme="majorHAnsi" w:hAnsiTheme="majorHAnsi"/>
                          <w:color w:val="595959" w:themeColor="text1" w:themeTint="A6"/>
                          <w:sz w:val="18"/>
                        </w:rPr>
                        <w:t>2017.</w:t>
                      </w:r>
                      <w:r>
                        <w:rPr>
                          <w:rFonts w:asciiTheme="majorHAnsi" w:hAnsiTheme="majorHAnsi"/>
                          <w:color w:val="595959" w:themeColor="text1" w:themeTint="A6"/>
                          <w:sz w:val="18"/>
                        </w:rPr>
                        <w:t xml:space="preserve"> </w:t>
                      </w:r>
                    </w:p>
                  </w:txbxContent>
                </v:textbox>
              </v:shape>
            </w:pict>
          </mc:Fallback>
        </mc:AlternateContent>
      </w:r>
    </w:p>
    <w:p w:rsidR="002C1641" w:rsidRPr="0027159C" w:rsidRDefault="002C1641" w:rsidP="00040C3A">
      <w:pPr>
        <w:tabs>
          <w:tab w:val="center" w:pos="5400"/>
        </w:tabs>
        <w:suppressAutoHyphens/>
        <w:jc w:val="center"/>
        <w:rPr>
          <w:rFonts w:asciiTheme="majorHAnsi" w:hAnsiTheme="majorHAnsi"/>
          <w:sz w:val="18"/>
          <w:szCs w:val="22"/>
        </w:rPr>
      </w:pPr>
    </w:p>
    <w:p w:rsidR="002C1641" w:rsidRPr="0027159C" w:rsidRDefault="002C1641" w:rsidP="00040C3A">
      <w:pPr>
        <w:tabs>
          <w:tab w:val="center" w:pos="5400"/>
        </w:tabs>
        <w:suppressAutoHyphens/>
        <w:jc w:val="center"/>
        <w:rPr>
          <w:rFonts w:asciiTheme="majorHAnsi" w:hAnsiTheme="majorHAnsi"/>
          <w:sz w:val="18"/>
          <w:szCs w:val="22"/>
        </w:rPr>
      </w:pPr>
    </w:p>
    <w:p w:rsidR="003C32BC" w:rsidRPr="0027159C" w:rsidRDefault="003C32BC" w:rsidP="003C32BC">
      <w:pPr>
        <w:tabs>
          <w:tab w:val="center" w:pos="5400"/>
        </w:tabs>
        <w:suppressAutoHyphens/>
        <w:jc w:val="center"/>
        <w:rPr>
          <w:rFonts w:asciiTheme="majorHAnsi" w:hAnsiTheme="majorHAnsi"/>
          <w:sz w:val="18"/>
          <w:szCs w:val="22"/>
        </w:rPr>
      </w:pPr>
    </w:p>
    <w:p w:rsidR="007607C4" w:rsidRPr="0027159C" w:rsidRDefault="006311DA" w:rsidP="00194F38">
      <w:pPr>
        <w:tabs>
          <w:tab w:val="center" w:pos="5400"/>
        </w:tabs>
        <w:suppressAutoHyphens/>
        <w:jc w:val="center"/>
        <w:rPr>
          <w:rFonts w:asciiTheme="majorHAnsi" w:hAnsiTheme="majorHAnsi"/>
          <w:sz w:val="18"/>
          <w:szCs w:val="22"/>
        </w:rPr>
        <w:sectPr w:rsidR="007607C4" w:rsidRPr="0027159C" w:rsidSect="002033D6">
          <w:headerReference w:type="even" r:id="rId11"/>
          <w:footerReference w:type="first" r:id="rId12"/>
          <w:type w:val="oddPage"/>
          <w:pgSz w:w="12240" w:h="15840"/>
          <w:pgMar w:top="1440" w:right="1440" w:bottom="1440" w:left="1440" w:header="720" w:footer="720" w:gutter="0"/>
          <w:pgNumType w:start="0"/>
          <w:cols w:space="720"/>
          <w:titlePg/>
          <w:docGrid w:linePitch="326"/>
        </w:sectPr>
      </w:pPr>
      <w:r w:rsidRPr="0027159C">
        <w:rPr>
          <w:rFonts w:asciiTheme="majorHAnsi" w:hAnsiTheme="majorHAnsi"/>
          <w:noProof/>
          <w:sz w:val="22"/>
          <w:szCs w:val="22"/>
          <w:lang w:val="es-UY" w:eastAsia="es-UY" w:bidi="ar-SA"/>
        </w:rPr>
        <mc:AlternateContent>
          <mc:Choice Requires="wps">
            <w:drawing>
              <wp:anchor distT="0" distB="0" distL="114300" distR="114300" simplePos="0" relativeHeight="251686912" behindDoc="0" locked="0" layoutInCell="1" allowOverlap="1" wp14:anchorId="573DAA47" wp14:editId="73BA37E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7C8" w:rsidRPr="004B7EB6" w:rsidRDefault="00C807C8"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C807C8" w:rsidRPr="004B7EB6" w:rsidRDefault="00C807C8"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sidRPr="0027159C">
        <w:rPr>
          <w:rFonts w:asciiTheme="majorHAnsi" w:hAnsiTheme="majorHAnsi"/>
          <w:noProof/>
          <w:sz w:val="22"/>
          <w:szCs w:val="22"/>
          <w:lang w:val="es-UY" w:eastAsia="es-UY" w:bidi="ar-SA"/>
        </w:rPr>
        <mc:AlternateContent>
          <mc:Choice Requires="wps">
            <w:drawing>
              <wp:anchor distT="0" distB="0" distL="114300" distR="114300" simplePos="0" relativeHeight="251684864" behindDoc="0" locked="0" layoutInCell="1" allowOverlap="1" wp14:anchorId="49FFE8D8" wp14:editId="7994826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07C8" w:rsidRPr="00331986" w:rsidRDefault="00C807C8">
                            <w:pPr>
                              <w:rPr>
                                <w:b/>
                              </w:rPr>
                            </w:pPr>
                            <w:r>
                              <w:rPr>
                                <w:noProof/>
                                <w:lang w:val="es-UY" w:eastAsia="es-UY" w:bidi="ar-SA"/>
                              </w:rPr>
                              <w:drawing>
                                <wp:inline distT="0" distB="0" distL="0" distR="0" wp14:anchorId="413383A8" wp14:editId="704EA4C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C807C8" w:rsidRPr="00331986" w:rsidRDefault="00C807C8">
                      <w:pPr>
                        <w:rPr>
                          <w:b/>
                        </w:rPr>
                      </w:pPr>
                      <w:r>
                        <w:rPr>
                          <w:noProof/>
                          <w:lang w:bidi="ar-SA"/>
                        </w:rPr>
                        <w:drawing>
                          <wp:inline distT="0" distB="0" distL="0" distR="0" wp14:anchorId="413383A8" wp14:editId="704EA4C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C52CE8" w:rsidRPr="00324D9C" w:rsidRDefault="00C52CE8" w:rsidP="00324D9C">
      <w:pPr>
        <w:spacing w:line="276" w:lineRule="atLeast"/>
        <w:jc w:val="center"/>
        <w:rPr>
          <w:b/>
        </w:rPr>
      </w:pPr>
      <w:r w:rsidRPr="00324D9C">
        <w:rPr>
          <w:rFonts w:ascii="Cambria" w:hAnsi="Cambria"/>
          <w:b/>
          <w:bCs/>
          <w:sz w:val="18"/>
          <w:szCs w:val="18"/>
        </w:rPr>
        <w:lastRenderedPageBreak/>
        <w:t>REPORT No. 100/17</w:t>
      </w:r>
    </w:p>
    <w:p w:rsidR="00C52CE8" w:rsidRPr="007A6A52" w:rsidRDefault="00C52CE8" w:rsidP="00324D9C">
      <w:pPr>
        <w:spacing w:line="276" w:lineRule="atLeast"/>
        <w:jc w:val="center"/>
        <w:rPr>
          <w:b/>
          <w:sz w:val="20"/>
          <w:szCs w:val="20"/>
        </w:rPr>
      </w:pPr>
      <w:r w:rsidRPr="007A6A52">
        <w:rPr>
          <w:rFonts w:ascii="Cambria" w:hAnsi="Cambria"/>
          <w:b/>
          <w:bCs/>
          <w:sz w:val="20"/>
          <w:szCs w:val="20"/>
        </w:rPr>
        <w:t>CASE 12.685</w:t>
      </w:r>
    </w:p>
    <w:p w:rsidR="00C52CE8" w:rsidRPr="007A6A52" w:rsidRDefault="00C52CE8" w:rsidP="00324D9C">
      <w:pPr>
        <w:spacing w:line="276" w:lineRule="atLeast"/>
        <w:jc w:val="center"/>
        <w:rPr>
          <w:b/>
          <w:sz w:val="20"/>
          <w:szCs w:val="20"/>
        </w:rPr>
      </w:pPr>
      <w:r w:rsidRPr="007A6A52">
        <w:rPr>
          <w:rFonts w:ascii="Cambria" w:hAnsi="Cambria"/>
          <w:b/>
          <w:sz w:val="20"/>
          <w:szCs w:val="20"/>
        </w:rPr>
        <w:t>MERITS</w:t>
      </w:r>
    </w:p>
    <w:p w:rsidR="00C52CE8" w:rsidRPr="007A6A52" w:rsidRDefault="00C52CE8" w:rsidP="00324D9C">
      <w:pPr>
        <w:spacing w:line="276" w:lineRule="atLeast"/>
        <w:jc w:val="center"/>
        <w:rPr>
          <w:sz w:val="20"/>
          <w:szCs w:val="20"/>
        </w:rPr>
      </w:pPr>
      <w:r w:rsidRPr="007A6A52">
        <w:rPr>
          <w:rFonts w:ascii="Cambria" w:hAnsi="Cambria"/>
          <w:sz w:val="20"/>
          <w:szCs w:val="20"/>
        </w:rPr>
        <w:t>JUAN FRANCISCO ARROM SUHURT, ANUNCIO MARTÍ MÉNDEZ AND OTHERS</w:t>
      </w:r>
    </w:p>
    <w:p w:rsidR="00C52CE8" w:rsidRPr="007A6A52" w:rsidRDefault="00C52CE8" w:rsidP="00324D9C">
      <w:pPr>
        <w:spacing w:line="276" w:lineRule="atLeast"/>
        <w:jc w:val="center"/>
        <w:rPr>
          <w:rFonts w:ascii="Cambria" w:hAnsi="Cambria"/>
          <w:sz w:val="20"/>
          <w:szCs w:val="20"/>
        </w:rPr>
      </w:pPr>
      <w:r w:rsidRPr="007A6A52">
        <w:rPr>
          <w:rFonts w:ascii="Cambria" w:hAnsi="Cambria"/>
          <w:sz w:val="20"/>
          <w:szCs w:val="20"/>
        </w:rPr>
        <w:t>PARAGUAY</w:t>
      </w:r>
    </w:p>
    <w:p w:rsidR="00194F38" w:rsidRPr="007A6A52" w:rsidRDefault="00194F38" w:rsidP="00324D9C">
      <w:pPr>
        <w:spacing w:line="276" w:lineRule="atLeast"/>
        <w:jc w:val="center"/>
        <w:rPr>
          <w:rFonts w:ascii="Cambria" w:hAnsi="Cambria"/>
          <w:sz w:val="20"/>
          <w:szCs w:val="20"/>
        </w:rPr>
      </w:pPr>
      <w:r w:rsidRPr="007A6A52">
        <w:rPr>
          <w:rFonts w:ascii="Cambria" w:hAnsi="Cambria"/>
          <w:sz w:val="20"/>
          <w:szCs w:val="20"/>
        </w:rPr>
        <w:t>SEPTEMBER 5, 2017</w:t>
      </w:r>
    </w:p>
    <w:p w:rsidR="00194F38" w:rsidRPr="007A6A52" w:rsidRDefault="00194F38" w:rsidP="00324D9C">
      <w:pPr>
        <w:spacing w:line="276" w:lineRule="atLeast"/>
        <w:jc w:val="center"/>
        <w:rPr>
          <w:rFonts w:ascii="Cambria" w:hAnsi="Cambria"/>
          <w:sz w:val="20"/>
          <w:szCs w:val="20"/>
        </w:rPr>
      </w:pPr>
    </w:p>
    <w:p w:rsidR="00194F38" w:rsidRPr="007A6A52" w:rsidRDefault="00194F38" w:rsidP="00324D9C">
      <w:pPr>
        <w:spacing w:line="276" w:lineRule="atLeast"/>
        <w:jc w:val="center"/>
        <w:rPr>
          <w:b/>
          <w:sz w:val="20"/>
          <w:szCs w:val="20"/>
        </w:rPr>
      </w:pPr>
      <w:r w:rsidRPr="007A6A52">
        <w:rPr>
          <w:rFonts w:ascii="Cambria" w:hAnsi="Cambria"/>
          <w:b/>
          <w:sz w:val="20"/>
          <w:szCs w:val="20"/>
        </w:rPr>
        <w:t>TABLE OF CONTENTS</w:t>
      </w:r>
    </w:p>
    <w:sdt>
      <w:sdtPr>
        <w:rPr>
          <w:rFonts w:ascii="Times New Roman" w:eastAsia="Arial Unicode MS" w:hAnsi="Times New Roman" w:cs="Times New Roman"/>
          <w:b w:val="0"/>
          <w:bCs w:val="0"/>
          <w:color w:val="auto"/>
          <w:sz w:val="24"/>
          <w:szCs w:val="24"/>
          <w:bdr w:val="nil"/>
          <w:lang w:eastAsia="en-US" w:bidi="en-US"/>
        </w:rPr>
        <w:id w:val="-1050449427"/>
        <w:docPartObj>
          <w:docPartGallery w:val="Table of Contents"/>
          <w:docPartUnique/>
        </w:docPartObj>
      </w:sdtPr>
      <w:sdtEndPr>
        <w:rPr>
          <w:noProof/>
        </w:rPr>
      </w:sdtEndPr>
      <w:sdtContent>
        <w:p w:rsidR="00194F38" w:rsidRPr="000A758A" w:rsidRDefault="00194F38" w:rsidP="00194F38">
          <w:pPr>
            <w:pStyle w:val="TOCHeading"/>
            <w:rPr>
              <w:sz w:val="20"/>
              <w:szCs w:val="20"/>
            </w:rPr>
          </w:pPr>
        </w:p>
        <w:p w:rsidR="00194F38" w:rsidRPr="000A758A" w:rsidRDefault="00194F38" w:rsidP="00194F38">
          <w:pPr>
            <w:pStyle w:val="TOC1"/>
            <w:rPr>
              <w:rFonts w:eastAsiaTheme="minorEastAsia" w:cstheme="minorBidi"/>
              <w:sz w:val="20"/>
              <w:szCs w:val="20"/>
              <w:bdr w:val="none" w:sz="0" w:space="0" w:color="auto"/>
              <w:lang w:bidi="ar-SA"/>
            </w:rPr>
          </w:pPr>
          <w:r w:rsidRPr="000A758A">
            <w:rPr>
              <w:sz w:val="20"/>
              <w:szCs w:val="20"/>
            </w:rPr>
            <w:fldChar w:fldCharType="begin"/>
          </w:r>
          <w:r w:rsidRPr="000A758A">
            <w:rPr>
              <w:sz w:val="20"/>
              <w:szCs w:val="20"/>
            </w:rPr>
            <w:instrText xml:space="preserve"> TOC \o "1-3" \h \z \u </w:instrText>
          </w:r>
          <w:r w:rsidRPr="000A758A">
            <w:rPr>
              <w:sz w:val="20"/>
              <w:szCs w:val="20"/>
            </w:rPr>
            <w:fldChar w:fldCharType="separate"/>
          </w:r>
          <w:hyperlink w:anchor="_Toc494373933" w:history="1">
            <w:r w:rsidRPr="000A758A">
              <w:rPr>
                <w:rStyle w:val="Hyperlink"/>
                <w:sz w:val="20"/>
                <w:szCs w:val="20"/>
              </w:rPr>
              <w:t>I.           SUMMARY</w:t>
            </w:r>
            <w:r w:rsidRPr="000A758A">
              <w:rPr>
                <w:webHidden/>
                <w:sz w:val="20"/>
                <w:szCs w:val="20"/>
              </w:rPr>
              <w:tab/>
            </w:r>
            <w:r w:rsidRPr="000A758A">
              <w:rPr>
                <w:webHidden/>
                <w:sz w:val="20"/>
                <w:szCs w:val="20"/>
              </w:rPr>
              <w:fldChar w:fldCharType="begin"/>
            </w:r>
            <w:r w:rsidRPr="000A758A">
              <w:rPr>
                <w:webHidden/>
                <w:sz w:val="20"/>
                <w:szCs w:val="20"/>
              </w:rPr>
              <w:instrText xml:space="preserve"> PAGEREF _Toc494373933 \h </w:instrText>
            </w:r>
            <w:r w:rsidRPr="000A758A">
              <w:rPr>
                <w:webHidden/>
                <w:sz w:val="20"/>
                <w:szCs w:val="20"/>
              </w:rPr>
            </w:r>
            <w:r w:rsidRPr="000A758A">
              <w:rPr>
                <w:webHidden/>
                <w:sz w:val="20"/>
                <w:szCs w:val="20"/>
              </w:rPr>
              <w:fldChar w:fldCharType="separate"/>
            </w:r>
            <w:r w:rsidR="00324D9C">
              <w:rPr>
                <w:webHidden/>
                <w:sz w:val="20"/>
                <w:szCs w:val="20"/>
              </w:rPr>
              <w:t>4</w:t>
            </w:r>
            <w:r w:rsidRPr="000A758A">
              <w:rPr>
                <w:webHidden/>
                <w:sz w:val="20"/>
                <w:szCs w:val="20"/>
              </w:rPr>
              <w:fldChar w:fldCharType="end"/>
            </w:r>
          </w:hyperlink>
        </w:p>
        <w:p w:rsidR="00194F38" w:rsidRPr="000A758A" w:rsidRDefault="009166B2" w:rsidP="00194F38">
          <w:pPr>
            <w:pStyle w:val="TOC1"/>
            <w:rPr>
              <w:rFonts w:eastAsiaTheme="minorEastAsia" w:cstheme="minorBidi"/>
              <w:sz w:val="20"/>
              <w:szCs w:val="20"/>
              <w:bdr w:val="none" w:sz="0" w:space="0" w:color="auto"/>
              <w:lang w:bidi="ar-SA"/>
            </w:rPr>
          </w:pPr>
          <w:hyperlink w:anchor="_Toc494373934" w:history="1">
            <w:r w:rsidR="00194F38" w:rsidRPr="000A758A">
              <w:rPr>
                <w:rStyle w:val="Hyperlink"/>
                <w:sz w:val="20"/>
                <w:szCs w:val="20"/>
              </w:rPr>
              <w:t>II.         PROCEEDINGS</w:t>
            </w:r>
            <w:r w:rsidR="00194F38" w:rsidRPr="000A758A">
              <w:rPr>
                <w:webHidden/>
                <w:sz w:val="20"/>
                <w:szCs w:val="20"/>
              </w:rPr>
              <w:tab/>
            </w:r>
            <w:r w:rsidR="00194F38" w:rsidRPr="000A758A">
              <w:rPr>
                <w:webHidden/>
                <w:sz w:val="20"/>
                <w:szCs w:val="20"/>
              </w:rPr>
              <w:fldChar w:fldCharType="begin"/>
            </w:r>
            <w:r w:rsidR="00194F38" w:rsidRPr="000A758A">
              <w:rPr>
                <w:webHidden/>
                <w:sz w:val="20"/>
                <w:szCs w:val="20"/>
              </w:rPr>
              <w:instrText xml:space="preserve"> PAGEREF _Toc494373934 \h </w:instrText>
            </w:r>
            <w:r w:rsidR="00194F38" w:rsidRPr="000A758A">
              <w:rPr>
                <w:webHidden/>
                <w:sz w:val="20"/>
                <w:szCs w:val="20"/>
              </w:rPr>
            </w:r>
            <w:r w:rsidR="00194F38" w:rsidRPr="000A758A">
              <w:rPr>
                <w:webHidden/>
                <w:sz w:val="20"/>
                <w:szCs w:val="20"/>
              </w:rPr>
              <w:fldChar w:fldCharType="separate"/>
            </w:r>
            <w:r w:rsidR="00324D9C">
              <w:rPr>
                <w:webHidden/>
                <w:sz w:val="20"/>
                <w:szCs w:val="20"/>
              </w:rPr>
              <w:t>4</w:t>
            </w:r>
            <w:r w:rsidR="00194F38" w:rsidRPr="000A758A">
              <w:rPr>
                <w:webHidden/>
                <w:sz w:val="20"/>
                <w:szCs w:val="20"/>
              </w:rPr>
              <w:fldChar w:fldCharType="end"/>
            </w:r>
          </w:hyperlink>
        </w:p>
        <w:p w:rsidR="00194F38" w:rsidRPr="000A758A" w:rsidRDefault="009166B2" w:rsidP="00194F38">
          <w:pPr>
            <w:pStyle w:val="TOC1"/>
            <w:rPr>
              <w:rFonts w:eastAsiaTheme="minorEastAsia" w:cstheme="minorBidi"/>
              <w:sz w:val="20"/>
              <w:szCs w:val="20"/>
              <w:bdr w:val="none" w:sz="0" w:space="0" w:color="auto"/>
              <w:lang w:bidi="ar-SA"/>
            </w:rPr>
          </w:pPr>
          <w:hyperlink w:anchor="_Toc494373935" w:history="1">
            <w:r w:rsidR="00194F38" w:rsidRPr="000A758A">
              <w:rPr>
                <w:rStyle w:val="Hyperlink"/>
                <w:sz w:val="20"/>
                <w:szCs w:val="20"/>
              </w:rPr>
              <w:t>III. POSITION OF THE PARTIES</w:t>
            </w:r>
            <w:r w:rsidR="00194F38" w:rsidRPr="000A758A">
              <w:rPr>
                <w:webHidden/>
                <w:sz w:val="20"/>
                <w:szCs w:val="20"/>
              </w:rPr>
              <w:tab/>
            </w:r>
            <w:r w:rsidR="00194F38" w:rsidRPr="000A758A">
              <w:rPr>
                <w:webHidden/>
                <w:sz w:val="20"/>
                <w:szCs w:val="20"/>
              </w:rPr>
              <w:fldChar w:fldCharType="begin"/>
            </w:r>
            <w:r w:rsidR="00194F38" w:rsidRPr="000A758A">
              <w:rPr>
                <w:webHidden/>
                <w:sz w:val="20"/>
                <w:szCs w:val="20"/>
              </w:rPr>
              <w:instrText xml:space="preserve"> PAGEREF _Toc494373935 \h </w:instrText>
            </w:r>
            <w:r w:rsidR="00194F38" w:rsidRPr="000A758A">
              <w:rPr>
                <w:webHidden/>
                <w:sz w:val="20"/>
                <w:szCs w:val="20"/>
              </w:rPr>
            </w:r>
            <w:r w:rsidR="00194F38" w:rsidRPr="000A758A">
              <w:rPr>
                <w:webHidden/>
                <w:sz w:val="20"/>
                <w:szCs w:val="20"/>
              </w:rPr>
              <w:fldChar w:fldCharType="separate"/>
            </w:r>
            <w:r w:rsidR="00324D9C">
              <w:rPr>
                <w:webHidden/>
                <w:sz w:val="20"/>
                <w:szCs w:val="20"/>
              </w:rPr>
              <w:t>5</w:t>
            </w:r>
            <w:r w:rsidR="00194F38" w:rsidRPr="000A758A">
              <w:rPr>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36" w:history="1">
            <w:r w:rsidR="00194F38" w:rsidRPr="000A758A">
              <w:rPr>
                <w:rStyle w:val="Hyperlink"/>
                <w:rFonts w:asciiTheme="majorHAnsi" w:eastAsia="Times New Roman" w:hAnsiTheme="majorHAnsi"/>
                <w:noProof/>
                <w:sz w:val="20"/>
                <w:szCs w:val="20"/>
              </w:rPr>
              <w:t>A.</w:t>
            </w:r>
            <w:r w:rsidR="00194F38" w:rsidRPr="000A758A">
              <w:rPr>
                <w:rFonts w:asciiTheme="majorHAnsi" w:eastAsiaTheme="minorEastAsia" w:hAnsiTheme="majorHAnsi" w:cstheme="minorBidi"/>
                <w:noProof/>
                <w:sz w:val="20"/>
                <w:szCs w:val="20"/>
                <w:bdr w:val="none" w:sz="0" w:space="0" w:color="auto"/>
                <w:lang w:bidi="ar-SA"/>
              </w:rPr>
              <w:tab/>
            </w:r>
            <w:r w:rsidR="00194F38" w:rsidRPr="000A758A">
              <w:rPr>
                <w:rStyle w:val="Hyperlink"/>
                <w:rFonts w:asciiTheme="majorHAnsi" w:eastAsia="Times New Roman" w:hAnsiTheme="majorHAnsi"/>
                <w:noProof/>
                <w:sz w:val="20"/>
                <w:szCs w:val="20"/>
              </w:rPr>
              <w:t>PETITIONERS</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_Toc494373936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5</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37" w:history="1">
            <w:r w:rsidR="00194F38" w:rsidRPr="000A758A">
              <w:rPr>
                <w:rStyle w:val="Hyperlink"/>
                <w:rFonts w:asciiTheme="majorHAnsi" w:eastAsia="Times New Roman" w:hAnsiTheme="majorHAnsi"/>
                <w:noProof/>
                <w:sz w:val="20"/>
                <w:szCs w:val="20"/>
              </w:rPr>
              <w:t>B.</w:t>
            </w:r>
            <w:r w:rsidR="00194F38" w:rsidRPr="000A758A">
              <w:rPr>
                <w:rFonts w:asciiTheme="majorHAnsi" w:eastAsiaTheme="minorEastAsia" w:hAnsiTheme="majorHAnsi" w:cstheme="minorBidi"/>
                <w:noProof/>
                <w:sz w:val="20"/>
                <w:szCs w:val="20"/>
                <w:bdr w:val="none" w:sz="0" w:space="0" w:color="auto"/>
                <w:lang w:bidi="ar-SA"/>
              </w:rPr>
              <w:tab/>
            </w:r>
            <w:r w:rsidR="00194F38" w:rsidRPr="000A758A">
              <w:rPr>
                <w:rStyle w:val="Hyperlink"/>
                <w:rFonts w:asciiTheme="majorHAnsi" w:eastAsia="Times New Roman" w:hAnsiTheme="majorHAnsi"/>
                <w:noProof/>
                <w:sz w:val="20"/>
                <w:szCs w:val="20"/>
              </w:rPr>
              <w:t>THE STATE</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_Toc494373937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6</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1"/>
            <w:rPr>
              <w:rFonts w:eastAsiaTheme="minorEastAsia" w:cstheme="minorBidi"/>
              <w:sz w:val="20"/>
              <w:szCs w:val="20"/>
              <w:bdr w:val="none" w:sz="0" w:space="0" w:color="auto"/>
              <w:lang w:bidi="ar-SA"/>
            </w:rPr>
          </w:pPr>
          <w:hyperlink w:anchor="_Toc494373938" w:history="1">
            <w:r w:rsidR="00194F38" w:rsidRPr="000A758A">
              <w:rPr>
                <w:rStyle w:val="Hyperlink"/>
                <w:sz w:val="20"/>
                <w:szCs w:val="20"/>
              </w:rPr>
              <w:t>IV. FACTS OF THE CASE</w:t>
            </w:r>
            <w:r w:rsidR="00194F38" w:rsidRPr="000A758A">
              <w:rPr>
                <w:webHidden/>
                <w:sz w:val="20"/>
                <w:szCs w:val="20"/>
              </w:rPr>
              <w:tab/>
            </w:r>
            <w:r w:rsidR="00194F38" w:rsidRPr="000A758A">
              <w:rPr>
                <w:webHidden/>
                <w:sz w:val="20"/>
                <w:szCs w:val="20"/>
              </w:rPr>
              <w:fldChar w:fldCharType="begin"/>
            </w:r>
            <w:r w:rsidR="00194F38" w:rsidRPr="000A758A">
              <w:rPr>
                <w:webHidden/>
                <w:sz w:val="20"/>
                <w:szCs w:val="20"/>
              </w:rPr>
              <w:instrText xml:space="preserve"> PAGEREF _Toc494373938 \h </w:instrText>
            </w:r>
            <w:r w:rsidR="00194F38" w:rsidRPr="000A758A">
              <w:rPr>
                <w:webHidden/>
                <w:sz w:val="20"/>
                <w:szCs w:val="20"/>
              </w:rPr>
            </w:r>
            <w:r w:rsidR="00194F38" w:rsidRPr="000A758A">
              <w:rPr>
                <w:webHidden/>
                <w:sz w:val="20"/>
                <w:szCs w:val="20"/>
              </w:rPr>
              <w:fldChar w:fldCharType="separate"/>
            </w:r>
            <w:r w:rsidR="00324D9C">
              <w:rPr>
                <w:webHidden/>
                <w:sz w:val="20"/>
                <w:szCs w:val="20"/>
              </w:rPr>
              <w:t>7</w:t>
            </w:r>
            <w:r w:rsidR="00194F38" w:rsidRPr="000A758A">
              <w:rPr>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39" w:history="1">
            <w:r w:rsidR="00194F38" w:rsidRPr="000A758A">
              <w:rPr>
                <w:rStyle w:val="Hyperlink"/>
                <w:rFonts w:asciiTheme="majorHAnsi" w:hAnsiTheme="majorHAnsi"/>
                <w:noProof/>
                <w:sz w:val="20"/>
                <w:szCs w:val="20"/>
              </w:rPr>
              <w:t>A.              Background relating to the abduction of Maria Edith Bordón de Debernardi</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_Toc494373939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7</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40" w:history="1">
            <w:r w:rsidR="00194F38" w:rsidRPr="000A758A">
              <w:rPr>
                <w:rStyle w:val="Hyperlink"/>
                <w:rFonts w:asciiTheme="majorHAnsi" w:hAnsiTheme="majorHAnsi"/>
                <w:noProof/>
                <w:sz w:val="20"/>
                <w:szCs w:val="20"/>
              </w:rPr>
              <w:t>B.              Information available on the events between January 17 and 30, 2002</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_Toc494373940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8</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41" w:history="1">
            <w:r w:rsidR="00194F38" w:rsidRPr="000A758A">
              <w:rPr>
                <w:rStyle w:val="Hyperlink"/>
                <w:rFonts w:asciiTheme="majorHAnsi" w:hAnsiTheme="majorHAnsi"/>
                <w:noProof/>
                <w:sz w:val="20"/>
                <w:szCs w:val="20"/>
              </w:rPr>
              <w:t>1.              Version according to which Juan Arrom and Anuncio Martí were ‘disappeared’ and tortured with the criminal participation of State  agents</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_Toc494373941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8</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42" w:history="1">
            <w:r w:rsidR="00194F38" w:rsidRPr="000A758A">
              <w:rPr>
                <w:rStyle w:val="Hyperlink"/>
                <w:rFonts w:asciiTheme="majorHAnsi" w:hAnsiTheme="majorHAnsi"/>
                <w:noProof/>
                <w:sz w:val="20"/>
                <w:szCs w:val="20"/>
              </w:rPr>
              <w:t>2.              Version according to which there is no State participation in the events</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_Toc494373942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13</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43" w:history="1">
            <w:r w:rsidR="00194F38" w:rsidRPr="000A758A">
              <w:rPr>
                <w:rStyle w:val="Hyperlink"/>
                <w:rFonts w:asciiTheme="majorHAnsi" w:hAnsiTheme="majorHAnsi"/>
                <w:noProof/>
                <w:sz w:val="20"/>
                <w:szCs w:val="20"/>
              </w:rPr>
              <w:t>C.              The judicial proceedings and the complaints about what happened to Juan Arrom and Anuncio Martí</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_Toc494373943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14</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44" w:history="1">
            <w:r w:rsidR="00194F38" w:rsidRPr="000A758A">
              <w:rPr>
                <w:rStyle w:val="Hyperlink"/>
                <w:rFonts w:asciiTheme="majorHAnsi" w:hAnsiTheme="majorHAnsi"/>
                <w:noProof/>
                <w:sz w:val="20"/>
                <w:szCs w:val="20"/>
              </w:rPr>
              <w:t>D.              On the granting of refugee status to Juan Arrom and to Anuncio Martí and State´s  requests</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_Toc494373944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18</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1"/>
            <w:rPr>
              <w:rFonts w:eastAsiaTheme="minorEastAsia" w:cstheme="minorBidi"/>
              <w:sz w:val="20"/>
              <w:szCs w:val="20"/>
              <w:bdr w:val="none" w:sz="0" w:space="0" w:color="auto"/>
              <w:lang w:bidi="ar-SA"/>
            </w:rPr>
          </w:pPr>
          <w:hyperlink w:anchor="_Toc494373945" w:history="1">
            <w:r w:rsidR="00194F38" w:rsidRPr="000A758A">
              <w:rPr>
                <w:rStyle w:val="Hyperlink"/>
                <w:sz w:val="20"/>
                <w:szCs w:val="20"/>
              </w:rPr>
              <w:t>V. LEGAL ANALYSIS</w:t>
            </w:r>
            <w:r w:rsidR="00194F38" w:rsidRPr="000A758A">
              <w:rPr>
                <w:webHidden/>
                <w:sz w:val="20"/>
                <w:szCs w:val="20"/>
              </w:rPr>
              <w:tab/>
            </w:r>
            <w:r w:rsidR="00194F38" w:rsidRPr="000A758A">
              <w:rPr>
                <w:webHidden/>
                <w:sz w:val="20"/>
                <w:szCs w:val="20"/>
              </w:rPr>
              <w:fldChar w:fldCharType="begin"/>
            </w:r>
            <w:r w:rsidR="00194F38" w:rsidRPr="000A758A">
              <w:rPr>
                <w:webHidden/>
                <w:sz w:val="20"/>
                <w:szCs w:val="20"/>
              </w:rPr>
              <w:instrText xml:space="preserve"> PAGEREF _Toc494373945 \h </w:instrText>
            </w:r>
            <w:r w:rsidR="00194F38" w:rsidRPr="000A758A">
              <w:rPr>
                <w:webHidden/>
                <w:sz w:val="20"/>
                <w:szCs w:val="20"/>
              </w:rPr>
            </w:r>
            <w:r w:rsidR="00194F38" w:rsidRPr="000A758A">
              <w:rPr>
                <w:webHidden/>
                <w:sz w:val="20"/>
                <w:szCs w:val="20"/>
              </w:rPr>
              <w:fldChar w:fldCharType="separate"/>
            </w:r>
            <w:r w:rsidR="00324D9C">
              <w:rPr>
                <w:webHidden/>
                <w:sz w:val="20"/>
                <w:szCs w:val="20"/>
              </w:rPr>
              <w:t>19</w:t>
            </w:r>
            <w:r w:rsidR="00194F38" w:rsidRPr="000A758A">
              <w:rPr>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46" w:history="1">
            <w:r w:rsidR="00194F38" w:rsidRPr="000A758A">
              <w:rPr>
                <w:rStyle w:val="Hyperlink"/>
                <w:rFonts w:asciiTheme="majorHAnsi" w:hAnsiTheme="majorHAnsi"/>
                <w:noProof/>
                <w:sz w:val="20"/>
                <w:szCs w:val="20"/>
              </w:rPr>
              <w:t>A.</w:t>
            </w:r>
            <w:r w:rsidR="00194F38" w:rsidRPr="000A758A">
              <w:rPr>
                <w:rFonts w:asciiTheme="majorHAnsi" w:eastAsiaTheme="minorEastAsia" w:hAnsiTheme="majorHAnsi" w:cstheme="minorBidi"/>
                <w:noProof/>
                <w:sz w:val="20"/>
                <w:szCs w:val="20"/>
                <w:bdr w:val="none" w:sz="0" w:space="0" w:color="auto"/>
                <w:lang w:bidi="ar-SA"/>
              </w:rPr>
              <w:tab/>
            </w:r>
            <w:r w:rsidR="00194F38" w:rsidRPr="000A758A">
              <w:rPr>
                <w:rStyle w:val="Hyperlink"/>
                <w:rFonts w:asciiTheme="majorHAnsi" w:hAnsiTheme="majorHAnsi"/>
                <w:noProof/>
                <w:sz w:val="20"/>
                <w:szCs w:val="20"/>
              </w:rPr>
              <w:t>Preliminary Issues</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_Toc494373946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19</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47" w:history="1">
            <w:r w:rsidR="00194F38" w:rsidRPr="000A758A">
              <w:rPr>
                <w:rStyle w:val="Hyperlink"/>
                <w:rFonts w:asciiTheme="majorHAnsi" w:hAnsiTheme="majorHAnsi"/>
                <w:noProof/>
                <w:sz w:val="20"/>
                <w:szCs w:val="20"/>
              </w:rPr>
              <w:t>B.</w:t>
            </w:r>
            <w:r w:rsidR="00194F38" w:rsidRPr="000A758A">
              <w:rPr>
                <w:rFonts w:asciiTheme="majorHAnsi" w:eastAsiaTheme="minorEastAsia" w:hAnsiTheme="majorHAnsi" w:cstheme="minorBidi"/>
                <w:noProof/>
                <w:sz w:val="20"/>
                <w:szCs w:val="20"/>
                <w:bdr w:val="none" w:sz="0" w:space="0" w:color="auto"/>
                <w:lang w:bidi="ar-SA"/>
              </w:rPr>
              <w:tab/>
            </w:r>
            <w:r w:rsidR="00194F38" w:rsidRPr="000A758A">
              <w:rPr>
                <w:rStyle w:val="Hyperlink"/>
                <w:rFonts w:asciiTheme="majorHAnsi" w:hAnsiTheme="majorHAnsi"/>
                <w:noProof/>
                <w:sz w:val="20"/>
                <w:szCs w:val="20"/>
              </w:rPr>
              <w:t>The rights to judicial guarantees, judicial protection and the duty to investigate possible enforced disappear</w:t>
            </w:r>
            <w:r w:rsidR="007A6A52">
              <w:rPr>
                <w:rStyle w:val="Hyperlink"/>
                <w:rFonts w:asciiTheme="majorHAnsi" w:hAnsiTheme="majorHAnsi"/>
                <w:noProof/>
                <w:sz w:val="20"/>
                <w:szCs w:val="20"/>
              </w:rPr>
              <w:t xml:space="preserve">ance and torture (Articles 8 and 25.1 </w:t>
            </w:r>
            <w:r w:rsidR="00194F38" w:rsidRPr="000A758A">
              <w:rPr>
                <w:rStyle w:val="Hyperlink"/>
                <w:rFonts w:asciiTheme="majorHAnsi" w:hAnsiTheme="majorHAnsi"/>
                <w:noProof/>
                <w:sz w:val="20"/>
                <w:szCs w:val="20"/>
              </w:rPr>
              <w:t>of the Ame</w:t>
            </w:r>
            <w:r w:rsidR="007A6A52">
              <w:rPr>
                <w:rStyle w:val="Hyperlink"/>
                <w:rFonts w:asciiTheme="majorHAnsi" w:hAnsiTheme="majorHAnsi"/>
                <w:noProof/>
                <w:sz w:val="20"/>
                <w:szCs w:val="20"/>
              </w:rPr>
              <w:t>rican Convention, Articles 1</w:t>
            </w:r>
            <w:r w:rsidR="00194F38" w:rsidRPr="000A758A">
              <w:rPr>
                <w:rStyle w:val="Hyperlink"/>
                <w:rFonts w:asciiTheme="majorHAnsi" w:hAnsiTheme="majorHAnsi"/>
                <w:noProof/>
                <w:sz w:val="20"/>
                <w:szCs w:val="20"/>
              </w:rPr>
              <w:t>, 6 and 8 of the ICPPT and Article 1b of the ICFDP)</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_Toc494373947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19</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48" w:history="1">
            <w:r w:rsidR="00194F38" w:rsidRPr="000A758A">
              <w:rPr>
                <w:rStyle w:val="Hyperlink"/>
                <w:rFonts w:asciiTheme="majorHAnsi" w:hAnsiTheme="majorHAnsi"/>
                <w:noProof/>
                <w:sz w:val="20"/>
                <w:szCs w:val="20"/>
              </w:rPr>
              <w:t>1.     Considerations on the right to judicial guarantees and judicial protection and on the duty to investigate possible enforced disappearance and torture</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_Toc494373948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19</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49" w:history="1">
            <w:r w:rsidR="00194F38" w:rsidRPr="000A758A">
              <w:rPr>
                <w:rStyle w:val="Hyperlink"/>
                <w:rFonts w:asciiTheme="majorHAnsi" w:hAnsiTheme="majorHAnsi"/>
                <w:noProof/>
                <w:sz w:val="20"/>
                <w:szCs w:val="20"/>
              </w:rPr>
              <w:t>2.     Analysis of the Case</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_Toc494373949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21</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50" w:history="1">
            <w:r w:rsidR="00194F38" w:rsidRPr="000A758A">
              <w:rPr>
                <w:rStyle w:val="Hyperlink"/>
                <w:rFonts w:asciiTheme="majorHAnsi" w:hAnsiTheme="majorHAnsi"/>
                <w:noProof/>
                <w:sz w:val="20"/>
                <w:szCs w:val="20"/>
              </w:rPr>
              <w:t>3. Conclusion</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_Toc494373950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28</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51" w:history="1">
            <w:r w:rsidR="00194F38" w:rsidRPr="000A758A">
              <w:rPr>
                <w:rStyle w:val="Hyperlink"/>
                <w:rFonts w:asciiTheme="majorHAnsi" w:eastAsia="Times New Roman" w:hAnsiTheme="majorHAnsi"/>
                <w:noProof/>
                <w:sz w:val="20"/>
                <w:szCs w:val="20"/>
              </w:rPr>
              <w:t>C.</w:t>
            </w:r>
            <w:r w:rsidR="00194F38" w:rsidRPr="000A758A">
              <w:rPr>
                <w:rFonts w:asciiTheme="majorHAnsi" w:eastAsiaTheme="minorEastAsia" w:hAnsiTheme="majorHAnsi" w:cstheme="minorBidi"/>
                <w:noProof/>
                <w:sz w:val="20"/>
                <w:szCs w:val="20"/>
                <w:bdr w:val="none" w:sz="0" w:space="0" w:color="auto"/>
                <w:lang w:bidi="ar-SA"/>
              </w:rPr>
              <w:tab/>
            </w:r>
            <w:r w:rsidR="00194F38" w:rsidRPr="000A758A">
              <w:rPr>
                <w:rStyle w:val="Hyperlink"/>
                <w:rFonts w:asciiTheme="majorHAnsi" w:hAnsiTheme="majorHAnsi"/>
                <w:noProof/>
                <w:sz w:val="20"/>
                <w:szCs w:val="20"/>
              </w:rPr>
              <w:t xml:space="preserve">The </w:t>
            </w:r>
            <w:r w:rsidR="007A6A52">
              <w:rPr>
                <w:rStyle w:val="Hyperlink"/>
                <w:rFonts w:asciiTheme="majorHAnsi" w:hAnsiTheme="majorHAnsi"/>
                <w:noProof/>
                <w:sz w:val="20"/>
                <w:szCs w:val="20"/>
              </w:rPr>
              <w:t>right to physical integrity</w:t>
            </w:r>
            <w:r w:rsidR="00194F38" w:rsidRPr="000A758A">
              <w:rPr>
                <w:rStyle w:val="Hyperlink"/>
                <w:rFonts w:asciiTheme="majorHAnsi" w:hAnsiTheme="majorHAnsi"/>
                <w:noProof/>
                <w:sz w:val="20"/>
                <w:szCs w:val="20"/>
              </w:rPr>
              <w:t> and the prohibition of torture</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_Toc494373951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29</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52" w:history="1">
            <w:r w:rsidR="00194F38" w:rsidRPr="000A758A">
              <w:rPr>
                <w:rStyle w:val="Hyperlink"/>
                <w:rFonts w:asciiTheme="majorHAnsi" w:hAnsiTheme="majorHAnsi"/>
                <w:noProof/>
                <w:sz w:val="20"/>
                <w:szCs w:val="20"/>
              </w:rPr>
              <w:t>1.  General considerations on the prohibition of torture and cruel, inhuman or degrading treatment</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_Toc494373952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29</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53" w:history="1">
            <w:r w:rsidR="00194F38" w:rsidRPr="000A758A">
              <w:rPr>
                <w:rStyle w:val="Hyperlink"/>
                <w:rFonts w:asciiTheme="majorHAnsi" w:hAnsiTheme="majorHAnsi"/>
                <w:noProof/>
                <w:sz w:val="20"/>
                <w:szCs w:val="20"/>
              </w:rPr>
              <w:t>2.     Analysis of the present case</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_Toc494373953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29</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54" w:history="1">
            <w:r w:rsidR="00194F38" w:rsidRPr="000A758A">
              <w:rPr>
                <w:rStyle w:val="Hyperlink"/>
                <w:rFonts w:asciiTheme="majorHAnsi" w:hAnsiTheme="majorHAnsi"/>
                <w:noProof/>
                <w:sz w:val="20"/>
                <w:szCs w:val="20"/>
              </w:rPr>
              <w:t>D.</w:t>
            </w:r>
            <w:r w:rsidR="00194F38" w:rsidRPr="000A758A">
              <w:rPr>
                <w:rFonts w:asciiTheme="majorHAnsi" w:eastAsiaTheme="minorEastAsia" w:hAnsiTheme="majorHAnsi" w:cstheme="minorBidi"/>
                <w:noProof/>
                <w:sz w:val="20"/>
                <w:szCs w:val="20"/>
                <w:bdr w:val="none" w:sz="0" w:space="0" w:color="auto"/>
                <w:lang w:bidi="ar-SA"/>
              </w:rPr>
              <w:tab/>
            </w:r>
            <w:r w:rsidR="00194F38" w:rsidRPr="000A758A">
              <w:rPr>
                <w:rStyle w:val="Hyperlink"/>
                <w:rFonts w:asciiTheme="majorHAnsi" w:hAnsiTheme="majorHAnsi"/>
                <w:noProof/>
                <w:sz w:val="20"/>
                <w:szCs w:val="20"/>
              </w:rPr>
              <w:t>Rights to the recognit</w:t>
            </w:r>
            <w:r w:rsidR="007A6A52">
              <w:rPr>
                <w:rStyle w:val="Hyperlink"/>
                <w:rFonts w:asciiTheme="majorHAnsi" w:hAnsiTheme="majorHAnsi"/>
                <w:noProof/>
                <w:sz w:val="20"/>
                <w:szCs w:val="20"/>
              </w:rPr>
              <w:t>ion of legal personality, life,</w:t>
            </w:r>
            <w:r w:rsidR="00194F38" w:rsidRPr="000A758A">
              <w:rPr>
                <w:rStyle w:val="Hyperlink"/>
                <w:rFonts w:asciiTheme="majorHAnsi" w:hAnsiTheme="majorHAnsi"/>
                <w:noProof/>
                <w:sz w:val="20"/>
                <w:szCs w:val="20"/>
              </w:rPr>
              <w:t>  physical integrity and personal liberty, and Article 1 (a) of the Inter-American Convention against Forc</w:t>
            </w:r>
            <w:r w:rsidR="007A6A52">
              <w:rPr>
                <w:rStyle w:val="Hyperlink"/>
                <w:rFonts w:asciiTheme="majorHAnsi" w:hAnsiTheme="majorHAnsi"/>
                <w:noProof/>
                <w:sz w:val="20"/>
                <w:szCs w:val="20"/>
              </w:rPr>
              <w:t>ed Disappearance of Persons</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_Toc494373954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32</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55" w:history="1">
            <w:r w:rsidR="00194F38" w:rsidRPr="000A758A">
              <w:rPr>
                <w:rStyle w:val="Hyperlink"/>
                <w:rFonts w:asciiTheme="majorHAnsi" w:hAnsiTheme="majorHAnsi"/>
                <w:noProof/>
                <w:sz w:val="20"/>
                <w:szCs w:val="20"/>
              </w:rPr>
              <w:t>1.     General considerations on enforced disappearance and its protection in Inter-American instruments</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_Toc494373955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32</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3"/>
            <w:rPr>
              <w:rFonts w:asciiTheme="majorHAnsi" w:eastAsiaTheme="minorEastAsia" w:hAnsiTheme="majorHAnsi" w:cstheme="minorBidi"/>
              <w:noProof/>
              <w:sz w:val="20"/>
              <w:szCs w:val="20"/>
              <w:bdr w:val="none" w:sz="0" w:space="0" w:color="auto"/>
              <w:lang w:bidi="ar-SA"/>
            </w:rPr>
          </w:pPr>
          <w:hyperlink w:anchor="_Toc494373956" w:history="1">
            <w:r w:rsidR="00194F38" w:rsidRPr="000A758A">
              <w:rPr>
                <w:rStyle w:val="Hyperlink"/>
                <w:rFonts w:asciiTheme="majorHAnsi" w:hAnsiTheme="majorHAnsi"/>
                <w:noProof/>
                <w:sz w:val="20"/>
                <w:szCs w:val="20"/>
              </w:rPr>
              <w:t>2.     Analysis of the Present Case</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_Toc494373956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32</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2"/>
            <w:rPr>
              <w:rFonts w:asciiTheme="majorHAnsi" w:eastAsiaTheme="minorEastAsia" w:hAnsiTheme="majorHAnsi" w:cstheme="minorBidi"/>
              <w:noProof/>
              <w:sz w:val="20"/>
              <w:szCs w:val="20"/>
              <w:bdr w:val="none" w:sz="0" w:space="0" w:color="auto"/>
              <w:lang w:bidi="ar-SA"/>
            </w:rPr>
          </w:pPr>
          <w:hyperlink w:anchor="_Toc494373957" w:history="1">
            <w:r w:rsidR="00194F38" w:rsidRPr="000A758A">
              <w:rPr>
                <w:rStyle w:val="Hyperlink"/>
                <w:rFonts w:asciiTheme="majorHAnsi" w:hAnsiTheme="majorHAnsi"/>
                <w:noProof/>
                <w:sz w:val="20"/>
                <w:szCs w:val="20"/>
              </w:rPr>
              <w:t>E.</w:t>
            </w:r>
            <w:r w:rsidR="00194F38" w:rsidRPr="000A758A">
              <w:rPr>
                <w:rFonts w:asciiTheme="majorHAnsi" w:eastAsiaTheme="minorEastAsia" w:hAnsiTheme="majorHAnsi" w:cstheme="minorBidi"/>
                <w:noProof/>
                <w:sz w:val="20"/>
                <w:szCs w:val="20"/>
                <w:bdr w:val="none" w:sz="0" w:space="0" w:color="auto"/>
                <w:lang w:bidi="ar-SA"/>
              </w:rPr>
              <w:tab/>
            </w:r>
            <w:r w:rsidR="00194F38" w:rsidRPr="000A758A">
              <w:rPr>
                <w:rStyle w:val="Hyperlink"/>
                <w:rFonts w:asciiTheme="majorHAnsi" w:hAnsiTheme="majorHAnsi"/>
                <w:noProof/>
                <w:sz w:val="20"/>
                <w:szCs w:val="20"/>
              </w:rPr>
              <w:t>The right to personal integrity with respect to the next of kin of Juan Francisco Arrom Suhurt and Anuncio Martí Méndez</w:t>
            </w:r>
            <w:r w:rsidR="00194F38" w:rsidRPr="000A758A">
              <w:rPr>
                <w:rFonts w:asciiTheme="majorHAnsi" w:hAnsiTheme="majorHAnsi"/>
                <w:noProof/>
                <w:webHidden/>
                <w:sz w:val="20"/>
                <w:szCs w:val="20"/>
              </w:rPr>
              <w:tab/>
            </w:r>
            <w:r w:rsidR="00194F38" w:rsidRPr="000A758A">
              <w:rPr>
                <w:rFonts w:asciiTheme="majorHAnsi" w:hAnsiTheme="majorHAnsi"/>
                <w:noProof/>
                <w:webHidden/>
                <w:sz w:val="20"/>
                <w:szCs w:val="20"/>
              </w:rPr>
              <w:fldChar w:fldCharType="begin"/>
            </w:r>
            <w:r w:rsidR="00194F38" w:rsidRPr="000A758A">
              <w:rPr>
                <w:rFonts w:asciiTheme="majorHAnsi" w:hAnsiTheme="majorHAnsi"/>
                <w:noProof/>
                <w:webHidden/>
                <w:sz w:val="20"/>
                <w:szCs w:val="20"/>
              </w:rPr>
              <w:instrText xml:space="preserve"> PAGEREF _Toc494373957 \h </w:instrText>
            </w:r>
            <w:r w:rsidR="00194F38" w:rsidRPr="000A758A">
              <w:rPr>
                <w:rFonts w:asciiTheme="majorHAnsi" w:hAnsiTheme="majorHAnsi"/>
                <w:noProof/>
                <w:webHidden/>
                <w:sz w:val="20"/>
                <w:szCs w:val="20"/>
              </w:rPr>
            </w:r>
            <w:r w:rsidR="00194F38" w:rsidRPr="000A758A">
              <w:rPr>
                <w:rFonts w:asciiTheme="majorHAnsi" w:hAnsiTheme="majorHAnsi"/>
                <w:noProof/>
                <w:webHidden/>
                <w:sz w:val="20"/>
                <w:szCs w:val="20"/>
              </w:rPr>
              <w:fldChar w:fldCharType="separate"/>
            </w:r>
            <w:r w:rsidR="00324D9C">
              <w:rPr>
                <w:rFonts w:asciiTheme="majorHAnsi" w:hAnsiTheme="majorHAnsi"/>
                <w:noProof/>
                <w:webHidden/>
                <w:sz w:val="20"/>
                <w:szCs w:val="20"/>
              </w:rPr>
              <w:t>33</w:t>
            </w:r>
            <w:r w:rsidR="00194F38" w:rsidRPr="000A758A">
              <w:rPr>
                <w:rFonts w:asciiTheme="majorHAnsi" w:hAnsiTheme="majorHAnsi"/>
                <w:noProof/>
                <w:webHidden/>
                <w:sz w:val="20"/>
                <w:szCs w:val="20"/>
              </w:rPr>
              <w:fldChar w:fldCharType="end"/>
            </w:r>
          </w:hyperlink>
        </w:p>
        <w:p w:rsidR="00194F38" w:rsidRPr="000A758A" w:rsidRDefault="009166B2" w:rsidP="00194F38">
          <w:pPr>
            <w:pStyle w:val="TOC1"/>
            <w:rPr>
              <w:rFonts w:eastAsiaTheme="minorEastAsia" w:cstheme="minorBidi"/>
              <w:sz w:val="20"/>
              <w:szCs w:val="20"/>
              <w:bdr w:val="none" w:sz="0" w:space="0" w:color="auto"/>
              <w:lang w:bidi="ar-SA"/>
            </w:rPr>
          </w:pPr>
          <w:hyperlink w:anchor="_Toc494373958" w:history="1">
            <w:r w:rsidR="00194F38" w:rsidRPr="000A758A">
              <w:rPr>
                <w:rStyle w:val="Hyperlink"/>
                <w:sz w:val="20"/>
                <w:szCs w:val="20"/>
              </w:rPr>
              <w:t>VI. CONCLUSIONS AND RECOMMENDATIONS</w:t>
            </w:r>
            <w:r w:rsidR="00194F38" w:rsidRPr="000A758A">
              <w:rPr>
                <w:webHidden/>
                <w:sz w:val="20"/>
                <w:szCs w:val="20"/>
              </w:rPr>
              <w:tab/>
            </w:r>
            <w:r w:rsidR="00194F38" w:rsidRPr="000A758A">
              <w:rPr>
                <w:webHidden/>
                <w:sz w:val="20"/>
                <w:szCs w:val="20"/>
              </w:rPr>
              <w:fldChar w:fldCharType="begin"/>
            </w:r>
            <w:r w:rsidR="00194F38" w:rsidRPr="000A758A">
              <w:rPr>
                <w:webHidden/>
                <w:sz w:val="20"/>
                <w:szCs w:val="20"/>
              </w:rPr>
              <w:instrText xml:space="preserve"> PAGEREF _Toc494373958 \h </w:instrText>
            </w:r>
            <w:r w:rsidR="00194F38" w:rsidRPr="000A758A">
              <w:rPr>
                <w:webHidden/>
                <w:sz w:val="20"/>
                <w:szCs w:val="20"/>
              </w:rPr>
            </w:r>
            <w:r w:rsidR="00194F38" w:rsidRPr="000A758A">
              <w:rPr>
                <w:webHidden/>
                <w:sz w:val="20"/>
                <w:szCs w:val="20"/>
              </w:rPr>
              <w:fldChar w:fldCharType="separate"/>
            </w:r>
            <w:r w:rsidR="00324D9C">
              <w:rPr>
                <w:webHidden/>
                <w:sz w:val="20"/>
                <w:szCs w:val="20"/>
              </w:rPr>
              <w:t>33</w:t>
            </w:r>
            <w:r w:rsidR="00194F38" w:rsidRPr="000A758A">
              <w:rPr>
                <w:webHidden/>
                <w:sz w:val="20"/>
                <w:szCs w:val="20"/>
              </w:rPr>
              <w:fldChar w:fldCharType="end"/>
            </w:r>
          </w:hyperlink>
        </w:p>
        <w:p w:rsidR="00194F38" w:rsidRDefault="00194F38" w:rsidP="00194F38">
          <w:r w:rsidRPr="000A758A">
            <w:rPr>
              <w:rFonts w:asciiTheme="majorHAnsi" w:hAnsiTheme="majorHAnsi"/>
              <w:b/>
              <w:bCs/>
              <w:noProof/>
              <w:sz w:val="20"/>
              <w:szCs w:val="20"/>
            </w:rPr>
            <w:fldChar w:fldCharType="end"/>
          </w:r>
        </w:p>
      </w:sdtContent>
    </w:sdt>
    <w:p w:rsidR="00C52CE8" w:rsidRPr="00E43642" w:rsidRDefault="00194F38" w:rsidP="00194F38">
      <w:pPr>
        <w:spacing w:line="276" w:lineRule="atLeast"/>
        <w:jc w:val="center"/>
      </w:pPr>
      <w:r>
        <w:rPr>
          <w:rFonts w:ascii="Cambria" w:hAnsi="Cambria"/>
          <w:sz w:val="18"/>
          <w:szCs w:val="18"/>
        </w:rPr>
        <w:t xml:space="preserve"> </w:t>
      </w: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C52CE8" w:rsidRDefault="00C52CE8" w:rsidP="00E84B2D">
      <w:pPr>
        <w:spacing w:line="276" w:lineRule="atLeast"/>
        <w:jc w:val="center"/>
        <w:rPr>
          <w:rFonts w:ascii="Cambria" w:hAnsi="Cambria"/>
          <w:b/>
          <w:bCs/>
          <w:sz w:val="18"/>
          <w:szCs w:val="18"/>
        </w:rPr>
      </w:pPr>
    </w:p>
    <w:p w:rsidR="00E84B2D" w:rsidRPr="00E43642" w:rsidRDefault="00E84B2D" w:rsidP="00095F5A">
      <w:pPr>
        <w:jc w:val="center"/>
      </w:pPr>
      <w:r w:rsidRPr="00E43642">
        <w:rPr>
          <w:rFonts w:ascii="Cambria" w:hAnsi="Cambria"/>
          <w:b/>
          <w:bCs/>
          <w:sz w:val="18"/>
          <w:szCs w:val="18"/>
        </w:rPr>
        <w:lastRenderedPageBreak/>
        <w:t>REPORT No.</w:t>
      </w:r>
      <w:r w:rsidRPr="00454721">
        <w:rPr>
          <w:rFonts w:ascii="Cambria" w:hAnsi="Cambria"/>
          <w:b/>
          <w:bCs/>
          <w:sz w:val="18"/>
          <w:szCs w:val="18"/>
        </w:rPr>
        <w:t> </w:t>
      </w:r>
      <w:r w:rsidR="001A6022">
        <w:rPr>
          <w:rFonts w:ascii="Cambria" w:hAnsi="Cambria"/>
          <w:b/>
          <w:bCs/>
          <w:sz w:val="18"/>
          <w:szCs w:val="18"/>
        </w:rPr>
        <w:t>100</w:t>
      </w:r>
      <w:r w:rsidRPr="00E43642">
        <w:rPr>
          <w:rFonts w:ascii="Cambria" w:hAnsi="Cambria"/>
          <w:b/>
          <w:bCs/>
          <w:sz w:val="18"/>
          <w:szCs w:val="18"/>
        </w:rPr>
        <w:t>/17</w:t>
      </w:r>
    </w:p>
    <w:p w:rsidR="00E84B2D" w:rsidRPr="00E43642" w:rsidRDefault="00E84B2D" w:rsidP="00095F5A">
      <w:pPr>
        <w:jc w:val="center"/>
      </w:pPr>
      <w:r w:rsidRPr="00E43642">
        <w:rPr>
          <w:rFonts w:ascii="Cambria" w:hAnsi="Cambria"/>
          <w:b/>
          <w:bCs/>
          <w:sz w:val="18"/>
          <w:szCs w:val="18"/>
        </w:rPr>
        <w:t>CASE</w:t>
      </w:r>
      <w:r w:rsidRPr="00454721">
        <w:rPr>
          <w:rFonts w:ascii="Cambria" w:hAnsi="Cambria"/>
          <w:b/>
          <w:bCs/>
          <w:sz w:val="18"/>
          <w:szCs w:val="18"/>
        </w:rPr>
        <w:t> </w:t>
      </w:r>
      <w:r w:rsidRPr="00E43642">
        <w:rPr>
          <w:rFonts w:ascii="Cambria" w:hAnsi="Cambria"/>
          <w:b/>
          <w:bCs/>
          <w:sz w:val="18"/>
          <w:szCs w:val="18"/>
        </w:rPr>
        <w:t>12.685</w:t>
      </w:r>
    </w:p>
    <w:p w:rsidR="00E84B2D" w:rsidRPr="00E43642" w:rsidRDefault="00E84B2D" w:rsidP="00095F5A">
      <w:pPr>
        <w:jc w:val="center"/>
      </w:pPr>
      <w:r w:rsidRPr="00E43642">
        <w:rPr>
          <w:rFonts w:ascii="Cambria" w:hAnsi="Cambria"/>
          <w:sz w:val="18"/>
          <w:szCs w:val="18"/>
        </w:rPr>
        <w:t>MERITS</w:t>
      </w:r>
      <w:r w:rsidRPr="00454721">
        <w:rPr>
          <w:rFonts w:ascii="Cambria" w:hAnsi="Cambria"/>
          <w:sz w:val="18"/>
          <w:szCs w:val="18"/>
        </w:rPr>
        <w:t> </w:t>
      </w:r>
    </w:p>
    <w:p w:rsidR="00E84B2D" w:rsidRPr="00E43642" w:rsidRDefault="00E84B2D" w:rsidP="00095F5A">
      <w:pPr>
        <w:jc w:val="center"/>
      </w:pPr>
      <w:r w:rsidRPr="00E43642">
        <w:rPr>
          <w:rFonts w:ascii="Cambria" w:hAnsi="Cambria"/>
          <w:sz w:val="18"/>
          <w:szCs w:val="18"/>
        </w:rPr>
        <w:t>JUAN FRANCISCO ARROM SUHURT, ANUNCIO MARTÍ MÉNDEZ AND OTHERS</w:t>
      </w:r>
    </w:p>
    <w:p w:rsidR="00E84B2D" w:rsidRPr="00E43642" w:rsidRDefault="00E84B2D" w:rsidP="00095F5A">
      <w:pPr>
        <w:jc w:val="center"/>
      </w:pPr>
      <w:r w:rsidRPr="00E43642">
        <w:rPr>
          <w:rFonts w:ascii="Cambria" w:hAnsi="Cambria"/>
          <w:sz w:val="18"/>
          <w:szCs w:val="18"/>
        </w:rPr>
        <w:t>PARAGUAY</w:t>
      </w:r>
    </w:p>
    <w:p w:rsidR="00E84B2D" w:rsidRPr="00E43642" w:rsidRDefault="00310E94" w:rsidP="00095F5A">
      <w:pPr>
        <w:jc w:val="center"/>
      </w:pPr>
      <w:r>
        <w:rPr>
          <w:rFonts w:ascii="Cambria" w:hAnsi="Cambria"/>
          <w:sz w:val="18"/>
          <w:szCs w:val="18"/>
        </w:rPr>
        <w:t>SEPTEMBER 5</w:t>
      </w:r>
      <w:r w:rsidR="00E84B2D" w:rsidRPr="00E43642">
        <w:rPr>
          <w:rFonts w:ascii="Cambria" w:hAnsi="Cambria"/>
          <w:sz w:val="18"/>
          <w:szCs w:val="18"/>
        </w:rPr>
        <w:t>, 2017</w:t>
      </w:r>
      <w:r>
        <w:rPr>
          <w:rStyle w:val="FootnoteReference"/>
          <w:rFonts w:ascii="Cambria" w:hAnsi="Cambria"/>
          <w:sz w:val="18"/>
          <w:szCs w:val="18"/>
        </w:rPr>
        <w:footnoteReference w:id="2"/>
      </w:r>
    </w:p>
    <w:p w:rsidR="00E84B2D" w:rsidRDefault="00E84B2D" w:rsidP="00E84B2D">
      <w:pPr>
        <w:spacing w:line="276" w:lineRule="atLeast"/>
        <w:jc w:val="center"/>
      </w:pPr>
    </w:p>
    <w:p w:rsidR="00095F5A" w:rsidRPr="00E43642" w:rsidRDefault="00095F5A" w:rsidP="00E84B2D">
      <w:pPr>
        <w:spacing w:line="276" w:lineRule="atLeast"/>
        <w:jc w:val="center"/>
      </w:pPr>
    </w:p>
    <w:p w:rsidR="00E84B2D" w:rsidRPr="002D71CD" w:rsidRDefault="00E84B2D" w:rsidP="002D71CD">
      <w:pPr>
        <w:pStyle w:val="Heading1"/>
        <w:numPr>
          <w:ilvl w:val="0"/>
          <w:numId w:val="0"/>
        </w:numPr>
        <w:ind w:left="720"/>
        <w:rPr>
          <w:sz w:val="20"/>
          <w:szCs w:val="20"/>
        </w:rPr>
      </w:pPr>
      <w:bookmarkStart w:id="1" w:name="_Toc494373933"/>
      <w:r w:rsidRPr="002D71CD">
        <w:rPr>
          <w:sz w:val="20"/>
          <w:szCs w:val="20"/>
        </w:rPr>
        <w:t>I</w:t>
      </w:r>
      <w:r w:rsidRPr="002D71CD">
        <w:rPr>
          <w:b w:val="0"/>
          <w:sz w:val="20"/>
          <w:szCs w:val="20"/>
        </w:rPr>
        <w:t>.               </w:t>
      </w:r>
      <w:r w:rsidRPr="002D71CD">
        <w:rPr>
          <w:rStyle w:val="Heading1Char"/>
          <w:b/>
          <w:sz w:val="20"/>
          <w:szCs w:val="20"/>
        </w:rPr>
        <w:t>  SUMMARY</w:t>
      </w:r>
      <w:bookmarkEnd w:id="1"/>
    </w:p>
    <w:p w:rsidR="00E84B2D" w:rsidRPr="00E84B2D" w:rsidRDefault="00E84B2D" w:rsidP="00E84B2D">
      <w:pPr>
        <w:ind w:left="360"/>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              On September 23 and 27, 2002, the Inter-American Commission on Human Rights (hereinafter "the Inter-American Commission", "the Commission" or "the IACHR") received a petition from Marina and Cristina Arrom Suhurt (hereinafter "the petitioners"),</w:t>
      </w:r>
      <w:bookmarkStart w:id="2" w:name="_ftnref1"/>
      <w:r w:rsidR="00310E94">
        <w:rPr>
          <w:rStyle w:val="FootnoteReference"/>
          <w:rFonts w:asciiTheme="majorHAnsi" w:hAnsiTheme="majorHAnsi"/>
          <w:sz w:val="20"/>
          <w:szCs w:val="20"/>
        </w:rPr>
        <w:footnoteReference w:id="3"/>
      </w:r>
      <w:bookmarkEnd w:id="2"/>
      <w:r w:rsidRPr="00E84B2D">
        <w:rPr>
          <w:rFonts w:asciiTheme="majorHAnsi" w:hAnsiTheme="majorHAnsi"/>
          <w:sz w:val="20"/>
          <w:szCs w:val="20"/>
        </w:rPr>
        <w:t> alleging the international responsibility of the Republic of Paraguay (hereinafter "the State of Paraguay", "the State", "the Paraguayan State" or "Paraguay") to the detriment of Juan Francisco Arrom Suhurt and Anuncio Martí Méndez.</w:t>
      </w:r>
    </w:p>
    <w:p w:rsidR="00E84B2D" w:rsidRPr="00E84B2D" w:rsidRDefault="00E84B2D" w:rsidP="00E84B2D">
      <w:pPr>
        <w:ind w:left="63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bdr w:val="none" w:sz="0" w:space="0" w:color="auto" w:frame="1"/>
        </w:rPr>
        <w:t>2.              </w:t>
      </w:r>
      <w:r w:rsidRPr="00E84B2D">
        <w:rPr>
          <w:rFonts w:asciiTheme="majorHAnsi" w:hAnsiTheme="majorHAnsi"/>
          <w:sz w:val="20"/>
          <w:szCs w:val="20"/>
        </w:rPr>
        <w:t>The petitioners alleged that the State of Paraguay is responsible for the disappearance and torture of leaders of the political party </w:t>
      </w:r>
      <w:r w:rsidRPr="00E84B2D">
        <w:rPr>
          <w:rFonts w:asciiTheme="majorHAnsi" w:hAnsiTheme="majorHAnsi"/>
          <w:i/>
          <w:iCs/>
          <w:sz w:val="20"/>
          <w:szCs w:val="20"/>
        </w:rPr>
        <w:t>Patria Libre</w:t>
      </w:r>
      <w:r w:rsidRPr="00E84B2D">
        <w:rPr>
          <w:rFonts w:asciiTheme="majorHAnsi" w:hAnsiTheme="majorHAnsi"/>
          <w:sz w:val="20"/>
          <w:szCs w:val="20"/>
        </w:rPr>
        <w:t>, Juan Arrom and Anuncio Martí, between January 17 and 30, 2002, and that the Public Prosecutor's Office failed to conduct an efficient investigation leading to the prosecution and punishment of those responsible for the crimes. They alleged that certain criminal procedural rules conferred the power of indicting exclusively on the Public Prosecutor's Office and that the Penal Code does not contain specific offenses of torture and forced disappearance in harmony with the instruments of international law.  Both these circumstances generate impunity.</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              The State maintained that state agents did not participate in the alleged torture and disappearance of Juan Arrom and Anuncio Martí, and it controverted aspects of their allegations. It stated that it undertook the investigation into the events denounced in accordance with the criteria in the case law of the Inter-American Court, and stated that the legislator considered it reasonable to confer the power to indict exclusively to the Public Prosecutor’s Office. It added that there was a draft bill to reform the criminal offenses of torture and forced disappearance.</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4.              The Commission concluded that the State of Paraguay was responsible for violating Articles 3 (right to recognition of legal personality), 4.1 (right to life), 5.1 and 5.2 (right to humane treatment), 7 (the right to personal liberty), 8.1 and 8.2 (judicial guarantees) and 25.1 (judicial protection) of the American Convention on Human Rights, in relation to the obligations established in Article 1.1 of the same instrument. The Commission also concluded that the State was responsible for violating Articles 1(a) and 1(b) of the Inter-American Convention on Forced Disappearance of Persons and Articles 1, 6 and 8 of the Inter-American Convention to Prevent and Punish Torture.</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2D71CD">
      <w:pPr>
        <w:pStyle w:val="Heading1"/>
        <w:numPr>
          <w:ilvl w:val="0"/>
          <w:numId w:val="0"/>
        </w:numPr>
        <w:ind w:left="720"/>
        <w:rPr>
          <w:sz w:val="20"/>
          <w:szCs w:val="20"/>
        </w:rPr>
      </w:pPr>
      <w:bookmarkStart w:id="3" w:name="_Toc494373934"/>
      <w:r w:rsidRPr="002D71CD">
        <w:rPr>
          <w:sz w:val="20"/>
          <w:szCs w:val="20"/>
        </w:rPr>
        <w:t>II.</w:t>
      </w:r>
      <w:r w:rsidRPr="00E84B2D">
        <w:rPr>
          <w:sz w:val="20"/>
          <w:szCs w:val="20"/>
        </w:rPr>
        <w:t>         </w:t>
      </w:r>
      <w:r w:rsidRPr="002D71CD">
        <w:rPr>
          <w:sz w:val="20"/>
          <w:szCs w:val="20"/>
        </w:rPr>
        <w:t>PROCEEDINGS</w:t>
      </w:r>
      <w:bookmarkEnd w:id="3"/>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5.              The processing of the petition until issuance of the admissibility report is recorded in Report No. 86/08 of October 30, 2008.</w:t>
      </w:r>
      <w:bookmarkStart w:id="4" w:name="_ftnref2"/>
      <w:r w:rsidR="00FC1CB4">
        <w:rPr>
          <w:rStyle w:val="FootnoteReference"/>
          <w:rFonts w:asciiTheme="majorHAnsi" w:hAnsiTheme="majorHAnsi"/>
          <w:sz w:val="20"/>
          <w:szCs w:val="20"/>
        </w:rPr>
        <w:footnoteReference w:id="4"/>
      </w:r>
      <w:hyperlink w:anchor="_ftn2" w:history="1"/>
      <w:bookmarkEnd w:id="4"/>
      <w:r w:rsidR="00FC1CB4" w:rsidRPr="00E84B2D">
        <w:rPr>
          <w:rFonts w:asciiTheme="majorHAnsi" w:hAnsiTheme="majorHAnsi"/>
          <w:sz w:val="20"/>
          <w:szCs w:val="20"/>
        </w:rPr>
        <w:t xml:space="preserve"> </w:t>
      </w:r>
      <w:r w:rsidRPr="00E84B2D">
        <w:rPr>
          <w:rFonts w:asciiTheme="majorHAnsi" w:hAnsiTheme="majorHAnsi"/>
          <w:sz w:val="20"/>
          <w:szCs w:val="20"/>
        </w:rPr>
        <w:t xml:space="preserve"> In that report, the Commission declared the petition concerning Juan </w:t>
      </w:r>
      <w:r w:rsidRPr="00E84B2D">
        <w:rPr>
          <w:rFonts w:asciiTheme="majorHAnsi" w:hAnsiTheme="majorHAnsi"/>
          <w:sz w:val="20"/>
          <w:szCs w:val="20"/>
        </w:rPr>
        <w:lastRenderedPageBreak/>
        <w:t>Arrom and Anuncio Martí admissible, and the petition concerning the allegations made by Victor Colmán, Ana Rosa Samudio de Colmán and Jorge Samudio inadmissible.</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6.              On November 14, 2008, the Commission notified the parties of the report and made itself available to reach a friendly settlement. On June 24 and 25, 2010, the State and the petitioners, respectively, expressed their desire not to continue with the friendly settlement process. On August 23, 2010, the petitioners presented their observations on the merits. On February 28, 2011, the State submitted its observations on the merits. On June 6, 2011, the petitioners submitted a brief with their comments on the State’s observations and on December 12, 2011, the State submitted observations on said brief. In subsequent years, the Commission continued to receive communications from the parties, the last on July 13, 2017, in which the State requested an extension to present its views in connection with some documents – which, to date, have not been received by the Commission - and of the petitioners on June 30, 2017. The substantive information has been duly notified to both parties.</w:t>
      </w:r>
      <w:r w:rsidR="00FC1CB4">
        <w:rPr>
          <w:rStyle w:val="FootnoteReference"/>
          <w:rFonts w:asciiTheme="majorHAnsi" w:hAnsiTheme="majorHAnsi"/>
          <w:sz w:val="20"/>
          <w:szCs w:val="20"/>
        </w:rPr>
        <w:footnoteReference w:id="5"/>
      </w:r>
      <w:r w:rsidRPr="00E84B2D">
        <w:rPr>
          <w:rFonts w:asciiTheme="majorHAnsi" w:hAnsiTheme="majorHAnsi"/>
          <w:sz w:val="20"/>
          <w:szCs w:val="20"/>
          <w:vertAlign w:val="superscript"/>
        </w:rPr>
        <w:t> </w:t>
      </w:r>
      <w:r w:rsidR="00FC1CB4" w:rsidRPr="00E84B2D">
        <w:rPr>
          <w:rFonts w:asciiTheme="majorHAnsi" w:hAnsiTheme="majorHAnsi"/>
          <w:sz w:val="20"/>
          <w:szCs w:val="20"/>
        </w:rPr>
        <w:t xml:space="preserve"> </w:t>
      </w:r>
    </w:p>
    <w:p w:rsidR="00E84B2D" w:rsidRPr="00E84B2D" w:rsidRDefault="00E84B2D" w:rsidP="00E84B2D">
      <w:pPr>
        <w:spacing w:line="276" w:lineRule="atLeast"/>
        <w:rPr>
          <w:rFonts w:asciiTheme="majorHAnsi" w:hAnsiTheme="majorHAnsi"/>
          <w:sz w:val="20"/>
          <w:szCs w:val="20"/>
        </w:rPr>
      </w:pPr>
      <w:r w:rsidRPr="00E84B2D">
        <w:rPr>
          <w:rFonts w:asciiTheme="majorHAnsi" w:hAnsiTheme="majorHAnsi"/>
          <w:sz w:val="20"/>
          <w:szCs w:val="20"/>
        </w:rPr>
        <w:t> </w:t>
      </w:r>
    </w:p>
    <w:p w:rsidR="00E84B2D" w:rsidRPr="00E84B2D" w:rsidRDefault="00E84B2D" w:rsidP="002D71CD">
      <w:pPr>
        <w:pStyle w:val="Heading1"/>
        <w:numPr>
          <w:ilvl w:val="0"/>
          <w:numId w:val="0"/>
        </w:numPr>
        <w:ind w:left="720"/>
        <w:rPr>
          <w:sz w:val="20"/>
          <w:szCs w:val="20"/>
        </w:rPr>
      </w:pPr>
      <w:bookmarkStart w:id="5" w:name="_Toc494373935"/>
      <w:r w:rsidRPr="002D71CD">
        <w:rPr>
          <w:sz w:val="20"/>
          <w:szCs w:val="20"/>
        </w:rPr>
        <w:t>III. POSITION OF THE PARTIES</w:t>
      </w:r>
      <w:bookmarkEnd w:id="5"/>
    </w:p>
    <w:p w:rsidR="00E84B2D" w:rsidRPr="00E84B2D" w:rsidRDefault="00E84B2D" w:rsidP="00E84B2D">
      <w:pPr>
        <w:rPr>
          <w:rFonts w:asciiTheme="majorHAnsi" w:hAnsiTheme="majorHAnsi"/>
          <w:sz w:val="20"/>
          <w:szCs w:val="20"/>
        </w:rPr>
      </w:pPr>
      <w:r w:rsidRPr="00E84B2D">
        <w:rPr>
          <w:rFonts w:asciiTheme="majorHAnsi" w:hAnsiTheme="majorHAnsi"/>
          <w:b/>
          <w:bCs/>
          <w:sz w:val="20"/>
          <w:szCs w:val="20"/>
        </w:rPr>
        <w:t> </w:t>
      </w:r>
    </w:p>
    <w:p w:rsidR="00E84B2D" w:rsidRPr="002D71CD" w:rsidRDefault="00E84B2D" w:rsidP="002D71CD">
      <w:pPr>
        <w:pStyle w:val="Heading2"/>
        <w:rPr>
          <w:rFonts w:eastAsia="Times New Roman"/>
          <w:sz w:val="20"/>
          <w:szCs w:val="20"/>
        </w:rPr>
      </w:pPr>
      <w:bookmarkStart w:id="6" w:name="_Toc494373936"/>
      <w:r w:rsidRPr="002D71CD">
        <w:rPr>
          <w:rFonts w:eastAsia="Times New Roman"/>
          <w:sz w:val="20"/>
          <w:szCs w:val="20"/>
        </w:rPr>
        <w:t>PETITIONERS</w:t>
      </w:r>
      <w:bookmarkEnd w:id="6"/>
    </w:p>
    <w:p w:rsidR="00E84B2D" w:rsidRPr="00E84B2D" w:rsidRDefault="00E84B2D" w:rsidP="00E84B2D">
      <w:pPr>
        <w:ind w:left="720"/>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              The petitioners stated that from January 17 to 30, 2002, state agents participated in the detention, confinement at hidden locations and acts of torture against Juan Francisco Arrom Suhurt and Anuncio Martí Méndez, who were leaders of the </w:t>
      </w:r>
      <w:r w:rsidRPr="00E84B2D">
        <w:rPr>
          <w:rFonts w:asciiTheme="majorHAnsi" w:hAnsiTheme="majorHAnsi"/>
          <w:i/>
          <w:iCs/>
          <w:sz w:val="20"/>
          <w:szCs w:val="20"/>
        </w:rPr>
        <w:t>Patria Libre</w:t>
      </w:r>
      <w:r w:rsidRPr="00E84B2D">
        <w:rPr>
          <w:rFonts w:asciiTheme="majorHAnsi" w:hAnsiTheme="majorHAnsi"/>
          <w:sz w:val="20"/>
          <w:szCs w:val="20"/>
        </w:rPr>
        <w:t> political party.</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              They stated that the alleged disappearance and torture to which Juan Arrom and Anuncio Martí were subjected was aimed at forcing them to plead guilty to the abduction of Mrs. María Edith Bordón and to investigate their political activity. They alleged that despite the complaints filed, these events remain in impunity. The petitioners reported that the alleged victims are currently in Brazil, where they were granted status as refugees.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              The petitioners alleged that the Paraguayan State has violated Articles 5, 7, 8 and 25, in connection with Articles 1.1 and 2; as well as Articles 1, 6 and 8 of the Inter-American Convention to Prevent and Punish Torture.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           With regard to the violation of the right to personal liberty, the petitioners alleged that it originated in the arbitrary detention of Arrom and Martí and their being held at secret locations from January 17, 2002, until January 30 of that same year. They added that the habeas corpus petitions filed were ineffective.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           With respect to the violation of the right to physical integrity and of the Inter-American Convention to Prevent Torture, the petitioners maintained that while Juan Arrom and Anuncio Martí were being held, they suffered physical, psychological and moral afflictions. In addition, they stated that because they were held in clandestine detention sites and because of the lack of effectiveness of the judicial remedies, their right to personal integrity was also affected. Likewise, their legal representatives stated that the families of Arrom and Martí "suffered the violence that characterizes the anguish caused by the disappearance."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           As regards the violation of judicial guarantees and protection, the petitioners pointed out that because of their secret imprisonment, Arrom and Martí were denied access to judicial remedies to challenge the conditions of their detention.</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xml:space="preserve">13.           In addition, they argued that the State of Paraguay failed to comply with its obligation to carry out an exhaustive, adequate and impartial investigation concerning their arbitrary detention and </w:t>
      </w:r>
      <w:r w:rsidRPr="00E84B2D">
        <w:rPr>
          <w:rFonts w:asciiTheme="majorHAnsi" w:hAnsiTheme="majorHAnsi"/>
          <w:sz w:val="20"/>
          <w:szCs w:val="20"/>
        </w:rPr>
        <w:lastRenderedPageBreak/>
        <w:t>torture.  They allege that since the Public Ministry failed to sufficiently appreciate the testimony that incriminated agents of the State in the events under investigation, focusing instead on the testimony of Public Officials from the Attorney General’s Office, despite the allegedly involvement of the Attorney General himself. In the same sense, they pointed out that the Public Ministry failed to ensure their effective participation in the proceedings by not ordering the production of evidence that the alleged victims considered relevant.</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           The petitioners also questioned the fact that the criminal proceedings only allowed the Public Prosecutor's Office to bring a high-profile case to trial as a complaint of torture, without the alleged victims or their representatives had had this opportunity as complainants.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15.           Regarding the violation of the obligation to adapt domestic legislation, the petitioners pointed out that Article 309 of the Criminal Code on the offense of torture is incompatible with the definitions in the Convention against Torture and Other Cruel, Inhuman or Degrading Treatment or Punishment and in the Inter-American Convention to Prevent and Punish Torture. They further emphasized that the Committee against Torture stated that in Paraguay torture is not criminalized in terms consistent with article 1 of the U.N. Convention. In that order of ideas, they pointed out that the State has violated articles 1, 6 and 8 of the Inter-American Convention to Prevent and Punish Torture.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16.           The petitioners pointed out that these violations of the American Convention arise both from State actions in the investigation of the disappearance and torture of Mr. Arrom and Mr. Martí, as well as from the judicial process accusing them of participating in the abduction of Mrs. María Edith Bordón of Debernardi, in view of the fact of the context in which the events took place.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5335BB" w:rsidRDefault="00E84B2D" w:rsidP="005335BB">
      <w:pPr>
        <w:ind w:firstLine="720"/>
        <w:jc w:val="both"/>
        <w:rPr>
          <w:rFonts w:asciiTheme="majorHAnsi" w:hAnsiTheme="majorHAnsi"/>
          <w:sz w:val="20"/>
          <w:szCs w:val="20"/>
        </w:rPr>
      </w:pPr>
      <w:r w:rsidRPr="00E84B2D">
        <w:rPr>
          <w:rFonts w:asciiTheme="majorHAnsi" w:hAnsiTheme="majorHAnsi"/>
          <w:sz w:val="20"/>
          <w:szCs w:val="20"/>
        </w:rPr>
        <w:t xml:space="preserve">17.           As a result, they requested that the following recommendations be made to the State: (i) compensate the victims for material and moral damages; (ii) investigate and try the State agents responsible for crimes against the alleged victims; (iii) modify Article 309 of the Penal Code; (iv) respect the refugee status of the alleged victims in Brazil; and (v) other security measures </w:t>
      </w:r>
      <w:r w:rsidR="005335BB">
        <w:rPr>
          <w:rFonts w:asciiTheme="majorHAnsi" w:hAnsiTheme="majorHAnsi"/>
          <w:sz w:val="20"/>
          <w:szCs w:val="20"/>
        </w:rPr>
        <w:t>for their families in Paraguay.</w:t>
      </w:r>
    </w:p>
    <w:p w:rsidR="005335BB" w:rsidRPr="005335BB" w:rsidRDefault="005335BB" w:rsidP="005335BB">
      <w:pPr>
        <w:jc w:val="both"/>
        <w:rPr>
          <w:rFonts w:asciiTheme="majorHAnsi" w:hAnsiTheme="majorHAnsi"/>
          <w:sz w:val="20"/>
          <w:szCs w:val="20"/>
        </w:rPr>
      </w:pPr>
    </w:p>
    <w:p w:rsidR="00E84B2D" w:rsidRPr="00E84B2D" w:rsidRDefault="00E84B2D" w:rsidP="002D71CD">
      <w:pPr>
        <w:pStyle w:val="Heading2"/>
        <w:rPr>
          <w:rFonts w:eastAsia="Times New Roman"/>
          <w:sz w:val="20"/>
          <w:szCs w:val="20"/>
        </w:rPr>
      </w:pPr>
      <w:bookmarkStart w:id="7" w:name="_Toc494373937"/>
      <w:r w:rsidRPr="002D71CD">
        <w:rPr>
          <w:rFonts w:eastAsia="Times New Roman"/>
          <w:sz w:val="20"/>
          <w:szCs w:val="20"/>
        </w:rPr>
        <w:t>THE STATE</w:t>
      </w:r>
      <w:bookmarkEnd w:id="7"/>
    </w:p>
    <w:p w:rsidR="00E84B2D" w:rsidRPr="00E84B2D" w:rsidRDefault="00E84B2D" w:rsidP="00E84B2D">
      <w:pPr>
        <w:ind w:left="720"/>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           The State rejects the petitioners’ claims and stated that it had not violated any Article of the American Convention. The State questioned some of the petitioners' statements on the alleged forced disappearance and torture Juan Arrom and Anuncio Martí and stated that they did not take place in institutions under State control, nor were State resources involved to violate human rights as the petition argues.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           The State claimed that the investigation carried out by the Public Prosecutor's Office did not demonstrate the existence of the alleged events, since the statements of the complainants have not been corroborated by other elements. The State indicated that, in contrast, there are numerous testimonies of people unconnected with the events and some without any connection with the parties, all of which could objectively distort the version of the complainants.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20.           Regarding the alleged violation of the right to personal liberty, the State argued that it was not possible to show that such violation effectively took place on January 17, 2002, because "judicial investigations had not provided any certainty as to [its] date". In addition, the State argued that the accused Saturnino Antonio Gamarra, Jose David Schembori and Javier Cazal were somewhere else on the day of the events alleged by the petitioners. Likewise, the State pointed out that the events complained of could not have happened in state institutions or that such could have been used as a means for the commission of the crimes because there are no centers of detention or imprisonment for these purposes.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xml:space="preserve">21.           With regard to the alleged violation of the right to humane treatment and of the Inter-American Convention on the Prevention and Punishment of Torture, the State pointed out that a criminal case was initiated based on the statements of the alleged victims, but the accused were found not to be responsible due to the contradictory statements of the victims; that some of the evidence could not be corroborated and </w:t>
      </w:r>
      <w:r w:rsidRPr="00E84B2D">
        <w:rPr>
          <w:rFonts w:asciiTheme="majorHAnsi" w:hAnsiTheme="majorHAnsi"/>
          <w:sz w:val="20"/>
          <w:szCs w:val="20"/>
        </w:rPr>
        <w:lastRenderedPageBreak/>
        <w:t>that the defendants were active on demonstrate that they were not involved. Therefore, the State alleged that the criminal proceedings failed to show the responsibility of a state official in the allegedly violations.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22.           Regarding the alleged violation of judicial protection and the duty to ensure rights and freedoms, the State indicated that the complainants enjoyed full guarantees at each stage of the proceedings, had legal counsel; that the decisions of the Public Prosecutor's Office were carried out within the relevant time period and that they were afforded the opportunity to challenge judicial decisions, both as complainants and when charged with offenses.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23.           The State challenged the allegation that habeas corpus had been rejected in order to cover up official state actions and emphasized that the State expects the Commission to abide by the standard established by international doctrine on Habeas Corpus not interfering in a judicial investigation into criminal offenses such as those that gave rise to the arrest warrant issued in the course of legitimate criminal proceedings.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24.           With regard to the violation of the duty to adopt provisions of domestic law, the State indicated that the National Congress was in the process of drafting a Bill to amend articles 236 and 309 of the Penal Code in order to conform to international law. In addition, regarding the article of the Code of Criminal Procedure granting the Public Prosecutor’s Office a monopoly on criminal prosecutions, the State considered that the functions granted to this Office in Paraguay are based on the criteria of the legislators. Finally, the State undertook to adapt the definition of torture and forced disappearance to the standards established by international instruments.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2D71CD">
      <w:pPr>
        <w:pStyle w:val="Heading1"/>
        <w:numPr>
          <w:ilvl w:val="0"/>
          <w:numId w:val="0"/>
        </w:numPr>
        <w:ind w:left="720"/>
        <w:rPr>
          <w:sz w:val="20"/>
          <w:szCs w:val="20"/>
        </w:rPr>
      </w:pPr>
      <w:bookmarkStart w:id="8" w:name="_Toc494373938"/>
      <w:r w:rsidRPr="002D71CD">
        <w:rPr>
          <w:sz w:val="20"/>
          <w:szCs w:val="20"/>
        </w:rPr>
        <w:t>IV. FACTS OF THE CASE</w:t>
      </w:r>
      <w:bookmarkEnd w:id="8"/>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25.           The purpose of the present case is the alleged forced disappearance and torture of Juan Arrom and Anuncio Martí, leaders of the </w:t>
      </w:r>
      <w:r w:rsidRPr="00E84B2D">
        <w:rPr>
          <w:rFonts w:asciiTheme="majorHAnsi" w:hAnsiTheme="majorHAnsi"/>
          <w:i/>
          <w:iCs/>
          <w:sz w:val="20"/>
          <w:szCs w:val="20"/>
        </w:rPr>
        <w:t>Patria Libre</w:t>
      </w:r>
      <w:r w:rsidRPr="00E84B2D">
        <w:rPr>
          <w:rFonts w:asciiTheme="majorHAnsi" w:hAnsiTheme="majorHAnsi"/>
          <w:sz w:val="20"/>
          <w:szCs w:val="20"/>
        </w:rPr>
        <w:t> movement. However, the case file also shows that the background of the case includes the abduction of Mrs. Maria Edith Bordón, taking into account that in these proceedings the alleged victims appear as possibly responsible. Therefore, certain determinations are made in this regard below.</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26.           The Commission will present the facts in the following order: (i) the background relating to the abduction of Maria Edith Bordón de Debernardi; (ii) the information available about the events taking place between January 17 and 30, 2002; (iii) the judicial proceedings and the complaints about what happened to Juan Arrom and Anuncio Martí; and (iv) the refugee status accorded to Juan Arrom and Anuncio Martí.</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2D71CD" w:rsidRDefault="00E84B2D" w:rsidP="002D71CD">
      <w:pPr>
        <w:pStyle w:val="Heading2"/>
        <w:numPr>
          <w:ilvl w:val="0"/>
          <w:numId w:val="0"/>
        </w:numPr>
        <w:ind w:left="1440" w:hanging="720"/>
        <w:rPr>
          <w:sz w:val="20"/>
          <w:szCs w:val="20"/>
        </w:rPr>
      </w:pPr>
      <w:bookmarkStart w:id="9" w:name="_Toc494373939"/>
      <w:r w:rsidRPr="002D71CD">
        <w:rPr>
          <w:sz w:val="20"/>
          <w:szCs w:val="20"/>
        </w:rPr>
        <w:t>A.              Background relating to the abduction of Maria Edith Bordón de Debernardi</w:t>
      </w:r>
      <w:bookmarkEnd w:id="9"/>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27.           On November 16, 2001, Mrs. María Edith Bordón was abducted by armed men and kidnapped for 64 days. Her captors demanded large sums of money for her release</w:t>
      </w:r>
      <w:r w:rsidR="00FC1CB4">
        <w:rPr>
          <w:rStyle w:val="FootnoteReference"/>
          <w:rFonts w:asciiTheme="majorHAnsi" w:hAnsiTheme="majorHAnsi"/>
          <w:sz w:val="20"/>
          <w:szCs w:val="20"/>
        </w:rPr>
        <w:footnoteReference w:id="6"/>
      </w:r>
      <w:r w:rsidRPr="00E84B2D">
        <w:rPr>
          <w:rFonts w:asciiTheme="majorHAnsi" w:hAnsiTheme="majorHAnsi"/>
          <w:sz w:val="20"/>
          <w:szCs w:val="20"/>
        </w:rPr>
        <w:t>. The kidnapping was widely reported by the national press. According to a press article from </w:t>
      </w:r>
      <w:r w:rsidRPr="00E84B2D">
        <w:rPr>
          <w:rFonts w:asciiTheme="majorHAnsi" w:hAnsiTheme="majorHAnsi"/>
          <w:i/>
          <w:iCs/>
          <w:sz w:val="20"/>
          <w:szCs w:val="20"/>
        </w:rPr>
        <w:t>Diario ABC</w:t>
      </w:r>
      <w:r w:rsidRPr="00E84B2D">
        <w:rPr>
          <w:rFonts w:asciiTheme="majorHAnsi" w:hAnsiTheme="majorHAnsi"/>
          <w:sz w:val="20"/>
          <w:szCs w:val="20"/>
        </w:rPr>
        <w:t>, published on November 27, 2001, Antonio Debernardi, María Edith Bordón’s husband, stated that the abduction might have had a political or economic motive.</w:t>
      </w:r>
      <w:r w:rsidR="00FC1CB4">
        <w:rPr>
          <w:rStyle w:val="FootnoteReference"/>
          <w:rFonts w:asciiTheme="majorHAnsi" w:hAnsiTheme="majorHAnsi"/>
          <w:sz w:val="20"/>
          <w:szCs w:val="20"/>
        </w:rPr>
        <w:footnoteReference w:id="7"/>
      </w:r>
      <w:r w:rsidR="00FC1CB4"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28.           According to the investigation into the events, two payments were made to free Mrs. Bordón</w:t>
      </w:r>
      <w:r w:rsidR="00C13247">
        <w:rPr>
          <w:rStyle w:val="FootnoteReference"/>
          <w:rFonts w:asciiTheme="majorHAnsi" w:hAnsiTheme="majorHAnsi"/>
          <w:sz w:val="20"/>
          <w:szCs w:val="20"/>
        </w:rPr>
        <w:footnoteReference w:id="8"/>
      </w:r>
      <w:r w:rsidRPr="00E84B2D">
        <w:rPr>
          <w:rFonts w:asciiTheme="majorHAnsi" w:hAnsiTheme="majorHAnsi"/>
          <w:sz w:val="20"/>
          <w:szCs w:val="20"/>
        </w:rPr>
        <w:t xml:space="preserve">. The first payment was made on January 14, 2002, when Antonio Debernardi paid the kidnappers the amount of four hundred thousand ($ 400,000) US dollars. According to the State, the following day, on </w:t>
      </w:r>
      <w:r w:rsidRPr="00E84B2D">
        <w:rPr>
          <w:rFonts w:asciiTheme="majorHAnsi" w:hAnsiTheme="majorHAnsi"/>
          <w:sz w:val="20"/>
          <w:szCs w:val="20"/>
        </w:rPr>
        <w:lastRenderedPageBreak/>
        <w:t>January 15, 2002, Marcos Antonio Álvarez Pereira, who was familiar with Juan Arrom and worked in the Ministry of Justice, handed over three hundred and fifty thousand dollars ($350,000) to the Public Prosecutors office, claiming that his friend Juan Arrom had given the money to him.</w:t>
      </w:r>
      <w:r w:rsidR="00A27532">
        <w:rPr>
          <w:rStyle w:val="FootnoteReference"/>
          <w:rFonts w:asciiTheme="majorHAnsi" w:hAnsiTheme="majorHAnsi"/>
          <w:sz w:val="20"/>
          <w:szCs w:val="20"/>
        </w:rPr>
        <w:footnoteReference w:id="9"/>
      </w:r>
      <w:r w:rsidR="00A2753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29.           On January 18, Antonio Debernardi made a second payment.</w:t>
      </w:r>
      <w:r w:rsidR="00A27532">
        <w:rPr>
          <w:rStyle w:val="FootnoteReference"/>
          <w:rFonts w:asciiTheme="majorHAnsi" w:hAnsiTheme="majorHAnsi"/>
          <w:sz w:val="20"/>
          <w:szCs w:val="20"/>
        </w:rPr>
        <w:footnoteReference w:id="10"/>
      </w:r>
      <w:r w:rsidRPr="00E84B2D">
        <w:rPr>
          <w:rFonts w:asciiTheme="majorHAnsi" w:hAnsiTheme="majorHAnsi"/>
          <w:sz w:val="20"/>
          <w:szCs w:val="20"/>
        </w:rPr>
        <w:t> Before doing so, he took photocopies of each of the bills handed over to the captors, as recorded in a Memorandum</w:t>
      </w:r>
      <w:r w:rsidR="00A27532">
        <w:rPr>
          <w:rStyle w:val="FootnoteReference"/>
          <w:rFonts w:asciiTheme="majorHAnsi" w:hAnsiTheme="majorHAnsi"/>
          <w:sz w:val="20"/>
          <w:szCs w:val="20"/>
        </w:rPr>
        <w:footnoteReference w:id="11"/>
      </w:r>
      <w:r w:rsidRPr="00E84B2D">
        <w:rPr>
          <w:rFonts w:asciiTheme="majorHAnsi" w:hAnsiTheme="majorHAnsi"/>
          <w:sz w:val="20"/>
          <w:szCs w:val="20"/>
        </w:rPr>
        <w:t>. The State maintains that in Víctor Colmán’s house (also leader of the </w:t>
      </w:r>
      <w:r w:rsidRPr="00E84B2D">
        <w:rPr>
          <w:rFonts w:asciiTheme="majorHAnsi" w:hAnsiTheme="majorHAnsi"/>
          <w:i/>
          <w:iCs/>
          <w:sz w:val="20"/>
          <w:szCs w:val="20"/>
        </w:rPr>
        <w:t>Patria Libre</w:t>
      </w:r>
      <w:r w:rsidRPr="00E84B2D">
        <w:rPr>
          <w:rFonts w:asciiTheme="majorHAnsi" w:hAnsiTheme="majorHAnsi"/>
          <w:sz w:val="20"/>
          <w:szCs w:val="20"/>
        </w:rPr>
        <w:t> Party), the authorities seized the sum of fifty thousand US dollars ($ 50,000), which matched as a part of the bills given by Antonio Debernardi to the kidnappers. On this point, the petitioners stated that counsel of the aforementioned accused had claimed "evidence had been set up in advance ... on the spot by the Police themselves in collusion with the prosecutor of the case."</w:t>
      </w:r>
      <w:bookmarkStart w:id="10" w:name="_ftnref10"/>
      <w:r w:rsidRPr="00E84B2D">
        <w:rPr>
          <w:rFonts w:asciiTheme="majorHAnsi" w:hAnsiTheme="majorHAnsi"/>
          <w:sz w:val="20"/>
          <w:szCs w:val="20"/>
        </w:rPr>
        <w:fldChar w:fldCharType="begin"/>
      </w:r>
      <w:r w:rsidRPr="00E84B2D">
        <w:rPr>
          <w:rFonts w:asciiTheme="majorHAnsi" w:hAnsiTheme="majorHAnsi"/>
          <w:sz w:val="20"/>
          <w:szCs w:val="20"/>
        </w:rPr>
        <w:instrText xml:space="preserve"> HYPERLINK "" \l "_ftn10" \o "" </w:instrText>
      </w:r>
      <w:r w:rsidRPr="00E84B2D">
        <w:rPr>
          <w:rFonts w:asciiTheme="majorHAnsi" w:hAnsiTheme="majorHAnsi"/>
          <w:sz w:val="20"/>
          <w:szCs w:val="20"/>
        </w:rPr>
        <w:fldChar w:fldCharType="separate"/>
      </w:r>
      <w:r w:rsidR="00A27532">
        <w:rPr>
          <w:rStyle w:val="FootnoteReference"/>
          <w:rFonts w:asciiTheme="majorHAnsi" w:hAnsiTheme="majorHAnsi"/>
          <w:sz w:val="20"/>
          <w:szCs w:val="20"/>
        </w:rPr>
        <w:footnoteReference w:id="12"/>
      </w:r>
      <w:r w:rsidRPr="00E84B2D">
        <w:rPr>
          <w:rFonts w:asciiTheme="majorHAnsi" w:hAnsiTheme="majorHAnsi"/>
          <w:sz w:val="20"/>
          <w:szCs w:val="20"/>
        </w:rPr>
        <w:fldChar w:fldCharType="end"/>
      </w:r>
      <w:bookmarkEnd w:id="10"/>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30.           On January 19, 2002, Mrs. Maria Edith Bo</w:t>
      </w:r>
      <w:bookmarkStart w:id="11" w:name="_ftnref11"/>
      <w:r w:rsidR="00A27532">
        <w:rPr>
          <w:rFonts w:asciiTheme="majorHAnsi" w:hAnsiTheme="majorHAnsi"/>
          <w:sz w:val="20"/>
          <w:szCs w:val="20"/>
        </w:rPr>
        <w:t>rdón de Debernardi was released</w:t>
      </w:r>
      <w:bookmarkEnd w:id="11"/>
      <w:r w:rsidR="00A27532">
        <w:rPr>
          <w:rStyle w:val="FootnoteReference"/>
          <w:rFonts w:asciiTheme="majorHAnsi" w:hAnsiTheme="majorHAnsi"/>
          <w:sz w:val="20"/>
          <w:szCs w:val="20"/>
        </w:rPr>
        <w:footnoteReference w:id="13"/>
      </w:r>
      <w:r w:rsidR="00A27532">
        <w:rPr>
          <w:rFonts w:asciiTheme="majorHAnsi" w:hAnsiTheme="majorHAnsi"/>
          <w:sz w:val="20"/>
          <w:szCs w:val="20"/>
        </w:rPr>
        <w:t>.</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31.           According to a press report from </w:t>
      </w:r>
      <w:r w:rsidRPr="00E84B2D">
        <w:rPr>
          <w:rFonts w:asciiTheme="majorHAnsi" w:hAnsiTheme="majorHAnsi"/>
          <w:i/>
          <w:iCs/>
          <w:sz w:val="20"/>
          <w:szCs w:val="20"/>
        </w:rPr>
        <w:t>Diario La Nación</w:t>
      </w:r>
      <w:r w:rsidRPr="00E84B2D">
        <w:rPr>
          <w:rFonts w:asciiTheme="majorHAnsi" w:hAnsiTheme="majorHAnsi"/>
          <w:sz w:val="20"/>
          <w:szCs w:val="20"/>
        </w:rPr>
        <w:t> of January 20, 2002, Interior Minister Julio César Fanego stated that several leaders of the </w:t>
      </w:r>
      <w:r w:rsidRPr="00E84B2D">
        <w:rPr>
          <w:rFonts w:asciiTheme="majorHAnsi" w:hAnsiTheme="majorHAnsi"/>
          <w:i/>
          <w:iCs/>
          <w:sz w:val="20"/>
          <w:szCs w:val="20"/>
        </w:rPr>
        <w:t>Patria Libre</w:t>
      </w:r>
      <w:r w:rsidRPr="00E84B2D">
        <w:rPr>
          <w:rFonts w:asciiTheme="majorHAnsi" w:hAnsiTheme="majorHAnsi"/>
          <w:sz w:val="20"/>
          <w:szCs w:val="20"/>
        </w:rPr>
        <w:t> Party were involved in the abduction of Mrs. María Edith Bordón and that "since last Tuesday those responsible were already under observation, and that therefore he was very sure that all those who participated in the kidnapping would be caught."</w:t>
      </w:r>
      <w:r w:rsidR="00A27532">
        <w:rPr>
          <w:rStyle w:val="FootnoteReference"/>
          <w:rFonts w:asciiTheme="majorHAnsi" w:hAnsiTheme="majorHAnsi"/>
          <w:sz w:val="20"/>
          <w:szCs w:val="20"/>
        </w:rPr>
        <w:footnoteReference w:id="14"/>
      </w:r>
      <w:r w:rsidR="00A27532" w:rsidRPr="00E84B2D">
        <w:rPr>
          <w:rFonts w:asciiTheme="majorHAnsi" w:hAnsiTheme="majorHAnsi"/>
          <w:sz w:val="20"/>
          <w:szCs w:val="20"/>
        </w:rPr>
        <w:t xml:space="preserve"> </w:t>
      </w:r>
      <w:r w:rsidRPr="00E84B2D">
        <w:rPr>
          <w:rFonts w:asciiTheme="majorHAnsi" w:hAnsiTheme="majorHAnsi"/>
          <w:sz w:val="20"/>
          <w:szCs w:val="20"/>
        </w:rPr>
        <w:t>Likewise, </w:t>
      </w:r>
      <w:r w:rsidRPr="00E84B2D">
        <w:rPr>
          <w:rFonts w:asciiTheme="majorHAnsi" w:hAnsiTheme="majorHAnsi"/>
          <w:i/>
          <w:iCs/>
          <w:sz w:val="20"/>
          <w:szCs w:val="20"/>
        </w:rPr>
        <w:t>Diario ABC</w:t>
      </w:r>
      <w:r w:rsidRPr="00E84B2D">
        <w:rPr>
          <w:rFonts w:asciiTheme="majorHAnsi" w:hAnsiTheme="majorHAnsi"/>
          <w:sz w:val="20"/>
          <w:szCs w:val="20"/>
        </w:rPr>
        <w:t> published a report of the same date indicating that Juan Arrom had been singled out as one of the perpetrators of Maria Edith Bordón’s kidnapping.</w:t>
      </w:r>
      <w:r w:rsidR="00A27532">
        <w:rPr>
          <w:rStyle w:val="FootnoteReference"/>
          <w:rFonts w:asciiTheme="majorHAnsi" w:hAnsiTheme="majorHAnsi"/>
          <w:sz w:val="20"/>
          <w:szCs w:val="20"/>
        </w:rPr>
        <w:footnoteReference w:id="15"/>
      </w:r>
      <w:r w:rsidRPr="00E84B2D">
        <w:rPr>
          <w:rFonts w:asciiTheme="majorHAnsi" w:hAnsiTheme="majorHAnsi"/>
          <w:sz w:val="20"/>
          <w:szCs w:val="20"/>
        </w:rPr>
        <w:t> The Commission finds that the report referred to the fact that the Police considered Juan Arrom as a participant in the abduction.</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32.           As indicated by the State, Commissioner Antonio Gamarra asked the Prosecutor's Office for the arrest of Juan Arrom, Anuncio Martí and three others through Police Order No. 13/02, in the context of the investigation that was being carried out to try those responsible for Mrs. María Edith Bordón de Debernardi’s abduction.</w:t>
      </w:r>
      <w:r w:rsidR="00A27532">
        <w:rPr>
          <w:rStyle w:val="FootnoteReference"/>
          <w:rFonts w:asciiTheme="majorHAnsi" w:hAnsiTheme="majorHAnsi"/>
          <w:sz w:val="20"/>
          <w:szCs w:val="20"/>
        </w:rPr>
        <w:footnoteReference w:id="16"/>
      </w:r>
      <w:r w:rsidR="00A2753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2D71CD">
      <w:pPr>
        <w:pStyle w:val="Heading2"/>
        <w:numPr>
          <w:ilvl w:val="0"/>
          <w:numId w:val="0"/>
        </w:numPr>
        <w:ind w:left="1440" w:hanging="720"/>
        <w:rPr>
          <w:sz w:val="20"/>
          <w:szCs w:val="20"/>
        </w:rPr>
      </w:pPr>
      <w:bookmarkStart w:id="12" w:name="_Toc494373940"/>
      <w:r w:rsidRPr="002D71CD">
        <w:rPr>
          <w:sz w:val="20"/>
          <w:szCs w:val="20"/>
        </w:rPr>
        <w:t>B.              Information available on the events between January 17 and 30, 2002</w:t>
      </w:r>
      <w:bookmarkEnd w:id="12"/>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33.           According to national and local press reports, since January 20, 2002, it was widely reported that Juan Arrom and Anuncio Martí had disappeared.</w:t>
      </w:r>
      <w:r w:rsidR="00A27532">
        <w:rPr>
          <w:rStyle w:val="FootnoteReference"/>
          <w:rFonts w:asciiTheme="majorHAnsi" w:hAnsiTheme="majorHAnsi"/>
          <w:sz w:val="20"/>
          <w:szCs w:val="20"/>
        </w:rPr>
        <w:footnoteReference w:id="17"/>
      </w:r>
      <w:r w:rsidR="00A2753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34.           According to press information, high-ranking State officials were interviewed about the alleged disappearance of Juan Arrom and Anuncio Martí. On January 23, 2002, </w:t>
      </w:r>
      <w:r w:rsidRPr="00E84B2D">
        <w:rPr>
          <w:rFonts w:asciiTheme="majorHAnsi" w:hAnsiTheme="majorHAnsi"/>
          <w:i/>
          <w:iCs/>
          <w:sz w:val="20"/>
          <w:szCs w:val="20"/>
        </w:rPr>
        <w:t>Diario Noticias</w:t>
      </w:r>
      <w:r w:rsidRPr="00E84B2D">
        <w:rPr>
          <w:rFonts w:asciiTheme="majorHAnsi" w:hAnsiTheme="majorHAnsi"/>
          <w:sz w:val="20"/>
          <w:szCs w:val="20"/>
        </w:rPr>
        <w:t xml:space="preserve"> published an </w:t>
      </w:r>
      <w:r w:rsidRPr="00E84B2D">
        <w:rPr>
          <w:rFonts w:asciiTheme="majorHAnsi" w:hAnsiTheme="majorHAnsi"/>
          <w:sz w:val="20"/>
          <w:szCs w:val="20"/>
        </w:rPr>
        <w:lastRenderedPageBreak/>
        <w:t>interview with the then President of the Republic Luis González Macchi</w:t>
      </w:r>
      <w:r w:rsidR="00A27532">
        <w:rPr>
          <w:rStyle w:val="FootnoteReference"/>
          <w:rFonts w:asciiTheme="majorHAnsi" w:hAnsiTheme="majorHAnsi"/>
          <w:sz w:val="20"/>
          <w:szCs w:val="20"/>
        </w:rPr>
        <w:footnoteReference w:id="18"/>
      </w:r>
      <w:r w:rsidRPr="00E84B2D">
        <w:rPr>
          <w:rFonts w:asciiTheme="majorHAnsi" w:hAnsiTheme="majorHAnsi"/>
          <w:sz w:val="20"/>
          <w:szCs w:val="20"/>
        </w:rPr>
        <w:t>. On January 28, 2002, the newspaper </w:t>
      </w:r>
      <w:r w:rsidRPr="00E84B2D">
        <w:rPr>
          <w:rFonts w:asciiTheme="majorHAnsi" w:hAnsiTheme="majorHAnsi"/>
          <w:i/>
          <w:iCs/>
          <w:sz w:val="20"/>
          <w:szCs w:val="20"/>
        </w:rPr>
        <w:t>La Nación</w:t>
      </w:r>
      <w:r w:rsidRPr="00E84B2D">
        <w:rPr>
          <w:rFonts w:asciiTheme="majorHAnsi" w:hAnsiTheme="majorHAnsi"/>
          <w:sz w:val="20"/>
          <w:szCs w:val="20"/>
        </w:rPr>
        <w:t> published an interview with the then Minister of the Interior Julio César Fanego.</w:t>
      </w:r>
      <w:r w:rsidR="00A27532">
        <w:rPr>
          <w:rStyle w:val="FootnoteReference"/>
          <w:rFonts w:asciiTheme="majorHAnsi" w:hAnsiTheme="majorHAnsi"/>
          <w:sz w:val="20"/>
          <w:szCs w:val="20"/>
        </w:rPr>
        <w:footnoteReference w:id="19"/>
      </w:r>
      <w:r w:rsidR="00A2753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35.           The Commission notes that there is controversy between the allegations of the petitioners and the State as to the participation of State agents in the events of the case. The petitioners claim that the alleged victims were detained by State agents as from January 17, 2002, while the State alleges that there is no evidence of State actor’s involvement. Therefore, each version of the events and supporting evidence will be presented below.</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B6227D" w:rsidRDefault="00E84B2D" w:rsidP="00B6227D">
      <w:pPr>
        <w:pStyle w:val="Heading3"/>
        <w:spacing w:before="0" w:beforeAutospacing="0" w:after="0" w:afterAutospacing="0"/>
        <w:ind w:left="806"/>
        <w:rPr>
          <w:rFonts w:asciiTheme="majorHAnsi" w:hAnsiTheme="majorHAnsi"/>
          <w:sz w:val="20"/>
          <w:szCs w:val="20"/>
        </w:rPr>
      </w:pPr>
      <w:bookmarkStart w:id="13" w:name="_Toc494373941"/>
      <w:r w:rsidRPr="00B6227D">
        <w:rPr>
          <w:rFonts w:asciiTheme="majorHAnsi" w:hAnsiTheme="majorHAnsi"/>
          <w:sz w:val="20"/>
          <w:szCs w:val="20"/>
        </w:rPr>
        <w:t>1.              Version according to which Juan Arrom and Anuncio Martí were ‘disappeared’ and tortured with the criminal participation of State  agents</w:t>
      </w:r>
      <w:bookmarkEnd w:id="13"/>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36.           With regard to Juan Arrom’s version, the case file contains the first statements he made to the press when he was released</w:t>
      </w:r>
      <w:r w:rsidR="00161C8D">
        <w:rPr>
          <w:rStyle w:val="FootnoteReference"/>
          <w:rFonts w:asciiTheme="majorHAnsi" w:hAnsiTheme="majorHAnsi"/>
          <w:sz w:val="20"/>
          <w:szCs w:val="20"/>
        </w:rPr>
        <w:footnoteReference w:id="20"/>
      </w:r>
      <w:r w:rsidRPr="00E84B2D">
        <w:rPr>
          <w:rFonts w:asciiTheme="majorHAnsi" w:hAnsiTheme="majorHAnsi"/>
          <w:sz w:val="20"/>
          <w:szCs w:val="20"/>
        </w:rPr>
        <w:t>, in which he described the conditions of the disappearance and did not identify any individual person as the perpetrator of the crimes against him. He did state that he needed to consult his lawyers before making further statements; in addition, there is also the testimony of Arrom related by his legal advisors, which does refer to State agents’ participation in the events. What follows is based on both sources</w:t>
      </w:r>
      <w:r w:rsidR="00161C8D">
        <w:rPr>
          <w:rStyle w:val="FootnoteReference"/>
          <w:rFonts w:asciiTheme="majorHAnsi" w:hAnsiTheme="majorHAnsi"/>
          <w:sz w:val="20"/>
          <w:szCs w:val="20"/>
        </w:rPr>
        <w:footnoteReference w:id="21"/>
      </w:r>
      <w:r w:rsidRPr="00E84B2D">
        <w:rPr>
          <w:rFonts w:asciiTheme="majorHAnsi" w:hAnsiTheme="majorHAnsi"/>
          <w:sz w:val="20"/>
          <w:szCs w:val="20"/>
        </w:rPr>
        <w:t>.</w:t>
      </w:r>
      <w:r w:rsidR="00161C8D"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37.           According to the statements of Juan Arrom and his lawyers, on January 17, 2002, he and Anuncio Martí were detained on their way to Marcos Alvarez’s home, with whom Juan Arrom had an appointment. According to Juan Arrom’s version: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567" w:right="571"/>
        <w:jc w:val="both"/>
        <w:rPr>
          <w:rFonts w:asciiTheme="majorHAnsi" w:hAnsiTheme="majorHAnsi"/>
          <w:sz w:val="20"/>
          <w:szCs w:val="20"/>
        </w:rPr>
      </w:pPr>
      <w:r w:rsidRPr="00E84B2D">
        <w:rPr>
          <w:rFonts w:asciiTheme="majorHAnsi" w:hAnsiTheme="majorHAnsi"/>
          <w:sz w:val="20"/>
          <w:szCs w:val="20"/>
        </w:rPr>
        <w:t>As he approached the aforementioned address, about ten armed civilians jumped out from behind the wall of the house and other places he could not pinpoint, they lunged at him, all of them aiming pistols at his body and head, forcefully beating and kicking him; he was then bundled into a white Gol vehicle, and then they proceeded very quickly to handcuff his feet and hands; they covered his head with a towel. At that moment Arrom asked who these people were, what was happening, and if there was any warrant for his arrest; thereupon an unidentified person told him that: '... you are a disappeared person, there is no arrest warrant, there is no judge here, there is no prosecutor ...'; Arrom then added that he wanted to speak with a lawyer, to which his captors responded with laughter; he asked to speak with a family member, and was again told: '... no, you know where Mrs. De Debernardi (sic) is and if she does not appear tonight, you will disappear and first you will see how we murdered your children.'</w:t>
      </w:r>
      <w:r w:rsidR="00161C8D">
        <w:rPr>
          <w:rStyle w:val="FootnoteReference"/>
          <w:rFonts w:asciiTheme="majorHAnsi" w:hAnsiTheme="majorHAnsi"/>
          <w:sz w:val="20"/>
          <w:szCs w:val="20"/>
        </w:rPr>
        <w:footnoteReference w:id="22"/>
      </w:r>
    </w:p>
    <w:p w:rsidR="00E84B2D" w:rsidRPr="00E84B2D" w:rsidRDefault="00E84B2D" w:rsidP="00E84B2D">
      <w:pPr>
        <w:ind w:right="571"/>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38.           According to the account, Juan Arrom was tortured by strong blows all over his body, pressure on his testicles and asphyxiation while being interrogated about Mrs. Bordón de Debernardi’s whereabouts. He also described being assaulted on the Paraguay River, where he was told that he was going to die, while they plunged him face down into the river, beat him on the back and squeezed his testicles until he lost consciousness. As part of the psychological torture, he was told that he had been disappeared, they simulated his execution, accused him of being a communist and told him that he would be killed. He described the questioning being about his political activity and his organization</w:t>
      </w:r>
      <w:r w:rsidR="00C335A8">
        <w:rPr>
          <w:rStyle w:val="FootnoteReference"/>
          <w:rFonts w:asciiTheme="majorHAnsi" w:hAnsiTheme="majorHAnsi"/>
          <w:sz w:val="20"/>
          <w:szCs w:val="20"/>
        </w:rPr>
        <w:footnoteReference w:id="23"/>
      </w:r>
      <w:r w:rsidRPr="00E84B2D">
        <w:rPr>
          <w:rFonts w:asciiTheme="majorHAnsi" w:hAnsiTheme="majorHAnsi"/>
          <w:sz w:val="20"/>
          <w:szCs w:val="20"/>
        </w:rPr>
        <w:t>.</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lastRenderedPageBreak/>
        <w:t> </w:t>
      </w:r>
    </w:p>
    <w:p w:rsidR="00E84B2D" w:rsidRPr="00E84B2D" w:rsidRDefault="00E84B2D" w:rsidP="00E84B2D">
      <w:pPr>
        <w:ind w:right="4" w:firstLine="720"/>
        <w:jc w:val="both"/>
        <w:rPr>
          <w:rFonts w:asciiTheme="majorHAnsi" w:hAnsiTheme="majorHAnsi"/>
          <w:sz w:val="20"/>
          <w:szCs w:val="20"/>
        </w:rPr>
      </w:pPr>
      <w:r w:rsidRPr="00E84B2D">
        <w:rPr>
          <w:rFonts w:asciiTheme="majorHAnsi" w:hAnsiTheme="majorHAnsi"/>
          <w:sz w:val="20"/>
          <w:szCs w:val="20"/>
        </w:rPr>
        <w:t>39.           According to the account, Antonio Gamarra told Juan Arrom to sign a document or he would die; Arrom refused. In addition, it is pointed out that Juan Arrom recognized one of the men who tortured him as José David Schémbori. On another occasion, Juan Arrom met Minister Silvio Ferreira, told him he was being tortured and requested to be released. Ferreira stated that no more harm would come to him and that Minister Fanego would protect him. Later Minister Fanego called Juan Arrom and asked for collaboration with some individuals that would ensure their release and travel abroad. Likewise, according to the account, the detainees were visited by a doctor who prescribed various drugs to heal their wounds and Gamarra assured Juan Arrom that on his recovery he would be brought before the Prosecutor. In addition, Arrom also said that he had seen the official Javier Cazal.</w:t>
      </w:r>
    </w:p>
    <w:p w:rsidR="00E84B2D" w:rsidRPr="00E84B2D" w:rsidRDefault="00E84B2D" w:rsidP="00E84B2D">
      <w:pPr>
        <w:ind w:right="4"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right="4" w:firstLine="720"/>
        <w:jc w:val="both"/>
        <w:rPr>
          <w:rFonts w:asciiTheme="majorHAnsi" w:hAnsiTheme="majorHAnsi"/>
          <w:sz w:val="20"/>
          <w:szCs w:val="20"/>
        </w:rPr>
      </w:pPr>
      <w:r w:rsidRPr="00E84B2D">
        <w:rPr>
          <w:rFonts w:asciiTheme="majorHAnsi" w:hAnsiTheme="majorHAnsi"/>
          <w:sz w:val="20"/>
          <w:szCs w:val="20"/>
        </w:rPr>
        <w:t>40.           In the same account, on the morning of January 30, Gamarra told Juan Arrom that they would be brought before the Public Prosecutor's Office after they had had a good meal; and that in the afternoon they heard urgent calls on the captors’ walkie-talkies and vehicular movements away from the house. The account relates that Juan Arrom heard Martí scream, so he went to his room, where he asked him to shout, which he then did and was rescued by his relatives who were outside the house.</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41.           Regarding of Anuncio Martí’s version, the case file contains his first statements to the press, describing the conditions of his disappearance and expressing the need to talk to his lawyers because he had several things to say</w:t>
      </w:r>
      <w:r w:rsidR="0061161A">
        <w:rPr>
          <w:rStyle w:val="FootnoteReference"/>
          <w:rFonts w:asciiTheme="majorHAnsi" w:hAnsiTheme="majorHAnsi"/>
          <w:sz w:val="20"/>
          <w:szCs w:val="20"/>
        </w:rPr>
        <w:footnoteReference w:id="24"/>
      </w:r>
      <w:r w:rsidRPr="00E84B2D">
        <w:rPr>
          <w:rFonts w:asciiTheme="majorHAnsi" w:hAnsiTheme="majorHAnsi"/>
          <w:sz w:val="20"/>
          <w:szCs w:val="20"/>
        </w:rPr>
        <w:t>. The case file also contains an account of the facts made by his lawyers</w:t>
      </w:r>
      <w:r w:rsidR="00161C8D">
        <w:rPr>
          <w:rStyle w:val="FootnoteReference"/>
          <w:rFonts w:asciiTheme="majorHAnsi" w:hAnsiTheme="majorHAnsi"/>
          <w:sz w:val="20"/>
          <w:szCs w:val="20"/>
        </w:rPr>
        <w:footnoteReference w:id="25"/>
      </w:r>
      <w:r w:rsidRPr="00E84B2D">
        <w:rPr>
          <w:rFonts w:asciiTheme="majorHAnsi" w:hAnsiTheme="majorHAnsi"/>
          <w:sz w:val="20"/>
          <w:szCs w:val="20"/>
        </w:rPr>
        <w:t>.</w:t>
      </w:r>
      <w:r w:rsidR="00161C8D" w:rsidRPr="00E84B2D">
        <w:rPr>
          <w:rFonts w:asciiTheme="majorHAnsi" w:hAnsiTheme="majorHAnsi"/>
          <w:sz w:val="20"/>
          <w:szCs w:val="20"/>
        </w:rPr>
        <w:t xml:space="preserve"> </w:t>
      </w:r>
      <w:r w:rsidRPr="00E84B2D">
        <w:rPr>
          <w:rFonts w:asciiTheme="majorHAnsi" w:hAnsiTheme="majorHAnsi"/>
          <w:sz w:val="20"/>
          <w:szCs w:val="20"/>
        </w:rPr>
        <w:t>According to the account, the abduction began as follows: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right="720"/>
        <w:jc w:val="both"/>
        <w:rPr>
          <w:rFonts w:asciiTheme="majorHAnsi" w:hAnsiTheme="majorHAnsi"/>
          <w:sz w:val="20"/>
          <w:szCs w:val="20"/>
        </w:rPr>
      </w:pPr>
      <w:r w:rsidRPr="00E84B2D">
        <w:rPr>
          <w:rFonts w:asciiTheme="majorHAnsi" w:hAnsiTheme="majorHAnsi"/>
          <w:sz w:val="20"/>
          <w:szCs w:val="20"/>
        </w:rPr>
        <w:t> [...] On Thursday, January 17, 2002, at around 20.30 he left his house in his vehicle, a white LADA NIVA van, together with Juan Arrom, on the way to the city center, zone Mcal. López. [...] At the intersection of Colón and Lugano, Juan Arrom received a telephone call; the vehicle stopped, Juan Arrom got out to speak on the telephone, and having stopped his vehicle he proceeded to wait for him. In those circumstances, four men unexpectedly approach him from the left window side of the vehicle, with guns and held him up, forcing him out; when questioned, they identified themselves as policemen in charge of the investigation into the kidnapping of Mrs. Maria Edith Bordón de Debernardi [...]. Then he lost sight of Juan Arrom; the individuals identified as policemen began to search the vehicle, and their personal documents; they put him back into the vehicle on the back seat."</w:t>
      </w:r>
      <w:r w:rsidR="00C335A8">
        <w:rPr>
          <w:rStyle w:val="FootnoteReference"/>
          <w:rFonts w:asciiTheme="majorHAnsi" w:hAnsiTheme="majorHAnsi"/>
          <w:sz w:val="20"/>
          <w:szCs w:val="20"/>
        </w:rPr>
        <w:footnoteReference w:id="26"/>
      </w:r>
    </w:p>
    <w:p w:rsidR="00E84B2D" w:rsidRPr="00E84B2D" w:rsidRDefault="00E84B2D" w:rsidP="00E84B2D">
      <w:pPr>
        <w:ind w:righ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right="4" w:firstLine="720"/>
        <w:jc w:val="both"/>
        <w:rPr>
          <w:rFonts w:asciiTheme="majorHAnsi" w:hAnsiTheme="majorHAnsi"/>
          <w:sz w:val="20"/>
          <w:szCs w:val="20"/>
        </w:rPr>
      </w:pPr>
      <w:r w:rsidRPr="00E84B2D">
        <w:rPr>
          <w:rFonts w:asciiTheme="majorHAnsi" w:hAnsiTheme="majorHAnsi"/>
          <w:sz w:val="20"/>
          <w:szCs w:val="20"/>
        </w:rPr>
        <w:t>42.           According to the account, Anuncio Martí was beaten in the stomach and face while he was asked about the kidnapping of Mrs. María Edith Bordón and his relationship with the Revolutionary Armed Forces of Colombia -FARC- and the Zapatista Army . In addition, he described being asphyxiated and beaten in the testicles until he fainted. He said that he was pressured to incriminate himself in Mrs. Bordón's abduction. According to Anuncio Martí, they drove him to a river where they were suffocating Juan Arrom, and he even thought that his companion was dead. He added that on other occasions they put them in cars to go to other places or to return to the same place they were. He also described them staging mock executions.</w:t>
      </w:r>
    </w:p>
    <w:p w:rsidR="00E84B2D" w:rsidRPr="00E84B2D" w:rsidRDefault="00E84B2D" w:rsidP="00E84B2D">
      <w:pPr>
        <w:ind w:right="4"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right="4" w:firstLine="720"/>
        <w:jc w:val="both"/>
        <w:rPr>
          <w:rFonts w:asciiTheme="majorHAnsi" w:hAnsiTheme="majorHAnsi"/>
          <w:sz w:val="20"/>
          <w:szCs w:val="20"/>
        </w:rPr>
      </w:pPr>
      <w:r w:rsidRPr="00E84B2D">
        <w:rPr>
          <w:rFonts w:asciiTheme="majorHAnsi" w:hAnsiTheme="majorHAnsi"/>
          <w:sz w:val="20"/>
          <w:szCs w:val="20"/>
        </w:rPr>
        <w:t>43.           According to the account transcribed by the petitioners’ legal advisers, one night Anuncio Martí witnessed that Antonio Gamarra had arrived at the place where they were being detained and that on another occasion he heard that Silvio Ferreira was interested in them. They described the presence of Javier Cazal, Antonio Gamarra and an individual from police intelligence who questioned him about Karl Marx’s "Das Kapital", Ché Guevara, and the FARC, among other things. He added that a doctor was present who wrote prescriptions to cure his injuries and that Gamarra offered him money to turn against Arrom and tell them everything.</w:t>
      </w:r>
    </w:p>
    <w:p w:rsidR="00E84B2D" w:rsidRPr="00E84B2D" w:rsidRDefault="00E84B2D" w:rsidP="00E84B2D">
      <w:pPr>
        <w:ind w:right="4"/>
        <w:jc w:val="both"/>
        <w:rPr>
          <w:rFonts w:asciiTheme="majorHAnsi" w:hAnsiTheme="majorHAnsi"/>
          <w:sz w:val="20"/>
          <w:szCs w:val="20"/>
        </w:rPr>
      </w:pPr>
      <w:r w:rsidRPr="00E84B2D">
        <w:rPr>
          <w:rFonts w:asciiTheme="majorHAnsi" w:hAnsiTheme="majorHAnsi"/>
          <w:sz w:val="20"/>
          <w:szCs w:val="20"/>
        </w:rPr>
        <w:lastRenderedPageBreak/>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44.           According to the legal advisers’ comments about Anuncio Martí's account, on January 30, 2002, more intense medical care was provided for the wounds.  In the afternoon he heard the captors’ cell phones ringing and the sound of vehicles leaving the house. They reported that Anuncio Martí peeked through a crack in his room facing the street and, seeing reporters, began to shout that it was Anuncio and that he wanted to see his son. Then he told Juan Arrom to shout and he started to scream and went to the front door.</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45.           As shown on the video recordings provided by the petitioners, on January 30, 2002, Juan Arrom’s sisters went to a house, which according to the petitioners and the State was located in Villa Elisa</w:t>
      </w:r>
      <w:r w:rsidR="00591272">
        <w:rPr>
          <w:rStyle w:val="FootnoteReference"/>
          <w:rFonts w:asciiTheme="majorHAnsi" w:hAnsiTheme="majorHAnsi"/>
          <w:sz w:val="20"/>
          <w:szCs w:val="20"/>
        </w:rPr>
        <w:footnoteReference w:id="27"/>
      </w:r>
      <w:r w:rsidRPr="00E84B2D">
        <w:rPr>
          <w:rFonts w:asciiTheme="majorHAnsi" w:hAnsiTheme="majorHAnsi"/>
          <w:sz w:val="20"/>
          <w:szCs w:val="20"/>
        </w:rPr>
        <w:t>. According to the testimony later filed by the Arrom sisters, they went there because they received a call from an individual informing them that Juan Arrom and Anuncio Martí could be found there</w:t>
      </w:r>
      <w:r w:rsidR="00591272">
        <w:rPr>
          <w:rStyle w:val="FootnoteReference"/>
          <w:rFonts w:asciiTheme="majorHAnsi" w:hAnsiTheme="majorHAnsi"/>
          <w:sz w:val="20"/>
          <w:szCs w:val="20"/>
        </w:rPr>
        <w:footnoteReference w:id="28"/>
      </w:r>
      <w:r w:rsidRPr="00E84B2D">
        <w:rPr>
          <w:rFonts w:asciiTheme="majorHAnsi" w:hAnsiTheme="majorHAnsi"/>
          <w:sz w:val="20"/>
          <w:szCs w:val="20"/>
        </w:rPr>
        <w:t>.</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46.           The video recording shows vehicles with tinted windows parked at the house, leaving the area. Juan Arrom and Anuncio Martí then shouted alerting that they were there. Some police officers turned up but did not enter the house despite the request of relatives who remarked that Anuncio Martí and Juan Arrom were there. Finally, the two men then left the house</w:t>
      </w:r>
      <w:r w:rsidR="00161C8D">
        <w:rPr>
          <w:rStyle w:val="FootnoteReference"/>
          <w:rFonts w:asciiTheme="majorHAnsi" w:hAnsiTheme="majorHAnsi"/>
          <w:sz w:val="20"/>
          <w:szCs w:val="20"/>
        </w:rPr>
        <w:footnoteReference w:id="29"/>
      </w:r>
      <w:r w:rsidRPr="00E84B2D">
        <w:rPr>
          <w:rFonts w:asciiTheme="majorHAnsi" w:hAnsiTheme="majorHAnsi"/>
          <w:sz w:val="20"/>
          <w:szCs w:val="20"/>
        </w:rPr>
        <w:t>.</w:t>
      </w:r>
      <w:r w:rsidRPr="00E84B2D">
        <w:rPr>
          <w:rFonts w:asciiTheme="majorHAnsi" w:hAnsiTheme="majorHAnsi"/>
          <w:sz w:val="20"/>
          <w:szCs w:val="20"/>
          <w:vertAlign w:val="superscript"/>
        </w:rPr>
        <w:t> </w:t>
      </w:r>
      <w:r w:rsidR="00161C8D"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47.           According to the video provided by the petitioners, Juan Arrom and Anuncio Martí were taken by Arrom’s sisters and by the Ombudsman to the Migone Clinic</w:t>
      </w:r>
      <w:r w:rsidR="00591272">
        <w:rPr>
          <w:rStyle w:val="FootnoteReference"/>
          <w:rFonts w:asciiTheme="majorHAnsi" w:hAnsiTheme="majorHAnsi"/>
          <w:sz w:val="20"/>
          <w:szCs w:val="20"/>
        </w:rPr>
        <w:footnoteReference w:id="30"/>
      </w:r>
      <w:r w:rsidRPr="00E84B2D">
        <w:rPr>
          <w:rFonts w:asciiTheme="majorHAnsi" w:hAnsiTheme="majorHAnsi"/>
          <w:sz w:val="20"/>
          <w:szCs w:val="20"/>
        </w:rPr>
        <w:t>.</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48.           On January 30, 2002, a group of thirteen (13) medical staff undertook a medical examination of Juan Arrom at the Migone Clinic. In summary, the Report indicates that Juan Arrom had wounds or bruises on the head, neck, thorax, abdomen, buttocks, penis, testicles and upper and lower limbs. By way of conclusion, the report states:</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right="720"/>
        <w:jc w:val="both"/>
        <w:rPr>
          <w:rFonts w:asciiTheme="majorHAnsi" w:hAnsiTheme="majorHAnsi"/>
          <w:sz w:val="20"/>
          <w:szCs w:val="20"/>
        </w:rPr>
      </w:pPr>
      <w:r w:rsidRPr="00E84B2D">
        <w:rPr>
          <w:rFonts w:asciiTheme="majorHAnsi" w:hAnsiTheme="majorHAnsi"/>
          <w:sz w:val="20"/>
          <w:szCs w:val="20"/>
        </w:rPr>
        <w:t>From the medical examination carried out on Mr. Juan Francisco Arrom Suhurt, it can be concluded that he has suffered various traumas from blunt natural weapons (hands and feet), blunt weapons proper (from a gun butt and from metal objects such as handcuffs). These injuries may have been caused 15 days ago, except for the large aforementioned hematoma that is between 5 and 7 days old</w:t>
      </w:r>
      <w:r w:rsidR="00161C8D">
        <w:rPr>
          <w:rStyle w:val="FootnoteReference"/>
          <w:rFonts w:asciiTheme="majorHAnsi" w:hAnsiTheme="majorHAnsi"/>
          <w:sz w:val="20"/>
          <w:szCs w:val="20"/>
        </w:rPr>
        <w:footnoteReference w:id="31"/>
      </w:r>
      <w:r w:rsidRPr="00E84B2D">
        <w:rPr>
          <w:rFonts w:asciiTheme="majorHAnsi" w:hAnsiTheme="majorHAnsi"/>
          <w:sz w:val="20"/>
          <w:szCs w:val="20"/>
        </w:rPr>
        <w:t>.</w:t>
      </w:r>
      <w:r w:rsidR="00161C8D" w:rsidRPr="00E84B2D">
        <w:rPr>
          <w:rFonts w:asciiTheme="majorHAnsi" w:hAnsiTheme="majorHAnsi"/>
          <w:sz w:val="20"/>
          <w:szCs w:val="20"/>
        </w:rPr>
        <w:t xml:space="preserve"> </w:t>
      </w:r>
    </w:p>
    <w:p w:rsidR="00E84B2D" w:rsidRPr="00E84B2D" w:rsidRDefault="00E84B2D" w:rsidP="00E84B2D">
      <w:pPr>
        <w:ind w:left="720" w:righ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49.            Also on January 30, 2002, the group of thirteen (13) medial staff performed a medical examination on Anuncio Martí. Overall, the report found that Anuncio Martí had a recently inflicted scar on his the head, ecchymosis on the abdomen and injuries on the upper right and lower limbs. In conclusion, the report noted:</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right="720"/>
        <w:jc w:val="both"/>
        <w:rPr>
          <w:rFonts w:asciiTheme="majorHAnsi" w:hAnsiTheme="majorHAnsi"/>
          <w:sz w:val="20"/>
          <w:szCs w:val="20"/>
        </w:rPr>
      </w:pPr>
      <w:r w:rsidRPr="00E84B2D">
        <w:rPr>
          <w:rFonts w:asciiTheme="majorHAnsi" w:hAnsiTheme="majorHAnsi"/>
          <w:sz w:val="20"/>
          <w:szCs w:val="20"/>
        </w:rPr>
        <w:t xml:space="preserve">From the examination carried out on Anuncio Martí Méndez it can be concluded that he has suffered various injuries from blunt natural weapons (hands and feet), and blunt weapons </w:t>
      </w:r>
      <w:r w:rsidRPr="00E84B2D">
        <w:rPr>
          <w:rFonts w:asciiTheme="majorHAnsi" w:hAnsiTheme="majorHAnsi"/>
          <w:sz w:val="20"/>
          <w:szCs w:val="20"/>
        </w:rPr>
        <w:lastRenderedPageBreak/>
        <w:t>proper (from a firearm butt and from metal objects such as handcuffs). These injuries are about 15 days old</w:t>
      </w:r>
      <w:r w:rsidR="00161C8D">
        <w:rPr>
          <w:rStyle w:val="FootnoteReference"/>
          <w:rFonts w:asciiTheme="majorHAnsi" w:hAnsiTheme="majorHAnsi"/>
          <w:sz w:val="20"/>
          <w:szCs w:val="20"/>
        </w:rPr>
        <w:footnoteReference w:id="32"/>
      </w:r>
      <w:r w:rsidRPr="00E84B2D">
        <w:rPr>
          <w:rFonts w:asciiTheme="majorHAnsi" w:hAnsiTheme="majorHAnsi"/>
          <w:sz w:val="20"/>
          <w:szCs w:val="20"/>
        </w:rPr>
        <w:t>.</w:t>
      </w:r>
      <w:r w:rsidR="00161C8D" w:rsidRPr="00E84B2D">
        <w:rPr>
          <w:rFonts w:asciiTheme="majorHAnsi" w:hAnsiTheme="majorHAnsi"/>
          <w:sz w:val="20"/>
          <w:szCs w:val="20"/>
        </w:rPr>
        <w:t xml:space="preserve"> </w:t>
      </w:r>
    </w:p>
    <w:p w:rsidR="00E84B2D" w:rsidRPr="00E84B2D" w:rsidRDefault="00E84B2D" w:rsidP="00E84B2D">
      <w:pPr>
        <w:ind w:left="720" w:righ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xml:space="preserve">50.           In turn, the case file </w:t>
      </w:r>
      <w:r w:rsidR="00E15666">
        <w:rPr>
          <w:rFonts w:asciiTheme="majorHAnsi" w:hAnsiTheme="majorHAnsi"/>
          <w:sz w:val="20"/>
          <w:szCs w:val="20"/>
        </w:rPr>
        <w:t xml:space="preserve">before IACHR </w:t>
      </w:r>
      <w:r w:rsidRPr="00E84B2D">
        <w:rPr>
          <w:rFonts w:asciiTheme="majorHAnsi" w:hAnsiTheme="majorHAnsi"/>
          <w:sz w:val="20"/>
          <w:szCs w:val="20"/>
        </w:rPr>
        <w:t>contains photos of Juan Arrom and Anuncio Martí’s injuries after their release. Severe wounds on different parts of the body can be seen in these pictures, consistent with the medical reports.</w:t>
      </w:r>
      <w:r w:rsidR="00161C8D">
        <w:rPr>
          <w:rStyle w:val="FootnoteReference"/>
          <w:rFonts w:asciiTheme="majorHAnsi" w:hAnsiTheme="majorHAnsi"/>
          <w:sz w:val="20"/>
          <w:szCs w:val="20"/>
        </w:rPr>
        <w:footnoteReference w:id="33"/>
      </w:r>
      <w:r w:rsidR="00161C8D"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51.           A psychiatric medical report performed on Juan Arrom, on January 26, 2006, after several interviews found:</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right="720"/>
        <w:jc w:val="both"/>
        <w:rPr>
          <w:rFonts w:asciiTheme="majorHAnsi" w:hAnsiTheme="majorHAnsi"/>
          <w:sz w:val="20"/>
          <w:szCs w:val="20"/>
        </w:rPr>
      </w:pPr>
      <w:r w:rsidRPr="00E84B2D">
        <w:rPr>
          <w:rFonts w:asciiTheme="majorHAnsi" w:hAnsiTheme="majorHAnsi"/>
          <w:sz w:val="20"/>
          <w:szCs w:val="20"/>
        </w:rPr>
        <w:t> State of alarm (acute stress) due to overload of threatening stimuli and state of danger, manifested by signs of psychosomatic origin such as tachycardia, peaks of arterial hypertension, insomnia, verbiage by psychic excitation with tendency to euphoria. In the following</w:t>
      </w:r>
      <w:r w:rsidR="00161C8D">
        <w:rPr>
          <w:rStyle w:val="FootnoteReference"/>
          <w:rFonts w:asciiTheme="majorHAnsi" w:hAnsiTheme="majorHAnsi"/>
          <w:sz w:val="20"/>
          <w:szCs w:val="20"/>
        </w:rPr>
        <w:footnoteReference w:id="34"/>
      </w:r>
      <w:r w:rsidRPr="00E84B2D">
        <w:rPr>
          <w:rFonts w:asciiTheme="majorHAnsi" w:hAnsiTheme="majorHAnsi"/>
          <w:sz w:val="20"/>
          <w:szCs w:val="20"/>
        </w:rPr>
        <w:t> weeks and months manifestations of: emotional lability (affective) by a desire for crying or uncontrollable crying from minimal stimuli, feelings of guilt, rejection and humiliation or impairment of abilities, nightmares and insomnia, sadness and a tendency to depression, anguished crisis, periods of emotional numbness and alterations in attention span, concentration and memory, inevitable images and flashbacks of experiences that constitute the painful re-experiencing of the events</w:t>
      </w:r>
      <w:r w:rsidR="00161C8D">
        <w:rPr>
          <w:rStyle w:val="FootnoteReference"/>
          <w:rFonts w:asciiTheme="majorHAnsi" w:hAnsiTheme="majorHAnsi"/>
          <w:sz w:val="20"/>
          <w:szCs w:val="20"/>
        </w:rPr>
        <w:footnoteReference w:id="35"/>
      </w:r>
      <w:r w:rsidRPr="00E84B2D">
        <w:rPr>
          <w:rFonts w:asciiTheme="majorHAnsi" w:hAnsiTheme="majorHAnsi"/>
          <w:sz w:val="20"/>
          <w:szCs w:val="20"/>
        </w:rPr>
        <w:t>.</w:t>
      </w:r>
      <w:r w:rsidR="00161C8D"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90" w:firstLine="630"/>
        <w:jc w:val="both"/>
        <w:rPr>
          <w:rFonts w:asciiTheme="majorHAnsi" w:hAnsiTheme="majorHAnsi"/>
          <w:sz w:val="20"/>
          <w:szCs w:val="20"/>
        </w:rPr>
      </w:pPr>
      <w:r w:rsidRPr="00E84B2D">
        <w:rPr>
          <w:rFonts w:asciiTheme="majorHAnsi" w:hAnsiTheme="majorHAnsi"/>
          <w:sz w:val="20"/>
          <w:szCs w:val="20"/>
        </w:rPr>
        <w:t>52.           Juan Arrom’s psychiatric medical report of July 4, 2009, indicated that he had been a victim of arbitrary detention during the dictatorship and of a kidnapping by a paramilitary group in 2002. The Report highlights the consequences of these events as follows:</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630" w:right="720"/>
        <w:jc w:val="both"/>
        <w:rPr>
          <w:rFonts w:asciiTheme="majorHAnsi" w:hAnsiTheme="majorHAnsi"/>
          <w:sz w:val="20"/>
          <w:szCs w:val="20"/>
        </w:rPr>
      </w:pPr>
      <w:r w:rsidRPr="00E84B2D">
        <w:rPr>
          <w:rFonts w:asciiTheme="majorHAnsi" w:hAnsiTheme="majorHAnsi"/>
          <w:sz w:val="20"/>
          <w:szCs w:val="20"/>
        </w:rPr>
        <w:t>In the days immediately after release fatigue, weariness, sensations of exhaustion, perceptions of numbness and persecution, disturbed sleep consisting of difficulty in falling asleep, interrupted or faltering sleep or awakening with fatigue or of not having rested during sleep, threatening or persecutory nightmares, crises and feelings of insecurity and fear about being re-arrested, periods of sadness, anxiety, a desire to cry without being able to do so. Hematuria (bleeding through the urinary tract). Headaches (migraines) [...].</w:t>
      </w:r>
      <w:r w:rsidR="00161C8D">
        <w:rPr>
          <w:rStyle w:val="FootnoteReference"/>
          <w:rFonts w:asciiTheme="majorHAnsi" w:hAnsiTheme="majorHAnsi"/>
          <w:sz w:val="20"/>
          <w:szCs w:val="20"/>
        </w:rPr>
        <w:footnoteReference w:id="36"/>
      </w:r>
    </w:p>
    <w:p w:rsidR="00E84B2D" w:rsidRPr="00E84B2D" w:rsidRDefault="00E84B2D" w:rsidP="00E84B2D">
      <w:pPr>
        <w:ind w:left="630" w:righ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53.           The petitioners also attached a medical report dated July 4, 2009, undertaken in Brazil on Anuncio Martí. The report recounts the arbitrary detentions that Anuncio Martí said he had suffered</w:t>
      </w:r>
      <w:r w:rsidR="003E277C">
        <w:rPr>
          <w:rStyle w:val="FootnoteReference"/>
          <w:rFonts w:asciiTheme="majorHAnsi" w:hAnsiTheme="majorHAnsi"/>
          <w:sz w:val="20"/>
          <w:szCs w:val="20"/>
        </w:rPr>
        <w:footnoteReference w:id="37"/>
      </w:r>
      <w:r w:rsidRPr="00E84B2D">
        <w:rPr>
          <w:rFonts w:asciiTheme="majorHAnsi" w:hAnsiTheme="majorHAnsi"/>
          <w:sz w:val="20"/>
          <w:szCs w:val="20"/>
        </w:rPr>
        <w:t>.</w:t>
      </w:r>
      <w:r w:rsidR="003E277C"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54.           In Juan Arrom’s medical history, according to an opinion dated September 30, 2010, in 2004 the patient had had two years of recurring hip pain in the lumbar region</w:t>
      </w:r>
      <w:r w:rsidR="003E277C">
        <w:rPr>
          <w:rStyle w:val="FootnoteReference"/>
          <w:rFonts w:asciiTheme="majorHAnsi" w:hAnsiTheme="majorHAnsi"/>
          <w:sz w:val="20"/>
          <w:szCs w:val="20"/>
        </w:rPr>
        <w:footnoteReference w:id="38"/>
      </w:r>
      <w:r w:rsidRPr="00E84B2D">
        <w:rPr>
          <w:rFonts w:asciiTheme="majorHAnsi" w:hAnsiTheme="majorHAnsi"/>
          <w:sz w:val="20"/>
          <w:szCs w:val="20"/>
        </w:rPr>
        <w:t>.</w:t>
      </w:r>
      <w:r w:rsidR="003E277C"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lastRenderedPageBreak/>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55.           In addition to the statement and accounts of Messrs. Juan Arrom and Anuncio Martí, as well as the medical reports described in the previous paragraphs, other statements supporting this version of the events are recorded in the case file.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810"/>
        <w:jc w:val="both"/>
        <w:rPr>
          <w:rFonts w:asciiTheme="majorHAnsi" w:hAnsiTheme="majorHAnsi"/>
          <w:sz w:val="20"/>
          <w:szCs w:val="20"/>
        </w:rPr>
      </w:pPr>
      <w:r w:rsidRPr="00E84B2D">
        <w:rPr>
          <w:rFonts w:asciiTheme="majorHAnsi" w:hAnsiTheme="majorHAnsi"/>
          <w:sz w:val="20"/>
          <w:szCs w:val="20"/>
        </w:rPr>
        <w:t>56.         Luis Alfonso Resck Haiter, who resided near the location where Juan Arrom and Anuncio Martí claimed to have been detained, testified before the Public Prosecutor’s Office that on the night of Thursday, January 17, 2002, there was an incident near his house.  There were vans belonging to the Public Prosecutor’s Office and he saw that one of the victims was put in a vehicle. In addition, he was told that a slender individual had been taken away in handcuffs.  He concluded that two people had been apprehended. That night he identified Javier Cazal in the operation</w:t>
      </w:r>
      <w:r w:rsidR="003E277C">
        <w:rPr>
          <w:rStyle w:val="FootnoteReference"/>
          <w:rFonts w:asciiTheme="majorHAnsi" w:hAnsiTheme="majorHAnsi"/>
          <w:sz w:val="20"/>
          <w:szCs w:val="20"/>
        </w:rPr>
        <w:footnoteReference w:id="39"/>
      </w:r>
      <w:r w:rsidRPr="00E84B2D">
        <w:rPr>
          <w:rFonts w:asciiTheme="majorHAnsi" w:hAnsiTheme="majorHAnsi"/>
          <w:sz w:val="20"/>
          <w:szCs w:val="20"/>
        </w:rPr>
        <w:t>.</w:t>
      </w:r>
      <w:r w:rsidR="003E277C" w:rsidRPr="00E84B2D">
        <w:rPr>
          <w:rFonts w:asciiTheme="majorHAnsi" w:hAnsiTheme="majorHAnsi"/>
          <w:sz w:val="20"/>
          <w:szCs w:val="20"/>
        </w:rPr>
        <w:t xml:space="preserve"> </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57.               According to Mr. Ramón Alberto López Noguera’s testimony before the Public Prosecutor’s Office during in the second week of January, at approximately 10 pm he saw Professor Resck talking loudly and gesturing because there was a crowd of people in the street. He stated that he was providing testimony in solidarity with Mr. Resck because his sanity had been questioned</w:t>
      </w:r>
      <w:r w:rsidR="003E277C">
        <w:rPr>
          <w:rStyle w:val="FootnoteReference"/>
          <w:rFonts w:asciiTheme="majorHAnsi" w:hAnsiTheme="majorHAnsi"/>
          <w:sz w:val="20"/>
          <w:szCs w:val="20"/>
        </w:rPr>
        <w:footnoteReference w:id="40"/>
      </w:r>
      <w:r w:rsidRPr="00E84B2D">
        <w:rPr>
          <w:rFonts w:asciiTheme="majorHAnsi" w:hAnsiTheme="majorHAnsi"/>
          <w:sz w:val="20"/>
          <w:szCs w:val="20"/>
        </w:rPr>
        <w:t>. Similarly, Mrs. Amada Concepcion Coquette de Cáceres, a neighbor of Professor Resck, said that on January 17, 2002, there was a lot of movement in the area, cars without number plates and armed individuals, identified as policemen by the neighbors</w:t>
      </w:r>
      <w:r w:rsidR="003E277C">
        <w:rPr>
          <w:rStyle w:val="FootnoteReference"/>
          <w:rFonts w:asciiTheme="majorHAnsi" w:hAnsiTheme="majorHAnsi"/>
          <w:sz w:val="20"/>
          <w:szCs w:val="20"/>
        </w:rPr>
        <w:footnoteReference w:id="41"/>
      </w:r>
      <w:r w:rsidRPr="00E84B2D">
        <w:rPr>
          <w:rFonts w:asciiTheme="majorHAnsi" w:hAnsiTheme="majorHAnsi"/>
          <w:sz w:val="20"/>
          <w:szCs w:val="20"/>
        </w:rPr>
        <w:t>.  On April 30, 2002, Mr. Pedro Pablo Cáceres Barrios testified before the Public Prosecutor’s Office that on January 17 there were several cars parked in front of the house on Lugano and Hernandarias streets, and Mr. Resck had tried to found out what was happening</w:t>
      </w:r>
      <w:r w:rsidR="003E277C">
        <w:rPr>
          <w:rStyle w:val="FootnoteReference"/>
          <w:rFonts w:asciiTheme="majorHAnsi" w:hAnsiTheme="majorHAnsi"/>
          <w:sz w:val="20"/>
          <w:szCs w:val="20"/>
        </w:rPr>
        <w:footnoteReference w:id="42"/>
      </w:r>
      <w:r w:rsidRPr="00E84B2D">
        <w:rPr>
          <w:rFonts w:asciiTheme="majorHAnsi" w:hAnsiTheme="majorHAnsi"/>
          <w:sz w:val="20"/>
          <w:szCs w:val="20"/>
        </w:rPr>
        <w:t>.</w:t>
      </w:r>
      <w:r w:rsidR="003E277C"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58.               Héctor Lacognata Zaragoza, a friend of Juan Arrom, testified before the Public Prosecutor’s Office that Silvio Ferreira's wife, Gladis Maubet, told him that Juan Arrom was detained by a special unit and that he would soon be brought to trial. He said that he was in contact with Ms. Maubet for several days, and he proposed the mediation of Monsignor Lugo for the delivery of the detainees, and that Mrs. Maubet assured him that her husband Silvio Ferreira had the situation under control</w:t>
      </w:r>
      <w:r w:rsidR="003E277C">
        <w:rPr>
          <w:rStyle w:val="FootnoteReference"/>
          <w:rFonts w:asciiTheme="majorHAnsi" w:hAnsiTheme="majorHAnsi"/>
          <w:sz w:val="20"/>
          <w:szCs w:val="20"/>
        </w:rPr>
        <w:footnoteReference w:id="43"/>
      </w:r>
      <w:r w:rsidRPr="00E84B2D">
        <w:rPr>
          <w:rFonts w:asciiTheme="majorHAnsi" w:hAnsiTheme="majorHAnsi"/>
          <w:sz w:val="20"/>
          <w:szCs w:val="20"/>
        </w:rPr>
        <w:t>.</w:t>
      </w:r>
      <w:r w:rsidR="003E277C"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59.               Mónica Laneri Ferreira, a journalist, testified before the Public Prosecutor’s Office that when Mrs. María Edith Bordón was released, she was informed that Juan Arrom had been detained, but that police commissioner Roberto González Cuquejo denied it on air. She was told by a colleague that an individual known as "the leftist" had been detained, but that the recommendation was not to disclose Arrom's arrest. She questioned prosecutor Velásquez regarding Anuncio Martí’s situation, to which he replied that Martí’s situation was “very negotiable” and that he had to appear before the Public Prosecutor's Office</w:t>
      </w:r>
      <w:r w:rsidR="003E277C">
        <w:rPr>
          <w:rStyle w:val="FootnoteReference"/>
          <w:rFonts w:asciiTheme="majorHAnsi" w:hAnsiTheme="majorHAnsi"/>
          <w:sz w:val="20"/>
          <w:szCs w:val="20"/>
        </w:rPr>
        <w:footnoteReference w:id="44"/>
      </w:r>
      <w:r w:rsidRPr="00E84B2D">
        <w:rPr>
          <w:rFonts w:asciiTheme="majorHAnsi" w:hAnsiTheme="majorHAnsi"/>
          <w:sz w:val="20"/>
          <w:szCs w:val="20"/>
        </w:rPr>
        <w:t>.</w:t>
      </w:r>
      <w:r w:rsidR="003E277C"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 xml:space="preserve">60.               María Auxiliadora Arrom stated that through her brother Felipe, her sister Cristina received a call and the address of a house in Villa Elisa. They went there and, on arrival, saw two Gol cars without number-plates. She said that they waited for her sister Carmen to call the media to attend and spotted a white </w:t>
      </w:r>
      <w:r w:rsidRPr="00E84B2D">
        <w:rPr>
          <w:rFonts w:asciiTheme="majorHAnsi" w:hAnsiTheme="majorHAnsi"/>
          <w:sz w:val="20"/>
          <w:szCs w:val="20"/>
        </w:rPr>
        <w:lastRenderedPageBreak/>
        <w:t>Gol car and a van. She reported that they then went to the house and, while the journalists were filming, she saw an individual whom she later identified as José David Schémbori.  Later some individuals left in the cars and although they tried to follow them with the journalist Federico Anibal Emery, they were unsuccessful. She related that they then heard Anuncio Martí and Juan Arrom screaming. She added that once they were in the car, she spotted the truck of police commissioner Gonzalez Cuquejo, carrying him and his driver</w:t>
      </w:r>
      <w:r w:rsidR="003E277C">
        <w:rPr>
          <w:rStyle w:val="FootnoteReference"/>
          <w:rFonts w:asciiTheme="majorHAnsi" w:hAnsiTheme="majorHAnsi"/>
          <w:sz w:val="20"/>
          <w:szCs w:val="20"/>
        </w:rPr>
        <w:footnoteReference w:id="45"/>
      </w:r>
      <w:r w:rsidRPr="00E84B2D">
        <w:rPr>
          <w:rFonts w:asciiTheme="majorHAnsi" w:hAnsiTheme="majorHAnsi"/>
          <w:sz w:val="20"/>
          <w:szCs w:val="20"/>
        </w:rPr>
        <w:t>.</w:t>
      </w:r>
      <w:r w:rsidR="003E277C" w:rsidRPr="00E84B2D">
        <w:rPr>
          <w:rFonts w:asciiTheme="majorHAnsi" w:hAnsiTheme="majorHAnsi"/>
          <w:sz w:val="20"/>
          <w:szCs w:val="20"/>
        </w:rPr>
        <w:t xml:space="preserve"> </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61.               Cristina Arrom testified before the Public Prosecutor’s Office and confirmed the statement made by her sister María Auxiliadora Arrom. She added that the family had lost contact with their brother Juan Arrom since Thursday afternoon. She also said that when she approached the house where her brother was, she saw a tall thin man in short pants, whom she later identified as Schémbori</w:t>
      </w:r>
      <w:r w:rsidR="003E277C">
        <w:rPr>
          <w:rStyle w:val="FootnoteReference"/>
          <w:rFonts w:asciiTheme="majorHAnsi" w:hAnsiTheme="majorHAnsi"/>
          <w:sz w:val="20"/>
          <w:szCs w:val="20"/>
        </w:rPr>
        <w:footnoteReference w:id="46"/>
      </w:r>
      <w:r w:rsidRPr="00E84B2D">
        <w:rPr>
          <w:rFonts w:asciiTheme="majorHAnsi" w:hAnsiTheme="majorHAnsi"/>
          <w:sz w:val="20"/>
          <w:szCs w:val="20"/>
        </w:rPr>
        <w:t>.</w:t>
      </w:r>
      <w:r w:rsidR="003E277C" w:rsidRPr="00E84B2D">
        <w:rPr>
          <w:rFonts w:asciiTheme="majorHAnsi" w:hAnsiTheme="majorHAnsi"/>
          <w:sz w:val="20"/>
          <w:szCs w:val="20"/>
        </w:rPr>
        <w:t xml:space="preserve"> </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630"/>
        <w:jc w:val="both"/>
        <w:rPr>
          <w:rFonts w:asciiTheme="majorHAnsi" w:hAnsiTheme="majorHAnsi"/>
          <w:sz w:val="20"/>
          <w:szCs w:val="20"/>
        </w:rPr>
      </w:pPr>
      <w:r w:rsidRPr="00E84B2D">
        <w:rPr>
          <w:rFonts w:asciiTheme="majorHAnsi" w:hAnsiTheme="majorHAnsi"/>
          <w:sz w:val="20"/>
          <w:szCs w:val="20"/>
        </w:rPr>
        <w:t>62.             Federico Anibal Emery, a journalist, stated that he was present at the place where Juan Arrom and Anuncio Martí were found on January 30. He reported seeing a “tall individual with a beard, wearing a white shirt, black pants, and no shoes," coming out of the house and that this individual touched one of the gates, went back in and opened the garage door.  Two Gol vehicles came out and joined another vehicle that constantly passed by the area. Then he said, "when the sisters' car arrived, and when I passed I looked again - there was a person in the back, I did not see his face, tiny, dark, short hair, totally dressed in black, black shirt and black pants, and closed the gate." He added that when the </w:t>
      </w:r>
      <w:r w:rsidRPr="00E84B2D">
        <w:rPr>
          <w:rFonts w:asciiTheme="majorHAnsi" w:hAnsiTheme="majorHAnsi"/>
          <w:i/>
          <w:iCs/>
          <w:sz w:val="20"/>
          <w:szCs w:val="20"/>
        </w:rPr>
        <w:t>Ultima Hora</w:t>
      </w:r>
      <w:r w:rsidRPr="00E84B2D">
        <w:rPr>
          <w:rFonts w:asciiTheme="majorHAnsi" w:hAnsiTheme="majorHAnsi"/>
          <w:sz w:val="20"/>
          <w:szCs w:val="20"/>
        </w:rPr>
        <w:t> newspaper published a photograph of José David Schémbori he recognized him as the tall bearded individual who had come out of the house in his shorts</w:t>
      </w:r>
      <w:r w:rsidR="000425DC">
        <w:rPr>
          <w:rStyle w:val="FootnoteReference"/>
          <w:rFonts w:asciiTheme="majorHAnsi" w:hAnsiTheme="majorHAnsi"/>
          <w:sz w:val="20"/>
          <w:szCs w:val="20"/>
        </w:rPr>
        <w:footnoteReference w:id="47"/>
      </w:r>
      <w:r w:rsidRPr="00E84B2D">
        <w:rPr>
          <w:rFonts w:asciiTheme="majorHAnsi" w:hAnsiTheme="majorHAnsi"/>
          <w:sz w:val="20"/>
          <w:szCs w:val="20"/>
        </w:rPr>
        <w:t>.</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63.           Esteban Centurión Vega gave a statement and indicated that he was in charge of Francisco Flores’s house (where Juan Arrom and Anuncio Martí were found) and reported that on Thursday January 24</w:t>
      </w:r>
      <w:r w:rsidRPr="00E84B2D">
        <w:rPr>
          <w:rFonts w:asciiTheme="majorHAnsi" w:hAnsiTheme="majorHAnsi"/>
          <w:sz w:val="20"/>
          <w:szCs w:val="20"/>
          <w:vertAlign w:val="superscript"/>
        </w:rPr>
        <w:t>th</w:t>
      </w:r>
      <w:r w:rsidRPr="00E84B2D">
        <w:rPr>
          <w:rFonts w:asciiTheme="majorHAnsi" w:hAnsiTheme="majorHAnsi"/>
          <w:sz w:val="20"/>
          <w:szCs w:val="20"/>
        </w:rPr>
        <w:t>, 2002, at 11:30 pm, the homeowner, accompanied by Antonio Gamarra, asked him to leave and offered him another place to sleep. He added that the next day several individuals arrived, including Antonio Gamarra and they helped him to move. He stated that he always used to get up early to go to Abasto and was struck by the fact that there was a movement of vehicles without plates in the house of Mr. Francisco Flores, so he called Mrs. Cristina Arrom (who frequently had appeared in the national press complaining about the disappearance of her brother)</w:t>
      </w:r>
      <w:r w:rsidR="00753476">
        <w:rPr>
          <w:rStyle w:val="FootnoteReference"/>
          <w:rFonts w:asciiTheme="majorHAnsi" w:hAnsiTheme="majorHAnsi"/>
          <w:sz w:val="20"/>
          <w:szCs w:val="20"/>
        </w:rPr>
        <w:footnoteReference w:id="48"/>
      </w:r>
      <w:r w:rsidRPr="00E84B2D">
        <w:rPr>
          <w:rFonts w:asciiTheme="majorHAnsi" w:hAnsiTheme="majorHAnsi"/>
          <w:sz w:val="20"/>
          <w:szCs w:val="20"/>
        </w:rPr>
        <w:t>. Likewise, Angela Estefanía Salinas de Lugo, Esteban Centurión's partner, said that the homeowner looking after them asked them to move to another place for a few days</w:t>
      </w:r>
      <w:r w:rsidR="00753476">
        <w:rPr>
          <w:rStyle w:val="FootnoteReference"/>
          <w:rFonts w:asciiTheme="majorHAnsi" w:hAnsiTheme="majorHAnsi"/>
          <w:sz w:val="20"/>
          <w:szCs w:val="20"/>
        </w:rPr>
        <w:footnoteReference w:id="49"/>
      </w:r>
      <w:r w:rsidRPr="00E84B2D">
        <w:rPr>
          <w:rFonts w:asciiTheme="majorHAnsi" w:hAnsiTheme="majorHAnsi"/>
          <w:sz w:val="20"/>
          <w:szCs w:val="20"/>
        </w:rPr>
        <w:t>.</w:t>
      </w:r>
      <w:r w:rsidR="00753476"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64.           However, in accordance with the ratification of the request for the dismissal submitted by the Prosecutor's Office, the Commission notes that Esteban Centurión and Ángela Salinas subsequently withdrew the initial version of their testimony</w:t>
      </w:r>
      <w:r w:rsidR="00753476">
        <w:rPr>
          <w:rStyle w:val="FootnoteReference"/>
          <w:rFonts w:asciiTheme="majorHAnsi" w:hAnsiTheme="majorHAnsi"/>
          <w:sz w:val="20"/>
          <w:szCs w:val="20"/>
        </w:rPr>
        <w:footnoteReference w:id="50"/>
      </w:r>
      <w:r w:rsidRPr="00E84B2D">
        <w:rPr>
          <w:rFonts w:asciiTheme="majorHAnsi" w:hAnsiTheme="majorHAnsi"/>
          <w:sz w:val="20"/>
          <w:szCs w:val="20"/>
        </w:rPr>
        <w:t>.</w:t>
      </w:r>
      <w:r w:rsidRPr="00E84B2D">
        <w:rPr>
          <w:rFonts w:asciiTheme="majorHAnsi" w:hAnsiTheme="majorHAnsi"/>
          <w:sz w:val="20"/>
          <w:szCs w:val="20"/>
          <w:vertAlign w:val="superscript"/>
        </w:rPr>
        <w:t> </w:t>
      </w:r>
      <w:r w:rsidR="00753476"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65.           Víctor Colmán, member of </w:t>
      </w:r>
      <w:r w:rsidRPr="00E84B2D">
        <w:rPr>
          <w:rFonts w:asciiTheme="majorHAnsi" w:hAnsiTheme="majorHAnsi"/>
          <w:i/>
          <w:iCs/>
          <w:sz w:val="20"/>
          <w:szCs w:val="20"/>
        </w:rPr>
        <w:t>Patria Libre</w:t>
      </w:r>
      <w:r w:rsidRPr="00E84B2D">
        <w:rPr>
          <w:rFonts w:asciiTheme="majorHAnsi" w:hAnsiTheme="majorHAnsi"/>
          <w:sz w:val="20"/>
          <w:szCs w:val="20"/>
        </w:rPr>
        <w:t xml:space="preserve">, stated that on January 19, 2002, several police officers detained him at his house, handcuffed him, and put him in a white Gol car.  Javier Cazal then told him </w:t>
      </w:r>
      <w:r w:rsidRPr="00E84B2D">
        <w:rPr>
          <w:rFonts w:asciiTheme="majorHAnsi" w:hAnsiTheme="majorHAnsi"/>
          <w:sz w:val="20"/>
          <w:szCs w:val="20"/>
        </w:rPr>
        <w:lastRenderedPageBreak/>
        <w:t>that on January 17 he had captured Juan Arrom and Anuncio Martí; that </w:t>
      </w:r>
      <w:r w:rsidRPr="00E84B2D">
        <w:rPr>
          <w:rFonts w:asciiTheme="majorHAnsi" w:hAnsiTheme="majorHAnsi"/>
          <w:i/>
          <w:iCs/>
          <w:sz w:val="20"/>
          <w:szCs w:val="20"/>
        </w:rPr>
        <w:t>Patria Libr</w:t>
      </w:r>
      <w:r w:rsidRPr="00E84B2D">
        <w:rPr>
          <w:rFonts w:asciiTheme="majorHAnsi" w:hAnsiTheme="majorHAnsi"/>
          <w:sz w:val="20"/>
          <w:szCs w:val="20"/>
        </w:rPr>
        <w:t>e was over; and that they should assume responsibility for the abduction of Maria Edith Bordón. He alleged that he was tortured and that when taken home, police commissioner Gonzalez Cuquejo, Antonio Gamarra and prosecutors Cintia Lovera and Hugo Velásquez approached him, the latter telling him that the leader of </w:t>
      </w:r>
      <w:r w:rsidRPr="00E84B2D">
        <w:rPr>
          <w:rFonts w:asciiTheme="majorHAnsi" w:hAnsiTheme="majorHAnsi"/>
          <w:i/>
          <w:iCs/>
          <w:sz w:val="20"/>
          <w:szCs w:val="20"/>
        </w:rPr>
        <w:t>Patria Libre</w:t>
      </w:r>
      <w:r w:rsidRPr="00E84B2D">
        <w:rPr>
          <w:rFonts w:asciiTheme="majorHAnsi" w:hAnsiTheme="majorHAnsi"/>
          <w:sz w:val="20"/>
          <w:szCs w:val="20"/>
        </w:rPr>
        <w:t> had pleaded guilty to the abduction of Maria Edith Bordón. He asserted that at the Criminal Investigation Center, police commissioner Gonzalez told him to acknowledge the fifty thousand dollars that had been planted in his house that day and inquired about what had happened to Arrom and Martí. Colman replied that the police had them and Gonzalez commented "unless they are dead already."</w:t>
      </w:r>
      <w:r w:rsidR="00753476">
        <w:rPr>
          <w:rStyle w:val="FootnoteReference"/>
          <w:rFonts w:asciiTheme="majorHAnsi" w:hAnsiTheme="majorHAnsi"/>
          <w:sz w:val="20"/>
          <w:szCs w:val="20"/>
        </w:rPr>
        <w:footnoteReference w:id="51"/>
      </w:r>
      <w:r w:rsidRPr="00E84B2D">
        <w:rPr>
          <w:rFonts w:asciiTheme="majorHAnsi" w:hAnsiTheme="majorHAnsi"/>
          <w:sz w:val="20"/>
          <w:szCs w:val="20"/>
        </w:rPr>
        <w:t> He also said that Antonio Gamarra asked him why he had called Juan Arrom on January 18, 2002.</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66.           Ana Rosa Samudio de Colmán stated that on January 19, 2002, Messrs. Gamarra, Schembori and Cazal, as well as prosecutors Hugo Velásquez and Cintya Lovera, entered her house; that Mr. Cazal himself entered her room, ordering her to lift her clothes and touched her. She pointed out that prosecutor Velasquez told her that they must plead guilty to the abduction of María Edith de Debernardi and that Gamarra told her that they were going to kill Arrom, Martí, Colmán, herself, her brother and other members of </w:t>
      </w:r>
      <w:r w:rsidRPr="00E84B2D">
        <w:rPr>
          <w:rFonts w:asciiTheme="majorHAnsi" w:hAnsiTheme="majorHAnsi"/>
          <w:i/>
          <w:iCs/>
          <w:sz w:val="20"/>
          <w:szCs w:val="20"/>
        </w:rPr>
        <w:t>Patria Libre</w:t>
      </w:r>
      <w:r w:rsidRPr="00E84B2D">
        <w:rPr>
          <w:rFonts w:asciiTheme="majorHAnsi" w:hAnsiTheme="majorHAnsi"/>
          <w:sz w:val="20"/>
          <w:szCs w:val="20"/>
        </w:rPr>
        <w:t>. In addition, she claimed that she recognized Alderete, who brought the dollars to her house</w:t>
      </w:r>
      <w:r w:rsidR="00753476">
        <w:rPr>
          <w:rStyle w:val="FootnoteReference"/>
          <w:rFonts w:asciiTheme="majorHAnsi" w:hAnsiTheme="majorHAnsi"/>
          <w:sz w:val="20"/>
          <w:szCs w:val="20"/>
        </w:rPr>
        <w:footnoteReference w:id="52"/>
      </w:r>
      <w:r w:rsidRPr="00E84B2D">
        <w:rPr>
          <w:rFonts w:asciiTheme="majorHAnsi" w:hAnsiTheme="majorHAnsi"/>
          <w:sz w:val="20"/>
          <w:szCs w:val="20"/>
        </w:rPr>
        <w:t>.</w:t>
      </w:r>
      <w:r w:rsidR="00753476"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67.           On June 21, 2002, Teresita de María Rojas de Larriera, who claimed that Juan Arrom was her son-in-law, reported that she last saw Juan on January 17 of that year.  She reported that a few days later 25 plain-clothed men with machine guns entered her home; that Prosecutor Cintya Lovera then informed her this was a raid and that officer Schembori went into Juan Arrom's bedroom and took items such as a union card belonging to Arrom’s partner, and photos of him involved in politics and music. They even said they would take his car. She added that Prosecutor Velasquez told her that Juan was going to appear and that they still could not say anything because they expected the capture of "a big fish"</w:t>
      </w:r>
      <w:r w:rsidR="00753476">
        <w:rPr>
          <w:rStyle w:val="FootnoteReference"/>
          <w:rFonts w:asciiTheme="majorHAnsi" w:hAnsiTheme="majorHAnsi"/>
          <w:sz w:val="20"/>
          <w:szCs w:val="20"/>
        </w:rPr>
        <w:footnoteReference w:id="53"/>
      </w:r>
      <w:r w:rsidRPr="00E84B2D">
        <w:rPr>
          <w:rFonts w:asciiTheme="majorHAnsi" w:hAnsiTheme="majorHAnsi"/>
          <w:sz w:val="20"/>
          <w:szCs w:val="20"/>
        </w:rPr>
        <w:t>.</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68.           On July 9, 2002, the journalist Patricia Raquel Baudin Acosta said that she was present on the day of Juan Arrom and Anuncio Martí’s rescue.  She saw two Gol cars, one white, and one gray, parked in front of the house. She stated that she saw a white Gol car leaving and recorded it as it left. When asked about the first individual who came out, she stated that she could not identify him, but that the individual who did come out was "tall, and sturdy."</w:t>
      </w:r>
      <w:r w:rsidR="00753476">
        <w:rPr>
          <w:rStyle w:val="FootnoteReference"/>
          <w:rFonts w:asciiTheme="majorHAnsi" w:hAnsiTheme="majorHAnsi"/>
          <w:sz w:val="20"/>
          <w:szCs w:val="20"/>
        </w:rPr>
        <w:footnoteReference w:id="54"/>
      </w:r>
      <w:r w:rsidR="00753476"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69.           Likewise, according to the newspaper </w:t>
      </w:r>
      <w:r w:rsidRPr="00E84B2D">
        <w:rPr>
          <w:rFonts w:asciiTheme="majorHAnsi" w:hAnsiTheme="majorHAnsi"/>
          <w:i/>
          <w:iCs/>
          <w:sz w:val="20"/>
          <w:szCs w:val="20"/>
        </w:rPr>
        <w:t>Noticias</w:t>
      </w:r>
      <w:r w:rsidRPr="00E84B2D">
        <w:rPr>
          <w:rFonts w:asciiTheme="majorHAnsi" w:hAnsiTheme="majorHAnsi"/>
          <w:sz w:val="20"/>
          <w:szCs w:val="20"/>
        </w:rPr>
        <w:t>’ February 2 article, Deputy Ombudsman Raúl Marín complained that the Prosecutor knew that Juan Arrom and Anuncio Martí had been detained by clandestine groups. According to this report: "Deputy Ombudsman, Raúl Marín, demanded the removal of prosecutors Hugo Velásquez, Sandra Quiñonez and Cynthia Lovera, from the case investigating the kidnapping of Maria Edith Bordón de Debernardi and involving Anuncio Martí and Juan Arrom. Marín claims that Velásquez was aware that clandestine groups had seized two individuals under investigation and had not yet filed a complaint”. The newspaper indicates that Marín said that "if prosecutors continue their work in charge of the investigation and especially in this case, prosecutorial actions could be meaningless and may lack legitimacy in the eyes of the public."</w:t>
      </w:r>
      <w:r w:rsidR="00753476">
        <w:rPr>
          <w:rStyle w:val="FootnoteReference"/>
          <w:rFonts w:asciiTheme="majorHAnsi" w:hAnsiTheme="majorHAnsi"/>
          <w:sz w:val="20"/>
          <w:szCs w:val="20"/>
        </w:rPr>
        <w:footnoteReference w:id="55"/>
      </w:r>
      <w:r w:rsidR="00753476"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lastRenderedPageBreak/>
        <w:t>70.               In addition, the case file contains a written request for impeachment against the National Attorney General signed by Marina, Cristina, Carmen and María Auxiliadora Arrom</w:t>
      </w:r>
      <w:r w:rsidR="00753476">
        <w:rPr>
          <w:rStyle w:val="FootnoteReference"/>
          <w:rFonts w:asciiTheme="majorHAnsi" w:hAnsiTheme="majorHAnsi"/>
          <w:sz w:val="20"/>
          <w:szCs w:val="20"/>
        </w:rPr>
        <w:footnoteReference w:id="56"/>
      </w:r>
      <w:r w:rsidRPr="00E84B2D">
        <w:rPr>
          <w:rFonts w:asciiTheme="majorHAnsi" w:hAnsiTheme="majorHAnsi"/>
          <w:sz w:val="20"/>
          <w:szCs w:val="20"/>
        </w:rPr>
        <w:t>.</w:t>
      </w:r>
      <w:r w:rsidR="00753476" w:rsidRPr="00E84B2D">
        <w:rPr>
          <w:rFonts w:asciiTheme="majorHAnsi" w:hAnsiTheme="majorHAnsi"/>
          <w:sz w:val="20"/>
          <w:szCs w:val="20"/>
        </w:rPr>
        <w:t xml:space="preserve"> </w:t>
      </w:r>
      <w:r w:rsidRPr="00E84B2D">
        <w:rPr>
          <w:rFonts w:asciiTheme="majorHAnsi" w:hAnsiTheme="majorHAnsi"/>
          <w:sz w:val="20"/>
          <w:szCs w:val="20"/>
        </w:rPr>
        <w:t>According to the press, the Chamber of Deputies did not undertake such proceedings, because the required number of votes was not obtained</w:t>
      </w:r>
      <w:r w:rsidR="00753476">
        <w:rPr>
          <w:rStyle w:val="FootnoteReference"/>
          <w:rFonts w:asciiTheme="majorHAnsi" w:hAnsiTheme="majorHAnsi"/>
          <w:sz w:val="20"/>
          <w:szCs w:val="20"/>
        </w:rPr>
        <w:footnoteReference w:id="57"/>
      </w:r>
      <w:r w:rsidRPr="00E84B2D">
        <w:rPr>
          <w:rFonts w:asciiTheme="majorHAnsi" w:hAnsiTheme="majorHAnsi"/>
          <w:sz w:val="20"/>
          <w:szCs w:val="20"/>
        </w:rPr>
        <w:t>.</w:t>
      </w:r>
      <w:r w:rsidR="00753476"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B6227D">
      <w:pPr>
        <w:pStyle w:val="Heading3"/>
        <w:spacing w:before="0" w:beforeAutospacing="0" w:after="0" w:afterAutospacing="0"/>
        <w:ind w:left="806"/>
        <w:rPr>
          <w:rFonts w:asciiTheme="majorHAnsi" w:hAnsiTheme="majorHAnsi"/>
          <w:sz w:val="20"/>
          <w:szCs w:val="20"/>
        </w:rPr>
      </w:pPr>
      <w:bookmarkStart w:id="14" w:name="_Toc494373942"/>
      <w:r w:rsidRPr="00B6227D">
        <w:rPr>
          <w:rFonts w:asciiTheme="majorHAnsi" w:hAnsiTheme="majorHAnsi"/>
          <w:sz w:val="20"/>
          <w:szCs w:val="20"/>
        </w:rPr>
        <w:t>2.              Version according to which there is no State participation in the events</w:t>
      </w:r>
      <w:bookmarkEnd w:id="14"/>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71.           In challenging the veracity of the facts set out by Juan Arrom and Anuncio Martí, the State noted that at 10:00 pm on January 19, 2002, Juan Arrom filed a complaint on the loss of his driving license at Police Station 12 of Itá. Therefore, it states "How could Juan Arrom appear and sign the report of loss of his driver's license on January 19, 2002, before the police authorities of Police Station 12 of the City of Itá?"</w:t>
      </w:r>
      <w:r w:rsidR="00753476">
        <w:rPr>
          <w:rStyle w:val="FootnoteReference"/>
          <w:rFonts w:asciiTheme="majorHAnsi" w:hAnsiTheme="majorHAnsi"/>
          <w:sz w:val="20"/>
          <w:szCs w:val="20"/>
        </w:rPr>
        <w:footnoteReference w:id="58"/>
      </w:r>
      <w:r w:rsidR="00753476"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72.           Likewise, the file contains several statements of the accused for the alleged disappearance and torture of Juan Arrom and Anuncio Martí in which they assert that they did not participate in the events.</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73.           Silvio Gustavo Ferreira Fernández, who served as Minister of Justice and Labor, testified before the Public Prosecutor's Office and denied participating in the acts of kidnapping and torture in Juan Arrom and Anuncio Martí’s complaint. He said that on January 18, 2002, he was sailing on the Paraguay River and, in relation to the statements of Mr. Héctor Lacognata, said that he knows him and that through his wife was informed that Juan Arrom was not in prison. He also stated that he knew Marcos Álvarez and that he was in telephone contact with Interior Minister, Julio César Fanego</w:t>
      </w:r>
      <w:r w:rsidR="00C15813">
        <w:rPr>
          <w:rStyle w:val="FootnoteReference"/>
          <w:rFonts w:asciiTheme="majorHAnsi" w:hAnsiTheme="majorHAnsi"/>
          <w:sz w:val="20"/>
          <w:szCs w:val="20"/>
        </w:rPr>
        <w:footnoteReference w:id="59"/>
      </w:r>
      <w:r w:rsidRPr="00E84B2D">
        <w:rPr>
          <w:rFonts w:asciiTheme="majorHAnsi" w:hAnsiTheme="majorHAnsi"/>
          <w:sz w:val="20"/>
          <w:szCs w:val="20"/>
        </w:rPr>
        <w:t>.</w:t>
      </w:r>
      <w:r w:rsidR="00C15813" w:rsidRPr="00E84B2D">
        <w:rPr>
          <w:rFonts w:asciiTheme="majorHAnsi" w:hAnsiTheme="majorHAnsi"/>
          <w:sz w:val="20"/>
          <w:szCs w:val="20"/>
        </w:rPr>
        <w:t xml:space="preserve">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74.           Víctor Alcides Bogado González testified before the Public Prosecutor’s Office and stated that he had sailed with Silvio Ferreira on the Paraguay River on January 18, 2002, and spent the night on the boat. He stated that Silvio Ferreira did not receive any visits from Julio César Fanego</w:t>
      </w:r>
      <w:r w:rsidR="00C15813">
        <w:rPr>
          <w:rStyle w:val="FootnoteReference"/>
          <w:rFonts w:asciiTheme="majorHAnsi" w:hAnsiTheme="majorHAnsi"/>
          <w:sz w:val="20"/>
          <w:szCs w:val="20"/>
        </w:rPr>
        <w:footnoteReference w:id="60"/>
      </w:r>
      <w:r w:rsidRPr="00E84B2D">
        <w:rPr>
          <w:rFonts w:asciiTheme="majorHAnsi" w:hAnsiTheme="majorHAnsi"/>
          <w:sz w:val="20"/>
          <w:szCs w:val="20"/>
        </w:rPr>
        <w:t>. Likewise, José Flaviano Ibarrola Adorno</w:t>
      </w:r>
      <w:r w:rsidR="00C15813">
        <w:rPr>
          <w:rStyle w:val="FootnoteReference"/>
          <w:rFonts w:asciiTheme="majorHAnsi" w:hAnsiTheme="majorHAnsi"/>
          <w:sz w:val="20"/>
          <w:szCs w:val="20"/>
        </w:rPr>
        <w:footnoteReference w:id="61"/>
      </w:r>
      <w:r w:rsidRPr="00E84B2D">
        <w:rPr>
          <w:rFonts w:asciiTheme="majorHAnsi" w:hAnsiTheme="majorHAnsi"/>
          <w:sz w:val="20"/>
          <w:szCs w:val="20"/>
        </w:rPr>
        <w:t>,</w:t>
      </w:r>
      <w:r w:rsidR="00C15813" w:rsidRPr="00E84B2D">
        <w:rPr>
          <w:rFonts w:asciiTheme="majorHAnsi" w:hAnsiTheme="majorHAnsi"/>
          <w:sz w:val="20"/>
          <w:szCs w:val="20"/>
        </w:rPr>
        <w:t xml:space="preserve"> </w:t>
      </w:r>
      <w:r w:rsidRPr="00E84B2D">
        <w:rPr>
          <w:rFonts w:asciiTheme="majorHAnsi" w:hAnsiTheme="majorHAnsi"/>
          <w:sz w:val="20"/>
          <w:szCs w:val="20"/>
        </w:rPr>
        <w:t>Natividad de Mercedes Bareiro</w:t>
      </w:r>
      <w:r w:rsidR="00C15813">
        <w:rPr>
          <w:rStyle w:val="FootnoteReference"/>
          <w:rFonts w:asciiTheme="majorHAnsi" w:hAnsiTheme="majorHAnsi"/>
          <w:sz w:val="20"/>
          <w:szCs w:val="20"/>
        </w:rPr>
        <w:footnoteReference w:id="62"/>
      </w:r>
      <w:r w:rsidRPr="00E84B2D">
        <w:rPr>
          <w:rFonts w:asciiTheme="majorHAnsi" w:hAnsiTheme="majorHAnsi"/>
          <w:sz w:val="20"/>
          <w:szCs w:val="20"/>
        </w:rPr>
        <w:t> and Bernardo Franco Coronel</w:t>
      </w:r>
      <w:r w:rsidR="00C15813">
        <w:rPr>
          <w:rStyle w:val="FootnoteReference"/>
          <w:rFonts w:asciiTheme="majorHAnsi" w:hAnsiTheme="majorHAnsi"/>
          <w:sz w:val="20"/>
          <w:szCs w:val="20"/>
        </w:rPr>
        <w:footnoteReference w:id="63"/>
      </w:r>
      <w:r w:rsidRPr="00E84B2D">
        <w:rPr>
          <w:rFonts w:asciiTheme="majorHAnsi" w:hAnsiTheme="majorHAnsi"/>
          <w:sz w:val="20"/>
          <w:szCs w:val="20"/>
        </w:rPr>
        <w:t> testified before the Public Prosecutor’s Office that on January 18, 2002, passengers Silvio Ferreira, Kike Ibarrola and Victor Bogado were on board the boat, but that Julio César Fanego was never there.</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xml:space="preserve">75.           José David Schémbori Ocampos, a member of the Police, testified before the Public Prosecutor’s Office that he was on vacation during the first days of January until February 8, 2002, and that he was never called upon to carry out police work during that period. He stated that before starting his vacation he was, among other things, making inquiries in the case of the kidnapping of Mrs. Maria Edith Bordón. He described some of his activities during his rest period. He questioned the fact that the journalist Aníbal Emery </w:t>
      </w:r>
      <w:r w:rsidRPr="00E84B2D">
        <w:rPr>
          <w:rFonts w:asciiTheme="majorHAnsi" w:hAnsiTheme="majorHAnsi"/>
          <w:sz w:val="20"/>
          <w:szCs w:val="20"/>
        </w:rPr>
        <w:lastRenderedPageBreak/>
        <w:t>had said that he was in the house in Villa Elisa where hostages Arrom and Martí were found, because the journalist had waited several days to say that he had identified him as being there</w:t>
      </w:r>
      <w:r w:rsidR="00C15813">
        <w:rPr>
          <w:rStyle w:val="FootnoteReference"/>
          <w:rFonts w:asciiTheme="majorHAnsi" w:hAnsiTheme="majorHAnsi"/>
          <w:sz w:val="20"/>
          <w:szCs w:val="20"/>
        </w:rPr>
        <w:footnoteReference w:id="64"/>
      </w:r>
      <w:r w:rsidRPr="00E84B2D">
        <w:rPr>
          <w:rFonts w:asciiTheme="majorHAnsi" w:hAnsiTheme="majorHAnsi"/>
          <w:sz w:val="20"/>
          <w:szCs w:val="20"/>
        </w:rPr>
        <w:t>.</w:t>
      </w:r>
      <w:r w:rsidR="00C15813" w:rsidRPr="00E84B2D">
        <w:rPr>
          <w:rFonts w:asciiTheme="majorHAnsi" w:hAnsiTheme="majorHAnsi"/>
          <w:sz w:val="20"/>
          <w:szCs w:val="20"/>
        </w:rPr>
        <w:t xml:space="preserve">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76.           Saturnino Antonio Gamarra Acosta, a member of the Police, testified before the Public Prosecutor’s Office and denied having participated in the offenses in Juan Arrom and Anuncio Martí’s complaints. He reported on his activities since becoming aware of Mrs. María Edith Bordón’s kidnapping: he stated that on January 18, 2002, Javier Cazal called him and told him that he had information about those responsible for the kidnapping, and a few days later told him that Juan Arrom and others were involved. He reported his activities from that date until January 30 of the same year. He claimed that he owns a Mitsubishi L200 pickup truck for use in his official duties, and denied that the police use white Gol brand cars. He confirmed that his wife has a house in Villa Elisa, near the Health Center, which they used to rent, but chose to leave someone to look after the property.  Finally, he pointed out that, in his opinion, Mrs. Bordón's kidnappers followed the same modus operandi as a case in Brazil in which when discovered, the criminals complained of being tortured and being victims of political persecution.  He argued that during the alleged release, Arrom and Martí contradicted each other, demonstrating the lack of veracity in the allegations</w:t>
      </w:r>
      <w:r w:rsidR="00C15813">
        <w:rPr>
          <w:rStyle w:val="FootnoteReference"/>
          <w:rFonts w:asciiTheme="majorHAnsi" w:hAnsiTheme="majorHAnsi"/>
          <w:sz w:val="20"/>
          <w:szCs w:val="20"/>
        </w:rPr>
        <w:footnoteReference w:id="65"/>
      </w:r>
      <w:r w:rsidRPr="00E84B2D">
        <w:rPr>
          <w:rFonts w:asciiTheme="majorHAnsi" w:hAnsiTheme="majorHAnsi"/>
          <w:sz w:val="20"/>
          <w:szCs w:val="20"/>
        </w:rPr>
        <w:t>.</w:t>
      </w:r>
      <w:r w:rsidR="00C15813" w:rsidRPr="00E84B2D">
        <w:rPr>
          <w:rFonts w:asciiTheme="majorHAnsi" w:hAnsiTheme="majorHAnsi"/>
          <w:sz w:val="20"/>
          <w:szCs w:val="20"/>
        </w:rPr>
        <w:t xml:space="preserve">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77.           Javier Cazal, director of the Center for Judicial Investigation, testified before the prosecutors.  He denied having participated in Juan Arrom and Anuncio Martí’s abduction and torture. He recounted all his activities since November 16, 2001 [sic]. His lawyer stated that it was "very clear that the alleged kidnapping of Messrs. Arrom and Martí was a perfect ruse to divert attention from justice and all public opinion from an imminent sentence to be imposed in the case of Mrs. Maria Edith de Debernardi." In turn, Javier Cazal questioned the statements made against him and the veracity of Arrom and Martí’s kidnapping</w:t>
      </w:r>
      <w:r w:rsidR="00C15813">
        <w:rPr>
          <w:rStyle w:val="FootnoteReference"/>
          <w:rFonts w:asciiTheme="majorHAnsi" w:hAnsiTheme="majorHAnsi"/>
          <w:sz w:val="20"/>
          <w:szCs w:val="20"/>
        </w:rPr>
        <w:footnoteReference w:id="66"/>
      </w:r>
      <w:r w:rsidRPr="00E84B2D">
        <w:rPr>
          <w:rFonts w:asciiTheme="majorHAnsi" w:hAnsiTheme="majorHAnsi"/>
          <w:sz w:val="20"/>
          <w:szCs w:val="20"/>
        </w:rPr>
        <w:t>.</w:t>
      </w:r>
      <w:r w:rsidR="00C15813"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2D71CD">
      <w:pPr>
        <w:pStyle w:val="Heading2"/>
        <w:numPr>
          <w:ilvl w:val="0"/>
          <w:numId w:val="0"/>
        </w:numPr>
        <w:ind w:left="1440" w:hanging="720"/>
        <w:rPr>
          <w:sz w:val="20"/>
          <w:szCs w:val="20"/>
        </w:rPr>
      </w:pPr>
      <w:bookmarkStart w:id="15" w:name="_Toc494373943"/>
      <w:r w:rsidRPr="002D71CD">
        <w:rPr>
          <w:sz w:val="20"/>
          <w:szCs w:val="20"/>
        </w:rPr>
        <w:t>C.              The judicial proceedings and the complaints about what happened to Juan Arrom and Anuncio Martí</w:t>
      </w:r>
      <w:bookmarkEnd w:id="15"/>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78.           In this section, the Commission will refer to the habeas corpus writs submitted by Juan Arrom’s and Anuncio Martí’s next-of-kin while being unaware of their whereabouts, as well as to the subsequent investigation carried out as a result of their alleged disappearance and torture.</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79.           On January 19, 2002, Cristina Arrom and Carmen Marina Arrom filed a </w:t>
      </w:r>
      <w:r w:rsidRPr="00E84B2D">
        <w:rPr>
          <w:rFonts w:asciiTheme="majorHAnsi" w:hAnsiTheme="majorHAnsi"/>
          <w:i/>
          <w:iCs/>
          <w:sz w:val="20"/>
          <w:szCs w:val="20"/>
        </w:rPr>
        <w:t>Habeas Corpus</w:t>
      </w:r>
      <w:r w:rsidRPr="00E84B2D">
        <w:rPr>
          <w:rFonts w:asciiTheme="majorHAnsi" w:hAnsiTheme="majorHAnsi"/>
          <w:sz w:val="20"/>
          <w:szCs w:val="20"/>
        </w:rPr>
        <w:t> petition in favor of their brother Juan Arrom. They alleged that, according to the media, he had been apprehended on Thursday, January 17, 2002, by the police and had been taken to the Ybicuy area. They demanded that his release be ordered immediately. Upon judicial request, the Chief of the Judicial Department reported that Juan Arrom was not in custody and that the Department of Criminal Investigation stated that Arrom was currently subject to an arrest warrant. On January 23, 2002, in Final Judgment No. 4, the Judge decided not to grant a request for Habeas Corpus, on the grounds that there was no uncertainty that Juan Arrom had been deprived of his liberty, nor the place where he was being held; and that therefore there was no unlawful physical detention to redress. He added that Juan Arrom had a pending arrest warrant against him</w:t>
      </w:r>
      <w:r w:rsidR="00C15813">
        <w:rPr>
          <w:rStyle w:val="FootnoteReference"/>
          <w:rFonts w:asciiTheme="majorHAnsi" w:hAnsiTheme="majorHAnsi"/>
          <w:sz w:val="20"/>
          <w:szCs w:val="20"/>
        </w:rPr>
        <w:footnoteReference w:id="67"/>
      </w:r>
      <w:r w:rsidRPr="00E84B2D">
        <w:rPr>
          <w:rFonts w:asciiTheme="majorHAnsi" w:hAnsiTheme="majorHAnsi"/>
          <w:sz w:val="20"/>
          <w:szCs w:val="20"/>
        </w:rPr>
        <w:t>.</w:t>
      </w:r>
      <w:r w:rsidR="00C15813"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lastRenderedPageBreak/>
        <w:t>80.           On January 23, 2002, Marina Cristina and Marta Ramona Martí filed a preventive habeas corpus petition in favor of Anuncio Martí Méndez on the grounds that the latter had been missing since Thursday, January 17.   According to Press information, he was being detained at a police facility. The National Police said that there was an arrest warrant against Mr. Martí. On January 24, 2002, Criminal Judge decided not to grant the Habeas Corpus's request, because of a lack of elements for his illegal detention "in the light of the existence of an arrest warrant issued by the Prosecutor's Office against him."</w:t>
      </w:r>
      <w:r w:rsidR="00C15813">
        <w:rPr>
          <w:rStyle w:val="FootnoteReference"/>
          <w:rFonts w:asciiTheme="majorHAnsi" w:hAnsiTheme="majorHAnsi"/>
          <w:sz w:val="20"/>
          <w:szCs w:val="20"/>
        </w:rPr>
        <w:footnoteReference w:id="68"/>
      </w:r>
      <w:r w:rsidRPr="00E84B2D">
        <w:rPr>
          <w:rFonts w:asciiTheme="majorHAnsi" w:hAnsiTheme="majorHAnsi"/>
          <w:sz w:val="20"/>
          <w:szCs w:val="20"/>
        </w:rPr>
        <w:t>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81.           According to documents of the Public Prosecutor's Office, on January 24, 2002, Mrs. Marta Ramona and María Cristina Martí filed a criminal complaint for Anuncio Martí’s disappearance together with Juan Arrom.</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82.           On February 7 and 22, 2002, the Public Prosecutor charged Messrs. Antonio Gamarra, José David Schembori</w:t>
      </w:r>
      <w:r w:rsidR="00C15813">
        <w:rPr>
          <w:rStyle w:val="FootnoteReference"/>
          <w:rFonts w:asciiTheme="majorHAnsi" w:hAnsiTheme="majorHAnsi"/>
          <w:sz w:val="20"/>
          <w:szCs w:val="20"/>
        </w:rPr>
        <w:footnoteReference w:id="69"/>
      </w:r>
      <w:r w:rsidRPr="00E84B2D">
        <w:rPr>
          <w:rFonts w:asciiTheme="majorHAnsi" w:hAnsiTheme="majorHAnsi"/>
          <w:sz w:val="20"/>
          <w:szCs w:val="20"/>
        </w:rPr>
        <w:t> and Javier Cazal Elizeche</w:t>
      </w:r>
      <w:r w:rsidR="00C15813">
        <w:rPr>
          <w:rStyle w:val="FootnoteReference"/>
          <w:rFonts w:asciiTheme="majorHAnsi" w:hAnsiTheme="majorHAnsi"/>
          <w:sz w:val="20"/>
          <w:szCs w:val="20"/>
        </w:rPr>
        <w:footnoteReference w:id="70"/>
      </w:r>
      <w:r w:rsidRPr="00E84B2D">
        <w:rPr>
          <w:rFonts w:asciiTheme="majorHAnsi" w:hAnsiTheme="majorHAnsi"/>
          <w:sz w:val="20"/>
          <w:szCs w:val="20"/>
        </w:rPr>
        <w:t> with the crimes of deprivation of liberty, forced disappearance and torture</w:t>
      </w:r>
      <w:r w:rsidR="00C15813">
        <w:rPr>
          <w:rStyle w:val="FootnoteReference"/>
          <w:rFonts w:asciiTheme="majorHAnsi" w:hAnsiTheme="majorHAnsi"/>
          <w:sz w:val="20"/>
          <w:szCs w:val="20"/>
        </w:rPr>
        <w:footnoteReference w:id="71"/>
      </w:r>
      <w:r w:rsidRPr="00E84B2D">
        <w:rPr>
          <w:rFonts w:asciiTheme="majorHAnsi" w:hAnsiTheme="majorHAnsi"/>
          <w:sz w:val="20"/>
          <w:szCs w:val="20"/>
        </w:rPr>
        <w:t> against Juan Arrom and Anuncio Martí.</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83.           Juan Arrom filed a complaint alleging he was a victim from January 17, 2002, until the day of his release, against: (i) Saturnino Antonio Gamarra, a member of the National Police; (ii) Javier Cazal, member of the Judicial Investigation Center; (iii) Marcos Álvarez; (iv) Silvio Ferreira, former Minister of Justice and Labor; (v) Julio César Fanego; (vi) Hugo Velásquez, an official of the Public Prosecutor's Office, for the offenses against his liberty, kidnapping, threats, attempted murder, forced disappearance, grievous injury, serious injury in the exercise of public functions, torture, persecution of innocent victims, all committed as part of a criminal conspiracy</w:t>
      </w:r>
      <w:r w:rsidR="00C15813">
        <w:rPr>
          <w:rStyle w:val="FootnoteReference"/>
          <w:rFonts w:asciiTheme="majorHAnsi" w:hAnsiTheme="majorHAnsi"/>
          <w:sz w:val="20"/>
          <w:szCs w:val="20"/>
        </w:rPr>
        <w:footnoteReference w:id="72"/>
      </w:r>
      <w:r w:rsidRPr="00E84B2D">
        <w:rPr>
          <w:rFonts w:asciiTheme="majorHAnsi" w:hAnsiTheme="majorHAnsi"/>
          <w:sz w:val="20"/>
          <w:szCs w:val="20"/>
        </w:rPr>
        <w:t>.</w:t>
      </w:r>
      <w:r w:rsidRPr="00E84B2D">
        <w:rPr>
          <w:rFonts w:asciiTheme="majorHAnsi" w:hAnsiTheme="majorHAnsi"/>
          <w:sz w:val="20"/>
          <w:szCs w:val="20"/>
          <w:vertAlign w:val="superscript"/>
        </w:rPr>
        <w:t> </w:t>
      </w:r>
      <w:r w:rsidR="00C15813" w:rsidRPr="00E84B2D">
        <w:rPr>
          <w:rFonts w:asciiTheme="majorHAnsi" w:hAnsiTheme="majorHAnsi"/>
          <w:sz w:val="20"/>
          <w:szCs w:val="20"/>
        </w:rPr>
        <w:t xml:space="preserve">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84.           Similarly, Anuncio Martí filed a complaint as a victim alongside Juan Arrom, against: (i) Saturnino Antonio Gamarra, deputy commissioner of the Department of Criminal Investigations of the National Police; (ii) José David Schembori Ocampos, non-commissioned officer of the Police; (iii) Javier Cazal, from the Judicial Investigation Center; (iv) Pablo Ignacio Morinigo, non-commissioned officer of the investigations department; (v) Silvio Ferreira, former Minister of Justice and Labor; (vi) Roberto González Cuquejo, former head of the Investigations Department; (vii) Marcos Antonio Álvarez; (ix) Gladys Maubet de Ferreira, wife of former Minister Silvio Ferreira; (x) other officers identified only by surname for offenses of kidnapping, torture, forced disappearance, grievous injury, intentional homicide, serious injury in the exercise of public functions, persecution of innocent victims, all committed as part of a criminal conspiracy</w:t>
      </w:r>
      <w:r w:rsidR="00C15813">
        <w:rPr>
          <w:rStyle w:val="FootnoteReference"/>
          <w:rFonts w:asciiTheme="majorHAnsi" w:hAnsiTheme="majorHAnsi"/>
          <w:sz w:val="20"/>
          <w:szCs w:val="20"/>
        </w:rPr>
        <w:footnoteReference w:id="73"/>
      </w:r>
      <w:r w:rsidRPr="00E84B2D">
        <w:rPr>
          <w:rFonts w:asciiTheme="majorHAnsi" w:hAnsiTheme="majorHAnsi"/>
          <w:sz w:val="20"/>
          <w:szCs w:val="20"/>
        </w:rPr>
        <w:t>.</w:t>
      </w:r>
      <w:r w:rsidR="00C15813"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85.           On February 8, 2003, the Public Prosecutor's Office requested the final dismissal of the accused in the proceedings</w:t>
      </w:r>
      <w:r w:rsidR="00C15813">
        <w:rPr>
          <w:rStyle w:val="FootnoteReference"/>
          <w:rFonts w:asciiTheme="majorHAnsi" w:hAnsiTheme="majorHAnsi"/>
          <w:sz w:val="20"/>
          <w:szCs w:val="20"/>
        </w:rPr>
        <w:footnoteReference w:id="74"/>
      </w:r>
      <w:r w:rsidRPr="00E84B2D">
        <w:rPr>
          <w:rFonts w:asciiTheme="majorHAnsi" w:hAnsiTheme="majorHAnsi"/>
          <w:sz w:val="20"/>
          <w:szCs w:val="20"/>
        </w:rPr>
        <w:t>.</w:t>
      </w:r>
      <w:r w:rsidR="00C15813"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lastRenderedPageBreak/>
        <w:t>86.           In the analysis of Javier Cazal’s conduct, he maintained that Juan Arrom’s and Anuncio Martí’s statements were insufficient to demonstrate his involvement and that, in addition, his credibility had to be evaluated in light of the fact that the former were accused in the proceedings investigating Maria Edith Bordón’s kidnapping.  This process was conducted was by Javier Cazal.  It was not unreasonable to suppose the existence of a campaign to publicly discredit the official. He considered that the victims’ versions were not corroborated by other evidence. With regard to the statement of Mr. Luis Resck against Cazal, the Public Prosecutor’s Office considered that his testimony was contradictory, because on one occasion he said that he recognized Javier Cazal and on another he said that he could not identify anyone and only saw one individual in charge of the proceedings. He also pointed out that in a reconstruction of the events that took place, Professor Resck could not identify an individual who was in the same place where he had seen Javier Cazal.   This conclusion was confirmed by the scene of crime plans undertaken by the architect Enriqueta Cristaldo</w:t>
      </w:r>
      <w:r w:rsidR="00115ECB">
        <w:rPr>
          <w:rStyle w:val="FootnoteReference"/>
          <w:rFonts w:asciiTheme="majorHAnsi" w:hAnsiTheme="majorHAnsi"/>
          <w:sz w:val="20"/>
          <w:szCs w:val="20"/>
        </w:rPr>
        <w:footnoteReference w:id="75"/>
      </w:r>
      <w:r w:rsidRPr="00E84B2D">
        <w:rPr>
          <w:rFonts w:asciiTheme="majorHAnsi" w:hAnsiTheme="majorHAnsi"/>
          <w:sz w:val="20"/>
          <w:szCs w:val="20"/>
        </w:rPr>
        <w:t>.</w:t>
      </w:r>
      <w:r w:rsidR="00115ECB"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87.           With regard to José David Schembori’s conduct, the Public Prosecutor's Office considered that the statements made against him by Juan Arrom and Anuncio Martí were not supported by any other evidence. He mentioned the cogency of the testimony against Schembori and emphasized that other statements showed that he was on vacation and involved in family activities. Finally, the Public Prosecutor's Office concluded that the complaint against José David Schémbori should be dismissed because, based on the evidence, there was "irrefutable certainty as regards his non-participation in the facts under investigation."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88.           Regarding Antonio Gamarra’s conduct, the Public Prosecutor’s Office evaluated the testimonies of Anuncio Martí, Juan Arrom, Esteban Centurión (who initially incriminated Antonio Gamarra), Angela Salinas de Lugo (Esteban Centurión’s wife), their later retractions, the testimony of Antonio Gamarra, several journalists and individuals who claimed to have seen Gamarra in another judicial operation on January 17, 2002 and other dates of the alleged kidnapping. The Public Prosecutor's Office considered that the last testimonies "weakened the statements of the victims because the latter testimonies [of the victims] were not corroborated by any testimonial evidence; whereas Gamarra was seen and accompanied by other police officers and journalists from different media outlets who even recorded the procedure in question in newspaper form on that date."</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89.           Regarding Minister of the Interior Julio César Fanego’s possible participation, the Public Prosecutor's Office considered that the only testimony against him was Juan Arrom’s, who provided no other evidence.  In contrast, the Prosecutor’s Office considered that Mr. Fanego described in detail his activities on the day he was told to speak with Juan Arrom and several witnesses testified confirming the veracity of his testimony. Consequently, he considered that "Fanego's conduct, first, is non-existent, and that is the most accurate illustration that his eventual criminal conduct does not constitute a punishable offense."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90.           Regarding Silvio Ferreira’s actions, the Public Prosecutor’s Office considered that Ferreira showed that he took a boat sailing on the Paraguay River.  He could not, therefore, have been with Juan Arrom, as the latter stated. In addition, in relation to the evidence of Mr. Héctor Lacognata, who stated that Gladis Maubet, Ferreira's wife, had told him that Arrom was in the hands of state forces, the Public Prosecutor's Office considered that this completely contradicted Gladis Maubet's statement. Therefore, any doubt existing as to the true version should favor the accused. For this reason, he requested a final dismissal of the investigation.</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xml:space="preserve">91.           With regard to Hugo Velásquez Moreno, who was acting as Prosecutor, the Public Prosecutor's Office maintained that there were two witness statements against him: one from Juan Arrom - who stated that Prosecutor Velásquez would prepare a document for Arrom to sign;  and the other from Héctor Raúl Marín – stating that Velásquez informed him that Arrom and Martí were in the custody of paramilitary groups. In contrast, the accused argued that he effectively spoke with Raul Marín, but did not say </w:t>
      </w:r>
      <w:r w:rsidRPr="00E84B2D">
        <w:rPr>
          <w:rFonts w:asciiTheme="majorHAnsi" w:hAnsiTheme="majorHAnsi"/>
          <w:sz w:val="20"/>
          <w:szCs w:val="20"/>
        </w:rPr>
        <w:lastRenderedPageBreak/>
        <w:t>that Juan Arrom and Anuncio Martí were being held by paramilitary groups. The Public Prosecutor's Office considered that Juan Arrom's accusation was a subjective assessment, and from the conversation between Marín and Velásquez, it could be inferred with certainty that the latter did not participate in the facts under investigation.</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92.           On February 8, 2003, Anuncio Martí confirmed his complaint with the Supervising Criminal Judge, offered evidence and requested the indictment of the accused</w:t>
      </w:r>
      <w:r w:rsidR="00115ECB">
        <w:rPr>
          <w:rStyle w:val="FootnoteReference"/>
          <w:rFonts w:asciiTheme="majorHAnsi" w:hAnsiTheme="majorHAnsi"/>
          <w:sz w:val="20"/>
          <w:szCs w:val="20"/>
        </w:rPr>
        <w:footnoteReference w:id="76"/>
      </w:r>
      <w:r w:rsidRPr="00E84B2D">
        <w:rPr>
          <w:rFonts w:asciiTheme="majorHAnsi" w:hAnsiTheme="majorHAnsi"/>
          <w:sz w:val="20"/>
          <w:szCs w:val="20"/>
        </w:rPr>
        <w:t>. On February 10, 2003, Diego Bertolucci, Juan Arrom's legal representative, filed a brief with the Criminal Judge setting out the indictment, offered evidence for an oral hearing, and requested the opening of a trial</w:t>
      </w:r>
      <w:r w:rsidR="00115ECB">
        <w:rPr>
          <w:rStyle w:val="FootnoteReference"/>
          <w:rFonts w:asciiTheme="majorHAnsi" w:hAnsiTheme="majorHAnsi"/>
          <w:sz w:val="20"/>
          <w:szCs w:val="20"/>
        </w:rPr>
        <w:footnoteReference w:id="77"/>
      </w:r>
      <w:r w:rsidRPr="00E84B2D">
        <w:rPr>
          <w:rFonts w:asciiTheme="majorHAnsi" w:hAnsiTheme="majorHAnsi"/>
          <w:sz w:val="20"/>
          <w:szCs w:val="20"/>
        </w:rPr>
        <w:t>. On March 28, 2003, Anuncio Martí and Juan Arrom opposed the request for dismissal and requested that evidence be taken</w:t>
      </w:r>
      <w:r w:rsidR="00115ECB">
        <w:rPr>
          <w:rStyle w:val="FootnoteReference"/>
          <w:rFonts w:asciiTheme="majorHAnsi" w:hAnsiTheme="majorHAnsi"/>
          <w:sz w:val="20"/>
          <w:szCs w:val="20"/>
        </w:rPr>
        <w:footnoteReference w:id="78"/>
      </w:r>
      <w:r w:rsidRPr="00E84B2D">
        <w:rPr>
          <w:rFonts w:asciiTheme="majorHAnsi" w:hAnsiTheme="majorHAnsi"/>
          <w:sz w:val="20"/>
          <w:szCs w:val="20"/>
        </w:rPr>
        <w:t>.</w:t>
      </w:r>
      <w:r w:rsidR="00115ECB" w:rsidRPr="00E84B2D">
        <w:rPr>
          <w:rFonts w:asciiTheme="majorHAnsi" w:hAnsiTheme="majorHAnsi"/>
          <w:sz w:val="20"/>
          <w:szCs w:val="20"/>
        </w:rPr>
        <w:t xml:space="preserve"> </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93.           Juan Arrom explained that on January 19</w:t>
      </w:r>
      <w:r w:rsidRPr="00E84B2D">
        <w:rPr>
          <w:rFonts w:asciiTheme="majorHAnsi" w:hAnsiTheme="majorHAnsi"/>
          <w:sz w:val="20"/>
          <w:szCs w:val="20"/>
          <w:vertAlign w:val="superscript"/>
        </w:rPr>
        <w:t>th</w:t>
      </w:r>
      <w:r w:rsidRPr="00E84B2D">
        <w:rPr>
          <w:rFonts w:asciiTheme="majorHAnsi" w:hAnsiTheme="majorHAnsi"/>
          <w:sz w:val="20"/>
          <w:szCs w:val="20"/>
        </w:rPr>
        <w:t> 2002, while he was disappeared, State´s actors raided his house and took his driving license. Months later, he requested a new driving license and the authorities told him that he had to present a complaint, explaining when he lost his license. For this reason, he declared before the Police Station of Itá that he had lost his driving license on January 19</w:t>
      </w:r>
      <w:r w:rsidRPr="00E84B2D">
        <w:rPr>
          <w:rFonts w:asciiTheme="majorHAnsi" w:hAnsiTheme="majorHAnsi"/>
          <w:sz w:val="20"/>
          <w:szCs w:val="20"/>
          <w:vertAlign w:val="superscript"/>
        </w:rPr>
        <w:t>th</w:t>
      </w:r>
      <w:r w:rsidRPr="00E84B2D">
        <w:rPr>
          <w:rFonts w:asciiTheme="majorHAnsi" w:hAnsiTheme="majorHAnsi"/>
          <w:sz w:val="20"/>
          <w:szCs w:val="20"/>
        </w:rPr>
        <w:t>, 2002, because it was the date of the raid.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94.           According to the briefs of the alleged victims’ legal representatives and to the judicial decisions, the Supervising Criminal Judge considered that the Public Prosecutor's Office’s request lacked sufficient grounds to justify a dismissal of the case against the accused Javier Cazal, Antonio Gamarra and José David Schembori, explaining that "the non-participation of the accused should be </w:t>
      </w:r>
      <w:r w:rsidRPr="00E84B2D">
        <w:rPr>
          <w:rFonts w:asciiTheme="majorHAnsi" w:hAnsiTheme="majorHAnsi"/>
          <w:i/>
          <w:iCs/>
          <w:sz w:val="20"/>
          <w:szCs w:val="20"/>
        </w:rPr>
        <w:t>prima face</w:t>
      </w:r>
      <w:r w:rsidRPr="00E84B2D">
        <w:rPr>
          <w:rFonts w:asciiTheme="majorHAnsi" w:hAnsiTheme="majorHAnsi"/>
          <w:sz w:val="20"/>
          <w:szCs w:val="20"/>
        </w:rPr>
        <w:t> APPARENT and without a doubt"</w:t>
      </w:r>
      <w:r w:rsidR="00115ECB">
        <w:rPr>
          <w:rStyle w:val="FootnoteReference"/>
          <w:rFonts w:asciiTheme="majorHAnsi" w:hAnsiTheme="majorHAnsi"/>
          <w:sz w:val="20"/>
          <w:szCs w:val="20"/>
        </w:rPr>
        <w:footnoteReference w:id="79"/>
      </w:r>
      <w:r w:rsidRPr="00E84B2D">
        <w:rPr>
          <w:rFonts w:asciiTheme="majorHAnsi" w:hAnsiTheme="majorHAnsi"/>
          <w:sz w:val="20"/>
          <w:szCs w:val="20"/>
        </w:rPr>
        <w:t>. Consequently, the Judge ordered that the procedural steps should be sent back to the Attorney General for an indictment or acceptance of the request initially made by the prosecutors, as provided for in the Code of Criminal Procedure for these types of case.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95.           On May 27, 2003, the Deputy Prosecutor, in charge of the National Prosecutor General's Office, confirmed the request for dismissal previously filed by prosecutors in favor of Saturnino Antonio Gamarra, José David Schémbori and Javier Cazal</w:t>
      </w:r>
      <w:r w:rsidR="00115ECB">
        <w:rPr>
          <w:rStyle w:val="FootnoteReference"/>
          <w:rFonts w:asciiTheme="majorHAnsi" w:hAnsiTheme="majorHAnsi"/>
          <w:sz w:val="20"/>
          <w:szCs w:val="20"/>
        </w:rPr>
        <w:footnoteReference w:id="80"/>
      </w:r>
      <w:r w:rsidRPr="00E84B2D">
        <w:rPr>
          <w:rFonts w:asciiTheme="majorHAnsi" w:hAnsiTheme="majorHAnsi"/>
          <w:sz w:val="20"/>
          <w:szCs w:val="20"/>
        </w:rPr>
        <w:t>.</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96.           With regard to Antonio Gamarra, the Prosecutor pointed out that the case against him was based only on the victims' statements and would therefore be "thoroughly investigated in order to determine whether they are apt to demonstrate such circumstances; or, on the contrary, are insufficient to rebut the presumption of innocence of the accused".  He concluded with a request for dismissal</w:t>
      </w:r>
      <w:r w:rsidR="00115ECB">
        <w:rPr>
          <w:rStyle w:val="FootnoteReference"/>
          <w:rFonts w:asciiTheme="majorHAnsi" w:hAnsiTheme="majorHAnsi"/>
          <w:sz w:val="20"/>
          <w:szCs w:val="20"/>
        </w:rPr>
        <w:footnoteReference w:id="81"/>
      </w:r>
      <w:r w:rsidRPr="00E84B2D">
        <w:rPr>
          <w:rFonts w:asciiTheme="majorHAnsi" w:hAnsiTheme="majorHAnsi"/>
          <w:sz w:val="20"/>
          <w:szCs w:val="20"/>
        </w:rPr>
        <w:t>.</w:t>
      </w:r>
      <w:r w:rsidR="00115ECB"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lastRenderedPageBreak/>
        <w:t>97.           With regard to José David Schémbori, the Prosecutor considered that the evidence of the individuals claiming to have recognized him did not know or were mistaken in his distinguishing features, understandable "because of the atrocious circumstances in which they were observed." He also questioned the claims of journalist Anibal Emery and criticized the Arrom sisters for not referring to recordings showing an individual at the front window of the house. In conclusion, he considered that the evidence provided was insufficient to indict the accused "especially taking into account the lack of other corroborating evidence to draw conclusions with the intellectual certainty required by the criminal procedural system."</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98.           As regards Javier Cazal, the Prosecutor questioned the coherence of Mr. Luis Resck's statements, considering that there was no evidence of his alleged meeting with Juan Arrom and concluded that "in comparison with the absence of supporting evidence from accusers, the request for acquittal is backed up by corroborating evidence proving that the accused Javier Cazal was in a place distant from the scene of the crime at the time of its commission.”</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99.           The Prosecutor also stated that on November 1, 2002 (nine months after his reappearance), Juan Arrom made a statement at the Itá police station that on January 19, 2002, he had lost his driving license between Asunción and Itá. He noted that this statement weakened the credibility of his evidence as to his alleged disappearance and torture.  This led him to "seriously consider the possibility that such events did not occur in the way reported by the complainants."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100.         On June 19, 2003, Diego Bertolucci, Juan Arrom’s legal representative, filed a motion of unconstitutionality alleging that Article 358 of the Code of Criminal Procedure’s application in this case breached the constitutional rights of his client</w:t>
      </w:r>
      <w:r w:rsidR="000C76E2">
        <w:rPr>
          <w:rStyle w:val="FootnoteReference"/>
          <w:rFonts w:asciiTheme="majorHAnsi" w:hAnsiTheme="majorHAnsi"/>
          <w:sz w:val="20"/>
          <w:szCs w:val="20"/>
        </w:rPr>
        <w:footnoteReference w:id="82"/>
      </w:r>
      <w:r w:rsidRPr="00E84B2D">
        <w:rPr>
          <w:rFonts w:asciiTheme="majorHAnsi" w:hAnsiTheme="majorHAnsi"/>
          <w:sz w:val="20"/>
          <w:szCs w:val="20"/>
        </w:rPr>
        <w:t>. This Article states that the Judge cannot order a trial unless there is a prosecutor’s indictment. In Bertolucci’s opinion, the absence of a Public Prosecutor’s indictment when the latter requested a dismissal was not binding on the Natural Judge, considering that the option to indict could be shared with the victims</w:t>
      </w:r>
      <w:r w:rsidR="000C76E2">
        <w:rPr>
          <w:rStyle w:val="FootnoteReference"/>
          <w:rFonts w:asciiTheme="majorHAnsi" w:hAnsiTheme="majorHAnsi"/>
          <w:sz w:val="20"/>
          <w:szCs w:val="20"/>
        </w:rPr>
        <w:footnoteReference w:id="83"/>
      </w:r>
      <w:r w:rsidRPr="00E84B2D">
        <w:rPr>
          <w:rFonts w:asciiTheme="majorHAnsi" w:hAnsiTheme="majorHAnsi"/>
          <w:sz w:val="20"/>
          <w:szCs w:val="20"/>
        </w:rPr>
        <w:t>.</w:t>
      </w:r>
      <w:r w:rsidRPr="00E84B2D">
        <w:rPr>
          <w:rFonts w:asciiTheme="majorHAnsi" w:hAnsiTheme="majorHAnsi"/>
          <w:sz w:val="20"/>
          <w:szCs w:val="20"/>
          <w:vertAlign w:val="superscript"/>
        </w:rPr>
        <w:t>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101.        On September 19, 2003, the Constitutional Chamber of the Supreme Court of Justice decided to dismiss the unconstitutionality objection filed by Diego Bertolucci, Juan Arrom’s legal advisor. The Court considered that Article 358 of the Code of Criminal Procedure was part of a series of provisions of the mixed accusatory criminal system in which the Public Prosecutor's Office has the function of indicting and the Supervisory Judge of ensuring the protection of both the accused and the victim’s rights; as well as to analyze the evidence obtained in the investigation.  The Court considered that the petitioner's request sought to modify the current penal system; such an aim could only be achieved through legislative reform. It also held that the objection of unconstitutionality was not filed timely, in accordance with the provisions of Articles 538 and 546 of the Code of Criminal Procedure, and that "the legal provision in question does not in any way affect or cause irreparable harm to" the victims</w:t>
      </w:r>
      <w:r w:rsidR="000C76E2">
        <w:rPr>
          <w:rStyle w:val="FootnoteReference"/>
          <w:rFonts w:asciiTheme="majorHAnsi" w:hAnsiTheme="majorHAnsi"/>
          <w:sz w:val="20"/>
          <w:szCs w:val="20"/>
        </w:rPr>
        <w:footnoteReference w:id="84"/>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102.        On November 4, 2003, the Criminal Judge ordered the final dismissal and termination of criminal proceedings in the case against Javier Cazal Elizeche, Saturnino Antonio Gamarra and José David Schémbori</w:t>
      </w:r>
      <w:r w:rsidR="000C76E2">
        <w:rPr>
          <w:rStyle w:val="FootnoteReference"/>
          <w:rFonts w:asciiTheme="majorHAnsi" w:hAnsiTheme="majorHAnsi"/>
          <w:sz w:val="20"/>
          <w:szCs w:val="20"/>
        </w:rPr>
        <w:footnoteReference w:id="85"/>
      </w:r>
      <w:r w:rsidRPr="00E84B2D">
        <w:rPr>
          <w:rFonts w:asciiTheme="majorHAnsi" w:hAnsiTheme="majorHAnsi"/>
          <w:sz w:val="20"/>
          <w:szCs w:val="20"/>
        </w:rPr>
        <w:t xml:space="preserve">. The Judge stated that Article 358 of the Code of Criminal Procedure provides that if the Public Prosecutor's Office has not filed an indictment, the Judge shall request that proceedings be referred to the </w:t>
      </w:r>
      <w:r w:rsidRPr="00E84B2D">
        <w:rPr>
          <w:rFonts w:asciiTheme="majorHAnsi" w:hAnsiTheme="majorHAnsi"/>
          <w:sz w:val="20"/>
          <w:szCs w:val="20"/>
        </w:rPr>
        <w:lastRenderedPageBreak/>
        <w:t>Attorney General to indict or uphold the decision of the earlier prosecutor. If the Attorney General upholds the decision not to indict, the Judge must rule according to the Public Prosecutor’s request. Consequently, considering that the petition for dismissal was upheld by prosecutors of the Public Prosecutor's Office, the judge considered that, regardless of his own views, it was incumbent on him to order a dismissal of the case against the accused.</w:t>
      </w:r>
      <w:r w:rsidR="000C76E2">
        <w:rPr>
          <w:rStyle w:val="FootnoteReference"/>
          <w:rFonts w:asciiTheme="majorHAnsi" w:hAnsiTheme="majorHAnsi"/>
          <w:sz w:val="20"/>
          <w:szCs w:val="20"/>
        </w:rPr>
        <w:footnoteReference w:id="86"/>
      </w:r>
      <w:r w:rsidR="000C76E2"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103.        Attorney Diego Bertolucci filed a general appeal against the decision of the Criminal Judge of November 4, 2003. He stated that there were various grounds in the investigation justifying the opening of a trial.  Additionally, the attorney maintained that the State’s Attorney General confirmed that "the Public Prosecutor’s Office does not investigate itself"</w:t>
      </w:r>
      <w:r w:rsidR="000C76E2">
        <w:rPr>
          <w:rStyle w:val="FootnoteReference"/>
          <w:rFonts w:asciiTheme="majorHAnsi" w:hAnsiTheme="majorHAnsi"/>
          <w:sz w:val="20"/>
          <w:szCs w:val="20"/>
        </w:rPr>
        <w:footnoteReference w:id="87"/>
      </w:r>
      <w:r w:rsidRPr="00E84B2D">
        <w:rPr>
          <w:rFonts w:asciiTheme="majorHAnsi" w:hAnsiTheme="majorHAnsi"/>
          <w:sz w:val="20"/>
          <w:szCs w:val="20"/>
        </w:rPr>
        <w:t>. He added that applying the rule of the Code of Criminal Procedure did not allow access to justice and the protection of constitutional rights</w:t>
      </w:r>
      <w:r w:rsidR="000C76E2">
        <w:rPr>
          <w:rStyle w:val="FootnoteReference"/>
          <w:rFonts w:asciiTheme="majorHAnsi" w:hAnsiTheme="majorHAnsi"/>
          <w:sz w:val="20"/>
          <w:szCs w:val="20"/>
        </w:rPr>
        <w:footnoteReference w:id="88"/>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104.        On March 24, 2004, the Fourth Chamber of the Court of Criminal Appeals held that the role of Prosecutor responsible for the action was to present only those "rationally sustainable" cases to the Judge. Therefore, the Prosecutor's Office had to present the indictment before the beginning of an oral and public trial.  The Court concluded that in this case the Judge had to decide in accordance with Article 358 of the Code of Criminal Procedure which provides that in the absence of an indictment, the Judge could not order the trial to begin</w:t>
      </w:r>
      <w:r w:rsidR="000C76E2">
        <w:rPr>
          <w:rStyle w:val="FootnoteReference"/>
          <w:rFonts w:asciiTheme="majorHAnsi" w:hAnsiTheme="majorHAnsi"/>
          <w:sz w:val="20"/>
          <w:szCs w:val="20"/>
        </w:rPr>
        <w:footnoteReference w:id="89"/>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2D71CD">
      <w:pPr>
        <w:pStyle w:val="Heading2"/>
        <w:numPr>
          <w:ilvl w:val="0"/>
          <w:numId w:val="0"/>
        </w:numPr>
        <w:ind w:left="1440" w:hanging="720"/>
        <w:rPr>
          <w:sz w:val="20"/>
          <w:szCs w:val="20"/>
        </w:rPr>
      </w:pPr>
      <w:bookmarkStart w:id="16" w:name="_Toc494373944"/>
      <w:r w:rsidRPr="002D71CD">
        <w:rPr>
          <w:sz w:val="20"/>
          <w:szCs w:val="20"/>
        </w:rPr>
        <w:t>D.              On the granting of refugee status to Juan Arrom and to Anuncio Martí and State´s  requests</w:t>
      </w:r>
      <w:bookmarkEnd w:id="16"/>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105.        Juan Arrom and Anuncio Martí obtained recognition of refugee status in Brazil. According to the technical brief provided by the petitioners, on December 1, 2003, the National Committee for Refugees - UNARE - unanimously decided to accord refugee status to the three citizens for having "demonstrated or justified fear of persecution for reasons of political policy, thereby fulfilling the conditions of eligibility provided for in Article 1, paragraph 1, of Law No. 9,474, of July 22, 1997." In addition, UNHCR was in favor of granting refugee status. Likewise, the brief indicates that the President of CONARE met with the Paraguayan Public Prosecutor's Office and informed them that if the information or criminal acts by the refugees against the Government of Paraguay was shown to be false at any time, their refugee status proceedings could be reopened. According to the same brief, on October 27, 2006, the Paraguayan authorities requested a review of the case and CONARE considered that their arguments presented were insufficient to undertake a review; and on a second occasion, the Government of Paraguay requested a review of the case; however, an examination of the case was pending a meeting to be held in May 2010</w:t>
      </w:r>
      <w:r w:rsidR="000C76E2">
        <w:rPr>
          <w:rStyle w:val="FootnoteReference"/>
          <w:rFonts w:asciiTheme="majorHAnsi" w:hAnsiTheme="majorHAnsi"/>
          <w:sz w:val="20"/>
          <w:szCs w:val="20"/>
        </w:rPr>
        <w:footnoteReference w:id="90"/>
      </w:r>
      <w:r w:rsidRPr="00E84B2D">
        <w:rPr>
          <w:rFonts w:asciiTheme="majorHAnsi" w:hAnsiTheme="majorHAnsi"/>
          <w:sz w:val="20"/>
          <w:szCs w:val="20"/>
        </w:rPr>
        <w:t>. According to press releases provided by the petitioners, on May 3, 2010, </w:t>
      </w:r>
      <w:r w:rsidRPr="00E84B2D">
        <w:rPr>
          <w:rFonts w:asciiTheme="majorHAnsi" w:hAnsiTheme="majorHAnsi"/>
          <w:i/>
          <w:iCs/>
          <w:sz w:val="20"/>
          <w:szCs w:val="20"/>
        </w:rPr>
        <w:t>Diario ABC</w:t>
      </w:r>
      <w:r w:rsidRPr="00E84B2D">
        <w:rPr>
          <w:rFonts w:asciiTheme="majorHAnsi" w:hAnsiTheme="majorHAnsi"/>
          <w:sz w:val="20"/>
          <w:szCs w:val="20"/>
        </w:rPr>
        <w:t> ran a headline "Arrom, Martí and Colmán remain in Brazil" and asserted that Brazil’s President Luiz Inacio Lula da Silva had rejected the extradition request for Juan Arrom, Anuncio Martí and Víctor Colmán</w:t>
      </w:r>
      <w:r w:rsidR="000C76E2">
        <w:rPr>
          <w:rStyle w:val="FootnoteReference"/>
          <w:rFonts w:asciiTheme="majorHAnsi" w:hAnsiTheme="majorHAnsi"/>
          <w:sz w:val="20"/>
          <w:szCs w:val="20"/>
        </w:rPr>
        <w:footnoteReference w:id="91"/>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lastRenderedPageBreak/>
        <w:t>106.        On August 21, 2003, the Criminal Judge for Settlement and Judgment of the City of Asunción decided to find the defendants Juan Arrom and Anuncio Martí in default in the case involving those allegedly liable for Maria Edith Bordón’s abduction; he ordered their arrest and was unaware of their whereabouts</w:t>
      </w:r>
      <w:r w:rsidR="000C76E2">
        <w:rPr>
          <w:rStyle w:val="FootnoteReference"/>
          <w:rFonts w:asciiTheme="majorHAnsi" w:hAnsiTheme="majorHAnsi"/>
          <w:sz w:val="20"/>
          <w:szCs w:val="20"/>
        </w:rPr>
        <w:footnoteReference w:id="92"/>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107.        On October 15, 2004, the Criminal Judge for Settlement and Judgment informed the Foreign Relations Ministry that Interpol had confirmed that citizen Anuncio Martí had been seen at Barajas Airport in Madrid, Spain; therefore, he requested that the relevant procedures be initiated to capture him</w:t>
      </w:r>
      <w:r w:rsidR="000C76E2">
        <w:rPr>
          <w:rStyle w:val="FootnoteReference"/>
          <w:rFonts w:asciiTheme="majorHAnsi" w:hAnsiTheme="majorHAnsi"/>
          <w:sz w:val="20"/>
          <w:szCs w:val="20"/>
        </w:rPr>
        <w:footnoteReference w:id="93"/>
      </w:r>
      <w:r w:rsidRPr="00E84B2D">
        <w:rPr>
          <w:rFonts w:asciiTheme="majorHAnsi" w:hAnsiTheme="majorHAnsi"/>
          <w:sz w:val="20"/>
          <w:szCs w:val="20"/>
        </w:rPr>
        <w:t>. On October 15, 2004, the International Police Organization (INTERPOL) informed the Criminal Judge for Settlement and Judgment that Mr. Anuncio Martí Méndez had been seen at Barajas Airport in Madrid, had not been arrested because the petition ought to have been made via diplomatic channels</w:t>
      </w:r>
      <w:r w:rsidR="000C76E2">
        <w:rPr>
          <w:rStyle w:val="FootnoteReference"/>
          <w:rFonts w:asciiTheme="majorHAnsi" w:hAnsiTheme="majorHAnsi"/>
          <w:sz w:val="20"/>
          <w:szCs w:val="20"/>
        </w:rPr>
        <w:footnoteReference w:id="94"/>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108.        On August 29, 2006, the Criminal Judge for Settlement and Judgment asked the Ambassador of the Republic of Paraguay in Brazil and the Minister of Justice of the Federative Republic of Brazil for their good offices to secure the arrest of Juan Arrom and Anuncio Martí</w:t>
      </w:r>
      <w:r w:rsidR="000C76E2">
        <w:rPr>
          <w:rStyle w:val="FootnoteReference"/>
          <w:rFonts w:asciiTheme="majorHAnsi" w:hAnsiTheme="majorHAnsi"/>
          <w:sz w:val="20"/>
          <w:szCs w:val="20"/>
        </w:rPr>
        <w:footnoteReference w:id="95"/>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109.        In the case file there is propaganda leaflet entitled at the top "WANTED - Enemies of the Paraguayan People" and then gives the names of several alleged criminals with their photos, including photos of Juan Arrom and Anuncio Martí, and offering a reward of 500,000,000 guaraníes for useful information leading to their arrest. At the bottom of the leaflet are badges of several institutions of the State of Paraguay, including the Interior Ministry, the National Police and the Public Prosecutor’s Office</w:t>
      </w:r>
      <w:r w:rsidR="000C76E2">
        <w:rPr>
          <w:rStyle w:val="FootnoteReference"/>
          <w:rFonts w:asciiTheme="majorHAnsi" w:hAnsiTheme="majorHAnsi"/>
          <w:sz w:val="20"/>
          <w:szCs w:val="20"/>
        </w:rPr>
        <w:footnoteReference w:id="96"/>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110.        The case file contains an Open Letter from the Commission for Human Rights and Minorities of the Brazilian Chamber of Deputies, signed by Deputy President Luiz Coto, addressed to the President of the Republic of Paraguay Fernando Lugo Méndez. The letter expresses surprise at the dissemination of Paraguayan propaganda in which a reward is offered for political refugees residing in Brazil</w:t>
      </w:r>
      <w:r w:rsidR="000C76E2">
        <w:rPr>
          <w:rStyle w:val="FootnoteReference"/>
          <w:rFonts w:asciiTheme="majorHAnsi" w:hAnsiTheme="majorHAnsi"/>
          <w:sz w:val="20"/>
          <w:szCs w:val="20"/>
        </w:rPr>
        <w:footnoteReference w:id="97"/>
      </w:r>
      <w:r w:rsidRPr="00E84B2D">
        <w:rPr>
          <w:rFonts w:asciiTheme="majorHAnsi" w:hAnsiTheme="majorHAnsi"/>
          <w:sz w:val="20"/>
          <w:szCs w:val="20"/>
        </w:rPr>
        <w:t>. Likewise, Senator Cristovam Buarque admonished the Paraguayan authorities for having issued propaganda offering a reward for the refugees in Brazil</w:t>
      </w:r>
      <w:r w:rsidR="000C76E2">
        <w:rPr>
          <w:rStyle w:val="FootnoteReference"/>
          <w:rFonts w:asciiTheme="majorHAnsi" w:hAnsiTheme="majorHAnsi"/>
          <w:sz w:val="20"/>
          <w:szCs w:val="20"/>
        </w:rPr>
        <w:footnoteReference w:id="98"/>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111.        On November 2, 2012, the President of the Commission for Human Rights and Minorities of the Brazilian Chamber of Deputies addressed the IACHR to request the speeding up of the trial of citizens Juan Arrom, Anuncio Martí and Victor Colmán</w:t>
      </w:r>
      <w:r w:rsidR="000C76E2">
        <w:rPr>
          <w:rStyle w:val="FootnoteReference"/>
          <w:rFonts w:asciiTheme="majorHAnsi" w:hAnsiTheme="majorHAnsi"/>
          <w:sz w:val="20"/>
          <w:szCs w:val="20"/>
        </w:rPr>
        <w:footnoteReference w:id="99"/>
      </w:r>
      <w:r w:rsidRPr="00E84B2D">
        <w:rPr>
          <w:rFonts w:asciiTheme="majorHAnsi" w:hAnsiTheme="majorHAnsi"/>
          <w:sz w:val="20"/>
          <w:szCs w:val="20"/>
        </w:rPr>
        <w:t>.</w:t>
      </w:r>
      <w:r w:rsidR="000C76E2"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Default="00E84B2D">
      <w:pPr>
        <w:rPr>
          <w:rFonts w:asciiTheme="majorHAnsi" w:hAnsiTheme="majorHAnsi"/>
          <w:b/>
          <w:bCs/>
          <w:sz w:val="20"/>
          <w:szCs w:val="20"/>
        </w:rPr>
      </w:pPr>
      <w:r>
        <w:rPr>
          <w:rFonts w:asciiTheme="majorHAnsi" w:hAnsiTheme="majorHAnsi"/>
          <w:b/>
          <w:bCs/>
          <w:sz w:val="20"/>
          <w:szCs w:val="20"/>
        </w:rPr>
        <w:br w:type="page"/>
      </w:r>
    </w:p>
    <w:p w:rsidR="00E84B2D" w:rsidRPr="00E84B2D" w:rsidRDefault="00E84B2D" w:rsidP="002D71CD">
      <w:pPr>
        <w:pStyle w:val="Heading1"/>
        <w:numPr>
          <w:ilvl w:val="0"/>
          <w:numId w:val="0"/>
        </w:numPr>
        <w:ind w:left="720"/>
        <w:rPr>
          <w:sz w:val="20"/>
          <w:szCs w:val="20"/>
        </w:rPr>
      </w:pPr>
      <w:bookmarkStart w:id="17" w:name="_Toc494373945"/>
      <w:r w:rsidRPr="002D71CD">
        <w:rPr>
          <w:sz w:val="20"/>
          <w:szCs w:val="20"/>
        </w:rPr>
        <w:lastRenderedPageBreak/>
        <w:t>V. LEGAL ANALYSIS</w:t>
      </w:r>
      <w:bookmarkEnd w:id="17"/>
    </w:p>
    <w:p w:rsidR="00E84B2D" w:rsidRPr="00E84B2D" w:rsidRDefault="00E84B2D" w:rsidP="00E84B2D">
      <w:pPr>
        <w:spacing w:before="100" w:beforeAutospacing="1" w:after="100" w:afterAutospacing="1"/>
        <w:ind w:firstLine="720"/>
        <w:jc w:val="both"/>
        <w:rPr>
          <w:rFonts w:asciiTheme="majorHAnsi" w:hAnsiTheme="majorHAnsi"/>
          <w:sz w:val="20"/>
          <w:szCs w:val="20"/>
        </w:rPr>
      </w:pPr>
      <w:r w:rsidRPr="00E84B2D">
        <w:rPr>
          <w:rFonts w:asciiTheme="majorHAnsi" w:hAnsiTheme="majorHAnsi"/>
          <w:b/>
          <w:bCs/>
          <w:sz w:val="20"/>
          <w:szCs w:val="20"/>
        </w:rPr>
        <w:t> </w:t>
      </w:r>
      <w:r w:rsidRPr="00E84B2D">
        <w:rPr>
          <w:rFonts w:asciiTheme="majorHAnsi" w:hAnsiTheme="majorHAnsi"/>
          <w:sz w:val="20"/>
          <w:szCs w:val="20"/>
        </w:rPr>
        <w:t>112.        The present case focuses on whether the events that took place between January 17, and 30, 2002 constituted acts of torture and forced disappearance. Taking into account the information available in the case file, as well as the State's disputing the central allegations of the petitioners, in the circumstances of the instant case, the Commission considers it pertinent to examine, first, the investigations carried out at the internal level and, secondly, the determinations of the said investigations, on the alleged torture and enforced disappearance.</w:t>
      </w:r>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113.        In this regard, the IACHR will conduct its legal analysis in the following order: (a) preliminary issues; (b) the right to judicial guarantees and judicial protection in respect of investigations undertaken on what happened to the alleged victims; (c) the analysis of whether the events involved torture; (d) the analysis of whether the events involved forced disappearance; and (e) the right to personal integrity with respect to the victims’ next of kin. </w:t>
      </w:r>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2D71CD" w:rsidRDefault="00E84B2D" w:rsidP="0080234C">
      <w:pPr>
        <w:pStyle w:val="Heading2"/>
        <w:numPr>
          <w:ilvl w:val="0"/>
          <w:numId w:val="59"/>
        </w:numPr>
        <w:rPr>
          <w:sz w:val="20"/>
          <w:szCs w:val="20"/>
        </w:rPr>
      </w:pPr>
      <w:bookmarkStart w:id="18" w:name="_Toc494373946"/>
      <w:r w:rsidRPr="002D71CD">
        <w:rPr>
          <w:sz w:val="20"/>
          <w:szCs w:val="20"/>
        </w:rPr>
        <w:t>Preliminary Issues</w:t>
      </w:r>
      <w:bookmarkEnd w:id="18"/>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114.        The petitioners pointed out that the State violated their rights in the judicial investigation into Mrs. María Edith Bordón’s abduction. The State maintained that any irregularities in that procedure should be discussed in the national courts and that the Commission was not competent to give a ruling on the matter. The Commission considers that the main issue is the alleged disappearance and torture of Juan Arrom and Anuncio Martí. However, it is aware that the case is intertwined with the process connected with Mrs. Bordón’s abduction. Therefore, it will address this last process whenever it is related to the possible violations presented by the alleged victims.</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115.        The Commission further notes that in its report on admissibility, it did not expressly include Articles 3 and 4 of the American Convention, nor Articles 1(a) and 1(b) of the Inter-American Convention on Forced Disappearance of Persons. However, from the totality of the allegations and evidence available, and in application of the </w:t>
      </w:r>
      <w:r w:rsidRPr="00E84B2D">
        <w:rPr>
          <w:rFonts w:asciiTheme="majorHAnsi" w:hAnsiTheme="majorHAnsi"/>
          <w:i/>
          <w:iCs/>
          <w:sz w:val="20"/>
          <w:szCs w:val="20"/>
        </w:rPr>
        <w:t>iura novit curia</w:t>
      </w:r>
      <w:r w:rsidRPr="00E84B2D">
        <w:rPr>
          <w:rFonts w:asciiTheme="majorHAnsi" w:hAnsiTheme="majorHAnsi"/>
          <w:sz w:val="20"/>
          <w:szCs w:val="20"/>
        </w:rPr>
        <w:t> principle, the IACHR deems it pertinent to analyze the facts of the case in light of the aforementioned provisions</w:t>
      </w:r>
      <w:r w:rsidR="00292713">
        <w:rPr>
          <w:rStyle w:val="FootnoteReference"/>
          <w:rFonts w:asciiTheme="majorHAnsi" w:hAnsiTheme="majorHAnsi"/>
          <w:sz w:val="20"/>
          <w:szCs w:val="20"/>
        </w:rPr>
        <w:footnoteReference w:id="100"/>
      </w:r>
      <w:r w:rsidRPr="00E84B2D">
        <w:rPr>
          <w:rFonts w:asciiTheme="majorHAnsi" w:hAnsiTheme="majorHAnsi"/>
          <w:sz w:val="20"/>
          <w:szCs w:val="20"/>
        </w:rPr>
        <w:t>. The analysis of law that follows is based on facts known by the Paraguayan State, both during the admissibility and at the merits stages, and with respect to which it has had ample opportunity to submit arguments and evidence. Consequently, the inclusion of the abovementioned provisions does not affect the State's right of defense.</w:t>
      </w:r>
    </w:p>
    <w:p w:rsidR="00E84B2D" w:rsidRPr="00E84B2D" w:rsidRDefault="00E84B2D" w:rsidP="00E84B2D">
      <w:pPr>
        <w:ind w:left="720"/>
        <w:jc w:val="both"/>
        <w:rPr>
          <w:rFonts w:asciiTheme="majorHAnsi" w:hAnsiTheme="majorHAnsi"/>
          <w:sz w:val="20"/>
          <w:szCs w:val="20"/>
        </w:rPr>
      </w:pPr>
      <w:bookmarkStart w:id="19" w:name="_Toc457838981"/>
      <w:bookmarkStart w:id="20" w:name="_Toc457838875"/>
      <w:bookmarkStart w:id="21" w:name="_Toc438128517"/>
      <w:bookmarkStart w:id="22" w:name="_Toc433651008"/>
      <w:bookmarkStart w:id="23" w:name="_Toc433650906"/>
      <w:bookmarkEnd w:id="19"/>
      <w:bookmarkEnd w:id="20"/>
      <w:bookmarkEnd w:id="21"/>
      <w:bookmarkEnd w:id="22"/>
      <w:r w:rsidRPr="00E84B2D">
        <w:rPr>
          <w:rFonts w:asciiTheme="majorHAnsi" w:hAnsiTheme="majorHAnsi"/>
          <w:sz w:val="20"/>
          <w:szCs w:val="20"/>
        </w:rPr>
        <w:t> </w:t>
      </w:r>
      <w:bookmarkEnd w:id="23"/>
    </w:p>
    <w:p w:rsidR="00E84B2D" w:rsidRPr="002D71CD" w:rsidRDefault="00E84B2D" w:rsidP="0080234C">
      <w:pPr>
        <w:pStyle w:val="Heading2"/>
        <w:numPr>
          <w:ilvl w:val="0"/>
          <w:numId w:val="59"/>
        </w:numPr>
        <w:rPr>
          <w:sz w:val="20"/>
          <w:szCs w:val="20"/>
        </w:rPr>
      </w:pPr>
      <w:r w:rsidRPr="002D71CD">
        <w:rPr>
          <w:sz w:val="20"/>
          <w:szCs w:val="20"/>
        </w:rPr>
        <w:t> </w:t>
      </w:r>
      <w:bookmarkStart w:id="24" w:name="_Toc494373947"/>
      <w:r w:rsidRPr="002D71CD">
        <w:rPr>
          <w:sz w:val="20"/>
          <w:szCs w:val="20"/>
        </w:rPr>
        <w:t>The rights to judicial guarantees, judicial protection and the duty to investigate possible enforced disappearance and torture (Articles 8</w:t>
      </w:r>
      <w:r w:rsidR="00292713">
        <w:rPr>
          <w:rStyle w:val="FootnoteReference"/>
          <w:sz w:val="20"/>
          <w:szCs w:val="20"/>
        </w:rPr>
        <w:footnoteReference w:id="101"/>
      </w:r>
      <w:r w:rsidRPr="002D71CD">
        <w:rPr>
          <w:sz w:val="20"/>
          <w:szCs w:val="20"/>
        </w:rPr>
        <w:t> and 25.1</w:t>
      </w:r>
      <w:r w:rsidR="00292713">
        <w:rPr>
          <w:rStyle w:val="FootnoteReference"/>
          <w:sz w:val="20"/>
          <w:szCs w:val="20"/>
        </w:rPr>
        <w:footnoteReference w:id="102"/>
      </w:r>
      <w:r w:rsidRPr="002D71CD">
        <w:rPr>
          <w:sz w:val="20"/>
          <w:szCs w:val="20"/>
        </w:rPr>
        <w:t>  of the American Convention, Articles 1</w:t>
      </w:r>
      <w:r w:rsidR="00292713">
        <w:rPr>
          <w:rStyle w:val="FootnoteReference"/>
          <w:sz w:val="20"/>
          <w:szCs w:val="20"/>
        </w:rPr>
        <w:footnoteReference w:id="103"/>
      </w:r>
      <w:r w:rsidRPr="002D71CD">
        <w:rPr>
          <w:sz w:val="20"/>
          <w:szCs w:val="20"/>
        </w:rPr>
        <w:t>, 6</w:t>
      </w:r>
      <w:r w:rsidR="00292713">
        <w:rPr>
          <w:rStyle w:val="FootnoteReference"/>
          <w:sz w:val="20"/>
          <w:szCs w:val="20"/>
        </w:rPr>
        <w:footnoteReference w:id="104"/>
      </w:r>
      <w:r w:rsidRPr="002D71CD">
        <w:rPr>
          <w:sz w:val="20"/>
          <w:szCs w:val="20"/>
        </w:rPr>
        <w:t> and 8</w:t>
      </w:r>
      <w:r w:rsidR="00292713">
        <w:rPr>
          <w:rStyle w:val="FootnoteReference"/>
          <w:sz w:val="20"/>
          <w:szCs w:val="20"/>
        </w:rPr>
        <w:footnoteReference w:id="105"/>
      </w:r>
      <w:r w:rsidRPr="002D71CD">
        <w:rPr>
          <w:sz w:val="20"/>
          <w:szCs w:val="20"/>
        </w:rPr>
        <w:t> of the ICPPT and Article 1b</w:t>
      </w:r>
      <w:r w:rsidR="00292713">
        <w:rPr>
          <w:rStyle w:val="FootnoteReference"/>
          <w:sz w:val="20"/>
          <w:szCs w:val="20"/>
        </w:rPr>
        <w:footnoteReference w:id="106"/>
      </w:r>
      <w:r w:rsidRPr="002D71CD">
        <w:rPr>
          <w:sz w:val="20"/>
          <w:szCs w:val="20"/>
        </w:rPr>
        <w:t> of the ICFDP)</w:t>
      </w:r>
      <w:bookmarkEnd w:id="24"/>
    </w:p>
    <w:p w:rsidR="00E84B2D" w:rsidRPr="00E84B2D" w:rsidRDefault="00E84B2D" w:rsidP="00E84B2D">
      <w:pPr>
        <w:rPr>
          <w:rFonts w:asciiTheme="majorHAnsi" w:hAnsiTheme="majorHAnsi"/>
          <w:sz w:val="20"/>
          <w:szCs w:val="20"/>
        </w:rPr>
      </w:pPr>
      <w:r w:rsidRPr="00E84B2D">
        <w:rPr>
          <w:rFonts w:asciiTheme="majorHAnsi" w:hAnsiTheme="majorHAnsi"/>
          <w:sz w:val="20"/>
          <w:szCs w:val="20"/>
        </w:rPr>
        <w:lastRenderedPageBreak/>
        <w:t> </w:t>
      </w:r>
    </w:p>
    <w:p w:rsidR="00E84B2D" w:rsidRPr="00B6227D" w:rsidRDefault="00E84B2D" w:rsidP="00B6227D">
      <w:pPr>
        <w:pStyle w:val="Heading3"/>
        <w:spacing w:before="0" w:beforeAutospacing="0" w:after="0" w:afterAutospacing="0"/>
        <w:ind w:left="806"/>
        <w:rPr>
          <w:rFonts w:asciiTheme="majorHAnsi" w:hAnsiTheme="majorHAnsi"/>
          <w:sz w:val="20"/>
          <w:szCs w:val="20"/>
        </w:rPr>
      </w:pPr>
      <w:bookmarkStart w:id="25" w:name="_Toc494373948"/>
      <w:r w:rsidRPr="00B6227D">
        <w:rPr>
          <w:rFonts w:asciiTheme="majorHAnsi" w:hAnsiTheme="majorHAnsi"/>
          <w:sz w:val="20"/>
          <w:szCs w:val="20"/>
        </w:rPr>
        <w:t>1.     Considerations on the right to judicial guarantees and judicial protection and on the duty to investigate possible enforced disappearance and torture</w:t>
      </w:r>
      <w:bookmarkEnd w:id="25"/>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116.        </w:t>
      </w:r>
      <w:r w:rsidRPr="00E84B2D">
        <w:rPr>
          <w:rFonts w:asciiTheme="majorHAnsi" w:hAnsiTheme="majorHAnsi"/>
          <w:spacing w:val="-2"/>
          <w:sz w:val="20"/>
          <w:szCs w:val="20"/>
        </w:rPr>
        <w:t xml:space="preserve">The Court has observed that States are obliged to provide effective judicial remedies to victims of human rights violations (Article 25), which must be substantiated in accordance with the rules of legal due process (Article 8.1), all under the general obligation, by the States themselves, to guarantee the full and free exercise of the rights recognized by the Convention to any person under </w:t>
      </w:r>
      <w:bookmarkStart w:id="26" w:name="_ftnref98"/>
      <w:r w:rsidR="00292713">
        <w:rPr>
          <w:rFonts w:asciiTheme="majorHAnsi" w:hAnsiTheme="majorHAnsi"/>
          <w:spacing w:val="-2"/>
          <w:sz w:val="20"/>
          <w:szCs w:val="20"/>
        </w:rPr>
        <w:t>their jurisdiction (Article 1.1</w:t>
      </w:r>
      <w:bookmarkEnd w:id="26"/>
      <w:r w:rsidR="00292713">
        <w:rPr>
          <w:rFonts w:asciiTheme="majorHAnsi" w:hAnsiTheme="majorHAnsi"/>
          <w:spacing w:val="-2"/>
          <w:sz w:val="20"/>
          <w:szCs w:val="20"/>
        </w:rPr>
        <w:t>)</w:t>
      </w:r>
      <w:r w:rsidR="00292713">
        <w:rPr>
          <w:rStyle w:val="FootnoteReference"/>
          <w:rFonts w:asciiTheme="majorHAnsi" w:hAnsiTheme="majorHAnsi"/>
          <w:spacing w:val="-2"/>
          <w:sz w:val="20"/>
          <w:szCs w:val="20"/>
        </w:rPr>
        <w:footnoteReference w:id="107"/>
      </w:r>
      <w:r w:rsidR="00292713">
        <w:rPr>
          <w:rFonts w:asciiTheme="majorHAnsi" w:hAnsiTheme="majorHAnsi"/>
          <w:spacing w:val="-2"/>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117.        It is apparent from inter-American jurisprudence that, when it comes to denouncing the disappearance of a person, there is an inseparable link between the State response and the protection of the life and integrity of the person who is reported missing. The immediate and exhaustive nature of the state response applies when it comes to a possible disappearance by private individuals or state agents. The Commission reiterates that whenever there are reasonable grounds to suspect that a person has been subjected to disappearance, it is essential that prompt and immediate action be taken by judicial authorities, ordering timely and necessary measures to determine the whereabouts of the victims or the place where they may be deprived of liberty</w:t>
      </w:r>
      <w:r w:rsidR="00292713">
        <w:rPr>
          <w:rStyle w:val="FootnoteReference"/>
          <w:rFonts w:asciiTheme="majorHAnsi" w:hAnsiTheme="majorHAnsi"/>
          <w:sz w:val="20"/>
          <w:szCs w:val="20"/>
        </w:rPr>
        <w:footnoteReference w:id="108"/>
      </w:r>
      <w:r w:rsidRPr="00E84B2D">
        <w:rPr>
          <w:rFonts w:asciiTheme="majorHAnsi" w:hAnsiTheme="majorHAnsi"/>
          <w:sz w:val="20"/>
          <w:szCs w:val="20"/>
        </w:rPr>
        <w:t>.</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118.        In the words of the Court, when the authorities are aware of an act of possible enforced disappearance, they must "promote all relevant administrative and judicial mechanisms and initiate the search for the person."</w:t>
      </w:r>
      <w:r w:rsidR="00292713">
        <w:rPr>
          <w:rStyle w:val="FootnoteReference"/>
          <w:rFonts w:asciiTheme="majorHAnsi" w:hAnsiTheme="majorHAnsi"/>
          <w:sz w:val="20"/>
          <w:szCs w:val="20"/>
        </w:rPr>
        <w:footnoteReference w:id="109"/>
      </w:r>
      <w:r w:rsidRPr="00E84B2D">
        <w:rPr>
          <w:rFonts w:asciiTheme="majorHAnsi" w:hAnsiTheme="majorHAnsi"/>
          <w:sz w:val="20"/>
          <w:szCs w:val="20"/>
          <w:vertAlign w:val="superscript"/>
        </w:rPr>
        <w:t>  </w:t>
      </w:r>
      <w:r w:rsidRPr="00E84B2D">
        <w:rPr>
          <w:rFonts w:asciiTheme="majorHAnsi" w:hAnsiTheme="majorHAnsi"/>
          <w:sz w:val="20"/>
          <w:szCs w:val="20"/>
        </w:rPr>
        <w:t xml:space="preserve">The authorities that know of a possible disappearance must make the necessary </w:t>
      </w:r>
      <w:r w:rsidRPr="00E84B2D">
        <w:rPr>
          <w:rFonts w:asciiTheme="majorHAnsi" w:hAnsiTheme="majorHAnsi"/>
          <w:sz w:val="20"/>
          <w:szCs w:val="20"/>
        </w:rPr>
        <w:lastRenderedPageBreak/>
        <w:t>inquiries to assure the rights of the possible victim until finding the person’s whereabouts, to establish the truth or to discard the hypothesis of a disappearance. As the Inter-American Court has pointed out, "the authorities must presume that the disappeared person is deprived of liberty and remains alive until the uncertainty about the fate he has run out of."</w:t>
      </w:r>
      <w:r w:rsidR="00292713">
        <w:rPr>
          <w:rStyle w:val="FootnoteReference"/>
          <w:rFonts w:asciiTheme="majorHAnsi" w:hAnsiTheme="majorHAnsi"/>
          <w:sz w:val="20"/>
          <w:szCs w:val="20"/>
        </w:rPr>
        <w:footnoteReference w:id="110"/>
      </w:r>
      <w:r w:rsidR="00292713"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119.        </w:t>
      </w:r>
      <w:r w:rsidRPr="00E84B2D">
        <w:rPr>
          <w:rFonts w:asciiTheme="majorHAnsi" w:hAnsiTheme="majorHAnsi"/>
          <w:spacing w:val="-2"/>
          <w:sz w:val="20"/>
          <w:szCs w:val="20"/>
        </w:rPr>
        <w:t>Pursuant to Article 1 (1) of the American Convention, the obligation to guarantee the rights recognized in Articles 5.1 and 5.2 of the Treaty implies the duty of the State to investigate possible acts of torture or other cruel, inhuman or degrading treatment</w:t>
      </w:r>
      <w:r w:rsidR="00292713">
        <w:rPr>
          <w:rStyle w:val="FootnoteReference"/>
          <w:rFonts w:asciiTheme="majorHAnsi" w:hAnsiTheme="majorHAnsi"/>
          <w:spacing w:val="-2"/>
          <w:sz w:val="20"/>
          <w:szCs w:val="20"/>
        </w:rPr>
        <w:footnoteReference w:id="111"/>
      </w:r>
      <w:r w:rsidRPr="00E84B2D">
        <w:rPr>
          <w:rFonts w:asciiTheme="majorHAnsi" w:hAnsiTheme="majorHAnsi"/>
          <w:spacing w:val="-2"/>
          <w:sz w:val="20"/>
          <w:szCs w:val="20"/>
        </w:rPr>
        <w:t>.</w:t>
      </w:r>
      <w:r w:rsidRPr="00E84B2D">
        <w:rPr>
          <w:rFonts w:asciiTheme="majorHAnsi" w:hAnsiTheme="majorHAnsi"/>
          <w:spacing w:val="-2"/>
          <w:sz w:val="20"/>
          <w:szCs w:val="20"/>
          <w:vertAlign w:val="superscript"/>
        </w:rPr>
        <w:t> </w:t>
      </w:r>
      <w:r w:rsidRPr="00E84B2D">
        <w:rPr>
          <w:rFonts w:asciiTheme="majorHAnsi" w:hAnsiTheme="majorHAnsi"/>
          <w:spacing w:val="-2"/>
          <w:sz w:val="20"/>
          <w:szCs w:val="20"/>
        </w:rPr>
        <w:t> This obligation to investigate is strengthened by the provisions of Articles 1, 6 and 8 of the Inter-American Convention against Torture, which require the State to "take effective measures to prevent and punish torture within its jurisdiction", as well as to "prevent and punish other cruel, inhuman or degrading treatment or punishment"</w:t>
      </w:r>
      <w:r w:rsidR="00292713">
        <w:rPr>
          <w:rStyle w:val="FootnoteReference"/>
          <w:rFonts w:asciiTheme="majorHAnsi" w:hAnsiTheme="majorHAnsi"/>
          <w:spacing w:val="-2"/>
          <w:sz w:val="20"/>
          <w:szCs w:val="20"/>
        </w:rPr>
        <w:footnoteReference w:id="112"/>
      </w:r>
      <w:r w:rsidRPr="00E84B2D">
        <w:rPr>
          <w:rFonts w:asciiTheme="majorHAnsi" w:hAnsiTheme="majorHAnsi"/>
          <w:spacing w:val="-2"/>
          <w:sz w:val="20"/>
          <w:szCs w:val="20"/>
        </w:rPr>
        <w:t>.</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120.        It is clear from inter-American jurisprudence that, under Articles 8 and 25 of the Convention, when the authorities are aware of a possible case of enforced disappearance or torture, they have a heightened duty to promote and develop an investigation including, as relevant to the present case: (i) initiating the investigation ex officio whenever there is a complaint or a founded reason to suspect that such crimes occurred; (ii) ordering and gathering evidence in accordance with the duty of due diligence; (iii) ensuring the independence and impartiality of the investigation; and (iv) removing any obstacles to the proper development of the investigation, among others.</w:t>
      </w:r>
    </w:p>
    <w:p w:rsidR="00E84B2D" w:rsidRPr="00E84B2D" w:rsidRDefault="00E84B2D" w:rsidP="00E84B2D">
      <w:pPr>
        <w:ind w:left="144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121.        With regard to the duty to initiate the investigation ex officio, the organs of the system have consistently pointed out that "whenever there are reasonable grounds to suspect that a person has been subjected to enforced disappearance, a criminal investigation must be initiated"</w:t>
      </w:r>
      <w:r w:rsidR="00AD59A4">
        <w:rPr>
          <w:rStyle w:val="FootnoteReference"/>
          <w:rFonts w:asciiTheme="majorHAnsi" w:hAnsiTheme="majorHAnsi"/>
          <w:sz w:val="20"/>
          <w:szCs w:val="20"/>
        </w:rPr>
        <w:footnoteReference w:id="113"/>
      </w:r>
      <w:r w:rsidRPr="00E84B2D">
        <w:rPr>
          <w:rFonts w:asciiTheme="majorHAnsi" w:hAnsiTheme="majorHAnsi"/>
          <w:sz w:val="20"/>
          <w:szCs w:val="20"/>
        </w:rPr>
        <w:t>.</w:t>
      </w:r>
      <w:r w:rsidR="00AD59A4">
        <w:rPr>
          <w:rFonts w:asciiTheme="majorHAnsi" w:hAnsiTheme="majorHAnsi"/>
          <w:sz w:val="20"/>
          <w:szCs w:val="20"/>
        </w:rPr>
        <w:t xml:space="preserve"> </w:t>
      </w:r>
      <w:r w:rsidRPr="00E84B2D">
        <w:rPr>
          <w:rFonts w:asciiTheme="majorHAnsi" w:hAnsiTheme="majorHAnsi"/>
          <w:sz w:val="20"/>
          <w:szCs w:val="20"/>
        </w:rPr>
        <w:t>The same action is required when the authorities are aware of alleged acts of torture</w:t>
      </w:r>
      <w:r w:rsidR="00AD59A4">
        <w:rPr>
          <w:rStyle w:val="FootnoteReference"/>
          <w:rFonts w:asciiTheme="majorHAnsi" w:hAnsiTheme="majorHAnsi"/>
          <w:sz w:val="20"/>
          <w:szCs w:val="20"/>
        </w:rPr>
        <w:footnoteReference w:id="114"/>
      </w:r>
      <w:r w:rsidRPr="00E84B2D">
        <w:rPr>
          <w:rFonts w:asciiTheme="majorHAnsi" w:hAnsiTheme="majorHAnsi"/>
          <w:sz w:val="20"/>
          <w:szCs w:val="20"/>
        </w:rPr>
        <w:t>.</w:t>
      </w:r>
      <w:r w:rsidR="00AD59A4"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122.        </w:t>
      </w:r>
      <w:r w:rsidRPr="00E84B2D">
        <w:rPr>
          <w:rFonts w:asciiTheme="majorHAnsi" w:hAnsiTheme="majorHAnsi"/>
          <w:spacing w:val="-2"/>
          <w:sz w:val="20"/>
          <w:szCs w:val="20"/>
        </w:rPr>
        <w:t>Regarding the duty to order and gather the relevant evidence with due diligence, the Commission and the Court have specified that in cases involving human rights violations, the State may be held accountable for not doing so and that the investigation must explore all the possible avenues, leading to the identification of the perpetrators of said violation</w:t>
      </w:r>
      <w:r w:rsidR="00AD59A4">
        <w:rPr>
          <w:rStyle w:val="FootnoteReference"/>
          <w:rFonts w:asciiTheme="majorHAnsi" w:hAnsiTheme="majorHAnsi"/>
          <w:spacing w:val="-2"/>
          <w:sz w:val="20"/>
          <w:szCs w:val="20"/>
        </w:rPr>
        <w:footnoteReference w:id="115"/>
      </w:r>
      <w:r w:rsidRPr="00E84B2D">
        <w:rPr>
          <w:rFonts w:asciiTheme="majorHAnsi" w:hAnsiTheme="majorHAnsi"/>
          <w:spacing w:val="-2"/>
          <w:sz w:val="20"/>
          <w:szCs w:val="20"/>
        </w:rPr>
        <w:t>.</w:t>
      </w:r>
      <w:r w:rsidRPr="00E84B2D">
        <w:rPr>
          <w:rFonts w:asciiTheme="majorHAnsi" w:hAnsiTheme="majorHAnsi"/>
          <w:sz w:val="20"/>
          <w:szCs w:val="20"/>
          <w:vertAlign w:val="superscript"/>
        </w:rPr>
        <w:t> </w:t>
      </w:r>
      <w:r w:rsidR="00AD59A4" w:rsidRPr="00E84B2D">
        <w:rPr>
          <w:rFonts w:asciiTheme="majorHAnsi" w:hAnsiTheme="majorHAnsi"/>
          <w:spacing w:val="-2"/>
          <w:sz w:val="20"/>
          <w:szCs w:val="20"/>
        </w:rPr>
        <w:t xml:space="preserve"> </w:t>
      </w:r>
      <w:r w:rsidRPr="00E84B2D">
        <w:rPr>
          <w:rFonts w:asciiTheme="majorHAnsi" w:hAnsiTheme="majorHAnsi"/>
          <w:spacing w:val="-2"/>
          <w:sz w:val="20"/>
          <w:szCs w:val="20"/>
        </w:rPr>
        <w:t xml:space="preserve">They have also expressed repeatedly that in certain cases, </w:t>
      </w:r>
      <w:r w:rsidRPr="00E84B2D">
        <w:rPr>
          <w:rFonts w:asciiTheme="majorHAnsi" w:hAnsiTheme="majorHAnsi"/>
          <w:spacing w:val="-2"/>
          <w:sz w:val="20"/>
          <w:szCs w:val="20"/>
        </w:rPr>
        <w:lastRenderedPageBreak/>
        <w:t>"the obligation to investigate entails the duty to direct the efforts of the state apparatus to unravel the structures that allowed for such violations, their causes, their beneficiaries and their consequences."</w:t>
      </w:r>
      <w:r w:rsidR="00AD59A4">
        <w:rPr>
          <w:rStyle w:val="FootnoteReference"/>
          <w:rFonts w:asciiTheme="majorHAnsi" w:hAnsiTheme="majorHAnsi"/>
          <w:spacing w:val="-2"/>
          <w:sz w:val="20"/>
          <w:szCs w:val="20"/>
        </w:rPr>
        <w:footnoteReference w:id="116"/>
      </w:r>
      <w:r w:rsidR="00AD59A4"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123.    The State should ensure that the investigating authorities</w:t>
      </w:r>
      <w:r w:rsidR="00AD59A4">
        <w:rPr>
          <w:rStyle w:val="FootnoteReference"/>
          <w:rFonts w:asciiTheme="majorHAnsi" w:hAnsiTheme="majorHAnsi"/>
          <w:sz w:val="20"/>
          <w:szCs w:val="20"/>
        </w:rPr>
        <w:footnoteReference w:id="117"/>
      </w:r>
      <w:r w:rsidR="00AD59A4">
        <w:rPr>
          <w:rFonts w:asciiTheme="majorHAnsi" w:hAnsiTheme="majorHAnsi"/>
          <w:sz w:val="20"/>
          <w:szCs w:val="20"/>
        </w:rPr>
        <w:t xml:space="preserve"> </w:t>
      </w:r>
      <w:r w:rsidRPr="00E84B2D">
        <w:rPr>
          <w:rFonts w:asciiTheme="majorHAnsi" w:hAnsiTheme="majorHAnsi"/>
          <w:sz w:val="20"/>
          <w:szCs w:val="20"/>
        </w:rPr>
        <w:t>and judicial authorities are independent and impartial. As for impartiality, they are expected to approach "the facts of the case by subjectively lacking any prejudice and, likewise, by providing sufficient guarantees of an objective nature that will remove any doubt that the individual or the community may have on their impartiality. Personal or subjective impartiality must be presumed unless there is evidence to the contrary. The so-called objective evidence, for its part, involves establishing whether the judicial authorities whose impartiality has been challenged provided convincing evidence that would allow the elimination of legitimate fears or justified suspicions of bias."</w:t>
      </w:r>
      <w:r w:rsidR="00AD59A4">
        <w:rPr>
          <w:rStyle w:val="FootnoteReference"/>
          <w:rFonts w:asciiTheme="majorHAnsi" w:hAnsiTheme="majorHAnsi"/>
          <w:sz w:val="20"/>
          <w:szCs w:val="20"/>
        </w:rPr>
        <w:footnoteReference w:id="118"/>
      </w:r>
      <w:r w:rsidR="00AD59A4"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124.    With regard to the duty to remove all obstacles in the investigation, the Court has pointed out that States must remove all factual and legal obstacles contributing to impunity; as well as to use all the measures at its disposal to conduct the proceedings</w:t>
      </w:r>
      <w:r w:rsidR="00AD59A4">
        <w:rPr>
          <w:rStyle w:val="FootnoteReference"/>
          <w:rFonts w:asciiTheme="majorHAnsi" w:hAnsiTheme="majorHAnsi"/>
          <w:sz w:val="20"/>
          <w:szCs w:val="20"/>
        </w:rPr>
        <w:footnoteReference w:id="119"/>
      </w:r>
      <w:r w:rsidRPr="00E84B2D">
        <w:rPr>
          <w:rFonts w:asciiTheme="majorHAnsi" w:hAnsiTheme="majorHAnsi"/>
          <w:sz w:val="20"/>
          <w:szCs w:val="20"/>
        </w:rPr>
        <w:t>.</w:t>
      </w:r>
      <w:r w:rsidRPr="00E84B2D">
        <w:rPr>
          <w:rFonts w:asciiTheme="majorHAnsi" w:hAnsiTheme="majorHAnsi"/>
          <w:sz w:val="20"/>
          <w:szCs w:val="20"/>
          <w:vertAlign w:val="superscript"/>
        </w:rPr>
        <w:t> </w:t>
      </w:r>
      <w:r w:rsidR="00AD59A4"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125.    Finally, the Commission and the Court have reiterated that the failure to investigate alleged human rights violations when there is evidence of participation by State agents "prevents the State from providing a satisfactory and convincing explanation of the alleged [facts] and substantiate the allegations of liability by means of appropriate evidence"</w:t>
      </w:r>
      <w:r w:rsidR="002C786E">
        <w:rPr>
          <w:rStyle w:val="FootnoteReference"/>
          <w:rFonts w:asciiTheme="majorHAnsi" w:hAnsiTheme="majorHAnsi"/>
          <w:sz w:val="20"/>
          <w:szCs w:val="20"/>
        </w:rPr>
        <w:footnoteReference w:id="120"/>
      </w:r>
      <w:r w:rsidRPr="00E84B2D">
        <w:rPr>
          <w:rFonts w:asciiTheme="majorHAnsi" w:hAnsiTheme="majorHAnsi"/>
          <w:sz w:val="20"/>
          <w:szCs w:val="20"/>
        </w:rPr>
        <w:t>. In this way, the Court has taken this lack of clarification as a factor to be taken into account in the determination of the alleged involvement and consequent international responsibility. This topic will be discussed in detail later in this report</w:t>
      </w:r>
      <w:r w:rsidR="002C786E">
        <w:rPr>
          <w:rStyle w:val="FootnoteReference"/>
          <w:rFonts w:asciiTheme="majorHAnsi" w:hAnsiTheme="majorHAnsi"/>
          <w:sz w:val="20"/>
          <w:szCs w:val="20"/>
        </w:rPr>
        <w:footnoteReference w:id="121"/>
      </w:r>
      <w:r w:rsidRPr="00E84B2D">
        <w:rPr>
          <w:rFonts w:asciiTheme="majorHAnsi" w:hAnsiTheme="majorHAnsi"/>
          <w:sz w:val="20"/>
          <w:szCs w:val="20"/>
        </w:rPr>
        <w:t>.</w:t>
      </w:r>
      <w:r w:rsidRPr="00E84B2D">
        <w:rPr>
          <w:rFonts w:asciiTheme="majorHAnsi" w:hAnsiTheme="majorHAnsi"/>
          <w:sz w:val="20"/>
          <w:szCs w:val="20"/>
          <w:vertAlign w:val="superscript"/>
        </w:rPr>
        <w:t> </w:t>
      </w:r>
      <w:r w:rsidR="002C786E" w:rsidRPr="00E84B2D">
        <w:rPr>
          <w:rFonts w:asciiTheme="majorHAnsi" w:hAnsiTheme="majorHAnsi"/>
          <w:sz w:val="20"/>
          <w:szCs w:val="20"/>
        </w:rPr>
        <w:t xml:space="preserve"> </w:t>
      </w:r>
    </w:p>
    <w:p w:rsidR="00E84B2D" w:rsidRPr="00E84B2D" w:rsidRDefault="00E84B2D" w:rsidP="00E84B2D">
      <w:pPr>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B6227D">
      <w:pPr>
        <w:pStyle w:val="Heading3"/>
        <w:spacing w:before="0" w:beforeAutospacing="0" w:after="0" w:afterAutospacing="0"/>
        <w:ind w:left="806"/>
        <w:rPr>
          <w:rFonts w:asciiTheme="majorHAnsi" w:hAnsiTheme="majorHAnsi"/>
          <w:sz w:val="20"/>
          <w:szCs w:val="20"/>
        </w:rPr>
      </w:pPr>
      <w:bookmarkStart w:id="27" w:name="_Toc494373949"/>
      <w:r w:rsidRPr="00B6227D">
        <w:rPr>
          <w:rFonts w:asciiTheme="majorHAnsi" w:hAnsiTheme="majorHAnsi"/>
          <w:sz w:val="20"/>
          <w:szCs w:val="20"/>
        </w:rPr>
        <w:t>2.     Analysis of the Case</w:t>
      </w:r>
      <w:bookmarkEnd w:id="27"/>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126.        The Commission will now analyze the measures taken by the State in relation to the alleged forced disappearance and torture of Juan Arrom and Anuncio Martí, namely: (i) the first steps taken by state agents when they learned of the alleged disappearance; (ii) the initiation of the investigation; (iii) due diligence in the investigation; and (v) the propaganda spread by the State of Paraguay in which the alleged victims are described as "enemies of the people".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1440" w:hanging="720"/>
        <w:jc w:val="both"/>
        <w:rPr>
          <w:rFonts w:asciiTheme="majorHAnsi" w:hAnsiTheme="majorHAnsi"/>
          <w:sz w:val="20"/>
          <w:szCs w:val="20"/>
        </w:rPr>
      </w:pPr>
      <w:r w:rsidRPr="00E84B2D">
        <w:rPr>
          <w:rFonts w:asciiTheme="majorHAnsi" w:hAnsiTheme="majorHAnsi"/>
          <w:b/>
          <w:bCs/>
          <w:sz w:val="20"/>
          <w:szCs w:val="20"/>
        </w:rPr>
        <w:t>2.1           The initial steps taken by the authorities in connection with the disappearance</w:t>
      </w:r>
    </w:p>
    <w:p w:rsidR="00E84B2D" w:rsidRPr="00E84B2D" w:rsidRDefault="00E84B2D" w:rsidP="00E84B2D">
      <w:pPr>
        <w:jc w:val="both"/>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127.        As established when addressing the facts of the case, the State became aware of the disappearance of Messrs. Arrom and Martí, through three means: the habeas corpus submitted by Juan Arrom's relatives on January 19, 2002; the news spread by the press as from January 20, 2002 and the habeas corpus filed by relatives of Anuncio Martí on January 23, 2002.</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lastRenderedPageBreak/>
        <w:t>128.        The Commission considers that the judges who heard habeas corpus actions did not act with the due diligence required in a case involving a possible disappearance, since they only ordered the police authorities to inform of the existence of arrest warrants in force and on the possible places of detention in which Arrom and Martí could be. Faced with a negative response on the deprivation of liberty, and positive one regarding the arrest warrants, the judges rejected the habeas corpus remedies almost immediately and prematurely - four days later in the case of Juan Arrom and a day later in the case of Anuncio Martí.</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129.        The judges who were aware of the habeas corpus made no additional effort to establish the whereabouts of the alleged victims. For example, no evidence was gathered  in order to obtain clues on the whereabouts, no inspection was carried out in any places of detention or information was requested from other State entities. Due to these serious omissions, the Paraguayan State endangered Mr. Arrom and Mr. Martí’s personal integrity, in view of the fact that, as indicated above, in the face of the knowledge of the disappearance of a person, whether by state agents or individuals, immediate search is the means of protection.</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130.        Moreover, in the present case, there were indications of participation by State agents and, therefore, that there might be a forced disappearance. Since one of the distinguishing features of enforced disappearance is the refusal to acknowledge the arrest and the activation of various concealment mechanisms, frequently in these cases state authorities deny that the person is in their custody</w:t>
      </w:r>
      <w:r w:rsidR="002C786E">
        <w:rPr>
          <w:rStyle w:val="FootnoteReference"/>
          <w:rFonts w:asciiTheme="majorHAnsi" w:hAnsiTheme="majorHAnsi"/>
          <w:sz w:val="20"/>
          <w:szCs w:val="20"/>
        </w:rPr>
        <w:footnoteReference w:id="122"/>
      </w:r>
      <w:r w:rsidRPr="00E84B2D">
        <w:rPr>
          <w:rFonts w:asciiTheme="majorHAnsi" w:hAnsiTheme="majorHAnsi"/>
          <w:sz w:val="20"/>
          <w:szCs w:val="20"/>
        </w:rPr>
        <w:t>. Therefore, it is completely ineffective, in the face of a possible enforced disappearance, to exhaust the possibilities of searching through a habeas corpus, by requesting information on whether the person is formally deprived of liberty. In such circumstances, in order for a habeas corpus to be a timely and effective remedy to a potential enforced disappearance, the authorities must start from the premise that the person in question might be held in a clandestine manner and outside the institutional framework.</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131.        Along the same lines, the judicial authorities’ grounds for rejection of the habeas corpus expose the ineffectiveness of this remedy. First, in relation to the Judge who argued that there was no certainty that Juan Arrom was deprived of his liberty and therefore there was no right requiring protection, the Commission considers that certainty of illegal detention should not be demanded from those filing a habeas corpus, because it is up to the Judge to investigate said hypothesis and rule out disappearance. Second, with regard to the Judge who stated that the rudiments to consider Anuncio Martí’s detention as illegal were not met because the Prosecutor's Office had issued an arrest warrant against him, the Commission considers that the existence of an arrest warrant when the individual in question has not been formally detained on the basis of that order, can not be invoked as a justification for ceasing to inquire about a possible clandestine, illegal, detention typical of enforced disappearance. The Judge's reasoning seems to suggest that the existence of a warrant could justify any form of deprivation of liberty.</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132.        In view of the foregoing, the Commission notes that the judicial authorities did not act with due diligence in the first hours and days on which they became aware of the disappearance of Messrs. Arrom and Martí. In addition, the IACHR considers that the habeas corpus remedy was not effective, for the reasons stated.</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b/>
          <w:bCs/>
          <w:sz w:val="20"/>
          <w:szCs w:val="20"/>
        </w:rPr>
        <w:t>2.2           The duty to investigate ex officio</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133.        The Commission notes that the judicial investigation was not initiated ex officio, but rather on the basis of the compliant filed by relatives of Anuncio Martí on January 24, 2002; and those filed by Messrs. Arrom and Martí themselves, after their liberation.  Although it is true that the families and Messrs. Arrom and Martí exercised their right to resort to the authorities to denounce the disappearance as well as the alleged torture, this does not exempt the State from initiating and promoting the investigation.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u w:val="single"/>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lastRenderedPageBreak/>
        <w:t>134.        With respect to the disappearance, this obligation arose as from the moment that the authorities learned of it, as indicated above, through the submission of the habeas corpus remedies, on January 19 and 23, 2002, and the news in the press since January 20, 2002. It should be mentioned that the news in the press expose that high-ranking officials were clearly aware of the disappearance of Juan Arrom and Anuncio Martí</w:t>
      </w:r>
      <w:r w:rsidR="002C786E">
        <w:rPr>
          <w:rStyle w:val="FootnoteReference"/>
          <w:rFonts w:asciiTheme="majorHAnsi" w:hAnsiTheme="majorHAnsi"/>
          <w:sz w:val="20"/>
          <w:szCs w:val="20"/>
        </w:rPr>
        <w:footnoteReference w:id="123"/>
      </w:r>
      <w:r w:rsidRPr="00E84B2D">
        <w:rPr>
          <w:rFonts w:asciiTheme="majorHAnsi" w:hAnsiTheme="majorHAnsi"/>
          <w:sz w:val="20"/>
          <w:szCs w:val="20"/>
        </w:rPr>
        <w:t>. Regarding possible torture, the obligation to investigate ex officio arose from the moment in which indicia was apparent and in any case as from the video coverage of the liberation of both, which showed visible injuries. In view of the State's omission to initiate the investigation of torture ex officio, Messrs. Arrom and Martí filed their complaints. The Commission emphasizes that, in the case of a serious violation of human rights, the alleged victims’ complaint did not exempt the State from promoting an ex officio investigation.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135.         Accordingly, the IACHR considers that the State of Paraguay violated its duty to initiate the investigation ex officio for the possible enforced disappearance and torture of Messrs. Juan Arrom and Anuncio Martí. Also, as the Commission will consider later, the omission to initiate an ex officio investigation continued and was decisive in the results.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rPr>
          <w:rFonts w:asciiTheme="majorHAnsi" w:hAnsiTheme="majorHAnsi"/>
          <w:sz w:val="20"/>
          <w:szCs w:val="20"/>
        </w:rPr>
      </w:pPr>
      <w:r w:rsidRPr="00E84B2D">
        <w:rPr>
          <w:rFonts w:asciiTheme="majorHAnsi" w:hAnsiTheme="majorHAnsi"/>
          <w:b/>
          <w:bCs/>
          <w:sz w:val="20"/>
          <w:szCs w:val="20"/>
        </w:rPr>
        <w:t>2.3           Due diligence in the course of the investigation</w:t>
      </w:r>
    </w:p>
    <w:p w:rsidR="00E84B2D" w:rsidRPr="00E84B2D" w:rsidRDefault="00E84B2D" w:rsidP="00E84B2D">
      <w:pPr>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136.        With regard to due diligence, the Commission will rule on: (i) minimum standards of investigation and burden of proof; (ii) the actions of the authorities </w:t>
      </w:r>
      <w:r w:rsidRPr="00E84B2D">
        <w:rPr>
          <w:rFonts w:asciiTheme="majorHAnsi" w:hAnsiTheme="majorHAnsi"/>
          <w:i/>
          <w:iCs/>
          <w:sz w:val="20"/>
          <w:szCs w:val="20"/>
        </w:rPr>
        <w:t>vis-a-vis</w:t>
      </w:r>
      <w:r w:rsidRPr="00E84B2D">
        <w:rPr>
          <w:rFonts w:asciiTheme="majorHAnsi" w:hAnsiTheme="majorHAnsi"/>
          <w:sz w:val="20"/>
          <w:szCs w:val="20"/>
        </w:rPr>
        <w:t> the possible involvement of state agents; and (iii) the independence and impartiality of the authorities in charge of the investigation.</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b/>
          <w:bCs/>
          <w:sz w:val="20"/>
          <w:szCs w:val="20"/>
        </w:rPr>
        <w:t>a.</w:t>
      </w:r>
      <w:r w:rsidRPr="00E84B2D">
        <w:rPr>
          <w:rFonts w:asciiTheme="majorHAnsi" w:hAnsiTheme="majorHAnsi"/>
          <w:sz w:val="20"/>
          <w:szCs w:val="20"/>
        </w:rPr>
        <w:t>               </w:t>
      </w:r>
      <w:r w:rsidRPr="00E84B2D">
        <w:rPr>
          <w:rFonts w:asciiTheme="majorHAnsi" w:hAnsiTheme="majorHAnsi"/>
          <w:b/>
          <w:bCs/>
          <w:sz w:val="20"/>
          <w:szCs w:val="20"/>
        </w:rPr>
        <w:t>Minimum standards of investigation and burden of proof</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137.        The State had an obligation to investigate the facts with the utmost diligence in response to complaints on enforced disappearance and torture. The Public Prosecutor's Office was responsible for investigating the facts ex officio and exhaustively. However, on a recurring basis, the investigating body grounded its determinations - first of a request for dismissal and then of ratification of that request – in that the testimony of Juan Arrom and Anuncio Martí were not sufficient, or not corroborated. At the same time, the testimony of the state agents involved was taken, in most cases and without other investigative measures, as sufficient evidence to discredit the sayings of Messrs. Arrom and Martí.</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u w:val="single"/>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138.        In such cases, there are often contradictory versions of the facts, which cannot constitute an obstacle to the clarification of serious violations of human rights. It is up to the investigating body to take all necessary measures to seek the truth in the face of these contradictions and not to use them to justify halting the investigation. In neither of the two resolutions issued by the Public Prosecutor's Office it is indicated that all necessary measures had been taken to overcome the contradiction in the versions.  This was essential for the Public Ministry to fulfill its obligation to investigate diligently. Thus, for the Commission, it is clear that the investigation was superficially carried out following some formalities without the intention to clarify the facts and impose the responsibilities, which is especially serious considering the existence of multiple indications of agents' participation state, an aspect that will be dealt with in detail below.</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139.        Similarly, the Public Prosecutor's Office did not comply with the minimum standards that a diligent investigation of allegations of torture must meet. The Istanbul Protocol</w:t>
      </w:r>
      <w:r w:rsidR="002C786E">
        <w:rPr>
          <w:rStyle w:val="FootnoteReference"/>
          <w:rFonts w:asciiTheme="majorHAnsi" w:hAnsiTheme="majorHAnsi"/>
          <w:sz w:val="20"/>
          <w:szCs w:val="20"/>
        </w:rPr>
        <w:footnoteReference w:id="124"/>
      </w:r>
      <w:r w:rsidRPr="00E84B2D">
        <w:rPr>
          <w:rFonts w:asciiTheme="majorHAnsi" w:hAnsiTheme="majorHAnsi"/>
          <w:sz w:val="20"/>
          <w:szCs w:val="20"/>
        </w:rPr>
        <w:t> constitutes a guide that incorporates these minimum standards, which were ignored by the Paraguayan State </w:t>
      </w:r>
      <w:r w:rsidRPr="00E84B2D">
        <w:rPr>
          <w:rFonts w:asciiTheme="majorHAnsi" w:hAnsiTheme="majorHAnsi"/>
          <w:i/>
          <w:iCs/>
          <w:sz w:val="20"/>
          <w:szCs w:val="20"/>
        </w:rPr>
        <w:t>vis-a-vis</w:t>
      </w:r>
      <w:r w:rsidRPr="00E84B2D">
        <w:rPr>
          <w:rFonts w:asciiTheme="majorHAnsi" w:hAnsiTheme="majorHAnsi"/>
          <w:sz w:val="20"/>
          <w:szCs w:val="20"/>
        </w:rPr>
        <w:t xml:space="preserve"> the allegations of torture suffered by Juan Arrom and Anuncio Martí. For example, there is no indication of measures taken by the State to document and describe the physical and mental injuries suffered by them, despite showing severe wounds. In fact, post-release medical examinations were carried out at the request of the victims </w:t>
      </w:r>
      <w:r w:rsidRPr="00E84B2D">
        <w:rPr>
          <w:rFonts w:asciiTheme="majorHAnsi" w:hAnsiTheme="majorHAnsi"/>
          <w:sz w:val="20"/>
          <w:szCs w:val="20"/>
        </w:rPr>
        <w:lastRenderedPageBreak/>
        <w:t>themselves and not as a measure adopted by the State in order to clarify what had happened. Nor does it appear that the State had given any follow-up to these determinations in the framework of the investigation.</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140.        The actions of the Paraguayan State did not take into account the difficulty of the victims to provide evidence under the circumstances they described. In addition to manifest breach of minimum standards of due diligence, it was unreasonable for the Public Prosecutor's Office to require the victims to prove their allegations beyond what emerged from their testimony, which was concrete, consistent and detailed. On the other hand, it was the complainants who provided the medical examinations that account for the consequences of the injuries, but that cannot by themselves point to the perpetrators. The same is true of enforced disappearance. If a person is being subjected to this serious violation that has as central element the elimination of all evidence, it is clear that the victims or their relatives will not be in a position to produce direct evidence of its occurrence. None of these facts, pertaining to the nature of the type of violation denounced in the present case, were taken into account by the Public Ministry.</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141.        Notwithstanding the foregoing, the Commission observes that on several occasions the victims and their lawyers did request the production of evidence that the Public Ministry denied by considering such evidence unnecessary. For example, the Commission notes that the complainants requested information on some of the accused since such evidence could be relevant to establish the background of several state agents in previous arrests similar to those suffered by Juan Arrom and Anuncio Martí and to clarify if there was an organized action by State agents to carry out this type of operations.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142.        Thus, the Commission finds that the investigating body set the burden of proof on Messrs. Arrom and Martí, thereby failing to comply with their due diligence obligations in the investigation and imposing a procedural obligation on the victims that did not fall to them and which did not take into account the circumstances of the serious human rights violations that they claimed to have suffered.</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80234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E84B2D">
        <w:rPr>
          <w:rFonts w:asciiTheme="majorHAnsi" w:eastAsia="Times New Roman" w:hAnsiTheme="majorHAnsi"/>
          <w:b/>
          <w:bCs/>
          <w:sz w:val="20"/>
          <w:szCs w:val="20"/>
        </w:rPr>
        <w:t>Steps taken by the authorities regarding the possible involvement of State agents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143.        In the present case, the Commission finds that two issues arise from the facts that deserve special attention by the investigating entity and were not properly addressed, namely: (i) evidence of State involvement in the disappearance and alleged torture of Juan Arrom and Anuncio Martí; and (ii) the victim’s status as leaders of a political party as a possible motive for them to be singled out as targets of the alleged crimes.</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144.        With regard to the first, the Commission notes that, from the outset of the investigation, multiple elements pointed to the hypothesis that State agents participated in the disappearance and alleged torture of Juan Arrom and Anuncio Martí.</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145.        In the first place, Messrs. Arrom and Martí described in detail their version of events involving state agents from different institutions and ranks ranging from Ministers to members of the Police, prosecutors, among others. Juan Arrom said that police officer Antonio Gamarra told him to sign a document or he would die and that throughout the deprivation of liberty they told him that he would be delivered to the Prosecutor's Office once the injuries were healed. He also recognized police officer José David Schémbori as one of his torturers. He added that at some point he had contact with Minister Silvio Ferreira who in turn told him that he would meet with Minister Julio Fanego who would afford him guarantees. He also said that he saw Javier Cazal, from the Judicial Investigation Center. Meanwhile, Anuncio Martí said that the day of the arrest was removed from his vehicle by four armed men who identified themselves as police officers in charge of the investigation of the kidnapping of Mrs. Bordón. He added that one night during his detention, he saw Antonio Gamarra arrive. He also noted that on one occasion he heard that Silvio Ferreira was interested in them. He pointed out that during the events Javier Cazal and someone from the intelligence services were present.</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146.        In the second place, other testimonies in the file also point to State agents that in many cases coincide with those identified by Messrs. Arrom and Martí.</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u w:val="single"/>
        </w:rPr>
        <w:lastRenderedPageBreak/>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147.        Luis Alfonso Resck, a resident near the place of detention, said that on the night of January 17, 2002, there was an incident near his house, involving vans of the Public Ministry and he identified Javier Cazal in the operation. Amada Concepcion Cerquetti de Cáceres, also a resident near the place of detention, said that on the same date there was movement in the area, carelessness and individuals with weapons that the neighbors identified as police. Héctor Lacognata Zaragoza, a friend of Juan Arrom, said that Minister Ferreira's wife, Mrs. Gladis Maubet, told him that his friend was detained by a special group and that he would be brought to justice soon. He added that the lady told him that her husband had the situation under control. Mónica Laneri Ferreira, a journalist, said that when Mrs. Bordón was released, a colleague told her that they had captured the "leftist" but that the recommendation was not to make known the detention of Juan Arrom. He added that he asked the prosecutor Velásquez about the situation of Martí and that the prosecutor replied that his situation was "very negotiable" and that he should be brought before the Prosecutor’s Office. The two sisters of Juan Arrom, Maria Auxiliadora and Cristina Arrom, indicated that on the day of the liberation, they saw a person leave and later they could identify him as José David Schémbori. Federico Anibal Emery, a journalist, said that he was present at the place where they were found and that he saw a person coming out whom, in a photo, he could recognize as José David Schémbori. Esteban Centurión Vega, the person in charge of the house where Juan Arrom and Anuncio Martí were found, said that the owner of the house, accompanied by Antonio Gamarra, asked him to vacate the place and got him another place to sleep</w:t>
      </w:r>
      <w:r w:rsidR="002C786E">
        <w:rPr>
          <w:rStyle w:val="FootnoteReference"/>
          <w:rFonts w:asciiTheme="majorHAnsi" w:hAnsiTheme="majorHAnsi"/>
          <w:sz w:val="20"/>
          <w:szCs w:val="20"/>
        </w:rPr>
        <w:footnoteReference w:id="125"/>
      </w:r>
      <w:r w:rsidRPr="00E84B2D">
        <w:rPr>
          <w:rFonts w:asciiTheme="majorHAnsi" w:hAnsiTheme="majorHAnsi"/>
          <w:sz w:val="20"/>
          <w:szCs w:val="20"/>
        </w:rPr>
        <w:t>. Víctor Colmán and Ana Rosa Samudio de Colmán, also mentioned in their statements to Antonio Gamarra, the prosecutor Cintia Lovera, the prosecutor Hugo Velasquez, José David Schémbori and Javier Cazal. Finally, Teresita de Maria Rojas de Larriera said that as part of a search of her house, prosecutor Velásquez told her that her son in law- Juan Arrom - was going to appear.</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148.        In the third place, the Commission notes the information indicating that around the time of the disappearance, the State was seeking Juan Arrom and Anuncio Martí, who were held responsible for the kidnapping of Mrs. Bordón. Thus, according to the press statement issued by the Minister of the Interior of 20 January 2002, the "masterminds" of the abduction were being monitored. Days later, an arrest warrant was issued against Juan Arrom and Anuncio Martí for the abduction.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u w:val="single"/>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149.        Fourthly, the Commission has a press release dated 2 February 2002, referring to the fact that the then Ombudsman complained that prosecutors Velásquez, Quiñonez and Lovera (two of them the previous statements) knew that Messrs. Arrom and Martí, were detained by clandestine groups, in spite of which, a complaint was not brought forward.</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150.        The Commission has already taken note of what the Public Prosecutor's Office described as contradictions in the evidence and has already analyzed and indicated that the lack of proof corroborating the allegations is mainly a consequence of the omissions that prevented the completion of a diligent investigation. As regards indications of involvement of State agents, the Commission observes in general terms that the information provided by Messrs. Arrom and Martí, as well as a number of other witnesses, is concrete, detailed and consistent with each other.</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151.        From all of the above, the Commission considers that there were reasons enough to justify a rigorous investigation into the possible participation of the State in the victims’ disappearance and alleged torture. The information in the previous paragraphs shows elements of state responsibility at different levels and times throughout the sequence of events involving Juan Arrom and Anuncio Martí. However, the Commission observes that the Public Prosecutor's Office dealt with the multiple hypotheses of responsibility that arose, essentially through the simple confrontation of the testimonies of the victims and of the accused, giving a greater weight to those of the latter, which will be discussed below. Regarding this point, the Commission finds that the State did not promote a serious investigation through all available means, to clarify the truth regarding the alleged facts and to verify the indications of state participation.</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lastRenderedPageBreak/>
        <w:t>152.        Furthermore, it does not follow from the investigation that the State would have provided an alternative hypothesis that would explain consistently what happened while the petitioners alleged that they were missing, even when the authorities stated that they were watching over them.</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630"/>
        <w:jc w:val="both"/>
        <w:rPr>
          <w:rFonts w:asciiTheme="majorHAnsi" w:hAnsiTheme="majorHAnsi"/>
          <w:sz w:val="20"/>
          <w:szCs w:val="20"/>
        </w:rPr>
      </w:pPr>
      <w:r w:rsidRPr="00E84B2D">
        <w:rPr>
          <w:rFonts w:asciiTheme="majorHAnsi" w:hAnsiTheme="majorHAnsi"/>
          <w:sz w:val="20"/>
          <w:szCs w:val="20"/>
        </w:rPr>
        <w:t>153.          With respect to the second issue, the Commission points out that the Public Prosecutor's Office never considered as a possible hypothesis in the case that the alleged violations of human rights were related to Juan Arrom’s and Anuncio Martí’s status as leaders of a political party, although they stated that, while being tortured, they were questioned about their political organization.</w:t>
      </w:r>
    </w:p>
    <w:p w:rsidR="00E84B2D" w:rsidRPr="00E84B2D" w:rsidRDefault="00E84B2D" w:rsidP="00E84B2D">
      <w:pPr>
        <w:ind w:left="720" w:firstLine="63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630"/>
        <w:jc w:val="both"/>
        <w:rPr>
          <w:rFonts w:asciiTheme="majorHAnsi" w:hAnsiTheme="majorHAnsi"/>
          <w:sz w:val="20"/>
          <w:szCs w:val="20"/>
        </w:rPr>
      </w:pPr>
      <w:r w:rsidRPr="00E84B2D">
        <w:rPr>
          <w:rFonts w:asciiTheme="majorHAnsi" w:hAnsiTheme="majorHAnsi"/>
          <w:sz w:val="20"/>
          <w:szCs w:val="20"/>
        </w:rPr>
        <w:t>154.          As the Court recently held in the case of </w:t>
      </w:r>
      <w:r w:rsidRPr="00E84B2D">
        <w:rPr>
          <w:rFonts w:asciiTheme="majorHAnsi" w:hAnsiTheme="majorHAnsi"/>
          <w:i/>
          <w:iCs/>
          <w:sz w:val="20"/>
          <w:szCs w:val="20"/>
        </w:rPr>
        <w:t>Acosta et al. v. Nicaragua</w:t>
      </w:r>
      <w:r w:rsidRPr="00E84B2D">
        <w:rPr>
          <w:rFonts w:asciiTheme="majorHAnsi" w:hAnsiTheme="majorHAnsi"/>
          <w:sz w:val="20"/>
          <w:szCs w:val="20"/>
        </w:rPr>
        <w:t>, "Due diligence must be assessed in relation to the need to determine the veracity of the versions or hypotheses about what happened, particularly if the alleged shortcomings in in relation to all the proceedings carried out by the judicial authorities, had a decisive influence on the clarification of the circumstances of the case, on a legal classification of the facts according to what happened or in the final result of the process.”</w:t>
      </w:r>
      <w:r w:rsidR="002C786E">
        <w:rPr>
          <w:rStyle w:val="FootnoteReference"/>
          <w:rFonts w:asciiTheme="majorHAnsi" w:hAnsiTheme="majorHAnsi"/>
          <w:sz w:val="20"/>
          <w:szCs w:val="20"/>
        </w:rPr>
        <w:footnoteReference w:id="126"/>
      </w:r>
      <w:r w:rsidR="002C786E"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630"/>
        <w:jc w:val="both"/>
        <w:rPr>
          <w:rFonts w:asciiTheme="majorHAnsi" w:hAnsiTheme="majorHAnsi"/>
          <w:sz w:val="20"/>
          <w:szCs w:val="20"/>
        </w:rPr>
      </w:pPr>
      <w:r w:rsidRPr="00E84B2D">
        <w:rPr>
          <w:rFonts w:asciiTheme="majorHAnsi" w:hAnsiTheme="majorHAnsi"/>
          <w:sz w:val="20"/>
          <w:szCs w:val="20"/>
        </w:rPr>
        <w:t>155.          In the present case, the Commission notes that the deficiencies in the investigation carried out by the Public Prosecutor's Office directly affected the possibilities for clarifying the facts and determining responsibilities. Thus, the dismissal of the accused was subsequently requested and ratified, without duly exhausting the multiple hypotheses of state responsibility that arose from the beginning. Nor was a logical line of investigation initiated or exhausted in connection with the links of Messrs. Arrom and Martí with a particular political party. In addition, once the request for dismissal of the state agents involved was upheld, the Public Prosecutor's Office ceased all investigative activity on other possible perpetrators in connection to what happened to Juan Arrom and Anuncio Martí, although it was clear that they had been victims of human rights violations during the days of their disappearance.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80234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r w:rsidRPr="00E84B2D">
        <w:rPr>
          <w:rFonts w:asciiTheme="majorHAnsi" w:eastAsia="Times New Roman" w:hAnsiTheme="majorHAnsi"/>
          <w:b/>
          <w:bCs/>
          <w:sz w:val="20"/>
          <w:szCs w:val="20"/>
        </w:rPr>
        <w:t>Independence and impartiality in the investigation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156.    The Commission emphasizes that one of the procedural guarantees that must be afforded is that of an impartial and independent investigation.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157.    With regard to independence, the Commission notes that the accusations of Juan Arrom and Anuncio Martí involved Ministers, Police and Prosecutors. The file does not contain all the investigation made by the Public Prosecutor's Office, but it is emphasized that in the procedural documents to which the Commission had access, it is not evident that the State has taken measures to ensure that Prosecutors in charge of the case of Juan Arrom and Anuncio Martí were independent of the accused. In particular, it is noteworthy that the victims involved the Attorney General (whom the victims proposed to impeach) and, according to a brief from the lawyer of one of the victims, that same high-ranking official once stated that "the Public Prosecution does not investigate its own actions" (an assertion that was not contested by the State)</w:t>
      </w:r>
      <w:r w:rsidR="002C786E">
        <w:rPr>
          <w:rStyle w:val="FootnoteReference"/>
          <w:rFonts w:asciiTheme="majorHAnsi" w:hAnsiTheme="majorHAnsi"/>
          <w:sz w:val="20"/>
          <w:szCs w:val="20"/>
        </w:rPr>
        <w:footnoteReference w:id="127"/>
      </w:r>
      <w:r w:rsidRPr="00E84B2D">
        <w:rPr>
          <w:rFonts w:asciiTheme="majorHAnsi" w:hAnsiTheme="majorHAnsi"/>
          <w:sz w:val="20"/>
          <w:szCs w:val="20"/>
        </w:rPr>
        <w:t>.</w:t>
      </w:r>
      <w:r w:rsidR="002C786E"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158.    The Commission observes that, in the face of reasonable doubt as to the independence of the Public Prosecutor's Office, the State did not provide information indicating that there were sufficient institutional safeguards for the victims to have independent State officials conducting the investigation. The State did not explain why the prosecutors involved in the case satisfied the requirement of  independence despite being part of the same institution headed by one of the individuals challenged in connection with the disappearance and torture of Juan Arrom and Anuncio Martí, and despite being colleagues of other prosecutors whose performance was also under examination, for example, Prosecutor Velásquez and the other prosecutors whose removal was demanded by the Ombudsman.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lastRenderedPageBreak/>
        <w:t>159.        With respect to impartiality and, specifically, subjective impartiality, the Commission observes that the manner in which the investigation was conducted and, in particular, the grounds of the Public Prosecutor's Office in its request for dismissal of February 8, 2003 and the ratification of 27 May 2003, shows a biased approach. In this regard, it is worth recalling the decisive impact of the Public Ministry's decision to accuse or not to accuse the individuals under investigation. The Commission considers that it is clear from the grounds offered by the Prosecutor’s Office that the conduct of the investigation and the analysis of the evidence did not seek to clarify the truth of what had happened and to identify the individuals involved.</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160.    As indicated above, the evidence provided by the Public Ministry was mainly testimonial. In evaluating the available evidence, the Public Prosecutor's Office confronts the versions of Juan Arrom, Anuncio Martí and of the other individuals who testified of possible participation of state agents, against the statements of the officials under investigation. In that exercise of confrontation, it is clear from the decisions of the Public Prosecutor's Office that it gives credibility to the statements of the defendants without inquiring about their possible participation in the events denounced because it considers that there is insufficient evidence against them, which is particularly serious taking into account that many of the incriminating references against state agents were consistent with each other.</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161.    Thus, for example, in the ratification of the request for a dismissal, the Deputy Prosecutor concluded, in the case of José David Schémbori, mentioned in numerous statements already cited, that "the evidence by which it was intended to hold an indictment against the suspect does not present the sufficiency required to form a conviction directed to that decision", in contrast, he considered that the defendant's alibi hypothesis was fully corroborated. This line of argumentation is repeated on multiple occasions in the decisions of the Prosecutor’s Office.</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162.        Another element that evidences the biased assessment of testimonies is that in the case of Juan Arrom and Anuncio Martí, their credibility is questioned as being an interested party in the process. Specifically, it is pointed out that "the condition of an interested party in the process of the victim impregnates him with a certain subjectivism that weakens his impartiality." However, with regard to the officials under investigation (also an interested party in the process), not only is credibility given to their sayings in order to cast doubt on the accusation but in some cases the Public Ministry even says, based on statements of the accused, that there exists a "state of unquestionable certainty" of their lack of responsibility or that "it is inferred with certainty", among other similar formulas.</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163.        In addition, the Commission notes that the Public Prosecutor's Office relied on a series of unproven speculations in order to exonerate the State agents. For example, when examining evidence against Javier Cazal, the Public Prosecutor's Office argued that if Cristina Arrom's possible coercion of Esteban Centurión was certain, the credibility of the victims 'and family members' pronouncements was noticeably reduced, since it could reasonably be assumed the "fury" that they would profess about the accused. Likewise, with respect to the same person and to reduce credibility to what Arrom and Martí testified, the Public Prosecutor made another speculation indicating that "it is not unreasonable to suppose the existence of a policy of public discredit against the public official."</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 xml:space="preserve">164.        Another aspect that the Commission cannot ignore is that, as indicated above, much of the basis of the request for a dismissal is that the accused provided information on their activities in the days of the disappearance. In this regard, the Commission points out that some "alibis" to which the Prosecutor’s Office granted full credibility were not sufficient to rule out the specific indications of participation of such individuals. The Commission considers that the work of the Public Prosecutor's Office is to investigate seriously what has been denounced in order to establish its veracity, including the adoption of diligent measures to corroborate it with other evidentiary elements. In addition, it considers that the fact that some of the State agents were on vacation or in family activities does not demonstrate that they were not present at any time during Messrs. Arrom and Martí deprivation of liberty, taking into account that the victims’ testimony does not indicate that the state agents identified remained at all times guarding or torturing them. Likewise, it is not clear how the fact that one of the officials under investigation had been seen in other police </w:t>
      </w:r>
      <w:r w:rsidRPr="00E84B2D">
        <w:rPr>
          <w:rFonts w:asciiTheme="majorHAnsi" w:hAnsiTheme="majorHAnsi"/>
          <w:sz w:val="20"/>
          <w:szCs w:val="20"/>
        </w:rPr>
        <w:lastRenderedPageBreak/>
        <w:t>operations in the days of the disappearance, ruled out his presence in the place of detention of Messrs. Arrom and Martí.</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165.        In addition, the Commission points out that, given the circumstances of the alleged disappearance and torture, it was reasonable for the respondents not to indicate exactly the day on which the state agents they identified were present during their detention. It was incumbent upon the State to account for presence not only in the exact moments indicated by the alleged victims, but in the time frame of the disappearance.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166.    The Commission explains that it is perfectly possible for such an investigation to end with a dismissal. What is not acceptable is that the dismissal takes place in a case of potentially serious human rights violations with possible state involvement, without exhaustively and impartially exhausting the lines of investigation necessary to exclude such participation and, in general, to achieve clarification of the facts with a view to avoiding impunity.</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5335BB" w:rsidRDefault="00E84B2D" w:rsidP="005335BB">
      <w:pPr>
        <w:ind w:firstLine="567"/>
        <w:jc w:val="both"/>
        <w:rPr>
          <w:rFonts w:asciiTheme="majorHAnsi" w:hAnsiTheme="majorHAnsi"/>
          <w:sz w:val="20"/>
          <w:szCs w:val="20"/>
        </w:rPr>
      </w:pPr>
      <w:r w:rsidRPr="00E84B2D">
        <w:rPr>
          <w:rFonts w:asciiTheme="majorHAnsi" w:hAnsiTheme="majorHAnsi"/>
          <w:sz w:val="20"/>
          <w:szCs w:val="20"/>
        </w:rPr>
        <w:t>167.        As indicated in this section, the Commission concludes that the investigation did not provide adequate safeguards on the independence of the authorities involved and that it was not co</w:t>
      </w:r>
      <w:r w:rsidR="005335BB">
        <w:rPr>
          <w:rFonts w:asciiTheme="majorHAnsi" w:hAnsiTheme="majorHAnsi"/>
          <w:sz w:val="20"/>
          <w:szCs w:val="20"/>
        </w:rPr>
        <w:t>nducted in an impartial manner.</w:t>
      </w:r>
    </w:p>
    <w:p w:rsidR="005335BB" w:rsidRDefault="005335BB" w:rsidP="005335BB">
      <w:pPr>
        <w:ind w:firstLine="567"/>
        <w:jc w:val="both"/>
        <w:rPr>
          <w:rFonts w:asciiTheme="majorHAnsi" w:hAnsiTheme="majorHAnsi"/>
          <w:sz w:val="20"/>
          <w:szCs w:val="20"/>
        </w:rPr>
      </w:pPr>
    </w:p>
    <w:p w:rsidR="00E84B2D" w:rsidRPr="005335BB" w:rsidRDefault="005335BB" w:rsidP="005335BB">
      <w:pPr>
        <w:ind w:firstLine="567"/>
        <w:jc w:val="both"/>
        <w:rPr>
          <w:rFonts w:asciiTheme="majorHAnsi" w:hAnsiTheme="majorHAnsi"/>
          <w:b/>
          <w:sz w:val="20"/>
          <w:szCs w:val="20"/>
        </w:rPr>
      </w:pPr>
      <w:r w:rsidRPr="005335BB">
        <w:rPr>
          <w:rFonts w:asciiTheme="majorHAnsi" w:hAnsiTheme="majorHAnsi"/>
          <w:b/>
          <w:sz w:val="20"/>
          <w:szCs w:val="20"/>
        </w:rPr>
        <w:t xml:space="preserve">2.4. </w:t>
      </w:r>
      <w:r w:rsidR="00E84B2D" w:rsidRPr="005335BB">
        <w:rPr>
          <w:rFonts w:asciiTheme="majorHAnsi" w:hAnsiTheme="majorHAnsi"/>
          <w:b/>
          <w:sz w:val="20"/>
          <w:szCs w:val="20"/>
        </w:rPr>
        <w:t> Regarding the removal of obstacles in the investigation</w:t>
      </w:r>
    </w:p>
    <w:p w:rsidR="00E84B2D" w:rsidRPr="00E84B2D" w:rsidRDefault="00E84B2D" w:rsidP="00E84B2D">
      <w:pPr>
        <w:ind w:left="567"/>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168.         With regard to the duty to remove obstacles to the proper investigation, the Commission finds that the State did not fulfill its duty for two reasons: (i) because it did not take adequate measures to ensure some measure of judicial control on the final decisions of the Prosecutor’s Office that could hinder the continuity of the investigation of serious violations of human rights; and (ii) because its agents were not diligent in investigating the reasons for the retraction of two key witnesses, such as Esteban Centurión and Ángela Salinas.</w:t>
      </w:r>
    </w:p>
    <w:p w:rsidR="00E84B2D" w:rsidRPr="00E84B2D" w:rsidRDefault="00E84B2D" w:rsidP="00E84B2D">
      <w:pPr>
        <w:ind w:left="709"/>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169.         First, the Commission notes that the criminal procedural rules prevented the accusation of the officials under investigation in case the Prosecutor’s Office decided not to do so. In the specific case, the request of the Public Prosecutor's Office of definitive dismissal prevented the prosecution of the officials under investigation and terminated the process. When States become aware of serious violations of human rights, they must at all times respect the guarantees of those involved, but they must also protect the rights of victims to truth, justice, reparation and non-repetition. Therefore, by virtue of the gravity of the crime, States heightened duties to ensure that there is no impunity. When procedural rules impose limits on the continuity of investigations into serious violations of human rights in certain cases, the State must demonstrate that it has acted with the highest level of diligence before applying such procedural rules and, in any case, it must ensure some measure of judicial control against possible decisions of the Prosecutor’s Office that may be incompatible with the Convention.</w:t>
      </w:r>
    </w:p>
    <w:p w:rsidR="00E84B2D" w:rsidRPr="00E84B2D" w:rsidRDefault="00E84B2D" w:rsidP="00E84B2D">
      <w:pPr>
        <w:ind w:left="709"/>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170.         In the present case, and as indicated in the previous sections of this report, the Commission notes that the State did not demonstrate such a level of diligence, so that, in the circumstances of the case, the application of the procedural rules (Article 358 of the Code of Criminal Procedure) preventing the accusation in light of a ratified request for dismissal, became an obstacle to continuing with the investigation, and also to the participation of the victims in the process.</w:t>
      </w:r>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 xml:space="preserve">171.         Second, the Commission considers that the Public Prosecutor's Office was not diligent in clarifying the facts because it failed to investigate the motives and circumstances of the change in the testimonies of Mr. Esteban Centurión and his wife, Angela Salinas, who were key witnesses to elucidate the </w:t>
      </w:r>
      <w:r w:rsidRPr="00E84B2D">
        <w:rPr>
          <w:rFonts w:asciiTheme="majorHAnsi" w:hAnsiTheme="majorHAnsi"/>
          <w:sz w:val="20"/>
          <w:szCs w:val="20"/>
        </w:rPr>
        <w:lastRenderedPageBreak/>
        <w:t>possible participation of State agents.  They retracted their testimony claiming that they had been pressured by Juan Arrom’s sister</w:t>
      </w:r>
      <w:r w:rsidR="002C786E">
        <w:rPr>
          <w:rStyle w:val="FootnoteReference"/>
          <w:rFonts w:asciiTheme="majorHAnsi" w:hAnsiTheme="majorHAnsi"/>
          <w:sz w:val="20"/>
          <w:szCs w:val="20"/>
        </w:rPr>
        <w:footnoteReference w:id="128"/>
      </w:r>
      <w:r w:rsidRPr="00E84B2D">
        <w:rPr>
          <w:rFonts w:asciiTheme="majorHAnsi" w:hAnsiTheme="majorHAnsi"/>
          <w:sz w:val="20"/>
          <w:szCs w:val="20"/>
        </w:rPr>
        <w:t>.</w:t>
      </w:r>
      <w:r w:rsidRPr="00E84B2D">
        <w:rPr>
          <w:rFonts w:asciiTheme="majorHAnsi" w:hAnsiTheme="majorHAnsi"/>
          <w:sz w:val="20"/>
          <w:szCs w:val="20"/>
          <w:vertAlign w:val="superscript"/>
        </w:rPr>
        <w:t> </w:t>
      </w:r>
      <w:r w:rsidR="002C786E"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172.            The Commission has indicated that "in the event of a statement or testimony in which there is any evidence or well-founded presumption that it was obtained by any kind of coercion, whether physical or psychological, the [national] courts must determine whether there existed such coercion "</w:t>
      </w:r>
      <w:r w:rsidR="002C786E">
        <w:rPr>
          <w:rStyle w:val="FootnoteReference"/>
          <w:rFonts w:asciiTheme="majorHAnsi" w:hAnsiTheme="majorHAnsi"/>
          <w:sz w:val="20"/>
          <w:szCs w:val="20"/>
        </w:rPr>
        <w:footnoteReference w:id="129"/>
      </w:r>
      <w:r w:rsidR="002C786E">
        <w:rPr>
          <w:rFonts w:asciiTheme="majorHAnsi" w:hAnsiTheme="majorHAnsi"/>
          <w:sz w:val="20"/>
          <w:szCs w:val="20"/>
        </w:rPr>
        <w:t>.</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567"/>
        <w:jc w:val="both"/>
        <w:rPr>
          <w:rFonts w:asciiTheme="majorHAnsi" w:hAnsiTheme="majorHAnsi"/>
          <w:sz w:val="20"/>
          <w:szCs w:val="20"/>
        </w:rPr>
      </w:pPr>
      <w:r w:rsidRPr="00E84B2D">
        <w:rPr>
          <w:rFonts w:asciiTheme="majorHAnsi" w:hAnsiTheme="majorHAnsi"/>
          <w:sz w:val="20"/>
          <w:szCs w:val="20"/>
        </w:rPr>
        <w:t>173.            Particularly in cases of enforced disappearance in which it is common for cover-up mechanisms to be used to divert investigations, it is essential that in the face of any indication of acts of this nature, such as retraction, it is essential to find out whether any type of coercion took place, either in the first or second statement. The Commission has understood that this obligation is part of the duty of due diligence</w:t>
      </w:r>
      <w:r w:rsidR="002C786E">
        <w:rPr>
          <w:rStyle w:val="FootnoteReference"/>
          <w:rFonts w:asciiTheme="majorHAnsi" w:hAnsiTheme="majorHAnsi"/>
          <w:sz w:val="20"/>
          <w:szCs w:val="20"/>
        </w:rPr>
        <w:footnoteReference w:id="130"/>
      </w:r>
      <w:r w:rsidRPr="00E84B2D">
        <w:rPr>
          <w:rFonts w:asciiTheme="majorHAnsi" w:hAnsiTheme="majorHAnsi"/>
          <w:sz w:val="20"/>
          <w:szCs w:val="20"/>
        </w:rPr>
        <w:t>.</w:t>
      </w:r>
      <w:r w:rsidR="002C786E" w:rsidRPr="00E84B2D">
        <w:rPr>
          <w:rFonts w:asciiTheme="majorHAnsi" w:hAnsiTheme="majorHAnsi"/>
          <w:sz w:val="20"/>
          <w:szCs w:val="20"/>
        </w:rPr>
        <w:t xml:space="preserve"> </w:t>
      </w:r>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5335BB" w:rsidRDefault="00E84B2D" w:rsidP="005335BB">
      <w:pPr>
        <w:ind w:firstLine="567"/>
        <w:jc w:val="both"/>
        <w:rPr>
          <w:rFonts w:asciiTheme="majorHAnsi" w:hAnsiTheme="majorHAnsi"/>
          <w:sz w:val="20"/>
          <w:szCs w:val="20"/>
        </w:rPr>
      </w:pPr>
      <w:r w:rsidRPr="00E84B2D">
        <w:rPr>
          <w:rFonts w:asciiTheme="majorHAnsi" w:hAnsiTheme="majorHAnsi"/>
          <w:sz w:val="20"/>
          <w:szCs w:val="20"/>
        </w:rPr>
        <w:t>174.            In view of the foregoing, the Commission considers that in the face of a substantial change of testimony regarding an important piece of evidence, the Public Prosecutor's Office should investigate the context and the reasons for the change of testimony of Messrs. Esteban Centurión and Ángela Salinas. Although they stated that they were pressured by the sister of Juan Arrom to give the first statement, this statement is not sufficient to rule out that the coercion could have arisen from the officials under investigation once they became aware that such testimony incriminated at least one of them, and that part of that coercion could have translated into stating that they had been pressured by</w:t>
      </w:r>
      <w:r w:rsidR="005335BB">
        <w:rPr>
          <w:rFonts w:asciiTheme="majorHAnsi" w:hAnsiTheme="majorHAnsi"/>
          <w:sz w:val="20"/>
          <w:szCs w:val="20"/>
        </w:rPr>
        <w:t xml:space="preserve"> relatives of the complainants.</w:t>
      </w:r>
    </w:p>
    <w:p w:rsidR="005335BB" w:rsidRDefault="005335BB" w:rsidP="005335BB">
      <w:pPr>
        <w:ind w:firstLine="567"/>
        <w:jc w:val="both"/>
        <w:rPr>
          <w:rFonts w:asciiTheme="majorHAnsi" w:hAnsiTheme="majorHAnsi"/>
          <w:sz w:val="20"/>
          <w:szCs w:val="20"/>
        </w:rPr>
      </w:pPr>
    </w:p>
    <w:p w:rsidR="00E84B2D" w:rsidRPr="005335BB" w:rsidRDefault="005335BB" w:rsidP="005335BB">
      <w:pPr>
        <w:ind w:firstLine="567"/>
        <w:jc w:val="both"/>
        <w:rPr>
          <w:rFonts w:asciiTheme="majorHAnsi" w:hAnsiTheme="majorHAnsi"/>
          <w:b/>
          <w:sz w:val="20"/>
          <w:szCs w:val="20"/>
        </w:rPr>
      </w:pPr>
      <w:r w:rsidRPr="005335BB">
        <w:rPr>
          <w:rFonts w:asciiTheme="majorHAnsi" w:hAnsiTheme="majorHAnsi"/>
          <w:b/>
          <w:sz w:val="20"/>
          <w:szCs w:val="20"/>
        </w:rPr>
        <w:t xml:space="preserve">2.5. </w:t>
      </w:r>
      <w:r w:rsidR="00E84B2D" w:rsidRPr="005335BB">
        <w:rPr>
          <w:rFonts w:asciiTheme="majorHAnsi" w:hAnsiTheme="majorHAnsi"/>
          <w:b/>
          <w:sz w:val="20"/>
          <w:szCs w:val="20"/>
        </w:rPr>
        <w:t>The impact on the procedural safeguards of the propaganda spread by the State of Paraguay in which the alleged victims are described as "enemies of the people"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175.        According to information provided by the petitioners and not disputed by the State, several state institutions issued a circular called "Enemigos del Pueblo Paraguayo," with the logo of the Public Prosecutor's Office, which included a photo of suspected criminals, including Juan Arrom and Anuncio Martí, accused of having a "criminal record" relating to the kidnapping of Mrs. María Edith Bordón. However, the Commission notes that there is no final decision or sentencing in the process against Juan Arrom and Anuncio Martí for the kidnapping of Mrs. Bordón, since they were found in default for not attending the judicial proceedings.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851"/>
        <w:jc w:val="both"/>
        <w:rPr>
          <w:rFonts w:asciiTheme="majorHAnsi" w:hAnsiTheme="majorHAnsi"/>
          <w:sz w:val="20"/>
          <w:szCs w:val="20"/>
        </w:rPr>
      </w:pPr>
      <w:r w:rsidRPr="00E84B2D">
        <w:rPr>
          <w:rFonts w:asciiTheme="majorHAnsi" w:hAnsiTheme="majorHAnsi"/>
          <w:sz w:val="20"/>
          <w:szCs w:val="20"/>
        </w:rPr>
        <w:t>176.     The Commission observes that the circular issued by the State, presenting them as guilty and unworthy of national citizenship, shows State prejudice against Juan Arrom and Anuncio Martí, since there is no criminal conviction against them. The Commission considers that their classification of "People's Enemies", because of the high level of implied hostility before an entire nation, can have an impact, not only in the process against them, but also in its life and personal integrity</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851"/>
        <w:jc w:val="both"/>
        <w:rPr>
          <w:rFonts w:asciiTheme="majorHAnsi" w:hAnsiTheme="majorHAnsi"/>
          <w:sz w:val="20"/>
          <w:szCs w:val="20"/>
        </w:rPr>
      </w:pPr>
      <w:r w:rsidRPr="00E84B2D">
        <w:rPr>
          <w:rFonts w:asciiTheme="majorHAnsi" w:hAnsiTheme="majorHAnsi"/>
          <w:sz w:val="20"/>
          <w:szCs w:val="20"/>
        </w:rPr>
        <w:t>177.     </w:t>
      </w:r>
      <w:r w:rsidRPr="00E84B2D">
        <w:rPr>
          <w:rFonts w:asciiTheme="majorHAnsi" w:hAnsiTheme="majorHAnsi"/>
          <w:spacing w:val="-2"/>
          <w:sz w:val="20"/>
          <w:szCs w:val="20"/>
        </w:rPr>
        <w:t xml:space="preserve">In addition, it should be recalled that "the right to presumption of innocence requires the State not to informally condemn a person or to give judgment to the society, thus contributing to forming a public opinion, as long as there is no evidence of criminal liability under the law. This right can therefore be violated by both the judges in charge of the process and by other public authorities, so that they must be discreet and </w:t>
      </w:r>
      <w:r w:rsidRPr="00E84B2D">
        <w:rPr>
          <w:rFonts w:asciiTheme="majorHAnsi" w:hAnsiTheme="majorHAnsi"/>
          <w:spacing w:val="-2"/>
          <w:sz w:val="20"/>
          <w:szCs w:val="20"/>
        </w:rPr>
        <w:lastRenderedPageBreak/>
        <w:t>prudent in making public statements about a criminal process, before the person has been tried and condemned."</w:t>
      </w:r>
      <w:r w:rsidR="00A84697">
        <w:rPr>
          <w:rStyle w:val="FootnoteReference"/>
          <w:rFonts w:asciiTheme="majorHAnsi" w:hAnsiTheme="majorHAnsi"/>
          <w:spacing w:val="-2"/>
          <w:sz w:val="20"/>
          <w:szCs w:val="20"/>
        </w:rPr>
        <w:footnoteReference w:id="131"/>
      </w:r>
      <w:r w:rsidR="00A84697" w:rsidRPr="00E84B2D">
        <w:rPr>
          <w:rFonts w:asciiTheme="majorHAnsi" w:hAnsiTheme="majorHAnsi"/>
          <w:sz w:val="20"/>
          <w:szCs w:val="20"/>
        </w:rPr>
        <w:t xml:space="preserve"> </w:t>
      </w:r>
    </w:p>
    <w:p w:rsidR="00E84B2D" w:rsidRPr="00E84B2D" w:rsidRDefault="00E84B2D" w:rsidP="00E84B2D">
      <w:pPr>
        <w:ind w:left="851"/>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851"/>
        <w:jc w:val="both"/>
        <w:rPr>
          <w:rFonts w:asciiTheme="majorHAnsi" w:hAnsiTheme="majorHAnsi"/>
          <w:sz w:val="20"/>
          <w:szCs w:val="20"/>
        </w:rPr>
      </w:pPr>
      <w:r w:rsidRPr="00E84B2D">
        <w:rPr>
          <w:rFonts w:asciiTheme="majorHAnsi" w:hAnsiTheme="majorHAnsi"/>
          <w:sz w:val="20"/>
          <w:szCs w:val="20"/>
        </w:rPr>
        <w:t>178.     The IACHR finds that the stigmatizing treatment by the Paraguayan State through multiple institutions --in which it is stated that Messrs. Arrom and Martí have a "criminal history", without having been convicted-- constitutes a violation of the principle of presumption of innocence.</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5335BB" w:rsidRDefault="00E84B2D" w:rsidP="005335BB">
      <w:pPr>
        <w:ind w:firstLine="851"/>
        <w:jc w:val="both"/>
        <w:rPr>
          <w:rFonts w:asciiTheme="majorHAnsi" w:hAnsiTheme="majorHAnsi"/>
          <w:sz w:val="20"/>
          <w:szCs w:val="20"/>
        </w:rPr>
      </w:pPr>
      <w:r w:rsidRPr="00E84B2D">
        <w:rPr>
          <w:rFonts w:asciiTheme="majorHAnsi" w:hAnsiTheme="majorHAnsi"/>
          <w:sz w:val="20"/>
          <w:szCs w:val="20"/>
        </w:rPr>
        <w:t>179.     The Commission also notes that one of the institutions sponsoring this type of prejudice is the Public Prosecutor's Office. This is further evidence of the lack of impartiality on the way in which investigations were conducted </w:t>
      </w:r>
      <w:r w:rsidRPr="00E84B2D">
        <w:rPr>
          <w:rFonts w:asciiTheme="majorHAnsi" w:hAnsiTheme="majorHAnsi"/>
          <w:i/>
          <w:iCs/>
          <w:sz w:val="20"/>
          <w:szCs w:val="20"/>
        </w:rPr>
        <w:t>vis-a-vis</w:t>
      </w:r>
      <w:r w:rsidRPr="00E84B2D">
        <w:rPr>
          <w:rFonts w:asciiTheme="majorHAnsi" w:hAnsiTheme="majorHAnsi"/>
          <w:sz w:val="20"/>
          <w:szCs w:val="20"/>
        </w:rPr>
        <w:t> Juan Arrom and Anuncio Martí. The Commission also considers that, because of the seriousness of the violations alleged by them, the investigation should continue beyond the responsibility of the officials investigated, in compliance with the obligation of the State to clarify allegations of serious human rights violations. The Commission emphasizes that in this scenario, there were no guarantees of impartiality in conducting the investigation because of the stigmatizing treatment and the obvious prejudice of the judicial entity toward</w:t>
      </w:r>
      <w:r w:rsidR="005335BB">
        <w:rPr>
          <w:rFonts w:asciiTheme="majorHAnsi" w:hAnsiTheme="majorHAnsi"/>
          <w:sz w:val="20"/>
          <w:szCs w:val="20"/>
        </w:rPr>
        <w:t>s Juan Arrom and Anuncio Martí.</w:t>
      </w:r>
    </w:p>
    <w:p w:rsidR="005335BB" w:rsidRDefault="005335BB" w:rsidP="005335BB">
      <w:pPr>
        <w:ind w:firstLine="851"/>
        <w:jc w:val="both"/>
        <w:rPr>
          <w:rFonts w:asciiTheme="majorHAnsi" w:hAnsiTheme="majorHAnsi"/>
          <w:sz w:val="20"/>
          <w:szCs w:val="20"/>
        </w:rPr>
      </w:pPr>
    </w:p>
    <w:p w:rsidR="00E84B2D" w:rsidRPr="005335BB" w:rsidRDefault="005335BB" w:rsidP="005335BB">
      <w:pPr>
        <w:pStyle w:val="Heading3"/>
        <w:spacing w:before="0" w:beforeAutospacing="0" w:after="0" w:afterAutospacing="0"/>
        <w:ind w:left="806"/>
        <w:rPr>
          <w:rFonts w:asciiTheme="majorHAnsi" w:hAnsiTheme="majorHAnsi"/>
          <w:sz w:val="20"/>
          <w:szCs w:val="20"/>
        </w:rPr>
      </w:pPr>
      <w:bookmarkStart w:id="28" w:name="_Toc494373950"/>
      <w:r w:rsidRPr="005335BB">
        <w:rPr>
          <w:rFonts w:asciiTheme="majorHAnsi" w:hAnsiTheme="majorHAnsi"/>
          <w:sz w:val="20"/>
          <w:szCs w:val="20"/>
        </w:rPr>
        <w:t xml:space="preserve">3. </w:t>
      </w:r>
      <w:r w:rsidR="00E84B2D" w:rsidRPr="005335BB">
        <w:rPr>
          <w:rFonts w:asciiTheme="majorHAnsi" w:hAnsiTheme="majorHAnsi"/>
          <w:sz w:val="20"/>
          <w:szCs w:val="20"/>
        </w:rPr>
        <w:t>Conclusion</w:t>
      </w:r>
      <w:bookmarkEnd w:id="28"/>
    </w:p>
    <w:p w:rsidR="00E84B2D" w:rsidRPr="00E84B2D" w:rsidRDefault="00E84B2D" w:rsidP="00E84B2D">
      <w:pPr>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E84B2D">
      <w:pPr>
        <w:ind w:firstLine="851"/>
        <w:jc w:val="both"/>
        <w:rPr>
          <w:rFonts w:asciiTheme="majorHAnsi" w:hAnsiTheme="majorHAnsi"/>
          <w:sz w:val="20"/>
          <w:szCs w:val="20"/>
        </w:rPr>
      </w:pPr>
      <w:r w:rsidRPr="00E84B2D">
        <w:rPr>
          <w:rFonts w:asciiTheme="majorHAnsi" w:hAnsiTheme="majorHAnsi"/>
          <w:sz w:val="20"/>
          <w:szCs w:val="20"/>
        </w:rPr>
        <w:t>180.     In light of the foregoing, the Commission concludes that the State of Paraguay is responsible for violating the rights to judicial guarantees and judicial protection established in Articles 8.1, 8.2 and 25.1 of the American Convention in relation to Article 1.1 of the same instrument, to the detriment of Juan Francisco Arrom Suhurt and Anuncio Martí Méndez. Likewise, the State is responsible for violating the obligations established in Article 1b of the ICPPT and Articles 1, 6 and 8 of the ICFDP.</w:t>
      </w:r>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80234C">
      <w:pPr>
        <w:pStyle w:val="Heading2"/>
        <w:numPr>
          <w:ilvl w:val="0"/>
          <w:numId w:val="59"/>
        </w:numPr>
        <w:rPr>
          <w:rFonts w:eastAsia="Times New Roman"/>
          <w:sz w:val="20"/>
          <w:szCs w:val="20"/>
        </w:rPr>
      </w:pPr>
      <w:bookmarkStart w:id="29" w:name="_Toc494373951"/>
      <w:r w:rsidRPr="00B6227D">
        <w:rPr>
          <w:sz w:val="20"/>
          <w:szCs w:val="20"/>
        </w:rPr>
        <w:t>The right to physical integrity</w:t>
      </w:r>
      <w:r w:rsidR="00A84697">
        <w:rPr>
          <w:rStyle w:val="FootnoteReference"/>
          <w:sz w:val="20"/>
          <w:szCs w:val="20"/>
        </w:rPr>
        <w:footnoteReference w:id="132"/>
      </w:r>
      <w:r w:rsidRPr="00B6227D">
        <w:rPr>
          <w:sz w:val="20"/>
          <w:szCs w:val="20"/>
        </w:rPr>
        <w:t> and the prohibition of torture</w:t>
      </w:r>
      <w:bookmarkEnd w:id="29"/>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096B6E">
      <w:pPr>
        <w:pStyle w:val="Heading3"/>
        <w:spacing w:before="0" w:beforeAutospacing="0" w:after="0" w:afterAutospacing="0"/>
        <w:ind w:left="806"/>
        <w:rPr>
          <w:rFonts w:asciiTheme="majorHAnsi" w:hAnsiTheme="majorHAnsi"/>
          <w:sz w:val="20"/>
          <w:szCs w:val="20"/>
        </w:rPr>
      </w:pPr>
      <w:bookmarkStart w:id="30" w:name="_Toc494373952"/>
      <w:r w:rsidRPr="00096B6E">
        <w:rPr>
          <w:rFonts w:asciiTheme="majorHAnsi" w:hAnsiTheme="majorHAnsi"/>
          <w:sz w:val="20"/>
          <w:szCs w:val="20"/>
        </w:rPr>
        <w:t>1.</w:t>
      </w:r>
      <w:r w:rsidR="00096B6E">
        <w:rPr>
          <w:rFonts w:asciiTheme="majorHAnsi" w:hAnsiTheme="majorHAnsi"/>
          <w:sz w:val="20"/>
          <w:szCs w:val="20"/>
        </w:rPr>
        <w:t>  </w:t>
      </w:r>
      <w:r w:rsidRPr="00096B6E">
        <w:rPr>
          <w:rFonts w:asciiTheme="majorHAnsi" w:hAnsiTheme="majorHAnsi"/>
          <w:sz w:val="20"/>
          <w:szCs w:val="20"/>
        </w:rPr>
        <w:t>General considerations on the prohibition of torture and cruel, inhuman or degrading treatment</w:t>
      </w:r>
      <w:bookmarkEnd w:id="30"/>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181.        The IACHR has emphasized that the American Convention prohibits the imposition of torture or cruel, inhuman or degrading treatment or punishment against persons under any circumstances. The Commission has stated that "an essential aspect of the right to personal security is the absolute prohibition of torture, a peremptory norm of international law creating obligations </w:t>
      </w:r>
      <w:r w:rsidRPr="00E84B2D">
        <w:rPr>
          <w:rFonts w:asciiTheme="majorHAnsi" w:hAnsiTheme="majorHAnsi"/>
          <w:i/>
          <w:iCs/>
          <w:sz w:val="20"/>
          <w:szCs w:val="20"/>
        </w:rPr>
        <w:t>erga omnes</w:t>
      </w:r>
      <w:r w:rsidRPr="00E84B2D">
        <w:rPr>
          <w:rFonts w:asciiTheme="majorHAnsi" w:hAnsiTheme="majorHAnsi"/>
          <w:sz w:val="20"/>
          <w:szCs w:val="20"/>
        </w:rPr>
        <w:t>."</w:t>
      </w:r>
      <w:r w:rsidR="00A84697">
        <w:rPr>
          <w:rStyle w:val="FootnoteReference"/>
          <w:rFonts w:asciiTheme="majorHAnsi" w:hAnsiTheme="majorHAnsi"/>
          <w:sz w:val="20"/>
          <w:szCs w:val="20"/>
        </w:rPr>
        <w:footnoteReference w:id="133"/>
      </w:r>
      <w:r w:rsidRPr="00E84B2D">
        <w:rPr>
          <w:rFonts w:asciiTheme="majorHAnsi" w:hAnsiTheme="majorHAnsi"/>
          <w:sz w:val="20"/>
          <w:szCs w:val="20"/>
        </w:rPr>
        <w:t xml:space="preserve"> In addition, the IACHR has described the prohibition of torture as a </w:t>
      </w:r>
      <w:r w:rsidRPr="00E84B2D">
        <w:rPr>
          <w:rFonts w:asciiTheme="majorHAnsi" w:hAnsiTheme="majorHAnsi"/>
          <w:i/>
          <w:sz w:val="20"/>
          <w:szCs w:val="20"/>
        </w:rPr>
        <w:t>jus cogens</w:t>
      </w:r>
      <w:r w:rsidRPr="00E84B2D">
        <w:rPr>
          <w:rFonts w:asciiTheme="majorHAnsi" w:hAnsiTheme="majorHAnsi"/>
          <w:sz w:val="20"/>
          <w:szCs w:val="20"/>
        </w:rPr>
        <w:t xml:space="preserve"> norm</w:t>
      </w:r>
      <w:r w:rsidR="00A84697">
        <w:rPr>
          <w:rStyle w:val="FootnoteReference"/>
          <w:rFonts w:asciiTheme="majorHAnsi" w:hAnsiTheme="majorHAnsi"/>
          <w:sz w:val="20"/>
          <w:szCs w:val="20"/>
        </w:rPr>
        <w:footnoteReference w:id="134"/>
      </w:r>
      <w:r w:rsidRPr="00E84B2D">
        <w:rPr>
          <w:rFonts w:asciiTheme="majorHAnsi" w:hAnsiTheme="majorHAnsi"/>
          <w:sz w:val="20"/>
          <w:szCs w:val="20"/>
        </w:rPr>
        <w:t>.</w:t>
      </w:r>
      <w:r w:rsidRPr="00E84B2D">
        <w:rPr>
          <w:rFonts w:asciiTheme="majorHAnsi" w:hAnsiTheme="majorHAnsi"/>
          <w:sz w:val="20"/>
          <w:szCs w:val="20"/>
          <w:vertAlign w:val="superscript"/>
        </w:rPr>
        <w:t> </w:t>
      </w:r>
      <w:r w:rsidRPr="00E84B2D">
        <w:rPr>
          <w:rFonts w:asciiTheme="majorHAnsi" w:hAnsiTheme="majorHAnsi"/>
          <w:sz w:val="20"/>
          <w:szCs w:val="20"/>
        </w:rPr>
        <w:t> The Court has repeatedly pointed out that "torture and cruel, inhuman or degrading treatment or punishment is strictly prohibited by international human rights law." The absolute prohibition of torture, whether physical or psychological, pertain to the domain of international </w:t>
      </w:r>
      <w:r w:rsidRPr="00E84B2D">
        <w:rPr>
          <w:rFonts w:asciiTheme="majorHAnsi" w:hAnsiTheme="majorHAnsi"/>
          <w:i/>
          <w:iCs/>
          <w:sz w:val="20"/>
          <w:szCs w:val="20"/>
        </w:rPr>
        <w:t>jus cogens</w:t>
      </w:r>
      <w:r w:rsidRPr="00E84B2D">
        <w:rPr>
          <w:rFonts w:asciiTheme="majorHAnsi" w:hAnsiTheme="majorHAnsi"/>
          <w:sz w:val="20"/>
          <w:szCs w:val="20"/>
        </w:rPr>
        <w:t>."</w:t>
      </w:r>
      <w:r w:rsidR="00A84697">
        <w:rPr>
          <w:rStyle w:val="FootnoteReference"/>
          <w:rFonts w:asciiTheme="majorHAnsi" w:hAnsiTheme="majorHAnsi"/>
          <w:sz w:val="20"/>
          <w:szCs w:val="20"/>
        </w:rPr>
        <w:footnoteReference w:id="135"/>
      </w:r>
      <w:r w:rsidR="00A84697"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lastRenderedPageBreak/>
        <w:t>182.        According to the jurisprudence of the inter-American system, for a conduct to be classified as torture, the following elements must concur: (i) that it is an intentional act committed by a State agent or with his authorization or acquiescence; ii) that causes intense physical or mental suffering and, iii) that is committed with a specific object or purpose</w:t>
      </w:r>
      <w:r w:rsidR="00A84697">
        <w:rPr>
          <w:rStyle w:val="FootnoteReference"/>
          <w:rFonts w:asciiTheme="majorHAnsi" w:hAnsiTheme="majorHAnsi"/>
          <w:sz w:val="20"/>
          <w:szCs w:val="20"/>
        </w:rPr>
        <w:footnoteReference w:id="136"/>
      </w:r>
      <w:r w:rsidRPr="00E84B2D">
        <w:rPr>
          <w:rFonts w:asciiTheme="majorHAnsi" w:hAnsiTheme="majorHAnsi"/>
          <w:sz w:val="20"/>
          <w:szCs w:val="20"/>
        </w:rPr>
        <w:t>.</w:t>
      </w:r>
      <w:r w:rsidRPr="00E84B2D">
        <w:rPr>
          <w:rFonts w:asciiTheme="majorHAnsi" w:hAnsiTheme="majorHAnsi"/>
          <w:sz w:val="20"/>
          <w:szCs w:val="20"/>
          <w:vertAlign w:val="superscript"/>
        </w:rPr>
        <w:t> </w:t>
      </w:r>
      <w:r w:rsidR="00A84697" w:rsidRPr="00E84B2D">
        <w:rPr>
          <w:rFonts w:asciiTheme="majorHAnsi" w:hAnsiTheme="majorHAnsi"/>
          <w:sz w:val="20"/>
          <w:szCs w:val="20"/>
        </w:rPr>
        <w:t xml:space="preserve"> </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096B6E">
      <w:pPr>
        <w:pStyle w:val="Heading3"/>
        <w:spacing w:before="0" w:beforeAutospacing="0" w:after="0" w:afterAutospacing="0"/>
        <w:ind w:left="806"/>
        <w:rPr>
          <w:rFonts w:asciiTheme="majorHAnsi" w:hAnsiTheme="majorHAnsi"/>
          <w:sz w:val="20"/>
          <w:szCs w:val="20"/>
        </w:rPr>
      </w:pPr>
      <w:bookmarkStart w:id="31" w:name="_Toc494373953"/>
      <w:r w:rsidRPr="00096B6E">
        <w:rPr>
          <w:rFonts w:asciiTheme="majorHAnsi" w:hAnsiTheme="majorHAnsi"/>
          <w:sz w:val="20"/>
          <w:szCs w:val="20"/>
        </w:rPr>
        <w:t>2.</w:t>
      </w:r>
      <w:r w:rsidRPr="00E84B2D">
        <w:rPr>
          <w:rFonts w:asciiTheme="majorHAnsi" w:hAnsiTheme="majorHAnsi"/>
          <w:sz w:val="20"/>
          <w:szCs w:val="20"/>
        </w:rPr>
        <w:t>     </w:t>
      </w:r>
      <w:r w:rsidRPr="00096B6E">
        <w:rPr>
          <w:rFonts w:asciiTheme="majorHAnsi" w:hAnsiTheme="majorHAnsi"/>
          <w:sz w:val="20"/>
          <w:szCs w:val="20"/>
        </w:rPr>
        <w:t>Analysis of the present case</w:t>
      </w:r>
      <w:bookmarkEnd w:id="31"/>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bdr w:val="none" w:sz="0" w:space="0" w:color="auto" w:frame="1"/>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183.        The Commission will then analyze whether the three constituent elements of torture are met in this case. To begin with, it will be examined whether Juan Arrom and Anuncio Martí were subjected to intense physical or mental suffering; then will be studied if there was direct participation or authorization or acquiescence of state agents; to finally determine if it met a particular object or purpose.</w:t>
      </w:r>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184.        With regard to intense physical or mental suffering, the Commission finds that the pieces of evidence in the file are consistent with each other and show that Juan Arrom and Anuncio Martí suffered intense physical and mental suffering.</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185.        Messrs. Arrom and Martí described the following physical abuse: strong blows to different parts of the body (for example, the neck, the head, the stomach); pressure on the testicles with an intensity that caused them to lose consciousness; and suffocation. Their accounts are consistent with the medical reports they have been given, which describe various injuries; bruises on the head, neck, thorax, abdomen, buttocks, penis, testicles, arms and legs; scar of recent excoriation in the head, ecchymosis in abdomen and lesions in limbs. In addition to recording the physical injuries observed, medical reports state that they suffered injuries with "natural" and "actual" blunt weapons. The evolution of the injuries, according to the medical reports, reasonably coincide with the days when Messrs. Arrom and Martí were missing.</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186.        In addition to the medical reports, the Commission has in its file photographs of Messrs. Arrom and Martí, which clearly show physical injuries consistent with their descriptions and medical reports.</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187.        As regards psychological abuse, the accounts of Messrs. Arrom and Martí are consistent with the assessments of psychiatric reports on the consequences of ill-treatment and the severe psychological suffering to which they alleged to have been subjected. For example, the Commission emphasizes that, according to the findings of facts, part of the psychological torture that Juan Arrom narrated was that they told him that he was missing, they simulated his execution and told him that they would kill him. In the same vein, Juan Arrom's psychiatric reports of 2006 and 2009 (years after the events reported) state that some of the consequences he endures, in part because of the alleged acts of torture and disappearance, include a state of alarm connected to overload of threatening stimuli, perception of stunning, persecutory perception, as well as nightmares, insomnia, periods of sadness, anxiety and fear of being detained again.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188.        The Commission therefore finds that Messrs. Arrom and Martí were subjected to multiple forms of physical and psychological mistreatment. The Commission considers that such abuses described are serious and are liable to cause profound physical pain and extreme fear. In this way, the first constituent element of torture, is satisfied.</w:t>
      </w:r>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189.        With regard to the participation of State agents, the Commission recalls that, according to the facts established and as previously explained in the analysis of the investigation, there were many indications of the participation of State agents in the alleged torture of Juan Arrom and Anuncio Martí. The Commission finds that the statements of Juan Arrom and Anuncio Martí are consistent with each other, since the description of time, mode and place that each one makes is congruent, in general with the story of the other. In addition to the multiple references in the testimonies to state agents, the Commission highlights the following additional elements that would point to varying degrees of state participation in the violations and which coincide precisely with the specific officials identified by Juan Arrom and Anuncio Martí:</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lastRenderedPageBreak/>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(i) according to a statement by the Minister of the Interior Julio César Fanego published in the press, he was monitoring the leaders of Patria Libre, days before their alleged disappearance, for their possible responsibility in the kidnapping of Mrs. Maria Edith Bordón de Debernardi;</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(ii) police officer Antonio Gamarra requested the Public Prosecutor's Office to issue an arrest warrant for Juan Arrom and Anuncio Martí, indicating that state agents were not only monitoring but looking for such persons;</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(iii) there are several testimonies about an unusual activity in the neighborhood where Juan Arrom and Anuncio Martí claimed to have been captured, precisely at the moment of their detention, a context in which Mr. Resck claimed to have seen the director of the Center for Judicial Investigations, Javier Cazal, who was also identified by Juan Arrom later;</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(iv) Mr. Héctor Lacognata stated that the wife of the Minister of Labor Silvio Ferreira informed him that he was aware of the arrest of Juan Arrom and that he and Anuncio Martí would be delivered to the Prosecutor's Office;</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(v) According to the press, Deputy Ombudsman Raúl Marín reported that the prosecutors, one of whom was named in other testimonies, were aware of the arrest of Juan Arrom and Anuncio Martí;</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(vi) journalist Aníbal Emery indicated that in the context of the release of Messrs. Arrom and Martí, they saw Deputy Officer Jose David Schémbori, - identified by Juan Arrom as one of his torturers - in the house where Arrom and Martí were held;</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(vii) the sisters of Juan Arrom identified José David Schémbori in the same context;</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(viii) Víctor Colmán and Ana Rosa Samudio complained that state agents - specifically Javier Cazal, Antonio Gamarra, José David Schémbori and prosecutor Velásquez whose removal was requested by the Ombudsman - broke into their house and told them that they had arrested Juan Arrom and Anuncio Martí;</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(ix) journalist Monica Laneri said that she was informed that Juan Arrom had been arrested but that Commissioner Gonzalez Cuquejo denied it in the air, adding that she asked the same prosecutor Velásquez about the situation and that he said that the situation of Martí was "very negotiable"; and</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(x) the statements - whose retraction was not properly investigated - of Esteban Centurión and Angela Estefanía Salinas involving police Antonio Gamarra</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190.        In similar cases, where the State's involvement in serious human rights violations is in dispute, the Commission has said that, in the face of indications of this nature that would imply a direct attribution of international responsibility to the State, the authorities in charge of the investigation must make every effort to clarify the possible responsibilities or links of state officials</w:t>
      </w:r>
      <w:r w:rsidR="00A84697">
        <w:rPr>
          <w:rStyle w:val="FootnoteReference"/>
          <w:rFonts w:asciiTheme="majorHAnsi" w:hAnsiTheme="majorHAnsi"/>
          <w:sz w:val="20"/>
          <w:szCs w:val="20"/>
        </w:rPr>
        <w:footnoteReference w:id="137"/>
      </w:r>
      <w:r w:rsidRPr="00E84B2D">
        <w:rPr>
          <w:rFonts w:asciiTheme="majorHAnsi" w:hAnsiTheme="majorHAnsi"/>
          <w:sz w:val="20"/>
          <w:szCs w:val="20"/>
        </w:rPr>
        <w:t>.</w:t>
      </w:r>
      <w:r w:rsidRPr="00E84B2D">
        <w:rPr>
          <w:rFonts w:asciiTheme="majorHAnsi" w:hAnsiTheme="majorHAnsi"/>
          <w:sz w:val="20"/>
          <w:szCs w:val="20"/>
          <w:vertAlign w:val="superscript"/>
        </w:rPr>
        <w:t> </w:t>
      </w:r>
      <w:r w:rsidRPr="00E84B2D">
        <w:rPr>
          <w:rFonts w:asciiTheme="majorHAnsi" w:hAnsiTheme="majorHAnsi"/>
          <w:sz w:val="20"/>
          <w:szCs w:val="20"/>
        </w:rPr>
        <w:t> In this way, the State was under an obligation to carry out a thorough, serious and diligent investigation to establish the truth or to disprove the indications of participation of State agents. Otherwise, the Commission has given probative force to the evidence not that has not been properly corroborated.</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191.         Along the same lines and after establishing the failure to meet due diligence in the investigation of state participation, the Inter-American Court has stated that it is:</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720" w:right="571"/>
        <w:jc w:val="both"/>
        <w:rPr>
          <w:rFonts w:asciiTheme="majorHAnsi" w:hAnsiTheme="majorHAnsi"/>
          <w:sz w:val="20"/>
          <w:szCs w:val="20"/>
        </w:rPr>
      </w:pPr>
      <w:r w:rsidRPr="00E84B2D">
        <w:rPr>
          <w:rFonts w:asciiTheme="majorHAnsi" w:hAnsiTheme="majorHAnsi"/>
          <w:sz w:val="20"/>
          <w:szCs w:val="20"/>
        </w:rPr>
        <w:lastRenderedPageBreak/>
        <w:t> (...) reasonable to give probative value to the series of indications arising from the file (...) on the participation of state agents in these events, particularly those managed by the state bodies responsible for the investigation that have not been distorted by the State. To conclude otherwise would mean allowing the State to rely on the negligence and ineffectiveness of the criminal investigation to evade its responsibility for the violation of Article 4.1 of the Convention</w:t>
      </w:r>
      <w:r w:rsidR="00757535">
        <w:rPr>
          <w:rStyle w:val="FootnoteReference"/>
          <w:rFonts w:asciiTheme="majorHAnsi" w:hAnsiTheme="majorHAnsi"/>
          <w:sz w:val="20"/>
          <w:szCs w:val="20"/>
        </w:rPr>
        <w:footnoteReference w:id="138"/>
      </w:r>
      <w:r w:rsidR="00757535">
        <w:rPr>
          <w:rFonts w:asciiTheme="majorHAnsi" w:hAnsiTheme="majorHAnsi"/>
          <w:sz w:val="20"/>
          <w:szCs w:val="20"/>
        </w:rPr>
        <w:t>.</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192.        The Court has also reiterated that the failure to investigate alleged violations committed against a person when there is evidence of participation by State agents "prevents the State from presenting a satisfactory and convincing explanation of the alleged facts and distorting the allegations on their responsibility, by appropriate evidence."</w:t>
      </w:r>
      <w:r w:rsidR="00757535">
        <w:rPr>
          <w:rStyle w:val="FootnoteReference"/>
          <w:rFonts w:asciiTheme="majorHAnsi" w:hAnsiTheme="majorHAnsi"/>
          <w:sz w:val="20"/>
          <w:szCs w:val="20"/>
        </w:rPr>
        <w:footnoteReference w:id="139"/>
      </w:r>
      <w:r w:rsidRPr="00E84B2D">
        <w:rPr>
          <w:rFonts w:asciiTheme="majorHAnsi" w:hAnsiTheme="majorHAnsi"/>
          <w:sz w:val="20"/>
          <w:szCs w:val="20"/>
        </w:rPr>
        <w:t> In this way, the Court has taken this lack of clarification as a factor to be taken into account to prove the alleged involvement and consequent international responsibility</w:t>
      </w:r>
      <w:r w:rsidR="00757535">
        <w:rPr>
          <w:rStyle w:val="FootnoteReference"/>
          <w:rFonts w:asciiTheme="majorHAnsi" w:hAnsiTheme="majorHAnsi"/>
          <w:sz w:val="20"/>
          <w:szCs w:val="20"/>
        </w:rPr>
        <w:footnoteReference w:id="140"/>
      </w:r>
      <w:r w:rsidRPr="00E84B2D">
        <w:rPr>
          <w:rFonts w:asciiTheme="majorHAnsi" w:hAnsiTheme="majorHAnsi"/>
          <w:sz w:val="20"/>
          <w:szCs w:val="20"/>
        </w:rPr>
        <w:t>.</w:t>
      </w:r>
      <w:r w:rsidR="00757535" w:rsidRPr="00E84B2D">
        <w:rPr>
          <w:rFonts w:asciiTheme="majorHAnsi" w:hAnsiTheme="majorHAnsi"/>
          <w:sz w:val="20"/>
          <w:szCs w:val="20"/>
        </w:rPr>
        <w:t xml:space="preserve"> </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193.        In the previous section of the present report, the Commission has already concluded that the Paraguayan State failed to comply with its obligation to investigate ex officio, with due diligence and in an independent and impartial manner what happened to Juan Arrom and Anuncio Martí, including the many indications of participation of state agents which are consistent in their essential aspects and which were recapitulated in detail both in this section and in the present. Consequently, the Commission considers that it is appropriate to give probative value to these elements, since, as indicated by the Court, to conclude otherwise would be to allow the Paraguayan State to rely on its non-compliance with its obligations under the American Convention</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194.        The Commission recalls that it is not for it to determine individual criminal responsibility but to determine whether there are sufficient elements which, taken as a whole, lead to the conclusion that the State was involved in the violations. The Commission has already recapitulated these elements, which are reinforced by the lack of their adequate investigation by the State.</w:t>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195.        Consequently, the Commission finds that the element relating to the participation of State agents in the alleged facts has been verified.</w:t>
      </w:r>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196.        With regard to the object or purpose, the Commission observes that, according to the elements that point to State responsibility for which probative value has been granted, the acts of State agents were deliberate and, in accordance with testimonies of Juan Arrom and Anuncio Martí, the individuals involved in their detention had as their purpose that they self-incriminate in the kidnapping of Mrs. Maria Edith Bordón and sought to obtain information about their political organization, its members and the relationship with other organizations. In that sense, this requirement is also satisfied.</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197.        In accordance with the foregoing, the Commission concludes that the Paraguayan State is responsible for the commission of acts of torture, violating Articles 5.1 and 5.2 of the American Convention, in relation to Article 1 (1) of the Convention, in prejudice of Juan Francisco Arrom Suhurt and Anuncio Martí Méndez. In addition, the State violated Articles 1 and 6 of the Inter-American Convention to Prevent and Punish Torture.</w:t>
      </w:r>
    </w:p>
    <w:p w:rsidR="00E84B2D" w:rsidRPr="00E84B2D" w:rsidRDefault="00E84B2D" w:rsidP="00E84B2D">
      <w:pPr>
        <w:rPr>
          <w:rFonts w:asciiTheme="majorHAnsi" w:hAnsiTheme="majorHAnsi"/>
          <w:sz w:val="20"/>
          <w:szCs w:val="20"/>
        </w:rPr>
      </w:pPr>
      <w:r w:rsidRPr="00E84B2D">
        <w:rPr>
          <w:rFonts w:asciiTheme="majorHAnsi" w:hAnsiTheme="majorHAnsi"/>
          <w:b/>
          <w:bCs/>
          <w:sz w:val="20"/>
          <w:szCs w:val="20"/>
        </w:rPr>
        <w:t> </w:t>
      </w:r>
    </w:p>
    <w:p w:rsidR="00E84B2D" w:rsidRDefault="00E84B2D">
      <w:pPr>
        <w:rPr>
          <w:rFonts w:asciiTheme="majorHAnsi" w:eastAsia="Times New Roman" w:hAnsiTheme="majorHAnsi"/>
          <w:b/>
          <w:bCs/>
          <w:i/>
          <w:iCs/>
          <w:sz w:val="20"/>
          <w:szCs w:val="20"/>
        </w:rPr>
      </w:pPr>
      <w:r>
        <w:rPr>
          <w:rFonts w:asciiTheme="majorHAnsi" w:eastAsia="Times New Roman" w:hAnsiTheme="majorHAnsi"/>
          <w:b/>
          <w:bCs/>
          <w:i/>
          <w:iCs/>
          <w:sz w:val="20"/>
          <w:szCs w:val="20"/>
        </w:rPr>
        <w:br w:type="page"/>
      </w:r>
    </w:p>
    <w:p w:rsidR="002D7F3B" w:rsidRDefault="00E84B2D" w:rsidP="002D7F3B">
      <w:pPr>
        <w:pStyle w:val="Heading2"/>
        <w:numPr>
          <w:ilvl w:val="0"/>
          <w:numId w:val="0"/>
        </w:numPr>
        <w:ind w:left="1080"/>
        <w:rPr>
          <w:sz w:val="20"/>
          <w:szCs w:val="20"/>
        </w:rPr>
      </w:pPr>
      <w:r w:rsidRPr="00B6227D">
        <w:rPr>
          <w:sz w:val="20"/>
          <w:szCs w:val="20"/>
        </w:rPr>
        <w:lastRenderedPageBreak/>
        <w:t> </w:t>
      </w:r>
      <w:bookmarkStart w:id="32" w:name="_Toc494373954"/>
    </w:p>
    <w:p w:rsidR="00E84B2D" w:rsidRPr="00B6227D" w:rsidRDefault="00E84B2D" w:rsidP="0080234C">
      <w:pPr>
        <w:pStyle w:val="Heading2"/>
        <w:numPr>
          <w:ilvl w:val="0"/>
          <w:numId w:val="59"/>
        </w:numPr>
        <w:rPr>
          <w:sz w:val="20"/>
          <w:szCs w:val="20"/>
        </w:rPr>
      </w:pPr>
      <w:r w:rsidRPr="00B6227D">
        <w:rPr>
          <w:sz w:val="20"/>
          <w:szCs w:val="20"/>
        </w:rPr>
        <w:t>Rights to the recognition of le</w:t>
      </w:r>
      <w:r w:rsidR="00757535">
        <w:rPr>
          <w:sz w:val="20"/>
          <w:szCs w:val="20"/>
        </w:rPr>
        <w:t>gal personality</w:t>
      </w:r>
      <w:r w:rsidR="00757535">
        <w:rPr>
          <w:rStyle w:val="FootnoteReference"/>
          <w:sz w:val="20"/>
          <w:szCs w:val="20"/>
        </w:rPr>
        <w:footnoteReference w:id="141"/>
      </w:r>
      <w:r w:rsidR="00757535">
        <w:rPr>
          <w:sz w:val="20"/>
          <w:szCs w:val="20"/>
        </w:rPr>
        <w:t>,</w:t>
      </w:r>
      <w:r w:rsidRPr="00B6227D">
        <w:rPr>
          <w:sz w:val="20"/>
          <w:szCs w:val="20"/>
        </w:rPr>
        <w:t> life</w:t>
      </w:r>
      <w:r w:rsidR="00757535">
        <w:rPr>
          <w:rStyle w:val="FootnoteReference"/>
          <w:sz w:val="20"/>
          <w:szCs w:val="20"/>
        </w:rPr>
        <w:footnoteReference w:id="142"/>
      </w:r>
      <w:r w:rsidR="00757535">
        <w:rPr>
          <w:sz w:val="20"/>
          <w:szCs w:val="20"/>
        </w:rPr>
        <w:t>,</w:t>
      </w:r>
      <w:r w:rsidRPr="00B6227D">
        <w:rPr>
          <w:sz w:val="20"/>
          <w:szCs w:val="20"/>
        </w:rPr>
        <w:t>  physical integrity</w:t>
      </w:r>
      <w:r w:rsidR="00757535">
        <w:rPr>
          <w:rStyle w:val="FootnoteReference"/>
          <w:sz w:val="20"/>
          <w:szCs w:val="20"/>
        </w:rPr>
        <w:footnoteReference w:id="143"/>
      </w:r>
      <w:r w:rsidRPr="00B6227D">
        <w:rPr>
          <w:sz w:val="20"/>
          <w:szCs w:val="20"/>
        </w:rPr>
        <w:t>  and personal liberty, and Article 1 (a) of the Inter-American Convention against Forced Disappearance of Persons</w:t>
      </w:r>
      <w:bookmarkEnd w:id="32"/>
      <w:r w:rsidR="00757535">
        <w:rPr>
          <w:rStyle w:val="FootnoteReference"/>
          <w:sz w:val="20"/>
          <w:szCs w:val="20"/>
        </w:rPr>
        <w:footnoteReference w:id="144"/>
      </w:r>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5335BB" w:rsidRDefault="00E84B2D" w:rsidP="005335BB">
      <w:pPr>
        <w:pStyle w:val="Heading3"/>
        <w:spacing w:before="0" w:beforeAutospacing="0" w:after="0" w:afterAutospacing="0"/>
        <w:ind w:left="806"/>
        <w:rPr>
          <w:rFonts w:asciiTheme="majorHAnsi" w:hAnsiTheme="majorHAnsi"/>
          <w:sz w:val="20"/>
          <w:szCs w:val="20"/>
        </w:rPr>
      </w:pPr>
      <w:bookmarkStart w:id="33" w:name="_Toc494373955"/>
      <w:r w:rsidRPr="005335BB">
        <w:rPr>
          <w:rFonts w:asciiTheme="majorHAnsi" w:hAnsiTheme="majorHAnsi"/>
          <w:sz w:val="20"/>
          <w:szCs w:val="20"/>
        </w:rPr>
        <w:t>1.     General considerations on enforced disappearance and its protection in Inter-American instruments</w:t>
      </w:r>
      <w:bookmarkEnd w:id="33"/>
    </w:p>
    <w:p w:rsidR="00E84B2D" w:rsidRPr="00E84B2D" w:rsidRDefault="00E84B2D" w:rsidP="00E84B2D">
      <w:pPr>
        <w:ind w:left="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198.        The consistent jurisprudence of the Inter-American System in cases of forced disappearance of persons indicates that it constitutes an unlawful act that generates a multiple and continuous violation of several rights protected by the American Convention and places the victim in a state of complete helplessness, involving other related crimes. The international responsibility of the State is aggravated when the disappearance is part of a systematic pattern or practice applied or tolerated by the State. It is, in short, a crime against humanity that implies a gross abandonment of the essential principles on which the</w:t>
      </w:r>
      <w:bookmarkStart w:id="34" w:name="_ftnref136"/>
      <w:r w:rsidR="00757535">
        <w:rPr>
          <w:rFonts w:asciiTheme="majorHAnsi" w:hAnsiTheme="majorHAnsi"/>
          <w:sz w:val="20"/>
          <w:szCs w:val="20"/>
        </w:rPr>
        <w:t xml:space="preserve"> Inter-American System is based</w:t>
      </w:r>
      <w:r w:rsidR="00757535">
        <w:rPr>
          <w:rStyle w:val="FootnoteReference"/>
          <w:rFonts w:asciiTheme="majorHAnsi" w:hAnsiTheme="majorHAnsi"/>
          <w:sz w:val="20"/>
          <w:szCs w:val="20"/>
        </w:rPr>
        <w:footnoteReference w:id="145"/>
      </w:r>
      <w:r w:rsidR="00757535">
        <w:rPr>
          <w:rFonts w:asciiTheme="majorHAnsi" w:hAnsiTheme="majorHAnsi"/>
          <w:sz w:val="20"/>
          <w:szCs w:val="20"/>
        </w:rPr>
        <w:t xml:space="preserve">. </w:t>
      </w:r>
      <w:bookmarkEnd w:id="34"/>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199.        Enforced disappearance violates the right to personal liberty and places the victim at serious risk of suffering irreparable damage to his or her rights to personal integrity and life. The Court has indicated that in cases of enforced disappearance, given the multiple and complex character of this serious human rights violation, its commission generates a specific violation of the right to r</w:t>
      </w:r>
      <w:bookmarkStart w:id="35" w:name="_ftnref137"/>
      <w:r w:rsidR="00757535">
        <w:rPr>
          <w:rFonts w:asciiTheme="majorHAnsi" w:hAnsiTheme="majorHAnsi"/>
          <w:sz w:val="20"/>
          <w:szCs w:val="20"/>
        </w:rPr>
        <w:t>ecognition of legal personality</w:t>
      </w:r>
      <w:r w:rsidR="00757535">
        <w:rPr>
          <w:rStyle w:val="FootnoteReference"/>
          <w:rFonts w:asciiTheme="majorHAnsi" w:hAnsiTheme="majorHAnsi"/>
          <w:sz w:val="20"/>
          <w:szCs w:val="20"/>
        </w:rPr>
        <w:footnoteReference w:id="146"/>
      </w:r>
      <w:r w:rsidR="00757535">
        <w:rPr>
          <w:rFonts w:asciiTheme="majorHAnsi" w:hAnsiTheme="majorHAnsi"/>
          <w:sz w:val="20"/>
          <w:szCs w:val="20"/>
        </w:rPr>
        <w:t xml:space="preserve">. </w:t>
      </w:r>
      <w:bookmarkEnd w:id="35"/>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757535" w:rsidRDefault="00E84B2D" w:rsidP="00757535">
      <w:pPr>
        <w:ind w:firstLine="720"/>
        <w:jc w:val="both"/>
        <w:rPr>
          <w:rFonts w:asciiTheme="majorHAnsi" w:hAnsiTheme="majorHAnsi"/>
          <w:sz w:val="20"/>
          <w:szCs w:val="20"/>
        </w:rPr>
      </w:pPr>
      <w:r w:rsidRPr="00E84B2D">
        <w:rPr>
          <w:rFonts w:asciiTheme="majorHAnsi" w:hAnsiTheme="majorHAnsi"/>
          <w:sz w:val="20"/>
          <w:szCs w:val="20"/>
        </w:rPr>
        <w:t>200.        Enforced disappearance has the following concurrent and constituent elements: (i) deprivation of liberty; ii) the direct intervention of state agents or their acquiescence; and (iii) refusal to recognize the detention or to reveal the fate or whereabouts of the missing person</w:t>
      </w:r>
      <w:r w:rsidR="00757535">
        <w:rPr>
          <w:rStyle w:val="FootnoteReference"/>
          <w:rFonts w:asciiTheme="majorHAnsi" w:hAnsiTheme="majorHAnsi"/>
          <w:sz w:val="20"/>
          <w:szCs w:val="20"/>
        </w:rPr>
        <w:footnoteReference w:id="147"/>
      </w:r>
      <w:r w:rsidRPr="00E84B2D">
        <w:rPr>
          <w:rFonts w:asciiTheme="majorHAnsi" w:hAnsiTheme="majorHAnsi"/>
          <w:sz w:val="20"/>
          <w:szCs w:val="20"/>
        </w:rPr>
        <w:t>.</w:t>
      </w:r>
    </w:p>
    <w:p w:rsidR="00E84B2D" w:rsidRPr="00E84B2D" w:rsidRDefault="00E84B2D" w:rsidP="00757535">
      <w:pPr>
        <w:ind w:firstLine="720"/>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5335BB">
      <w:pPr>
        <w:pStyle w:val="Heading3"/>
        <w:spacing w:before="0" w:beforeAutospacing="0" w:after="0" w:afterAutospacing="0"/>
        <w:ind w:left="806"/>
        <w:rPr>
          <w:rFonts w:asciiTheme="majorHAnsi" w:hAnsiTheme="majorHAnsi"/>
          <w:sz w:val="20"/>
          <w:szCs w:val="20"/>
        </w:rPr>
      </w:pPr>
      <w:bookmarkStart w:id="36" w:name="_Toc494373956"/>
      <w:r w:rsidRPr="005335BB">
        <w:rPr>
          <w:rFonts w:asciiTheme="majorHAnsi" w:hAnsiTheme="majorHAnsi"/>
          <w:sz w:val="20"/>
          <w:szCs w:val="20"/>
        </w:rPr>
        <w:t>2.</w:t>
      </w:r>
      <w:r w:rsidRPr="00E84B2D">
        <w:rPr>
          <w:rFonts w:asciiTheme="majorHAnsi" w:hAnsiTheme="majorHAnsi"/>
          <w:sz w:val="20"/>
          <w:szCs w:val="20"/>
        </w:rPr>
        <w:t>     </w:t>
      </w:r>
      <w:r w:rsidRPr="005335BB">
        <w:rPr>
          <w:rFonts w:asciiTheme="majorHAnsi" w:hAnsiTheme="majorHAnsi"/>
          <w:sz w:val="20"/>
          <w:szCs w:val="20"/>
        </w:rPr>
        <w:t>Analysis of the Present Case</w:t>
      </w:r>
      <w:bookmarkEnd w:id="36"/>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 xml:space="preserve">201.         Regarding deprivation of liberty, Juan Arrom and Anuncio Martí stated that they were deprived of their liberty on January 17, 2002, when they were detained near Marcos Álvarez's house. In the same sense Professor Resck and several inhabitants of the sector affirmed that there was an unusual activity </w:t>
      </w:r>
      <w:r w:rsidRPr="00E84B2D">
        <w:rPr>
          <w:rFonts w:asciiTheme="majorHAnsi" w:hAnsiTheme="majorHAnsi"/>
          <w:sz w:val="20"/>
          <w:szCs w:val="20"/>
        </w:rPr>
        <w:lastRenderedPageBreak/>
        <w:t>at the moment in which the victims alleged to have been captured. In addition, Mr. Resck indicated that two persons were detained in that context. In the days following the arrest, relatives of both Juan Arrom and Anuncio Martí, filed habeas corpus, and reported in the press that their relatives were missing. In addition, there are several testimonies that show that on January 30, 2002 Juan Arrom and Anuncio Martí were released, which is also seen in the videos that the IACHR has in the file of the case.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202.         In contrast, the State failed to present an alternative hypothesis on the situation of Juan Arrom and Anuncio Martí or on the place where they would have been during the days that they alleged to have been detained in clandestine places by agents of the State. The Commission considers that the State's assertion of the claim for the loss of Arrom's driving license does not call into question all the information concerning the deprivation of liberty.</w:t>
      </w:r>
    </w:p>
    <w:p w:rsidR="00E84B2D" w:rsidRPr="00E84B2D" w:rsidRDefault="00E84B2D" w:rsidP="00E84B2D">
      <w:pPr>
        <w:jc w:val="both"/>
        <w:rPr>
          <w:rFonts w:asciiTheme="majorHAnsi" w:hAnsiTheme="majorHAnsi"/>
          <w:sz w:val="20"/>
          <w:szCs w:val="20"/>
        </w:rPr>
      </w:pPr>
      <w:r w:rsidRPr="00E84B2D">
        <w:rPr>
          <w:rFonts w:asciiTheme="majorHAnsi" w:hAnsiTheme="majorHAnsi"/>
          <w:b/>
          <w:bCs/>
          <w:i/>
          <w:iCs/>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203.         With regard to the direct intervention of State agents or the acquiescence of State agents, the Commission refers in its entirety to the considerations set out in the previous section, specifically the second requirement for the legal classification of acts as torture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204.         Regarding the refusal to acknowledge the detention, the Commission notes that both the police and the judicial authorities denied the arrest of the victims. When the next of kin of Juan Arrom and Anuncio Martí filed habeas corpus remedies in their favor, the judges limited themselves to requesting information from the entities responsible for keeping the records of detainees, which in turn reported that they had no record of their detention in any state detention center. As already analyzed, the judicial authorities, without any additional effort, accepted this refusal and quickly rejected the habeas corpus. In addition, the Commission notes that the national press widely publicized the disappearance of Juan Arrom and Anuncio Martí, and when questioned on the matter, senior state officials denied knowing of the arrest. Consequently, the Commission considers that the third element to consider the events as an enforced disappearance is satisfied.</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2D7F3B" w:rsidRPr="00E84B2D" w:rsidRDefault="00E84B2D" w:rsidP="002D7F3B">
      <w:pPr>
        <w:ind w:firstLine="709"/>
        <w:jc w:val="both"/>
        <w:rPr>
          <w:rFonts w:asciiTheme="majorHAnsi" w:hAnsiTheme="majorHAnsi"/>
          <w:sz w:val="20"/>
          <w:szCs w:val="20"/>
        </w:rPr>
      </w:pPr>
      <w:r w:rsidRPr="00E84B2D">
        <w:rPr>
          <w:rFonts w:asciiTheme="majorHAnsi" w:hAnsiTheme="majorHAnsi"/>
          <w:sz w:val="20"/>
          <w:szCs w:val="20"/>
        </w:rPr>
        <w:t>205.         On the basis of the foregoing, the Commission concludes that Juan Francisco Arrom Suhurt and Anuncio Martí Méndez were the victims of enforced disappearance by State agents between January 17 and 30, 2002, and that the State of Paraguay violated the rights established in Articles 3, 4.1, 5.1, 5.2 and 7 of the American Convention, in relation to Article 1.1 of the same instrument. Likewise, the State violated Article 1 (a) of the Inter-American Convention on Forced Disappearance of Persons. Although Articles 8 (1) and 25 (1) of the Convention also form part of the multifaceted nature of rights violated in cases of enforced disappearance of persons, in the circumstances of the instant case they have already been analyzed in the initial section of the legal analysis of this report.</w:t>
      </w:r>
    </w:p>
    <w:p w:rsidR="00E84B2D" w:rsidRDefault="00E84B2D" w:rsidP="00E84B2D">
      <w:pPr>
        <w:jc w:val="both"/>
        <w:rPr>
          <w:rFonts w:asciiTheme="majorHAnsi" w:hAnsiTheme="majorHAnsi"/>
          <w:b/>
          <w:bCs/>
          <w:sz w:val="20"/>
          <w:szCs w:val="20"/>
        </w:rPr>
      </w:pPr>
      <w:r w:rsidRPr="00E84B2D">
        <w:rPr>
          <w:rFonts w:asciiTheme="majorHAnsi" w:hAnsiTheme="majorHAnsi"/>
          <w:b/>
          <w:bCs/>
          <w:sz w:val="20"/>
          <w:szCs w:val="20"/>
        </w:rPr>
        <w:t> </w:t>
      </w:r>
    </w:p>
    <w:p w:rsidR="002D7F3B" w:rsidRPr="00E84B2D" w:rsidRDefault="002D7F3B" w:rsidP="00E84B2D">
      <w:pPr>
        <w:jc w:val="both"/>
        <w:rPr>
          <w:rFonts w:asciiTheme="majorHAnsi" w:hAnsiTheme="majorHAnsi"/>
          <w:sz w:val="20"/>
          <w:szCs w:val="20"/>
        </w:rPr>
      </w:pPr>
    </w:p>
    <w:p w:rsidR="00E84B2D" w:rsidRPr="00B6227D" w:rsidRDefault="00E84B2D" w:rsidP="0080234C">
      <w:pPr>
        <w:pStyle w:val="Heading2"/>
        <w:numPr>
          <w:ilvl w:val="0"/>
          <w:numId w:val="59"/>
        </w:numPr>
        <w:rPr>
          <w:sz w:val="20"/>
          <w:szCs w:val="20"/>
        </w:rPr>
      </w:pPr>
      <w:r w:rsidRPr="00B6227D">
        <w:rPr>
          <w:sz w:val="20"/>
          <w:szCs w:val="20"/>
        </w:rPr>
        <w:t> </w:t>
      </w:r>
      <w:bookmarkStart w:id="37" w:name="_Toc494373957"/>
      <w:r w:rsidRPr="00B6227D">
        <w:rPr>
          <w:sz w:val="20"/>
          <w:szCs w:val="20"/>
        </w:rPr>
        <w:t>The right to personal integrity with respect to the next of kin of Juan Francisco Arrom Suhurt and Anuncio Martí Méndez</w:t>
      </w:r>
      <w:bookmarkEnd w:id="37"/>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09"/>
        <w:jc w:val="both"/>
        <w:rPr>
          <w:rFonts w:asciiTheme="majorHAnsi" w:hAnsiTheme="majorHAnsi"/>
          <w:sz w:val="20"/>
          <w:szCs w:val="20"/>
        </w:rPr>
      </w:pPr>
      <w:r w:rsidRPr="00E84B2D">
        <w:rPr>
          <w:rFonts w:asciiTheme="majorHAnsi" w:hAnsiTheme="majorHAnsi"/>
          <w:sz w:val="20"/>
          <w:szCs w:val="20"/>
        </w:rPr>
        <w:t>206.         The jurisprudence of the Court has stated that the next of kin of the victims of certain human rights violations may also become victims</w:t>
      </w:r>
      <w:r w:rsidR="00825970">
        <w:rPr>
          <w:rStyle w:val="FootnoteReference"/>
          <w:rFonts w:asciiTheme="majorHAnsi" w:hAnsiTheme="majorHAnsi"/>
          <w:sz w:val="20"/>
          <w:szCs w:val="20"/>
        </w:rPr>
        <w:footnoteReference w:id="148"/>
      </w:r>
      <w:r w:rsidRPr="00E84B2D">
        <w:rPr>
          <w:rFonts w:asciiTheme="majorHAnsi" w:hAnsiTheme="majorHAnsi"/>
          <w:sz w:val="20"/>
          <w:szCs w:val="20"/>
        </w:rPr>
        <w:t>.</w:t>
      </w:r>
      <w:bookmarkStart w:id="38" w:name="_ftnref139"/>
      <w:r w:rsidRPr="00E84B2D">
        <w:rPr>
          <w:rFonts w:asciiTheme="majorHAnsi" w:hAnsiTheme="majorHAnsi"/>
          <w:sz w:val="20"/>
          <w:szCs w:val="20"/>
        </w:rPr>
        <w:fldChar w:fldCharType="begin"/>
      </w:r>
      <w:r w:rsidRPr="00E84B2D">
        <w:rPr>
          <w:rFonts w:asciiTheme="majorHAnsi" w:hAnsiTheme="majorHAnsi"/>
          <w:sz w:val="20"/>
          <w:szCs w:val="20"/>
        </w:rPr>
        <w:instrText xml:space="preserve"> HYPERLINK "" \l "_ftn139" \o "" </w:instrText>
      </w:r>
      <w:r w:rsidRPr="00E84B2D">
        <w:rPr>
          <w:rFonts w:asciiTheme="majorHAnsi" w:hAnsiTheme="majorHAnsi"/>
          <w:sz w:val="20"/>
          <w:szCs w:val="20"/>
        </w:rPr>
        <w:fldChar w:fldCharType="end"/>
      </w:r>
      <w:bookmarkEnd w:id="38"/>
      <w:r w:rsidRPr="00E84B2D">
        <w:rPr>
          <w:rFonts w:asciiTheme="majorHAnsi" w:hAnsiTheme="majorHAnsi"/>
          <w:sz w:val="20"/>
          <w:szCs w:val="20"/>
        </w:rPr>
        <w:t> Specifically, the relatives of the victims may be affected in their mental and moral integrity as a result of the particular circumstances experiences by their loved ones</w:t>
      </w:r>
      <w:r w:rsidR="00825970">
        <w:rPr>
          <w:rStyle w:val="FootnoteReference"/>
          <w:rFonts w:asciiTheme="majorHAnsi" w:hAnsiTheme="majorHAnsi"/>
          <w:sz w:val="20"/>
          <w:szCs w:val="20"/>
        </w:rPr>
        <w:footnoteReference w:id="149"/>
      </w:r>
      <w:r w:rsidRPr="00E84B2D">
        <w:rPr>
          <w:rFonts w:asciiTheme="majorHAnsi" w:hAnsiTheme="majorHAnsi"/>
          <w:sz w:val="20"/>
          <w:szCs w:val="20"/>
        </w:rPr>
        <w:t>,</w:t>
      </w:r>
      <w:r w:rsidRPr="00E84B2D">
        <w:rPr>
          <w:rFonts w:asciiTheme="majorHAnsi" w:hAnsiTheme="majorHAnsi"/>
          <w:sz w:val="20"/>
          <w:szCs w:val="20"/>
          <w:vertAlign w:val="superscript"/>
        </w:rPr>
        <w:t> </w:t>
      </w:r>
      <w:r w:rsidRPr="00E84B2D">
        <w:rPr>
          <w:rFonts w:asciiTheme="majorHAnsi" w:hAnsiTheme="majorHAnsi"/>
          <w:sz w:val="20"/>
          <w:szCs w:val="20"/>
        </w:rPr>
        <w:t xml:space="preserve"> and </w:t>
      </w:r>
      <w:r w:rsidRPr="00E84B2D">
        <w:rPr>
          <w:rFonts w:asciiTheme="majorHAnsi" w:hAnsiTheme="majorHAnsi"/>
          <w:sz w:val="20"/>
          <w:szCs w:val="20"/>
        </w:rPr>
        <w:lastRenderedPageBreak/>
        <w:t>of the subsequent actions or omissions of the national authorities</w:t>
      </w:r>
      <w:r w:rsidR="00825970">
        <w:rPr>
          <w:rStyle w:val="FootnoteReference"/>
          <w:rFonts w:asciiTheme="majorHAnsi" w:hAnsiTheme="majorHAnsi"/>
          <w:sz w:val="20"/>
          <w:szCs w:val="20"/>
        </w:rPr>
        <w:footnoteReference w:id="150"/>
      </w:r>
      <w:r w:rsidRPr="00E84B2D">
        <w:rPr>
          <w:rFonts w:asciiTheme="majorHAnsi" w:hAnsiTheme="majorHAnsi"/>
          <w:sz w:val="20"/>
          <w:szCs w:val="20"/>
        </w:rPr>
        <w:t>.</w:t>
      </w:r>
      <w:r w:rsidRPr="00E84B2D">
        <w:rPr>
          <w:rFonts w:asciiTheme="majorHAnsi" w:hAnsiTheme="majorHAnsi"/>
          <w:sz w:val="20"/>
          <w:szCs w:val="20"/>
          <w:vertAlign w:val="superscript"/>
        </w:rPr>
        <w:t> </w:t>
      </w:r>
      <w:r w:rsidRPr="00E84B2D">
        <w:rPr>
          <w:rFonts w:asciiTheme="majorHAnsi" w:hAnsiTheme="majorHAnsi"/>
          <w:sz w:val="20"/>
          <w:szCs w:val="20"/>
        </w:rPr>
        <w:t> In this cases, the lack of diligent investigation of the violations constitutes a source of suffering and anguish for the relatives of the victims</w:t>
      </w:r>
      <w:r w:rsidR="00825970">
        <w:rPr>
          <w:rStyle w:val="FootnoteReference"/>
          <w:rFonts w:asciiTheme="majorHAnsi" w:hAnsiTheme="majorHAnsi"/>
          <w:sz w:val="20"/>
          <w:szCs w:val="20"/>
        </w:rPr>
        <w:footnoteReference w:id="151"/>
      </w:r>
      <w:r w:rsidRPr="00E84B2D">
        <w:rPr>
          <w:rFonts w:asciiTheme="majorHAnsi" w:hAnsiTheme="majorHAnsi"/>
          <w:sz w:val="20"/>
          <w:szCs w:val="20"/>
        </w:rPr>
        <w:t>.</w:t>
      </w:r>
      <w:r w:rsidRPr="00E84B2D">
        <w:rPr>
          <w:rFonts w:asciiTheme="majorHAnsi" w:hAnsiTheme="majorHAnsi"/>
          <w:sz w:val="20"/>
          <w:szCs w:val="20"/>
          <w:vertAlign w:val="superscript"/>
        </w:rPr>
        <w:t> </w:t>
      </w:r>
      <w:r w:rsidR="00825970" w:rsidRPr="00E84B2D">
        <w:rPr>
          <w:rFonts w:asciiTheme="majorHAnsi" w:hAnsiTheme="majorHAnsi"/>
          <w:sz w:val="20"/>
          <w:szCs w:val="20"/>
        </w:rPr>
        <w:t xml:space="preserve"> </w:t>
      </w:r>
    </w:p>
    <w:p w:rsidR="00E84B2D" w:rsidRPr="00E84B2D" w:rsidRDefault="00E84B2D" w:rsidP="00E84B2D">
      <w:pPr>
        <w:ind w:left="709"/>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207.        In cases of enforced disappearance, the suffering derived from the uncertainty of the whereabouts of the disappeared person, as well as fear of the risk to his life and personal integrity, is presumed as a consequence of the very nature of this serious violation of human rights</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u w:val="single"/>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208.        In addition, in relation to Juan Arrom, the IACHR emphasizes that its sisters Marina, Cristina, Carmen and María Auxiliadora actively took up their search during the period of their arbitrary detention, which is why they filed a habeas corpus appeals. The Commission observes that the facts of the case show that at the time of the violations of his rights, Juan Arrom had a partner and children, who are presumed to have been affected in their psychological integrity.</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209.        In relation to Anuncio Martí, the Commission finds that its sisters Marina Cristina and Marta Ramona also actively took up their search and filed the habeas corpus petition. In addition, the Commission observes that from the information appearing in the file, Mr. Martí had a partner and a child of a few years of age, therefore, it is also presumed that they were affected by what happened.</w:t>
      </w:r>
    </w:p>
    <w:p w:rsidR="00E84B2D" w:rsidRPr="00E84B2D" w:rsidRDefault="00E84B2D" w:rsidP="00E84B2D">
      <w:pPr>
        <w:ind w:left="720"/>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210.        The Commission also underlines the radical change that the family members suffered from the fact that Juan Arrom and Anuncio Martí had to leave the country and seek refugee status elsewhere.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211.        In light of the foregoing, the Commission concludes that the State violated the right to physical and moral integrity enshrined in Article 5 (1) of the American Convention in relation to the duty of respect established in Article 1 (1). of the same to the detriment of the relatives of Juan Francisco Arrom Suhurt, namely, his partner and the children they had at that time and his sisters Cristina, Marina, Carmen and Maria Auxiliadora; as well as the relatives of Anuncio Martí Méndez, namely his partner and the son he had at the time when the events occurred and his sisters Marina Cristina and Marta Ramona.</w:t>
      </w:r>
    </w:p>
    <w:p w:rsidR="002D7F3B" w:rsidRPr="00E84B2D" w:rsidRDefault="002D7F3B" w:rsidP="00E84B2D">
      <w:pPr>
        <w:ind w:firstLine="720"/>
        <w:jc w:val="both"/>
        <w:rPr>
          <w:rFonts w:asciiTheme="majorHAnsi" w:hAnsiTheme="majorHAnsi"/>
          <w:sz w:val="20"/>
          <w:szCs w:val="20"/>
        </w:rPr>
      </w:pP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2D71CD">
      <w:pPr>
        <w:pStyle w:val="Heading1"/>
        <w:numPr>
          <w:ilvl w:val="0"/>
          <w:numId w:val="0"/>
        </w:numPr>
        <w:ind w:left="720"/>
        <w:rPr>
          <w:sz w:val="20"/>
          <w:szCs w:val="20"/>
        </w:rPr>
      </w:pPr>
      <w:bookmarkStart w:id="39" w:name="_Toc494373958"/>
      <w:r w:rsidRPr="002D71CD">
        <w:rPr>
          <w:sz w:val="20"/>
          <w:szCs w:val="20"/>
        </w:rPr>
        <w:t>VI. CONCLUSIONS AND RECOMMENDATIONS</w:t>
      </w:r>
      <w:bookmarkEnd w:id="39"/>
    </w:p>
    <w:p w:rsidR="00E84B2D" w:rsidRPr="00E84B2D" w:rsidRDefault="00E84B2D" w:rsidP="00E84B2D">
      <w:pPr>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720"/>
        <w:jc w:val="both"/>
        <w:rPr>
          <w:rFonts w:asciiTheme="majorHAnsi" w:hAnsiTheme="majorHAnsi"/>
          <w:sz w:val="20"/>
          <w:szCs w:val="20"/>
        </w:rPr>
      </w:pPr>
      <w:r w:rsidRPr="00E84B2D">
        <w:rPr>
          <w:rFonts w:asciiTheme="majorHAnsi" w:hAnsiTheme="majorHAnsi"/>
          <w:sz w:val="20"/>
          <w:szCs w:val="20"/>
        </w:rPr>
        <w:t>212.        The Commission concludes that the State of Paraguay is responsible for violating the rights to legal personality, life, personal integrity, personal liberty, judicial guarantees and judicial protection established in Articles 3 , 4, 5, 7, 8 and 25 of the American Convention, in relation to the obligation established in Article 1 (1) thereof, to the detriment of Juan Francisco Arrom Suhurt and Anuncio Martí Méndez and their next of kin. In addition, the State violated the obligations contained in Articles 1a and 1b of the Inter-American Convention on the Forced Disappearance of Persons and Articles 1, 6 and 8 of the Inter-American Convention to Prevent and Punish Torture</w:t>
      </w:r>
    </w:p>
    <w:p w:rsidR="00E84B2D" w:rsidRPr="00E84B2D" w:rsidRDefault="00E84B2D" w:rsidP="00E84B2D">
      <w:pPr>
        <w:ind w:left="810"/>
        <w:jc w:val="both"/>
        <w:rPr>
          <w:rFonts w:asciiTheme="majorHAnsi" w:hAnsiTheme="majorHAnsi"/>
          <w:sz w:val="20"/>
          <w:szCs w:val="20"/>
        </w:rPr>
      </w:pPr>
      <w:r w:rsidRPr="00E84B2D">
        <w:rPr>
          <w:rFonts w:asciiTheme="majorHAnsi" w:hAnsiTheme="majorHAnsi"/>
          <w:b/>
          <w:bCs/>
          <w:sz w:val="20"/>
          <w:szCs w:val="20"/>
        </w:rPr>
        <w:t> </w:t>
      </w:r>
    </w:p>
    <w:p w:rsidR="00E84B2D" w:rsidRPr="00E84B2D" w:rsidRDefault="00E84B2D" w:rsidP="00E84B2D">
      <w:pPr>
        <w:ind w:firstLine="810"/>
        <w:jc w:val="both"/>
        <w:rPr>
          <w:rFonts w:asciiTheme="majorHAnsi" w:hAnsiTheme="majorHAnsi"/>
          <w:sz w:val="20"/>
          <w:szCs w:val="20"/>
        </w:rPr>
      </w:pPr>
      <w:r w:rsidRPr="00E84B2D">
        <w:rPr>
          <w:rFonts w:asciiTheme="majorHAnsi" w:hAnsiTheme="majorHAnsi"/>
          <w:sz w:val="20"/>
          <w:szCs w:val="20"/>
        </w:rPr>
        <w:t>213.      In the light of the foregoing conclusions, the INTER-AMERICAN COMMISSION ON HUMAN RIGHTS recommends to the State of Paraguay</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1425" w:hanging="705"/>
        <w:jc w:val="both"/>
        <w:rPr>
          <w:rFonts w:asciiTheme="majorHAnsi" w:hAnsiTheme="majorHAnsi"/>
          <w:sz w:val="20"/>
          <w:szCs w:val="20"/>
        </w:rPr>
      </w:pPr>
      <w:r w:rsidRPr="00E84B2D">
        <w:rPr>
          <w:rFonts w:asciiTheme="majorHAnsi" w:hAnsiTheme="majorHAnsi"/>
          <w:sz w:val="20"/>
          <w:szCs w:val="20"/>
        </w:rPr>
        <w:t>1.              To fully remedy the human rights violations declared in this report, both in material and non-material terms. The State must adopt measures of economic compensation and satisfaction</w:t>
      </w:r>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1425" w:hanging="705"/>
        <w:jc w:val="both"/>
        <w:rPr>
          <w:rFonts w:asciiTheme="majorHAnsi" w:hAnsiTheme="majorHAnsi"/>
          <w:sz w:val="20"/>
          <w:szCs w:val="20"/>
        </w:rPr>
      </w:pPr>
      <w:r w:rsidRPr="00E84B2D">
        <w:rPr>
          <w:rFonts w:asciiTheme="majorHAnsi" w:hAnsiTheme="majorHAnsi"/>
          <w:sz w:val="20"/>
          <w:szCs w:val="20"/>
        </w:rPr>
        <w:lastRenderedPageBreak/>
        <w:t>2.              Provide the physical and mental health care necessary for the rehabilitation of Juan Arrom and Anuncio Martí, if it is their will and in a concerted manner. Taking into account that they are in Brazil, it is appropriate to provide them with a specific amount to cover the medical services that they must pay in that country.</w:t>
      </w:r>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1425" w:hanging="705"/>
        <w:jc w:val="both"/>
        <w:rPr>
          <w:rFonts w:asciiTheme="majorHAnsi" w:hAnsiTheme="majorHAnsi"/>
          <w:sz w:val="20"/>
          <w:szCs w:val="20"/>
        </w:rPr>
      </w:pPr>
      <w:r w:rsidRPr="00E84B2D">
        <w:rPr>
          <w:rFonts w:asciiTheme="majorHAnsi" w:hAnsiTheme="majorHAnsi"/>
          <w:sz w:val="20"/>
          <w:szCs w:val="20"/>
        </w:rPr>
        <w:t>3.              To reopen and complete the criminal investigation diligently, effectively and within a reasonable time in order to fully clarify the facts, identify all possible responsibilities and impose corresponding sanctions in respect of human rights violations declared in this report</w:t>
      </w:r>
    </w:p>
    <w:p w:rsidR="00E84B2D" w:rsidRPr="00E84B2D" w:rsidRDefault="00E84B2D" w:rsidP="00E84B2D">
      <w:pPr>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1425" w:hanging="705"/>
        <w:jc w:val="both"/>
        <w:rPr>
          <w:rFonts w:asciiTheme="majorHAnsi" w:hAnsiTheme="majorHAnsi"/>
          <w:sz w:val="20"/>
          <w:szCs w:val="20"/>
        </w:rPr>
      </w:pPr>
      <w:r w:rsidRPr="00E84B2D">
        <w:rPr>
          <w:rFonts w:asciiTheme="majorHAnsi" w:hAnsiTheme="majorHAnsi"/>
          <w:sz w:val="20"/>
          <w:szCs w:val="20"/>
        </w:rPr>
        <w:t>4.              Provide non-repetition mechanisms that include</w:t>
      </w:r>
    </w:p>
    <w:p w:rsidR="00E84B2D" w:rsidRPr="00E84B2D" w:rsidRDefault="00E84B2D" w:rsidP="00E84B2D">
      <w:pPr>
        <w:jc w:val="both"/>
        <w:rPr>
          <w:rFonts w:asciiTheme="majorHAnsi" w:hAnsiTheme="majorHAnsi"/>
          <w:sz w:val="20"/>
          <w:szCs w:val="20"/>
        </w:rPr>
      </w:pPr>
      <w:r w:rsidRPr="00E84B2D">
        <w:rPr>
          <w:rFonts w:asciiTheme="majorHAnsi" w:hAnsiTheme="majorHAnsi"/>
          <w:sz w:val="20"/>
          <w:szCs w:val="20"/>
        </w:rPr>
        <w:t> </w:t>
      </w:r>
    </w:p>
    <w:p w:rsidR="00E84B2D" w:rsidRPr="00E84B2D" w:rsidRDefault="00E84B2D" w:rsidP="00E84B2D">
      <w:pPr>
        <w:ind w:left="1800" w:hanging="360"/>
        <w:jc w:val="both"/>
        <w:rPr>
          <w:rFonts w:asciiTheme="majorHAnsi" w:hAnsiTheme="majorHAnsi"/>
          <w:sz w:val="20"/>
          <w:szCs w:val="20"/>
        </w:rPr>
      </w:pPr>
      <w:r w:rsidRPr="00E84B2D">
        <w:rPr>
          <w:rFonts w:asciiTheme="majorHAnsi" w:hAnsiTheme="majorHAnsi"/>
          <w:sz w:val="20"/>
          <w:szCs w:val="20"/>
        </w:rPr>
        <w:t>a.      Strengthen the investigative capacity of the Public Prosecutor's Office, especially in cases of serious violations of human rights, to ensure the initiation of an investigation and due diligence in its development</w:t>
      </w:r>
    </w:p>
    <w:p w:rsidR="00E84B2D" w:rsidRPr="00E84B2D" w:rsidRDefault="00E84B2D" w:rsidP="00E84B2D">
      <w:pPr>
        <w:ind w:left="1800" w:hanging="360"/>
        <w:jc w:val="both"/>
        <w:rPr>
          <w:rFonts w:asciiTheme="majorHAnsi" w:hAnsiTheme="majorHAnsi"/>
          <w:sz w:val="20"/>
          <w:szCs w:val="20"/>
        </w:rPr>
      </w:pPr>
      <w:r w:rsidRPr="00E84B2D">
        <w:rPr>
          <w:rFonts w:asciiTheme="majorHAnsi" w:hAnsiTheme="majorHAnsi"/>
          <w:sz w:val="20"/>
          <w:szCs w:val="20"/>
        </w:rPr>
        <w:t>b.      Adopt the necessary measures so that the decisions of the Prosecutor’s Office definitively closing the possibility of investigating serious human rights violations may be subject to judicial control</w:t>
      </w:r>
    </w:p>
    <w:p w:rsidR="00E84B2D" w:rsidRPr="00E84B2D" w:rsidRDefault="00E84B2D" w:rsidP="00E84B2D">
      <w:pPr>
        <w:ind w:left="1800" w:hanging="360"/>
        <w:jc w:val="both"/>
        <w:rPr>
          <w:rFonts w:asciiTheme="majorHAnsi" w:hAnsiTheme="majorHAnsi"/>
          <w:sz w:val="20"/>
          <w:szCs w:val="20"/>
        </w:rPr>
      </w:pPr>
      <w:r w:rsidRPr="00E84B2D">
        <w:rPr>
          <w:rFonts w:asciiTheme="majorHAnsi" w:hAnsiTheme="majorHAnsi"/>
          <w:sz w:val="20"/>
          <w:szCs w:val="20"/>
        </w:rPr>
        <w:t>c.      To take the necessary measures to ensure that, in the conduct of investigations and prosecutions, all authorities comply with the duty to respect the presumption of innocence and to avoid stigmatizing those who are being prosecuted and searched for detention.</w:t>
      </w:r>
    </w:p>
    <w:p w:rsidR="00E84B2D" w:rsidRPr="00E43642" w:rsidRDefault="00E84B2D" w:rsidP="00E84B2D">
      <w:pPr>
        <w:spacing w:line="276" w:lineRule="atLeast"/>
      </w:pPr>
      <w:r w:rsidRPr="00E43642">
        <w:rPr>
          <w:rFonts w:ascii="Cambria" w:hAnsi="Cambria"/>
          <w:sz w:val="20"/>
          <w:szCs w:val="20"/>
        </w:rPr>
        <w:t> </w:t>
      </w:r>
    </w:p>
    <w:p w:rsidR="00202702" w:rsidRPr="0027159C" w:rsidRDefault="00E84B2D" w:rsidP="00796AFE">
      <w:pPr>
        <w:rPr>
          <w:rFonts w:ascii="Cambria" w:hAnsi="Cambria"/>
          <w:spacing w:val="-2"/>
          <w:sz w:val="20"/>
          <w:szCs w:val="20"/>
        </w:rPr>
      </w:pPr>
      <w:r w:rsidRPr="00E43642">
        <w:rPr>
          <w:rFonts w:ascii="-webkit-standard" w:eastAsia="Times New Roman" w:hAnsi="-webkit-standard"/>
          <w:sz w:val="20"/>
          <w:szCs w:val="20"/>
        </w:rPr>
        <w:br w:type="textWrapping" w:clear="all"/>
      </w:r>
    </w:p>
    <w:sectPr w:rsidR="00202702" w:rsidRPr="0027159C" w:rsidSect="00324D9C">
      <w:headerReference w:type="even" r:id="rId15"/>
      <w:headerReference w:type="default" r:id="rId16"/>
      <w:footerReference w:type="default" r:id="rId17"/>
      <w:footerReference w:type="first" r:id="rId18"/>
      <w:pgSz w:w="12240" w:h="15840"/>
      <w:pgMar w:top="1440" w:right="1440" w:bottom="1440" w:left="1440" w:header="720" w:footer="720" w:gutter="0"/>
      <w:pgNumType w:start="2"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6B2" w:rsidRDefault="009166B2" w:rsidP="00036A8A">
      <w:r>
        <w:separator/>
      </w:r>
    </w:p>
  </w:endnote>
  <w:endnote w:type="continuationSeparator" w:id="0">
    <w:p w:rsidR="009166B2" w:rsidRDefault="009166B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C8" w:rsidRDefault="00C807C8">
    <w:pPr>
      <w:pStyle w:val="Footer"/>
      <w:jc w:val="center"/>
    </w:pPr>
    <w:r>
      <w:t>1</w:t>
    </w:r>
  </w:p>
  <w:p w:rsidR="00C807C8" w:rsidRDefault="00C807C8" w:rsidP="003319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654801"/>
      <w:docPartObj>
        <w:docPartGallery w:val="Page Numbers (Bottom of Page)"/>
        <w:docPartUnique/>
      </w:docPartObj>
    </w:sdtPr>
    <w:sdtEndPr>
      <w:rPr>
        <w:noProof/>
      </w:rPr>
    </w:sdtEndPr>
    <w:sdtContent>
      <w:p w:rsidR="00C807C8" w:rsidRDefault="00C807C8">
        <w:pPr>
          <w:pStyle w:val="Footer"/>
          <w:jc w:val="center"/>
        </w:pPr>
        <w:r>
          <w:fldChar w:fldCharType="begin"/>
        </w:r>
        <w:r>
          <w:instrText xml:space="preserve"> PAGE   \* MERGEFORMAT </w:instrText>
        </w:r>
        <w:r>
          <w:fldChar w:fldCharType="separate"/>
        </w:r>
        <w:r w:rsidR="008606CD">
          <w:rPr>
            <w:noProof/>
          </w:rPr>
          <w:t>43</w:t>
        </w:r>
        <w:r>
          <w:rPr>
            <w:noProof/>
          </w:rPr>
          <w:fldChar w:fldCharType="end"/>
        </w:r>
      </w:p>
    </w:sdtContent>
  </w:sdt>
  <w:p w:rsidR="00C807C8" w:rsidRPr="00E848DB" w:rsidRDefault="00C807C8" w:rsidP="00E848DB">
    <w:pPr>
      <w:pStyle w:val="Footer"/>
      <w:jc w:val="center"/>
      <w:rPr>
        <w:sz w:val="16"/>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C8" w:rsidRPr="00934A2C" w:rsidRDefault="00C807C8">
    <w:pPr>
      <w:pStyle w:val="Footer"/>
      <w:jc w:val="center"/>
      <w:rPr>
        <w:sz w:val="16"/>
        <w:szCs w:val="22"/>
      </w:rPr>
    </w:pPr>
  </w:p>
  <w:p w:rsidR="00C807C8" w:rsidRDefault="00C80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6B2" w:rsidRPr="00036A8A" w:rsidRDefault="009166B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166B2" w:rsidRPr="00036A8A" w:rsidRDefault="009166B2" w:rsidP="00036A8A">
      <w:pPr>
        <w:rPr>
          <w:rFonts w:asciiTheme="majorHAnsi" w:hAnsiTheme="majorHAnsi"/>
          <w:sz w:val="16"/>
          <w:szCs w:val="16"/>
        </w:rPr>
      </w:pPr>
      <w:r w:rsidRPr="00036A8A">
        <w:rPr>
          <w:rFonts w:asciiTheme="majorHAnsi" w:hAnsiTheme="majorHAnsi"/>
          <w:sz w:val="16"/>
          <w:szCs w:val="16"/>
        </w:rPr>
        <w:separator/>
      </w:r>
    </w:p>
    <w:p w:rsidR="009166B2" w:rsidRPr="00036A8A" w:rsidRDefault="009166B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166B2" w:rsidRPr="0093441A" w:rsidRDefault="009166B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C807C8" w:rsidRPr="007C3E68" w:rsidRDefault="00C807C8" w:rsidP="002D7F3B">
      <w:pPr>
        <w:pStyle w:val="FootnoteText"/>
        <w:ind w:firstLine="720"/>
        <w:jc w:val="both"/>
        <w:rPr>
          <w:rFonts w:ascii="Arial" w:hAnsi="Arial" w:cs="Arial"/>
          <w:color w:val="212121"/>
          <w:shd w:val="clear" w:color="auto" w:fill="FFFFFF"/>
        </w:rPr>
      </w:pPr>
      <w:r w:rsidRPr="007C3E68">
        <w:rPr>
          <w:rStyle w:val="FootnoteReference"/>
        </w:rPr>
        <w:footnoteRef/>
      </w:r>
      <w:r w:rsidRPr="007C3E68">
        <w:t xml:space="preserve"> </w:t>
      </w:r>
      <w:r w:rsidRPr="007C3E68">
        <w:rPr>
          <w:rFonts w:asciiTheme="majorHAnsi" w:hAnsiTheme="majorHAnsi"/>
          <w:sz w:val="16"/>
          <w:szCs w:val="16"/>
        </w:rPr>
        <w:t xml:space="preserve">The Commissioner Paulo Vanucchi, a Brazilian national, considered that –based on Article </w:t>
      </w:r>
      <w:r w:rsidRPr="007C3E68">
        <w:rPr>
          <w:rFonts w:asciiTheme="majorHAnsi" w:hAnsiTheme="majorHAnsi" w:cs="Arial"/>
          <w:color w:val="212121"/>
          <w:sz w:val="16"/>
          <w:szCs w:val="16"/>
          <w:shd w:val="clear" w:color="auto" w:fill="FFFFFF"/>
        </w:rPr>
        <w:t>17.3 of the Rules of Procedure of the IACHR - he should refrain from participating in the study and decision of the question. The Inter-American Commission accepted its decision to excuse itself, reason why Commissioner Paulo Vannuchi did not participate in the deliberation and vote of this case.</w:t>
      </w:r>
      <w:r w:rsidRPr="007C3E68">
        <w:rPr>
          <w:rFonts w:ascii="Arial" w:hAnsi="Arial" w:cs="Arial"/>
          <w:color w:val="212121"/>
          <w:shd w:val="clear" w:color="auto" w:fill="FFFFFF"/>
        </w:rPr>
        <w:t xml:space="preserve"> </w:t>
      </w:r>
    </w:p>
    <w:p w:rsidR="00C807C8" w:rsidRPr="007C3E68" w:rsidRDefault="00C807C8" w:rsidP="002D7F3B">
      <w:pPr>
        <w:pStyle w:val="FootnoteText"/>
        <w:ind w:firstLine="720"/>
        <w:jc w:val="both"/>
      </w:pPr>
    </w:p>
  </w:footnote>
  <w:footnote w:id="3">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Subsequently, on September 20, 2004, lawyers Andrés Dejesús Ramírez and Matthias Mailleux Santana filed a petition relating to the same facts as those presented by the Arrom family in which they alleged the international responsibility of Paraguay, to the detriment of Messrs. Juan Francisco Arrom Suhurt, Anuncio Martí Méndez, Víctor Antonio Colmán Ortega, Ana Rosa Samudio de Colmán, Jorge Samudio Ferreira and the relatives of the alleged victims. On April 19, 2005, the Commission accumulated the petitions. Subsequently, attorney Carlos Abadie Pankow acted as proxy of the petitioners.</w:t>
      </w:r>
    </w:p>
    <w:p w:rsidR="00C807C8" w:rsidRPr="007C3E68" w:rsidRDefault="00C807C8" w:rsidP="002D7F3B">
      <w:pPr>
        <w:pStyle w:val="FootnoteText"/>
        <w:ind w:firstLine="720"/>
        <w:jc w:val="both"/>
        <w:rPr>
          <w:rFonts w:asciiTheme="majorHAnsi" w:hAnsiTheme="majorHAnsi"/>
          <w:sz w:val="16"/>
          <w:szCs w:val="16"/>
        </w:rPr>
      </w:pPr>
    </w:p>
  </w:footnote>
  <w:footnote w:id="4">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Admissibility Report No. 86/08, of October 30, 2008. Petition 04-03. Juan Francisco Arrom Suhurt, Anuncio Martí Méndez, Víctor Colmán Ortega, Ana Rosa Samudio de Colmán, Jorge Samudio Ferreira and their immediate family. Paraguay. </w:t>
      </w:r>
    </w:p>
  </w:footnote>
  <w:footnote w:id="5">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On February 6, 2002, IACHR granted precautionary measures in the case and requested the Government of Paraguay "to take whatever measures are necessary to ensure the life and physical integrity of Juan Francisco Arrom Suhurt and Anuncio Martí Méndez." On 12 June 2006, the Commission lifted the precautionary measures.</w:t>
      </w:r>
    </w:p>
  </w:footnote>
  <w:footnote w:id="6">
    <w:p w:rsidR="00C807C8" w:rsidRPr="007C3E68" w:rsidRDefault="00C807C8" w:rsidP="002D7F3B">
      <w:pPr>
        <w:pStyle w:val="FootnoteText"/>
        <w:ind w:firstLine="720"/>
        <w:jc w:val="both"/>
        <w:rPr>
          <w:rFonts w:asciiTheme="majorHAnsi" w:hAnsiTheme="majorHAnsi"/>
          <w:sz w:val="16"/>
          <w:szCs w:val="16"/>
          <w:lang w:val="en"/>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 Decision of the Criminal Judge of July 12, 2003. </w:t>
      </w:r>
      <w:r w:rsidRPr="007C3E68">
        <w:rPr>
          <w:rFonts w:asciiTheme="majorHAnsi" w:hAnsiTheme="majorHAnsi"/>
          <w:sz w:val="16"/>
          <w:szCs w:val="16"/>
          <w:lang w:val="en"/>
        </w:rPr>
        <w:t xml:space="preserve">Annexed to </w:t>
      </w:r>
      <w:r w:rsidR="007A6A52">
        <w:rPr>
          <w:rFonts w:asciiTheme="majorHAnsi" w:hAnsiTheme="majorHAnsi"/>
          <w:sz w:val="16"/>
          <w:szCs w:val="16"/>
          <w:lang w:val="en"/>
        </w:rPr>
        <w:t>communication of the State</w:t>
      </w:r>
      <w:r w:rsidRPr="007C3E68">
        <w:rPr>
          <w:rFonts w:asciiTheme="majorHAnsi" w:hAnsiTheme="majorHAnsi"/>
          <w:sz w:val="16"/>
          <w:szCs w:val="16"/>
          <w:lang w:val="en"/>
        </w:rPr>
        <w:t xml:space="preserve"> dated October 3, 2003.</w:t>
      </w:r>
    </w:p>
    <w:p w:rsidR="00C807C8" w:rsidRPr="007C3E68" w:rsidRDefault="00C807C8" w:rsidP="002D7F3B">
      <w:pPr>
        <w:pStyle w:val="FootnoteText"/>
        <w:ind w:firstLine="720"/>
        <w:jc w:val="both"/>
        <w:rPr>
          <w:rFonts w:asciiTheme="majorHAnsi" w:hAnsiTheme="majorHAnsi"/>
          <w:sz w:val="16"/>
          <w:szCs w:val="16"/>
        </w:rPr>
      </w:pPr>
    </w:p>
  </w:footnote>
  <w:footnote w:id="7">
    <w:p w:rsidR="00C807C8" w:rsidRPr="007C3E68" w:rsidRDefault="00C807C8" w:rsidP="002D7F3B">
      <w:pPr>
        <w:ind w:firstLine="720"/>
        <w:jc w:val="both"/>
        <w:rPr>
          <w:rFonts w:asciiTheme="majorHAnsi" w:hAnsiTheme="majorHAnsi"/>
          <w:sz w:val="16"/>
          <w:szCs w:val="16"/>
          <w:lang w:val="en"/>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 </w:t>
      </w:r>
      <w:r w:rsidRPr="007C3E68">
        <w:rPr>
          <w:rFonts w:asciiTheme="majorHAnsi" w:hAnsiTheme="majorHAnsi"/>
          <w:iCs/>
          <w:sz w:val="16"/>
          <w:szCs w:val="16"/>
        </w:rPr>
        <w:t>Diario ABC </w:t>
      </w:r>
      <w:r w:rsidRPr="007C3E68">
        <w:rPr>
          <w:rFonts w:asciiTheme="majorHAnsi" w:hAnsiTheme="majorHAnsi"/>
          <w:sz w:val="16"/>
          <w:szCs w:val="16"/>
        </w:rPr>
        <w:t xml:space="preserve">article, entitled “Tinte político-económico”, published on November 27, 2001. </w:t>
      </w:r>
      <w:r w:rsidRPr="007C3E68">
        <w:rPr>
          <w:rFonts w:asciiTheme="majorHAnsi" w:hAnsiTheme="majorHAnsi"/>
          <w:sz w:val="16"/>
          <w:szCs w:val="16"/>
          <w:lang w:val="en"/>
        </w:rPr>
        <w:t xml:space="preserve">Annexed to </w:t>
      </w:r>
      <w:r w:rsidR="007A6A52">
        <w:rPr>
          <w:rFonts w:asciiTheme="majorHAnsi" w:hAnsiTheme="majorHAnsi"/>
          <w:sz w:val="16"/>
          <w:szCs w:val="16"/>
          <w:lang w:val="en"/>
        </w:rPr>
        <w:t>communication from petitioners</w:t>
      </w:r>
      <w:r w:rsidRPr="007C3E68">
        <w:rPr>
          <w:rFonts w:asciiTheme="majorHAnsi" w:hAnsiTheme="majorHAnsi"/>
          <w:sz w:val="16"/>
          <w:szCs w:val="16"/>
          <w:lang w:val="en"/>
        </w:rPr>
        <w:t xml:space="preserve"> dated July 8, 2003.</w:t>
      </w:r>
    </w:p>
    <w:p w:rsidR="00C807C8" w:rsidRPr="007C3E68" w:rsidRDefault="00C807C8" w:rsidP="002D7F3B">
      <w:pPr>
        <w:ind w:firstLine="720"/>
        <w:jc w:val="both"/>
        <w:rPr>
          <w:rFonts w:ascii="Calibri" w:hAnsi="Calibri"/>
          <w:sz w:val="16"/>
          <w:szCs w:val="16"/>
        </w:rPr>
      </w:pPr>
    </w:p>
  </w:footnote>
  <w:footnote w:id="8">
    <w:p w:rsidR="00C807C8" w:rsidRPr="007C3E68" w:rsidRDefault="00C807C8" w:rsidP="002D7F3B">
      <w:pPr>
        <w:pStyle w:val="FootnoteText"/>
        <w:ind w:firstLine="720"/>
        <w:jc w:val="both"/>
        <w:rPr>
          <w:sz w:val="16"/>
          <w:szCs w:val="16"/>
        </w:rPr>
      </w:pPr>
      <w:r w:rsidRPr="007C3E68">
        <w:rPr>
          <w:rStyle w:val="FootnoteReference"/>
          <w:sz w:val="16"/>
          <w:szCs w:val="16"/>
        </w:rPr>
        <w:footnoteRef/>
      </w:r>
      <w:r w:rsidRPr="007C3E68">
        <w:rPr>
          <w:sz w:val="16"/>
          <w:szCs w:val="16"/>
        </w:rPr>
        <w:t xml:space="preserve"> </w:t>
      </w:r>
      <w:r w:rsidRPr="007C3E68">
        <w:rPr>
          <w:rFonts w:ascii="Cambria" w:hAnsi="Cambria"/>
          <w:sz w:val="16"/>
          <w:szCs w:val="16"/>
        </w:rPr>
        <w:t xml:space="preserve">Annex 1. Decision of the Criminal Judge of July 12, 2003. </w:t>
      </w:r>
      <w:r w:rsidRPr="007C3E68">
        <w:rPr>
          <w:rFonts w:asciiTheme="majorHAnsi" w:hAnsiTheme="majorHAnsi"/>
          <w:sz w:val="16"/>
          <w:szCs w:val="16"/>
          <w:lang w:val="en"/>
        </w:rPr>
        <w:t xml:space="preserve">Annexed to </w:t>
      </w:r>
      <w:r w:rsidR="007A6A52">
        <w:rPr>
          <w:rFonts w:asciiTheme="majorHAnsi" w:hAnsiTheme="majorHAnsi"/>
          <w:sz w:val="16"/>
          <w:szCs w:val="16"/>
          <w:lang w:val="en"/>
        </w:rPr>
        <w:t>communication of the State</w:t>
      </w:r>
      <w:r w:rsidRPr="007C3E68">
        <w:rPr>
          <w:rFonts w:asciiTheme="majorHAnsi" w:hAnsiTheme="majorHAnsi"/>
          <w:sz w:val="16"/>
          <w:szCs w:val="16"/>
          <w:lang w:val="en"/>
        </w:rPr>
        <w:t xml:space="preserve"> dated October 3, 2003.</w:t>
      </w:r>
    </w:p>
  </w:footnote>
  <w:footnote w:id="9">
    <w:p w:rsidR="00C807C8" w:rsidRPr="007C3E68" w:rsidRDefault="00C807C8" w:rsidP="002D7F3B">
      <w:pPr>
        <w:pStyle w:val="FootnoteText"/>
        <w:ind w:firstLine="720"/>
        <w:jc w:val="both"/>
        <w:rPr>
          <w:rFonts w:asciiTheme="majorHAnsi" w:hAnsiTheme="majorHAnsi"/>
          <w:sz w:val="16"/>
          <w:szCs w:val="16"/>
          <w:lang w:val="en"/>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 Decision of the Criminal Judge of July 12, 2003. </w:t>
      </w:r>
      <w:r w:rsidRPr="007C3E68">
        <w:rPr>
          <w:rFonts w:asciiTheme="majorHAnsi" w:hAnsiTheme="majorHAnsi"/>
          <w:sz w:val="16"/>
          <w:szCs w:val="16"/>
          <w:lang w:val="en"/>
        </w:rPr>
        <w:t xml:space="preserve">Annexed to </w:t>
      </w:r>
      <w:r w:rsidR="007A6A52">
        <w:rPr>
          <w:rFonts w:asciiTheme="majorHAnsi" w:hAnsiTheme="majorHAnsi"/>
          <w:sz w:val="16"/>
          <w:szCs w:val="16"/>
          <w:lang w:val="en"/>
        </w:rPr>
        <w:t>communication of the State</w:t>
      </w:r>
      <w:r w:rsidRPr="007C3E68">
        <w:rPr>
          <w:rFonts w:asciiTheme="majorHAnsi" w:hAnsiTheme="majorHAnsi"/>
          <w:sz w:val="16"/>
          <w:szCs w:val="16"/>
          <w:lang w:val="en"/>
        </w:rPr>
        <w:t xml:space="preserve"> dated October 3, 2003.</w:t>
      </w:r>
    </w:p>
    <w:p w:rsidR="00C807C8" w:rsidRPr="007C3E68" w:rsidRDefault="00C807C8" w:rsidP="002D7F3B">
      <w:pPr>
        <w:pStyle w:val="FootnoteText"/>
        <w:ind w:firstLine="720"/>
        <w:jc w:val="both"/>
        <w:rPr>
          <w:rFonts w:asciiTheme="majorHAnsi" w:hAnsiTheme="majorHAnsi"/>
          <w:sz w:val="16"/>
          <w:szCs w:val="16"/>
        </w:rPr>
      </w:pPr>
    </w:p>
  </w:footnote>
  <w:footnote w:id="10">
    <w:p w:rsidR="00C807C8" w:rsidRPr="007C3E68" w:rsidRDefault="00C807C8" w:rsidP="002D7F3B">
      <w:pPr>
        <w:pStyle w:val="FootnoteText"/>
        <w:ind w:firstLine="720"/>
        <w:jc w:val="both"/>
        <w:rPr>
          <w:rFonts w:asciiTheme="majorHAnsi" w:hAnsiTheme="majorHAnsi"/>
          <w:sz w:val="16"/>
          <w:szCs w:val="16"/>
          <w:lang w:val="en"/>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 Decision of the Criminal Judge of July 12, 2003. </w:t>
      </w:r>
      <w:r w:rsidRPr="007C3E68">
        <w:rPr>
          <w:rFonts w:asciiTheme="majorHAnsi" w:hAnsiTheme="majorHAnsi"/>
          <w:sz w:val="16"/>
          <w:szCs w:val="16"/>
          <w:lang w:val="en"/>
        </w:rPr>
        <w:t xml:space="preserve">Annexed to </w:t>
      </w:r>
      <w:r w:rsidR="007A6A52">
        <w:rPr>
          <w:rFonts w:asciiTheme="majorHAnsi" w:hAnsiTheme="majorHAnsi"/>
          <w:sz w:val="16"/>
          <w:szCs w:val="16"/>
          <w:lang w:val="en"/>
        </w:rPr>
        <w:t>communication of the State</w:t>
      </w:r>
      <w:r w:rsidRPr="007C3E68">
        <w:rPr>
          <w:rFonts w:asciiTheme="majorHAnsi" w:hAnsiTheme="majorHAnsi"/>
          <w:sz w:val="16"/>
          <w:szCs w:val="16"/>
          <w:lang w:val="en"/>
        </w:rPr>
        <w:t xml:space="preserve"> dated October 3, 2003.</w:t>
      </w:r>
    </w:p>
    <w:p w:rsidR="00C807C8" w:rsidRPr="007C3E68" w:rsidRDefault="00C807C8" w:rsidP="002D7F3B">
      <w:pPr>
        <w:pStyle w:val="FootnoteText"/>
        <w:ind w:firstLine="720"/>
        <w:jc w:val="both"/>
        <w:rPr>
          <w:rFonts w:asciiTheme="majorHAnsi" w:hAnsiTheme="majorHAnsi"/>
          <w:sz w:val="16"/>
          <w:szCs w:val="16"/>
        </w:rPr>
      </w:pPr>
    </w:p>
  </w:footnote>
  <w:footnote w:id="11">
    <w:p w:rsidR="00C807C8" w:rsidRPr="007C3E68" w:rsidRDefault="00C807C8" w:rsidP="002D7F3B">
      <w:pPr>
        <w:pStyle w:val="FootnoteText"/>
        <w:ind w:firstLine="720"/>
        <w:jc w:val="both"/>
        <w:rPr>
          <w:rFonts w:asciiTheme="majorHAnsi" w:hAnsiTheme="majorHAnsi"/>
          <w:sz w:val="16"/>
          <w:szCs w:val="16"/>
          <w:lang w:val="en"/>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 Order of the Supervisory Criminal Judge on May 21, 2002. </w:t>
      </w:r>
      <w:r w:rsidRPr="007C3E68">
        <w:rPr>
          <w:rFonts w:asciiTheme="majorHAnsi" w:hAnsiTheme="majorHAnsi"/>
          <w:sz w:val="16"/>
          <w:szCs w:val="16"/>
          <w:lang w:val="en"/>
        </w:rPr>
        <w:t xml:space="preserve">Annexed to </w:t>
      </w:r>
      <w:r w:rsidR="007A6A52">
        <w:rPr>
          <w:rFonts w:asciiTheme="majorHAnsi" w:hAnsiTheme="majorHAnsi"/>
          <w:sz w:val="16"/>
          <w:szCs w:val="16"/>
          <w:lang w:val="en"/>
        </w:rPr>
        <w:t>communication from petitioners</w:t>
      </w:r>
      <w:r w:rsidRPr="007C3E68">
        <w:rPr>
          <w:rFonts w:asciiTheme="majorHAnsi" w:hAnsiTheme="majorHAnsi"/>
          <w:sz w:val="16"/>
          <w:szCs w:val="16"/>
          <w:lang w:val="en"/>
        </w:rPr>
        <w:t xml:space="preserve"> dated July 8, 2003.</w:t>
      </w:r>
    </w:p>
    <w:p w:rsidR="00C807C8" w:rsidRPr="007C3E68" w:rsidRDefault="00C807C8" w:rsidP="002D7F3B">
      <w:pPr>
        <w:pStyle w:val="FootnoteText"/>
        <w:ind w:firstLine="720"/>
        <w:jc w:val="both"/>
        <w:rPr>
          <w:rFonts w:asciiTheme="majorHAnsi" w:hAnsiTheme="majorHAnsi"/>
          <w:sz w:val="16"/>
          <w:szCs w:val="16"/>
        </w:rPr>
      </w:pPr>
    </w:p>
  </w:footnote>
  <w:footnote w:id="1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Petition of Legal Advisors Matthias Malleus Santana and Andrés Dejesus Ramirez, dated September 20, 2004.</w:t>
      </w:r>
    </w:p>
    <w:p w:rsidR="00C807C8" w:rsidRPr="007C3E68" w:rsidRDefault="00C807C8" w:rsidP="002D7F3B">
      <w:pPr>
        <w:ind w:firstLine="720"/>
        <w:jc w:val="both"/>
        <w:rPr>
          <w:rFonts w:asciiTheme="majorHAnsi" w:hAnsiTheme="majorHAnsi"/>
          <w:sz w:val="16"/>
          <w:szCs w:val="16"/>
        </w:rPr>
      </w:pPr>
    </w:p>
  </w:footnote>
  <w:footnote w:id="13">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w:t>
      </w:r>
      <w:r w:rsidR="007A6A52">
        <w:rPr>
          <w:rFonts w:asciiTheme="majorHAnsi" w:hAnsiTheme="majorHAnsi"/>
          <w:sz w:val="16"/>
          <w:szCs w:val="16"/>
        </w:rPr>
        <w:t>Communication of the State</w:t>
      </w:r>
      <w:r w:rsidRPr="007C3E68">
        <w:rPr>
          <w:rFonts w:asciiTheme="majorHAnsi" w:hAnsiTheme="majorHAnsi"/>
          <w:sz w:val="16"/>
          <w:szCs w:val="16"/>
        </w:rPr>
        <w:t xml:space="preserve"> of Paraguay’s brief dated October 5, 2005, and petition of legal advisors Matthias Malleus Santana and Andrés Dejesus Ramirez of September 7, 2004.</w:t>
      </w:r>
    </w:p>
    <w:p w:rsidR="00C807C8" w:rsidRPr="007C3E68" w:rsidRDefault="00C807C8" w:rsidP="002D7F3B">
      <w:pPr>
        <w:ind w:firstLine="720"/>
        <w:jc w:val="both"/>
        <w:rPr>
          <w:rFonts w:asciiTheme="majorHAnsi" w:hAnsiTheme="majorHAnsi"/>
          <w:sz w:val="16"/>
          <w:szCs w:val="16"/>
        </w:rPr>
      </w:pPr>
    </w:p>
  </w:footnote>
  <w:footnote w:id="14">
    <w:p w:rsidR="00C807C8" w:rsidRPr="002033D6" w:rsidRDefault="00C807C8" w:rsidP="002D7F3B">
      <w:pPr>
        <w:ind w:firstLine="720"/>
        <w:jc w:val="both"/>
        <w:rPr>
          <w:rFonts w:asciiTheme="majorHAnsi" w:hAnsiTheme="majorHAnsi"/>
          <w:sz w:val="16"/>
          <w:szCs w:val="16"/>
          <w:lang w:val="es-CO"/>
        </w:rPr>
      </w:pPr>
      <w:r w:rsidRPr="007C3E68">
        <w:rPr>
          <w:rStyle w:val="FootnoteReference"/>
          <w:rFonts w:asciiTheme="majorHAnsi" w:hAnsiTheme="majorHAnsi"/>
          <w:sz w:val="16"/>
          <w:szCs w:val="16"/>
        </w:rPr>
        <w:footnoteRef/>
      </w:r>
      <w:r w:rsidRPr="007C3E68">
        <w:rPr>
          <w:rFonts w:asciiTheme="majorHAnsi" w:hAnsiTheme="majorHAnsi"/>
          <w:sz w:val="16"/>
          <w:szCs w:val="16"/>
          <w:lang w:val="es-CO"/>
        </w:rPr>
        <w:t xml:space="preserve"> Annex 4.  Newspaper </w:t>
      </w:r>
      <w:r w:rsidRPr="007C3E68">
        <w:rPr>
          <w:rFonts w:asciiTheme="majorHAnsi" w:hAnsiTheme="majorHAnsi"/>
          <w:iCs/>
          <w:sz w:val="16"/>
          <w:szCs w:val="16"/>
          <w:lang w:val="es-CO"/>
        </w:rPr>
        <w:t>La Nación, </w:t>
      </w:r>
      <w:r w:rsidRPr="007C3E68">
        <w:rPr>
          <w:rFonts w:asciiTheme="majorHAnsi" w:hAnsiTheme="majorHAnsi"/>
          <w:sz w:val="16"/>
          <w:szCs w:val="16"/>
          <w:lang w:val="es-CO"/>
        </w:rPr>
        <w:t> Article “Secuestradores son de </w:t>
      </w:r>
      <w:r w:rsidRPr="007C3E68">
        <w:rPr>
          <w:rFonts w:asciiTheme="majorHAnsi" w:hAnsiTheme="majorHAnsi"/>
          <w:iCs/>
          <w:sz w:val="16"/>
          <w:szCs w:val="16"/>
          <w:lang w:val="es-CO"/>
        </w:rPr>
        <w:t>Patria Libre</w:t>
      </w:r>
      <w:r w:rsidRPr="007C3E68">
        <w:rPr>
          <w:rFonts w:asciiTheme="majorHAnsi" w:hAnsiTheme="majorHAnsi"/>
          <w:sz w:val="16"/>
          <w:szCs w:val="16"/>
          <w:lang w:val="es-CO"/>
        </w:rPr>
        <w:t xml:space="preserve">”, January 20, 2002. </w:t>
      </w:r>
      <w:r w:rsidRPr="002033D6">
        <w:rPr>
          <w:rFonts w:asciiTheme="majorHAnsi" w:hAnsiTheme="majorHAnsi"/>
          <w:sz w:val="16"/>
          <w:szCs w:val="16"/>
          <w:lang w:val="es-CO"/>
        </w:rPr>
        <w:t>Press book No.1 provided by petitioners.</w:t>
      </w:r>
    </w:p>
    <w:p w:rsidR="00C807C8" w:rsidRPr="007C3E68" w:rsidRDefault="00C807C8" w:rsidP="002D7F3B">
      <w:pPr>
        <w:jc w:val="both"/>
        <w:rPr>
          <w:rFonts w:asciiTheme="majorHAnsi" w:hAnsiTheme="majorHAnsi"/>
          <w:sz w:val="16"/>
          <w:szCs w:val="16"/>
          <w:lang w:val="es-CO"/>
        </w:rPr>
      </w:pPr>
    </w:p>
  </w:footnote>
  <w:footnote w:id="1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lang w:val="es-CO"/>
        </w:rPr>
        <w:t xml:space="preserve"> Annex 5. Newspaper </w:t>
      </w:r>
      <w:r w:rsidRPr="007C3E68">
        <w:rPr>
          <w:rFonts w:asciiTheme="majorHAnsi" w:hAnsiTheme="majorHAnsi"/>
          <w:iCs/>
          <w:sz w:val="16"/>
          <w:szCs w:val="16"/>
          <w:lang w:val="es-CO"/>
        </w:rPr>
        <w:t>ABC</w:t>
      </w:r>
      <w:r w:rsidRPr="007C3E68">
        <w:rPr>
          <w:rFonts w:asciiTheme="majorHAnsi" w:hAnsiTheme="majorHAnsi"/>
          <w:sz w:val="16"/>
          <w:szCs w:val="16"/>
          <w:lang w:val="es-CO"/>
        </w:rPr>
        <w:t xml:space="preserve">,  Article “Policía dice que identificó a autor intelectual del secuestro” from January 20, 2002.  </w:t>
      </w:r>
      <w:r w:rsidRPr="007C3E68">
        <w:rPr>
          <w:rFonts w:asciiTheme="majorHAnsi" w:hAnsiTheme="majorHAnsi"/>
          <w:sz w:val="16"/>
          <w:szCs w:val="16"/>
        </w:rPr>
        <w:t xml:space="preserve">Press book No.1 provided by petitioners.  </w:t>
      </w:r>
    </w:p>
    <w:p w:rsidR="00C807C8" w:rsidRPr="007C3E68" w:rsidRDefault="00C807C8" w:rsidP="002D7F3B">
      <w:pPr>
        <w:jc w:val="both"/>
        <w:rPr>
          <w:rFonts w:asciiTheme="majorHAnsi" w:hAnsiTheme="majorHAnsi"/>
          <w:sz w:val="16"/>
          <w:szCs w:val="16"/>
        </w:rPr>
      </w:pPr>
    </w:p>
  </w:footnote>
  <w:footnote w:id="16">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State of Paraguay’s brief dated October 5, 2005. </w:t>
      </w:r>
    </w:p>
    <w:p w:rsidR="00C807C8" w:rsidRPr="007C3E68" w:rsidRDefault="00C807C8" w:rsidP="002D7F3B">
      <w:pPr>
        <w:jc w:val="both"/>
        <w:rPr>
          <w:rFonts w:asciiTheme="majorHAnsi" w:hAnsiTheme="majorHAnsi"/>
          <w:sz w:val="16"/>
          <w:szCs w:val="16"/>
        </w:rPr>
      </w:pPr>
    </w:p>
  </w:footnote>
  <w:footnote w:id="17">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6. Press book  No. 1 with Press articles, provided by petitioners. </w:t>
      </w:r>
    </w:p>
    <w:p w:rsidR="00C807C8" w:rsidRPr="007C3E68" w:rsidRDefault="00C807C8" w:rsidP="002D7F3B">
      <w:pPr>
        <w:jc w:val="both"/>
        <w:rPr>
          <w:rFonts w:asciiTheme="majorHAnsi" w:hAnsiTheme="majorHAnsi"/>
          <w:sz w:val="16"/>
          <w:szCs w:val="16"/>
        </w:rPr>
      </w:pPr>
    </w:p>
  </w:footnote>
  <w:footnote w:id="18">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2033D6">
        <w:rPr>
          <w:rFonts w:asciiTheme="majorHAnsi" w:hAnsiTheme="majorHAnsi"/>
          <w:sz w:val="16"/>
          <w:szCs w:val="16"/>
        </w:rPr>
        <w:t xml:space="preserve"> Annex 7. Article of </w:t>
      </w:r>
      <w:r w:rsidRPr="002033D6">
        <w:rPr>
          <w:rFonts w:asciiTheme="majorHAnsi" w:hAnsiTheme="majorHAnsi"/>
          <w:iCs/>
          <w:sz w:val="16"/>
          <w:szCs w:val="16"/>
        </w:rPr>
        <w:t>Diario Noticias</w:t>
      </w:r>
      <w:r w:rsidRPr="002033D6">
        <w:rPr>
          <w:rFonts w:asciiTheme="majorHAnsi" w:hAnsiTheme="majorHAnsi"/>
          <w:sz w:val="16"/>
          <w:szCs w:val="16"/>
        </w:rPr>
        <w:t xml:space="preserve">, entitled “Presidente no garantiza si tienen (…)”. </w:t>
      </w:r>
      <w:r w:rsidRPr="007C3E68">
        <w:rPr>
          <w:rFonts w:asciiTheme="majorHAnsi" w:hAnsiTheme="majorHAnsi"/>
          <w:sz w:val="16"/>
          <w:szCs w:val="16"/>
        </w:rPr>
        <w:t xml:space="preserve">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pStyle w:val="FootnoteText"/>
        <w:ind w:firstLine="720"/>
        <w:jc w:val="both"/>
        <w:rPr>
          <w:rFonts w:asciiTheme="majorHAnsi" w:hAnsiTheme="majorHAnsi"/>
          <w:sz w:val="16"/>
          <w:szCs w:val="16"/>
        </w:rPr>
      </w:pPr>
    </w:p>
  </w:footnote>
  <w:footnote w:id="19">
    <w:p w:rsidR="00C807C8" w:rsidRPr="002033D6"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2033D6">
        <w:rPr>
          <w:rFonts w:asciiTheme="majorHAnsi" w:hAnsiTheme="majorHAnsi"/>
          <w:sz w:val="16"/>
          <w:szCs w:val="16"/>
          <w:lang w:val="es-UY"/>
        </w:rPr>
        <w:t xml:space="preserve"> Annex 8. Article in </w:t>
      </w:r>
      <w:r w:rsidRPr="002033D6">
        <w:rPr>
          <w:rFonts w:asciiTheme="majorHAnsi" w:hAnsiTheme="majorHAnsi"/>
          <w:iCs/>
          <w:sz w:val="16"/>
          <w:szCs w:val="16"/>
          <w:lang w:val="es-UY"/>
        </w:rPr>
        <w:t>La Nación </w:t>
      </w:r>
      <w:r w:rsidRPr="002033D6">
        <w:rPr>
          <w:rFonts w:asciiTheme="majorHAnsi" w:hAnsiTheme="majorHAnsi"/>
          <w:sz w:val="16"/>
          <w:szCs w:val="16"/>
          <w:lang w:val="es-UY"/>
        </w:rPr>
        <w:t xml:space="preserve">newspaper entitled “Fanego dice: “Si Arrom está muerto, es gravísimo””. </w:t>
      </w:r>
      <w:r w:rsidRPr="002033D6">
        <w:rPr>
          <w:rFonts w:asciiTheme="majorHAnsi" w:hAnsiTheme="majorHAnsi"/>
          <w:sz w:val="16"/>
          <w:szCs w:val="16"/>
        </w:rPr>
        <w:t xml:space="preserve">Annexed to </w:t>
      </w:r>
      <w:r w:rsidR="007A6A52" w:rsidRPr="002033D6">
        <w:rPr>
          <w:rFonts w:asciiTheme="majorHAnsi" w:hAnsiTheme="majorHAnsi"/>
          <w:sz w:val="16"/>
          <w:szCs w:val="16"/>
        </w:rPr>
        <w:t>communication from petitioners</w:t>
      </w:r>
      <w:r w:rsidRPr="002033D6">
        <w:rPr>
          <w:rFonts w:asciiTheme="majorHAnsi" w:hAnsiTheme="majorHAnsi"/>
          <w:sz w:val="16"/>
          <w:szCs w:val="16"/>
        </w:rPr>
        <w:t>, dated August 18, 2010.</w:t>
      </w:r>
    </w:p>
    <w:p w:rsidR="00C807C8" w:rsidRPr="002033D6" w:rsidRDefault="00C807C8" w:rsidP="002D7F3B">
      <w:pPr>
        <w:ind w:firstLine="720"/>
        <w:jc w:val="both"/>
        <w:rPr>
          <w:rFonts w:asciiTheme="majorHAnsi" w:hAnsiTheme="majorHAnsi"/>
          <w:sz w:val="16"/>
          <w:szCs w:val="16"/>
        </w:rPr>
      </w:pPr>
    </w:p>
  </w:footnote>
  <w:footnote w:id="20">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2033D6">
        <w:rPr>
          <w:rFonts w:asciiTheme="majorHAnsi" w:hAnsiTheme="majorHAnsi"/>
          <w:sz w:val="16"/>
          <w:szCs w:val="16"/>
        </w:rPr>
        <w:t xml:space="preserve"> Annex 9. Video Re</w:t>
      </w:r>
      <w:r w:rsidRPr="007C3E68">
        <w:rPr>
          <w:rFonts w:asciiTheme="majorHAnsi" w:hAnsiTheme="majorHAnsi"/>
          <w:sz w:val="16"/>
          <w:szCs w:val="16"/>
        </w:rPr>
        <w:t>cording. Annexed to communication from petitioners dated September 7, 2004.</w:t>
      </w:r>
    </w:p>
    <w:p w:rsidR="00C807C8" w:rsidRPr="007C3E68" w:rsidRDefault="00C807C8" w:rsidP="002D7F3B">
      <w:pPr>
        <w:ind w:firstLine="720"/>
        <w:jc w:val="both"/>
        <w:rPr>
          <w:rFonts w:asciiTheme="majorHAnsi" w:hAnsiTheme="majorHAnsi"/>
          <w:sz w:val="16"/>
          <w:szCs w:val="16"/>
        </w:rPr>
      </w:pPr>
    </w:p>
  </w:footnote>
  <w:footnote w:id="21">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Petition of legal representatives Matthias Mailleux Santana and Andrés Dejesús Ramírez, dated September 7, 2004.</w:t>
      </w:r>
    </w:p>
    <w:p w:rsidR="00C807C8" w:rsidRPr="007C3E68" w:rsidRDefault="00C807C8" w:rsidP="002D7F3B">
      <w:pPr>
        <w:ind w:firstLine="720"/>
        <w:jc w:val="both"/>
        <w:rPr>
          <w:rFonts w:asciiTheme="majorHAnsi" w:hAnsiTheme="majorHAnsi"/>
          <w:sz w:val="16"/>
          <w:szCs w:val="16"/>
        </w:rPr>
      </w:pPr>
    </w:p>
  </w:footnote>
  <w:footnote w:id="2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Petition of legal representatives Matthias Mailleux Santana and Andrés Dejesús Ramírez, dated September 7, 2004.</w:t>
      </w:r>
    </w:p>
    <w:p w:rsidR="00C807C8" w:rsidRPr="007C3E68" w:rsidRDefault="00C807C8" w:rsidP="002D7F3B">
      <w:pPr>
        <w:pStyle w:val="FootnoteText"/>
        <w:jc w:val="both"/>
        <w:rPr>
          <w:rFonts w:asciiTheme="majorHAnsi" w:hAnsiTheme="majorHAnsi"/>
          <w:sz w:val="16"/>
          <w:szCs w:val="16"/>
        </w:rPr>
      </w:pPr>
    </w:p>
  </w:footnote>
  <w:footnote w:id="23">
    <w:p w:rsidR="00C807C8" w:rsidRPr="007C3E68" w:rsidRDefault="00C807C8" w:rsidP="002D7F3B">
      <w:pPr>
        <w:pStyle w:val="FootnoteText"/>
        <w:ind w:firstLine="720"/>
        <w:jc w:val="both"/>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Petition of legal representatives Matthias Mailleux Santana and Andrés Dejesús Ramírez, dated September 7, 2004.</w:t>
      </w:r>
    </w:p>
  </w:footnote>
  <w:footnote w:id="24">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9. Video Recording. Annexed to communication from petitioners dated September 7, 2004.</w:t>
      </w:r>
    </w:p>
    <w:p w:rsidR="00C807C8" w:rsidRPr="007C3E68" w:rsidRDefault="00C807C8" w:rsidP="002D7F3B">
      <w:pPr>
        <w:pStyle w:val="FootnoteText"/>
        <w:ind w:firstLine="720"/>
        <w:jc w:val="both"/>
        <w:rPr>
          <w:rFonts w:asciiTheme="majorHAnsi" w:hAnsiTheme="majorHAnsi"/>
          <w:sz w:val="16"/>
          <w:szCs w:val="16"/>
        </w:rPr>
      </w:pPr>
    </w:p>
  </w:footnote>
  <w:footnote w:id="2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Petition of legal representatives Matthias Mailleux Santana and Andrés Dejesús Ramírez, dated September 7, 2004.</w:t>
      </w:r>
    </w:p>
    <w:p w:rsidR="00C807C8" w:rsidRPr="007C3E68" w:rsidRDefault="00C807C8" w:rsidP="002D7F3B">
      <w:pPr>
        <w:ind w:firstLine="720"/>
        <w:jc w:val="both"/>
        <w:rPr>
          <w:rFonts w:asciiTheme="majorHAnsi" w:hAnsiTheme="majorHAnsi"/>
          <w:sz w:val="16"/>
          <w:szCs w:val="16"/>
        </w:rPr>
      </w:pPr>
    </w:p>
  </w:footnote>
  <w:footnote w:id="26">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Petition of legal representatives Matthias Mailleux Santana and Andrés Dejesús Ramírez, dated September 7, 2004.</w:t>
      </w:r>
    </w:p>
    <w:p w:rsidR="00C807C8" w:rsidRPr="002033D6" w:rsidRDefault="00C807C8" w:rsidP="002D7F3B">
      <w:pPr>
        <w:pStyle w:val="FootnoteText"/>
        <w:ind w:firstLine="720"/>
        <w:jc w:val="both"/>
        <w:rPr>
          <w:rFonts w:asciiTheme="majorHAnsi" w:hAnsiTheme="majorHAnsi"/>
          <w:sz w:val="16"/>
          <w:szCs w:val="16"/>
        </w:rPr>
      </w:pPr>
    </w:p>
  </w:footnote>
  <w:footnote w:id="27">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9. Videos on discovery of Juan Arrom and Anuncio Martí. Annexed to communication from petitioners dated September 7, 2004.</w:t>
      </w:r>
    </w:p>
    <w:p w:rsidR="00C807C8" w:rsidRPr="007C3E68" w:rsidRDefault="00C807C8" w:rsidP="002D7F3B">
      <w:pPr>
        <w:pStyle w:val="FootnoteText"/>
        <w:ind w:firstLine="720"/>
        <w:jc w:val="both"/>
        <w:rPr>
          <w:rFonts w:asciiTheme="majorHAnsi" w:hAnsiTheme="majorHAnsi"/>
          <w:sz w:val="16"/>
          <w:szCs w:val="16"/>
        </w:rPr>
      </w:pPr>
    </w:p>
  </w:footnote>
  <w:footnote w:id="28">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23. Mrs. María Auxiliadora Arrom’s witness statement before the Public Prosecutor, dated February 11, 2002. Annexed to communication from petitioners, dated August 18, 2010. And Annex XX. Witness statement of Cristina Haydee Arrom de Fresco before the Public Prosecutor, dated February 11, 2002. Annexed to communication from petitioners, dated August 18, 2010. </w:t>
      </w:r>
    </w:p>
    <w:p w:rsidR="00C807C8" w:rsidRPr="007C3E68" w:rsidRDefault="00C807C8" w:rsidP="002D7F3B">
      <w:pPr>
        <w:pStyle w:val="FootnoteText"/>
        <w:ind w:firstLine="720"/>
        <w:jc w:val="both"/>
        <w:rPr>
          <w:rFonts w:asciiTheme="majorHAnsi" w:hAnsiTheme="majorHAnsi"/>
          <w:sz w:val="16"/>
          <w:szCs w:val="16"/>
        </w:rPr>
      </w:pPr>
    </w:p>
  </w:footnote>
  <w:footnote w:id="29">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9. Videos on discovery of Juan Arrom and Anuncio Martí. Annexed to communication from petitioners dated September 7, 2004.</w:t>
      </w:r>
    </w:p>
    <w:p w:rsidR="00C807C8" w:rsidRPr="007C3E68" w:rsidRDefault="00C807C8" w:rsidP="002D7F3B">
      <w:pPr>
        <w:pStyle w:val="FootnoteText"/>
        <w:ind w:firstLine="720"/>
        <w:jc w:val="both"/>
        <w:rPr>
          <w:rFonts w:asciiTheme="majorHAnsi" w:hAnsiTheme="majorHAnsi"/>
          <w:sz w:val="16"/>
          <w:szCs w:val="16"/>
        </w:rPr>
      </w:pPr>
    </w:p>
  </w:footnote>
  <w:footnote w:id="30">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9. Videos on discovery of Juan Arrom and Anuncio Martí. Annexed to communication from petitioners dated September 7, 2004.</w:t>
      </w:r>
    </w:p>
    <w:p w:rsidR="00C807C8" w:rsidRPr="007C3E68" w:rsidRDefault="00C807C8" w:rsidP="002D7F3B">
      <w:pPr>
        <w:pStyle w:val="FootnoteText"/>
        <w:ind w:firstLine="720"/>
        <w:jc w:val="both"/>
        <w:rPr>
          <w:rFonts w:asciiTheme="majorHAnsi" w:hAnsiTheme="majorHAnsi"/>
          <w:sz w:val="16"/>
          <w:szCs w:val="16"/>
        </w:rPr>
      </w:pPr>
    </w:p>
  </w:footnote>
  <w:footnote w:id="31">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10. Medical Report on Juan Arrom performed at the Battilana Migone Clinic on January 30,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pStyle w:val="FootnoteText"/>
        <w:jc w:val="both"/>
        <w:rPr>
          <w:rFonts w:asciiTheme="majorHAnsi" w:hAnsiTheme="majorHAnsi"/>
          <w:sz w:val="16"/>
          <w:szCs w:val="16"/>
        </w:rPr>
      </w:pPr>
    </w:p>
  </w:footnote>
  <w:footnote w:id="3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11. Medical Report on Anuncio Martí performed at the Battilana Migone Clinic on January 30,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ind w:firstLine="720"/>
        <w:jc w:val="both"/>
        <w:rPr>
          <w:rFonts w:asciiTheme="majorHAnsi" w:hAnsiTheme="majorHAnsi"/>
          <w:sz w:val="16"/>
          <w:szCs w:val="16"/>
        </w:rPr>
      </w:pPr>
    </w:p>
  </w:footnote>
  <w:footnote w:id="33">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12. Photos of Juan Arrom and Anuncio Martí after their release. Annexed to communication from petitioners, dated July 8, 2003.</w:t>
      </w:r>
    </w:p>
    <w:p w:rsidR="00C807C8" w:rsidRPr="007C3E68" w:rsidRDefault="00C807C8" w:rsidP="002D7F3B">
      <w:pPr>
        <w:pStyle w:val="FootnoteText"/>
        <w:ind w:firstLine="720"/>
        <w:jc w:val="both"/>
        <w:rPr>
          <w:rFonts w:asciiTheme="majorHAnsi" w:hAnsiTheme="majorHAnsi"/>
          <w:sz w:val="16"/>
          <w:szCs w:val="16"/>
        </w:rPr>
      </w:pPr>
    </w:p>
  </w:footnote>
  <w:footnote w:id="34">
    <w:p w:rsidR="00C807C8" w:rsidRPr="007C3E68" w:rsidRDefault="00C807C8" w:rsidP="002D7F3B">
      <w:pPr>
        <w:pStyle w:val="FootnoteText"/>
        <w:ind w:firstLine="720"/>
        <w:jc w:val="both"/>
        <w:rPr>
          <w:rFonts w:asciiTheme="majorHAnsi" w:hAnsiTheme="majorHAnsi"/>
          <w:sz w:val="16"/>
          <w:szCs w:val="16"/>
          <w:shd w:val="clear" w:color="auto" w:fill="FFFFFF"/>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w:t>
      </w:r>
      <w:r w:rsidRPr="007C3E68">
        <w:rPr>
          <w:rFonts w:asciiTheme="majorHAnsi" w:hAnsiTheme="majorHAnsi"/>
          <w:sz w:val="16"/>
          <w:szCs w:val="16"/>
          <w:shd w:val="clear" w:color="auto" w:fill="FFFFFF"/>
        </w:rPr>
        <w:t>From the narration, the Commission understands that the Medical Report refers to the weeks after the events that took place between January 17 and 30, 2002.</w:t>
      </w:r>
    </w:p>
    <w:p w:rsidR="00C807C8" w:rsidRPr="007C3E68" w:rsidRDefault="00C807C8" w:rsidP="002D7F3B">
      <w:pPr>
        <w:pStyle w:val="FootnoteText"/>
        <w:jc w:val="both"/>
        <w:rPr>
          <w:rFonts w:asciiTheme="majorHAnsi" w:hAnsiTheme="majorHAnsi"/>
          <w:sz w:val="16"/>
          <w:szCs w:val="16"/>
        </w:rPr>
      </w:pPr>
    </w:p>
  </w:footnote>
  <w:footnote w:id="3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13. Psychiatric Medical Report of Juan Arrom dated January 26, 2006.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36">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14.  Psychiatric Medical Report of Juan Arrom in Brazil, on July 4, 2009.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37">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15. Psychiatric Medical Report of Anuncio Martí in Brazil, on July 4, 2009.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3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16. Juan Arrom’s brief to the IACHR, dated February 10, 2011. Annexed to communication from Juan Arrom to IACHR, dated February 10, 2011.</w:t>
      </w:r>
    </w:p>
    <w:p w:rsidR="00C807C8" w:rsidRPr="007C3E68" w:rsidRDefault="00C807C8" w:rsidP="002D7F3B">
      <w:pPr>
        <w:jc w:val="both"/>
        <w:rPr>
          <w:rFonts w:ascii="Calibri" w:hAnsi="Calibri"/>
          <w:sz w:val="20"/>
          <w:szCs w:val="20"/>
        </w:rPr>
      </w:pPr>
    </w:p>
  </w:footnote>
  <w:footnote w:id="3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17. Mr. Luis Alfonso Resck Haiter’s witness statement before the Public Prosecutor on February 7,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40">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18. Mr. Ramón Alberto López Noguera’s sworn witness affidavit before the Public Prosecutor, May 3,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41">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19. Mrs. Amada Concepción Cerquetti de Cáceres’ sworn witness affidavit before the Public Prosecutor, dated April 30,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4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20. Mr. Pedro Pablo Cáceres Barrios’ sworn witness affidavit before the Public Prosecutor, dated April 30,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43">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21. Héctor Ricardo Lacognata Zaragoza’s witness statement before the Public Prosecutor, dated February 12,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44">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22. Mónica Laneri Ferreira sworn witness statement before the Public Prosecutor, dated February 13,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Calibri" w:hAnsi="Calibri"/>
          <w:sz w:val="20"/>
          <w:szCs w:val="20"/>
        </w:rPr>
      </w:pPr>
    </w:p>
  </w:footnote>
  <w:footnote w:id="4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23. Mrs. María Auxiliadora Arrom’s witness statement before the Public Prosecutor, dated February 11,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46">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24. Witness statement of Cristina Haydee Arrom de Fresco before the Public Prosecutor, dated February 11,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47">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25. Witness statement of Federico Aníbal Emery before the Public Prosecutor, dated May 7,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pStyle w:val="FootnoteText"/>
        <w:jc w:val="both"/>
        <w:rPr>
          <w:rFonts w:asciiTheme="majorHAnsi" w:hAnsiTheme="majorHAnsi"/>
          <w:sz w:val="16"/>
          <w:szCs w:val="16"/>
        </w:rPr>
      </w:pPr>
    </w:p>
  </w:footnote>
  <w:footnote w:id="4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26. Statement of Esteban Domingo Centurión Vega before the Supervisory Criminal Judge on Duty during Recess, dated January 31, 2001.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pStyle w:val="FootnoteText"/>
        <w:jc w:val="both"/>
        <w:rPr>
          <w:rFonts w:asciiTheme="majorHAnsi" w:hAnsiTheme="majorHAnsi"/>
          <w:sz w:val="16"/>
          <w:szCs w:val="16"/>
        </w:rPr>
      </w:pPr>
      <w:r w:rsidRPr="007C3E68">
        <w:rPr>
          <w:rFonts w:asciiTheme="majorHAnsi" w:hAnsiTheme="majorHAnsi"/>
          <w:sz w:val="16"/>
          <w:szCs w:val="16"/>
        </w:rPr>
        <w:t>The document is dated 2001, but the Commission understands this is a clerical error, since the events occurred in 2002.</w:t>
      </w:r>
    </w:p>
    <w:p w:rsidR="00C807C8" w:rsidRPr="007C3E68" w:rsidRDefault="00C807C8" w:rsidP="002D7F3B">
      <w:pPr>
        <w:pStyle w:val="FootnoteText"/>
        <w:jc w:val="both"/>
        <w:rPr>
          <w:rFonts w:asciiTheme="majorHAnsi" w:hAnsiTheme="majorHAnsi"/>
          <w:sz w:val="16"/>
          <w:szCs w:val="16"/>
        </w:rPr>
      </w:pPr>
    </w:p>
  </w:footnote>
  <w:footnote w:id="4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27. Statement of Ángela Estefanía Salinas de Lugo before the Supervisory Criminal Judge on Duty during Recess, dated, January 31, “2001”.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 The document is dated 2001, but the Commission understands this is a clerical error, since the events occurred in 2002.</w:t>
      </w:r>
    </w:p>
    <w:p w:rsidR="00C807C8" w:rsidRPr="007C3E68" w:rsidRDefault="00C807C8" w:rsidP="002D7F3B">
      <w:pPr>
        <w:ind w:firstLine="720"/>
        <w:jc w:val="both"/>
        <w:rPr>
          <w:rFonts w:asciiTheme="majorHAnsi" w:hAnsiTheme="majorHAnsi"/>
          <w:sz w:val="16"/>
          <w:szCs w:val="16"/>
        </w:rPr>
      </w:pPr>
    </w:p>
  </w:footnote>
  <w:footnote w:id="50">
    <w:p w:rsidR="00C807C8" w:rsidRPr="007C3E68" w:rsidRDefault="00C807C8" w:rsidP="002D7F3B">
      <w:pPr>
        <w:ind w:firstLine="720"/>
        <w:jc w:val="both"/>
        <w:rPr>
          <w:rFonts w:ascii="Cambria" w:hAnsi="Cambria"/>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28. Request of the Public Prosecutor’s Office for Final Dismissal, dated May 27, 2003.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r w:rsidRPr="007C3E68">
        <w:rPr>
          <w:rFonts w:ascii="Cambria" w:hAnsi="Cambria"/>
          <w:sz w:val="16"/>
          <w:szCs w:val="16"/>
        </w:rPr>
        <w:t xml:space="preserve"> </w:t>
      </w:r>
    </w:p>
    <w:p w:rsidR="00C807C8" w:rsidRPr="007C3E68" w:rsidRDefault="00C807C8" w:rsidP="002D7F3B">
      <w:pPr>
        <w:ind w:firstLine="720"/>
        <w:jc w:val="both"/>
        <w:rPr>
          <w:rFonts w:ascii="Calibri" w:hAnsi="Calibri"/>
          <w:sz w:val="20"/>
          <w:szCs w:val="20"/>
        </w:rPr>
      </w:pPr>
    </w:p>
  </w:footnote>
  <w:footnote w:id="51">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29. Sworn witness affidavit of Víctor Colman before the Public Prosecutor, of May 29,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pStyle w:val="FootnoteText"/>
        <w:jc w:val="both"/>
        <w:rPr>
          <w:rFonts w:asciiTheme="majorHAnsi" w:hAnsiTheme="majorHAnsi"/>
          <w:sz w:val="16"/>
          <w:szCs w:val="16"/>
        </w:rPr>
      </w:pPr>
    </w:p>
  </w:footnote>
  <w:footnote w:id="5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30. Sworn witness affidavit of Ana Rosa Samudio de Colmán before the Public Prosecutor, of May 29, 2002. Annexed to </w:t>
      </w:r>
      <w:r w:rsidR="007A6A52">
        <w:rPr>
          <w:rFonts w:asciiTheme="majorHAnsi" w:hAnsiTheme="majorHAnsi"/>
          <w:sz w:val="16"/>
          <w:szCs w:val="16"/>
        </w:rPr>
        <w:t>communication from petitioners</w:t>
      </w:r>
      <w:r w:rsidRPr="007C3E68">
        <w:rPr>
          <w:rFonts w:asciiTheme="majorHAnsi" w:hAnsiTheme="majorHAnsi"/>
          <w:sz w:val="16"/>
          <w:szCs w:val="16"/>
        </w:rPr>
        <w:t>, dated August 18, 2010.</w:t>
      </w:r>
    </w:p>
    <w:p w:rsidR="00C807C8" w:rsidRPr="007C3E68" w:rsidRDefault="00C807C8" w:rsidP="002D7F3B">
      <w:pPr>
        <w:jc w:val="both"/>
        <w:rPr>
          <w:rFonts w:asciiTheme="majorHAnsi" w:hAnsiTheme="majorHAnsi"/>
          <w:sz w:val="16"/>
          <w:szCs w:val="16"/>
        </w:rPr>
      </w:pPr>
    </w:p>
  </w:footnote>
  <w:footnote w:id="53">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31. Teresita de María Rojas de Larriera’s sworn witness affidavit before the Public Prosecutor, dated June 21, 2002. Annexed to communication from petitioners, dated August 18, 2010.</w:t>
      </w:r>
    </w:p>
    <w:p w:rsidR="00C807C8" w:rsidRPr="007C3E68" w:rsidRDefault="00C807C8" w:rsidP="002D7F3B">
      <w:pPr>
        <w:jc w:val="both"/>
        <w:rPr>
          <w:rFonts w:asciiTheme="majorHAnsi" w:hAnsiTheme="majorHAnsi"/>
          <w:sz w:val="16"/>
          <w:szCs w:val="16"/>
        </w:rPr>
      </w:pPr>
      <w:r w:rsidRPr="007C3E68">
        <w:rPr>
          <w:rFonts w:asciiTheme="majorHAnsi" w:hAnsiTheme="majorHAnsi"/>
          <w:sz w:val="16"/>
          <w:szCs w:val="16"/>
        </w:rPr>
        <w:t> </w:t>
      </w:r>
    </w:p>
  </w:footnote>
  <w:footnote w:id="54">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32. Sworn witness affidavit of Patricia Raquel Baudin Acosta before the Public Prosecutor, dated July 9, 2002. Annexed to communication from petitioners, dated August 18, 2010.</w:t>
      </w:r>
    </w:p>
    <w:p w:rsidR="00C807C8" w:rsidRPr="007C3E68" w:rsidRDefault="00C807C8" w:rsidP="002D7F3B">
      <w:pPr>
        <w:jc w:val="both"/>
        <w:rPr>
          <w:rFonts w:asciiTheme="majorHAnsi" w:hAnsiTheme="majorHAnsi"/>
          <w:sz w:val="16"/>
          <w:szCs w:val="16"/>
        </w:rPr>
      </w:pPr>
    </w:p>
  </w:footnote>
  <w:footnote w:id="5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2033D6">
        <w:rPr>
          <w:rFonts w:asciiTheme="majorHAnsi" w:hAnsiTheme="majorHAnsi"/>
          <w:sz w:val="16"/>
          <w:szCs w:val="16"/>
        </w:rPr>
        <w:t xml:space="preserve"> Annex 33. </w:t>
      </w:r>
      <w:r w:rsidRPr="002033D6">
        <w:rPr>
          <w:rFonts w:asciiTheme="majorHAnsi" w:hAnsiTheme="majorHAnsi"/>
          <w:iCs/>
          <w:sz w:val="16"/>
          <w:szCs w:val="16"/>
        </w:rPr>
        <w:t>Diario Noticias</w:t>
      </w:r>
      <w:r w:rsidRPr="002033D6">
        <w:rPr>
          <w:rFonts w:asciiTheme="majorHAnsi" w:hAnsiTheme="majorHAnsi"/>
          <w:sz w:val="16"/>
          <w:szCs w:val="16"/>
        </w:rPr>
        <w:t>, Article “Marín pide remoción de los tres fiscales”, of February 2, 2002. </w:t>
      </w:r>
      <w:r w:rsidRPr="007C3E68">
        <w:rPr>
          <w:rFonts w:asciiTheme="majorHAnsi" w:hAnsiTheme="majorHAnsi"/>
          <w:sz w:val="16"/>
          <w:szCs w:val="16"/>
        </w:rPr>
        <w:t>Annexed to communication from petitioners, dated July 8, 2003.</w:t>
      </w:r>
    </w:p>
    <w:p w:rsidR="00C807C8" w:rsidRPr="007C3E68" w:rsidRDefault="00C807C8" w:rsidP="002D7F3B">
      <w:pPr>
        <w:pStyle w:val="FootnoteText"/>
        <w:jc w:val="both"/>
        <w:rPr>
          <w:rFonts w:asciiTheme="majorHAnsi" w:hAnsiTheme="majorHAnsi"/>
          <w:sz w:val="16"/>
          <w:szCs w:val="16"/>
        </w:rPr>
      </w:pPr>
    </w:p>
  </w:footnote>
  <w:footnote w:id="56">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34. Request for Impeachment signed by Marina, Cristina, Carmen and María Auxiliadora Arrom against General Prosecutor Oscar Latorre. Annexed to communication from petitioners, dated October 20, 2003.</w:t>
      </w:r>
    </w:p>
    <w:p w:rsidR="00C807C8" w:rsidRPr="007C3E68" w:rsidRDefault="00C807C8" w:rsidP="002D7F3B">
      <w:pPr>
        <w:pStyle w:val="FootnoteText"/>
        <w:ind w:firstLine="720"/>
        <w:jc w:val="both"/>
        <w:rPr>
          <w:rFonts w:asciiTheme="majorHAnsi" w:hAnsiTheme="majorHAnsi"/>
          <w:sz w:val="16"/>
          <w:szCs w:val="16"/>
        </w:rPr>
      </w:pPr>
    </w:p>
  </w:footnote>
  <w:footnote w:id="57">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35. Article in </w:t>
      </w:r>
      <w:r w:rsidRPr="007C3E68">
        <w:rPr>
          <w:rFonts w:asciiTheme="majorHAnsi" w:hAnsiTheme="majorHAnsi"/>
          <w:iCs/>
          <w:sz w:val="16"/>
          <w:szCs w:val="16"/>
        </w:rPr>
        <w:t>Tema UH</w:t>
      </w:r>
      <w:r w:rsidRPr="007C3E68">
        <w:rPr>
          <w:rFonts w:asciiTheme="majorHAnsi" w:hAnsiTheme="majorHAnsi"/>
          <w:sz w:val="16"/>
          <w:szCs w:val="16"/>
        </w:rPr>
        <w:t xml:space="preserve">. Entitled “Oficialismo salva a Latorre”, dated Thursday February 28, 2002. Press Book No. 3, provided by petitioners. </w:t>
      </w:r>
    </w:p>
    <w:p w:rsidR="00C807C8" w:rsidRPr="007C3E68" w:rsidRDefault="00C807C8" w:rsidP="002D7F3B">
      <w:pPr>
        <w:ind w:firstLine="720"/>
        <w:jc w:val="both"/>
        <w:rPr>
          <w:rFonts w:asciiTheme="majorHAnsi" w:hAnsiTheme="majorHAnsi"/>
          <w:sz w:val="16"/>
          <w:szCs w:val="16"/>
        </w:rPr>
      </w:pPr>
    </w:p>
  </w:footnote>
  <w:footnote w:id="5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State of Paraguay’s brief dated October 7, 2005. The Commission does not have the complaint referred by the State. </w:t>
      </w:r>
    </w:p>
    <w:p w:rsidR="00C807C8" w:rsidRPr="007C3E68" w:rsidRDefault="00C807C8" w:rsidP="002D7F3B">
      <w:pPr>
        <w:ind w:firstLine="720"/>
        <w:jc w:val="both"/>
        <w:rPr>
          <w:rFonts w:asciiTheme="majorHAnsi" w:hAnsiTheme="majorHAnsi"/>
          <w:sz w:val="16"/>
          <w:szCs w:val="16"/>
        </w:rPr>
      </w:pPr>
      <w:r w:rsidRPr="007C3E68">
        <w:rPr>
          <w:rFonts w:asciiTheme="majorHAnsi" w:hAnsiTheme="majorHAnsi"/>
          <w:sz w:val="16"/>
          <w:szCs w:val="16"/>
        </w:rPr>
        <w:t xml:space="preserve"> </w:t>
      </w:r>
    </w:p>
  </w:footnote>
  <w:footnote w:id="5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36. Silvio Gustavo Ferreira Fernández’s sworn witness affidavit before the Public Prosecutor, dated April 22, 2002. Annexed to communication from petitioners, dated August 18, 2010.</w:t>
      </w:r>
    </w:p>
    <w:p w:rsidR="00C807C8" w:rsidRPr="007C3E68" w:rsidRDefault="00C807C8" w:rsidP="002D7F3B">
      <w:pPr>
        <w:jc w:val="both"/>
        <w:rPr>
          <w:rFonts w:asciiTheme="majorHAnsi" w:hAnsiTheme="majorHAnsi"/>
          <w:sz w:val="16"/>
          <w:szCs w:val="16"/>
        </w:rPr>
      </w:pPr>
    </w:p>
  </w:footnote>
  <w:footnote w:id="60">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37. Victor Alcides Bogado González’s sworn witness affidavit before the Public Prosecutor, dated August 26, 2002. Annexed to communication from petitioners, dated August 18, 2010.</w:t>
      </w:r>
    </w:p>
    <w:p w:rsidR="00C807C8" w:rsidRPr="007C3E68" w:rsidRDefault="00C807C8" w:rsidP="002D7F3B">
      <w:pPr>
        <w:jc w:val="both"/>
        <w:rPr>
          <w:rFonts w:asciiTheme="majorHAnsi" w:hAnsiTheme="majorHAnsi"/>
          <w:sz w:val="16"/>
          <w:szCs w:val="16"/>
        </w:rPr>
      </w:pPr>
    </w:p>
  </w:footnote>
  <w:footnote w:id="61">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38. Jose Flaviano Ibarrola Adorno’s sworn witness affidavit before the Public Prosecutor, dated August 30, 2002. Annexed to communication from petitioners, dated August 18, 2010.</w:t>
      </w:r>
    </w:p>
    <w:p w:rsidR="00C807C8" w:rsidRPr="007C3E68" w:rsidRDefault="00C807C8" w:rsidP="002D7F3B">
      <w:pPr>
        <w:jc w:val="both"/>
        <w:rPr>
          <w:rFonts w:asciiTheme="majorHAnsi" w:hAnsiTheme="majorHAnsi"/>
          <w:sz w:val="16"/>
          <w:szCs w:val="16"/>
        </w:rPr>
      </w:pPr>
    </w:p>
  </w:footnote>
  <w:footnote w:id="6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39. Natividad de Mercedes Barreiro Vera’s sworn witness affidavit before the Public Prosecutor, dated August 29, 2002. Annexed to communication from petitioners, dated August 18, 2010.</w:t>
      </w:r>
    </w:p>
    <w:p w:rsidR="00C807C8" w:rsidRPr="007C3E68" w:rsidRDefault="00C807C8" w:rsidP="002D7F3B">
      <w:pPr>
        <w:jc w:val="both"/>
        <w:rPr>
          <w:rFonts w:asciiTheme="majorHAnsi" w:hAnsiTheme="majorHAnsi"/>
          <w:sz w:val="16"/>
          <w:szCs w:val="16"/>
        </w:rPr>
      </w:pPr>
      <w:r w:rsidRPr="007C3E68">
        <w:rPr>
          <w:rFonts w:asciiTheme="majorHAnsi" w:hAnsiTheme="majorHAnsi"/>
          <w:sz w:val="16"/>
          <w:szCs w:val="16"/>
        </w:rPr>
        <w:t> </w:t>
      </w:r>
    </w:p>
  </w:footnote>
  <w:footnote w:id="63">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40. Bernardo Franco Coronel’s sworn witness affidavit before the Public Prosecutor, dated August 30, 2002. Annexed to communication from petitioners, dated August 18, 2010.</w:t>
      </w:r>
    </w:p>
    <w:p w:rsidR="00C807C8" w:rsidRPr="007C3E68" w:rsidRDefault="00C807C8" w:rsidP="002D7F3B">
      <w:pPr>
        <w:pStyle w:val="FootnoteText"/>
        <w:jc w:val="both"/>
      </w:pPr>
    </w:p>
  </w:footnote>
  <w:footnote w:id="64">
    <w:p w:rsidR="00C807C8" w:rsidRPr="007C3E68" w:rsidRDefault="00C807C8" w:rsidP="002D7F3B">
      <w:pPr>
        <w:ind w:firstLine="720"/>
        <w:jc w:val="both"/>
        <w:rPr>
          <w:rFonts w:asciiTheme="majorHAnsi" w:hAnsiTheme="majorHAnsi"/>
          <w:sz w:val="16"/>
          <w:szCs w:val="16"/>
        </w:rPr>
      </w:pPr>
      <w:r w:rsidRPr="007C3E68">
        <w:rPr>
          <w:rStyle w:val="FootnoteReference"/>
          <w:sz w:val="16"/>
          <w:szCs w:val="16"/>
        </w:rPr>
        <w:footnoteRef/>
      </w:r>
      <w:r w:rsidRPr="007C3E68">
        <w:rPr>
          <w:sz w:val="16"/>
          <w:szCs w:val="16"/>
        </w:rPr>
        <w:t xml:space="preserve"> </w:t>
      </w:r>
      <w:r w:rsidRPr="007C3E68">
        <w:rPr>
          <w:rFonts w:ascii="Cambria" w:hAnsi="Cambria"/>
          <w:sz w:val="16"/>
          <w:szCs w:val="16"/>
        </w:rPr>
        <w:t xml:space="preserve">Annex 41. Preliminary Testimony of José David Schembori before the Public Prosecutor, of January 13, 2003. </w:t>
      </w:r>
      <w:r w:rsidRPr="007C3E68">
        <w:rPr>
          <w:rFonts w:asciiTheme="majorHAnsi" w:hAnsiTheme="majorHAnsi"/>
          <w:sz w:val="16"/>
          <w:szCs w:val="16"/>
        </w:rPr>
        <w:t>Annexed to communication from petitioners, dated August 18, 2010.</w:t>
      </w:r>
    </w:p>
    <w:p w:rsidR="00C807C8" w:rsidRPr="007C3E68" w:rsidRDefault="00C807C8" w:rsidP="002D7F3B">
      <w:pPr>
        <w:pStyle w:val="FootnoteText"/>
        <w:jc w:val="both"/>
        <w:rPr>
          <w:sz w:val="16"/>
          <w:szCs w:val="16"/>
        </w:rPr>
      </w:pPr>
    </w:p>
  </w:footnote>
  <w:footnote w:id="65">
    <w:p w:rsidR="00C807C8" w:rsidRPr="007C3E68" w:rsidRDefault="00C807C8" w:rsidP="002D7F3B">
      <w:pPr>
        <w:ind w:firstLine="720"/>
        <w:jc w:val="both"/>
        <w:rPr>
          <w:rFonts w:asciiTheme="majorHAnsi" w:hAnsiTheme="majorHAnsi"/>
          <w:sz w:val="16"/>
          <w:szCs w:val="16"/>
        </w:rPr>
      </w:pPr>
      <w:r w:rsidRPr="007C3E68">
        <w:rPr>
          <w:rStyle w:val="FootnoteReference"/>
          <w:sz w:val="16"/>
          <w:szCs w:val="16"/>
        </w:rPr>
        <w:footnoteRef/>
      </w:r>
      <w:r w:rsidRPr="007C3E68">
        <w:rPr>
          <w:sz w:val="16"/>
          <w:szCs w:val="16"/>
        </w:rPr>
        <w:t xml:space="preserve"> </w:t>
      </w:r>
      <w:r w:rsidRPr="007C3E68">
        <w:rPr>
          <w:rFonts w:ascii="Cambria" w:hAnsi="Cambria"/>
          <w:sz w:val="16"/>
          <w:szCs w:val="16"/>
        </w:rPr>
        <w:t xml:space="preserve">Annex 42. Statement of Interrogation of Saturnino Antonio Gamarra before the Public Prosecutor, of January 14, 2003. </w:t>
      </w:r>
      <w:r w:rsidRPr="007C3E68">
        <w:rPr>
          <w:rFonts w:asciiTheme="majorHAnsi" w:hAnsiTheme="majorHAnsi"/>
          <w:sz w:val="16"/>
          <w:szCs w:val="16"/>
        </w:rPr>
        <w:t>Annexed to communication from petitioners, dated August 18, 2010.</w:t>
      </w:r>
    </w:p>
    <w:p w:rsidR="00C807C8" w:rsidRPr="007C3E68" w:rsidRDefault="00C807C8" w:rsidP="002D7F3B">
      <w:pPr>
        <w:jc w:val="both"/>
        <w:rPr>
          <w:rFonts w:ascii="Calibri" w:hAnsi="Calibri"/>
          <w:sz w:val="16"/>
          <w:szCs w:val="16"/>
        </w:rPr>
      </w:pPr>
    </w:p>
  </w:footnote>
  <w:footnote w:id="66">
    <w:p w:rsidR="00C807C8" w:rsidRPr="007C3E68" w:rsidRDefault="00C807C8" w:rsidP="002D7F3B">
      <w:pPr>
        <w:ind w:firstLine="720"/>
        <w:jc w:val="both"/>
        <w:rPr>
          <w:rFonts w:asciiTheme="majorHAnsi" w:hAnsiTheme="majorHAnsi"/>
          <w:sz w:val="16"/>
          <w:szCs w:val="16"/>
        </w:rPr>
      </w:pPr>
      <w:r w:rsidRPr="007C3E68">
        <w:rPr>
          <w:rStyle w:val="FootnoteReference"/>
          <w:sz w:val="16"/>
          <w:szCs w:val="16"/>
        </w:rPr>
        <w:footnoteRef/>
      </w:r>
      <w:r w:rsidRPr="007C3E68">
        <w:rPr>
          <w:sz w:val="16"/>
          <w:szCs w:val="16"/>
        </w:rPr>
        <w:t xml:space="preserve"> </w:t>
      </w:r>
      <w:r w:rsidRPr="007C3E68">
        <w:rPr>
          <w:rFonts w:ascii="Cambria" w:hAnsi="Cambria"/>
          <w:sz w:val="16"/>
          <w:szCs w:val="16"/>
        </w:rPr>
        <w:t xml:space="preserve">Annex 43. Statement of Interrogation of Javier Benjamín Cazal of January 15, 2003. </w:t>
      </w:r>
      <w:r w:rsidRPr="007C3E68">
        <w:rPr>
          <w:rFonts w:asciiTheme="majorHAnsi" w:hAnsiTheme="majorHAnsi"/>
          <w:sz w:val="16"/>
          <w:szCs w:val="16"/>
        </w:rPr>
        <w:t>Annexed to communication from petitioners, dated August 18, 2010.</w:t>
      </w:r>
    </w:p>
    <w:p w:rsidR="00C807C8" w:rsidRPr="007C3E68" w:rsidRDefault="00C807C8" w:rsidP="002D7F3B">
      <w:pPr>
        <w:jc w:val="both"/>
        <w:rPr>
          <w:rFonts w:ascii="Calibri" w:hAnsi="Calibri"/>
          <w:sz w:val="16"/>
          <w:szCs w:val="16"/>
        </w:rPr>
      </w:pPr>
    </w:p>
  </w:footnote>
  <w:footnote w:id="67">
    <w:p w:rsidR="00C807C8" w:rsidRPr="007C3E68" w:rsidRDefault="00C807C8" w:rsidP="002D7F3B">
      <w:pPr>
        <w:ind w:firstLine="720"/>
        <w:jc w:val="both"/>
        <w:rPr>
          <w:rFonts w:asciiTheme="majorHAnsi" w:hAnsiTheme="majorHAnsi"/>
          <w:sz w:val="16"/>
          <w:szCs w:val="16"/>
        </w:rPr>
      </w:pPr>
      <w:r w:rsidRPr="007C3E68">
        <w:rPr>
          <w:rStyle w:val="FootnoteReference"/>
          <w:sz w:val="16"/>
          <w:szCs w:val="16"/>
        </w:rPr>
        <w:footnoteRef/>
      </w:r>
      <w:r w:rsidRPr="007C3E68">
        <w:rPr>
          <w:sz w:val="16"/>
          <w:szCs w:val="16"/>
        </w:rPr>
        <w:t xml:space="preserve"> </w:t>
      </w:r>
      <w:r w:rsidRPr="007C3E68">
        <w:rPr>
          <w:rFonts w:ascii="Cambria" w:hAnsi="Cambria"/>
          <w:sz w:val="16"/>
          <w:szCs w:val="16"/>
        </w:rPr>
        <w:t xml:space="preserve">Annex 44. Decision on the habeas corpus filed on behalf of Juan Arrom, of January 24, 2002. </w:t>
      </w:r>
      <w:r w:rsidRPr="007C3E68">
        <w:rPr>
          <w:rFonts w:asciiTheme="majorHAnsi" w:hAnsiTheme="majorHAnsi"/>
          <w:sz w:val="16"/>
          <w:szCs w:val="16"/>
        </w:rPr>
        <w:t xml:space="preserve">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pPr>
    </w:p>
  </w:footnote>
  <w:footnote w:id="6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45. Decision on the habeas corpus filed on behalf of Anuncio Martí, of January 24, 2002.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ind w:firstLine="720"/>
        <w:jc w:val="both"/>
        <w:rPr>
          <w:rFonts w:asciiTheme="majorHAnsi" w:hAnsiTheme="majorHAnsi"/>
          <w:sz w:val="16"/>
          <w:szCs w:val="16"/>
        </w:rPr>
      </w:pPr>
    </w:p>
  </w:footnote>
  <w:footnote w:id="6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46. Indictment of Antonio Gamarra and José David Schembori, of February 7, 2002.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ind w:firstLine="720"/>
        <w:jc w:val="both"/>
        <w:rPr>
          <w:rFonts w:asciiTheme="majorHAnsi" w:hAnsiTheme="majorHAnsi"/>
          <w:sz w:val="16"/>
          <w:szCs w:val="16"/>
        </w:rPr>
      </w:pPr>
    </w:p>
  </w:footnote>
  <w:footnote w:id="70">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47. Indictment of Javier Cazal, of February 22, 2002.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ind w:firstLine="720"/>
        <w:jc w:val="both"/>
        <w:rPr>
          <w:rFonts w:asciiTheme="majorHAnsi" w:hAnsiTheme="majorHAnsi"/>
          <w:sz w:val="16"/>
          <w:szCs w:val="16"/>
        </w:rPr>
      </w:pPr>
    </w:p>
  </w:footnote>
  <w:footnote w:id="71">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46. Indictment of Antonio Gamarra and José David Schembori, of February 7, 2002.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rPr>
          <w:rFonts w:asciiTheme="majorHAnsi" w:hAnsiTheme="majorHAnsi"/>
          <w:sz w:val="16"/>
          <w:szCs w:val="16"/>
        </w:rPr>
      </w:pPr>
    </w:p>
  </w:footnote>
  <w:footnote w:id="7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48. Complaint filed by Juan Arrom, date illegible.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rPr>
          <w:rFonts w:asciiTheme="majorHAnsi" w:hAnsiTheme="majorHAnsi"/>
          <w:sz w:val="16"/>
          <w:szCs w:val="16"/>
        </w:rPr>
      </w:pPr>
    </w:p>
  </w:footnote>
  <w:footnote w:id="73">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49. Complaint filed by Anuncio Martí on February 26, 2002.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jc w:val="both"/>
        <w:rPr>
          <w:rFonts w:asciiTheme="majorHAnsi" w:hAnsiTheme="majorHAnsi"/>
          <w:sz w:val="16"/>
          <w:szCs w:val="16"/>
        </w:rPr>
      </w:pPr>
    </w:p>
  </w:footnote>
  <w:footnote w:id="74">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50. Request of the Public Prosecutor’s Office dismissal of the complaints, of February 8, 2003.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pPr>
    </w:p>
  </w:footnote>
  <w:footnote w:id="7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50. Request of the Public Prosecutors Office dismissal of the complaints, of February 8, 2003, p.16.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jc w:val="both"/>
        <w:rPr>
          <w:rFonts w:ascii="Calibri" w:hAnsi="Calibri"/>
          <w:sz w:val="20"/>
          <w:szCs w:val="20"/>
        </w:rPr>
      </w:pPr>
    </w:p>
  </w:footnote>
  <w:footnote w:id="76">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51. Brief of Anuncio Martí filing the accusation, of February 8, 2003.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jc w:val="both"/>
        <w:rPr>
          <w:rFonts w:asciiTheme="majorHAnsi" w:hAnsiTheme="majorHAnsi"/>
          <w:sz w:val="16"/>
          <w:szCs w:val="16"/>
        </w:rPr>
      </w:pPr>
    </w:p>
  </w:footnote>
  <w:footnote w:id="77">
    <w:p w:rsidR="00C807C8" w:rsidRPr="007C3E68" w:rsidRDefault="00C807C8" w:rsidP="002D7F3B">
      <w:pPr>
        <w:pStyle w:val="FootnoteText"/>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Some of the evidence offered by the attorney consisted of videos or audio recordings of interviews with lawyers and respondents in the process, as well as the video of Juan Arrom and Anuncio Martí’s appearance alive, medical reports and the register of telephone calls and testimonies of the accused.</w:t>
      </w:r>
    </w:p>
    <w:p w:rsidR="00C807C8" w:rsidRPr="007C3E68" w:rsidRDefault="00C807C8" w:rsidP="002D7F3B">
      <w:pPr>
        <w:pStyle w:val="FootnoteText"/>
        <w:jc w:val="both"/>
        <w:rPr>
          <w:rFonts w:asciiTheme="majorHAnsi" w:hAnsiTheme="majorHAnsi"/>
          <w:sz w:val="16"/>
          <w:szCs w:val="16"/>
        </w:rPr>
      </w:pPr>
    </w:p>
  </w:footnote>
  <w:footnote w:id="7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52. Brief of Juan Arrom for the purpose of objecting to the request for dismissal, to request the revocation of the precautionary measures and to present evidence.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 Some of the evidence required were: extension of declarations, requests to the Prosecutor's Office and to the Supreme Court of Military Justice to forward proceedings of some of the accused, orders to the municipalities to request information about the ownership of a property, orders to request information on the ownership of white Peugeot vehicles, and the criminal background of some of those individuals potential involved.</w:t>
      </w:r>
    </w:p>
    <w:p w:rsidR="00C807C8" w:rsidRPr="007C3E68" w:rsidRDefault="00C807C8" w:rsidP="002D7F3B">
      <w:pPr>
        <w:ind w:firstLine="720"/>
        <w:jc w:val="both"/>
        <w:rPr>
          <w:rFonts w:asciiTheme="majorHAnsi" w:hAnsiTheme="majorHAnsi"/>
          <w:sz w:val="16"/>
          <w:szCs w:val="16"/>
        </w:rPr>
      </w:pPr>
    </w:p>
  </w:footnote>
  <w:footnote w:id="79">
    <w:p w:rsidR="00F248AC"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Judicial decision is not in the case file; however, the petitioners and another judicial decision refer to it.  See </w:t>
      </w:r>
      <w:r w:rsidR="00F248AC" w:rsidRPr="007C3E68">
        <w:rPr>
          <w:rFonts w:asciiTheme="majorHAnsi" w:hAnsiTheme="majorHAnsi"/>
          <w:sz w:val="16"/>
          <w:szCs w:val="16"/>
        </w:rPr>
        <w:t xml:space="preserve">Annex 56. Judicial Decision ordering a dismissal, November 4, 2003. Annexed to </w:t>
      </w:r>
      <w:r w:rsidR="007A6A52">
        <w:rPr>
          <w:rFonts w:asciiTheme="majorHAnsi" w:hAnsiTheme="majorHAnsi"/>
          <w:sz w:val="16"/>
          <w:szCs w:val="16"/>
        </w:rPr>
        <w:t>communication of the State</w:t>
      </w:r>
      <w:r w:rsidR="00F248AC" w:rsidRPr="007C3E68">
        <w:rPr>
          <w:rFonts w:asciiTheme="majorHAnsi" w:hAnsiTheme="majorHAnsi"/>
          <w:sz w:val="16"/>
          <w:szCs w:val="16"/>
        </w:rPr>
        <w:t>, dated October 5, 2005.</w:t>
      </w:r>
      <w:r w:rsidRPr="007C3E68">
        <w:rPr>
          <w:rFonts w:asciiTheme="majorHAnsi" w:hAnsiTheme="majorHAnsi"/>
          <w:sz w:val="16"/>
          <w:szCs w:val="16"/>
        </w:rPr>
        <w:t xml:space="preserve"> </w:t>
      </w:r>
      <w:r w:rsidR="00F248AC" w:rsidRPr="007C3E68">
        <w:rPr>
          <w:rFonts w:asciiTheme="majorHAnsi" w:hAnsiTheme="majorHAnsi"/>
          <w:sz w:val="16"/>
          <w:szCs w:val="16"/>
        </w:rPr>
        <w:t xml:space="preserve">Annex 57 Appeal lodged by Diego Bertolucci, date illegible. Annexed to </w:t>
      </w:r>
      <w:r w:rsidR="007A6A52">
        <w:rPr>
          <w:rFonts w:asciiTheme="majorHAnsi" w:hAnsiTheme="majorHAnsi"/>
          <w:sz w:val="16"/>
          <w:szCs w:val="16"/>
        </w:rPr>
        <w:t>communication of the State</w:t>
      </w:r>
      <w:r w:rsidR="00F248AC" w:rsidRPr="007C3E68">
        <w:rPr>
          <w:rFonts w:asciiTheme="majorHAnsi" w:hAnsiTheme="majorHAnsi"/>
          <w:sz w:val="16"/>
          <w:szCs w:val="16"/>
        </w:rPr>
        <w:t>, dated October 5, 2005.</w:t>
      </w:r>
    </w:p>
    <w:p w:rsidR="00C807C8" w:rsidRPr="007C3E68" w:rsidRDefault="00C807C8" w:rsidP="002D7F3B">
      <w:pPr>
        <w:jc w:val="both"/>
        <w:rPr>
          <w:rFonts w:asciiTheme="majorHAnsi" w:hAnsiTheme="majorHAnsi"/>
          <w:sz w:val="16"/>
          <w:szCs w:val="16"/>
        </w:rPr>
      </w:pPr>
    </w:p>
  </w:footnote>
  <w:footnote w:id="80">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28.  Request of the Public Prosecutor’s Office requiring final dismissal, dated May 27, 2003.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jc w:val="both"/>
        <w:rPr>
          <w:rFonts w:asciiTheme="majorHAnsi" w:hAnsiTheme="majorHAnsi"/>
          <w:sz w:val="16"/>
          <w:szCs w:val="16"/>
        </w:rPr>
      </w:pPr>
    </w:p>
  </w:footnote>
  <w:footnote w:id="81">
    <w:p w:rsidR="00C807C8" w:rsidRPr="007C3E68" w:rsidRDefault="00C807C8" w:rsidP="002D7F3B">
      <w:pPr>
        <w:pStyle w:val="FootnoteText"/>
        <w:ind w:firstLine="720"/>
        <w:jc w:val="both"/>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The Commission notes that various pages of the brief for ratification of the dismissal presented by the Prosecutor are missing from the case file.</w:t>
      </w:r>
    </w:p>
  </w:footnote>
  <w:footnote w:id="82">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The aforesaid Article stated: "Lack of accusation. When the Public Prosecutor’s Office has not made an accusation and the judge considers the opening of a trial to be admissible, he shall order that the proceedings be referred to the State Attorney General to acknowledge and ratify the lower prosecutor's decision. In the latter case, the judge will decide according to the request of the Public Prosecutor’s Office. // In no case shall the judge order a motion of opening the trial in the absence of a prosecutorial accusation. "</w:t>
      </w:r>
    </w:p>
    <w:p w:rsidR="00C807C8" w:rsidRPr="007C3E68" w:rsidRDefault="00C807C8" w:rsidP="002D7F3B">
      <w:pPr>
        <w:pStyle w:val="FootnoteText"/>
        <w:ind w:firstLine="720"/>
        <w:jc w:val="both"/>
        <w:rPr>
          <w:rFonts w:asciiTheme="majorHAnsi" w:hAnsiTheme="majorHAnsi"/>
          <w:sz w:val="16"/>
          <w:szCs w:val="16"/>
        </w:rPr>
      </w:pPr>
    </w:p>
  </w:footnote>
  <w:footnote w:id="83">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53. Request for Unconstitutionality Plea, dated June 19, 2003.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rPr>
          <w:rFonts w:asciiTheme="majorHAnsi" w:hAnsiTheme="majorHAnsi"/>
          <w:sz w:val="16"/>
          <w:szCs w:val="16"/>
        </w:rPr>
      </w:pPr>
    </w:p>
  </w:footnote>
  <w:footnote w:id="84">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54. Unconstitutionality Plea Proceedings, dated September 19, 2003.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jc w:val="both"/>
        <w:rPr>
          <w:rFonts w:asciiTheme="majorHAnsi" w:hAnsiTheme="majorHAnsi"/>
          <w:sz w:val="16"/>
          <w:szCs w:val="16"/>
        </w:rPr>
      </w:pPr>
    </w:p>
  </w:footnote>
  <w:footnote w:id="8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55. Transcript of Public Hearing of November 4, 2003.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pPr>
    </w:p>
  </w:footnote>
  <w:footnote w:id="86">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56. Judicial Decision ordering a dismissal, November 4, 2003.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jc w:val="both"/>
        <w:rPr>
          <w:rFonts w:asciiTheme="majorHAnsi" w:hAnsiTheme="majorHAnsi"/>
          <w:sz w:val="16"/>
          <w:szCs w:val="16"/>
        </w:rPr>
      </w:pPr>
    </w:p>
  </w:footnote>
  <w:footnote w:id="87">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57. Appeal lodged by Diego Bertolucci, date illegible.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rPr>
          <w:rFonts w:asciiTheme="majorHAnsi" w:hAnsiTheme="majorHAnsi"/>
          <w:sz w:val="16"/>
          <w:szCs w:val="16"/>
        </w:rPr>
      </w:pPr>
    </w:p>
  </w:footnote>
  <w:footnote w:id="8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57. Appeal lodged by Diego Bertolucci, date illegible.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rPr>
          <w:rFonts w:asciiTheme="majorHAnsi" w:hAnsiTheme="majorHAnsi"/>
          <w:sz w:val="16"/>
          <w:szCs w:val="16"/>
        </w:rPr>
      </w:pPr>
    </w:p>
  </w:footnote>
  <w:footnote w:id="8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58. Order declaring appeals admissible, of March 24, 2004. Annexed to </w:t>
      </w:r>
      <w:r w:rsidR="007A6A52">
        <w:rPr>
          <w:rFonts w:asciiTheme="majorHAnsi" w:hAnsiTheme="majorHAnsi"/>
          <w:sz w:val="16"/>
          <w:szCs w:val="16"/>
        </w:rPr>
        <w:t>communication of the State</w:t>
      </w:r>
      <w:r w:rsidRPr="007C3E68">
        <w:rPr>
          <w:rFonts w:asciiTheme="majorHAnsi" w:hAnsiTheme="majorHAnsi"/>
          <w:sz w:val="16"/>
          <w:szCs w:val="16"/>
        </w:rPr>
        <w:t>, dated October 5, 2005.</w:t>
      </w:r>
    </w:p>
    <w:p w:rsidR="00C807C8" w:rsidRPr="007C3E68" w:rsidRDefault="00C807C8" w:rsidP="002D7F3B">
      <w:pPr>
        <w:pStyle w:val="FootnoteText"/>
        <w:jc w:val="both"/>
        <w:rPr>
          <w:rFonts w:asciiTheme="majorHAnsi" w:hAnsiTheme="majorHAnsi"/>
          <w:sz w:val="16"/>
          <w:szCs w:val="16"/>
        </w:rPr>
      </w:pPr>
    </w:p>
  </w:footnote>
  <w:footnote w:id="90">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59. Technical Note of the General Coordinator of the National Committee for Refugees, CONARE. Annexed to communication from petitioners, dated August 18, 2010.</w:t>
      </w:r>
    </w:p>
    <w:p w:rsidR="00F248AC" w:rsidRPr="007C3E68" w:rsidRDefault="00F248AC" w:rsidP="002D7F3B">
      <w:pPr>
        <w:pStyle w:val="FootnoteText"/>
        <w:ind w:firstLine="720"/>
        <w:jc w:val="both"/>
        <w:rPr>
          <w:rFonts w:asciiTheme="majorHAnsi" w:hAnsiTheme="majorHAnsi"/>
          <w:sz w:val="16"/>
          <w:szCs w:val="16"/>
        </w:rPr>
      </w:pPr>
    </w:p>
  </w:footnote>
  <w:footnote w:id="91">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w:t>
      </w:r>
      <w:r w:rsidRPr="007C3E68">
        <w:rPr>
          <w:rFonts w:asciiTheme="majorHAnsi" w:hAnsiTheme="majorHAnsi" w:cs="Courier New"/>
          <w:sz w:val="16"/>
          <w:szCs w:val="16"/>
        </w:rPr>
        <w:t xml:space="preserve">Annex 60. </w:t>
      </w:r>
      <w:r w:rsidRPr="002033D6">
        <w:rPr>
          <w:rFonts w:asciiTheme="majorHAnsi" w:hAnsiTheme="majorHAnsi" w:cs="Courier New"/>
          <w:sz w:val="16"/>
          <w:szCs w:val="16"/>
        </w:rPr>
        <w:t xml:space="preserve">Article entitled “Brasil negará extradição de refugiados políticos”, May 3, 2010. </w:t>
      </w:r>
      <w:r w:rsidRPr="007C3E68">
        <w:rPr>
          <w:rFonts w:asciiTheme="majorHAnsi" w:hAnsiTheme="majorHAnsi"/>
          <w:sz w:val="16"/>
          <w:szCs w:val="16"/>
        </w:rPr>
        <w:t>Annexed to communication from petitioners, dated August 18, 2010.</w:t>
      </w:r>
    </w:p>
    <w:p w:rsidR="00F248AC" w:rsidRPr="002033D6" w:rsidRDefault="00F248AC" w:rsidP="002D7F3B">
      <w:pPr>
        <w:pStyle w:val="FootnoteText"/>
        <w:ind w:firstLine="720"/>
        <w:jc w:val="both"/>
        <w:rPr>
          <w:rFonts w:asciiTheme="majorHAnsi" w:hAnsiTheme="majorHAnsi"/>
          <w:sz w:val="16"/>
          <w:szCs w:val="16"/>
        </w:rPr>
      </w:pPr>
    </w:p>
  </w:footnote>
  <w:footnote w:id="92">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61. Declaration of Contumacy against Juan Arrom and Anuncio Martí, dated August 21, 2003.</w:t>
      </w:r>
      <w:r w:rsidR="00F248AC" w:rsidRPr="007C3E68">
        <w:rPr>
          <w:rFonts w:asciiTheme="majorHAnsi" w:hAnsiTheme="majorHAnsi"/>
          <w:sz w:val="16"/>
          <w:szCs w:val="16"/>
        </w:rPr>
        <w:t xml:space="preserve"> Annexed to </w:t>
      </w:r>
      <w:r w:rsidR="007A6A52">
        <w:rPr>
          <w:rFonts w:asciiTheme="majorHAnsi" w:hAnsiTheme="majorHAnsi"/>
          <w:sz w:val="16"/>
          <w:szCs w:val="16"/>
        </w:rPr>
        <w:t>communication of the State</w:t>
      </w:r>
      <w:r w:rsidR="00F248AC" w:rsidRPr="007C3E68">
        <w:rPr>
          <w:rFonts w:asciiTheme="majorHAnsi" w:hAnsiTheme="majorHAnsi"/>
          <w:sz w:val="16"/>
          <w:szCs w:val="16"/>
        </w:rPr>
        <w:t>, dated September 12, 2003.</w:t>
      </w:r>
    </w:p>
  </w:footnote>
  <w:footnote w:id="93">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w:t>
      </w:r>
      <w:r w:rsidR="00CC57A7" w:rsidRPr="007C3E68">
        <w:rPr>
          <w:rFonts w:asciiTheme="majorHAnsi" w:hAnsiTheme="majorHAnsi"/>
          <w:sz w:val="16"/>
          <w:szCs w:val="16"/>
        </w:rPr>
        <w:t>62</w:t>
      </w:r>
      <w:r w:rsidRPr="007C3E68">
        <w:rPr>
          <w:rFonts w:asciiTheme="majorHAnsi" w:hAnsiTheme="majorHAnsi"/>
          <w:sz w:val="16"/>
          <w:szCs w:val="16"/>
        </w:rPr>
        <w:t>. Official Letter of the Criminal Judge for Settlement and Judgment directed to the Foreign Relations Ministry, dated October 15, 2004.</w:t>
      </w:r>
      <w:r w:rsidR="00CC57A7" w:rsidRPr="007C3E68">
        <w:rPr>
          <w:rFonts w:asciiTheme="majorHAnsi" w:hAnsiTheme="majorHAnsi"/>
          <w:sz w:val="16"/>
          <w:szCs w:val="16"/>
        </w:rPr>
        <w:t xml:space="preserve"> Annexed to </w:t>
      </w:r>
      <w:r w:rsidR="007A6A52">
        <w:rPr>
          <w:rFonts w:asciiTheme="majorHAnsi" w:hAnsiTheme="majorHAnsi"/>
          <w:sz w:val="16"/>
          <w:szCs w:val="16"/>
        </w:rPr>
        <w:t>communication of the State</w:t>
      </w:r>
      <w:r w:rsidR="00CC57A7" w:rsidRPr="007C3E68">
        <w:rPr>
          <w:rFonts w:asciiTheme="majorHAnsi" w:hAnsiTheme="majorHAnsi"/>
          <w:sz w:val="16"/>
          <w:szCs w:val="16"/>
        </w:rPr>
        <w:t>, dated December 20, 2007.</w:t>
      </w:r>
    </w:p>
    <w:p w:rsidR="006B58E2" w:rsidRPr="007C3E68" w:rsidRDefault="006B58E2" w:rsidP="002D7F3B">
      <w:pPr>
        <w:pStyle w:val="FootnoteText"/>
        <w:ind w:firstLine="720"/>
        <w:jc w:val="both"/>
        <w:rPr>
          <w:rFonts w:asciiTheme="majorHAnsi" w:hAnsiTheme="majorHAnsi"/>
          <w:sz w:val="16"/>
          <w:szCs w:val="16"/>
        </w:rPr>
      </w:pPr>
    </w:p>
  </w:footnote>
  <w:footnote w:id="94">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w:t>
      </w:r>
      <w:r w:rsidR="00CC57A7" w:rsidRPr="007C3E68">
        <w:rPr>
          <w:rFonts w:asciiTheme="majorHAnsi" w:hAnsiTheme="majorHAnsi"/>
          <w:sz w:val="16"/>
          <w:szCs w:val="16"/>
        </w:rPr>
        <w:t>Annex 63</w:t>
      </w:r>
      <w:r w:rsidRPr="007C3E68">
        <w:rPr>
          <w:rFonts w:asciiTheme="majorHAnsi" w:hAnsiTheme="majorHAnsi"/>
          <w:sz w:val="16"/>
          <w:szCs w:val="16"/>
        </w:rPr>
        <w:t>. Official Request from the International Police Organization – Interpol, dated October 15, 2004.</w:t>
      </w:r>
      <w:r w:rsidR="00CC57A7" w:rsidRPr="007C3E68">
        <w:rPr>
          <w:rFonts w:asciiTheme="majorHAnsi" w:hAnsiTheme="majorHAnsi"/>
          <w:sz w:val="16"/>
          <w:szCs w:val="16"/>
        </w:rPr>
        <w:t xml:space="preserve"> Annexed to </w:t>
      </w:r>
      <w:r w:rsidR="007A6A52">
        <w:rPr>
          <w:rFonts w:asciiTheme="majorHAnsi" w:hAnsiTheme="majorHAnsi"/>
          <w:sz w:val="16"/>
          <w:szCs w:val="16"/>
        </w:rPr>
        <w:t>communication of the State</w:t>
      </w:r>
      <w:r w:rsidR="00CC57A7" w:rsidRPr="007C3E68">
        <w:rPr>
          <w:rFonts w:asciiTheme="majorHAnsi" w:hAnsiTheme="majorHAnsi"/>
          <w:sz w:val="16"/>
          <w:szCs w:val="16"/>
        </w:rPr>
        <w:t>, dated December 20, 2007.</w:t>
      </w:r>
    </w:p>
    <w:p w:rsidR="006B58E2" w:rsidRPr="007C3E68" w:rsidRDefault="006B58E2" w:rsidP="002D7F3B">
      <w:pPr>
        <w:pStyle w:val="FootnoteText"/>
        <w:ind w:firstLine="720"/>
        <w:jc w:val="both"/>
        <w:rPr>
          <w:rFonts w:asciiTheme="majorHAnsi" w:hAnsiTheme="majorHAnsi"/>
          <w:sz w:val="16"/>
          <w:szCs w:val="16"/>
        </w:rPr>
      </w:pPr>
    </w:p>
  </w:footnote>
  <w:footnote w:id="95">
    <w:p w:rsidR="00C807C8" w:rsidRPr="007C3E68" w:rsidRDefault="00C807C8" w:rsidP="002D7F3B">
      <w:pPr>
        <w:ind w:firstLine="720"/>
        <w:jc w:val="both"/>
        <w:rPr>
          <w:rFonts w:asciiTheme="majorHAnsi" w:hAnsiTheme="majorHAnsi"/>
          <w:sz w:val="16"/>
          <w:szCs w:val="16"/>
        </w:rPr>
      </w:pPr>
      <w:r w:rsidRPr="007A6A52">
        <w:rPr>
          <w:rStyle w:val="FootnoteReference"/>
          <w:rFonts w:asciiTheme="majorHAnsi" w:hAnsiTheme="majorHAnsi"/>
          <w:sz w:val="16"/>
          <w:szCs w:val="16"/>
        </w:rPr>
        <w:footnoteRef/>
      </w:r>
      <w:r w:rsidRPr="007A6A52">
        <w:rPr>
          <w:rFonts w:asciiTheme="majorHAnsi" w:hAnsiTheme="majorHAnsi"/>
          <w:sz w:val="16"/>
          <w:szCs w:val="16"/>
        </w:rPr>
        <w:t xml:space="preserve"> </w:t>
      </w:r>
      <w:r w:rsidR="006B58E2" w:rsidRPr="007A6A52">
        <w:rPr>
          <w:rFonts w:asciiTheme="majorHAnsi" w:hAnsiTheme="majorHAnsi"/>
          <w:sz w:val="16"/>
          <w:szCs w:val="16"/>
        </w:rPr>
        <w:t>Annex</w:t>
      </w:r>
      <w:r w:rsidRPr="007A6A52">
        <w:rPr>
          <w:rFonts w:asciiTheme="majorHAnsi" w:hAnsiTheme="majorHAnsi"/>
          <w:sz w:val="16"/>
          <w:szCs w:val="16"/>
        </w:rPr>
        <w:t xml:space="preserve"> </w:t>
      </w:r>
      <w:r w:rsidR="00CC57A7" w:rsidRPr="007A6A52">
        <w:rPr>
          <w:rFonts w:asciiTheme="majorHAnsi" w:hAnsiTheme="majorHAnsi"/>
          <w:sz w:val="16"/>
          <w:szCs w:val="16"/>
        </w:rPr>
        <w:t xml:space="preserve">64. </w:t>
      </w:r>
      <w:r w:rsidRPr="007A6A52">
        <w:rPr>
          <w:rFonts w:asciiTheme="majorHAnsi" w:hAnsiTheme="majorHAnsi"/>
          <w:sz w:val="16"/>
          <w:szCs w:val="16"/>
        </w:rPr>
        <w:t>Official Letter of the Criminal Judge for Settlement and Judgment No. 10, August 29, 2006.</w:t>
      </w:r>
      <w:r w:rsidR="00CC57A7" w:rsidRPr="007A6A52">
        <w:rPr>
          <w:rFonts w:asciiTheme="majorHAnsi" w:hAnsiTheme="majorHAnsi"/>
          <w:sz w:val="16"/>
          <w:szCs w:val="16"/>
        </w:rPr>
        <w:t xml:space="preserve"> </w:t>
      </w:r>
      <w:r w:rsidR="006B58E2" w:rsidRPr="007A6A52">
        <w:rPr>
          <w:rFonts w:asciiTheme="majorHAnsi" w:hAnsiTheme="majorHAnsi"/>
          <w:sz w:val="16"/>
          <w:szCs w:val="16"/>
        </w:rPr>
        <w:t xml:space="preserve">Annexed to </w:t>
      </w:r>
      <w:r w:rsidR="00BE077F" w:rsidRPr="007A6A52">
        <w:rPr>
          <w:rFonts w:asciiTheme="majorHAnsi" w:hAnsiTheme="majorHAnsi"/>
          <w:sz w:val="16"/>
          <w:szCs w:val="16"/>
        </w:rPr>
        <w:t>communication from the State</w:t>
      </w:r>
      <w:r w:rsidR="006B58E2" w:rsidRPr="007A6A52">
        <w:rPr>
          <w:rFonts w:asciiTheme="majorHAnsi" w:hAnsiTheme="majorHAnsi"/>
          <w:sz w:val="16"/>
          <w:szCs w:val="16"/>
        </w:rPr>
        <w:t>,</w:t>
      </w:r>
      <w:r w:rsidR="006B58E2" w:rsidRPr="007C3E68">
        <w:rPr>
          <w:rFonts w:asciiTheme="majorHAnsi" w:hAnsiTheme="majorHAnsi"/>
          <w:sz w:val="16"/>
          <w:szCs w:val="16"/>
        </w:rPr>
        <w:t xml:space="preserve"> dated December 20, 2007.</w:t>
      </w:r>
    </w:p>
    <w:p w:rsidR="006B58E2" w:rsidRPr="007C3E68" w:rsidRDefault="006B58E2" w:rsidP="002D7F3B">
      <w:pPr>
        <w:ind w:firstLine="720"/>
        <w:jc w:val="both"/>
        <w:rPr>
          <w:rFonts w:asciiTheme="majorHAnsi" w:hAnsiTheme="majorHAnsi"/>
          <w:sz w:val="16"/>
          <w:szCs w:val="16"/>
        </w:rPr>
      </w:pPr>
    </w:p>
  </w:footnote>
  <w:footnote w:id="96">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w:t>
      </w:r>
      <w:r w:rsidR="006B58E2" w:rsidRPr="007C3E68">
        <w:rPr>
          <w:rFonts w:asciiTheme="majorHAnsi" w:hAnsiTheme="majorHAnsi"/>
          <w:sz w:val="16"/>
          <w:szCs w:val="16"/>
        </w:rPr>
        <w:t>65</w:t>
      </w:r>
      <w:r w:rsidRPr="007C3E68">
        <w:rPr>
          <w:rFonts w:asciiTheme="majorHAnsi" w:hAnsiTheme="majorHAnsi"/>
          <w:sz w:val="16"/>
          <w:szCs w:val="16"/>
        </w:rPr>
        <w:t>. Copy of the Announcement “Wanted – Enemies of the Paraguayan people”.</w:t>
      </w:r>
      <w:r w:rsidR="006B58E2" w:rsidRPr="007C3E68">
        <w:rPr>
          <w:rFonts w:asciiTheme="majorHAnsi" w:hAnsiTheme="majorHAnsi"/>
          <w:sz w:val="16"/>
          <w:szCs w:val="16"/>
        </w:rPr>
        <w:t xml:space="preserve"> Annexed to communication of petitioners, dated August, 18, 2010. Also annexed to communication of petitioners, dated June 2, 2011.</w:t>
      </w:r>
    </w:p>
    <w:p w:rsidR="006B58E2" w:rsidRPr="007C3E68" w:rsidRDefault="006B58E2" w:rsidP="002D7F3B">
      <w:pPr>
        <w:pStyle w:val="FootnoteText"/>
        <w:ind w:firstLine="720"/>
        <w:jc w:val="both"/>
        <w:rPr>
          <w:rFonts w:asciiTheme="majorHAnsi" w:hAnsiTheme="majorHAnsi"/>
          <w:sz w:val="16"/>
          <w:szCs w:val="16"/>
        </w:rPr>
      </w:pPr>
    </w:p>
  </w:footnote>
  <w:footnote w:id="97">
    <w:p w:rsidR="00C807C8" w:rsidRPr="002033D6" w:rsidRDefault="00C807C8" w:rsidP="002D7F3B">
      <w:pPr>
        <w:ind w:firstLine="720"/>
        <w:jc w:val="both"/>
        <w:rPr>
          <w:rFonts w:asciiTheme="majorHAnsi" w:hAnsiTheme="majorHAnsi"/>
          <w:sz w:val="16"/>
          <w:szCs w:val="16"/>
          <w:lang w:val="pt-BR"/>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w:t>
      </w:r>
      <w:r w:rsidR="006B58E2" w:rsidRPr="007C3E68">
        <w:rPr>
          <w:rFonts w:asciiTheme="majorHAnsi" w:hAnsiTheme="majorHAnsi"/>
          <w:sz w:val="16"/>
          <w:szCs w:val="16"/>
        </w:rPr>
        <w:t>66</w:t>
      </w:r>
      <w:r w:rsidRPr="007C3E68">
        <w:rPr>
          <w:rFonts w:asciiTheme="majorHAnsi" w:hAnsiTheme="majorHAnsi"/>
          <w:sz w:val="16"/>
          <w:szCs w:val="16"/>
        </w:rPr>
        <w:t>. Letter from the President of the Chamber of Deputies to the President of the Republic.</w:t>
      </w:r>
      <w:r w:rsidR="006B58E2" w:rsidRPr="007C3E68">
        <w:rPr>
          <w:rFonts w:asciiTheme="majorHAnsi" w:hAnsiTheme="majorHAnsi"/>
          <w:sz w:val="16"/>
          <w:szCs w:val="16"/>
        </w:rPr>
        <w:t xml:space="preserve"> </w:t>
      </w:r>
      <w:r w:rsidR="006B58E2" w:rsidRPr="002033D6">
        <w:rPr>
          <w:rFonts w:asciiTheme="majorHAnsi" w:hAnsiTheme="majorHAnsi"/>
          <w:sz w:val="16"/>
          <w:szCs w:val="16"/>
          <w:lang w:val="pt-BR"/>
        </w:rPr>
        <w:t xml:space="preserve">Annexed to communication of petitioners, dated June 2, 2011. </w:t>
      </w:r>
    </w:p>
    <w:p w:rsidR="006B58E2" w:rsidRPr="002033D6" w:rsidRDefault="006B58E2" w:rsidP="002D7F3B">
      <w:pPr>
        <w:ind w:firstLine="720"/>
        <w:jc w:val="both"/>
        <w:rPr>
          <w:rFonts w:asciiTheme="majorHAnsi" w:hAnsiTheme="majorHAnsi"/>
          <w:sz w:val="16"/>
          <w:szCs w:val="16"/>
          <w:lang w:val="pt-BR"/>
        </w:rPr>
      </w:pPr>
    </w:p>
  </w:footnote>
  <w:footnote w:id="9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2033D6">
        <w:rPr>
          <w:rFonts w:asciiTheme="majorHAnsi" w:hAnsiTheme="majorHAnsi"/>
          <w:sz w:val="16"/>
          <w:szCs w:val="16"/>
          <w:lang w:val="pt-BR"/>
        </w:rPr>
        <w:t xml:space="preserve"> </w:t>
      </w:r>
      <w:r w:rsidR="006B58E2" w:rsidRPr="002033D6">
        <w:rPr>
          <w:rFonts w:asciiTheme="majorHAnsi" w:hAnsiTheme="majorHAnsi"/>
          <w:sz w:val="16"/>
          <w:szCs w:val="16"/>
          <w:lang w:val="pt-BR"/>
        </w:rPr>
        <w:t>Annex 67</w:t>
      </w:r>
      <w:r w:rsidRPr="002033D6">
        <w:rPr>
          <w:rFonts w:asciiTheme="majorHAnsi" w:hAnsiTheme="majorHAnsi"/>
          <w:sz w:val="16"/>
          <w:szCs w:val="16"/>
          <w:lang w:val="pt-BR"/>
        </w:rPr>
        <w:t>. Article entitled “Os direitos humanos são a baliza, a referência e os suportes, que dão humanidade ao mundo. </w:t>
      </w:r>
      <w:r w:rsidRPr="002033D6">
        <w:rPr>
          <w:rFonts w:asciiTheme="majorHAnsi" w:hAnsiTheme="majorHAnsi"/>
          <w:sz w:val="16"/>
          <w:szCs w:val="16"/>
          <w:shd w:val="clear" w:color="auto" w:fill="FEFEFE"/>
          <w:lang w:val="pt-BR"/>
        </w:rPr>
        <w:t xml:space="preserve">Sem </w:t>
      </w:r>
      <w:r w:rsidRPr="007C3E68">
        <w:rPr>
          <w:rFonts w:asciiTheme="majorHAnsi" w:hAnsiTheme="majorHAnsi"/>
          <w:sz w:val="16"/>
          <w:szCs w:val="16"/>
          <w:shd w:val="clear" w:color="auto" w:fill="FEFEFE"/>
          <w:lang w:val="pt-BR"/>
        </w:rPr>
        <w:t>eles, nossas sociedades iriam para a barbárie</w:t>
      </w:r>
      <w:r w:rsidRPr="007C3E68">
        <w:rPr>
          <w:rFonts w:asciiTheme="majorHAnsi" w:hAnsiTheme="majorHAnsi"/>
          <w:sz w:val="16"/>
          <w:szCs w:val="16"/>
          <w:lang w:val="pt-BR"/>
        </w:rPr>
        <w:t>”, from Senator Cristovam Buarque, of March 9, 2010. </w:t>
      </w:r>
      <w:r w:rsidR="006B58E2" w:rsidRPr="007C3E68">
        <w:rPr>
          <w:rFonts w:asciiTheme="majorHAnsi" w:hAnsiTheme="majorHAnsi"/>
          <w:sz w:val="16"/>
          <w:szCs w:val="16"/>
        </w:rPr>
        <w:t>Annexed to communication of petitioners, dated June 2, 2011.</w:t>
      </w:r>
    </w:p>
    <w:p w:rsidR="006B58E2" w:rsidRPr="007C3E68" w:rsidRDefault="006B58E2" w:rsidP="002D7F3B">
      <w:pPr>
        <w:ind w:firstLine="720"/>
        <w:jc w:val="both"/>
        <w:rPr>
          <w:rFonts w:asciiTheme="majorHAnsi" w:hAnsiTheme="majorHAnsi"/>
          <w:sz w:val="16"/>
          <w:szCs w:val="16"/>
        </w:rPr>
      </w:pPr>
    </w:p>
  </w:footnote>
  <w:footnote w:id="99">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w:t>
      </w:r>
      <w:r w:rsidR="006B58E2" w:rsidRPr="007C3E68">
        <w:rPr>
          <w:rFonts w:asciiTheme="majorHAnsi" w:hAnsiTheme="majorHAnsi"/>
          <w:sz w:val="16"/>
          <w:szCs w:val="16"/>
        </w:rPr>
        <w:t>Annex 68</w:t>
      </w:r>
      <w:r w:rsidRPr="007C3E68">
        <w:rPr>
          <w:rFonts w:asciiTheme="majorHAnsi" w:hAnsiTheme="majorHAnsi"/>
          <w:sz w:val="16"/>
          <w:szCs w:val="16"/>
        </w:rPr>
        <w:t>. Communication from the President of the Chamber of Deputies to the IACHR, dated October 9, 2012.</w:t>
      </w:r>
      <w:r w:rsidR="006B58E2" w:rsidRPr="007C3E68">
        <w:rPr>
          <w:rFonts w:asciiTheme="majorHAnsi" w:hAnsiTheme="majorHAnsi"/>
          <w:sz w:val="16"/>
          <w:szCs w:val="16"/>
        </w:rPr>
        <w:t xml:space="preserve"> Annexed to communication of petitioners, dated June 2, 2011.</w:t>
      </w:r>
    </w:p>
    <w:p w:rsidR="006B58E2" w:rsidRPr="007C3E68" w:rsidRDefault="006B58E2" w:rsidP="002D7F3B">
      <w:pPr>
        <w:pStyle w:val="FootnoteText"/>
        <w:ind w:firstLine="720"/>
        <w:jc w:val="both"/>
      </w:pPr>
    </w:p>
  </w:footnote>
  <w:footnote w:id="100">
    <w:p w:rsidR="00C807C8" w:rsidRPr="007C3E68" w:rsidRDefault="00C807C8" w:rsidP="002D7F3B">
      <w:pPr>
        <w:pStyle w:val="FootnoteText"/>
        <w:ind w:firstLine="720"/>
        <w:jc w:val="both"/>
        <w:rPr>
          <w:rFonts w:ascii="Cambria" w:hAnsi="Cambria"/>
          <w:sz w:val="16"/>
          <w:szCs w:val="16"/>
        </w:rPr>
      </w:pPr>
      <w:r w:rsidRPr="007C3E68">
        <w:rPr>
          <w:rStyle w:val="FootnoteReference"/>
        </w:rPr>
        <w:footnoteRef/>
      </w:r>
      <w:r w:rsidRPr="007C3E68">
        <w:t xml:space="preserve"> </w:t>
      </w:r>
      <w:r w:rsidRPr="007C3E68">
        <w:rPr>
          <w:rFonts w:ascii="Cambria" w:hAnsi="Cambria"/>
          <w:sz w:val="16"/>
          <w:szCs w:val="16"/>
        </w:rPr>
        <w:t>The Inter-American Court has established that the inclusion of articles of the American Convention by the IACHR at the Merits stage "does not imply a violation of the [State's] right of defense" in cases where the State has become aware of the facts support their alleged violation.  See: I/A Court H.R, </w:t>
      </w:r>
      <w:r w:rsidRPr="007C3E68">
        <w:rPr>
          <w:rFonts w:ascii="Cambria" w:hAnsi="Cambria"/>
          <w:iCs/>
          <w:sz w:val="16"/>
          <w:szCs w:val="16"/>
          <w:bdr w:val="none" w:sz="0" w:space="0" w:color="auto" w:frame="1"/>
        </w:rPr>
        <w:t>Case of Furlan and Family v. Argentina</w:t>
      </w:r>
      <w:r w:rsidRPr="007C3E68">
        <w:rPr>
          <w:rFonts w:ascii="Cambria" w:hAnsi="Cambria"/>
          <w:sz w:val="16"/>
          <w:szCs w:val="16"/>
          <w:bdr w:val="none" w:sz="0" w:space="0" w:color="auto" w:frame="1"/>
        </w:rPr>
        <w:t>. Preliminary Objections, Merits, Reparations and Costs. Judgment of August 31, 2012. Series C No. 246</w:t>
      </w:r>
      <w:r w:rsidRPr="007C3E68">
        <w:rPr>
          <w:rFonts w:ascii="Cambria" w:hAnsi="Cambria"/>
          <w:sz w:val="16"/>
          <w:szCs w:val="16"/>
        </w:rPr>
        <w:t>, para. 50.</w:t>
      </w:r>
    </w:p>
    <w:p w:rsidR="00094AB5" w:rsidRPr="007C3E68" w:rsidRDefault="00094AB5" w:rsidP="002D7F3B">
      <w:pPr>
        <w:pStyle w:val="FootnoteText"/>
        <w:ind w:firstLine="720"/>
        <w:jc w:val="both"/>
      </w:pPr>
    </w:p>
  </w:footnote>
  <w:footnote w:id="101">
    <w:p w:rsidR="00C807C8" w:rsidRPr="007C3E68" w:rsidRDefault="00C807C8" w:rsidP="002D7F3B">
      <w:pPr>
        <w:pStyle w:val="FootnoteText"/>
        <w:ind w:firstLine="720"/>
        <w:jc w:val="both"/>
        <w:rPr>
          <w:rFonts w:ascii="Cambria" w:hAnsi="Cambria"/>
          <w:sz w:val="16"/>
          <w:szCs w:val="16"/>
        </w:rPr>
      </w:pPr>
      <w:r w:rsidRPr="007C3E68">
        <w:rPr>
          <w:rStyle w:val="FootnoteReference"/>
        </w:rPr>
        <w:footnoteRef/>
      </w:r>
      <w:r w:rsidRPr="007C3E68">
        <w:t xml:space="preserve"> </w:t>
      </w:r>
      <w:r w:rsidRPr="007C3E68">
        <w:rPr>
          <w:rFonts w:ascii="Cambria" w:hAnsi="Cambria"/>
          <w:sz w:val="16"/>
          <w:szCs w:val="16"/>
        </w:rPr>
        <w:t>Article 8 of the American Convention provides: “</w:t>
      </w:r>
      <w:r w:rsidRPr="007C3E68">
        <w:rPr>
          <w:rFonts w:ascii="Cambria" w:hAnsi="Cambria"/>
          <w:sz w:val="16"/>
          <w:szCs w:val="16"/>
          <w:bdr w:val="none" w:sz="0" w:space="0" w:color="auto" w:frame="1"/>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r w:rsidRPr="007C3E68">
        <w:rPr>
          <w:rFonts w:ascii="Cambria" w:hAnsi="Cambria"/>
          <w:sz w:val="16"/>
          <w:szCs w:val="16"/>
        </w:rPr>
        <w:t>2. </w:t>
      </w:r>
      <w:r w:rsidRPr="007C3E68">
        <w:rPr>
          <w:rFonts w:ascii="Cambria" w:hAnsi="Cambria"/>
          <w:sz w:val="16"/>
          <w:szCs w:val="16"/>
          <w:bdr w:val="none" w:sz="0" w:space="0" w:color="auto" w:frame="1"/>
        </w:rPr>
        <w:t>Every person accused of a criminal offense has the right to be presumed innocent so long as his guilt has not been proven according to law</w:t>
      </w:r>
      <w:r w:rsidRPr="007C3E68">
        <w:rPr>
          <w:rFonts w:ascii="Cambria" w:hAnsi="Cambria"/>
          <w:sz w:val="16"/>
          <w:szCs w:val="16"/>
        </w:rPr>
        <w:t>. […]”. </w:t>
      </w:r>
    </w:p>
    <w:p w:rsidR="00094AB5" w:rsidRPr="007C3E68" w:rsidRDefault="00094AB5" w:rsidP="002D7F3B">
      <w:pPr>
        <w:pStyle w:val="FootnoteText"/>
        <w:ind w:firstLine="720"/>
        <w:jc w:val="both"/>
      </w:pPr>
    </w:p>
  </w:footnote>
  <w:footnote w:id="102">
    <w:p w:rsidR="00C807C8" w:rsidRPr="007C3E68" w:rsidRDefault="00C807C8" w:rsidP="002D7F3B">
      <w:pPr>
        <w:pStyle w:val="FootnoteText"/>
        <w:ind w:firstLine="720"/>
        <w:jc w:val="both"/>
        <w:rPr>
          <w:rFonts w:ascii="Cambria" w:hAnsi="Cambria"/>
          <w:sz w:val="16"/>
          <w:szCs w:val="16"/>
        </w:rPr>
      </w:pPr>
      <w:r w:rsidRPr="007C3E68">
        <w:rPr>
          <w:rStyle w:val="FootnoteReference"/>
        </w:rPr>
        <w:footnoteRef/>
      </w:r>
      <w:r w:rsidRPr="007C3E68">
        <w:t xml:space="preserve"> </w:t>
      </w:r>
      <w:r w:rsidRPr="007C3E68">
        <w:rPr>
          <w:rFonts w:ascii="Cambria" w:hAnsi="Cambria"/>
          <w:sz w:val="16"/>
          <w:szCs w:val="16"/>
        </w:rPr>
        <w:t>Article 25.1 of the American Convention provides: “</w:t>
      </w:r>
      <w:r w:rsidRPr="007C3E68">
        <w:rPr>
          <w:rFonts w:ascii="Cambria" w:hAnsi="Cambria"/>
          <w:sz w:val="16"/>
          <w:szCs w:val="16"/>
          <w:bdr w:val="none" w:sz="0" w:space="0" w:color="auto" w:frame="1"/>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7C3E68">
        <w:rPr>
          <w:rFonts w:ascii="Cambria" w:hAnsi="Cambria"/>
          <w:sz w:val="16"/>
          <w:szCs w:val="16"/>
        </w:rPr>
        <w:t>” </w:t>
      </w:r>
    </w:p>
    <w:p w:rsidR="00094AB5" w:rsidRPr="007C3E68" w:rsidRDefault="00094AB5" w:rsidP="002D7F3B">
      <w:pPr>
        <w:pStyle w:val="FootnoteText"/>
        <w:ind w:firstLine="720"/>
        <w:jc w:val="both"/>
      </w:pPr>
    </w:p>
  </w:footnote>
  <w:footnote w:id="103">
    <w:p w:rsidR="00C807C8" w:rsidRPr="007C3E68" w:rsidRDefault="00C807C8" w:rsidP="002D7F3B">
      <w:pPr>
        <w:pStyle w:val="FootnoteText"/>
        <w:ind w:firstLine="720"/>
        <w:jc w:val="both"/>
        <w:rPr>
          <w:rFonts w:asciiTheme="majorHAnsi" w:hAnsiTheme="majorHAnsi"/>
          <w:sz w:val="16"/>
          <w:szCs w:val="16"/>
          <w:bdr w:val="none" w:sz="0" w:space="0" w:color="auto" w:frame="1"/>
          <w:shd w:val="clear" w:color="auto" w:fill="FFFFFF"/>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Article 1 of the ICPPT provides: “</w:t>
      </w:r>
      <w:r w:rsidRPr="007C3E68">
        <w:rPr>
          <w:rFonts w:asciiTheme="majorHAnsi" w:hAnsiTheme="majorHAnsi"/>
          <w:sz w:val="16"/>
          <w:szCs w:val="16"/>
          <w:bdr w:val="none" w:sz="0" w:space="0" w:color="auto" w:frame="1"/>
          <w:shd w:val="clear" w:color="auto" w:fill="FFFFFF"/>
        </w:rPr>
        <w:t>The State Parties undertake to prevent and punish torture in accordance with the terms of this Convention”.</w:t>
      </w:r>
    </w:p>
    <w:p w:rsidR="00094AB5" w:rsidRPr="007C3E68" w:rsidRDefault="00094AB5" w:rsidP="002D7F3B">
      <w:pPr>
        <w:pStyle w:val="FootnoteText"/>
        <w:ind w:firstLine="720"/>
        <w:jc w:val="both"/>
        <w:rPr>
          <w:rFonts w:asciiTheme="majorHAnsi" w:hAnsiTheme="majorHAnsi"/>
          <w:sz w:val="16"/>
          <w:szCs w:val="16"/>
        </w:rPr>
      </w:pPr>
    </w:p>
  </w:footnote>
  <w:footnote w:id="104">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Article 6 of the ICPPT provides: “In accordance with the terms of Article 1, the States Parties shall take effective measures to prevent and punish torture within their jurisdiction.//The States Parties shall ensure that all acts of torture and attempts to commit torture are offenses under their criminal law and shall make such acts punishable by severe penalties that take into account their serious nature.//The States Parties likewise shall take effective measures to prevent and punish other cruel, inhuman, or degrading treatment or punishment within their jurisdiction.”</w:t>
      </w:r>
    </w:p>
    <w:p w:rsidR="00094AB5" w:rsidRPr="007C3E68" w:rsidRDefault="00094AB5" w:rsidP="002D7F3B">
      <w:pPr>
        <w:pStyle w:val="FootnoteText"/>
        <w:ind w:firstLine="720"/>
        <w:jc w:val="both"/>
        <w:rPr>
          <w:rFonts w:asciiTheme="majorHAnsi" w:hAnsiTheme="majorHAnsi"/>
          <w:sz w:val="16"/>
          <w:szCs w:val="16"/>
        </w:rPr>
      </w:pPr>
    </w:p>
  </w:footnote>
  <w:footnote w:id="105">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Articles 8 of the ICPPT provide: “</w:t>
      </w:r>
      <w:r w:rsidRPr="007C3E68">
        <w:rPr>
          <w:rFonts w:asciiTheme="majorHAnsi" w:hAnsiTheme="majorHAnsi"/>
          <w:sz w:val="16"/>
          <w:szCs w:val="16"/>
          <w:bdr w:val="none" w:sz="0" w:space="0" w:color="auto" w:frame="1"/>
          <w:shd w:val="clear" w:color="auto" w:fill="FFFFFF"/>
        </w:rPr>
        <w:t>The States Parties shall guarantee that any person making an accusation of having been subjected to torture within their jurisdiction shall have the right to an impartial examination of his case</w:t>
      </w:r>
      <w:r w:rsidRPr="007C3E68">
        <w:rPr>
          <w:rFonts w:asciiTheme="majorHAnsi" w:hAnsiTheme="majorHAnsi"/>
          <w:sz w:val="16"/>
          <w:szCs w:val="16"/>
        </w:rPr>
        <w:t>.// </w:t>
      </w:r>
      <w:r w:rsidRPr="007C3E68">
        <w:rPr>
          <w:rFonts w:asciiTheme="majorHAnsi" w:hAnsiTheme="majorHAnsi"/>
          <w:sz w:val="16"/>
          <w:szCs w:val="16"/>
          <w:bdr w:val="none" w:sz="0" w:space="0" w:color="auto" w:frame="1"/>
          <w:shd w:val="clear" w:color="auto" w:fill="FFFFFF"/>
        </w:rPr>
        <w:t>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w:t>
      </w:r>
      <w:r w:rsidRPr="007C3E68">
        <w:rPr>
          <w:rFonts w:asciiTheme="majorHAnsi" w:hAnsiTheme="majorHAnsi"/>
          <w:sz w:val="16"/>
          <w:szCs w:val="16"/>
        </w:rPr>
        <w:t>.//</w:t>
      </w:r>
      <w:r w:rsidRPr="007C3E68">
        <w:rPr>
          <w:rFonts w:asciiTheme="majorHAnsi" w:hAnsiTheme="majorHAnsi"/>
          <w:sz w:val="16"/>
          <w:szCs w:val="16"/>
          <w:shd w:val="clear" w:color="auto" w:fill="FFFFFF"/>
        </w:rPr>
        <w:t> </w:t>
      </w:r>
      <w:r w:rsidRPr="007C3E68">
        <w:rPr>
          <w:rFonts w:asciiTheme="majorHAnsi" w:hAnsiTheme="majorHAnsi"/>
          <w:sz w:val="16"/>
          <w:szCs w:val="16"/>
          <w:bdr w:val="none" w:sz="0" w:space="0" w:color="auto" w:frame="1"/>
          <w:shd w:val="clear" w:color="auto" w:fill="FFFFFF"/>
        </w:rPr>
        <w:t>After all the domestic legal procedures of the respective State and the corresponding appeals have been exhausted, the case may be submitted to the international fora whose competence has been recognized by that State</w:t>
      </w:r>
      <w:r w:rsidRPr="007C3E68">
        <w:rPr>
          <w:rFonts w:asciiTheme="majorHAnsi" w:hAnsiTheme="majorHAnsi"/>
          <w:sz w:val="16"/>
          <w:szCs w:val="16"/>
        </w:rPr>
        <w:t>”. </w:t>
      </w:r>
    </w:p>
    <w:p w:rsidR="00094AB5" w:rsidRPr="007C3E68" w:rsidRDefault="00094AB5" w:rsidP="002D7F3B">
      <w:pPr>
        <w:pStyle w:val="FootnoteText"/>
        <w:jc w:val="both"/>
        <w:rPr>
          <w:rFonts w:asciiTheme="majorHAnsi" w:hAnsiTheme="majorHAnsi"/>
          <w:sz w:val="16"/>
          <w:szCs w:val="16"/>
        </w:rPr>
      </w:pPr>
    </w:p>
  </w:footnote>
  <w:footnote w:id="106">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Article 1b of the Inter-American Convention on Forced Disappearance of Persons provides: “to</w:t>
      </w:r>
      <w:r w:rsidRPr="007C3E68">
        <w:rPr>
          <w:rFonts w:asciiTheme="majorHAnsi" w:hAnsiTheme="majorHAnsi"/>
          <w:sz w:val="16"/>
          <w:szCs w:val="16"/>
          <w:bdr w:val="none" w:sz="0" w:space="0" w:color="auto" w:frame="1"/>
          <w:shd w:val="clear" w:color="auto" w:fill="FFFFFF"/>
        </w:rPr>
        <w:t> punish within their jurisdictions, those persons who commit or attempt to commit the crime of forced disappearance of persons and their accomplices and accessories</w:t>
      </w:r>
      <w:r w:rsidRPr="007C3E68">
        <w:rPr>
          <w:rFonts w:asciiTheme="majorHAnsi" w:hAnsiTheme="majorHAnsi"/>
          <w:sz w:val="16"/>
          <w:szCs w:val="16"/>
        </w:rPr>
        <w:t>[…]”.</w:t>
      </w:r>
    </w:p>
    <w:p w:rsidR="00094AB5" w:rsidRPr="007C3E68" w:rsidRDefault="00094AB5" w:rsidP="002D7F3B">
      <w:pPr>
        <w:pStyle w:val="FootnoteText"/>
        <w:jc w:val="both"/>
        <w:rPr>
          <w:rFonts w:asciiTheme="majorHAnsi" w:hAnsiTheme="majorHAnsi"/>
          <w:sz w:val="16"/>
          <w:szCs w:val="16"/>
        </w:rPr>
      </w:pPr>
    </w:p>
  </w:footnote>
  <w:footnote w:id="107">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Velásquez Rodríguez v. Honduras</w:t>
      </w:r>
      <w:r w:rsidRPr="007C3E68">
        <w:rPr>
          <w:rFonts w:asciiTheme="majorHAnsi" w:hAnsiTheme="majorHAnsi"/>
          <w:sz w:val="16"/>
          <w:szCs w:val="16"/>
          <w:bdr w:val="none" w:sz="0" w:space="0" w:color="auto" w:frame="1"/>
        </w:rPr>
        <w:t>. Preliminary Objections. Judgment of June 26, 1987. Series C No. 1</w:t>
      </w:r>
      <w:r w:rsidRPr="007C3E68">
        <w:rPr>
          <w:rFonts w:asciiTheme="majorHAnsi" w:hAnsiTheme="majorHAnsi"/>
          <w:sz w:val="16"/>
          <w:szCs w:val="16"/>
        </w:rPr>
        <w:t>, para. 91; </w:t>
      </w:r>
      <w:r w:rsidRPr="007C3E68">
        <w:rPr>
          <w:rFonts w:asciiTheme="majorHAnsi" w:hAnsiTheme="majorHAnsi"/>
          <w:iCs/>
          <w:sz w:val="16"/>
          <w:szCs w:val="16"/>
          <w:bdr w:val="none" w:sz="0" w:space="0" w:color="auto" w:frame="1"/>
        </w:rPr>
        <w:t>Case of Gutiérrez and Family v. Argentina</w:t>
      </w:r>
      <w:r w:rsidRPr="007C3E68">
        <w:rPr>
          <w:rFonts w:asciiTheme="majorHAnsi" w:hAnsiTheme="majorHAnsi"/>
          <w:sz w:val="16"/>
          <w:szCs w:val="16"/>
          <w:bdr w:val="none" w:sz="0" w:space="0" w:color="auto" w:frame="1"/>
        </w:rPr>
        <w:t>. Merits, Reparations and Costs. Judgment of November 25, 2013. Series C No. 271</w:t>
      </w:r>
      <w:r w:rsidRPr="007C3E68">
        <w:rPr>
          <w:rFonts w:asciiTheme="majorHAnsi" w:hAnsiTheme="majorHAnsi"/>
          <w:b/>
          <w:bCs/>
          <w:sz w:val="16"/>
          <w:szCs w:val="16"/>
        </w:rPr>
        <w:t>, </w:t>
      </w:r>
      <w:r w:rsidRPr="007C3E68">
        <w:rPr>
          <w:rFonts w:asciiTheme="majorHAnsi" w:hAnsiTheme="majorHAnsi"/>
          <w:sz w:val="16"/>
          <w:szCs w:val="16"/>
        </w:rPr>
        <w:t>para. 97; and </w:t>
      </w:r>
      <w:r w:rsidRPr="007C3E68">
        <w:rPr>
          <w:rFonts w:asciiTheme="majorHAnsi" w:hAnsiTheme="majorHAnsi"/>
          <w:iCs/>
          <w:sz w:val="16"/>
          <w:szCs w:val="16"/>
          <w:bdr w:val="none" w:sz="0" w:space="0" w:color="auto" w:frame="1"/>
        </w:rPr>
        <w:t>Case of Landaeta Mejías Brothers et al. v. Venezuela</w:t>
      </w:r>
      <w:r w:rsidRPr="007C3E68">
        <w:rPr>
          <w:rFonts w:asciiTheme="majorHAnsi" w:hAnsiTheme="majorHAnsi"/>
          <w:sz w:val="16"/>
          <w:szCs w:val="16"/>
          <w:bdr w:val="none" w:sz="0" w:space="0" w:color="auto" w:frame="1"/>
        </w:rPr>
        <w:t>. Preliminary Objections, Merits, Reparations and Costs. Judgment of August 27, 2014. Series C No. 281</w:t>
      </w:r>
      <w:r w:rsidRPr="007C3E68">
        <w:rPr>
          <w:rFonts w:asciiTheme="majorHAnsi" w:hAnsiTheme="majorHAnsi"/>
          <w:sz w:val="16"/>
          <w:szCs w:val="16"/>
        </w:rPr>
        <w:t>, para. 215. </w:t>
      </w:r>
    </w:p>
    <w:p w:rsidR="00094AB5" w:rsidRPr="007C3E68" w:rsidRDefault="00094AB5" w:rsidP="002D7F3B">
      <w:pPr>
        <w:pStyle w:val="FootnoteText"/>
        <w:ind w:firstLine="720"/>
        <w:jc w:val="both"/>
        <w:rPr>
          <w:rFonts w:asciiTheme="majorHAnsi" w:hAnsiTheme="majorHAnsi"/>
          <w:sz w:val="16"/>
          <w:szCs w:val="16"/>
        </w:rPr>
      </w:pPr>
    </w:p>
  </w:footnote>
  <w:footnote w:id="10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Report No. 111/09. Case 11.324. Merits. </w:t>
      </w:r>
      <w:r w:rsidRPr="007C3E68">
        <w:rPr>
          <w:rFonts w:asciiTheme="majorHAnsi" w:hAnsiTheme="majorHAnsi"/>
          <w:sz w:val="16"/>
          <w:szCs w:val="16"/>
          <w:lang w:val="es-CO"/>
        </w:rPr>
        <w:t xml:space="preserve">Narciso González Medina. Dominican Republic. </w:t>
      </w:r>
      <w:r w:rsidRPr="007C3E68">
        <w:rPr>
          <w:rFonts w:asciiTheme="majorHAnsi" w:hAnsiTheme="majorHAnsi"/>
          <w:sz w:val="16"/>
          <w:szCs w:val="16"/>
        </w:rPr>
        <w:t>November 10, 2009. Para. 225; I/A Court H.R., </w:t>
      </w:r>
      <w:r w:rsidRPr="007C3E68">
        <w:rPr>
          <w:rFonts w:asciiTheme="majorHAnsi" w:hAnsiTheme="majorHAnsi"/>
          <w:iCs/>
          <w:sz w:val="16"/>
          <w:szCs w:val="16"/>
          <w:bdr w:val="none" w:sz="0" w:space="0" w:color="auto" w:frame="1"/>
        </w:rPr>
        <w:t>Case of Anzualdo-Castro v. Peru</w:t>
      </w:r>
      <w:r w:rsidRPr="007C3E68">
        <w:rPr>
          <w:rFonts w:asciiTheme="majorHAnsi" w:hAnsiTheme="majorHAnsi"/>
          <w:sz w:val="16"/>
          <w:szCs w:val="16"/>
          <w:bdr w:val="none" w:sz="0" w:space="0" w:color="auto" w:frame="1"/>
        </w:rPr>
        <w:t>. Preliminary Objection, Merits, Reparations and costs. Judgment of September 22, 2009. Series C No. 202</w:t>
      </w:r>
      <w:r w:rsidRPr="007C3E68">
        <w:rPr>
          <w:rFonts w:asciiTheme="majorHAnsi" w:hAnsiTheme="majorHAnsi"/>
          <w:sz w:val="16"/>
          <w:szCs w:val="16"/>
        </w:rPr>
        <w:t>, para. 134; </w:t>
      </w:r>
      <w:r w:rsidRPr="007C3E68">
        <w:rPr>
          <w:rFonts w:asciiTheme="majorHAnsi" w:hAnsiTheme="majorHAnsi"/>
          <w:iCs/>
          <w:sz w:val="16"/>
          <w:szCs w:val="16"/>
          <w:bdr w:val="none" w:sz="0" w:space="0" w:color="auto" w:frame="1"/>
        </w:rPr>
        <w:t>Case of Radilla Pacheco v. Mexico</w:t>
      </w:r>
      <w:r w:rsidRPr="007C3E68">
        <w:rPr>
          <w:rFonts w:asciiTheme="majorHAnsi" w:hAnsiTheme="majorHAnsi"/>
          <w:sz w:val="16"/>
          <w:szCs w:val="16"/>
          <w:bdr w:val="none" w:sz="0" w:space="0" w:color="auto" w:frame="1"/>
        </w:rPr>
        <w:t>. Preliminary Objections, Merits, Reparations, and Costs. Judgment of November 23, 2009. Series C No. 209</w:t>
      </w:r>
      <w:r w:rsidRPr="007C3E68">
        <w:rPr>
          <w:rFonts w:asciiTheme="majorHAnsi" w:hAnsiTheme="majorHAnsi"/>
          <w:sz w:val="16"/>
          <w:szCs w:val="16"/>
        </w:rPr>
        <w:t>, para. 221,  </w:t>
      </w:r>
      <w:r w:rsidRPr="007C3E68">
        <w:rPr>
          <w:rFonts w:asciiTheme="majorHAnsi" w:hAnsiTheme="majorHAnsi"/>
          <w:iCs/>
          <w:sz w:val="16"/>
          <w:szCs w:val="16"/>
          <w:bdr w:val="none" w:sz="0" w:space="0" w:color="auto" w:frame="1"/>
        </w:rPr>
        <w:t>Case of Ibsen Cárdenas and Ibsen-Peña v. Bolivia</w:t>
      </w:r>
      <w:r w:rsidRPr="007C3E68">
        <w:rPr>
          <w:rFonts w:asciiTheme="majorHAnsi" w:hAnsiTheme="majorHAnsi"/>
          <w:sz w:val="16"/>
          <w:szCs w:val="16"/>
          <w:bdr w:val="none" w:sz="0" w:space="0" w:color="auto" w:frame="1"/>
        </w:rPr>
        <w:t>. Merits, Reparation and Costs. Judgment of September 1, 2010. Series C No. 217</w:t>
      </w:r>
      <w:r w:rsidRPr="007C3E68">
        <w:rPr>
          <w:rFonts w:asciiTheme="majorHAnsi" w:hAnsiTheme="majorHAnsi"/>
          <w:sz w:val="16"/>
          <w:szCs w:val="16"/>
        </w:rPr>
        <w:t>, para. 167. See also </w:t>
      </w:r>
      <w:r w:rsidRPr="007C3E68">
        <w:rPr>
          <w:rFonts w:asciiTheme="majorHAnsi" w:hAnsiTheme="majorHAnsi"/>
          <w:iCs/>
          <w:sz w:val="16"/>
          <w:szCs w:val="16"/>
          <w:bdr w:val="none" w:sz="0" w:space="0" w:color="auto" w:frame="1"/>
        </w:rPr>
        <w:t>Matter of Natera Balboa regarding Venezuela</w:t>
      </w:r>
      <w:r w:rsidRPr="007C3E68">
        <w:rPr>
          <w:rFonts w:asciiTheme="majorHAnsi" w:hAnsiTheme="majorHAnsi"/>
          <w:sz w:val="16"/>
          <w:szCs w:val="16"/>
          <w:bdr w:val="none" w:sz="0" w:space="0" w:color="auto" w:frame="1"/>
        </w:rPr>
        <w:t>. Provisional Measures. Order of the Inter-American Court of Human Rights of February 01, 2010</w:t>
      </w:r>
      <w:r w:rsidRPr="007C3E68">
        <w:rPr>
          <w:rFonts w:asciiTheme="majorHAnsi" w:hAnsiTheme="majorHAnsi"/>
          <w:sz w:val="16"/>
          <w:szCs w:val="16"/>
        </w:rPr>
        <w:t>, Thirteenth Consideration, and </w:t>
      </w:r>
      <w:r w:rsidRPr="007C3E68">
        <w:rPr>
          <w:rFonts w:asciiTheme="majorHAnsi" w:hAnsiTheme="majorHAnsi"/>
          <w:iCs/>
          <w:sz w:val="16"/>
          <w:szCs w:val="16"/>
          <w:bdr w:val="none" w:sz="0" w:space="0" w:color="auto" w:frame="1"/>
        </w:rPr>
        <w:t>Matter of Guerrero Larez regarding Venezuela</w:t>
      </w:r>
      <w:r w:rsidRPr="007C3E68">
        <w:rPr>
          <w:rFonts w:asciiTheme="majorHAnsi" w:hAnsiTheme="majorHAnsi"/>
          <w:sz w:val="16"/>
          <w:szCs w:val="16"/>
          <w:bdr w:val="none" w:sz="0" w:space="0" w:color="auto" w:frame="1"/>
        </w:rPr>
        <w:t>. Provisional Measures. Order of the Inter-American Court of Human Rights of August 19, 2013</w:t>
      </w:r>
      <w:r w:rsidRPr="007C3E68">
        <w:rPr>
          <w:rFonts w:asciiTheme="majorHAnsi" w:hAnsiTheme="majorHAnsi"/>
          <w:sz w:val="16"/>
          <w:szCs w:val="16"/>
        </w:rPr>
        <w:t>. Sixth Consideration. </w:t>
      </w:r>
    </w:p>
    <w:p w:rsidR="00094AB5" w:rsidRPr="007C3E68" w:rsidRDefault="00094AB5" w:rsidP="002D7F3B">
      <w:pPr>
        <w:ind w:firstLine="720"/>
        <w:jc w:val="both"/>
        <w:rPr>
          <w:rFonts w:asciiTheme="majorHAnsi" w:hAnsiTheme="majorHAnsi"/>
          <w:sz w:val="16"/>
          <w:szCs w:val="16"/>
        </w:rPr>
      </w:pPr>
    </w:p>
  </w:footnote>
  <w:footnote w:id="10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Rodríguez Vera et al. (The Disappeared from the Palace of Justice) v. Colombia</w:t>
      </w:r>
      <w:r w:rsidRPr="007C3E68">
        <w:rPr>
          <w:rFonts w:asciiTheme="majorHAnsi" w:hAnsiTheme="majorHAnsi"/>
          <w:sz w:val="16"/>
          <w:szCs w:val="16"/>
          <w:bdr w:val="none" w:sz="0" w:space="0" w:color="auto" w:frame="1"/>
        </w:rPr>
        <w:t>. Preliminary Objections, Merits, Reparations and Costs. Judgment of November 14, 2014. Series C No. 287</w:t>
      </w:r>
      <w:r w:rsidRPr="007C3E68">
        <w:rPr>
          <w:rFonts w:asciiTheme="majorHAnsi" w:hAnsiTheme="majorHAnsi"/>
          <w:spacing w:val="-2"/>
          <w:sz w:val="16"/>
          <w:szCs w:val="16"/>
          <w:bdr w:val="none" w:sz="0" w:space="0" w:color="auto" w:frame="1"/>
        </w:rPr>
        <w:t>.</w:t>
      </w:r>
      <w:r w:rsidRPr="007C3E68">
        <w:rPr>
          <w:rFonts w:asciiTheme="majorHAnsi" w:hAnsiTheme="majorHAnsi"/>
          <w:spacing w:val="-2"/>
          <w:sz w:val="16"/>
          <w:szCs w:val="16"/>
        </w:rPr>
        <w:t> Para. 479, citing</w:t>
      </w:r>
      <w:r w:rsidRPr="007C3E68">
        <w:rPr>
          <w:rFonts w:asciiTheme="majorHAnsi" w:hAnsiTheme="majorHAnsi"/>
          <w:spacing w:val="-4"/>
          <w:sz w:val="16"/>
          <w:szCs w:val="16"/>
        </w:rPr>
        <w:t> </w:t>
      </w:r>
      <w:r w:rsidRPr="007C3E68">
        <w:rPr>
          <w:rFonts w:asciiTheme="majorHAnsi" w:hAnsiTheme="majorHAnsi"/>
          <w:iCs/>
          <w:sz w:val="16"/>
          <w:szCs w:val="16"/>
          <w:bdr w:val="none" w:sz="0" w:space="0" w:color="auto" w:frame="1"/>
        </w:rPr>
        <w:t>Case of Anzualdo-Castro v. Peru</w:t>
      </w:r>
      <w:r w:rsidRPr="007C3E68">
        <w:rPr>
          <w:rFonts w:asciiTheme="majorHAnsi" w:hAnsiTheme="majorHAnsi"/>
          <w:sz w:val="16"/>
          <w:szCs w:val="16"/>
          <w:bdr w:val="none" w:sz="0" w:space="0" w:color="auto" w:frame="1"/>
        </w:rPr>
        <w:t>. Preliminary Objection, Merits, Reparations and costs. Judgment of September 22, 2009. Series C No. 202</w:t>
      </w:r>
      <w:r w:rsidRPr="007C3E68">
        <w:rPr>
          <w:rFonts w:asciiTheme="majorHAnsi" w:hAnsiTheme="majorHAnsi"/>
          <w:spacing w:val="-4"/>
          <w:sz w:val="16"/>
          <w:szCs w:val="16"/>
        </w:rPr>
        <w:t>, para. 134, and </w:t>
      </w:r>
      <w:r w:rsidRPr="007C3E68">
        <w:rPr>
          <w:rFonts w:asciiTheme="majorHAnsi" w:hAnsiTheme="majorHAnsi"/>
          <w:iCs/>
          <w:sz w:val="16"/>
          <w:szCs w:val="16"/>
          <w:bdr w:val="none" w:sz="0" w:space="0" w:color="auto" w:frame="1"/>
        </w:rPr>
        <w:t>Case of García and family members v. Guatemala</w:t>
      </w:r>
      <w:r w:rsidRPr="007C3E68">
        <w:rPr>
          <w:rFonts w:asciiTheme="majorHAnsi" w:hAnsiTheme="majorHAnsi"/>
          <w:sz w:val="16"/>
          <w:szCs w:val="16"/>
          <w:bdr w:val="none" w:sz="0" w:space="0" w:color="auto" w:frame="1"/>
        </w:rPr>
        <w:t>. Merits, Reparations and Costs. Judgment of November 29, 2012. Series C No. 258</w:t>
      </w:r>
      <w:r w:rsidRPr="007C3E68">
        <w:rPr>
          <w:rFonts w:asciiTheme="majorHAnsi" w:hAnsiTheme="majorHAnsi"/>
          <w:spacing w:val="-4"/>
          <w:sz w:val="16"/>
          <w:szCs w:val="16"/>
        </w:rPr>
        <w:t>, para. 138.  </w:t>
      </w:r>
    </w:p>
  </w:footnote>
  <w:footnote w:id="110">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González et al. (“Cotton Field”) v. Mexico</w:t>
      </w:r>
      <w:r w:rsidRPr="007C3E68">
        <w:rPr>
          <w:rFonts w:asciiTheme="majorHAnsi" w:hAnsiTheme="majorHAnsi"/>
          <w:sz w:val="16"/>
          <w:szCs w:val="16"/>
          <w:bdr w:val="none" w:sz="0" w:space="0" w:color="auto" w:frame="1"/>
        </w:rPr>
        <w:t>. Preliminary Objection, Merits, Reparations and Costs. Judgment of November 16, 2009. Series C No. 205</w:t>
      </w:r>
      <w:r w:rsidRPr="007C3E68">
        <w:rPr>
          <w:rFonts w:asciiTheme="majorHAnsi" w:hAnsiTheme="majorHAnsi"/>
          <w:sz w:val="16"/>
          <w:szCs w:val="16"/>
        </w:rPr>
        <w:t>, para. 283.</w:t>
      </w:r>
    </w:p>
    <w:p w:rsidR="00094AB5" w:rsidRPr="007C3E68" w:rsidRDefault="00094AB5" w:rsidP="002D7F3B">
      <w:pPr>
        <w:pStyle w:val="FootnoteText"/>
        <w:ind w:firstLine="720"/>
        <w:jc w:val="both"/>
        <w:rPr>
          <w:rFonts w:asciiTheme="majorHAnsi" w:hAnsiTheme="majorHAnsi"/>
          <w:sz w:val="16"/>
          <w:szCs w:val="16"/>
        </w:rPr>
      </w:pPr>
    </w:p>
  </w:footnote>
  <w:footnote w:id="111">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w:t>
      </w:r>
      <w:r w:rsidRPr="007C3E68">
        <w:rPr>
          <w:rFonts w:asciiTheme="majorHAnsi" w:hAnsiTheme="majorHAnsi"/>
          <w:spacing w:val="-4"/>
          <w:sz w:val="16"/>
          <w:szCs w:val="16"/>
        </w:rPr>
        <w:t>IACHR. Merits Report 74/15. Mariana Selvas Gomez and others (Mexico). October 28, 2015. Para. 378; </w:t>
      </w:r>
      <w:r w:rsidRPr="007C3E68">
        <w:rPr>
          <w:rFonts w:asciiTheme="majorHAnsi" w:hAnsiTheme="majorHAnsi"/>
          <w:sz w:val="16"/>
          <w:szCs w:val="16"/>
        </w:rPr>
        <w:t>I/A Court H.R.,. </w:t>
      </w:r>
      <w:r w:rsidRPr="007C3E68">
        <w:rPr>
          <w:rFonts w:asciiTheme="majorHAnsi" w:hAnsiTheme="majorHAnsi"/>
          <w:iCs/>
          <w:sz w:val="16"/>
          <w:szCs w:val="16"/>
          <w:bdr w:val="none" w:sz="0" w:space="0" w:color="auto" w:frame="1"/>
        </w:rPr>
        <w:t>Case of J. v. Peru</w:t>
      </w:r>
      <w:r w:rsidRPr="007C3E68">
        <w:rPr>
          <w:rFonts w:asciiTheme="majorHAnsi" w:hAnsiTheme="majorHAnsi"/>
          <w:sz w:val="16"/>
          <w:szCs w:val="16"/>
          <w:bdr w:val="none" w:sz="0" w:space="0" w:color="auto" w:frame="1"/>
        </w:rPr>
        <w:t>. Preliminary Objection, Merits, Reparations and Costs. Judgment of November 27, 2013. Series C No. 275</w:t>
      </w:r>
      <w:r w:rsidRPr="007C3E68">
        <w:rPr>
          <w:rFonts w:asciiTheme="majorHAnsi" w:hAnsiTheme="majorHAnsi"/>
          <w:sz w:val="16"/>
          <w:szCs w:val="16"/>
        </w:rPr>
        <w:t>, para. 341. </w:t>
      </w:r>
    </w:p>
    <w:p w:rsidR="00094AB5" w:rsidRPr="007C3E68" w:rsidRDefault="00094AB5" w:rsidP="002D7F3B">
      <w:pPr>
        <w:ind w:firstLine="720"/>
        <w:jc w:val="both"/>
        <w:rPr>
          <w:rFonts w:asciiTheme="majorHAnsi" w:hAnsiTheme="majorHAnsi"/>
          <w:sz w:val="16"/>
          <w:szCs w:val="16"/>
        </w:rPr>
      </w:pPr>
    </w:p>
  </w:footnote>
  <w:footnote w:id="11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w:t>
      </w:r>
      <w:r w:rsidRPr="007C3E68">
        <w:rPr>
          <w:rFonts w:asciiTheme="majorHAnsi" w:hAnsiTheme="majorHAnsi"/>
          <w:spacing w:val="-4"/>
          <w:sz w:val="16"/>
          <w:szCs w:val="16"/>
        </w:rPr>
        <w:t>IACHR. Merits Report 74/15. Mariana Selvas Gomez and others (Mexico). October 28, 2015. Para. 378; </w:t>
      </w:r>
      <w:r w:rsidRPr="007C3E68">
        <w:rPr>
          <w:rFonts w:asciiTheme="majorHAnsi" w:hAnsiTheme="majorHAnsi"/>
          <w:sz w:val="16"/>
          <w:szCs w:val="16"/>
        </w:rPr>
        <w:t>I/A Court H.R.,. </w:t>
      </w:r>
      <w:r w:rsidRPr="007C3E68">
        <w:rPr>
          <w:rFonts w:asciiTheme="majorHAnsi" w:hAnsiTheme="majorHAnsi"/>
          <w:iCs/>
          <w:sz w:val="16"/>
          <w:szCs w:val="16"/>
          <w:bdr w:val="none" w:sz="0" w:space="0" w:color="auto" w:frame="1"/>
        </w:rPr>
        <w:t>Case of J. v. Peru</w:t>
      </w:r>
      <w:r w:rsidRPr="007C3E68">
        <w:rPr>
          <w:rFonts w:asciiTheme="majorHAnsi" w:hAnsiTheme="majorHAnsi"/>
          <w:sz w:val="16"/>
          <w:szCs w:val="16"/>
          <w:bdr w:val="none" w:sz="0" w:space="0" w:color="auto" w:frame="1"/>
        </w:rPr>
        <w:t>. Preliminary Objection, Merits, Reparations and Costs. Judgment of November 27, 2013. Series C No. 275</w:t>
      </w:r>
      <w:r w:rsidRPr="007C3E68">
        <w:rPr>
          <w:rFonts w:asciiTheme="majorHAnsi" w:hAnsiTheme="majorHAnsi"/>
          <w:sz w:val="16"/>
          <w:szCs w:val="16"/>
        </w:rPr>
        <w:t>, para. 341. </w:t>
      </w:r>
    </w:p>
    <w:p w:rsidR="00094AB5" w:rsidRPr="007C3E68" w:rsidRDefault="00094AB5" w:rsidP="002D7F3B">
      <w:pPr>
        <w:ind w:firstLine="720"/>
        <w:jc w:val="both"/>
        <w:rPr>
          <w:rFonts w:asciiTheme="majorHAnsi" w:hAnsiTheme="majorHAnsi"/>
          <w:sz w:val="16"/>
          <w:szCs w:val="16"/>
        </w:rPr>
      </w:pPr>
    </w:p>
  </w:footnote>
  <w:footnote w:id="113">
    <w:p w:rsidR="00C807C8" w:rsidRPr="007C3E68" w:rsidRDefault="00C807C8" w:rsidP="002D7F3B">
      <w:pPr>
        <w:ind w:firstLine="720"/>
        <w:jc w:val="both"/>
        <w:rPr>
          <w:rFonts w:asciiTheme="majorHAnsi" w:hAnsiTheme="majorHAnsi"/>
          <w:spacing w:val="-4"/>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Complaint before the I/A Court H.R., in the case Rainer Ibsen Cárdenas and José Luís Ibsen Peña v. Bolivia.</w:t>
      </w:r>
      <w:r w:rsidRPr="007C3E68">
        <w:rPr>
          <w:rFonts w:asciiTheme="majorHAnsi" w:hAnsiTheme="majorHAnsi"/>
          <w:iCs/>
          <w:sz w:val="16"/>
          <w:szCs w:val="16"/>
        </w:rPr>
        <w:t> </w:t>
      </w:r>
      <w:r w:rsidRPr="007C3E68">
        <w:rPr>
          <w:rFonts w:asciiTheme="majorHAnsi" w:hAnsiTheme="majorHAnsi"/>
          <w:sz w:val="16"/>
          <w:szCs w:val="16"/>
        </w:rPr>
        <w:t>12.529. May 12, 2009. Para. 275; I/A Court H.R., </w:t>
      </w:r>
      <w:r w:rsidRPr="007C3E68">
        <w:rPr>
          <w:rFonts w:asciiTheme="majorHAnsi" w:hAnsiTheme="majorHAnsi"/>
          <w:iCs/>
          <w:sz w:val="16"/>
          <w:szCs w:val="16"/>
          <w:bdr w:val="none" w:sz="0" w:space="0" w:color="auto" w:frame="1"/>
        </w:rPr>
        <w:t>Case of Anzualdo-Castro v. Peru</w:t>
      </w:r>
      <w:r w:rsidRPr="007C3E68">
        <w:rPr>
          <w:rFonts w:asciiTheme="majorHAnsi" w:hAnsiTheme="majorHAnsi"/>
          <w:sz w:val="16"/>
          <w:szCs w:val="16"/>
          <w:bdr w:val="none" w:sz="0" w:space="0" w:color="auto" w:frame="1"/>
        </w:rPr>
        <w:t>. Preliminary Objection, Merits, Reparations and costs. Judgment of September 22, 2009. Series C No. 202</w:t>
      </w:r>
      <w:r w:rsidRPr="007C3E68">
        <w:rPr>
          <w:rFonts w:asciiTheme="majorHAnsi" w:hAnsiTheme="majorHAnsi"/>
          <w:spacing w:val="-4"/>
          <w:sz w:val="16"/>
          <w:szCs w:val="16"/>
        </w:rPr>
        <w:t>, para. 65, and </w:t>
      </w:r>
      <w:r w:rsidRPr="007C3E68">
        <w:rPr>
          <w:rFonts w:asciiTheme="majorHAnsi" w:hAnsiTheme="majorHAnsi"/>
          <w:iCs/>
          <w:sz w:val="16"/>
          <w:szCs w:val="16"/>
          <w:bdr w:val="none" w:sz="0" w:space="0" w:color="auto" w:frame="1"/>
        </w:rPr>
        <w:t>Case of Osorio Rivera and Family members v. Peru</w:t>
      </w:r>
      <w:r w:rsidRPr="007C3E68">
        <w:rPr>
          <w:rFonts w:asciiTheme="majorHAnsi" w:hAnsiTheme="majorHAnsi"/>
          <w:sz w:val="16"/>
          <w:szCs w:val="16"/>
          <w:bdr w:val="none" w:sz="0" w:space="0" w:color="auto" w:frame="1"/>
        </w:rPr>
        <w:t>. Preliminary Objections, Merits, Reparations and Costs. Judgment of November 26, 2013. Series C No. 274</w:t>
      </w:r>
      <w:r w:rsidRPr="007C3E68">
        <w:rPr>
          <w:rFonts w:asciiTheme="majorHAnsi" w:hAnsiTheme="majorHAnsi"/>
          <w:spacing w:val="-4"/>
          <w:sz w:val="16"/>
          <w:szCs w:val="16"/>
        </w:rPr>
        <w:t>, para. 178. </w:t>
      </w:r>
    </w:p>
    <w:p w:rsidR="00094AB5" w:rsidRPr="007C3E68" w:rsidRDefault="00094AB5" w:rsidP="002D7F3B">
      <w:pPr>
        <w:ind w:firstLine="720"/>
        <w:jc w:val="both"/>
        <w:rPr>
          <w:rFonts w:asciiTheme="majorHAnsi" w:hAnsiTheme="majorHAnsi"/>
          <w:sz w:val="16"/>
          <w:szCs w:val="16"/>
        </w:rPr>
      </w:pPr>
    </w:p>
  </w:footnote>
  <w:footnote w:id="114">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Cabrera García and Montiel-Flores v. Mexico</w:t>
      </w:r>
      <w:r w:rsidRPr="007C3E68">
        <w:rPr>
          <w:rFonts w:asciiTheme="majorHAnsi" w:hAnsiTheme="majorHAnsi"/>
          <w:sz w:val="16"/>
          <w:szCs w:val="16"/>
          <w:bdr w:val="none" w:sz="0" w:space="0" w:color="auto" w:frame="1"/>
        </w:rPr>
        <w:t>. Preliminary Objection, Merits, Reparations, and Costs. Judgment of November 26, 2010 Series C No. 220, para.</w:t>
      </w:r>
      <w:r w:rsidRPr="007C3E68">
        <w:rPr>
          <w:rFonts w:asciiTheme="majorHAnsi" w:hAnsiTheme="majorHAnsi"/>
          <w:sz w:val="16"/>
          <w:szCs w:val="16"/>
        </w:rPr>
        <w:t> 135. Cf. </w:t>
      </w:r>
      <w:r w:rsidRPr="007C3E68">
        <w:rPr>
          <w:rFonts w:asciiTheme="majorHAnsi" w:hAnsiTheme="majorHAnsi"/>
          <w:iCs/>
          <w:sz w:val="16"/>
          <w:szCs w:val="16"/>
          <w:bdr w:val="none" w:sz="0" w:space="0" w:color="auto" w:frame="1"/>
        </w:rPr>
        <w:t>Case of Gutiérrez Soler v. Colombia</w:t>
      </w:r>
      <w:r w:rsidRPr="007C3E68">
        <w:rPr>
          <w:rFonts w:asciiTheme="majorHAnsi" w:hAnsiTheme="majorHAnsi"/>
          <w:sz w:val="16"/>
          <w:szCs w:val="16"/>
          <w:bdr w:val="none" w:sz="0" w:space="0" w:color="auto" w:frame="1"/>
        </w:rPr>
        <w:t>. Merits, Reparations and Costs. Judgment of September 12, 2005 Series C No. 132, para.</w:t>
      </w:r>
      <w:r w:rsidRPr="007C3E68">
        <w:rPr>
          <w:rFonts w:asciiTheme="majorHAnsi" w:hAnsiTheme="majorHAnsi"/>
          <w:sz w:val="16"/>
          <w:szCs w:val="16"/>
        </w:rPr>
        <w:t> 54; </w:t>
      </w:r>
      <w:r w:rsidRPr="007C3E68">
        <w:rPr>
          <w:rFonts w:asciiTheme="majorHAnsi" w:hAnsiTheme="majorHAnsi"/>
          <w:iCs/>
          <w:sz w:val="16"/>
          <w:szCs w:val="16"/>
          <w:bdr w:val="none" w:sz="0" w:space="0" w:color="auto" w:frame="1"/>
        </w:rPr>
        <w:t>Case of Bayarri v. Argentina</w:t>
      </w:r>
      <w:r w:rsidRPr="007C3E68">
        <w:rPr>
          <w:rFonts w:asciiTheme="majorHAnsi" w:hAnsiTheme="majorHAnsi"/>
          <w:sz w:val="16"/>
          <w:szCs w:val="16"/>
          <w:bdr w:val="none" w:sz="0" w:space="0" w:color="auto" w:frame="1"/>
        </w:rPr>
        <w:t>. Preliminary Objection, Merits, Reparations and Costs. Judgment of October 30, 2008. Series C No. 187</w:t>
      </w:r>
      <w:r w:rsidRPr="007C3E68">
        <w:rPr>
          <w:rFonts w:asciiTheme="majorHAnsi" w:hAnsiTheme="majorHAnsi"/>
          <w:sz w:val="16"/>
          <w:szCs w:val="16"/>
        </w:rPr>
        <w:t>, above note 123, para. 92, and </w:t>
      </w:r>
      <w:r w:rsidRPr="007C3E68">
        <w:rPr>
          <w:rFonts w:asciiTheme="majorHAnsi" w:hAnsiTheme="majorHAnsi"/>
          <w:iCs/>
          <w:sz w:val="16"/>
          <w:szCs w:val="16"/>
          <w:bdr w:val="none" w:sz="0" w:space="0" w:color="auto" w:frame="1"/>
        </w:rPr>
        <w:t>Case of Bueno Alves v. Argentina</w:t>
      </w:r>
      <w:r w:rsidRPr="007C3E68">
        <w:rPr>
          <w:rFonts w:asciiTheme="majorHAnsi" w:hAnsiTheme="majorHAnsi"/>
          <w:sz w:val="16"/>
          <w:szCs w:val="16"/>
          <w:bdr w:val="none" w:sz="0" w:space="0" w:color="auto" w:frame="1"/>
        </w:rPr>
        <w:t>. Merits, Reparations and Costs. Judgment of May 11, 2007. Series C No. 164</w:t>
      </w:r>
      <w:r w:rsidRPr="007C3E68">
        <w:rPr>
          <w:rFonts w:asciiTheme="majorHAnsi" w:hAnsiTheme="majorHAnsi"/>
          <w:sz w:val="16"/>
          <w:szCs w:val="16"/>
        </w:rPr>
        <w:t>, para. 88.</w:t>
      </w:r>
    </w:p>
    <w:p w:rsidR="00094AB5" w:rsidRPr="007C3E68" w:rsidRDefault="00094AB5" w:rsidP="002D7F3B">
      <w:pPr>
        <w:ind w:firstLine="720"/>
        <w:jc w:val="both"/>
        <w:rPr>
          <w:rFonts w:asciiTheme="majorHAnsi" w:hAnsiTheme="majorHAnsi"/>
          <w:sz w:val="16"/>
          <w:szCs w:val="16"/>
        </w:rPr>
      </w:pPr>
    </w:p>
  </w:footnote>
  <w:footnote w:id="115">
    <w:p w:rsidR="00C807C8" w:rsidRPr="007C3E68" w:rsidRDefault="00C807C8" w:rsidP="002D7F3B">
      <w:pPr>
        <w:ind w:firstLine="720"/>
        <w:jc w:val="both"/>
        <w:rPr>
          <w:rFonts w:asciiTheme="majorHAnsi" w:hAnsiTheme="majorHAnsi"/>
          <w:spacing w:val="-4"/>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lang w:val="pt-BR"/>
        </w:rPr>
        <w:t xml:space="preserve"> IACHR. Report No. 25/09 Merits (Sebastião Camargo Filho) Brazil, March 19, 2009, para. </w:t>
      </w:r>
      <w:r w:rsidRPr="007C3E68">
        <w:rPr>
          <w:rFonts w:asciiTheme="majorHAnsi" w:hAnsiTheme="majorHAnsi"/>
          <w:sz w:val="16"/>
          <w:szCs w:val="16"/>
        </w:rPr>
        <w:t>109; I/A Court H.R., </w:t>
      </w:r>
      <w:r w:rsidRPr="007C3E68">
        <w:rPr>
          <w:rFonts w:asciiTheme="majorHAnsi" w:hAnsiTheme="majorHAnsi"/>
          <w:iCs/>
          <w:sz w:val="16"/>
          <w:szCs w:val="16"/>
          <w:bdr w:val="none" w:sz="0" w:space="0" w:color="auto" w:frame="1"/>
        </w:rPr>
        <w:t>Case of the “Street Children” (Villagrán-Morales et al.) v. Guatemala</w:t>
      </w:r>
      <w:r w:rsidRPr="007C3E68">
        <w:rPr>
          <w:rFonts w:asciiTheme="majorHAnsi" w:hAnsiTheme="majorHAnsi"/>
          <w:sz w:val="16"/>
          <w:szCs w:val="16"/>
          <w:bdr w:val="none" w:sz="0" w:space="0" w:color="auto" w:frame="1"/>
        </w:rPr>
        <w:t>. Merits. Judgment of November 19, 1999. Series C No. 63</w:t>
      </w:r>
      <w:r w:rsidRPr="007C3E68">
        <w:rPr>
          <w:rFonts w:asciiTheme="majorHAnsi" w:hAnsiTheme="majorHAnsi"/>
          <w:sz w:val="16"/>
          <w:szCs w:val="16"/>
        </w:rPr>
        <w:t>, para. 230;</w:t>
      </w:r>
      <w:r w:rsidRPr="007C3E68">
        <w:rPr>
          <w:rFonts w:asciiTheme="majorHAnsi" w:hAnsiTheme="majorHAnsi"/>
          <w:spacing w:val="-4"/>
          <w:sz w:val="16"/>
          <w:szCs w:val="16"/>
        </w:rPr>
        <w:t> </w:t>
      </w:r>
      <w:r w:rsidRPr="007C3E68">
        <w:rPr>
          <w:rFonts w:asciiTheme="majorHAnsi" w:hAnsiTheme="majorHAnsi"/>
          <w:sz w:val="16"/>
          <w:szCs w:val="16"/>
        </w:rPr>
        <w:t>I/A Court H.R., </w:t>
      </w:r>
      <w:r w:rsidRPr="007C3E68">
        <w:rPr>
          <w:rFonts w:asciiTheme="majorHAnsi" w:hAnsiTheme="majorHAnsi"/>
          <w:iCs/>
          <w:sz w:val="16"/>
          <w:szCs w:val="16"/>
          <w:bdr w:val="none" w:sz="0" w:space="0" w:color="auto" w:frame="1"/>
        </w:rPr>
        <w:t>Case of J. v. Peru</w:t>
      </w:r>
      <w:r w:rsidRPr="007C3E68">
        <w:rPr>
          <w:rFonts w:asciiTheme="majorHAnsi" w:hAnsiTheme="majorHAnsi"/>
          <w:sz w:val="16"/>
          <w:szCs w:val="16"/>
          <w:bdr w:val="none" w:sz="0" w:space="0" w:color="auto" w:frame="1"/>
        </w:rPr>
        <w:t>. Preliminary Objection, Merits, Reparations and Costs. Judgment of November 27, 2013. Series C No. 275</w:t>
      </w:r>
      <w:r w:rsidRPr="007C3E68">
        <w:rPr>
          <w:rFonts w:asciiTheme="majorHAnsi" w:hAnsiTheme="majorHAnsi"/>
          <w:sz w:val="16"/>
          <w:szCs w:val="16"/>
        </w:rPr>
        <w:t>, para. </w:t>
      </w:r>
      <w:r w:rsidRPr="007C3E68">
        <w:rPr>
          <w:rFonts w:asciiTheme="majorHAnsi" w:hAnsiTheme="majorHAnsi"/>
          <w:spacing w:val="-4"/>
          <w:sz w:val="16"/>
          <w:szCs w:val="16"/>
        </w:rPr>
        <w:t>344, citing I/A Court H.R., </w:t>
      </w:r>
      <w:r w:rsidRPr="007C3E68">
        <w:rPr>
          <w:rFonts w:asciiTheme="majorHAnsi" w:hAnsiTheme="majorHAnsi"/>
          <w:iCs/>
          <w:sz w:val="16"/>
          <w:szCs w:val="16"/>
          <w:bdr w:val="none" w:sz="0" w:space="0" w:color="auto" w:frame="1"/>
        </w:rPr>
        <w:t>Case of Juan Humberto Sánchez v. Honduras</w:t>
      </w:r>
      <w:r w:rsidRPr="007C3E68">
        <w:rPr>
          <w:rFonts w:asciiTheme="majorHAnsi" w:hAnsiTheme="majorHAnsi"/>
          <w:sz w:val="16"/>
          <w:szCs w:val="16"/>
          <w:bdr w:val="none" w:sz="0" w:space="0" w:color="auto" w:frame="1"/>
        </w:rPr>
        <w:t>. Preliminary Objection, Merits, Reparations and Costs. Judgment of June 7, 2003. Series C No. 99</w:t>
      </w:r>
      <w:r w:rsidRPr="007C3E68">
        <w:rPr>
          <w:rFonts w:asciiTheme="majorHAnsi" w:hAnsiTheme="majorHAnsi"/>
          <w:spacing w:val="-4"/>
          <w:sz w:val="16"/>
          <w:szCs w:val="16"/>
        </w:rPr>
        <w:t>, para. 128.</w:t>
      </w:r>
    </w:p>
    <w:p w:rsidR="00094AB5" w:rsidRPr="007C3E68" w:rsidRDefault="00094AB5" w:rsidP="002D7F3B">
      <w:pPr>
        <w:ind w:firstLine="720"/>
        <w:jc w:val="both"/>
        <w:rPr>
          <w:rFonts w:asciiTheme="majorHAnsi" w:hAnsiTheme="majorHAnsi"/>
          <w:sz w:val="16"/>
          <w:szCs w:val="16"/>
        </w:rPr>
      </w:pPr>
    </w:p>
  </w:footnote>
  <w:footnote w:id="116">
    <w:p w:rsidR="00094AB5"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Rodríguez Vera et al. (The Disappeared from the Palace of Justice) v. Colombia</w:t>
      </w:r>
      <w:r w:rsidRPr="007C3E68">
        <w:rPr>
          <w:rFonts w:asciiTheme="majorHAnsi" w:hAnsiTheme="majorHAnsi"/>
          <w:sz w:val="16"/>
          <w:szCs w:val="16"/>
          <w:bdr w:val="none" w:sz="0" w:space="0" w:color="auto" w:frame="1"/>
        </w:rPr>
        <w:t>. Judgment of November 14, 2014, para.</w:t>
      </w:r>
      <w:r w:rsidRPr="007C3E68">
        <w:rPr>
          <w:rFonts w:asciiTheme="majorHAnsi" w:hAnsiTheme="majorHAnsi"/>
          <w:sz w:val="16"/>
          <w:szCs w:val="16"/>
        </w:rPr>
        <w:t> 500.</w:t>
      </w:r>
    </w:p>
  </w:footnote>
  <w:footnote w:id="117">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Report 13/15. Admissibility and Merits. Mayra Angelina Gutiérrez (Guatemala). March 23, 2015. Para. 112. </w:t>
      </w:r>
    </w:p>
    <w:p w:rsidR="00D53157" w:rsidRPr="007C3E68" w:rsidRDefault="00D53157" w:rsidP="002D7F3B">
      <w:pPr>
        <w:ind w:firstLine="720"/>
        <w:jc w:val="both"/>
        <w:rPr>
          <w:rFonts w:asciiTheme="majorHAnsi" w:hAnsiTheme="majorHAnsi"/>
          <w:sz w:val="16"/>
          <w:szCs w:val="16"/>
        </w:rPr>
      </w:pPr>
    </w:p>
  </w:footnote>
  <w:footnote w:id="11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Barreto Leiva v. Venezuela</w:t>
      </w:r>
      <w:r w:rsidRPr="007C3E68">
        <w:rPr>
          <w:rFonts w:asciiTheme="majorHAnsi" w:hAnsiTheme="majorHAnsi"/>
          <w:sz w:val="16"/>
          <w:szCs w:val="16"/>
          <w:bdr w:val="none" w:sz="0" w:space="0" w:color="auto" w:frame="1"/>
        </w:rPr>
        <w:t>. Merits, Reparations and Costs. Judgment of November 17, 2009. Series C No. 206</w:t>
      </w:r>
      <w:r w:rsidRPr="007C3E68">
        <w:rPr>
          <w:rFonts w:asciiTheme="majorHAnsi" w:hAnsiTheme="majorHAnsi"/>
          <w:sz w:val="16"/>
          <w:szCs w:val="16"/>
        </w:rPr>
        <w:t>, para.  </w:t>
      </w:r>
      <w:r w:rsidRPr="007C3E68">
        <w:rPr>
          <w:rFonts w:asciiTheme="majorHAnsi" w:hAnsiTheme="majorHAnsi"/>
          <w:iCs/>
          <w:sz w:val="16"/>
          <w:szCs w:val="16"/>
          <w:bdr w:val="none" w:sz="0" w:space="0" w:color="auto" w:frame="1"/>
        </w:rPr>
        <w:t>Case of Apitz Barbera et al. (“First Court of Administrative Disputes”) v. Venezuela</w:t>
      </w:r>
      <w:r w:rsidRPr="007C3E68">
        <w:rPr>
          <w:rFonts w:asciiTheme="majorHAnsi" w:hAnsiTheme="majorHAnsi"/>
          <w:sz w:val="16"/>
          <w:szCs w:val="16"/>
          <w:bdr w:val="none" w:sz="0" w:space="0" w:color="auto" w:frame="1"/>
        </w:rPr>
        <w:t>. Preliminary Objection, Merits, Reparations and Costs. Judgment of August 5, 2008. Series C No. 182</w:t>
      </w:r>
      <w:r w:rsidRPr="007C3E68">
        <w:rPr>
          <w:rFonts w:asciiTheme="majorHAnsi" w:hAnsiTheme="majorHAnsi"/>
          <w:sz w:val="16"/>
          <w:szCs w:val="16"/>
        </w:rPr>
        <w:t>, para. 56.</w:t>
      </w:r>
    </w:p>
    <w:p w:rsidR="00D53157" w:rsidRPr="007C3E68" w:rsidRDefault="00D53157" w:rsidP="002D7F3B">
      <w:pPr>
        <w:ind w:firstLine="720"/>
        <w:jc w:val="both"/>
        <w:rPr>
          <w:rFonts w:asciiTheme="majorHAnsi" w:hAnsiTheme="majorHAnsi"/>
          <w:sz w:val="16"/>
          <w:szCs w:val="16"/>
        </w:rPr>
      </w:pPr>
    </w:p>
  </w:footnote>
  <w:footnote w:id="11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Carpio Nicolle et al. v. Guatemala</w:t>
      </w:r>
      <w:r w:rsidRPr="007C3E68">
        <w:rPr>
          <w:rFonts w:asciiTheme="majorHAnsi" w:hAnsiTheme="majorHAnsi"/>
          <w:sz w:val="16"/>
          <w:szCs w:val="16"/>
          <w:bdr w:val="none" w:sz="0" w:space="0" w:color="auto" w:frame="1"/>
        </w:rPr>
        <w:t>. Merits, Reparations and Costs. Judgment of November 22, 2004. Series C No. 117</w:t>
      </w:r>
      <w:r w:rsidRPr="007C3E68">
        <w:rPr>
          <w:rFonts w:asciiTheme="majorHAnsi" w:hAnsiTheme="majorHAnsi"/>
          <w:sz w:val="16"/>
          <w:szCs w:val="16"/>
        </w:rPr>
        <w:t>, para. 134. </w:t>
      </w:r>
    </w:p>
    <w:p w:rsidR="00D53157" w:rsidRPr="007C3E68" w:rsidRDefault="00D53157" w:rsidP="002D7F3B">
      <w:pPr>
        <w:ind w:firstLine="720"/>
        <w:jc w:val="both"/>
        <w:rPr>
          <w:rFonts w:asciiTheme="majorHAnsi" w:hAnsiTheme="majorHAnsi"/>
          <w:sz w:val="16"/>
          <w:szCs w:val="16"/>
        </w:rPr>
      </w:pPr>
    </w:p>
  </w:footnote>
  <w:footnote w:id="120">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Report 13/15. Admissibility and Merits. Mayra Angelina Gutiérrez (Guatemala). March 23, 2015. Para. 162; I/A Court H.R., </w:t>
      </w:r>
      <w:r w:rsidRPr="007C3E68">
        <w:rPr>
          <w:rFonts w:asciiTheme="majorHAnsi" w:hAnsiTheme="majorHAnsi"/>
          <w:iCs/>
          <w:sz w:val="16"/>
          <w:szCs w:val="16"/>
          <w:bdr w:val="none" w:sz="0" w:space="0" w:color="auto" w:frame="1"/>
        </w:rPr>
        <w:t>Case of J. v. Peru</w:t>
      </w:r>
      <w:r w:rsidRPr="007C3E68">
        <w:rPr>
          <w:rFonts w:asciiTheme="majorHAnsi" w:hAnsiTheme="majorHAnsi"/>
          <w:sz w:val="16"/>
          <w:szCs w:val="16"/>
          <w:bdr w:val="none" w:sz="0" w:space="0" w:color="auto" w:frame="1"/>
        </w:rPr>
        <w:t>. Preliminary Objection, Merits, Reparations and Costs. Judgment of November 27, 2013. Series C No. 275</w:t>
      </w:r>
      <w:r w:rsidRPr="007C3E68">
        <w:rPr>
          <w:rFonts w:asciiTheme="majorHAnsi" w:hAnsiTheme="majorHAnsi"/>
          <w:sz w:val="16"/>
          <w:szCs w:val="16"/>
        </w:rPr>
        <w:t>, para. 353.</w:t>
      </w:r>
    </w:p>
    <w:p w:rsidR="00D53157" w:rsidRPr="007C3E68" w:rsidRDefault="00D53157" w:rsidP="002D7F3B">
      <w:pPr>
        <w:ind w:firstLine="720"/>
        <w:jc w:val="both"/>
        <w:rPr>
          <w:rFonts w:asciiTheme="majorHAnsi" w:hAnsiTheme="majorHAnsi"/>
          <w:sz w:val="16"/>
          <w:szCs w:val="16"/>
        </w:rPr>
      </w:pPr>
    </w:p>
  </w:footnote>
  <w:footnote w:id="121">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Report 13/15. Admissibility and Merits. Mayra Angelina Gutiérrez (Guatemala). March 23, 2015. Para. 162; I/A Court H.R., </w:t>
      </w:r>
      <w:r w:rsidRPr="007C3E68">
        <w:rPr>
          <w:rFonts w:asciiTheme="majorHAnsi" w:hAnsiTheme="majorHAnsi"/>
          <w:iCs/>
          <w:sz w:val="16"/>
          <w:szCs w:val="16"/>
          <w:bdr w:val="none" w:sz="0" w:space="0" w:color="auto" w:frame="1"/>
        </w:rPr>
        <w:t>Case of J. v. Peru</w:t>
      </w:r>
      <w:r w:rsidRPr="007C3E68">
        <w:rPr>
          <w:rFonts w:asciiTheme="majorHAnsi" w:hAnsiTheme="majorHAnsi"/>
          <w:sz w:val="16"/>
          <w:szCs w:val="16"/>
          <w:bdr w:val="none" w:sz="0" w:space="0" w:color="auto" w:frame="1"/>
        </w:rPr>
        <w:t>. Preliminary Objection, Merits, Reparations and Costs. Judgment of November 27, 2013. Series C No. 275</w:t>
      </w:r>
      <w:r w:rsidRPr="007C3E68">
        <w:rPr>
          <w:rFonts w:asciiTheme="majorHAnsi" w:hAnsiTheme="majorHAnsi"/>
          <w:sz w:val="16"/>
          <w:szCs w:val="16"/>
        </w:rPr>
        <w:t>, para. 354.</w:t>
      </w:r>
    </w:p>
    <w:p w:rsidR="00D53157" w:rsidRPr="007C3E68" w:rsidRDefault="00D53157" w:rsidP="002D7F3B">
      <w:pPr>
        <w:jc w:val="both"/>
        <w:rPr>
          <w:rFonts w:asciiTheme="majorHAnsi" w:hAnsiTheme="majorHAnsi"/>
          <w:sz w:val="16"/>
          <w:szCs w:val="16"/>
        </w:rPr>
      </w:pPr>
    </w:p>
  </w:footnote>
  <w:footnote w:id="12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Gonzalez Medina and family v. Dominican Republic</w:t>
      </w:r>
      <w:r w:rsidRPr="007C3E68">
        <w:rPr>
          <w:rFonts w:asciiTheme="majorHAnsi" w:hAnsiTheme="majorHAnsi"/>
          <w:sz w:val="16"/>
          <w:szCs w:val="16"/>
          <w:bdr w:val="none" w:sz="0" w:space="0" w:color="auto" w:frame="1"/>
        </w:rPr>
        <w:t>. Judgment of February 27, 2012, para.</w:t>
      </w:r>
      <w:r w:rsidRPr="007C3E68">
        <w:rPr>
          <w:rFonts w:asciiTheme="majorHAnsi" w:hAnsiTheme="majorHAnsi"/>
          <w:sz w:val="16"/>
          <w:szCs w:val="16"/>
        </w:rPr>
        <w:t> 161. </w:t>
      </w:r>
    </w:p>
    <w:p w:rsidR="00D53157" w:rsidRPr="007C3E68" w:rsidRDefault="00D53157" w:rsidP="002D7F3B">
      <w:pPr>
        <w:jc w:val="both"/>
        <w:rPr>
          <w:rFonts w:asciiTheme="majorHAnsi" w:hAnsiTheme="majorHAnsi"/>
          <w:sz w:val="16"/>
          <w:szCs w:val="16"/>
        </w:rPr>
      </w:pPr>
    </w:p>
  </w:footnote>
  <w:footnote w:id="123">
    <w:p w:rsidR="00C807C8" w:rsidRPr="007C3E68" w:rsidRDefault="00C807C8" w:rsidP="002D7F3B">
      <w:pPr>
        <w:pStyle w:val="FootnoteText"/>
        <w:ind w:firstLine="720"/>
        <w:jc w:val="both"/>
        <w:rPr>
          <w:rFonts w:asciiTheme="majorHAnsi" w:hAnsiTheme="majorHAnsi"/>
          <w:sz w:val="16"/>
          <w:szCs w:val="16"/>
          <w:lang w:val="es-CO"/>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Fi</w:t>
      </w:r>
      <w:r w:rsidR="00D53157" w:rsidRPr="007C3E68">
        <w:rPr>
          <w:rFonts w:asciiTheme="majorHAnsi" w:hAnsiTheme="majorHAnsi"/>
          <w:sz w:val="16"/>
          <w:szCs w:val="16"/>
        </w:rPr>
        <w:t>le with Press Articles, provided by petitioners; Annex 7</w:t>
      </w:r>
      <w:r w:rsidRPr="007C3E68">
        <w:rPr>
          <w:rFonts w:asciiTheme="majorHAnsi" w:hAnsiTheme="majorHAnsi"/>
          <w:sz w:val="16"/>
          <w:szCs w:val="16"/>
        </w:rPr>
        <w:t xml:space="preserve">. </w:t>
      </w:r>
      <w:r w:rsidRPr="002033D6">
        <w:rPr>
          <w:rFonts w:asciiTheme="majorHAnsi" w:hAnsiTheme="majorHAnsi"/>
          <w:sz w:val="16"/>
          <w:szCs w:val="16"/>
          <w:lang w:val="es-UY"/>
        </w:rPr>
        <w:t>Article from </w:t>
      </w:r>
      <w:r w:rsidRPr="002033D6">
        <w:rPr>
          <w:rFonts w:asciiTheme="majorHAnsi" w:hAnsiTheme="majorHAnsi"/>
          <w:iCs/>
          <w:sz w:val="16"/>
          <w:szCs w:val="16"/>
          <w:lang w:val="es-UY"/>
        </w:rPr>
        <w:t>Diario Noticias</w:t>
      </w:r>
      <w:r w:rsidRPr="002033D6">
        <w:rPr>
          <w:rFonts w:asciiTheme="majorHAnsi" w:hAnsiTheme="majorHAnsi"/>
          <w:sz w:val="16"/>
          <w:szCs w:val="16"/>
          <w:lang w:val="es-UY"/>
        </w:rPr>
        <w:t xml:space="preserve">, entitled, “Presidente no garantiza si tienen (…)” Annex </w:t>
      </w:r>
      <w:r w:rsidR="00D53157" w:rsidRPr="002033D6">
        <w:rPr>
          <w:rFonts w:asciiTheme="majorHAnsi" w:hAnsiTheme="majorHAnsi"/>
          <w:sz w:val="16"/>
          <w:szCs w:val="16"/>
          <w:lang w:val="es-UY"/>
        </w:rPr>
        <w:t>8</w:t>
      </w:r>
      <w:r w:rsidRPr="002033D6">
        <w:rPr>
          <w:rFonts w:asciiTheme="majorHAnsi" w:hAnsiTheme="majorHAnsi"/>
          <w:sz w:val="16"/>
          <w:szCs w:val="16"/>
          <w:lang w:val="es-UY"/>
        </w:rPr>
        <w:t xml:space="preserve">. </w:t>
      </w:r>
      <w:r w:rsidRPr="007C3E68">
        <w:rPr>
          <w:rFonts w:asciiTheme="majorHAnsi" w:hAnsiTheme="majorHAnsi"/>
          <w:sz w:val="16"/>
          <w:szCs w:val="16"/>
          <w:lang w:val="es-CO"/>
        </w:rPr>
        <w:t>Article from </w:t>
      </w:r>
      <w:r w:rsidRPr="007C3E68">
        <w:rPr>
          <w:rFonts w:asciiTheme="majorHAnsi" w:hAnsiTheme="majorHAnsi"/>
          <w:iCs/>
          <w:sz w:val="16"/>
          <w:szCs w:val="16"/>
          <w:lang w:val="es-CO"/>
        </w:rPr>
        <w:t>Diario La Nación</w:t>
      </w:r>
      <w:r w:rsidRPr="007C3E68">
        <w:rPr>
          <w:rFonts w:asciiTheme="majorHAnsi" w:hAnsiTheme="majorHAnsi"/>
          <w:sz w:val="16"/>
          <w:szCs w:val="16"/>
          <w:lang w:val="es-CO"/>
        </w:rPr>
        <w:t>, entitled “Fanego dice: “Si Arrom está muerto, es gravísimo””.</w:t>
      </w:r>
    </w:p>
    <w:p w:rsidR="00D53157" w:rsidRPr="007C3E68" w:rsidRDefault="00D53157" w:rsidP="002D7F3B">
      <w:pPr>
        <w:pStyle w:val="FootnoteText"/>
        <w:ind w:firstLine="720"/>
        <w:jc w:val="both"/>
        <w:rPr>
          <w:rFonts w:asciiTheme="majorHAnsi" w:hAnsiTheme="majorHAnsi"/>
          <w:sz w:val="16"/>
          <w:szCs w:val="16"/>
          <w:lang w:val="es-CO"/>
        </w:rPr>
      </w:pPr>
    </w:p>
  </w:footnote>
  <w:footnote w:id="124">
    <w:p w:rsidR="00C807C8" w:rsidRPr="007C3E68" w:rsidRDefault="00C807C8" w:rsidP="002D7F3B">
      <w:pPr>
        <w:pStyle w:val="FootnoteText"/>
        <w:ind w:firstLine="720"/>
        <w:jc w:val="both"/>
      </w:pPr>
      <w:r w:rsidRPr="007C3E68">
        <w:rPr>
          <w:rStyle w:val="FootnoteReference"/>
        </w:rPr>
        <w:footnoteRef/>
      </w:r>
      <w:r w:rsidRPr="007C3E68">
        <w:t xml:space="preserve"> </w:t>
      </w:r>
      <w:r w:rsidRPr="007C3E68">
        <w:rPr>
          <w:rFonts w:ascii="Cambria" w:hAnsi="Cambria"/>
          <w:sz w:val="16"/>
          <w:szCs w:val="16"/>
        </w:rPr>
        <w:t>United Nations.  Istanbul Protocol. Manual on the Effective Investigation and Documentation of Torture and other Cruel, Inhuman or Degrading Treatment or Punishment, August 9, 1999.</w:t>
      </w:r>
    </w:p>
  </w:footnote>
  <w:footnote w:id="125">
    <w:p w:rsidR="00C807C8" w:rsidRPr="007C3E68" w:rsidRDefault="00C807C8" w:rsidP="002D7F3B">
      <w:pPr>
        <w:ind w:firstLine="720"/>
        <w:jc w:val="both"/>
        <w:rPr>
          <w:rFonts w:ascii="Calibri" w:hAnsi="Calibri"/>
          <w:sz w:val="16"/>
          <w:szCs w:val="16"/>
        </w:rPr>
      </w:pPr>
      <w:r w:rsidRPr="007C3E68">
        <w:rPr>
          <w:rStyle w:val="FootnoteReference"/>
          <w:sz w:val="16"/>
          <w:szCs w:val="16"/>
        </w:rPr>
        <w:footnoteRef/>
      </w:r>
      <w:r w:rsidRPr="007C3E68">
        <w:rPr>
          <w:sz w:val="16"/>
          <w:szCs w:val="16"/>
        </w:rPr>
        <w:t xml:space="preserve"> </w:t>
      </w:r>
      <w:r w:rsidRPr="007C3E68">
        <w:rPr>
          <w:rFonts w:ascii="Cambria" w:hAnsi="Cambria"/>
          <w:sz w:val="16"/>
          <w:szCs w:val="16"/>
        </w:rPr>
        <w:t>According to the case file, these individuals later retracted their statements, as situation that will be evaluated below.</w:t>
      </w:r>
    </w:p>
  </w:footnote>
  <w:footnote w:id="126">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Acosta et al. v. Nicaragua</w:t>
      </w:r>
      <w:r w:rsidRPr="007C3E68">
        <w:rPr>
          <w:rFonts w:asciiTheme="majorHAnsi" w:hAnsiTheme="majorHAnsi"/>
          <w:sz w:val="16"/>
          <w:szCs w:val="16"/>
          <w:bdr w:val="none" w:sz="0" w:space="0" w:color="auto" w:frame="1"/>
        </w:rPr>
        <w:t>. Judgment of March 25, 2017, para.</w:t>
      </w:r>
      <w:r w:rsidRPr="007C3E68">
        <w:rPr>
          <w:rFonts w:asciiTheme="majorHAnsi" w:hAnsiTheme="majorHAnsi"/>
          <w:sz w:val="16"/>
          <w:szCs w:val="16"/>
        </w:rPr>
        <w:t> 142. Cf. </w:t>
      </w:r>
      <w:r w:rsidRPr="007C3E68">
        <w:rPr>
          <w:rFonts w:asciiTheme="majorHAnsi" w:hAnsiTheme="majorHAnsi"/>
          <w:iCs/>
          <w:sz w:val="16"/>
          <w:szCs w:val="16"/>
          <w:bdr w:val="none" w:sz="0" w:space="0" w:color="auto" w:frame="1"/>
        </w:rPr>
        <w:t>Case of Luna López v. Honduras</w:t>
      </w:r>
      <w:r w:rsidRPr="007C3E68">
        <w:rPr>
          <w:rFonts w:asciiTheme="majorHAnsi" w:hAnsiTheme="majorHAnsi"/>
          <w:sz w:val="16"/>
          <w:szCs w:val="16"/>
        </w:rPr>
        <w:t>, para. 167; and </w:t>
      </w:r>
      <w:r w:rsidRPr="007C3E68">
        <w:rPr>
          <w:rFonts w:asciiTheme="majorHAnsi" w:hAnsiTheme="majorHAnsi"/>
          <w:iCs/>
          <w:sz w:val="16"/>
          <w:szCs w:val="16"/>
          <w:bdr w:val="none" w:sz="0" w:space="0" w:color="auto" w:frame="1"/>
        </w:rPr>
        <w:t>Case of García Ibarra et al. v. Ecuador</w:t>
      </w:r>
      <w:r w:rsidRPr="007C3E68">
        <w:rPr>
          <w:rFonts w:asciiTheme="majorHAnsi" w:hAnsiTheme="majorHAnsi"/>
          <w:sz w:val="16"/>
          <w:szCs w:val="16"/>
        </w:rPr>
        <w:t>, above, para. 139.</w:t>
      </w:r>
    </w:p>
    <w:p w:rsidR="00D53157" w:rsidRPr="007C3E68" w:rsidRDefault="00D53157" w:rsidP="002D7F3B">
      <w:pPr>
        <w:ind w:firstLine="720"/>
        <w:jc w:val="both"/>
        <w:rPr>
          <w:rFonts w:asciiTheme="majorHAnsi" w:hAnsiTheme="majorHAnsi"/>
          <w:sz w:val="16"/>
          <w:szCs w:val="16"/>
        </w:rPr>
      </w:pPr>
    </w:p>
  </w:footnote>
  <w:footnote w:id="127">
    <w:p w:rsidR="00C807C8" w:rsidRPr="007C3E68" w:rsidRDefault="00C807C8" w:rsidP="002D7F3B">
      <w:pPr>
        <w:ind w:firstLine="720"/>
        <w:jc w:val="both"/>
        <w:rPr>
          <w:rFonts w:ascii="Calibri" w:hAnsi="Calibri"/>
          <w:sz w:val="20"/>
          <w:szCs w:val="20"/>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Annex </w:t>
      </w:r>
      <w:r w:rsidR="00332D96" w:rsidRPr="007C3E68">
        <w:rPr>
          <w:rFonts w:asciiTheme="majorHAnsi" w:hAnsiTheme="majorHAnsi"/>
          <w:sz w:val="16"/>
          <w:szCs w:val="16"/>
        </w:rPr>
        <w:t>57</w:t>
      </w:r>
      <w:r w:rsidRPr="007C3E68">
        <w:rPr>
          <w:rFonts w:asciiTheme="majorHAnsi" w:hAnsiTheme="majorHAnsi"/>
          <w:sz w:val="16"/>
          <w:szCs w:val="16"/>
        </w:rPr>
        <w:t>. Appeal filed by lawyer Diego Bertolucci, date illegible.</w:t>
      </w:r>
      <w:r w:rsidR="00332D96" w:rsidRPr="007C3E68">
        <w:rPr>
          <w:rFonts w:asciiTheme="majorHAnsi" w:hAnsiTheme="majorHAnsi"/>
          <w:sz w:val="16"/>
          <w:szCs w:val="16"/>
        </w:rPr>
        <w:t xml:space="preserve"> Annexed to </w:t>
      </w:r>
      <w:r w:rsidR="007A6A52">
        <w:rPr>
          <w:rFonts w:asciiTheme="majorHAnsi" w:hAnsiTheme="majorHAnsi"/>
          <w:sz w:val="16"/>
          <w:szCs w:val="16"/>
        </w:rPr>
        <w:t>communication of the State</w:t>
      </w:r>
      <w:r w:rsidR="00332D96" w:rsidRPr="007C3E68">
        <w:rPr>
          <w:rFonts w:asciiTheme="majorHAnsi" w:hAnsiTheme="majorHAnsi"/>
          <w:sz w:val="16"/>
          <w:szCs w:val="16"/>
        </w:rPr>
        <w:t>, dated October 5, 2005.</w:t>
      </w:r>
    </w:p>
  </w:footnote>
  <w:footnote w:id="128">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w:t>
      </w:r>
      <w:r w:rsidR="00332D96" w:rsidRPr="007C3E68">
        <w:rPr>
          <w:rFonts w:asciiTheme="majorHAnsi" w:hAnsiTheme="majorHAnsi"/>
          <w:sz w:val="16"/>
          <w:szCs w:val="16"/>
        </w:rPr>
        <w:t xml:space="preserve">Annex 28. Request of the Public Prosecutor’s Office for Final Dismissal, dated May 27, 2003. Annexed to </w:t>
      </w:r>
      <w:r w:rsidR="007A6A52">
        <w:rPr>
          <w:rFonts w:asciiTheme="majorHAnsi" w:hAnsiTheme="majorHAnsi"/>
          <w:sz w:val="16"/>
          <w:szCs w:val="16"/>
        </w:rPr>
        <w:t>communication of the State</w:t>
      </w:r>
      <w:r w:rsidR="00332D96" w:rsidRPr="007C3E68">
        <w:rPr>
          <w:rFonts w:asciiTheme="majorHAnsi" w:hAnsiTheme="majorHAnsi"/>
          <w:sz w:val="16"/>
          <w:szCs w:val="16"/>
        </w:rPr>
        <w:t xml:space="preserve">, dated October 5, 2005. </w:t>
      </w:r>
      <w:r w:rsidRPr="007C3E68">
        <w:rPr>
          <w:rFonts w:asciiTheme="majorHAnsi" w:hAnsiTheme="majorHAnsi"/>
          <w:sz w:val="16"/>
          <w:szCs w:val="16"/>
        </w:rPr>
        <w:t>In accordance with the ratification of the request for final dismissal of the Public Prosecutor's Office, the defendants recanted their accusations against Mr. Gamarra</w:t>
      </w:r>
      <w:r w:rsidR="00332D96" w:rsidRPr="007C3E68">
        <w:rPr>
          <w:rFonts w:asciiTheme="majorHAnsi" w:hAnsiTheme="majorHAnsi"/>
          <w:sz w:val="16"/>
          <w:szCs w:val="16"/>
        </w:rPr>
        <w:t>.</w:t>
      </w:r>
    </w:p>
    <w:p w:rsidR="00332D96" w:rsidRPr="007C3E68" w:rsidRDefault="00332D96" w:rsidP="002D7F3B">
      <w:pPr>
        <w:pStyle w:val="FootnoteText"/>
        <w:ind w:firstLine="720"/>
        <w:jc w:val="both"/>
        <w:rPr>
          <w:rFonts w:asciiTheme="majorHAnsi" w:hAnsiTheme="majorHAnsi"/>
          <w:sz w:val="16"/>
          <w:szCs w:val="16"/>
        </w:rPr>
      </w:pPr>
    </w:p>
  </w:footnote>
  <w:footnote w:id="12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lang w:val="es-CO"/>
        </w:rPr>
        <w:t xml:space="preserve"> IACHR. Report Cabrera Garía and Montiel Flores v Mexico. </w:t>
      </w:r>
      <w:r w:rsidRPr="007C3E68">
        <w:rPr>
          <w:rFonts w:asciiTheme="majorHAnsi" w:hAnsiTheme="majorHAnsi"/>
          <w:sz w:val="16"/>
          <w:szCs w:val="16"/>
        </w:rPr>
        <w:t>Para. 138. IACHR, Report on the Humans Rights Situation in Mexico, Chapter IV: The Right to Personal Liberty, OEA/Ser.L/V/II.100, Doc. 7 rev. 1, September 24, 1998, para. 320. </w:t>
      </w:r>
    </w:p>
  </w:footnote>
  <w:footnote w:id="130">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Complaint before the Inter-American Court, Case No. 11.324, Narciso González and others, Dominican Republic, May 2, 2010, para. 234.</w:t>
      </w:r>
    </w:p>
    <w:p w:rsidR="00332D96" w:rsidRPr="007C3E68" w:rsidRDefault="00332D96" w:rsidP="002D7F3B">
      <w:pPr>
        <w:pStyle w:val="FootnoteText"/>
        <w:ind w:firstLine="720"/>
        <w:jc w:val="both"/>
        <w:rPr>
          <w:rFonts w:asciiTheme="majorHAnsi" w:hAnsiTheme="majorHAnsi"/>
          <w:sz w:val="16"/>
          <w:szCs w:val="16"/>
        </w:rPr>
      </w:pPr>
    </w:p>
  </w:footnote>
  <w:footnote w:id="131">
    <w:p w:rsidR="00C807C8" w:rsidRPr="007C3E68" w:rsidRDefault="00C807C8" w:rsidP="002D7F3B">
      <w:pPr>
        <w:ind w:firstLine="720"/>
        <w:jc w:val="both"/>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Lori Berenson Mejía v. Peru</w:t>
      </w:r>
      <w:r w:rsidRPr="007C3E68">
        <w:rPr>
          <w:rFonts w:asciiTheme="majorHAnsi" w:hAnsiTheme="majorHAnsi"/>
          <w:sz w:val="16"/>
          <w:szCs w:val="16"/>
          <w:bdr w:val="none" w:sz="0" w:space="0" w:color="auto" w:frame="1"/>
        </w:rPr>
        <w:t>. Merits, Reparations and Costs. Judgment of November 25, 2004. Series C No. 119.</w:t>
      </w:r>
      <w:r w:rsidRPr="007C3E68">
        <w:rPr>
          <w:rFonts w:asciiTheme="majorHAnsi" w:hAnsiTheme="majorHAnsi"/>
          <w:sz w:val="16"/>
          <w:szCs w:val="16"/>
        </w:rPr>
        <w:t> Para. 160.</w:t>
      </w:r>
    </w:p>
  </w:footnote>
  <w:footnote w:id="132">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Article 5 of the American Convention establishes: “1. </w:t>
      </w:r>
      <w:r w:rsidRPr="007C3E68">
        <w:rPr>
          <w:rFonts w:asciiTheme="majorHAnsi" w:hAnsiTheme="majorHAnsi"/>
          <w:sz w:val="16"/>
          <w:szCs w:val="16"/>
          <w:bdr w:val="none" w:sz="0" w:space="0" w:color="auto" w:frame="1"/>
        </w:rPr>
        <w:t>Every person has the right to have his physical, mental, and moral integrity respected</w:t>
      </w:r>
      <w:r w:rsidRPr="007C3E68">
        <w:rPr>
          <w:rFonts w:asciiTheme="majorHAnsi" w:hAnsiTheme="majorHAnsi"/>
          <w:sz w:val="16"/>
          <w:szCs w:val="16"/>
        </w:rPr>
        <w:t>.//2. </w:t>
      </w:r>
      <w:r w:rsidRPr="007C3E68">
        <w:rPr>
          <w:rFonts w:asciiTheme="majorHAnsi" w:hAnsiTheme="majorHAnsi"/>
          <w:sz w:val="16"/>
          <w:szCs w:val="16"/>
          <w:bdr w:val="none" w:sz="0" w:space="0" w:color="auto" w:frame="1"/>
        </w:rPr>
        <w:t>No one shall be subjected to torture or to cruel, inhuman, or degrading punishment or treatment. All persons deprived of their liberty shall be treated with respect for the inherent dignity of the human person</w:t>
      </w:r>
      <w:r w:rsidRPr="007C3E68">
        <w:rPr>
          <w:rFonts w:asciiTheme="majorHAnsi" w:hAnsiTheme="majorHAnsi"/>
          <w:sz w:val="16"/>
          <w:szCs w:val="16"/>
        </w:rPr>
        <w:t>.”</w:t>
      </w:r>
    </w:p>
    <w:p w:rsidR="00332D96" w:rsidRPr="007C3E68" w:rsidRDefault="00332D96" w:rsidP="002D7F3B">
      <w:pPr>
        <w:pStyle w:val="FootnoteText"/>
        <w:ind w:firstLine="720"/>
        <w:jc w:val="both"/>
        <w:rPr>
          <w:rFonts w:asciiTheme="majorHAnsi" w:hAnsiTheme="majorHAnsi"/>
          <w:sz w:val="16"/>
          <w:szCs w:val="16"/>
        </w:rPr>
      </w:pPr>
    </w:p>
  </w:footnote>
  <w:footnote w:id="133">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Report on Terrorism and Human Rights, OEA/SER.L/V/II.116, Doc. 5 rev. 1, corr., October 22, 2002. Citing. IACHR, Report on the Situation of Human Rights of Asylum Seekers within the Canadian Refugee Determination System, OEA/Ser.L/V/II.106, Doc. 40 rev., February 28, 2000, para. 118. </w:t>
      </w:r>
    </w:p>
    <w:p w:rsidR="00332D96" w:rsidRPr="007C3E68" w:rsidRDefault="00332D96" w:rsidP="002D7F3B">
      <w:pPr>
        <w:pStyle w:val="FootnoteText"/>
        <w:ind w:firstLine="720"/>
        <w:jc w:val="both"/>
        <w:rPr>
          <w:rFonts w:asciiTheme="majorHAnsi" w:hAnsiTheme="majorHAnsi"/>
          <w:sz w:val="16"/>
          <w:szCs w:val="16"/>
        </w:rPr>
      </w:pPr>
    </w:p>
  </w:footnote>
  <w:footnote w:id="134">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Report on Terrorism and Human Rights, OEA/SER.L/V/II.116, Doc. 5 rev. 1, corr., October 22, 2002. Citing IACHR, Report on the Situation of Human Rights of Asylum Seekers within the Canadian Refugee Determination System, OEA/Ser.L/V/II.106, Doc. 40 rev., February 28, 2000. Para. 154. </w:t>
      </w:r>
    </w:p>
    <w:p w:rsidR="00332D96" w:rsidRPr="007C3E68" w:rsidRDefault="00332D96" w:rsidP="002D7F3B">
      <w:pPr>
        <w:pStyle w:val="FootnoteText"/>
        <w:ind w:firstLine="720"/>
        <w:jc w:val="both"/>
        <w:rPr>
          <w:rFonts w:asciiTheme="majorHAnsi" w:hAnsiTheme="majorHAnsi"/>
          <w:sz w:val="16"/>
          <w:szCs w:val="16"/>
        </w:rPr>
      </w:pPr>
    </w:p>
  </w:footnote>
  <w:footnote w:id="13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Bueno Alves v. Argentina</w:t>
      </w:r>
      <w:r w:rsidRPr="007C3E68">
        <w:rPr>
          <w:rFonts w:asciiTheme="majorHAnsi" w:hAnsiTheme="majorHAnsi"/>
          <w:sz w:val="16"/>
          <w:szCs w:val="16"/>
          <w:bdr w:val="none" w:sz="0" w:space="0" w:color="auto" w:frame="1"/>
        </w:rPr>
        <w:t>. Merits, Reparations and Costs. Judgment of May 11, 2007. Series C No. 164</w:t>
      </w:r>
      <w:r w:rsidRPr="007C3E68">
        <w:rPr>
          <w:rFonts w:asciiTheme="majorHAnsi" w:hAnsiTheme="majorHAnsi"/>
          <w:sz w:val="16"/>
          <w:szCs w:val="16"/>
        </w:rPr>
        <w:t>, para. 76; I/A Court H.R., </w:t>
      </w:r>
      <w:r w:rsidRPr="007C3E68">
        <w:rPr>
          <w:rFonts w:asciiTheme="majorHAnsi" w:hAnsiTheme="majorHAnsi"/>
          <w:iCs/>
          <w:sz w:val="16"/>
          <w:szCs w:val="16"/>
          <w:bdr w:val="none" w:sz="0" w:space="0" w:color="auto" w:frame="1"/>
        </w:rPr>
        <w:t>Case of the Miguel Castro Castro Prison v. Peru</w:t>
      </w:r>
      <w:r w:rsidRPr="007C3E68">
        <w:rPr>
          <w:rFonts w:asciiTheme="majorHAnsi" w:hAnsiTheme="majorHAnsi"/>
          <w:sz w:val="16"/>
          <w:szCs w:val="16"/>
          <w:bdr w:val="none" w:sz="0" w:space="0" w:color="auto" w:frame="1"/>
        </w:rPr>
        <w:t>. Merits, Reparations and Costs. Judgment of November 25, 2006. Series C No. 160</w:t>
      </w:r>
      <w:r w:rsidRPr="007C3E68">
        <w:rPr>
          <w:rFonts w:asciiTheme="majorHAnsi" w:hAnsiTheme="majorHAnsi"/>
          <w:sz w:val="16"/>
          <w:szCs w:val="16"/>
        </w:rPr>
        <w:t>, para. 271; and I/A Court H.R., </w:t>
      </w:r>
      <w:r w:rsidRPr="007C3E68">
        <w:rPr>
          <w:rFonts w:asciiTheme="majorHAnsi" w:hAnsiTheme="majorHAnsi"/>
          <w:iCs/>
          <w:sz w:val="16"/>
          <w:szCs w:val="16"/>
          <w:bdr w:val="none" w:sz="0" w:space="0" w:color="auto" w:frame="1"/>
        </w:rPr>
        <w:t>Case of Baldeón García v. Peru</w:t>
      </w:r>
      <w:r w:rsidRPr="007C3E68">
        <w:rPr>
          <w:rFonts w:asciiTheme="majorHAnsi" w:hAnsiTheme="majorHAnsi"/>
          <w:sz w:val="16"/>
          <w:szCs w:val="16"/>
          <w:bdr w:val="none" w:sz="0" w:space="0" w:color="auto" w:frame="1"/>
        </w:rPr>
        <w:t>. Merits, Reparations and Costs. Judgment of April 6, 2006. Series C No. 147</w:t>
      </w:r>
      <w:r w:rsidRPr="007C3E68">
        <w:rPr>
          <w:rFonts w:asciiTheme="majorHAnsi" w:hAnsiTheme="majorHAnsi"/>
          <w:sz w:val="16"/>
          <w:szCs w:val="16"/>
        </w:rPr>
        <w:t>, para. 117. </w:t>
      </w:r>
    </w:p>
    <w:p w:rsidR="00332D96" w:rsidRPr="007C3E68" w:rsidRDefault="00332D96" w:rsidP="002D7F3B">
      <w:pPr>
        <w:ind w:firstLine="720"/>
        <w:jc w:val="both"/>
        <w:rPr>
          <w:rFonts w:asciiTheme="majorHAnsi" w:hAnsiTheme="majorHAnsi"/>
          <w:sz w:val="16"/>
          <w:szCs w:val="16"/>
        </w:rPr>
      </w:pPr>
    </w:p>
  </w:footnote>
  <w:footnote w:id="136">
    <w:p w:rsidR="00C807C8" w:rsidRPr="007C3E68" w:rsidRDefault="00C807C8" w:rsidP="002D7F3B">
      <w:pPr>
        <w:pStyle w:val="FootnoteText"/>
        <w:ind w:firstLine="720"/>
        <w:jc w:val="both"/>
        <w:rPr>
          <w:lang w:val="es-CO"/>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Report No. 5/96, Case 10.970, Merits, Raquel Martin Mejía, Peru, March 1, 1996, section 3. analysis and I/A Court H.R., </w:t>
      </w:r>
      <w:r w:rsidRPr="007C3E68">
        <w:rPr>
          <w:rFonts w:asciiTheme="majorHAnsi" w:hAnsiTheme="majorHAnsi"/>
          <w:iCs/>
          <w:sz w:val="16"/>
          <w:szCs w:val="16"/>
          <w:bdr w:val="none" w:sz="0" w:space="0" w:color="auto" w:frame="1"/>
        </w:rPr>
        <w:t>Case of Bueno Alves v. Argentina</w:t>
      </w:r>
      <w:r w:rsidRPr="007C3E68">
        <w:rPr>
          <w:rFonts w:asciiTheme="majorHAnsi" w:hAnsiTheme="majorHAnsi"/>
          <w:sz w:val="16"/>
          <w:szCs w:val="16"/>
          <w:bdr w:val="none" w:sz="0" w:space="0" w:color="auto" w:frame="1"/>
        </w:rPr>
        <w:t>. Merits, Reparations and Costs. Judgment of May 11, 2007. Series C No. 164</w:t>
      </w:r>
      <w:r w:rsidRPr="007C3E68">
        <w:rPr>
          <w:rFonts w:asciiTheme="majorHAnsi" w:hAnsiTheme="majorHAnsi"/>
          <w:sz w:val="16"/>
          <w:szCs w:val="16"/>
        </w:rPr>
        <w:t xml:space="preserve">, para. </w:t>
      </w:r>
      <w:r w:rsidRPr="007C3E68">
        <w:rPr>
          <w:rFonts w:asciiTheme="majorHAnsi" w:hAnsiTheme="majorHAnsi"/>
          <w:sz w:val="16"/>
          <w:szCs w:val="16"/>
          <w:lang w:val="es-CO"/>
        </w:rPr>
        <w:t>79.</w:t>
      </w:r>
    </w:p>
  </w:footnote>
  <w:footnote w:id="137">
    <w:p w:rsidR="00C807C8" w:rsidRPr="007C3E68" w:rsidRDefault="00C807C8" w:rsidP="002D7F3B">
      <w:pPr>
        <w:ind w:firstLine="720"/>
        <w:jc w:val="both"/>
        <w:rPr>
          <w:rFonts w:asciiTheme="majorHAnsi" w:hAnsiTheme="majorHAnsi"/>
          <w:sz w:val="16"/>
          <w:szCs w:val="16"/>
          <w:lang w:val="es-CO"/>
        </w:rPr>
      </w:pPr>
      <w:r w:rsidRPr="007C3E68">
        <w:rPr>
          <w:rStyle w:val="FootnoteReference"/>
          <w:rFonts w:asciiTheme="majorHAnsi" w:hAnsiTheme="majorHAnsi"/>
          <w:sz w:val="16"/>
          <w:szCs w:val="16"/>
        </w:rPr>
        <w:footnoteRef/>
      </w:r>
      <w:r w:rsidRPr="007C3E68">
        <w:rPr>
          <w:rFonts w:asciiTheme="majorHAnsi" w:hAnsiTheme="majorHAnsi"/>
          <w:sz w:val="16"/>
          <w:szCs w:val="16"/>
          <w:lang w:val="es-CO"/>
        </w:rPr>
        <w:t xml:space="preserve"> IACHR, Report No. 120/10, Case 12.605, Merits, Joe Luis Castillo González, Venezuela, October 22, 2010, para. 109.</w:t>
      </w:r>
    </w:p>
    <w:p w:rsidR="0010626F" w:rsidRPr="007C3E68" w:rsidRDefault="0010626F" w:rsidP="002D7F3B">
      <w:pPr>
        <w:ind w:firstLine="720"/>
        <w:jc w:val="both"/>
        <w:rPr>
          <w:rFonts w:asciiTheme="majorHAnsi" w:hAnsiTheme="majorHAnsi"/>
          <w:sz w:val="16"/>
          <w:szCs w:val="16"/>
          <w:lang w:val="es-CO"/>
        </w:rPr>
      </w:pPr>
    </w:p>
  </w:footnote>
  <w:footnote w:id="138">
    <w:p w:rsidR="00C807C8" w:rsidRPr="007C3E68" w:rsidRDefault="00C807C8" w:rsidP="002D7F3B">
      <w:pPr>
        <w:pStyle w:val="FootnoteText"/>
        <w:ind w:firstLine="720"/>
        <w:jc w:val="both"/>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Kawas Fernández v. Honduras</w:t>
      </w:r>
      <w:r w:rsidRPr="007C3E68">
        <w:rPr>
          <w:rFonts w:asciiTheme="majorHAnsi" w:hAnsiTheme="majorHAnsi"/>
          <w:sz w:val="16"/>
          <w:szCs w:val="16"/>
          <w:bdr w:val="none" w:sz="0" w:space="0" w:color="auto" w:frame="1"/>
        </w:rPr>
        <w:t>. Merits, Reparations and Costs. Judgment of April 3, 2009. Series C No. 196</w:t>
      </w:r>
      <w:r w:rsidRPr="007C3E68">
        <w:rPr>
          <w:rFonts w:asciiTheme="majorHAnsi" w:hAnsiTheme="majorHAnsi"/>
          <w:sz w:val="16"/>
          <w:szCs w:val="16"/>
        </w:rPr>
        <w:t>, para. 97.</w:t>
      </w:r>
    </w:p>
  </w:footnote>
  <w:footnote w:id="139">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J. v. Peru</w:t>
      </w:r>
      <w:r w:rsidRPr="007C3E68">
        <w:rPr>
          <w:rFonts w:asciiTheme="majorHAnsi" w:hAnsiTheme="majorHAnsi"/>
          <w:sz w:val="16"/>
          <w:szCs w:val="16"/>
          <w:bdr w:val="none" w:sz="0" w:space="0" w:color="auto" w:frame="1"/>
        </w:rPr>
        <w:t>. Preliminary Objection, Merits, Reparations and Costs. Judgment of November 27, 2013. Series C No. 275</w:t>
      </w:r>
      <w:r w:rsidRPr="007C3E68">
        <w:rPr>
          <w:rFonts w:asciiTheme="majorHAnsi" w:hAnsiTheme="majorHAnsi"/>
          <w:sz w:val="16"/>
          <w:szCs w:val="16"/>
        </w:rPr>
        <w:t>, para. 353.</w:t>
      </w:r>
    </w:p>
    <w:p w:rsidR="0010626F" w:rsidRPr="007C3E68" w:rsidRDefault="0010626F" w:rsidP="002D7F3B">
      <w:pPr>
        <w:pStyle w:val="FootnoteText"/>
        <w:ind w:firstLine="720"/>
        <w:jc w:val="both"/>
        <w:rPr>
          <w:rFonts w:asciiTheme="majorHAnsi" w:hAnsiTheme="majorHAnsi"/>
          <w:sz w:val="16"/>
          <w:szCs w:val="16"/>
        </w:rPr>
      </w:pPr>
    </w:p>
  </w:footnote>
  <w:footnote w:id="140">
    <w:p w:rsidR="00C807C8" w:rsidRPr="007C3E68" w:rsidRDefault="00C807C8" w:rsidP="002D7F3B">
      <w:pPr>
        <w:ind w:firstLine="720"/>
        <w:jc w:val="both"/>
        <w:rPr>
          <w:rFonts w:ascii="Calibri" w:hAnsi="Calibri"/>
          <w:sz w:val="20"/>
          <w:szCs w:val="20"/>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J. v. Peru</w:t>
      </w:r>
      <w:r w:rsidRPr="007C3E68">
        <w:rPr>
          <w:rFonts w:asciiTheme="majorHAnsi" w:hAnsiTheme="majorHAnsi"/>
          <w:sz w:val="16"/>
          <w:szCs w:val="16"/>
          <w:bdr w:val="none" w:sz="0" w:space="0" w:color="auto" w:frame="1"/>
        </w:rPr>
        <w:t>. Preliminary Objection, Merits, Reparations and Costs. Judgment of November 27, 2013. Series C No. 275</w:t>
      </w:r>
      <w:r w:rsidRPr="007C3E68">
        <w:rPr>
          <w:rFonts w:asciiTheme="majorHAnsi" w:hAnsiTheme="majorHAnsi"/>
          <w:sz w:val="16"/>
          <w:szCs w:val="16"/>
        </w:rPr>
        <w:t>, para. 354.</w:t>
      </w:r>
    </w:p>
  </w:footnote>
  <w:footnote w:id="141">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Article 3 of the American Convention establishes: “Right to Juridical Personality// Every person has the right to recognition as a person before the law.”</w:t>
      </w:r>
    </w:p>
    <w:p w:rsidR="0010626F" w:rsidRPr="007C3E68" w:rsidRDefault="0010626F" w:rsidP="002D7F3B">
      <w:pPr>
        <w:pStyle w:val="FootnoteText"/>
        <w:ind w:firstLine="720"/>
        <w:jc w:val="both"/>
        <w:rPr>
          <w:rFonts w:asciiTheme="majorHAnsi" w:hAnsiTheme="majorHAnsi"/>
          <w:sz w:val="16"/>
          <w:szCs w:val="16"/>
        </w:rPr>
      </w:pPr>
    </w:p>
  </w:footnote>
  <w:footnote w:id="142">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Article 4 of the American Convention establishes: “</w:t>
      </w:r>
      <w:r w:rsidRPr="007C3E68">
        <w:rPr>
          <w:rFonts w:asciiTheme="majorHAnsi" w:hAnsiTheme="majorHAnsi"/>
          <w:sz w:val="16"/>
          <w:szCs w:val="16"/>
          <w:bdr w:val="none" w:sz="0" w:space="0" w:color="auto" w:frame="1"/>
        </w:rPr>
        <w:t>Every person has the right to have his life respected. This right shall be protected by law and, in general, from the moment of conception. No one shall be arbitrarily deprived of his life</w:t>
      </w:r>
      <w:r w:rsidRPr="007C3E68">
        <w:rPr>
          <w:rFonts w:asciiTheme="majorHAnsi" w:hAnsiTheme="majorHAnsi"/>
          <w:sz w:val="16"/>
          <w:szCs w:val="16"/>
        </w:rPr>
        <w:t>.”</w:t>
      </w:r>
    </w:p>
    <w:p w:rsidR="0010626F" w:rsidRPr="007C3E68" w:rsidRDefault="0010626F" w:rsidP="002D7F3B">
      <w:pPr>
        <w:ind w:firstLine="720"/>
        <w:jc w:val="both"/>
        <w:rPr>
          <w:rFonts w:asciiTheme="majorHAnsi" w:hAnsiTheme="majorHAnsi"/>
          <w:sz w:val="16"/>
          <w:szCs w:val="16"/>
        </w:rPr>
      </w:pPr>
    </w:p>
  </w:footnote>
  <w:footnote w:id="143">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Article 5 of the American Convention establishes: “1. </w:t>
      </w:r>
      <w:r w:rsidRPr="007C3E68">
        <w:rPr>
          <w:rFonts w:asciiTheme="majorHAnsi" w:hAnsiTheme="majorHAnsi"/>
          <w:sz w:val="16"/>
          <w:szCs w:val="16"/>
          <w:bdr w:val="none" w:sz="0" w:space="0" w:color="auto" w:frame="1"/>
        </w:rPr>
        <w:t>Every person has the right to have his physical, mental, and moral integrity respected</w:t>
      </w:r>
      <w:r w:rsidRPr="007C3E68">
        <w:rPr>
          <w:rFonts w:asciiTheme="majorHAnsi" w:hAnsiTheme="majorHAnsi"/>
          <w:sz w:val="16"/>
          <w:szCs w:val="16"/>
        </w:rPr>
        <w:t>.//2. </w:t>
      </w:r>
      <w:r w:rsidRPr="007C3E68">
        <w:rPr>
          <w:rFonts w:asciiTheme="majorHAnsi" w:hAnsiTheme="majorHAnsi"/>
          <w:sz w:val="16"/>
          <w:szCs w:val="16"/>
          <w:bdr w:val="none" w:sz="0" w:space="0" w:color="auto" w:frame="1"/>
        </w:rPr>
        <w:t>No one shall be subjected to torture or to cruel, inhuman, or degrading punishment or treatment. All persons deprived of their liberty shall be treated with respect for the inherent dignity of the human person</w:t>
      </w:r>
      <w:r w:rsidRPr="007C3E68">
        <w:rPr>
          <w:rFonts w:asciiTheme="majorHAnsi" w:hAnsiTheme="majorHAnsi"/>
          <w:sz w:val="16"/>
          <w:szCs w:val="16"/>
        </w:rPr>
        <w:t>.”</w:t>
      </w:r>
    </w:p>
    <w:p w:rsidR="0010626F" w:rsidRPr="007C3E68" w:rsidRDefault="0010626F" w:rsidP="002D7F3B">
      <w:pPr>
        <w:pStyle w:val="FootnoteText"/>
        <w:ind w:firstLine="720"/>
        <w:jc w:val="both"/>
        <w:rPr>
          <w:rFonts w:asciiTheme="majorHAnsi" w:hAnsiTheme="majorHAnsi"/>
          <w:sz w:val="16"/>
          <w:szCs w:val="16"/>
        </w:rPr>
      </w:pPr>
    </w:p>
  </w:footnote>
  <w:footnote w:id="144">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Ratified by the State on November 26, 1996. </w:t>
      </w:r>
    </w:p>
    <w:p w:rsidR="0010626F" w:rsidRPr="007C3E68" w:rsidRDefault="0010626F" w:rsidP="002D7F3B">
      <w:pPr>
        <w:pStyle w:val="FootnoteText"/>
        <w:ind w:firstLine="720"/>
        <w:jc w:val="both"/>
        <w:rPr>
          <w:rFonts w:asciiTheme="majorHAnsi" w:hAnsiTheme="majorHAnsi"/>
          <w:sz w:val="16"/>
          <w:szCs w:val="16"/>
        </w:rPr>
      </w:pPr>
    </w:p>
  </w:footnote>
  <w:footnote w:id="145">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IACHR. Report No. 101/01. Case 10.247 et. al.. Extrajudicial Executions and Forced Disappearances of Persons. Peru. December 10, 2001.. Para. 178; IACHR. Complaint before the Inter-American Court, Case No. 11.324, Narciso González et al., Dominican Republic, October 2, 2010, para. 103; IACHR. Complaint before the Inter-American Court, Case No. 12.517, Gregoria Herminia Contreras et al., El Salvador, June 28, 2010, para. 131; I/A Court H.R., </w:t>
      </w:r>
      <w:r w:rsidRPr="007C3E68">
        <w:rPr>
          <w:rFonts w:asciiTheme="majorHAnsi" w:hAnsiTheme="majorHAnsi"/>
          <w:iCs/>
          <w:sz w:val="16"/>
          <w:szCs w:val="16"/>
          <w:bdr w:val="none" w:sz="0" w:space="0" w:color="auto" w:frame="1"/>
        </w:rPr>
        <w:t>Case of Goiburú et al. v. Paraguay</w:t>
      </w:r>
      <w:r w:rsidRPr="007C3E68">
        <w:rPr>
          <w:rFonts w:asciiTheme="majorHAnsi" w:hAnsiTheme="majorHAnsi"/>
          <w:sz w:val="16"/>
          <w:szCs w:val="16"/>
          <w:bdr w:val="none" w:sz="0" w:space="0" w:color="auto" w:frame="1"/>
        </w:rPr>
        <w:t>. Merits, Reparations and Costs. Judgment of September 22, 2006. Series C No. 153.</w:t>
      </w:r>
      <w:r w:rsidRPr="007C3E68">
        <w:rPr>
          <w:rFonts w:asciiTheme="majorHAnsi" w:hAnsiTheme="majorHAnsi"/>
          <w:sz w:val="16"/>
          <w:szCs w:val="16"/>
        </w:rPr>
        <w:t> Para. 82; I/A Court H.R., </w:t>
      </w:r>
      <w:r w:rsidRPr="007C3E68">
        <w:rPr>
          <w:rFonts w:asciiTheme="majorHAnsi" w:hAnsiTheme="majorHAnsi"/>
          <w:iCs/>
          <w:sz w:val="16"/>
          <w:szCs w:val="16"/>
          <w:bdr w:val="none" w:sz="0" w:space="0" w:color="auto" w:frame="1"/>
        </w:rPr>
        <w:t>Case of Gómez Palomino v. Peru</w:t>
      </w:r>
      <w:r w:rsidRPr="007C3E68">
        <w:rPr>
          <w:rFonts w:asciiTheme="majorHAnsi" w:hAnsiTheme="majorHAnsi"/>
          <w:sz w:val="16"/>
          <w:szCs w:val="16"/>
          <w:bdr w:val="none" w:sz="0" w:space="0" w:color="auto" w:frame="1"/>
        </w:rPr>
        <w:t>. Merits, Reparations and Costs. Judgment of November 22, 2005. Series C No. 136.</w:t>
      </w:r>
      <w:r w:rsidRPr="007C3E68">
        <w:rPr>
          <w:rFonts w:asciiTheme="majorHAnsi" w:hAnsiTheme="majorHAnsi"/>
          <w:sz w:val="16"/>
          <w:szCs w:val="16"/>
        </w:rPr>
        <w:t>Para. 92; I/A Court H.R., </w:t>
      </w:r>
      <w:r w:rsidRPr="007C3E68">
        <w:rPr>
          <w:rFonts w:asciiTheme="majorHAnsi" w:hAnsiTheme="majorHAnsi"/>
          <w:iCs/>
          <w:sz w:val="16"/>
          <w:szCs w:val="16"/>
          <w:bdr w:val="none" w:sz="0" w:space="0" w:color="auto" w:frame="1"/>
        </w:rPr>
        <w:t>Case of the Serrano Cruz Sisters v. El Salvador</w:t>
      </w:r>
      <w:r w:rsidRPr="007C3E68">
        <w:rPr>
          <w:rFonts w:asciiTheme="majorHAnsi" w:hAnsiTheme="majorHAnsi"/>
          <w:sz w:val="16"/>
          <w:szCs w:val="16"/>
          <w:bdr w:val="none" w:sz="0" w:space="0" w:color="auto" w:frame="1"/>
        </w:rPr>
        <w:t>. Preliminary Objections. Judgment of November 23, 2004. Series C No. 118</w:t>
      </w:r>
      <w:r w:rsidRPr="007C3E68">
        <w:rPr>
          <w:rFonts w:asciiTheme="majorHAnsi" w:hAnsiTheme="majorHAnsi"/>
          <w:sz w:val="16"/>
          <w:szCs w:val="16"/>
        </w:rPr>
        <w:t>, paras. 100 to 106; I/A Court H.R., </w:t>
      </w:r>
      <w:r w:rsidRPr="007C3E68">
        <w:rPr>
          <w:rFonts w:asciiTheme="majorHAnsi" w:hAnsiTheme="majorHAnsi"/>
          <w:iCs/>
          <w:sz w:val="16"/>
          <w:szCs w:val="16"/>
        </w:rPr>
        <w:t>Case of Molina Theissen v. Guatemala</w:t>
      </w:r>
      <w:r w:rsidRPr="007C3E68">
        <w:rPr>
          <w:rFonts w:asciiTheme="majorHAnsi" w:hAnsiTheme="majorHAnsi"/>
          <w:sz w:val="16"/>
          <w:szCs w:val="16"/>
        </w:rPr>
        <w:t>. Reparations. (Art.63.1 of the American Convention on Human Rights) Judgment of July 3, 2004. Series C No. 108, para. 41. </w:t>
      </w:r>
    </w:p>
    <w:p w:rsidR="0010626F" w:rsidRPr="007C3E68" w:rsidRDefault="0010626F" w:rsidP="002D7F3B">
      <w:pPr>
        <w:ind w:firstLine="720"/>
        <w:jc w:val="both"/>
        <w:rPr>
          <w:rFonts w:asciiTheme="majorHAnsi" w:hAnsiTheme="majorHAnsi"/>
          <w:sz w:val="16"/>
          <w:szCs w:val="16"/>
        </w:rPr>
      </w:pPr>
    </w:p>
  </w:footnote>
  <w:footnote w:id="146">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Anzualdo-Castro v. Peru</w:t>
      </w:r>
      <w:r w:rsidRPr="007C3E68">
        <w:rPr>
          <w:rFonts w:asciiTheme="majorHAnsi" w:hAnsiTheme="majorHAnsi"/>
          <w:sz w:val="16"/>
          <w:szCs w:val="16"/>
          <w:bdr w:val="none" w:sz="0" w:space="0" w:color="auto" w:frame="1"/>
        </w:rPr>
        <w:t>. Preliminary Objection, Merits, Reparations and costs. Judgment of September 22, 2009. Series C No. 202</w:t>
      </w:r>
      <w:r w:rsidRPr="007C3E68">
        <w:rPr>
          <w:rFonts w:asciiTheme="majorHAnsi" w:hAnsiTheme="majorHAnsi"/>
          <w:sz w:val="16"/>
          <w:szCs w:val="16"/>
        </w:rPr>
        <w:t>, paras. 91-92; </w:t>
      </w:r>
      <w:r w:rsidRPr="007C3E68">
        <w:rPr>
          <w:rFonts w:asciiTheme="majorHAnsi" w:hAnsiTheme="majorHAnsi"/>
          <w:iCs/>
          <w:sz w:val="16"/>
          <w:szCs w:val="16"/>
          <w:bdr w:val="none" w:sz="0" w:space="0" w:color="auto" w:frame="1"/>
        </w:rPr>
        <w:t>Case of Radilla Pacheco v. Mexico</w:t>
      </w:r>
      <w:r w:rsidRPr="007C3E68">
        <w:rPr>
          <w:rFonts w:asciiTheme="majorHAnsi" w:hAnsiTheme="majorHAnsi"/>
          <w:sz w:val="16"/>
          <w:szCs w:val="16"/>
          <w:bdr w:val="none" w:sz="0" w:space="0" w:color="auto" w:frame="1"/>
        </w:rPr>
        <w:t>. Preliminary Objections, Merits, Reparations, and Costs. Judgment of November 23, 2009. Series C No. 209</w:t>
      </w:r>
      <w:r w:rsidRPr="007C3E68">
        <w:rPr>
          <w:rFonts w:asciiTheme="majorHAnsi" w:hAnsiTheme="majorHAnsi"/>
          <w:sz w:val="16"/>
          <w:szCs w:val="16"/>
        </w:rPr>
        <w:t>, para. 157. </w:t>
      </w:r>
    </w:p>
    <w:p w:rsidR="0010626F" w:rsidRPr="007C3E68" w:rsidRDefault="0010626F" w:rsidP="002D7F3B">
      <w:pPr>
        <w:ind w:firstLine="720"/>
        <w:jc w:val="both"/>
        <w:rPr>
          <w:rFonts w:asciiTheme="majorHAnsi" w:hAnsiTheme="majorHAnsi"/>
          <w:sz w:val="16"/>
          <w:szCs w:val="16"/>
        </w:rPr>
      </w:pPr>
    </w:p>
  </w:footnote>
  <w:footnote w:id="147">
    <w:p w:rsidR="00C807C8" w:rsidRPr="007C3E68" w:rsidRDefault="00C807C8" w:rsidP="002D7F3B">
      <w:pPr>
        <w:pStyle w:val="FootnoteText"/>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Gómez Palomino v. Peru</w:t>
      </w:r>
      <w:r w:rsidRPr="007C3E68">
        <w:rPr>
          <w:rFonts w:asciiTheme="majorHAnsi" w:hAnsiTheme="majorHAnsi"/>
          <w:sz w:val="16"/>
          <w:szCs w:val="16"/>
        </w:rPr>
        <w:t>, para. 97; </w:t>
      </w:r>
      <w:r w:rsidRPr="007C3E68">
        <w:rPr>
          <w:rFonts w:asciiTheme="majorHAnsi" w:hAnsiTheme="majorHAnsi"/>
          <w:iCs/>
          <w:sz w:val="16"/>
          <w:szCs w:val="16"/>
          <w:bdr w:val="none" w:sz="0" w:space="0" w:color="auto" w:frame="1"/>
        </w:rPr>
        <w:t>Case of Ticona Estrada et al. v. Bolivia</w:t>
      </w:r>
      <w:r w:rsidRPr="007C3E68">
        <w:rPr>
          <w:rFonts w:asciiTheme="majorHAnsi" w:hAnsiTheme="majorHAnsi"/>
          <w:sz w:val="16"/>
          <w:szCs w:val="16"/>
          <w:bdr w:val="none" w:sz="0" w:space="0" w:color="auto" w:frame="1"/>
        </w:rPr>
        <w:t>. Merits, Reparations and Costs. Judgment of November 27, 2008. Series C No. 191</w:t>
      </w:r>
      <w:r w:rsidRPr="007C3E68">
        <w:rPr>
          <w:rFonts w:asciiTheme="majorHAnsi" w:hAnsiTheme="majorHAnsi"/>
          <w:sz w:val="16"/>
          <w:szCs w:val="16"/>
        </w:rPr>
        <w:t>, para. 55; and </w:t>
      </w:r>
      <w:r w:rsidRPr="007C3E68">
        <w:rPr>
          <w:rFonts w:asciiTheme="majorHAnsi" w:hAnsiTheme="majorHAnsi"/>
          <w:iCs/>
          <w:sz w:val="16"/>
          <w:szCs w:val="16"/>
          <w:bdr w:val="none" w:sz="0" w:space="0" w:color="auto" w:frame="1"/>
        </w:rPr>
        <w:t>Case of Anzualdo-Castro v. Peru</w:t>
      </w:r>
      <w:r w:rsidRPr="007C3E68">
        <w:rPr>
          <w:rFonts w:asciiTheme="majorHAnsi" w:hAnsiTheme="majorHAnsi"/>
          <w:sz w:val="16"/>
          <w:szCs w:val="16"/>
          <w:bdr w:val="none" w:sz="0" w:space="0" w:color="auto" w:frame="1"/>
        </w:rPr>
        <w:t>. Preliminary Objection, Merits, Reparations and costs. Judgment of September 22, 2009. Series C No. 202</w:t>
      </w:r>
      <w:r w:rsidRPr="007C3E68">
        <w:rPr>
          <w:rFonts w:asciiTheme="majorHAnsi" w:hAnsiTheme="majorHAnsi"/>
          <w:sz w:val="16"/>
          <w:szCs w:val="16"/>
        </w:rPr>
        <w:t>, para. 60.</w:t>
      </w:r>
    </w:p>
    <w:p w:rsidR="0010626F" w:rsidRPr="007C3E68" w:rsidRDefault="0010626F" w:rsidP="002D7F3B">
      <w:pPr>
        <w:pStyle w:val="FootnoteText"/>
        <w:ind w:firstLine="720"/>
        <w:jc w:val="both"/>
        <w:rPr>
          <w:rFonts w:asciiTheme="majorHAnsi" w:hAnsiTheme="majorHAnsi"/>
          <w:sz w:val="16"/>
          <w:szCs w:val="16"/>
        </w:rPr>
      </w:pPr>
    </w:p>
  </w:footnote>
  <w:footnote w:id="148">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Cantoral Huamaní and García Santa Cruz v. Peru</w:t>
      </w:r>
      <w:r w:rsidRPr="007C3E68">
        <w:rPr>
          <w:rFonts w:asciiTheme="majorHAnsi" w:hAnsiTheme="majorHAnsi"/>
          <w:sz w:val="16"/>
          <w:szCs w:val="16"/>
          <w:bdr w:val="none" w:sz="0" w:space="0" w:color="auto" w:frame="1"/>
        </w:rPr>
        <w:t>. Preliminary Objection, Merits, Reparations and Costs. Judgment of July 10, 2007. Series C No. 167.</w:t>
      </w:r>
      <w:r w:rsidRPr="007C3E68">
        <w:rPr>
          <w:rFonts w:asciiTheme="majorHAnsi" w:hAnsiTheme="majorHAnsi"/>
          <w:sz w:val="16"/>
          <w:szCs w:val="16"/>
        </w:rPr>
        <w:t> para. 112; and I/A Court H.R., </w:t>
      </w:r>
      <w:r w:rsidRPr="007C3E68">
        <w:rPr>
          <w:rFonts w:asciiTheme="majorHAnsi" w:hAnsiTheme="majorHAnsi"/>
          <w:iCs/>
          <w:sz w:val="16"/>
          <w:szCs w:val="16"/>
          <w:bdr w:val="none" w:sz="0" w:space="0" w:color="auto" w:frame="1"/>
        </w:rPr>
        <w:t>Case of Bueno Alves v. Argentina</w:t>
      </w:r>
      <w:r w:rsidRPr="007C3E68">
        <w:rPr>
          <w:rFonts w:asciiTheme="majorHAnsi" w:hAnsiTheme="majorHAnsi"/>
          <w:sz w:val="16"/>
          <w:szCs w:val="16"/>
          <w:bdr w:val="none" w:sz="0" w:space="0" w:color="auto" w:frame="1"/>
        </w:rPr>
        <w:t>. Merits, Reparations and Costs. Judgment of May 11, 2007. Series C No. 164.</w:t>
      </w:r>
      <w:r w:rsidRPr="007C3E68">
        <w:rPr>
          <w:rFonts w:asciiTheme="majorHAnsi" w:hAnsiTheme="majorHAnsi"/>
          <w:sz w:val="16"/>
          <w:szCs w:val="16"/>
        </w:rPr>
        <w:t> para. 102. </w:t>
      </w:r>
    </w:p>
    <w:p w:rsidR="0010626F" w:rsidRPr="007C3E68" w:rsidRDefault="0010626F" w:rsidP="002D7F3B">
      <w:pPr>
        <w:jc w:val="both"/>
        <w:rPr>
          <w:rFonts w:asciiTheme="majorHAnsi" w:hAnsiTheme="majorHAnsi"/>
          <w:sz w:val="16"/>
          <w:szCs w:val="16"/>
        </w:rPr>
      </w:pPr>
    </w:p>
  </w:footnote>
  <w:footnote w:id="149">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the Miguel Castro Castro Prison v. Peru</w:t>
      </w:r>
      <w:r w:rsidRPr="007C3E68">
        <w:rPr>
          <w:rFonts w:asciiTheme="majorHAnsi" w:hAnsiTheme="majorHAnsi"/>
          <w:sz w:val="16"/>
          <w:szCs w:val="16"/>
          <w:bdr w:val="none" w:sz="0" w:space="0" w:color="auto" w:frame="1"/>
        </w:rPr>
        <w:t>. Merits, Reparations and Costs. Judgment of November 25, 2006. Series C No. 160</w:t>
      </w:r>
      <w:r w:rsidRPr="007C3E68">
        <w:rPr>
          <w:rFonts w:asciiTheme="majorHAnsi" w:hAnsiTheme="majorHAnsi"/>
          <w:sz w:val="16"/>
          <w:szCs w:val="16"/>
        </w:rPr>
        <w:t>, para. 335; I/A Court H.R., </w:t>
      </w:r>
      <w:r w:rsidRPr="007C3E68">
        <w:rPr>
          <w:rFonts w:asciiTheme="majorHAnsi" w:hAnsiTheme="majorHAnsi"/>
          <w:iCs/>
          <w:sz w:val="16"/>
          <w:szCs w:val="16"/>
          <w:bdr w:val="none" w:sz="0" w:space="0" w:color="auto" w:frame="1"/>
        </w:rPr>
        <w:t>Case of Vargas Areco v. Paraguay</w:t>
      </w:r>
      <w:r w:rsidRPr="007C3E68">
        <w:rPr>
          <w:rFonts w:asciiTheme="majorHAnsi" w:hAnsiTheme="majorHAnsi"/>
          <w:sz w:val="16"/>
          <w:szCs w:val="16"/>
          <w:bdr w:val="none" w:sz="0" w:space="0" w:color="auto" w:frame="1"/>
        </w:rPr>
        <w:t>. Merits, Reparations and Costs. Judgment of September 26, 2006. Series C No. 155</w:t>
      </w:r>
      <w:r w:rsidRPr="007C3E68">
        <w:rPr>
          <w:rFonts w:asciiTheme="majorHAnsi" w:hAnsiTheme="majorHAnsi"/>
          <w:sz w:val="16"/>
          <w:szCs w:val="16"/>
        </w:rPr>
        <w:t>., para. 96; and  I/A Court H.R., </w:t>
      </w:r>
      <w:r w:rsidRPr="007C3E68">
        <w:rPr>
          <w:rFonts w:asciiTheme="majorHAnsi" w:hAnsiTheme="majorHAnsi"/>
          <w:iCs/>
          <w:sz w:val="16"/>
          <w:szCs w:val="16"/>
          <w:bdr w:val="none" w:sz="0" w:space="0" w:color="auto" w:frame="1"/>
        </w:rPr>
        <w:t>Case of Goiburú et al. v. Paraguay</w:t>
      </w:r>
      <w:r w:rsidRPr="007C3E68">
        <w:rPr>
          <w:rFonts w:asciiTheme="majorHAnsi" w:hAnsiTheme="majorHAnsi"/>
          <w:sz w:val="16"/>
          <w:szCs w:val="16"/>
          <w:bdr w:val="none" w:sz="0" w:space="0" w:color="auto" w:frame="1"/>
        </w:rPr>
        <w:t>. Merits, Reparations and Costs. Judgment of September 22, 2006. Series C No. 153</w:t>
      </w:r>
      <w:r w:rsidRPr="007C3E68">
        <w:rPr>
          <w:rFonts w:asciiTheme="majorHAnsi" w:hAnsiTheme="majorHAnsi"/>
          <w:sz w:val="16"/>
          <w:szCs w:val="16"/>
        </w:rPr>
        <w:t>, para. 96.  </w:t>
      </w:r>
    </w:p>
    <w:p w:rsidR="0010626F" w:rsidRPr="007C3E68" w:rsidRDefault="0010626F" w:rsidP="002D7F3B">
      <w:pPr>
        <w:jc w:val="both"/>
        <w:rPr>
          <w:rFonts w:asciiTheme="majorHAnsi" w:hAnsiTheme="majorHAnsi"/>
          <w:sz w:val="16"/>
          <w:szCs w:val="16"/>
        </w:rPr>
      </w:pPr>
    </w:p>
  </w:footnote>
  <w:footnote w:id="150">
    <w:p w:rsidR="00C807C8" w:rsidRPr="007C3E68" w:rsidRDefault="00C807C8" w:rsidP="002D7F3B">
      <w:pPr>
        <w:ind w:firstLine="720"/>
        <w:jc w:val="both"/>
        <w:rPr>
          <w:rFonts w:asciiTheme="majorHAnsi" w:hAnsiTheme="majorHAnsi"/>
          <w:sz w:val="16"/>
          <w:szCs w:val="16"/>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Cantoral Huamaní and García Santa Cruz v. Peru</w:t>
      </w:r>
      <w:r w:rsidRPr="007C3E68">
        <w:rPr>
          <w:rFonts w:asciiTheme="majorHAnsi" w:hAnsiTheme="majorHAnsi"/>
          <w:sz w:val="16"/>
          <w:szCs w:val="16"/>
          <w:bdr w:val="none" w:sz="0" w:space="0" w:color="auto" w:frame="1"/>
        </w:rPr>
        <w:t>. Preliminary Objection, Merits, Reparations and Costs. Judgment of July 10, 2007. Series C No. 167,</w:t>
      </w:r>
      <w:r w:rsidRPr="007C3E68">
        <w:rPr>
          <w:rFonts w:asciiTheme="majorHAnsi" w:hAnsiTheme="majorHAnsi"/>
          <w:sz w:val="16"/>
          <w:szCs w:val="16"/>
        </w:rPr>
        <w:t> para. 112; and I/A Court H.R., </w:t>
      </w:r>
      <w:r w:rsidRPr="007C3E68">
        <w:rPr>
          <w:rFonts w:asciiTheme="majorHAnsi" w:hAnsiTheme="majorHAnsi"/>
          <w:iCs/>
          <w:sz w:val="16"/>
          <w:szCs w:val="16"/>
          <w:bdr w:val="none" w:sz="0" w:space="0" w:color="auto" w:frame="1"/>
        </w:rPr>
        <w:t>Case of Vargas Areco v. Paraguay</w:t>
      </w:r>
      <w:r w:rsidRPr="007C3E68">
        <w:rPr>
          <w:rFonts w:asciiTheme="majorHAnsi" w:hAnsiTheme="majorHAnsi"/>
          <w:sz w:val="16"/>
          <w:szCs w:val="16"/>
          <w:bdr w:val="none" w:sz="0" w:space="0" w:color="auto" w:frame="1"/>
        </w:rPr>
        <w:t>. Merits, Reparations and Costs. Judgment of September 26, 2006. Series C No. 155.</w:t>
      </w:r>
      <w:r w:rsidRPr="007C3E68">
        <w:rPr>
          <w:rFonts w:asciiTheme="majorHAnsi" w:hAnsiTheme="majorHAnsi"/>
          <w:sz w:val="16"/>
          <w:szCs w:val="16"/>
        </w:rPr>
        <w:t> para. 96.</w:t>
      </w:r>
    </w:p>
    <w:p w:rsidR="0010626F" w:rsidRPr="007C3E68" w:rsidRDefault="0010626F" w:rsidP="002D7F3B">
      <w:pPr>
        <w:ind w:firstLine="720"/>
        <w:jc w:val="both"/>
        <w:rPr>
          <w:rFonts w:asciiTheme="majorHAnsi" w:hAnsiTheme="majorHAnsi"/>
          <w:sz w:val="16"/>
          <w:szCs w:val="16"/>
        </w:rPr>
      </w:pPr>
    </w:p>
  </w:footnote>
  <w:footnote w:id="151">
    <w:p w:rsidR="00C807C8" w:rsidRPr="0010626F" w:rsidRDefault="00C807C8" w:rsidP="002D7F3B">
      <w:pPr>
        <w:pStyle w:val="FootnoteText"/>
        <w:ind w:firstLine="720"/>
        <w:jc w:val="both"/>
        <w:rPr>
          <w:rFonts w:asciiTheme="majorHAnsi" w:hAnsiTheme="majorHAnsi"/>
          <w:sz w:val="16"/>
          <w:szCs w:val="16"/>
          <w:lang w:val="es-CO"/>
        </w:rPr>
      </w:pPr>
      <w:r w:rsidRPr="007C3E68">
        <w:rPr>
          <w:rStyle w:val="FootnoteReference"/>
          <w:rFonts w:asciiTheme="majorHAnsi" w:hAnsiTheme="majorHAnsi"/>
          <w:sz w:val="16"/>
          <w:szCs w:val="16"/>
        </w:rPr>
        <w:footnoteRef/>
      </w:r>
      <w:r w:rsidRPr="007C3E68">
        <w:rPr>
          <w:rFonts w:asciiTheme="majorHAnsi" w:hAnsiTheme="majorHAnsi"/>
          <w:sz w:val="16"/>
          <w:szCs w:val="16"/>
        </w:rPr>
        <w:t xml:space="preserve"> I/A Court H.R., </w:t>
      </w:r>
      <w:r w:rsidRPr="007C3E68">
        <w:rPr>
          <w:rFonts w:asciiTheme="majorHAnsi" w:hAnsiTheme="majorHAnsi"/>
          <w:iCs/>
          <w:sz w:val="16"/>
          <w:szCs w:val="16"/>
          <w:bdr w:val="none" w:sz="0" w:space="0" w:color="auto" w:frame="1"/>
        </w:rPr>
        <w:t>Case of Valle Jaramillo et al. v. Colombia</w:t>
      </w:r>
      <w:r w:rsidRPr="007C3E68">
        <w:rPr>
          <w:rFonts w:asciiTheme="majorHAnsi" w:hAnsiTheme="majorHAnsi"/>
          <w:sz w:val="16"/>
          <w:szCs w:val="16"/>
          <w:bdr w:val="none" w:sz="0" w:space="0" w:color="auto" w:frame="1"/>
        </w:rPr>
        <w:t>. Merits, Reparations and Costs. Judgment of November 27, 2008. Series C No. 192</w:t>
      </w:r>
      <w:r w:rsidRPr="007C3E68">
        <w:rPr>
          <w:rFonts w:asciiTheme="majorHAnsi" w:hAnsiTheme="majorHAnsi"/>
          <w:sz w:val="16"/>
          <w:szCs w:val="16"/>
        </w:rPr>
        <w:t>, para. 102; I/A Court H.R., </w:t>
      </w:r>
      <w:r w:rsidRPr="007C3E68">
        <w:rPr>
          <w:rFonts w:asciiTheme="majorHAnsi" w:hAnsiTheme="majorHAnsi"/>
          <w:iCs/>
          <w:sz w:val="16"/>
          <w:szCs w:val="16"/>
          <w:bdr w:val="none" w:sz="0" w:space="0" w:color="auto" w:frame="1"/>
        </w:rPr>
        <w:t>Case of the Rochela Massacre v. Colombia</w:t>
      </w:r>
      <w:r w:rsidRPr="007C3E68">
        <w:rPr>
          <w:rFonts w:asciiTheme="majorHAnsi" w:hAnsiTheme="majorHAnsi"/>
          <w:sz w:val="16"/>
          <w:szCs w:val="16"/>
          <w:bdr w:val="none" w:sz="0" w:space="0" w:color="auto" w:frame="1"/>
        </w:rPr>
        <w:t>. Merits, Reparations and Costs. Judgment of May 11, 2007. Series C No. 163</w:t>
      </w:r>
      <w:r w:rsidRPr="007C3E68">
        <w:rPr>
          <w:rFonts w:asciiTheme="majorHAnsi" w:hAnsiTheme="majorHAnsi"/>
          <w:sz w:val="16"/>
          <w:szCs w:val="16"/>
        </w:rPr>
        <w:t>, para. 195; I/A Court H.R., </w:t>
      </w:r>
      <w:r w:rsidRPr="007C3E68">
        <w:rPr>
          <w:rFonts w:asciiTheme="majorHAnsi" w:hAnsiTheme="majorHAnsi"/>
          <w:iCs/>
          <w:sz w:val="16"/>
          <w:szCs w:val="16"/>
          <w:bdr w:val="none" w:sz="0" w:space="0" w:color="auto" w:frame="1"/>
        </w:rPr>
        <w:t>Case of Heliodoro-Portugal v. Panama</w:t>
      </w:r>
      <w:r w:rsidRPr="007C3E68">
        <w:rPr>
          <w:rFonts w:asciiTheme="majorHAnsi" w:hAnsiTheme="majorHAnsi"/>
          <w:sz w:val="16"/>
          <w:szCs w:val="16"/>
          <w:bdr w:val="none" w:sz="0" w:space="0" w:color="auto" w:frame="1"/>
        </w:rPr>
        <w:t>. Preliminary Objections, Merits, Reparations, and Costs. Judgment of August 12, 2008. Series C No. 186</w:t>
      </w:r>
      <w:r w:rsidRPr="007C3E68">
        <w:rPr>
          <w:rFonts w:asciiTheme="majorHAnsi" w:hAnsiTheme="majorHAnsi"/>
          <w:sz w:val="16"/>
          <w:szCs w:val="16"/>
        </w:rPr>
        <w:t>, para. 146; and I/A Court H.R., </w:t>
      </w:r>
      <w:r w:rsidRPr="007C3E68">
        <w:rPr>
          <w:rFonts w:asciiTheme="majorHAnsi" w:hAnsiTheme="majorHAnsi"/>
          <w:iCs/>
          <w:sz w:val="16"/>
          <w:szCs w:val="16"/>
          <w:bdr w:val="none" w:sz="0" w:space="0" w:color="auto" w:frame="1"/>
        </w:rPr>
        <w:t>Case of García Prieto et al. v. El Salvador</w:t>
      </w:r>
      <w:r w:rsidRPr="007C3E68">
        <w:rPr>
          <w:rFonts w:asciiTheme="majorHAnsi" w:hAnsiTheme="majorHAnsi"/>
          <w:sz w:val="16"/>
          <w:szCs w:val="16"/>
          <w:bdr w:val="none" w:sz="0" w:space="0" w:color="auto" w:frame="1"/>
        </w:rPr>
        <w:t>. Judgment of November 20, 2007. Series C No. 168</w:t>
      </w:r>
      <w:r w:rsidRPr="007C3E68">
        <w:rPr>
          <w:rFonts w:asciiTheme="majorHAnsi" w:hAnsiTheme="majorHAnsi"/>
          <w:sz w:val="16"/>
          <w:szCs w:val="16"/>
        </w:rPr>
        <w:t>, para.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C8" w:rsidRDefault="00C807C8" w:rsidP="009137C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807C8" w:rsidRDefault="00C80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C8" w:rsidRDefault="00C80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D6" w:rsidRDefault="002033D6" w:rsidP="002033D6">
    <w:pPr>
      <w:pStyle w:val="Header"/>
      <w:tabs>
        <w:tab w:val="clear" w:pos="4320"/>
        <w:tab w:val="clear" w:pos="8640"/>
      </w:tabs>
      <w:jc w:val="center"/>
      <w:rPr>
        <w:sz w:val="22"/>
        <w:szCs w:val="22"/>
      </w:rPr>
    </w:pPr>
    <w:r>
      <w:rPr>
        <w:noProof/>
        <w:sz w:val="22"/>
        <w:szCs w:val="22"/>
        <w:lang w:val="es-UY" w:eastAsia="es-UY" w:bidi="ar-SA"/>
      </w:rPr>
      <w:drawing>
        <wp:inline distT="0" distB="0" distL="0" distR="0" wp14:anchorId="363CCA61" wp14:editId="552CA9E1">
          <wp:extent cx="2209800" cy="117396"/>
          <wp:effectExtent l="0" t="0" r="0" b="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C807C8" w:rsidRPr="002033D6" w:rsidRDefault="009166B2" w:rsidP="002033D6">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p w:rsidR="00C807C8" w:rsidRPr="00E848DB" w:rsidRDefault="00C807C8" w:rsidP="00E848DB">
    <w:pPr>
      <w:pStyle w:val="Header"/>
      <w:tabs>
        <w:tab w:val="clear" w:pos="4320"/>
        <w:tab w:val="clear" w:pos="8640"/>
      </w:tabs>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3E60058"/>
    <w:multiLevelType w:val="hybridMultilevel"/>
    <w:tmpl w:val="C390E5E2"/>
    <w:lvl w:ilvl="0" w:tplc="E9169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3979AB"/>
    <w:multiLevelType w:val="hybridMultilevel"/>
    <w:tmpl w:val="6BFAC114"/>
    <w:lvl w:ilvl="0" w:tplc="963E617E">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3B0C71"/>
    <w:multiLevelType w:val="multilevel"/>
    <w:tmpl w:val="820CA87C"/>
    <w:lvl w:ilvl="0">
      <w:start w:val="3"/>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D3523D7"/>
    <w:multiLevelType w:val="multilevel"/>
    <w:tmpl w:val="4AB204EC"/>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2CC61A5A"/>
    <w:lvl w:ilvl="0" w:tplc="4ADE775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CC36F6"/>
    <w:multiLevelType w:val="hybridMultilevel"/>
    <w:tmpl w:val="009824F4"/>
    <w:lvl w:ilvl="0" w:tplc="CE203FF4">
      <w:start w:val="24"/>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1"/>
  </w:num>
  <w:num w:numId="5">
    <w:abstractNumId w:val="46"/>
  </w:num>
  <w:num w:numId="6">
    <w:abstractNumId w:val="26"/>
  </w:num>
  <w:num w:numId="7">
    <w:abstractNumId w:val="6"/>
  </w:num>
  <w:num w:numId="8">
    <w:abstractNumId w:val="17"/>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3"/>
  </w:num>
  <w:num w:numId="37">
    <w:abstractNumId w:val="34"/>
  </w:num>
  <w:num w:numId="38">
    <w:abstractNumId w:val="35"/>
  </w:num>
  <w:num w:numId="39">
    <w:abstractNumId w:val="39"/>
  </w:num>
  <w:num w:numId="40">
    <w:abstractNumId w:val="40"/>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8"/>
  </w:num>
  <w:num w:numId="51">
    <w:abstractNumId w:val="20"/>
  </w:num>
  <w:num w:numId="52">
    <w:abstractNumId w:val="41"/>
  </w:num>
  <w:num w:numId="53">
    <w:abstractNumId w:val="49"/>
  </w:num>
  <w:num w:numId="54">
    <w:abstractNumId w:val="44"/>
  </w:num>
  <w:num w:numId="55">
    <w:abstractNumId w:val="11"/>
  </w:num>
  <w:num w:numId="56">
    <w:abstractNumId w:val="57"/>
  </w:num>
  <w:num w:numId="57">
    <w:abstractNumId w:val="38"/>
  </w:num>
  <w:num w:numId="58">
    <w:abstractNumId w:val="32"/>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characterSpacingControl w:val="doNotCompress"/>
  <w:hdrShapeDefaults>
    <o:shapedefaults v:ext="edit" spidmax="2049"/>
  </w:hdrShapeDefaults>
  <w:footnotePr>
    <w:footnote w:id="-1"/>
    <w:footnote w:id="0"/>
    <w:footnote w:id="1"/>
  </w:footnotePr>
  <w:endnotePr>
    <w:pos w:val="sectEnd"/>
    <w:endnote w:id="-1"/>
    <w:endnote w:id="0"/>
  </w:endnotePr>
  <w:compat>
    <w:useFELayout/>
    <w:compatSetting w:name="compatibilityMode" w:uri="http://schemas.microsoft.com/office/word" w:val="14"/>
  </w:compat>
  <w:rsids>
    <w:rsidRoot w:val="006B2D5C"/>
    <w:rsid w:val="0000036F"/>
    <w:rsid w:val="00000CDA"/>
    <w:rsid w:val="000070D7"/>
    <w:rsid w:val="000111A8"/>
    <w:rsid w:val="000111CF"/>
    <w:rsid w:val="0001788C"/>
    <w:rsid w:val="00036A8A"/>
    <w:rsid w:val="00040C3A"/>
    <w:rsid w:val="000425DC"/>
    <w:rsid w:val="00044FE4"/>
    <w:rsid w:val="0005581B"/>
    <w:rsid w:val="0005730B"/>
    <w:rsid w:val="00060D7E"/>
    <w:rsid w:val="000639C0"/>
    <w:rsid w:val="00070F3A"/>
    <w:rsid w:val="000716C5"/>
    <w:rsid w:val="000718D6"/>
    <w:rsid w:val="00075E23"/>
    <w:rsid w:val="00092F32"/>
    <w:rsid w:val="0009344A"/>
    <w:rsid w:val="00094AB5"/>
    <w:rsid w:val="00095F5A"/>
    <w:rsid w:val="00096B6E"/>
    <w:rsid w:val="000A575F"/>
    <w:rsid w:val="000A758A"/>
    <w:rsid w:val="000A77AE"/>
    <w:rsid w:val="000B0C26"/>
    <w:rsid w:val="000B4017"/>
    <w:rsid w:val="000B4CB5"/>
    <w:rsid w:val="000C4BE2"/>
    <w:rsid w:val="000C76E2"/>
    <w:rsid w:val="000D0B99"/>
    <w:rsid w:val="000D10DB"/>
    <w:rsid w:val="000E3985"/>
    <w:rsid w:val="000E55DE"/>
    <w:rsid w:val="0010626F"/>
    <w:rsid w:val="00115ECB"/>
    <w:rsid w:val="0013104F"/>
    <w:rsid w:val="00137EBA"/>
    <w:rsid w:val="00145EDC"/>
    <w:rsid w:val="001577D4"/>
    <w:rsid w:val="00160636"/>
    <w:rsid w:val="00161C8D"/>
    <w:rsid w:val="00165C20"/>
    <w:rsid w:val="00167A34"/>
    <w:rsid w:val="0018037F"/>
    <w:rsid w:val="00194F38"/>
    <w:rsid w:val="001A5F27"/>
    <w:rsid w:val="001A6022"/>
    <w:rsid w:val="001A7870"/>
    <w:rsid w:val="001B5D9D"/>
    <w:rsid w:val="001C1B41"/>
    <w:rsid w:val="001D02B2"/>
    <w:rsid w:val="001E1D8A"/>
    <w:rsid w:val="001F1606"/>
    <w:rsid w:val="001F226A"/>
    <w:rsid w:val="001F34DD"/>
    <w:rsid w:val="001F6591"/>
    <w:rsid w:val="001F776B"/>
    <w:rsid w:val="00202702"/>
    <w:rsid w:val="00202B68"/>
    <w:rsid w:val="002033D6"/>
    <w:rsid w:val="00210E0E"/>
    <w:rsid w:val="002213CF"/>
    <w:rsid w:val="002214C9"/>
    <w:rsid w:val="00233AE5"/>
    <w:rsid w:val="00236BA5"/>
    <w:rsid w:val="002422C7"/>
    <w:rsid w:val="00247403"/>
    <w:rsid w:val="00247542"/>
    <w:rsid w:val="00252BA7"/>
    <w:rsid w:val="00252F1B"/>
    <w:rsid w:val="00257893"/>
    <w:rsid w:val="00262E65"/>
    <w:rsid w:val="00263CD8"/>
    <w:rsid w:val="00266092"/>
    <w:rsid w:val="00266B61"/>
    <w:rsid w:val="0026712A"/>
    <w:rsid w:val="002704DB"/>
    <w:rsid w:val="0027159C"/>
    <w:rsid w:val="00292713"/>
    <w:rsid w:val="00295F57"/>
    <w:rsid w:val="002A0EDA"/>
    <w:rsid w:val="002A1E7A"/>
    <w:rsid w:val="002A54F7"/>
    <w:rsid w:val="002B075C"/>
    <w:rsid w:val="002C1641"/>
    <w:rsid w:val="002C786E"/>
    <w:rsid w:val="002D1CA7"/>
    <w:rsid w:val="002D535B"/>
    <w:rsid w:val="002D71CD"/>
    <w:rsid w:val="002D7EA2"/>
    <w:rsid w:val="002D7F3B"/>
    <w:rsid w:val="002E15DF"/>
    <w:rsid w:val="002E187C"/>
    <w:rsid w:val="002E3698"/>
    <w:rsid w:val="002E6E57"/>
    <w:rsid w:val="002F5A75"/>
    <w:rsid w:val="00300A1E"/>
    <w:rsid w:val="00301075"/>
    <w:rsid w:val="00302733"/>
    <w:rsid w:val="00307B6F"/>
    <w:rsid w:val="00310E94"/>
    <w:rsid w:val="00311A4F"/>
    <w:rsid w:val="00314078"/>
    <w:rsid w:val="003214CA"/>
    <w:rsid w:val="00322450"/>
    <w:rsid w:val="003246B5"/>
    <w:rsid w:val="00324D9C"/>
    <w:rsid w:val="00326126"/>
    <w:rsid w:val="00327C5A"/>
    <w:rsid w:val="00327CFC"/>
    <w:rsid w:val="00330440"/>
    <w:rsid w:val="0033169F"/>
    <w:rsid w:val="00331986"/>
    <w:rsid w:val="00332D96"/>
    <w:rsid w:val="00333955"/>
    <w:rsid w:val="00333B09"/>
    <w:rsid w:val="003414AC"/>
    <w:rsid w:val="00353C1E"/>
    <w:rsid w:val="00356185"/>
    <w:rsid w:val="003568FC"/>
    <w:rsid w:val="00360380"/>
    <w:rsid w:val="00360A7B"/>
    <w:rsid w:val="003674EE"/>
    <w:rsid w:val="003714D1"/>
    <w:rsid w:val="00377625"/>
    <w:rsid w:val="00383DDD"/>
    <w:rsid w:val="00386CF0"/>
    <w:rsid w:val="00387837"/>
    <w:rsid w:val="003A7E26"/>
    <w:rsid w:val="003C32BC"/>
    <w:rsid w:val="003C7976"/>
    <w:rsid w:val="003D3D22"/>
    <w:rsid w:val="003D7EC0"/>
    <w:rsid w:val="003E277C"/>
    <w:rsid w:val="003F1BBF"/>
    <w:rsid w:val="003F7AB3"/>
    <w:rsid w:val="004107CA"/>
    <w:rsid w:val="0041451B"/>
    <w:rsid w:val="004165C2"/>
    <w:rsid w:val="0042126D"/>
    <w:rsid w:val="0043116D"/>
    <w:rsid w:val="00444879"/>
    <w:rsid w:val="00450A4A"/>
    <w:rsid w:val="00453C6D"/>
    <w:rsid w:val="004666FB"/>
    <w:rsid w:val="00467B7E"/>
    <w:rsid w:val="00482570"/>
    <w:rsid w:val="0049419D"/>
    <w:rsid w:val="00497B63"/>
    <w:rsid w:val="004A0B6A"/>
    <w:rsid w:val="004A539A"/>
    <w:rsid w:val="004B2762"/>
    <w:rsid w:val="004B2775"/>
    <w:rsid w:val="004B3957"/>
    <w:rsid w:val="004B7EB6"/>
    <w:rsid w:val="004C07D0"/>
    <w:rsid w:val="004C2009"/>
    <w:rsid w:val="004C4B22"/>
    <w:rsid w:val="004C4B62"/>
    <w:rsid w:val="004D6025"/>
    <w:rsid w:val="004D72BC"/>
    <w:rsid w:val="004E7C7F"/>
    <w:rsid w:val="004F1745"/>
    <w:rsid w:val="00501399"/>
    <w:rsid w:val="00507BC4"/>
    <w:rsid w:val="005128E4"/>
    <w:rsid w:val="005134EE"/>
    <w:rsid w:val="00525560"/>
    <w:rsid w:val="00526768"/>
    <w:rsid w:val="00532F99"/>
    <w:rsid w:val="005335BB"/>
    <w:rsid w:val="005357A6"/>
    <w:rsid w:val="00544C49"/>
    <w:rsid w:val="005521B5"/>
    <w:rsid w:val="0057402A"/>
    <w:rsid w:val="005771D0"/>
    <w:rsid w:val="00591272"/>
    <w:rsid w:val="0059191A"/>
    <w:rsid w:val="005921FF"/>
    <w:rsid w:val="00593AB3"/>
    <w:rsid w:val="005A6D0E"/>
    <w:rsid w:val="005A7DD7"/>
    <w:rsid w:val="005B222D"/>
    <w:rsid w:val="005B52B0"/>
    <w:rsid w:val="005B59F1"/>
    <w:rsid w:val="005B6806"/>
    <w:rsid w:val="005C00F9"/>
    <w:rsid w:val="005C2B5C"/>
    <w:rsid w:val="005C4225"/>
    <w:rsid w:val="005C5FC6"/>
    <w:rsid w:val="005D1AEA"/>
    <w:rsid w:val="005F0F33"/>
    <w:rsid w:val="00600DEB"/>
    <w:rsid w:val="00603CCC"/>
    <w:rsid w:val="0061161A"/>
    <w:rsid w:val="00613027"/>
    <w:rsid w:val="00616697"/>
    <w:rsid w:val="00627C9F"/>
    <w:rsid w:val="006311DA"/>
    <w:rsid w:val="006311E9"/>
    <w:rsid w:val="00632354"/>
    <w:rsid w:val="00632938"/>
    <w:rsid w:val="00642810"/>
    <w:rsid w:val="00652333"/>
    <w:rsid w:val="00653768"/>
    <w:rsid w:val="00667F17"/>
    <w:rsid w:val="00674A3C"/>
    <w:rsid w:val="0068009E"/>
    <w:rsid w:val="006A17D2"/>
    <w:rsid w:val="006A73E6"/>
    <w:rsid w:val="006A7766"/>
    <w:rsid w:val="006B2D5C"/>
    <w:rsid w:val="006B3937"/>
    <w:rsid w:val="006B58E2"/>
    <w:rsid w:val="006C4EB1"/>
    <w:rsid w:val="006E0166"/>
    <w:rsid w:val="006E7B34"/>
    <w:rsid w:val="0070086A"/>
    <w:rsid w:val="00701B24"/>
    <w:rsid w:val="007219A4"/>
    <w:rsid w:val="00741584"/>
    <w:rsid w:val="00743310"/>
    <w:rsid w:val="00745899"/>
    <w:rsid w:val="00753476"/>
    <w:rsid w:val="00757535"/>
    <w:rsid w:val="00760726"/>
    <w:rsid w:val="007607C4"/>
    <w:rsid w:val="00760A71"/>
    <w:rsid w:val="0076643F"/>
    <w:rsid w:val="00770B87"/>
    <w:rsid w:val="007712F0"/>
    <w:rsid w:val="00777259"/>
    <w:rsid w:val="00786E2B"/>
    <w:rsid w:val="00796965"/>
    <w:rsid w:val="00796AFE"/>
    <w:rsid w:val="007A2F70"/>
    <w:rsid w:val="007A5C4D"/>
    <w:rsid w:val="007A679C"/>
    <w:rsid w:val="007A6A52"/>
    <w:rsid w:val="007C2E4A"/>
    <w:rsid w:val="007C3334"/>
    <w:rsid w:val="007C3E68"/>
    <w:rsid w:val="007C52BB"/>
    <w:rsid w:val="007C5778"/>
    <w:rsid w:val="007C6CB9"/>
    <w:rsid w:val="007D2B98"/>
    <w:rsid w:val="007E0740"/>
    <w:rsid w:val="007E433C"/>
    <w:rsid w:val="0080234C"/>
    <w:rsid w:val="00803F1C"/>
    <w:rsid w:val="0080600E"/>
    <w:rsid w:val="00817279"/>
    <w:rsid w:val="00817612"/>
    <w:rsid w:val="00825970"/>
    <w:rsid w:val="00833834"/>
    <w:rsid w:val="00837C45"/>
    <w:rsid w:val="00846355"/>
    <w:rsid w:val="00853419"/>
    <w:rsid w:val="00854069"/>
    <w:rsid w:val="008576F5"/>
    <w:rsid w:val="008606CD"/>
    <w:rsid w:val="0086070C"/>
    <w:rsid w:val="00862C2E"/>
    <w:rsid w:val="00874765"/>
    <w:rsid w:val="00897E12"/>
    <w:rsid w:val="008A4B56"/>
    <w:rsid w:val="008A6C2E"/>
    <w:rsid w:val="008C3007"/>
    <w:rsid w:val="008C3DAE"/>
    <w:rsid w:val="008D43BA"/>
    <w:rsid w:val="008E3759"/>
    <w:rsid w:val="0090024F"/>
    <w:rsid w:val="009041DC"/>
    <w:rsid w:val="009104B4"/>
    <w:rsid w:val="009137C3"/>
    <w:rsid w:val="009166B2"/>
    <w:rsid w:val="00925FCD"/>
    <w:rsid w:val="00931273"/>
    <w:rsid w:val="0093441A"/>
    <w:rsid w:val="00954BF7"/>
    <w:rsid w:val="009564A0"/>
    <w:rsid w:val="00965DF5"/>
    <w:rsid w:val="0096706E"/>
    <w:rsid w:val="00981FBA"/>
    <w:rsid w:val="00983884"/>
    <w:rsid w:val="00990818"/>
    <w:rsid w:val="00991B77"/>
    <w:rsid w:val="00992837"/>
    <w:rsid w:val="00996FC1"/>
    <w:rsid w:val="0099780A"/>
    <w:rsid w:val="009B0DA4"/>
    <w:rsid w:val="009B37D9"/>
    <w:rsid w:val="009B381B"/>
    <w:rsid w:val="009C3B91"/>
    <w:rsid w:val="009D7611"/>
    <w:rsid w:val="009E53DE"/>
    <w:rsid w:val="009E764E"/>
    <w:rsid w:val="00A057D5"/>
    <w:rsid w:val="00A239E7"/>
    <w:rsid w:val="00A25A36"/>
    <w:rsid w:val="00A25EEF"/>
    <w:rsid w:val="00A27532"/>
    <w:rsid w:val="00A43458"/>
    <w:rsid w:val="00A45FDE"/>
    <w:rsid w:val="00A528D1"/>
    <w:rsid w:val="00A55A07"/>
    <w:rsid w:val="00A66BE5"/>
    <w:rsid w:val="00A71473"/>
    <w:rsid w:val="00A81654"/>
    <w:rsid w:val="00A84697"/>
    <w:rsid w:val="00A87ED7"/>
    <w:rsid w:val="00A9374A"/>
    <w:rsid w:val="00AB4CDD"/>
    <w:rsid w:val="00AB6E2C"/>
    <w:rsid w:val="00AD37C1"/>
    <w:rsid w:val="00AD59A4"/>
    <w:rsid w:val="00AD5B69"/>
    <w:rsid w:val="00AE3A4A"/>
    <w:rsid w:val="00AE40B6"/>
    <w:rsid w:val="00AE4A5B"/>
    <w:rsid w:val="00AE66EC"/>
    <w:rsid w:val="00AE6F91"/>
    <w:rsid w:val="00AF5571"/>
    <w:rsid w:val="00B00BA1"/>
    <w:rsid w:val="00B039BC"/>
    <w:rsid w:val="00B167E9"/>
    <w:rsid w:val="00B17682"/>
    <w:rsid w:val="00B21B54"/>
    <w:rsid w:val="00B314DB"/>
    <w:rsid w:val="00B31EBE"/>
    <w:rsid w:val="00B3718B"/>
    <w:rsid w:val="00B4632A"/>
    <w:rsid w:val="00B509A3"/>
    <w:rsid w:val="00B50D3C"/>
    <w:rsid w:val="00B55CDC"/>
    <w:rsid w:val="00B6227D"/>
    <w:rsid w:val="00B717A6"/>
    <w:rsid w:val="00B7649A"/>
    <w:rsid w:val="00B769F6"/>
    <w:rsid w:val="00B77544"/>
    <w:rsid w:val="00B814CD"/>
    <w:rsid w:val="00B81D77"/>
    <w:rsid w:val="00B9087D"/>
    <w:rsid w:val="00BA009F"/>
    <w:rsid w:val="00BA276C"/>
    <w:rsid w:val="00BB306F"/>
    <w:rsid w:val="00BC6A7E"/>
    <w:rsid w:val="00BD232B"/>
    <w:rsid w:val="00BD4B89"/>
    <w:rsid w:val="00BD663D"/>
    <w:rsid w:val="00BE077F"/>
    <w:rsid w:val="00BF3E45"/>
    <w:rsid w:val="00C13247"/>
    <w:rsid w:val="00C15813"/>
    <w:rsid w:val="00C21762"/>
    <w:rsid w:val="00C23795"/>
    <w:rsid w:val="00C24543"/>
    <w:rsid w:val="00C256A2"/>
    <w:rsid w:val="00C335A8"/>
    <w:rsid w:val="00C33A94"/>
    <w:rsid w:val="00C3492D"/>
    <w:rsid w:val="00C52CE8"/>
    <w:rsid w:val="00C55560"/>
    <w:rsid w:val="00C6553F"/>
    <w:rsid w:val="00C66B72"/>
    <w:rsid w:val="00C730D5"/>
    <w:rsid w:val="00C807C8"/>
    <w:rsid w:val="00C91054"/>
    <w:rsid w:val="00C9567A"/>
    <w:rsid w:val="00C95761"/>
    <w:rsid w:val="00C96FD1"/>
    <w:rsid w:val="00C97CA3"/>
    <w:rsid w:val="00CB005A"/>
    <w:rsid w:val="00CB17E0"/>
    <w:rsid w:val="00CB2660"/>
    <w:rsid w:val="00CB67E0"/>
    <w:rsid w:val="00CC4951"/>
    <w:rsid w:val="00CC57A7"/>
    <w:rsid w:val="00CC5E90"/>
    <w:rsid w:val="00CD046C"/>
    <w:rsid w:val="00CD6719"/>
    <w:rsid w:val="00CE2DA4"/>
    <w:rsid w:val="00CE5199"/>
    <w:rsid w:val="00CE66D5"/>
    <w:rsid w:val="00CF3B87"/>
    <w:rsid w:val="00CF54A4"/>
    <w:rsid w:val="00CF63C5"/>
    <w:rsid w:val="00D17D1C"/>
    <w:rsid w:val="00D268E6"/>
    <w:rsid w:val="00D34786"/>
    <w:rsid w:val="00D40A1E"/>
    <w:rsid w:val="00D42817"/>
    <w:rsid w:val="00D53157"/>
    <w:rsid w:val="00D66143"/>
    <w:rsid w:val="00D712D3"/>
    <w:rsid w:val="00D71422"/>
    <w:rsid w:val="00D7145E"/>
    <w:rsid w:val="00D7558D"/>
    <w:rsid w:val="00D81D92"/>
    <w:rsid w:val="00D92052"/>
    <w:rsid w:val="00D93446"/>
    <w:rsid w:val="00DA7B5F"/>
    <w:rsid w:val="00DB0D6C"/>
    <w:rsid w:val="00DC1E41"/>
    <w:rsid w:val="00DD4B45"/>
    <w:rsid w:val="00DE4E65"/>
    <w:rsid w:val="00DE733C"/>
    <w:rsid w:val="00DF23D9"/>
    <w:rsid w:val="00DF49C8"/>
    <w:rsid w:val="00DF761C"/>
    <w:rsid w:val="00E0673D"/>
    <w:rsid w:val="00E15492"/>
    <w:rsid w:val="00E15666"/>
    <w:rsid w:val="00E43157"/>
    <w:rsid w:val="00E477A9"/>
    <w:rsid w:val="00E52724"/>
    <w:rsid w:val="00E533FF"/>
    <w:rsid w:val="00E709B3"/>
    <w:rsid w:val="00E832F9"/>
    <w:rsid w:val="00E848DB"/>
    <w:rsid w:val="00E84B2D"/>
    <w:rsid w:val="00E8789F"/>
    <w:rsid w:val="00E96DC0"/>
    <w:rsid w:val="00E96EC7"/>
    <w:rsid w:val="00E97A27"/>
    <w:rsid w:val="00E97B71"/>
    <w:rsid w:val="00EA5725"/>
    <w:rsid w:val="00EB454D"/>
    <w:rsid w:val="00EC3248"/>
    <w:rsid w:val="00EE3522"/>
    <w:rsid w:val="00EF619B"/>
    <w:rsid w:val="00F00B55"/>
    <w:rsid w:val="00F04DDA"/>
    <w:rsid w:val="00F1380F"/>
    <w:rsid w:val="00F14F0E"/>
    <w:rsid w:val="00F174FD"/>
    <w:rsid w:val="00F248AC"/>
    <w:rsid w:val="00F24C29"/>
    <w:rsid w:val="00F253CC"/>
    <w:rsid w:val="00F30F4D"/>
    <w:rsid w:val="00F362B5"/>
    <w:rsid w:val="00F44465"/>
    <w:rsid w:val="00F458C0"/>
    <w:rsid w:val="00F54993"/>
    <w:rsid w:val="00F56BA5"/>
    <w:rsid w:val="00F644E6"/>
    <w:rsid w:val="00F65FDE"/>
    <w:rsid w:val="00F84B01"/>
    <w:rsid w:val="00F87A14"/>
    <w:rsid w:val="00F91AD2"/>
    <w:rsid w:val="00F931B7"/>
    <w:rsid w:val="00F9653B"/>
    <w:rsid w:val="00FB62CF"/>
    <w:rsid w:val="00FC1CB4"/>
    <w:rsid w:val="00FC3EB4"/>
    <w:rsid w:val="00FC41E7"/>
    <w:rsid w:val="00FC6C58"/>
    <w:rsid w:val="00FE6B45"/>
    <w:rsid w:val="00FF5851"/>
    <w:rsid w:val="00FF6DAC"/>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02702"/>
    <w:pPr>
      <w:keepNext/>
      <w:keepLines/>
      <w:numPr>
        <w:numId w:val="53"/>
      </w:numPr>
      <w:tabs>
        <w:tab w:val="left" w:pos="1440"/>
      </w:tabs>
      <w:jc w:val="both"/>
      <w:outlineLvl w:val="0"/>
    </w:pPr>
    <w:rPr>
      <w:rFonts w:asciiTheme="majorHAnsi" w:eastAsiaTheme="majorEastAsia" w:hAnsiTheme="majorHAnsi" w:cstheme="majorBidi"/>
      <w:b/>
      <w:bCs/>
      <w:sz w:val="22"/>
      <w:szCs w:val="28"/>
    </w:rPr>
  </w:style>
  <w:style w:type="paragraph" w:styleId="Heading2">
    <w:name w:val="heading 2"/>
    <w:basedOn w:val="Normal"/>
    <w:next w:val="Normal"/>
    <w:link w:val="Heading2Char"/>
    <w:uiPriority w:val="9"/>
    <w:unhideWhenUsed/>
    <w:qFormat/>
    <w:rsid w:val="00202702"/>
    <w:pPr>
      <w:numPr>
        <w:numId w:val="55"/>
      </w:numPr>
      <w:jc w:val="both"/>
      <w:outlineLvl w:val="1"/>
    </w:pPr>
    <w:rPr>
      <w:rFonts w:asciiTheme="majorHAnsi" w:eastAsiaTheme="majorEastAsia" w:hAnsiTheme="majorHAnsi" w:cstheme="majorBidi"/>
      <w:b/>
      <w:bCs/>
      <w:sz w:val="22"/>
      <w:szCs w:val="26"/>
    </w:rPr>
  </w:style>
  <w:style w:type="paragraph" w:styleId="Heading3">
    <w:name w:val="heading 3"/>
    <w:basedOn w:val="Normal"/>
    <w:link w:val="Heading3Char"/>
    <w:uiPriority w:val="9"/>
    <w:qFormat/>
    <w:rsid w:val="00E84B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w:eastAsiaTheme="minorEastAsia" w:hAnsi="Times" w:cstheme="minorBidi"/>
      <w:b/>
      <w:bCs/>
      <w:sz w:val="27"/>
      <w:szCs w:val="27"/>
      <w:bdr w:val="none" w:sz="0" w:space="0" w:color="auto"/>
      <w:lang w:eastAsia="es-E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02702"/>
    <w:rPr>
      <w:rFonts w:asciiTheme="majorHAnsi" w:eastAsiaTheme="majorEastAsia" w:hAnsiTheme="majorHAnsi" w:cstheme="majorBidi"/>
      <w:b/>
      <w:bCs/>
      <w:sz w:val="22"/>
      <w:szCs w:val="28"/>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0A758A"/>
    <w:pPr>
      <w:tabs>
        <w:tab w:val="right" w:leader="dot" w:pos="9350"/>
      </w:tabs>
      <w:spacing w:after="100"/>
    </w:pPr>
    <w:rPr>
      <w:rFonts w:asciiTheme="majorHAnsi" w:hAnsiTheme="majorHAnsi"/>
      <w:b/>
      <w:noProof/>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202702"/>
    <w:rPr>
      <w:rFonts w:asciiTheme="majorHAnsi" w:eastAsiaTheme="majorEastAsia" w:hAnsiTheme="majorHAnsi" w:cstheme="majorBidi"/>
      <w:b/>
      <w:bCs/>
      <w:sz w:val="22"/>
      <w:szCs w:val="26"/>
    </w:rPr>
  </w:style>
  <w:style w:type="character" w:customStyle="1" w:styleId="BodyTextIndentChar">
    <w:name w:val="Body Text Indent Char"/>
    <w:link w:val="BodyTextIndent"/>
    <w:rsid w:val="00202702"/>
    <w:rPr>
      <w:rFonts w:eastAsia="Times New Roman"/>
      <w:color w:val="000000"/>
      <w:sz w:val="24"/>
      <w:szCs w:val="24"/>
      <w:u w:color="000000"/>
      <w:lang w:val="en-US"/>
    </w:rPr>
  </w:style>
  <w:style w:type="paragraph" w:customStyle="1" w:styleId="MediumList2-Accent41">
    <w:name w:val="Medium List 2 - Accent 41"/>
    <w:uiPriority w:val="34"/>
    <w:qFormat/>
    <w:rsid w:val="00202702"/>
    <w:pPr>
      <w:ind w:left="720"/>
    </w:pPr>
    <w:rPr>
      <w:rFonts w:ascii="Cambria" w:eastAsia="Cambria" w:hAnsi="Cambria" w:cs="Cambria"/>
      <w:color w:val="000000"/>
      <w:sz w:val="24"/>
      <w:szCs w:val="24"/>
      <w:u w:color="000000"/>
    </w:rPr>
  </w:style>
  <w:style w:type="paragraph" w:styleId="NormalWeb">
    <w:name w:val="Normal (Web)"/>
    <w:basedOn w:val="Normal"/>
    <w:uiPriority w:val="99"/>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apple-converted-space">
    <w:name w:val="apple-converted-space"/>
    <w:rsid w:val="00202702"/>
  </w:style>
  <w:style w:type="paragraph" w:customStyle="1" w:styleId="Style2">
    <w:name w:val="Style2"/>
    <w:basedOn w:val="Normal"/>
    <w:qFormat/>
    <w:rsid w:val="00202702"/>
    <w:pPr>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rPr>
  </w:style>
  <w:style w:type="paragraph" w:customStyle="1" w:styleId="ColorfulList-Accent12">
    <w:name w:val="Colorful List - Accent 12"/>
    <w:aliases w:val="Párrafo de lista1,List Paragraph1,List Paragraph11"/>
    <w:basedOn w:val="Normal"/>
    <w:link w:val="ColorfulList-Accent1Char"/>
    <w:uiPriority w:val="99"/>
    <w:qFormat/>
    <w:rsid w:val="00202702"/>
    <w:pPr>
      <w:ind w:left="720" w:right="720"/>
      <w:jc w:val="both"/>
    </w:pPr>
    <w:rPr>
      <w:rFonts w:ascii="Cambria" w:hAnsi="Cambria"/>
      <w:sz w:val="20"/>
      <w:szCs w:val="20"/>
    </w:rPr>
  </w:style>
  <w:style w:type="character" w:customStyle="1" w:styleId="ColorfulList-Accent1Char">
    <w:name w:val="Colorful List - Accent 1 Char"/>
    <w:aliases w:val="Párrafo de lista1 Char,List Paragraph1 Char,List Paragraph11 Char,List Paragraph Char"/>
    <w:link w:val="ColorfulList-Accent12"/>
    <w:uiPriority w:val="34"/>
    <w:locked/>
    <w:rsid w:val="00202702"/>
    <w:rPr>
      <w:rFonts w:ascii="Cambria" w:hAnsi="Cambria"/>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rPr>
  </w:style>
  <w:style w:type="paragraph" w:styleId="BodyTextIndent3">
    <w:name w:val="Body Text Indent 3"/>
    <w:basedOn w:val="Normal"/>
    <w:link w:val="BodyTextIndent3Char"/>
    <w:uiPriority w:val="99"/>
    <w:semiHidden/>
    <w:unhideWhenUsed/>
    <w:rsid w:val="002027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2702"/>
    <w:rPr>
      <w:sz w:val="16"/>
      <w:szCs w:val="16"/>
      <w:lang w:val="en-US" w:eastAsia="en-US"/>
    </w:rPr>
  </w:style>
  <w:style w:type="paragraph" w:customStyle="1" w:styleId="1">
    <w:name w:val="1"/>
    <w:basedOn w:val="Normal"/>
    <w:rsid w:val="00E067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paragraph" w:styleId="PlainText">
    <w:name w:val="Plain Text"/>
    <w:basedOn w:val="Normal"/>
    <w:link w:val="PlainTextChar"/>
    <w:uiPriority w:val="99"/>
    <w:unhideWhenUsed/>
    <w:rsid w:val="005B59F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5B59F1"/>
    <w:rPr>
      <w:rFonts w:ascii="Calibri" w:eastAsiaTheme="minorHAnsi" w:hAnsi="Calibri" w:cstheme="minorBidi"/>
      <w:sz w:val="22"/>
      <w:szCs w:val="21"/>
      <w:bdr w:val="none" w:sz="0" w:space="0" w:color="auto"/>
      <w:lang w:val="en-US" w:eastAsia="en-US"/>
    </w:rPr>
  </w:style>
  <w:style w:type="character" w:customStyle="1" w:styleId="Heading3Char">
    <w:name w:val="Heading 3 Char"/>
    <w:basedOn w:val="DefaultParagraphFont"/>
    <w:link w:val="Heading3"/>
    <w:uiPriority w:val="9"/>
    <w:rsid w:val="00E84B2D"/>
    <w:rPr>
      <w:rFonts w:ascii="Times" w:eastAsiaTheme="minorEastAsia" w:hAnsi="Times" w:cstheme="minorBidi"/>
      <w:b/>
      <w:bCs/>
      <w:sz w:val="27"/>
      <w:szCs w:val="27"/>
      <w:bdr w:val="none" w:sz="0" w:space="0" w:color="auto"/>
      <w:lang w:eastAsia="es-ES" w:bidi="ar-SA"/>
    </w:rPr>
  </w:style>
  <w:style w:type="character" w:customStyle="1" w:styleId="grame">
    <w:name w:val="grame"/>
    <w:basedOn w:val="DefaultParagraphFont"/>
    <w:rsid w:val="00E84B2D"/>
  </w:style>
  <w:style w:type="character" w:styleId="FollowedHyperlink">
    <w:name w:val="FollowedHyperlink"/>
    <w:basedOn w:val="DefaultParagraphFont"/>
    <w:uiPriority w:val="99"/>
    <w:semiHidden/>
    <w:unhideWhenUsed/>
    <w:rsid w:val="00E84B2D"/>
    <w:rPr>
      <w:color w:val="800080"/>
      <w:u w:val="single"/>
    </w:rPr>
  </w:style>
  <w:style w:type="character" w:customStyle="1" w:styleId="msoins0">
    <w:name w:val="msoins"/>
    <w:basedOn w:val="DefaultParagraphFont"/>
    <w:rsid w:val="00E84B2D"/>
  </w:style>
  <w:style w:type="paragraph" w:customStyle="1" w:styleId="style20">
    <w:name w:val="style2"/>
    <w:basedOn w:val="Normal"/>
    <w:rsid w:val="00E84B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eastAsia="es-ES" w:bidi="ar-SA"/>
    </w:rPr>
  </w:style>
  <w:style w:type="paragraph" w:styleId="HTMLPreformatted">
    <w:name w:val="HTML Preformatted"/>
    <w:basedOn w:val="Normal"/>
    <w:link w:val="HTMLPreformattedChar"/>
    <w:uiPriority w:val="99"/>
    <w:semiHidden/>
    <w:unhideWhenUsed/>
    <w:rsid w:val="00E84B2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lang w:eastAsia="es-ES" w:bidi="ar-SA"/>
    </w:rPr>
  </w:style>
  <w:style w:type="character" w:customStyle="1" w:styleId="HTMLPreformattedChar">
    <w:name w:val="HTML Preformatted Char"/>
    <w:basedOn w:val="DefaultParagraphFont"/>
    <w:link w:val="HTMLPreformatted"/>
    <w:uiPriority w:val="99"/>
    <w:semiHidden/>
    <w:rsid w:val="00E84B2D"/>
    <w:rPr>
      <w:rFonts w:ascii="Courier" w:eastAsiaTheme="minorEastAsia" w:hAnsi="Courier" w:cs="Courier"/>
      <w:bdr w:val="none" w:sz="0" w:space="0" w:color="auto"/>
      <w:lang w:eastAsia="es-ES" w:bidi="ar-SA"/>
    </w:rPr>
  </w:style>
  <w:style w:type="character" w:styleId="Strong">
    <w:name w:val="Strong"/>
    <w:basedOn w:val="DefaultParagraphFont"/>
    <w:uiPriority w:val="22"/>
    <w:qFormat/>
    <w:rsid w:val="00E84B2D"/>
    <w:rPr>
      <w:b/>
      <w:bCs/>
    </w:rPr>
  </w:style>
  <w:style w:type="paragraph" w:styleId="TOCHeading">
    <w:name w:val="TOC Heading"/>
    <w:basedOn w:val="Heading1"/>
    <w:next w:val="Normal"/>
    <w:uiPriority w:val="39"/>
    <w:unhideWhenUsed/>
    <w:qFormat/>
    <w:rsid w:val="000A758A"/>
    <w:pPr>
      <w:numPr>
        <w:numId w:val="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480" w:line="276" w:lineRule="auto"/>
      <w:jc w:val="left"/>
      <w:outlineLvl w:val="9"/>
    </w:pPr>
    <w:rPr>
      <w:color w:val="365F91" w:themeColor="accent1" w:themeShade="BF"/>
      <w:sz w:val="28"/>
      <w:bdr w:val="none" w:sz="0" w:space="0" w:color="auto"/>
      <w:lang w:eastAsia="ja-JP" w:bidi="ar-SA"/>
    </w:rPr>
  </w:style>
  <w:style w:type="paragraph" w:styleId="EndnoteText">
    <w:name w:val="endnote text"/>
    <w:basedOn w:val="Normal"/>
    <w:link w:val="EndnoteTextChar"/>
    <w:uiPriority w:val="99"/>
    <w:semiHidden/>
    <w:unhideWhenUsed/>
    <w:rsid w:val="00324D9C"/>
    <w:rPr>
      <w:sz w:val="20"/>
      <w:szCs w:val="20"/>
    </w:rPr>
  </w:style>
  <w:style w:type="character" w:customStyle="1" w:styleId="EndnoteTextChar">
    <w:name w:val="Endnote Text Char"/>
    <w:basedOn w:val="DefaultParagraphFont"/>
    <w:link w:val="EndnoteText"/>
    <w:uiPriority w:val="99"/>
    <w:semiHidden/>
    <w:rsid w:val="00324D9C"/>
  </w:style>
  <w:style w:type="character" w:styleId="EndnoteReference">
    <w:name w:val="endnote reference"/>
    <w:basedOn w:val="DefaultParagraphFont"/>
    <w:uiPriority w:val="99"/>
    <w:semiHidden/>
    <w:unhideWhenUsed/>
    <w:rsid w:val="00324D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02702"/>
    <w:pPr>
      <w:keepNext/>
      <w:keepLines/>
      <w:numPr>
        <w:numId w:val="53"/>
      </w:numPr>
      <w:tabs>
        <w:tab w:val="left" w:pos="1440"/>
      </w:tabs>
      <w:jc w:val="both"/>
      <w:outlineLvl w:val="0"/>
    </w:pPr>
    <w:rPr>
      <w:rFonts w:asciiTheme="majorHAnsi" w:eastAsiaTheme="majorEastAsia" w:hAnsiTheme="majorHAnsi" w:cstheme="majorBidi"/>
      <w:b/>
      <w:bCs/>
      <w:sz w:val="22"/>
      <w:szCs w:val="28"/>
    </w:rPr>
  </w:style>
  <w:style w:type="paragraph" w:styleId="Heading2">
    <w:name w:val="heading 2"/>
    <w:basedOn w:val="Normal"/>
    <w:next w:val="Normal"/>
    <w:link w:val="Heading2Char"/>
    <w:uiPriority w:val="9"/>
    <w:unhideWhenUsed/>
    <w:qFormat/>
    <w:rsid w:val="00202702"/>
    <w:pPr>
      <w:numPr>
        <w:numId w:val="55"/>
      </w:numPr>
      <w:jc w:val="both"/>
      <w:outlineLvl w:val="1"/>
    </w:pPr>
    <w:rPr>
      <w:rFonts w:asciiTheme="majorHAnsi" w:eastAsiaTheme="majorEastAsia" w:hAnsiTheme="majorHAnsi" w:cstheme="majorBidi"/>
      <w:b/>
      <w:bCs/>
      <w:sz w:val="22"/>
      <w:szCs w:val="26"/>
    </w:rPr>
  </w:style>
  <w:style w:type="paragraph" w:styleId="Heading3">
    <w:name w:val="heading 3"/>
    <w:basedOn w:val="Normal"/>
    <w:link w:val="Heading3Char"/>
    <w:uiPriority w:val="9"/>
    <w:qFormat/>
    <w:rsid w:val="00E84B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w:eastAsiaTheme="minorEastAsia" w:hAnsi="Times" w:cstheme="minorBidi"/>
      <w:b/>
      <w:bCs/>
      <w:sz w:val="27"/>
      <w:szCs w:val="27"/>
      <w:bdr w:val="none" w:sz="0" w:space="0" w:color="auto"/>
      <w:lang w:eastAsia="es-E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02702"/>
    <w:rPr>
      <w:rFonts w:asciiTheme="majorHAnsi" w:eastAsiaTheme="majorEastAsia" w:hAnsiTheme="majorHAnsi" w:cstheme="majorBidi"/>
      <w:b/>
      <w:bCs/>
      <w:sz w:val="22"/>
      <w:szCs w:val="28"/>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0A758A"/>
    <w:pPr>
      <w:tabs>
        <w:tab w:val="right" w:leader="dot" w:pos="9350"/>
      </w:tabs>
      <w:spacing w:after="100"/>
    </w:pPr>
    <w:rPr>
      <w:rFonts w:asciiTheme="majorHAnsi" w:hAnsiTheme="majorHAnsi"/>
      <w:b/>
      <w:noProof/>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202702"/>
    <w:rPr>
      <w:rFonts w:asciiTheme="majorHAnsi" w:eastAsiaTheme="majorEastAsia" w:hAnsiTheme="majorHAnsi" w:cstheme="majorBidi"/>
      <w:b/>
      <w:bCs/>
      <w:sz w:val="22"/>
      <w:szCs w:val="26"/>
    </w:rPr>
  </w:style>
  <w:style w:type="character" w:customStyle="1" w:styleId="BodyTextIndentChar">
    <w:name w:val="Body Text Indent Char"/>
    <w:link w:val="BodyTextIndent"/>
    <w:rsid w:val="00202702"/>
    <w:rPr>
      <w:rFonts w:eastAsia="Times New Roman"/>
      <w:color w:val="000000"/>
      <w:sz w:val="24"/>
      <w:szCs w:val="24"/>
      <w:u w:color="000000"/>
      <w:lang w:val="en-US"/>
    </w:rPr>
  </w:style>
  <w:style w:type="paragraph" w:customStyle="1" w:styleId="MediumList2-Accent41">
    <w:name w:val="Medium List 2 - Accent 41"/>
    <w:uiPriority w:val="34"/>
    <w:qFormat/>
    <w:rsid w:val="00202702"/>
    <w:pPr>
      <w:ind w:left="720"/>
    </w:pPr>
    <w:rPr>
      <w:rFonts w:ascii="Cambria" w:eastAsia="Cambria" w:hAnsi="Cambria" w:cs="Cambria"/>
      <w:color w:val="000000"/>
      <w:sz w:val="24"/>
      <w:szCs w:val="24"/>
      <w:u w:color="000000"/>
    </w:rPr>
  </w:style>
  <w:style w:type="paragraph" w:styleId="NormalWeb">
    <w:name w:val="Normal (Web)"/>
    <w:basedOn w:val="Normal"/>
    <w:uiPriority w:val="99"/>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apple-converted-space">
    <w:name w:val="apple-converted-space"/>
    <w:rsid w:val="00202702"/>
  </w:style>
  <w:style w:type="paragraph" w:customStyle="1" w:styleId="Style2">
    <w:name w:val="Style2"/>
    <w:basedOn w:val="Normal"/>
    <w:qFormat/>
    <w:rsid w:val="00202702"/>
    <w:pPr>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rPr>
  </w:style>
  <w:style w:type="paragraph" w:customStyle="1" w:styleId="ColorfulList-Accent12">
    <w:name w:val="Colorful List - Accent 12"/>
    <w:aliases w:val="Párrafo de lista1,List Paragraph1,List Paragraph11"/>
    <w:basedOn w:val="Normal"/>
    <w:link w:val="ColorfulList-Accent1Char"/>
    <w:uiPriority w:val="99"/>
    <w:qFormat/>
    <w:rsid w:val="00202702"/>
    <w:pPr>
      <w:ind w:left="720" w:right="720"/>
      <w:jc w:val="both"/>
    </w:pPr>
    <w:rPr>
      <w:rFonts w:ascii="Cambria" w:hAnsi="Cambria"/>
      <w:sz w:val="20"/>
      <w:szCs w:val="20"/>
    </w:rPr>
  </w:style>
  <w:style w:type="character" w:customStyle="1" w:styleId="ColorfulList-Accent1Char">
    <w:name w:val="Colorful List - Accent 1 Char"/>
    <w:aliases w:val="Párrafo de lista1 Char,List Paragraph1 Char,List Paragraph11 Char,List Paragraph Char"/>
    <w:link w:val="ColorfulList-Accent12"/>
    <w:uiPriority w:val="34"/>
    <w:locked/>
    <w:rsid w:val="00202702"/>
    <w:rPr>
      <w:rFonts w:ascii="Cambria" w:hAnsi="Cambria"/>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20270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rPr>
  </w:style>
  <w:style w:type="paragraph" w:styleId="BodyTextIndent3">
    <w:name w:val="Body Text Indent 3"/>
    <w:basedOn w:val="Normal"/>
    <w:link w:val="BodyTextIndent3Char"/>
    <w:uiPriority w:val="99"/>
    <w:semiHidden/>
    <w:unhideWhenUsed/>
    <w:rsid w:val="002027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02702"/>
    <w:rPr>
      <w:sz w:val="16"/>
      <w:szCs w:val="16"/>
      <w:lang w:val="en-US" w:eastAsia="en-US"/>
    </w:rPr>
  </w:style>
  <w:style w:type="paragraph" w:customStyle="1" w:styleId="1">
    <w:name w:val="1"/>
    <w:basedOn w:val="Normal"/>
    <w:rsid w:val="00E067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paragraph" w:styleId="PlainText">
    <w:name w:val="Plain Text"/>
    <w:basedOn w:val="Normal"/>
    <w:link w:val="PlainTextChar"/>
    <w:uiPriority w:val="99"/>
    <w:unhideWhenUsed/>
    <w:rsid w:val="005B59F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5B59F1"/>
    <w:rPr>
      <w:rFonts w:ascii="Calibri" w:eastAsiaTheme="minorHAnsi" w:hAnsi="Calibri" w:cstheme="minorBidi"/>
      <w:sz w:val="22"/>
      <w:szCs w:val="21"/>
      <w:bdr w:val="none" w:sz="0" w:space="0" w:color="auto"/>
      <w:lang w:val="en-US" w:eastAsia="en-US"/>
    </w:rPr>
  </w:style>
  <w:style w:type="character" w:customStyle="1" w:styleId="Heading3Char">
    <w:name w:val="Heading 3 Char"/>
    <w:basedOn w:val="DefaultParagraphFont"/>
    <w:link w:val="Heading3"/>
    <w:uiPriority w:val="9"/>
    <w:rsid w:val="00E84B2D"/>
    <w:rPr>
      <w:rFonts w:ascii="Times" w:eastAsiaTheme="minorEastAsia" w:hAnsi="Times" w:cstheme="minorBidi"/>
      <w:b/>
      <w:bCs/>
      <w:sz w:val="27"/>
      <w:szCs w:val="27"/>
      <w:bdr w:val="none" w:sz="0" w:space="0" w:color="auto"/>
      <w:lang w:eastAsia="es-ES" w:bidi="ar-SA"/>
    </w:rPr>
  </w:style>
  <w:style w:type="character" w:customStyle="1" w:styleId="grame">
    <w:name w:val="grame"/>
    <w:basedOn w:val="DefaultParagraphFont"/>
    <w:rsid w:val="00E84B2D"/>
  </w:style>
  <w:style w:type="character" w:styleId="FollowedHyperlink">
    <w:name w:val="FollowedHyperlink"/>
    <w:basedOn w:val="DefaultParagraphFont"/>
    <w:uiPriority w:val="99"/>
    <w:semiHidden/>
    <w:unhideWhenUsed/>
    <w:rsid w:val="00E84B2D"/>
    <w:rPr>
      <w:color w:val="800080"/>
      <w:u w:val="single"/>
    </w:rPr>
  </w:style>
  <w:style w:type="character" w:customStyle="1" w:styleId="msoins0">
    <w:name w:val="msoins"/>
    <w:basedOn w:val="DefaultParagraphFont"/>
    <w:rsid w:val="00E84B2D"/>
  </w:style>
  <w:style w:type="paragraph" w:customStyle="1" w:styleId="style20">
    <w:name w:val="style2"/>
    <w:basedOn w:val="Normal"/>
    <w:rsid w:val="00E84B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eastAsia="es-ES" w:bidi="ar-SA"/>
    </w:rPr>
  </w:style>
  <w:style w:type="paragraph" w:styleId="HTMLPreformatted">
    <w:name w:val="HTML Preformatted"/>
    <w:basedOn w:val="Normal"/>
    <w:link w:val="HTMLPreformattedChar"/>
    <w:uiPriority w:val="99"/>
    <w:semiHidden/>
    <w:unhideWhenUsed/>
    <w:rsid w:val="00E84B2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lang w:eastAsia="es-ES" w:bidi="ar-SA"/>
    </w:rPr>
  </w:style>
  <w:style w:type="character" w:customStyle="1" w:styleId="HTMLPreformattedChar">
    <w:name w:val="HTML Preformatted Char"/>
    <w:basedOn w:val="DefaultParagraphFont"/>
    <w:link w:val="HTMLPreformatted"/>
    <w:uiPriority w:val="99"/>
    <w:semiHidden/>
    <w:rsid w:val="00E84B2D"/>
    <w:rPr>
      <w:rFonts w:ascii="Courier" w:eastAsiaTheme="minorEastAsia" w:hAnsi="Courier" w:cs="Courier"/>
      <w:bdr w:val="none" w:sz="0" w:space="0" w:color="auto"/>
      <w:lang w:eastAsia="es-ES" w:bidi="ar-SA"/>
    </w:rPr>
  </w:style>
  <w:style w:type="character" w:styleId="Strong">
    <w:name w:val="Strong"/>
    <w:basedOn w:val="DefaultParagraphFont"/>
    <w:uiPriority w:val="22"/>
    <w:qFormat/>
    <w:rsid w:val="00E84B2D"/>
    <w:rPr>
      <w:b/>
      <w:bCs/>
    </w:rPr>
  </w:style>
  <w:style w:type="paragraph" w:styleId="TOCHeading">
    <w:name w:val="TOC Heading"/>
    <w:basedOn w:val="Heading1"/>
    <w:next w:val="Normal"/>
    <w:uiPriority w:val="39"/>
    <w:unhideWhenUsed/>
    <w:qFormat/>
    <w:rsid w:val="000A758A"/>
    <w:pPr>
      <w:numPr>
        <w:numId w:val="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480" w:line="276" w:lineRule="auto"/>
      <w:jc w:val="left"/>
      <w:outlineLvl w:val="9"/>
    </w:pPr>
    <w:rPr>
      <w:color w:val="365F91" w:themeColor="accent1" w:themeShade="BF"/>
      <w:sz w:val="28"/>
      <w:bdr w:val="none" w:sz="0" w:space="0" w:color="auto"/>
      <w:lang w:eastAsia="ja-JP" w:bidi="ar-SA"/>
    </w:rPr>
  </w:style>
  <w:style w:type="paragraph" w:styleId="EndnoteText">
    <w:name w:val="endnote text"/>
    <w:basedOn w:val="Normal"/>
    <w:link w:val="EndnoteTextChar"/>
    <w:uiPriority w:val="99"/>
    <w:semiHidden/>
    <w:unhideWhenUsed/>
    <w:rsid w:val="00324D9C"/>
    <w:rPr>
      <w:sz w:val="20"/>
      <w:szCs w:val="20"/>
    </w:rPr>
  </w:style>
  <w:style w:type="character" w:customStyle="1" w:styleId="EndnoteTextChar">
    <w:name w:val="Endnote Text Char"/>
    <w:basedOn w:val="DefaultParagraphFont"/>
    <w:link w:val="EndnoteText"/>
    <w:uiPriority w:val="99"/>
    <w:semiHidden/>
    <w:rsid w:val="00324D9C"/>
  </w:style>
  <w:style w:type="character" w:styleId="EndnoteReference">
    <w:name w:val="endnote reference"/>
    <w:basedOn w:val="DefaultParagraphFont"/>
    <w:uiPriority w:val="99"/>
    <w:semiHidden/>
    <w:unhideWhenUsed/>
    <w:rsid w:val="00324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7D8E-2464-4C1E-B825-5EDD7089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21984</Words>
  <Characters>115197</Characters>
  <Application>Microsoft Office Word</Application>
  <DocSecurity>0</DocSecurity>
  <Lines>1888</Lines>
  <Paragraphs>381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136800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Fontana, Maria Eva</cp:lastModifiedBy>
  <cp:revision>4</cp:revision>
  <cp:lastPrinted>2017-09-04T16:14:00Z</cp:lastPrinted>
  <dcterms:created xsi:type="dcterms:W3CDTF">2017-09-29T19:02:00Z</dcterms:created>
  <dcterms:modified xsi:type="dcterms:W3CDTF">2018-08-14T20:24:00Z</dcterms:modified>
</cp:coreProperties>
</file>