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A11409" w:rsidRDefault="009B619C" w:rsidP="00A20CD5">
      <w:pPr>
        <w:jc w:val="both"/>
        <w:rPr>
          <w:rFonts w:ascii="Cambria" w:hAnsi="Cambria" w:cs="Univers"/>
          <w:b/>
          <w:bCs/>
          <w:sz w:val="20"/>
          <w:szCs w:val="20"/>
        </w:rPr>
      </w:pPr>
      <w:r>
        <w:rPr>
          <w:noProof/>
        </w:rPr>
        <w:drawing>
          <wp:anchor distT="0" distB="0" distL="114300" distR="114300" simplePos="0" relativeHeight="251665408" behindDoc="1" locked="0" layoutInCell="1" allowOverlap="1" wp14:anchorId="405976B6" wp14:editId="432BFDCE">
            <wp:simplePos x="0" y="0"/>
            <wp:positionH relativeFrom="column">
              <wp:posOffset>1423670</wp:posOffset>
            </wp:positionH>
            <wp:positionV relativeFrom="paragraph">
              <wp:posOffset>-128270</wp:posOffset>
            </wp:positionV>
            <wp:extent cx="3202305" cy="616585"/>
            <wp:effectExtent l="0" t="0" r="0" b="0"/>
            <wp:wrapThrough wrapText="bothSides">
              <wp:wrapPolygon edited="0">
                <wp:start x="0" y="0"/>
                <wp:lineTo x="0" y="20688"/>
                <wp:lineTo x="21459" y="20688"/>
                <wp:lineTo x="21459" y="0"/>
                <wp:lineTo x="0" y="0"/>
              </wp:wrapPolygon>
            </wp:wrapThrough>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2305"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rPr>
        <mc:AlternateContent>
          <mc:Choice Requires="wps">
            <w:drawing>
              <wp:anchor distT="0" distB="0" distL="114300" distR="114300" simplePos="0" relativeHeight="251664384" behindDoc="0" locked="0" layoutInCell="1" allowOverlap="1" wp14:anchorId="09B4B1F0" wp14:editId="741AFF74">
                <wp:simplePos x="0" y="0"/>
                <wp:positionH relativeFrom="column">
                  <wp:posOffset>-373218</wp:posOffset>
                </wp:positionH>
                <wp:positionV relativeFrom="paragraph">
                  <wp:posOffset>-271780</wp:posOffset>
                </wp:positionV>
                <wp:extent cx="1409700" cy="8977630"/>
                <wp:effectExtent l="0" t="0" r="0" b="0"/>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9.4pt;margin-top:-21.4pt;width:111pt;height:70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" fillcolor="#67ae3c" stroked="f" strokeweight="2pt">
                <v:path arrowok="t"/>
              </v:rect>
            </w:pict>
          </mc:Fallback>
        </mc:AlternateContent>
      </w:r>
    </w:p>
    <w:p w:rsidR="00040C3A" w:rsidRPr="00A11409" w:rsidRDefault="00040C3A" w:rsidP="00A20CD5">
      <w:pPr>
        <w:tabs>
          <w:tab w:val="center" w:pos="5400"/>
        </w:tabs>
        <w:suppressAutoHyphens/>
        <w:jc w:val="both"/>
        <w:rPr>
          <w:rFonts w:ascii="Cambria" w:hAnsi="Cambria"/>
          <w:sz w:val="20"/>
          <w:szCs w:val="20"/>
        </w:rPr>
      </w:pPr>
    </w:p>
    <w:p w:rsidR="00040C3A" w:rsidRPr="00A11409" w:rsidRDefault="00040C3A" w:rsidP="00A20CD5">
      <w:pPr>
        <w:tabs>
          <w:tab w:val="center" w:pos="5400"/>
        </w:tabs>
        <w:suppressAutoHyphens/>
        <w:jc w:val="both"/>
        <w:rPr>
          <w:rFonts w:ascii="Cambria" w:hAnsi="Cambria"/>
          <w:sz w:val="20"/>
          <w:szCs w:val="20"/>
        </w:rPr>
      </w:pPr>
    </w:p>
    <w:p w:rsidR="005128E4" w:rsidRPr="00A11409" w:rsidRDefault="005128E4" w:rsidP="00A20CD5">
      <w:pPr>
        <w:tabs>
          <w:tab w:val="center" w:pos="5400"/>
        </w:tabs>
        <w:suppressAutoHyphens/>
        <w:jc w:val="both"/>
        <w:rPr>
          <w:rFonts w:ascii="Cambria" w:hAnsi="Cambria"/>
          <w:sz w:val="20"/>
          <w:szCs w:val="20"/>
        </w:rPr>
      </w:pPr>
    </w:p>
    <w:p w:rsidR="005128E4" w:rsidRPr="00A11409" w:rsidRDefault="005128E4" w:rsidP="00A20CD5">
      <w:pPr>
        <w:tabs>
          <w:tab w:val="center" w:pos="5400"/>
        </w:tabs>
        <w:suppressAutoHyphens/>
        <w:jc w:val="both"/>
        <w:rPr>
          <w:rFonts w:ascii="Cambria" w:hAnsi="Cambria"/>
          <w:sz w:val="20"/>
          <w:szCs w:val="20"/>
        </w:rPr>
      </w:pPr>
    </w:p>
    <w:p w:rsidR="005128E4" w:rsidRPr="00A11409" w:rsidRDefault="005128E4" w:rsidP="00A20CD5">
      <w:pPr>
        <w:tabs>
          <w:tab w:val="center" w:pos="5400"/>
        </w:tabs>
        <w:suppressAutoHyphens/>
        <w:jc w:val="both"/>
        <w:rPr>
          <w:rFonts w:ascii="Cambria" w:hAnsi="Cambria"/>
          <w:sz w:val="20"/>
          <w:szCs w:val="20"/>
        </w:rPr>
      </w:pPr>
    </w:p>
    <w:p w:rsidR="00040C3A" w:rsidRPr="00A11409" w:rsidRDefault="00040C3A" w:rsidP="00A20CD5">
      <w:pPr>
        <w:tabs>
          <w:tab w:val="center" w:pos="5400"/>
        </w:tabs>
        <w:suppressAutoHyphens/>
        <w:jc w:val="both"/>
        <w:rPr>
          <w:rFonts w:ascii="Cambria" w:hAnsi="Cambria"/>
          <w:sz w:val="20"/>
          <w:szCs w:val="20"/>
        </w:rPr>
      </w:pPr>
    </w:p>
    <w:p w:rsidR="00040C3A" w:rsidRPr="00A11409" w:rsidRDefault="00040C3A" w:rsidP="00A20CD5">
      <w:pPr>
        <w:tabs>
          <w:tab w:val="center" w:pos="5400"/>
        </w:tabs>
        <w:suppressAutoHyphens/>
        <w:jc w:val="both"/>
        <w:rPr>
          <w:rFonts w:ascii="Cambria" w:hAnsi="Cambria"/>
          <w:sz w:val="20"/>
          <w:szCs w:val="20"/>
        </w:rPr>
      </w:pPr>
    </w:p>
    <w:p w:rsidR="005B52B0" w:rsidRPr="00A11409" w:rsidRDefault="005B52B0" w:rsidP="00A20CD5">
      <w:pPr>
        <w:tabs>
          <w:tab w:val="center" w:pos="5400"/>
        </w:tabs>
        <w:suppressAutoHyphens/>
        <w:jc w:val="both"/>
        <w:rPr>
          <w:rFonts w:ascii="Cambria" w:hAnsi="Cambria"/>
          <w:sz w:val="20"/>
          <w:szCs w:val="20"/>
        </w:rPr>
      </w:pPr>
    </w:p>
    <w:p w:rsidR="005B52B0" w:rsidRPr="00A11409" w:rsidRDefault="005B52B0" w:rsidP="00A20CD5">
      <w:pPr>
        <w:tabs>
          <w:tab w:val="center" w:pos="5400"/>
        </w:tabs>
        <w:suppressAutoHyphens/>
        <w:jc w:val="both"/>
        <w:rPr>
          <w:rFonts w:ascii="Cambria" w:hAnsi="Cambria"/>
          <w:sz w:val="20"/>
          <w:szCs w:val="20"/>
        </w:rPr>
      </w:pPr>
    </w:p>
    <w:p w:rsidR="005B52B0" w:rsidRPr="00A11409" w:rsidRDefault="005B52B0" w:rsidP="00A20CD5">
      <w:pPr>
        <w:tabs>
          <w:tab w:val="center" w:pos="5400"/>
        </w:tabs>
        <w:suppressAutoHyphens/>
        <w:jc w:val="both"/>
        <w:rPr>
          <w:rFonts w:ascii="Cambria" w:hAnsi="Cambria"/>
          <w:sz w:val="20"/>
          <w:szCs w:val="20"/>
        </w:rPr>
      </w:pPr>
    </w:p>
    <w:p w:rsidR="00040C3A" w:rsidRPr="00A11409" w:rsidRDefault="00040C3A" w:rsidP="00A20CD5">
      <w:pPr>
        <w:tabs>
          <w:tab w:val="center" w:pos="5400"/>
        </w:tabs>
        <w:suppressAutoHyphens/>
        <w:jc w:val="both"/>
        <w:rPr>
          <w:rFonts w:ascii="Cambria" w:hAnsi="Cambria"/>
          <w:sz w:val="20"/>
          <w:szCs w:val="20"/>
        </w:rPr>
      </w:pPr>
    </w:p>
    <w:p w:rsidR="00040C3A" w:rsidRPr="00A11409" w:rsidRDefault="00040C3A" w:rsidP="00A20CD5">
      <w:pPr>
        <w:tabs>
          <w:tab w:val="center" w:pos="5400"/>
        </w:tabs>
        <w:suppressAutoHyphens/>
        <w:jc w:val="both"/>
        <w:rPr>
          <w:rFonts w:ascii="Cambria" w:hAnsi="Cambria"/>
          <w:sz w:val="20"/>
          <w:szCs w:val="20"/>
        </w:rPr>
      </w:pPr>
    </w:p>
    <w:p w:rsidR="00040C3A" w:rsidRPr="00A11409" w:rsidRDefault="00435ECE" w:rsidP="00A20CD5">
      <w:pPr>
        <w:tabs>
          <w:tab w:val="center" w:pos="5400"/>
        </w:tabs>
        <w:suppressAutoHyphens/>
        <w:jc w:val="both"/>
        <w:rPr>
          <w:rFonts w:ascii="Cambria" w:hAnsi="Cambria"/>
          <w:sz w:val="20"/>
          <w:szCs w:val="20"/>
        </w:rPr>
      </w:pPr>
      <w:r>
        <w:rPr>
          <w:rFonts w:ascii="Cambria" w:hAnsi="Cambria"/>
          <w:noProof/>
          <w:sz w:val="20"/>
          <w:szCs w:val="20"/>
        </w:rPr>
        <w:pict>
          <v:shapetype id="_x0000_t202" coordsize="21600,21600" o:spt="202" path="m,l,21600r21600,l21600,xe">
            <v:stroke joinstyle="miter"/>
            <v:path gradientshapeok="t" o:connecttype="rect"/>
          </v:shapetype>
          <v:shape id="Text Box 5" o:spid="_x0000_s1033"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" filled="f" stroked="f" strokeweight=".5pt">
            <v:path arrowok="t"/>
            <v:textbox style="mso-next-textbox:#Text Box 5">
              <w:txbxContent>
                <w:p w:rsidR="0025354A" w:rsidRPr="00673E50" w:rsidRDefault="0025354A" w:rsidP="00997BC5">
                  <w:pPr>
                    <w:spacing w:line="276" w:lineRule="auto"/>
                    <w:rPr>
                      <w:rFonts w:ascii="Cambria" w:hAnsi="Cambria" w:cs="Arial"/>
                      <w:b/>
                      <w:bCs/>
                      <w:color w:val="0D0D0D"/>
                      <w:sz w:val="36"/>
                      <w:szCs w:val="22"/>
                    </w:rPr>
                  </w:pPr>
                  <w:r>
                    <w:rPr>
                      <w:rFonts w:ascii="Cambria" w:hAnsi="Cambria" w:cs="Arial"/>
                      <w:b/>
                      <w:bCs/>
                      <w:color w:val="0D0D0D"/>
                      <w:sz w:val="36"/>
                      <w:szCs w:val="22"/>
                    </w:rPr>
                    <w:t xml:space="preserve">REPORT </w:t>
                  </w:r>
                  <w:r>
                    <w:rPr>
                      <w:rFonts w:ascii="Cambria" w:hAnsi="Cambria" w:cs="Arial"/>
                      <w:b/>
                      <w:bCs/>
                      <w:color w:val="0D0D0D"/>
                      <w:sz w:val="36"/>
                      <w:szCs w:val="40"/>
                    </w:rPr>
                    <w:t>No.</w:t>
                  </w:r>
                  <w:r>
                    <w:rPr>
                      <w:rFonts w:ascii="Cambria" w:hAnsi="Cambria" w:cs="Arial"/>
                      <w:color w:val="0D0D0D"/>
                      <w:sz w:val="36"/>
                      <w:szCs w:val="22"/>
                    </w:rPr>
                    <w:t xml:space="preserve"> </w:t>
                  </w:r>
                  <w:r w:rsidR="00215DD5">
                    <w:rPr>
                      <w:rFonts w:ascii="Cambria" w:hAnsi="Cambria" w:cs="Arial"/>
                      <w:b/>
                      <w:bCs/>
                      <w:color w:val="0D0D0D"/>
                      <w:sz w:val="36"/>
                      <w:szCs w:val="22"/>
                    </w:rPr>
                    <w:t>40</w:t>
                  </w:r>
                  <w:r>
                    <w:rPr>
                      <w:rFonts w:ascii="Cambria" w:hAnsi="Cambria" w:cs="Arial"/>
                      <w:b/>
                      <w:bCs/>
                      <w:color w:val="0D0D0D"/>
                      <w:sz w:val="36"/>
                      <w:szCs w:val="22"/>
                    </w:rPr>
                    <w:t>/17</w:t>
                  </w:r>
                </w:p>
                <w:p w:rsidR="0025354A" w:rsidRPr="00673E50" w:rsidRDefault="0025354A" w:rsidP="00997BC5">
                  <w:pPr>
                    <w:spacing w:line="276" w:lineRule="auto"/>
                    <w:rPr>
                      <w:rFonts w:ascii="Cambria" w:hAnsi="Cambria" w:cs="Arial"/>
                      <w:b/>
                      <w:color w:val="0D0D0D"/>
                      <w:sz w:val="36"/>
                      <w:szCs w:val="22"/>
                    </w:rPr>
                  </w:pPr>
                  <w:r>
                    <w:rPr>
                      <w:rFonts w:ascii="Cambria" w:hAnsi="Cambria" w:cs="Arial"/>
                      <w:b/>
                      <w:bCs/>
                      <w:color w:val="0D0D0D"/>
                      <w:sz w:val="36"/>
                      <w:szCs w:val="22"/>
                    </w:rPr>
                    <w:t>CASE 12.197</w:t>
                  </w:r>
                </w:p>
                <w:p w:rsidR="0025354A" w:rsidRPr="007372D2" w:rsidRDefault="0025354A" w:rsidP="00161414">
                  <w:pPr>
                    <w:spacing w:line="276" w:lineRule="auto"/>
                    <w:rPr>
                      <w:rFonts w:ascii="Cambria" w:hAnsi="Cambria" w:cs="Arial"/>
                      <w:color w:val="0D0D0D"/>
                      <w:szCs w:val="22"/>
                    </w:rPr>
                  </w:pPr>
                  <w:r>
                    <w:rPr>
                      <w:rFonts w:ascii="Cambria" w:hAnsi="Cambria" w:cs="Arial"/>
                      <w:color w:val="0D0D0D"/>
                      <w:szCs w:val="22"/>
                    </w:rPr>
                    <w:t>REPORT ON MERITS</w:t>
                  </w:r>
                </w:p>
                <w:p w:rsidR="0025354A" w:rsidRPr="007372D2" w:rsidRDefault="0025354A" w:rsidP="00997BC5">
                  <w:pPr>
                    <w:spacing w:line="276" w:lineRule="auto"/>
                    <w:rPr>
                      <w:rFonts w:ascii="Cambria" w:hAnsi="Cambria" w:cs="Arial"/>
                      <w:color w:val="0D0D0D"/>
                      <w:szCs w:val="22"/>
                    </w:rPr>
                  </w:pPr>
                  <w:bookmarkStart w:id="0" w:name="_ftnref1"/>
                </w:p>
                <w:p w:rsidR="0025354A" w:rsidRPr="007372D2" w:rsidRDefault="0025354A" w:rsidP="00997BC5">
                  <w:pPr>
                    <w:spacing w:line="276" w:lineRule="auto"/>
                    <w:rPr>
                      <w:rFonts w:ascii="Cambria" w:hAnsi="Cambria" w:cs="Arial"/>
                      <w:color w:val="0D0D0D"/>
                      <w:szCs w:val="22"/>
                    </w:rPr>
                  </w:pPr>
                  <w:r>
                    <w:rPr>
                      <w:rFonts w:ascii="Cambria" w:hAnsi="Cambria" w:cs="Arial"/>
                      <w:color w:val="0D0D0D"/>
                      <w:szCs w:val="22"/>
                    </w:rPr>
                    <w:t>RAMÓN ROSENDO CARRANZA ALARCÓN</w:t>
                  </w:r>
                </w:p>
                <w:bookmarkEnd w:id="0"/>
                <w:p w:rsidR="0025354A" w:rsidRPr="007372D2" w:rsidRDefault="0025354A" w:rsidP="00997BC5">
                  <w:pPr>
                    <w:spacing w:line="276" w:lineRule="auto"/>
                    <w:rPr>
                      <w:rFonts w:ascii="Cambria" w:hAnsi="Cambria" w:cs="Arial"/>
                      <w:color w:val="0D0D0D"/>
                      <w:szCs w:val="22"/>
                    </w:rPr>
                  </w:pPr>
                  <w:r>
                    <w:rPr>
                      <w:rFonts w:ascii="Cambria" w:hAnsi="Cambria" w:cs="Arial"/>
                      <w:color w:val="0D0D0D"/>
                      <w:szCs w:val="22"/>
                    </w:rPr>
                    <w:t>ECUADOR</w:t>
                  </w:r>
                </w:p>
                <w:p w:rsidR="0025354A" w:rsidRPr="007372D2" w:rsidRDefault="0025354A" w:rsidP="007A5817">
                  <w:pPr>
                    <w:rPr>
                      <w:color w:val="0D0D0D"/>
                    </w:rPr>
                  </w:pPr>
                </w:p>
              </w:txbxContent>
            </v:textbox>
          </v:shape>
        </w:pict>
      </w:r>
    </w:p>
    <w:p w:rsidR="00040C3A" w:rsidRPr="00A11409" w:rsidRDefault="00215DD5" w:rsidP="00A20CD5">
      <w:pPr>
        <w:tabs>
          <w:tab w:val="center" w:pos="5400"/>
        </w:tabs>
        <w:suppressAutoHyphens/>
        <w:jc w:val="both"/>
        <w:rPr>
          <w:rFonts w:ascii="Cambria" w:hAnsi="Cambria"/>
          <w:sz w:val="20"/>
          <w:szCs w:val="20"/>
        </w:rPr>
      </w:pPr>
      <w:r w:rsidRPr="00683301">
        <w:rPr>
          <w:rFonts w:ascii="Cambria" w:hAnsi="Cambria"/>
          <w:noProof/>
          <w:sz w:val="20"/>
          <w:szCs w:val="20"/>
        </w:rPr>
        <mc:AlternateContent>
          <mc:Choice Requires="wps">
            <w:drawing>
              <wp:anchor distT="0" distB="0" distL="114300" distR="114300" simplePos="0" relativeHeight="251667456" behindDoc="0" locked="0" layoutInCell="1" allowOverlap="1" wp14:anchorId="781AF432" wp14:editId="3D1712C8">
                <wp:simplePos x="0" y="0"/>
                <wp:positionH relativeFrom="column">
                  <wp:posOffset>-404191</wp:posOffset>
                </wp:positionH>
                <wp:positionV relativeFrom="paragraph">
                  <wp:posOffset>20320</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txbx>
                        <w:txbxContent>
                          <w:p w:rsidR="00215DD5" w:rsidRPr="00215DD5" w:rsidRDefault="00215DD5" w:rsidP="00215DD5">
                            <w:pPr>
                              <w:spacing w:line="276" w:lineRule="auto"/>
                              <w:jc w:val="right"/>
                              <w:rPr>
                                <w:rFonts w:ascii="Calibri" w:hAnsi="Calibri"/>
                                <w:color w:val="FFFFFF"/>
                                <w:sz w:val="22"/>
                                <w:lang w:val="pt-BR"/>
                              </w:rPr>
                            </w:pPr>
                            <w:r w:rsidRPr="00215DD5">
                              <w:rPr>
                                <w:rFonts w:ascii="Calibri" w:hAnsi="Calibri"/>
                                <w:color w:val="FFFFFF"/>
                                <w:sz w:val="22"/>
                                <w:lang w:val="pt-BR"/>
                              </w:rPr>
                              <w:t>OEA/Ser.L/V/II.162</w:t>
                            </w:r>
                          </w:p>
                          <w:p w:rsidR="00215DD5" w:rsidRPr="00215DD5" w:rsidRDefault="00215DD5" w:rsidP="00215DD5">
                            <w:pPr>
                              <w:spacing w:line="276" w:lineRule="auto"/>
                              <w:jc w:val="right"/>
                              <w:rPr>
                                <w:rFonts w:ascii="Calibri" w:hAnsi="Calibri"/>
                                <w:color w:val="FFFFFF"/>
                                <w:sz w:val="22"/>
                                <w:lang w:val="pt-BR"/>
                              </w:rPr>
                            </w:pPr>
                            <w:r w:rsidRPr="00215DD5">
                              <w:rPr>
                                <w:rFonts w:ascii="Calibri" w:hAnsi="Calibri"/>
                                <w:color w:val="FFFFFF"/>
                                <w:sz w:val="22"/>
                                <w:lang w:val="pt-BR"/>
                              </w:rPr>
                              <w:t>Doc. 52</w:t>
                            </w:r>
                          </w:p>
                          <w:p w:rsidR="00215DD5" w:rsidRPr="00703939" w:rsidRDefault="00215DD5" w:rsidP="00215DD5">
                            <w:pPr>
                              <w:spacing w:line="276" w:lineRule="auto"/>
                              <w:jc w:val="right"/>
                              <w:rPr>
                                <w:rFonts w:ascii="Calibri" w:hAnsi="Calibri"/>
                                <w:color w:val="FFFFFF"/>
                                <w:sz w:val="22"/>
                                <w:lang w:val="es-ES"/>
                              </w:rPr>
                            </w:pPr>
                            <w:proofErr w:type="spellStart"/>
                            <w:r>
                              <w:rPr>
                                <w:rFonts w:ascii="Calibri" w:hAnsi="Calibri"/>
                                <w:color w:val="FFFFFF"/>
                                <w:sz w:val="22"/>
                                <w:lang w:val="es-ES"/>
                              </w:rPr>
                              <w:t>May</w:t>
                            </w:r>
                            <w:proofErr w:type="spellEnd"/>
                            <w:r>
                              <w:rPr>
                                <w:rFonts w:ascii="Calibri" w:hAnsi="Calibri"/>
                                <w:color w:val="FFFFFF"/>
                                <w:sz w:val="22"/>
                                <w:lang w:val="es-ES"/>
                              </w:rPr>
                              <w:t xml:space="preserve"> 23, 2017</w:t>
                            </w:r>
                          </w:p>
                          <w:p w:rsidR="00215DD5" w:rsidRPr="00703939" w:rsidRDefault="00215DD5" w:rsidP="00215DD5">
                            <w:pPr>
                              <w:spacing w:line="276" w:lineRule="auto"/>
                              <w:jc w:val="right"/>
                              <w:rPr>
                                <w:rFonts w:ascii="Calibri" w:hAnsi="Calibri"/>
                                <w:color w:val="FFFFFF"/>
                                <w:sz w:val="22"/>
                                <w:lang w:val="es-ES"/>
                              </w:rPr>
                            </w:pPr>
                            <w:r w:rsidRPr="00703939">
                              <w:rPr>
                                <w:rFonts w:ascii="Calibri" w:hAnsi="Calibri"/>
                                <w:color w:val="FFFFFF"/>
                                <w:sz w:val="22"/>
                                <w:lang w:val="es-ES"/>
                              </w:rPr>
                              <w:t xml:space="preserve">Original: </w:t>
                            </w:r>
                            <w:proofErr w:type="spellStart"/>
                            <w:r>
                              <w:rPr>
                                <w:rFonts w:ascii="Calibri" w:hAnsi="Calibri"/>
                                <w:color w:val="FFFFFF"/>
                                <w:sz w:val="22"/>
                                <w:lang w:val="es-ES"/>
                              </w:rPr>
                              <w:t>Spanish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6" type="#_x0000_t202" style="position:absolute;left:0;text-align:left;margin-left:-31.85pt;margin-top:1.6pt;width:109.5pt;height:10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" filled="f" stroked="f" strokeweight=".5pt">
                <v:path arrowok="t"/>
                <v:textbox>
                  <w:txbxContent>
                    <w:p w:rsidR="00215DD5" w:rsidRPr="00215DD5" w:rsidRDefault="00215DD5" w:rsidP="00215DD5">
                      <w:pPr>
                        <w:spacing w:line="276" w:lineRule="auto"/>
                        <w:jc w:val="right"/>
                        <w:rPr>
                          <w:rFonts w:ascii="Calibri" w:hAnsi="Calibri"/>
                          <w:color w:val="FFFFFF"/>
                          <w:sz w:val="22"/>
                          <w:lang w:val="pt-BR"/>
                        </w:rPr>
                      </w:pPr>
                      <w:r w:rsidRPr="00215DD5">
                        <w:rPr>
                          <w:rFonts w:ascii="Calibri" w:hAnsi="Calibri"/>
                          <w:color w:val="FFFFFF"/>
                          <w:sz w:val="22"/>
                          <w:lang w:val="pt-BR"/>
                        </w:rPr>
                        <w:t>OEA/Ser.L/V/II.162</w:t>
                      </w:r>
                    </w:p>
                    <w:p w:rsidR="00215DD5" w:rsidRPr="00215DD5" w:rsidRDefault="00215DD5" w:rsidP="00215DD5">
                      <w:pPr>
                        <w:spacing w:line="276" w:lineRule="auto"/>
                        <w:jc w:val="right"/>
                        <w:rPr>
                          <w:rFonts w:ascii="Calibri" w:hAnsi="Calibri"/>
                          <w:color w:val="FFFFFF"/>
                          <w:sz w:val="22"/>
                          <w:lang w:val="pt-BR"/>
                        </w:rPr>
                      </w:pPr>
                      <w:r w:rsidRPr="00215DD5">
                        <w:rPr>
                          <w:rFonts w:ascii="Calibri" w:hAnsi="Calibri"/>
                          <w:color w:val="FFFFFF"/>
                          <w:sz w:val="22"/>
                          <w:lang w:val="pt-BR"/>
                        </w:rPr>
                        <w:t>Doc. 52</w:t>
                      </w:r>
                    </w:p>
                    <w:p w:rsidR="00215DD5" w:rsidRPr="00703939" w:rsidRDefault="00215DD5" w:rsidP="00215DD5">
                      <w:pPr>
                        <w:spacing w:line="276" w:lineRule="auto"/>
                        <w:jc w:val="right"/>
                        <w:rPr>
                          <w:rFonts w:ascii="Calibri" w:hAnsi="Calibri"/>
                          <w:color w:val="FFFFFF"/>
                          <w:sz w:val="22"/>
                          <w:lang w:val="es-ES"/>
                        </w:rPr>
                      </w:pPr>
                      <w:proofErr w:type="spellStart"/>
                      <w:r>
                        <w:rPr>
                          <w:rFonts w:ascii="Calibri" w:hAnsi="Calibri"/>
                          <w:color w:val="FFFFFF"/>
                          <w:sz w:val="22"/>
                          <w:lang w:val="es-ES"/>
                        </w:rPr>
                        <w:t>May</w:t>
                      </w:r>
                      <w:proofErr w:type="spellEnd"/>
                      <w:r>
                        <w:rPr>
                          <w:rFonts w:ascii="Calibri" w:hAnsi="Calibri"/>
                          <w:color w:val="FFFFFF"/>
                          <w:sz w:val="22"/>
                          <w:lang w:val="es-ES"/>
                        </w:rPr>
                        <w:t xml:space="preserve"> 23,</w:t>
                      </w:r>
                      <w:r>
                        <w:rPr>
                          <w:rFonts w:ascii="Calibri" w:hAnsi="Calibri"/>
                          <w:color w:val="FFFFFF"/>
                          <w:sz w:val="22"/>
                          <w:lang w:val="es-ES"/>
                        </w:rPr>
                        <w:t xml:space="preserve"> 2017</w:t>
                      </w:r>
                    </w:p>
                    <w:p w:rsidR="00215DD5" w:rsidRPr="00703939" w:rsidRDefault="00215DD5" w:rsidP="00215DD5">
                      <w:pPr>
                        <w:spacing w:line="276" w:lineRule="auto"/>
                        <w:jc w:val="right"/>
                        <w:rPr>
                          <w:rFonts w:ascii="Calibri" w:hAnsi="Calibri"/>
                          <w:color w:val="FFFFFF"/>
                          <w:sz w:val="22"/>
                          <w:lang w:val="es-ES"/>
                        </w:rPr>
                      </w:pPr>
                      <w:r w:rsidRPr="00703939">
                        <w:rPr>
                          <w:rFonts w:ascii="Calibri" w:hAnsi="Calibri"/>
                          <w:color w:val="FFFFFF"/>
                          <w:sz w:val="22"/>
                          <w:lang w:val="es-ES"/>
                        </w:rPr>
                        <w:t xml:space="preserve">Original: </w:t>
                      </w:r>
                      <w:proofErr w:type="spellStart"/>
                      <w:r>
                        <w:rPr>
                          <w:rFonts w:ascii="Calibri" w:hAnsi="Calibri"/>
                          <w:color w:val="FFFFFF"/>
                          <w:sz w:val="22"/>
                          <w:lang w:val="es-ES"/>
                        </w:rPr>
                        <w:t>Spanish</w:t>
                      </w:r>
                      <w:proofErr w:type="spellEnd"/>
                    </w:p>
                  </w:txbxContent>
                </v:textbox>
              </v:shape>
            </w:pict>
          </mc:Fallback>
        </mc:AlternateContent>
      </w:r>
    </w:p>
    <w:p w:rsidR="00040C3A" w:rsidRPr="00A11409" w:rsidRDefault="00040C3A" w:rsidP="00A20CD5">
      <w:pPr>
        <w:tabs>
          <w:tab w:val="center" w:pos="5400"/>
        </w:tabs>
        <w:suppressAutoHyphens/>
        <w:jc w:val="both"/>
        <w:rPr>
          <w:rFonts w:ascii="Cambria" w:hAnsi="Cambria"/>
          <w:sz w:val="20"/>
          <w:szCs w:val="20"/>
        </w:rPr>
      </w:pPr>
    </w:p>
    <w:p w:rsidR="00040C3A" w:rsidRPr="00A11409" w:rsidRDefault="00040C3A" w:rsidP="00A20CD5">
      <w:pPr>
        <w:tabs>
          <w:tab w:val="center" w:pos="5400"/>
        </w:tabs>
        <w:suppressAutoHyphens/>
        <w:jc w:val="both"/>
        <w:rPr>
          <w:rFonts w:ascii="Cambria" w:hAnsi="Cambria" w:cs="Arial"/>
          <w:sz w:val="20"/>
          <w:szCs w:val="20"/>
        </w:rPr>
      </w:pPr>
    </w:p>
    <w:p w:rsidR="00040C3A" w:rsidRPr="00A11409" w:rsidRDefault="00040C3A" w:rsidP="00A20CD5">
      <w:pPr>
        <w:tabs>
          <w:tab w:val="center" w:pos="5400"/>
        </w:tabs>
        <w:suppressAutoHyphens/>
        <w:jc w:val="both"/>
        <w:rPr>
          <w:rFonts w:ascii="Cambria" w:hAnsi="Cambria"/>
          <w:sz w:val="20"/>
          <w:szCs w:val="20"/>
        </w:rPr>
      </w:pPr>
    </w:p>
    <w:p w:rsidR="00040C3A" w:rsidRPr="00A11409" w:rsidRDefault="00040C3A" w:rsidP="00A20CD5">
      <w:pPr>
        <w:tabs>
          <w:tab w:val="center" w:pos="5400"/>
        </w:tabs>
        <w:suppressAutoHyphens/>
        <w:jc w:val="both"/>
        <w:rPr>
          <w:rFonts w:ascii="Cambria" w:hAnsi="Cambria"/>
          <w:sz w:val="20"/>
          <w:szCs w:val="20"/>
        </w:rPr>
      </w:pPr>
    </w:p>
    <w:p w:rsidR="00040C3A" w:rsidRPr="00A11409" w:rsidRDefault="00040C3A" w:rsidP="00A20CD5">
      <w:pPr>
        <w:tabs>
          <w:tab w:val="center" w:pos="5400"/>
        </w:tabs>
        <w:suppressAutoHyphens/>
        <w:jc w:val="both"/>
        <w:rPr>
          <w:rFonts w:ascii="Cambria" w:hAnsi="Cambria"/>
          <w:sz w:val="20"/>
          <w:szCs w:val="20"/>
        </w:rPr>
      </w:pPr>
    </w:p>
    <w:p w:rsidR="00040C3A" w:rsidRPr="00A11409" w:rsidRDefault="00040C3A" w:rsidP="00A20CD5">
      <w:pPr>
        <w:tabs>
          <w:tab w:val="center" w:pos="5400"/>
        </w:tabs>
        <w:suppressAutoHyphens/>
        <w:jc w:val="both"/>
        <w:rPr>
          <w:rFonts w:ascii="Cambria" w:hAnsi="Cambria"/>
          <w:sz w:val="20"/>
          <w:szCs w:val="20"/>
        </w:rPr>
      </w:pPr>
    </w:p>
    <w:p w:rsidR="005128E4" w:rsidRPr="00A11409" w:rsidRDefault="005128E4" w:rsidP="00A20CD5">
      <w:pPr>
        <w:tabs>
          <w:tab w:val="center" w:pos="5400"/>
        </w:tabs>
        <w:suppressAutoHyphens/>
        <w:jc w:val="both"/>
        <w:rPr>
          <w:rFonts w:ascii="Cambria" w:hAnsi="Cambria"/>
          <w:sz w:val="20"/>
          <w:szCs w:val="20"/>
        </w:rPr>
      </w:pPr>
    </w:p>
    <w:p w:rsidR="00040C3A" w:rsidRPr="00A11409" w:rsidRDefault="00040C3A" w:rsidP="00A20CD5">
      <w:pPr>
        <w:tabs>
          <w:tab w:val="center" w:pos="5400"/>
        </w:tabs>
        <w:suppressAutoHyphens/>
        <w:jc w:val="both"/>
        <w:rPr>
          <w:rFonts w:ascii="Cambria" w:hAnsi="Cambria"/>
          <w:sz w:val="20"/>
          <w:szCs w:val="20"/>
        </w:rPr>
      </w:pPr>
    </w:p>
    <w:p w:rsidR="005128E4" w:rsidRPr="00A11409" w:rsidRDefault="005128E4" w:rsidP="00A20CD5">
      <w:pPr>
        <w:tabs>
          <w:tab w:val="center" w:pos="5400"/>
        </w:tabs>
        <w:suppressAutoHyphens/>
        <w:jc w:val="both"/>
        <w:rPr>
          <w:rFonts w:ascii="Cambria" w:hAnsi="Cambria"/>
          <w:sz w:val="20"/>
          <w:szCs w:val="20"/>
        </w:rPr>
      </w:pPr>
    </w:p>
    <w:p w:rsidR="005128E4" w:rsidRPr="00A11409" w:rsidRDefault="005128E4" w:rsidP="00A20CD5">
      <w:pPr>
        <w:tabs>
          <w:tab w:val="center" w:pos="5400"/>
        </w:tabs>
        <w:suppressAutoHyphens/>
        <w:jc w:val="both"/>
        <w:rPr>
          <w:rFonts w:ascii="Cambria" w:hAnsi="Cambria"/>
          <w:sz w:val="20"/>
          <w:szCs w:val="20"/>
        </w:rPr>
      </w:pPr>
    </w:p>
    <w:p w:rsidR="005128E4" w:rsidRPr="00A11409" w:rsidRDefault="005128E4" w:rsidP="00A20CD5">
      <w:pPr>
        <w:tabs>
          <w:tab w:val="center" w:pos="5400"/>
        </w:tabs>
        <w:suppressAutoHyphens/>
        <w:jc w:val="both"/>
        <w:rPr>
          <w:rFonts w:ascii="Cambria" w:hAnsi="Cambria"/>
          <w:sz w:val="20"/>
          <w:szCs w:val="20"/>
        </w:rPr>
      </w:pPr>
    </w:p>
    <w:p w:rsidR="00040C3A" w:rsidRPr="00A11409" w:rsidRDefault="00040C3A" w:rsidP="00A20CD5">
      <w:pPr>
        <w:tabs>
          <w:tab w:val="center" w:pos="5400"/>
        </w:tabs>
        <w:suppressAutoHyphens/>
        <w:jc w:val="both"/>
        <w:rPr>
          <w:rFonts w:ascii="Cambria" w:hAnsi="Cambria"/>
          <w:sz w:val="20"/>
          <w:szCs w:val="20"/>
        </w:rPr>
      </w:pPr>
    </w:p>
    <w:p w:rsidR="00040C3A" w:rsidRPr="00A11409" w:rsidRDefault="00040C3A" w:rsidP="00A20CD5">
      <w:pPr>
        <w:tabs>
          <w:tab w:val="center" w:pos="5400"/>
        </w:tabs>
        <w:suppressAutoHyphens/>
        <w:jc w:val="both"/>
        <w:rPr>
          <w:rFonts w:ascii="Cambria" w:hAnsi="Cambria"/>
          <w:sz w:val="20"/>
          <w:szCs w:val="20"/>
        </w:rPr>
      </w:pPr>
    </w:p>
    <w:p w:rsidR="00A50FCF" w:rsidRPr="00A11409" w:rsidRDefault="00A50FCF" w:rsidP="00A20CD5">
      <w:pPr>
        <w:tabs>
          <w:tab w:val="center" w:pos="5400"/>
        </w:tabs>
        <w:suppressAutoHyphens/>
        <w:jc w:val="both"/>
        <w:rPr>
          <w:rFonts w:ascii="Cambria" w:hAnsi="Cambria"/>
          <w:sz w:val="20"/>
          <w:szCs w:val="20"/>
        </w:rPr>
      </w:pPr>
    </w:p>
    <w:p w:rsidR="00A50FCF" w:rsidRPr="00A11409" w:rsidRDefault="00A50FCF" w:rsidP="00A20CD5">
      <w:pPr>
        <w:tabs>
          <w:tab w:val="center" w:pos="5400"/>
        </w:tabs>
        <w:suppressAutoHyphens/>
        <w:jc w:val="both"/>
        <w:rPr>
          <w:rFonts w:ascii="Cambria" w:hAnsi="Cambria"/>
          <w:sz w:val="20"/>
          <w:szCs w:val="20"/>
        </w:rPr>
      </w:pPr>
    </w:p>
    <w:p w:rsidR="00A50FCF" w:rsidRPr="00A11409" w:rsidRDefault="00A50FCF" w:rsidP="00A20CD5">
      <w:pPr>
        <w:tabs>
          <w:tab w:val="center" w:pos="5400"/>
        </w:tabs>
        <w:suppressAutoHyphens/>
        <w:jc w:val="both"/>
        <w:rPr>
          <w:rFonts w:ascii="Cambria" w:hAnsi="Cambria"/>
          <w:sz w:val="20"/>
          <w:szCs w:val="20"/>
        </w:rPr>
      </w:pPr>
    </w:p>
    <w:p w:rsidR="00A50FCF" w:rsidRPr="00A11409" w:rsidRDefault="00A50FCF" w:rsidP="00A20CD5">
      <w:pPr>
        <w:tabs>
          <w:tab w:val="center" w:pos="5400"/>
        </w:tabs>
        <w:suppressAutoHyphens/>
        <w:jc w:val="both"/>
        <w:rPr>
          <w:rFonts w:ascii="Cambria" w:hAnsi="Cambria"/>
          <w:sz w:val="20"/>
          <w:szCs w:val="20"/>
        </w:rPr>
      </w:pPr>
    </w:p>
    <w:p w:rsidR="00A50FCF" w:rsidRPr="00A11409" w:rsidRDefault="00A50FCF" w:rsidP="00A20CD5">
      <w:pPr>
        <w:tabs>
          <w:tab w:val="center" w:pos="5400"/>
        </w:tabs>
        <w:suppressAutoHyphens/>
        <w:jc w:val="both"/>
        <w:rPr>
          <w:rFonts w:ascii="Cambria" w:hAnsi="Cambria"/>
          <w:sz w:val="20"/>
          <w:szCs w:val="20"/>
        </w:rPr>
      </w:pPr>
    </w:p>
    <w:p w:rsidR="00A50FCF" w:rsidRPr="00A11409" w:rsidRDefault="00A50FCF" w:rsidP="00A20CD5">
      <w:pPr>
        <w:tabs>
          <w:tab w:val="center" w:pos="5400"/>
        </w:tabs>
        <w:suppressAutoHyphens/>
        <w:jc w:val="both"/>
        <w:rPr>
          <w:rFonts w:ascii="Cambria" w:hAnsi="Cambria"/>
          <w:sz w:val="20"/>
          <w:szCs w:val="20"/>
        </w:rPr>
      </w:pPr>
    </w:p>
    <w:p w:rsidR="00A50FCF" w:rsidRPr="00A11409" w:rsidRDefault="00A50FCF" w:rsidP="00A20CD5">
      <w:pPr>
        <w:tabs>
          <w:tab w:val="center" w:pos="5400"/>
        </w:tabs>
        <w:suppressAutoHyphens/>
        <w:jc w:val="both"/>
        <w:rPr>
          <w:rFonts w:ascii="Cambria" w:hAnsi="Cambria"/>
          <w:sz w:val="20"/>
          <w:szCs w:val="20"/>
        </w:rPr>
      </w:pPr>
    </w:p>
    <w:p w:rsidR="00A50FCF" w:rsidRPr="00A11409" w:rsidRDefault="00A50FCF" w:rsidP="00A20CD5">
      <w:pPr>
        <w:tabs>
          <w:tab w:val="center" w:pos="5400"/>
        </w:tabs>
        <w:suppressAutoHyphens/>
        <w:jc w:val="both"/>
        <w:rPr>
          <w:rFonts w:ascii="Cambria" w:hAnsi="Cambria"/>
          <w:sz w:val="20"/>
          <w:szCs w:val="20"/>
        </w:rPr>
      </w:pPr>
    </w:p>
    <w:p w:rsidR="00A50FCF" w:rsidRPr="00A11409" w:rsidRDefault="00A50FCF" w:rsidP="00A20CD5">
      <w:pPr>
        <w:tabs>
          <w:tab w:val="center" w:pos="5400"/>
        </w:tabs>
        <w:suppressAutoHyphens/>
        <w:jc w:val="both"/>
        <w:rPr>
          <w:rFonts w:ascii="Cambria" w:hAnsi="Cambria"/>
          <w:sz w:val="20"/>
          <w:szCs w:val="20"/>
        </w:rPr>
      </w:pPr>
    </w:p>
    <w:p w:rsidR="00A50FCF" w:rsidRPr="00A11409" w:rsidRDefault="00A50FCF" w:rsidP="00A20CD5">
      <w:pPr>
        <w:tabs>
          <w:tab w:val="center" w:pos="5400"/>
        </w:tabs>
        <w:suppressAutoHyphens/>
        <w:jc w:val="both"/>
        <w:rPr>
          <w:rFonts w:ascii="Cambria" w:hAnsi="Cambria"/>
          <w:sz w:val="20"/>
          <w:szCs w:val="20"/>
        </w:rPr>
      </w:pPr>
    </w:p>
    <w:p w:rsidR="00A50FCF" w:rsidRPr="00A11409" w:rsidRDefault="00A50FCF" w:rsidP="00A20CD5">
      <w:pPr>
        <w:tabs>
          <w:tab w:val="center" w:pos="5400"/>
        </w:tabs>
        <w:suppressAutoHyphens/>
        <w:jc w:val="both"/>
        <w:rPr>
          <w:rFonts w:ascii="Cambria" w:hAnsi="Cambria"/>
          <w:sz w:val="20"/>
          <w:szCs w:val="20"/>
        </w:rPr>
      </w:pPr>
    </w:p>
    <w:p w:rsidR="00A50FCF" w:rsidRPr="00A11409" w:rsidRDefault="00A50FCF" w:rsidP="00A20CD5">
      <w:pPr>
        <w:tabs>
          <w:tab w:val="center" w:pos="5400"/>
        </w:tabs>
        <w:suppressAutoHyphens/>
        <w:jc w:val="both"/>
        <w:rPr>
          <w:rFonts w:ascii="Cambria" w:hAnsi="Cambria"/>
          <w:sz w:val="20"/>
          <w:szCs w:val="20"/>
        </w:rPr>
      </w:pPr>
    </w:p>
    <w:p w:rsidR="00A50FCF" w:rsidRPr="00A11409" w:rsidRDefault="00A50FCF" w:rsidP="00A20CD5">
      <w:pPr>
        <w:tabs>
          <w:tab w:val="center" w:pos="5400"/>
        </w:tabs>
        <w:suppressAutoHyphens/>
        <w:jc w:val="both"/>
        <w:rPr>
          <w:rFonts w:ascii="Cambria" w:hAnsi="Cambria"/>
          <w:sz w:val="20"/>
          <w:szCs w:val="20"/>
        </w:rPr>
      </w:pPr>
    </w:p>
    <w:p w:rsidR="00A50FCF" w:rsidRPr="00A11409" w:rsidRDefault="00A50FCF" w:rsidP="00A20CD5">
      <w:pPr>
        <w:tabs>
          <w:tab w:val="center" w:pos="5400"/>
        </w:tabs>
        <w:suppressAutoHyphens/>
        <w:jc w:val="both"/>
        <w:rPr>
          <w:rFonts w:ascii="Cambria" w:hAnsi="Cambria"/>
          <w:sz w:val="20"/>
          <w:szCs w:val="20"/>
        </w:rPr>
      </w:pPr>
    </w:p>
    <w:p w:rsidR="00A50FCF" w:rsidRPr="00A11409" w:rsidRDefault="00435ECE" w:rsidP="00A20CD5">
      <w:pPr>
        <w:tabs>
          <w:tab w:val="center" w:pos="5400"/>
        </w:tabs>
        <w:suppressAutoHyphens/>
        <w:jc w:val="both"/>
        <w:rPr>
          <w:rFonts w:ascii="Cambria" w:hAnsi="Cambria"/>
          <w:sz w:val="20"/>
          <w:szCs w:val="20"/>
        </w:rPr>
      </w:pPr>
      <w:r>
        <w:rPr>
          <w:rFonts w:ascii="Cambria" w:hAnsi="Cambria"/>
          <w:noProof/>
          <w:sz w:val="20"/>
          <w:szCs w:val="20"/>
        </w:rPr>
        <w:pict>
          <v:shape id="Text Box 7" o:spid="_x0000_s1029" type="#_x0000_t202" style="position:absolute;left:0;text-align:left;margin-left:108pt;margin-top:4.2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" filled="f" stroked="f" strokeweight=".5pt">
            <v:path arrowok="t"/>
            <v:textbox>
              <w:txbxContent>
                <w:p w:rsidR="0025354A" w:rsidRPr="007372D2" w:rsidRDefault="0025354A" w:rsidP="00247403">
                  <w:pPr>
                    <w:tabs>
                      <w:tab w:val="center" w:pos="5400"/>
                    </w:tabs>
                    <w:suppressAutoHyphens/>
                    <w:spacing w:before="60"/>
                    <w:rPr>
                      <w:rFonts w:ascii="Cambria" w:hAnsi="Cambria" w:cs="Univers"/>
                      <w:color w:val="0D0D0D"/>
                      <w:sz w:val="18"/>
                      <w:szCs w:val="20"/>
                    </w:rPr>
                  </w:pPr>
                  <w:r>
                    <w:rPr>
                      <w:rFonts w:ascii="Cambria" w:hAnsi="Cambria"/>
                      <w:color w:val="0D0D0D"/>
                      <w:sz w:val="18"/>
                      <w:szCs w:val="20"/>
                    </w:rPr>
                    <w:t xml:space="preserve">Adopted by the Commission at meeting No. </w:t>
                  </w:r>
                  <w:r w:rsidR="00215DD5">
                    <w:rPr>
                      <w:rFonts w:ascii="Cambria" w:hAnsi="Cambria"/>
                      <w:color w:val="0D0D0D"/>
                      <w:sz w:val="18"/>
                      <w:szCs w:val="20"/>
                    </w:rPr>
                    <w:t>2083</w:t>
                  </w:r>
                  <w:r>
                    <w:rPr>
                      <w:rFonts w:ascii="Cambria" w:hAnsi="Cambria"/>
                      <w:color w:val="0D0D0D"/>
                      <w:sz w:val="18"/>
                      <w:szCs w:val="20"/>
                    </w:rPr>
                    <w:t xml:space="preserve"> held on </w:t>
                  </w:r>
                  <w:r w:rsidR="00215DD5">
                    <w:rPr>
                      <w:rFonts w:ascii="Cambria" w:hAnsi="Cambria"/>
                      <w:color w:val="0D0D0D"/>
                      <w:sz w:val="18"/>
                      <w:szCs w:val="20"/>
                    </w:rPr>
                    <w:t>May 23, 2017</w:t>
                  </w:r>
                  <w:r w:rsidR="00215DD5">
                    <w:rPr>
                      <w:rFonts w:ascii="Cambria" w:hAnsi="Cambria"/>
                      <w:color w:val="0D0D0D"/>
                      <w:sz w:val="18"/>
                      <w:szCs w:val="20"/>
                    </w:rPr>
                    <w:br/>
                    <w:t>162 Special Session</w:t>
                  </w:r>
                </w:p>
                <w:p w:rsidR="0025354A" w:rsidRPr="007372D2" w:rsidRDefault="0025354A" w:rsidP="00247403">
                  <w:pPr>
                    <w:tabs>
                      <w:tab w:val="center" w:pos="5400"/>
                    </w:tabs>
                    <w:suppressAutoHyphens/>
                    <w:spacing w:before="60"/>
                    <w:rPr>
                      <w:rFonts w:ascii="Calibri" w:hAnsi="Calibri" w:cs="Univers"/>
                      <w:color w:val="0D0D0D"/>
                      <w:sz w:val="20"/>
                      <w:szCs w:val="20"/>
                    </w:rPr>
                  </w:pPr>
                </w:p>
                <w:p w:rsidR="0025354A" w:rsidRPr="007372D2" w:rsidRDefault="0025354A" w:rsidP="0059191A">
                  <w:pPr>
                    <w:tabs>
                      <w:tab w:val="center" w:pos="5400"/>
                    </w:tabs>
                    <w:suppressAutoHyphens/>
                    <w:spacing w:before="60"/>
                    <w:rPr>
                      <w:rFonts w:ascii="Calibri" w:hAnsi="Calibri"/>
                      <w:color w:val="FFFFFF"/>
                      <w:spacing w:val="-2"/>
                      <w:sz w:val="16"/>
                    </w:rPr>
                  </w:pPr>
                </w:p>
              </w:txbxContent>
            </v:textbox>
          </v:shape>
        </w:pict>
      </w:r>
    </w:p>
    <w:p w:rsidR="00A50FCF" w:rsidRPr="00A11409" w:rsidRDefault="00A50FCF" w:rsidP="00A20CD5">
      <w:pPr>
        <w:tabs>
          <w:tab w:val="center" w:pos="5400"/>
        </w:tabs>
        <w:suppressAutoHyphens/>
        <w:jc w:val="both"/>
        <w:rPr>
          <w:rFonts w:ascii="Cambria" w:hAnsi="Cambria"/>
          <w:sz w:val="20"/>
          <w:szCs w:val="20"/>
        </w:rPr>
      </w:pPr>
    </w:p>
    <w:p w:rsidR="00A50FCF" w:rsidRPr="00A11409" w:rsidRDefault="00A50FCF" w:rsidP="00A20CD5">
      <w:pPr>
        <w:tabs>
          <w:tab w:val="center" w:pos="5400"/>
        </w:tabs>
        <w:suppressAutoHyphens/>
        <w:jc w:val="both"/>
        <w:rPr>
          <w:rFonts w:ascii="Cambria" w:hAnsi="Cambria"/>
          <w:sz w:val="20"/>
          <w:szCs w:val="20"/>
        </w:rPr>
      </w:pPr>
    </w:p>
    <w:p w:rsidR="00A50FCF" w:rsidRPr="00A11409" w:rsidRDefault="00A50FCF" w:rsidP="00A20CD5">
      <w:pPr>
        <w:tabs>
          <w:tab w:val="center" w:pos="5400"/>
        </w:tabs>
        <w:suppressAutoHyphens/>
        <w:jc w:val="both"/>
        <w:rPr>
          <w:rFonts w:ascii="Cambria" w:hAnsi="Cambria"/>
          <w:sz w:val="20"/>
          <w:szCs w:val="20"/>
        </w:rPr>
      </w:pPr>
    </w:p>
    <w:p w:rsidR="00A50FCF" w:rsidRPr="00A11409" w:rsidRDefault="00A50FCF" w:rsidP="00A20CD5">
      <w:pPr>
        <w:tabs>
          <w:tab w:val="center" w:pos="5400"/>
        </w:tabs>
        <w:suppressAutoHyphens/>
        <w:jc w:val="both"/>
        <w:rPr>
          <w:rFonts w:ascii="Cambria" w:hAnsi="Cambria"/>
          <w:sz w:val="20"/>
          <w:szCs w:val="20"/>
        </w:rPr>
      </w:pPr>
    </w:p>
    <w:p w:rsidR="00A50FCF" w:rsidRPr="00A11409" w:rsidRDefault="00435ECE" w:rsidP="00A20CD5">
      <w:pPr>
        <w:tabs>
          <w:tab w:val="center" w:pos="5400"/>
        </w:tabs>
        <w:suppressAutoHyphens/>
        <w:jc w:val="both"/>
        <w:rPr>
          <w:rFonts w:ascii="Cambria" w:hAnsi="Cambria"/>
          <w:sz w:val="20"/>
          <w:szCs w:val="20"/>
        </w:rPr>
      </w:pPr>
      <w:r>
        <w:rPr>
          <w:rFonts w:ascii="Cambria" w:hAnsi="Cambria"/>
          <w:noProof/>
          <w:sz w:val="20"/>
          <w:szCs w:val="20"/>
        </w:rPr>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" filled="f" stroked="f" strokeweight=".5pt">
            <v:path arrowok="t"/>
            <v:textbox>
              <w:txbxContent>
                <w:p w:rsidR="0025354A" w:rsidRPr="002C6DD2" w:rsidRDefault="0025354A" w:rsidP="00FB2A16">
                  <w:pPr>
                    <w:spacing w:line="276" w:lineRule="auto"/>
                    <w:jc w:val="both"/>
                    <w:rPr>
                      <w:rFonts w:ascii="Cambria" w:hAnsi="Cambria"/>
                      <w:color w:val="595959"/>
                      <w:sz w:val="18"/>
                      <w:szCs w:val="18"/>
                    </w:rPr>
                  </w:pPr>
                  <w:r>
                    <w:rPr>
                      <w:rFonts w:ascii="Cambria" w:hAnsi="Cambria"/>
                      <w:b/>
                      <w:bCs/>
                      <w:color w:val="595959"/>
                      <w:sz w:val="18"/>
                      <w:szCs w:val="18"/>
                    </w:rPr>
                    <w:t>Cite as:</w:t>
                  </w:r>
                  <w:r>
                    <w:rPr>
                      <w:rFonts w:ascii="Cambria" w:hAnsi="Cambria"/>
                      <w:color w:val="595959"/>
                      <w:sz w:val="18"/>
                      <w:szCs w:val="18"/>
                    </w:rPr>
                    <w:t xml:space="preserve"> IACHR, Report No. </w:t>
                  </w:r>
                  <w:r w:rsidR="00215DD5">
                    <w:rPr>
                      <w:rFonts w:ascii="Cambria" w:hAnsi="Cambria"/>
                      <w:color w:val="595959"/>
                      <w:sz w:val="18"/>
                      <w:szCs w:val="18"/>
                    </w:rPr>
                    <w:t>40/17</w:t>
                  </w:r>
                  <w:r>
                    <w:rPr>
                      <w:rFonts w:ascii="Cambria" w:hAnsi="Cambria"/>
                      <w:color w:val="595959"/>
                      <w:sz w:val="18"/>
                      <w:szCs w:val="18"/>
                    </w:rPr>
                    <w:t xml:space="preserve">, Case 12.197, Merits, Ramón Rosendo Carranza </w:t>
                  </w:r>
                  <w:proofErr w:type="spellStart"/>
                  <w:r>
                    <w:rPr>
                      <w:rFonts w:ascii="Cambria" w:hAnsi="Cambria"/>
                      <w:color w:val="595959"/>
                      <w:sz w:val="18"/>
                      <w:szCs w:val="18"/>
                    </w:rPr>
                    <w:t>Alarcón</w:t>
                  </w:r>
                  <w:proofErr w:type="spellEnd"/>
                  <w:r>
                    <w:rPr>
                      <w:rFonts w:ascii="Cambria" w:hAnsi="Cambria"/>
                      <w:color w:val="595959"/>
                      <w:sz w:val="18"/>
                      <w:szCs w:val="18"/>
                    </w:rPr>
                    <w:t xml:space="preserve">, Ecuador, </w:t>
                  </w:r>
                  <w:r w:rsidR="00215DD5">
                    <w:rPr>
                      <w:rFonts w:ascii="Cambria" w:hAnsi="Cambria"/>
                      <w:color w:val="595959"/>
                      <w:sz w:val="18"/>
                      <w:szCs w:val="18"/>
                    </w:rPr>
                    <w:t>May 23,</w:t>
                  </w:r>
                  <w:r>
                    <w:rPr>
                      <w:rFonts w:ascii="Cambria" w:hAnsi="Cambria"/>
                      <w:color w:val="595959"/>
                      <w:sz w:val="18"/>
                      <w:szCs w:val="18"/>
                    </w:rPr>
                    <w:t xml:space="preserve"> 2017. </w:t>
                  </w:r>
                </w:p>
              </w:txbxContent>
            </v:textbox>
          </v:shape>
        </w:pict>
      </w:r>
    </w:p>
    <w:p w:rsidR="00A50FCF" w:rsidRPr="00A11409" w:rsidRDefault="00A50FCF" w:rsidP="00A20CD5">
      <w:pPr>
        <w:tabs>
          <w:tab w:val="center" w:pos="5400"/>
        </w:tabs>
        <w:suppressAutoHyphens/>
        <w:jc w:val="both"/>
        <w:rPr>
          <w:rFonts w:ascii="Cambria" w:hAnsi="Cambria"/>
          <w:sz w:val="20"/>
          <w:szCs w:val="20"/>
        </w:rPr>
      </w:pPr>
    </w:p>
    <w:p w:rsidR="0090270B" w:rsidRPr="00A11409" w:rsidRDefault="00435ECE" w:rsidP="00A20CD5">
      <w:pPr>
        <w:tabs>
          <w:tab w:val="center" w:pos="5400"/>
        </w:tabs>
        <w:suppressAutoHyphens/>
        <w:jc w:val="both"/>
        <w:rPr>
          <w:rFonts w:ascii="Cambria" w:hAnsi="Cambria"/>
          <w:b/>
          <w:sz w:val="20"/>
          <w:szCs w:val="20"/>
        </w:rPr>
      </w:pPr>
      <w:r>
        <w:rPr>
          <w:rFonts w:ascii="Cambria" w:hAnsi="Cambria"/>
          <w:noProof/>
          <w:sz w:val="20"/>
          <w:szCs w:val="20"/>
        </w:rPr>
        <w:pict>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" fillcolor="window" stroked="f" strokeweight=".5pt">
            <v:path arrowok="t"/>
            <v:textbox>
              <w:txbxContent>
                <w:p w:rsidR="0025354A" w:rsidRPr="007372D2" w:rsidRDefault="00A318DC" w:rsidP="00F02AD1">
                  <w:pPr>
                    <w:rPr>
                      <w:color w:val="FFFFFF"/>
                    </w:rPr>
                  </w:pPr>
                  <w:r>
                    <w:rPr>
                      <w:noProof/>
                      <w:color w:val="FFFFFF"/>
                    </w:rPr>
                    <w:drawing>
                      <wp:inline distT="0" distB="0" distL="0" distR="0">
                        <wp:extent cx="1341120" cy="386080"/>
                        <wp:effectExtent l="0" t="0" r="5080" b="0"/>
                        <wp:docPr id="4" name="Picture 15" descr="Description: 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1120" cy="386080"/>
                                </a:xfrm>
                                <a:prstGeom prst="rect">
                                  <a:avLst/>
                                </a:prstGeom>
                                <a:noFill/>
                                <a:ln>
                                  <a:noFill/>
                                </a:ln>
                              </pic:spPr>
                            </pic:pic>
                          </a:graphicData>
                        </a:graphic>
                      </wp:inline>
                    </w:drawing>
                  </w:r>
                </w:p>
              </w:txbxContent>
            </v:textbox>
          </v:shape>
        </w:pict>
      </w:r>
      <w:r>
        <w:rPr>
          <w:rFonts w:ascii="Cambria" w:hAnsi="Cambria"/>
          <w:noProof/>
          <w:sz w:val="20"/>
          <w:szCs w:val="20"/>
        </w:rPr>
        <w:pict>
          <v:shape id="Text Box 4" o:spid="_x0000_s1032" type="#_x0000_t202" style="position:absolute;left:0;text-align:left;margin-left:-21.4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" filled="f" stroked="f" strokeweight=".5pt">
            <v:path arrowok="t"/>
            <v:textbox>
              <w:txbxContent>
                <w:p w:rsidR="0025354A" w:rsidRPr="007372D2" w:rsidRDefault="0025354A" w:rsidP="00D306D1">
                  <w:pPr>
                    <w:jc w:val="center"/>
                    <w:rPr>
                      <w:rFonts w:ascii="Calibri" w:hAnsi="Calibri"/>
                      <w:b/>
                      <w:color w:val="FFFFFF"/>
                    </w:rPr>
                  </w:pPr>
                  <w:r>
                    <w:rPr>
                      <w:rFonts w:ascii="Calibri" w:hAnsi="Calibri"/>
                      <w:b/>
                      <w:bCs/>
                      <w:color w:val="FFFFFF"/>
                    </w:rPr>
                    <w:t>www.cidh.org</w:t>
                  </w:r>
                </w:p>
              </w:txbxContent>
            </v:textbox>
          </v:shape>
        </w:pict>
      </w:r>
    </w:p>
    <w:p w:rsidR="0070697F" w:rsidRPr="00A11409" w:rsidRDefault="0070697F" w:rsidP="00A20CD5">
      <w:pPr>
        <w:tabs>
          <w:tab w:val="center" w:pos="5400"/>
        </w:tabs>
        <w:suppressAutoHyphens/>
        <w:jc w:val="both"/>
        <w:rPr>
          <w:rFonts w:ascii="Cambria" w:hAnsi="Cambria"/>
          <w:b/>
          <w:sz w:val="20"/>
          <w:szCs w:val="20"/>
        </w:rPr>
        <w:sectPr w:rsidR="0070697F" w:rsidRPr="00A11409"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722C9F" w:rsidRPr="00EA30EB" w:rsidRDefault="00722C9F" w:rsidP="00C140DA">
      <w:pPr>
        <w:tabs>
          <w:tab w:val="center" w:pos="5400"/>
        </w:tabs>
        <w:suppressAutoHyphens/>
        <w:spacing w:line="276" w:lineRule="auto"/>
        <w:jc w:val="center"/>
        <w:rPr>
          <w:rFonts w:ascii="Cambria" w:hAnsi="Cambria"/>
          <w:b/>
          <w:sz w:val="18"/>
          <w:szCs w:val="18"/>
          <w:lang w:val="es-ES"/>
        </w:rPr>
      </w:pPr>
      <w:r w:rsidRPr="00EA30EB">
        <w:rPr>
          <w:rFonts w:ascii="Cambria" w:hAnsi="Cambria"/>
          <w:b/>
          <w:bCs/>
          <w:sz w:val="18"/>
          <w:szCs w:val="18"/>
          <w:lang w:val="es-ES"/>
        </w:rPr>
        <w:lastRenderedPageBreak/>
        <w:t>REPORT No.</w:t>
      </w:r>
      <w:r w:rsidRPr="00EA30EB">
        <w:rPr>
          <w:rFonts w:ascii="Cambria" w:hAnsi="Cambria"/>
          <w:sz w:val="18"/>
          <w:szCs w:val="18"/>
          <w:lang w:val="es-ES"/>
        </w:rPr>
        <w:t xml:space="preserve"> </w:t>
      </w:r>
      <w:r w:rsidR="00215DD5" w:rsidRPr="00EA30EB">
        <w:rPr>
          <w:rFonts w:ascii="Cambria" w:hAnsi="Cambria"/>
          <w:b/>
          <w:bCs/>
          <w:sz w:val="18"/>
          <w:szCs w:val="18"/>
          <w:lang w:val="es-ES"/>
        </w:rPr>
        <w:t>40</w:t>
      </w:r>
      <w:r w:rsidRPr="00EA30EB">
        <w:rPr>
          <w:rFonts w:ascii="Cambria" w:hAnsi="Cambria"/>
          <w:b/>
          <w:bCs/>
          <w:sz w:val="18"/>
          <w:szCs w:val="18"/>
          <w:lang w:val="es-ES"/>
        </w:rPr>
        <w:t>/17</w:t>
      </w:r>
    </w:p>
    <w:p w:rsidR="00722C9F" w:rsidRPr="00EA30EB" w:rsidRDefault="00722C9F" w:rsidP="00C140DA">
      <w:pPr>
        <w:tabs>
          <w:tab w:val="center" w:pos="5400"/>
        </w:tabs>
        <w:suppressAutoHyphens/>
        <w:spacing w:line="276" w:lineRule="auto"/>
        <w:jc w:val="center"/>
        <w:rPr>
          <w:rFonts w:ascii="Cambria" w:hAnsi="Cambria"/>
          <w:b/>
          <w:sz w:val="18"/>
          <w:szCs w:val="18"/>
          <w:lang w:val="es-ES"/>
        </w:rPr>
      </w:pPr>
      <w:r w:rsidRPr="00EA30EB">
        <w:rPr>
          <w:rFonts w:ascii="Cambria" w:hAnsi="Cambria"/>
          <w:b/>
          <w:bCs/>
          <w:sz w:val="18"/>
          <w:szCs w:val="18"/>
          <w:lang w:val="es-ES"/>
        </w:rPr>
        <w:t>CASE 12.197</w:t>
      </w:r>
    </w:p>
    <w:p w:rsidR="00722C9F" w:rsidRPr="00EA30EB" w:rsidRDefault="00722C9F" w:rsidP="00C140DA">
      <w:pPr>
        <w:tabs>
          <w:tab w:val="center" w:pos="5400"/>
        </w:tabs>
        <w:suppressAutoHyphens/>
        <w:spacing w:line="276" w:lineRule="auto"/>
        <w:jc w:val="center"/>
        <w:rPr>
          <w:rFonts w:ascii="Cambria" w:hAnsi="Cambria"/>
          <w:sz w:val="18"/>
          <w:szCs w:val="18"/>
          <w:lang w:val="es-ES"/>
        </w:rPr>
      </w:pPr>
      <w:r w:rsidRPr="00EA30EB">
        <w:rPr>
          <w:rFonts w:ascii="Cambria" w:hAnsi="Cambria"/>
          <w:sz w:val="18"/>
          <w:szCs w:val="18"/>
          <w:lang w:val="es-ES"/>
        </w:rPr>
        <w:t>MERITS</w:t>
      </w:r>
    </w:p>
    <w:p w:rsidR="00722C9F" w:rsidRPr="0094532B" w:rsidRDefault="00BF7A83" w:rsidP="00C140DA">
      <w:pPr>
        <w:tabs>
          <w:tab w:val="center" w:pos="5400"/>
        </w:tabs>
        <w:suppressAutoHyphens/>
        <w:spacing w:line="276" w:lineRule="auto"/>
        <w:jc w:val="center"/>
        <w:rPr>
          <w:rFonts w:ascii="Cambria" w:hAnsi="Cambria"/>
          <w:sz w:val="18"/>
          <w:szCs w:val="18"/>
          <w:lang w:val="es-MX"/>
        </w:rPr>
      </w:pPr>
      <w:r w:rsidRPr="0094532B">
        <w:rPr>
          <w:rFonts w:ascii="Cambria" w:hAnsi="Cambria"/>
          <w:sz w:val="18"/>
          <w:szCs w:val="18"/>
          <w:lang w:val="es-MX"/>
        </w:rPr>
        <w:t>RAMÓN ROSENDO CARRANZA ALARCÓN</w:t>
      </w:r>
    </w:p>
    <w:p w:rsidR="0070697F" w:rsidRPr="0094532B" w:rsidRDefault="005B585D" w:rsidP="00C140DA">
      <w:pPr>
        <w:tabs>
          <w:tab w:val="center" w:pos="5400"/>
        </w:tabs>
        <w:suppressAutoHyphens/>
        <w:spacing w:line="276" w:lineRule="auto"/>
        <w:jc w:val="center"/>
        <w:rPr>
          <w:rFonts w:ascii="Cambria" w:hAnsi="Cambria"/>
          <w:sz w:val="18"/>
          <w:szCs w:val="18"/>
          <w:lang w:val="es-MX"/>
        </w:rPr>
      </w:pPr>
      <w:r w:rsidRPr="0094532B">
        <w:rPr>
          <w:rFonts w:ascii="Cambria" w:hAnsi="Cambria"/>
          <w:sz w:val="18"/>
          <w:szCs w:val="18"/>
          <w:lang w:val="es-MX"/>
        </w:rPr>
        <w:t>ECUADOR</w:t>
      </w:r>
    </w:p>
    <w:p w:rsidR="00722C9F" w:rsidRPr="0094532B" w:rsidRDefault="00215DD5" w:rsidP="00C140DA">
      <w:pPr>
        <w:tabs>
          <w:tab w:val="center" w:pos="5400"/>
        </w:tabs>
        <w:suppressAutoHyphens/>
        <w:spacing w:line="276" w:lineRule="auto"/>
        <w:jc w:val="center"/>
        <w:rPr>
          <w:rFonts w:ascii="Cambria" w:hAnsi="Cambria"/>
          <w:sz w:val="18"/>
          <w:szCs w:val="18"/>
          <w:lang w:val="es-MX"/>
        </w:rPr>
      </w:pPr>
      <w:r>
        <w:rPr>
          <w:rFonts w:ascii="Cambria" w:hAnsi="Cambria"/>
          <w:sz w:val="18"/>
          <w:szCs w:val="18"/>
          <w:lang w:val="es-MX"/>
        </w:rPr>
        <w:t xml:space="preserve">MAY 23, </w:t>
      </w:r>
      <w:r w:rsidR="00C140DA" w:rsidRPr="0094532B">
        <w:rPr>
          <w:rFonts w:ascii="Cambria" w:hAnsi="Cambria"/>
          <w:sz w:val="18"/>
          <w:szCs w:val="18"/>
          <w:lang w:val="es-MX"/>
        </w:rPr>
        <w:t>2017</w:t>
      </w:r>
    </w:p>
    <w:p w:rsidR="00722C9F" w:rsidRPr="0094532B" w:rsidRDefault="00722C9F" w:rsidP="00A20CD5">
      <w:pPr>
        <w:tabs>
          <w:tab w:val="center" w:pos="5400"/>
        </w:tabs>
        <w:suppressAutoHyphens/>
        <w:spacing w:line="276" w:lineRule="auto"/>
        <w:jc w:val="both"/>
        <w:rPr>
          <w:rFonts w:ascii="Cambria" w:hAnsi="Cambria"/>
          <w:sz w:val="20"/>
          <w:szCs w:val="20"/>
          <w:lang w:val="es-MX"/>
        </w:rPr>
      </w:pPr>
    </w:p>
    <w:p w:rsidR="00722C9F" w:rsidRPr="00215DD5" w:rsidRDefault="00722C9F" w:rsidP="00C140DA">
      <w:pPr>
        <w:tabs>
          <w:tab w:val="center" w:pos="5400"/>
        </w:tabs>
        <w:suppressAutoHyphens/>
        <w:spacing w:line="276" w:lineRule="auto"/>
        <w:jc w:val="center"/>
        <w:rPr>
          <w:rFonts w:ascii="Cambria" w:hAnsi="Cambria"/>
          <w:b/>
          <w:sz w:val="20"/>
          <w:szCs w:val="20"/>
        </w:rPr>
      </w:pPr>
      <w:r w:rsidRPr="00215DD5">
        <w:rPr>
          <w:rFonts w:ascii="Cambria" w:hAnsi="Cambria"/>
          <w:b/>
          <w:bCs/>
          <w:sz w:val="20"/>
          <w:szCs w:val="20"/>
        </w:rPr>
        <w:t>CONTENTS</w:t>
      </w:r>
    </w:p>
    <w:p w:rsidR="0070697F" w:rsidRDefault="0070697F" w:rsidP="00A20CD5">
      <w:pPr>
        <w:tabs>
          <w:tab w:val="center" w:pos="5400"/>
        </w:tabs>
        <w:suppressAutoHyphens/>
        <w:spacing w:line="276" w:lineRule="auto"/>
        <w:jc w:val="both"/>
        <w:rPr>
          <w:rFonts w:ascii="Cambria" w:hAnsi="Cambria"/>
          <w:sz w:val="20"/>
          <w:szCs w:val="20"/>
        </w:rPr>
      </w:pPr>
    </w:p>
    <w:p w:rsidR="00587B56" w:rsidRPr="00215DD5" w:rsidRDefault="00587B56" w:rsidP="00587B56">
      <w:pPr>
        <w:pStyle w:val="TOC1"/>
        <w:tabs>
          <w:tab w:val="left" w:pos="720"/>
          <w:tab w:val="left" w:pos="1440"/>
          <w:tab w:val="right" w:leader="dot" w:pos="9350"/>
        </w:tabs>
        <w:rPr>
          <w:rFonts w:asciiTheme="majorHAnsi" w:eastAsia="Times New Roman" w:hAnsiTheme="majorHAnsi"/>
          <w:b/>
          <w:noProof/>
          <w:sz w:val="20"/>
          <w:szCs w:val="20"/>
          <w:bdr w:val="none" w:sz="0" w:space="0" w:color="auto"/>
        </w:rPr>
      </w:pPr>
      <w:r w:rsidRPr="00215DD5">
        <w:rPr>
          <w:rFonts w:asciiTheme="majorHAnsi" w:hAnsiTheme="majorHAnsi"/>
          <w:sz w:val="20"/>
          <w:szCs w:val="20"/>
        </w:rPr>
        <w:fldChar w:fldCharType="begin"/>
      </w:r>
      <w:r w:rsidRPr="00215DD5">
        <w:rPr>
          <w:rFonts w:asciiTheme="majorHAnsi" w:hAnsiTheme="majorHAnsi"/>
          <w:sz w:val="20"/>
          <w:szCs w:val="20"/>
        </w:rPr>
        <w:instrText xml:space="preserve"> TOC \o "1-3" \h \z \u </w:instrText>
      </w:r>
      <w:r w:rsidRPr="00215DD5">
        <w:rPr>
          <w:rFonts w:asciiTheme="majorHAnsi" w:hAnsiTheme="majorHAnsi"/>
          <w:sz w:val="20"/>
          <w:szCs w:val="20"/>
        </w:rPr>
        <w:fldChar w:fldCharType="separate"/>
      </w:r>
      <w:hyperlink w:anchor="_Toc482278236" w:history="1">
        <w:r w:rsidRPr="00215DD5">
          <w:rPr>
            <w:rStyle w:val="Hyperlink"/>
            <w:rFonts w:asciiTheme="majorHAnsi" w:hAnsiTheme="majorHAnsi"/>
            <w:b/>
            <w:noProof/>
            <w:sz w:val="20"/>
            <w:szCs w:val="20"/>
          </w:rPr>
          <w:t>I.</w:t>
        </w:r>
        <w:r w:rsidRPr="00215DD5">
          <w:rPr>
            <w:rFonts w:asciiTheme="majorHAnsi" w:eastAsia="Times New Roman" w:hAnsiTheme="majorHAnsi"/>
            <w:b/>
            <w:noProof/>
            <w:sz w:val="20"/>
            <w:szCs w:val="20"/>
            <w:bdr w:val="none" w:sz="0" w:space="0" w:color="auto"/>
          </w:rPr>
          <w:tab/>
        </w:r>
        <w:r w:rsidR="00D96AC7" w:rsidRPr="00215DD5">
          <w:rPr>
            <w:rFonts w:asciiTheme="majorHAnsi" w:eastAsia="Times New Roman" w:hAnsiTheme="majorHAnsi"/>
            <w:b/>
            <w:noProof/>
            <w:sz w:val="20"/>
            <w:szCs w:val="20"/>
            <w:bdr w:val="none" w:sz="0" w:space="0" w:color="auto"/>
          </w:rPr>
          <w:t>SUMMARY</w:t>
        </w:r>
        <w:r w:rsidRPr="00215DD5">
          <w:rPr>
            <w:rFonts w:asciiTheme="majorHAnsi" w:hAnsiTheme="majorHAnsi"/>
            <w:b/>
            <w:noProof/>
            <w:webHidden/>
            <w:sz w:val="20"/>
            <w:szCs w:val="20"/>
          </w:rPr>
          <w:tab/>
        </w:r>
        <w:r w:rsidRPr="00215DD5">
          <w:rPr>
            <w:rFonts w:asciiTheme="majorHAnsi" w:hAnsiTheme="majorHAnsi"/>
            <w:b/>
            <w:noProof/>
            <w:webHidden/>
            <w:sz w:val="20"/>
            <w:szCs w:val="20"/>
          </w:rPr>
          <w:fldChar w:fldCharType="begin"/>
        </w:r>
        <w:r w:rsidRPr="00215DD5">
          <w:rPr>
            <w:rFonts w:asciiTheme="majorHAnsi" w:hAnsiTheme="majorHAnsi"/>
            <w:b/>
            <w:noProof/>
            <w:webHidden/>
            <w:sz w:val="20"/>
            <w:szCs w:val="20"/>
          </w:rPr>
          <w:instrText xml:space="preserve"> PAGEREF _Toc482278236 \h </w:instrText>
        </w:r>
        <w:r w:rsidRPr="00215DD5">
          <w:rPr>
            <w:rFonts w:asciiTheme="majorHAnsi" w:hAnsiTheme="majorHAnsi"/>
            <w:b/>
            <w:noProof/>
            <w:webHidden/>
            <w:sz w:val="20"/>
            <w:szCs w:val="20"/>
          </w:rPr>
        </w:r>
        <w:r w:rsidRPr="00215DD5">
          <w:rPr>
            <w:rFonts w:asciiTheme="majorHAnsi" w:hAnsiTheme="majorHAnsi"/>
            <w:b/>
            <w:noProof/>
            <w:webHidden/>
            <w:sz w:val="20"/>
            <w:szCs w:val="20"/>
          </w:rPr>
          <w:fldChar w:fldCharType="separate"/>
        </w:r>
        <w:r w:rsidR="0094532B" w:rsidRPr="00215DD5">
          <w:rPr>
            <w:rFonts w:asciiTheme="majorHAnsi" w:hAnsiTheme="majorHAnsi"/>
            <w:b/>
            <w:noProof/>
            <w:webHidden/>
            <w:sz w:val="20"/>
            <w:szCs w:val="20"/>
          </w:rPr>
          <w:t>2</w:t>
        </w:r>
        <w:r w:rsidRPr="00215DD5">
          <w:rPr>
            <w:rFonts w:asciiTheme="majorHAnsi" w:hAnsiTheme="majorHAnsi"/>
            <w:b/>
            <w:noProof/>
            <w:webHidden/>
            <w:sz w:val="20"/>
            <w:szCs w:val="20"/>
          </w:rPr>
          <w:fldChar w:fldCharType="end"/>
        </w:r>
      </w:hyperlink>
    </w:p>
    <w:p w:rsidR="00215DD5" w:rsidRPr="00215DD5" w:rsidRDefault="00215DD5" w:rsidP="00587B56">
      <w:pPr>
        <w:pStyle w:val="TOC1"/>
        <w:tabs>
          <w:tab w:val="left" w:pos="720"/>
          <w:tab w:val="left" w:pos="1440"/>
          <w:tab w:val="right" w:leader="dot" w:pos="9350"/>
        </w:tabs>
        <w:rPr>
          <w:rFonts w:asciiTheme="majorHAnsi" w:hAnsiTheme="majorHAnsi"/>
          <w:b/>
          <w:sz w:val="20"/>
          <w:szCs w:val="20"/>
        </w:rPr>
      </w:pPr>
    </w:p>
    <w:p w:rsidR="00587B56" w:rsidRPr="00215DD5" w:rsidRDefault="00435ECE" w:rsidP="00587B56">
      <w:pPr>
        <w:pStyle w:val="TOC1"/>
        <w:tabs>
          <w:tab w:val="left" w:pos="720"/>
          <w:tab w:val="left" w:pos="1440"/>
          <w:tab w:val="right" w:leader="dot" w:pos="9350"/>
        </w:tabs>
        <w:rPr>
          <w:rFonts w:asciiTheme="majorHAnsi" w:eastAsia="Times New Roman" w:hAnsiTheme="majorHAnsi"/>
          <w:b/>
          <w:noProof/>
          <w:sz w:val="20"/>
          <w:szCs w:val="20"/>
          <w:bdr w:val="none" w:sz="0" w:space="0" w:color="auto"/>
        </w:rPr>
      </w:pPr>
      <w:hyperlink w:anchor="_Toc482278237" w:history="1">
        <w:r w:rsidR="00B72D94" w:rsidRPr="00215DD5">
          <w:rPr>
            <w:rStyle w:val="Hyperlink"/>
            <w:rFonts w:asciiTheme="majorHAnsi" w:hAnsiTheme="majorHAnsi"/>
            <w:b/>
            <w:noProof/>
            <w:sz w:val="20"/>
            <w:szCs w:val="20"/>
          </w:rPr>
          <w:t>II.</w:t>
        </w:r>
        <w:r w:rsidR="00B72D94" w:rsidRPr="00215DD5">
          <w:rPr>
            <w:rFonts w:asciiTheme="majorHAnsi" w:eastAsia="Times New Roman" w:hAnsiTheme="majorHAnsi"/>
            <w:b/>
            <w:noProof/>
            <w:sz w:val="20"/>
            <w:szCs w:val="20"/>
            <w:bdr w:val="none" w:sz="0" w:space="0" w:color="auto"/>
          </w:rPr>
          <w:tab/>
        </w:r>
        <w:r w:rsidR="00D96AC7" w:rsidRPr="00215DD5">
          <w:rPr>
            <w:rFonts w:asciiTheme="majorHAnsi" w:eastAsia="Times New Roman" w:hAnsiTheme="majorHAnsi"/>
            <w:b/>
            <w:noProof/>
            <w:sz w:val="20"/>
            <w:szCs w:val="20"/>
            <w:bdr w:val="none" w:sz="0" w:space="0" w:color="auto"/>
          </w:rPr>
          <w:t>PROCEEDINGS BEFORE THE COMMISSION</w:t>
        </w:r>
        <w:r w:rsidR="00B72D94" w:rsidRPr="00215DD5">
          <w:rPr>
            <w:rFonts w:asciiTheme="majorHAnsi" w:hAnsiTheme="majorHAnsi"/>
            <w:b/>
            <w:noProof/>
            <w:webHidden/>
            <w:sz w:val="20"/>
            <w:szCs w:val="20"/>
          </w:rPr>
          <w:tab/>
        </w:r>
        <w:r w:rsidR="00B72D94" w:rsidRPr="00215DD5">
          <w:rPr>
            <w:rFonts w:asciiTheme="majorHAnsi" w:hAnsiTheme="majorHAnsi"/>
            <w:b/>
            <w:noProof/>
            <w:webHidden/>
            <w:sz w:val="20"/>
            <w:szCs w:val="20"/>
          </w:rPr>
          <w:fldChar w:fldCharType="begin"/>
        </w:r>
        <w:r w:rsidR="00B72D94" w:rsidRPr="00215DD5">
          <w:rPr>
            <w:rFonts w:asciiTheme="majorHAnsi" w:hAnsiTheme="majorHAnsi"/>
            <w:b/>
            <w:noProof/>
            <w:webHidden/>
            <w:sz w:val="20"/>
            <w:szCs w:val="20"/>
          </w:rPr>
          <w:instrText xml:space="preserve"> PAGEREF _Toc482278237 \h </w:instrText>
        </w:r>
        <w:r w:rsidR="00B72D94" w:rsidRPr="00215DD5">
          <w:rPr>
            <w:rFonts w:asciiTheme="majorHAnsi" w:hAnsiTheme="majorHAnsi"/>
            <w:b/>
            <w:noProof/>
            <w:webHidden/>
            <w:sz w:val="20"/>
            <w:szCs w:val="20"/>
          </w:rPr>
        </w:r>
        <w:r w:rsidR="00B72D94" w:rsidRPr="00215DD5">
          <w:rPr>
            <w:rFonts w:asciiTheme="majorHAnsi" w:hAnsiTheme="majorHAnsi"/>
            <w:b/>
            <w:noProof/>
            <w:webHidden/>
            <w:sz w:val="20"/>
            <w:szCs w:val="20"/>
          </w:rPr>
          <w:fldChar w:fldCharType="separate"/>
        </w:r>
        <w:r w:rsidR="0094532B" w:rsidRPr="00215DD5">
          <w:rPr>
            <w:rFonts w:asciiTheme="majorHAnsi" w:hAnsiTheme="majorHAnsi"/>
            <w:b/>
            <w:noProof/>
            <w:webHidden/>
            <w:sz w:val="20"/>
            <w:szCs w:val="20"/>
          </w:rPr>
          <w:t>2</w:t>
        </w:r>
        <w:r w:rsidR="00B72D94" w:rsidRPr="00215DD5">
          <w:rPr>
            <w:rFonts w:asciiTheme="majorHAnsi" w:hAnsiTheme="majorHAnsi"/>
            <w:b/>
            <w:noProof/>
            <w:webHidden/>
            <w:sz w:val="20"/>
            <w:szCs w:val="20"/>
          </w:rPr>
          <w:fldChar w:fldCharType="end"/>
        </w:r>
      </w:hyperlink>
    </w:p>
    <w:p w:rsidR="00215DD5" w:rsidRPr="00215DD5" w:rsidRDefault="00215DD5" w:rsidP="00587B56">
      <w:pPr>
        <w:pStyle w:val="TOC1"/>
        <w:tabs>
          <w:tab w:val="left" w:pos="720"/>
          <w:tab w:val="left" w:pos="1440"/>
          <w:tab w:val="right" w:leader="dot" w:pos="9350"/>
        </w:tabs>
        <w:rPr>
          <w:rFonts w:asciiTheme="majorHAnsi" w:hAnsiTheme="majorHAnsi"/>
          <w:b/>
          <w:sz w:val="20"/>
          <w:szCs w:val="20"/>
        </w:rPr>
      </w:pPr>
    </w:p>
    <w:p w:rsidR="00587B56" w:rsidRPr="00215DD5" w:rsidRDefault="00435ECE" w:rsidP="00587B56">
      <w:pPr>
        <w:pStyle w:val="TOC1"/>
        <w:tabs>
          <w:tab w:val="left" w:pos="720"/>
          <w:tab w:val="left" w:pos="1440"/>
          <w:tab w:val="right" w:leader="dot" w:pos="9350"/>
        </w:tabs>
        <w:rPr>
          <w:rFonts w:asciiTheme="majorHAnsi" w:eastAsia="Times New Roman" w:hAnsiTheme="majorHAnsi"/>
          <w:b/>
          <w:noProof/>
          <w:sz w:val="20"/>
          <w:szCs w:val="20"/>
          <w:bdr w:val="none" w:sz="0" w:space="0" w:color="auto"/>
        </w:rPr>
      </w:pPr>
      <w:hyperlink w:anchor="_Toc482278238" w:history="1">
        <w:r w:rsidR="00B72D94" w:rsidRPr="00215DD5">
          <w:rPr>
            <w:rStyle w:val="Hyperlink"/>
            <w:rFonts w:asciiTheme="majorHAnsi" w:hAnsiTheme="majorHAnsi"/>
            <w:b/>
            <w:noProof/>
            <w:sz w:val="20"/>
            <w:szCs w:val="20"/>
          </w:rPr>
          <w:t>III.</w:t>
        </w:r>
        <w:r w:rsidR="00B72D94" w:rsidRPr="00215DD5">
          <w:rPr>
            <w:rFonts w:asciiTheme="majorHAnsi" w:eastAsia="Times New Roman" w:hAnsiTheme="majorHAnsi"/>
            <w:b/>
            <w:noProof/>
            <w:sz w:val="20"/>
            <w:szCs w:val="20"/>
            <w:bdr w:val="none" w:sz="0" w:space="0" w:color="auto"/>
          </w:rPr>
          <w:tab/>
        </w:r>
        <w:r w:rsidR="00B72D94" w:rsidRPr="00215DD5">
          <w:rPr>
            <w:rStyle w:val="Hyperlink"/>
            <w:rFonts w:asciiTheme="majorHAnsi" w:hAnsiTheme="majorHAnsi"/>
            <w:b/>
            <w:noProof/>
            <w:sz w:val="20"/>
            <w:szCs w:val="20"/>
          </w:rPr>
          <w:t>POSI</w:t>
        </w:r>
        <w:r w:rsidR="00D96AC7" w:rsidRPr="00215DD5">
          <w:rPr>
            <w:rStyle w:val="Hyperlink"/>
            <w:rFonts w:asciiTheme="majorHAnsi" w:hAnsiTheme="majorHAnsi"/>
            <w:b/>
            <w:noProof/>
            <w:sz w:val="20"/>
            <w:szCs w:val="20"/>
          </w:rPr>
          <w:t>TIONS OF THE PARTIES</w:t>
        </w:r>
        <w:r w:rsidR="00B72D94" w:rsidRPr="00215DD5">
          <w:rPr>
            <w:rFonts w:asciiTheme="majorHAnsi" w:hAnsiTheme="majorHAnsi"/>
            <w:b/>
            <w:noProof/>
            <w:webHidden/>
            <w:sz w:val="20"/>
            <w:szCs w:val="20"/>
          </w:rPr>
          <w:tab/>
        </w:r>
        <w:r w:rsidR="00B72D94" w:rsidRPr="00215DD5">
          <w:rPr>
            <w:rFonts w:asciiTheme="majorHAnsi" w:hAnsiTheme="majorHAnsi"/>
            <w:b/>
            <w:noProof/>
            <w:webHidden/>
            <w:sz w:val="20"/>
            <w:szCs w:val="20"/>
          </w:rPr>
          <w:fldChar w:fldCharType="begin"/>
        </w:r>
        <w:r w:rsidR="00B72D94" w:rsidRPr="00215DD5">
          <w:rPr>
            <w:rFonts w:asciiTheme="majorHAnsi" w:hAnsiTheme="majorHAnsi"/>
            <w:b/>
            <w:noProof/>
            <w:webHidden/>
            <w:sz w:val="20"/>
            <w:szCs w:val="20"/>
          </w:rPr>
          <w:instrText xml:space="preserve"> PAGEREF _Toc482278238 \h </w:instrText>
        </w:r>
        <w:r w:rsidR="00B72D94" w:rsidRPr="00215DD5">
          <w:rPr>
            <w:rFonts w:asciiTheme="majorHAnsi" w:hAnsiTheme="majorHAnsi"/>
            <w:b/>
            <w:noProof/>
            <w:webHidden/>
            <w:sz w:val="20"/>
            <w:szCs w:val="20"/>
          </w:rPr>
        </w:r>
        <w:r w:rsidR="00B72D94" w:rsidRPr="00215DD5">
          <w:rPr>
            <w:rFonts w:asciiTheme="majorHAnsi" w:hAnsiTheme="majorHAnsi"/>
            <w:b/>
            <w:noProof/>
            <w:webHidden/>
            <w:sz w:val="20"/>
            <w:szCs w:val="20"/>
          </w:rPr>
          <w:fldChar w:fldCharType="separate"/>
        </w:r>
        <w:r w:rsidR="0094532B" w:rsidRPr="00215DD5">
          <w:rPr>
            <w:rFonts w:asciiTheme="majorHAnsi" w:hAnsiTheme="majorHAnsi"/>
            <w:b/>
            <w:noProof/>
            <w:webHidden/>
            <w:sz w:val="20"/>
            <w:szCs w:val="20"/>
          </w:rPr>
          <w:t>2</w:t>
        </w:r>
        <w:r w:rsidR="00B72D94" w:rsidRPr="00215DD5">
          <w:rPr>
            <w:rFonts w:asciiTheme="majorHAnsi" w:hAnsiTheme="majorHAnsi"/>
            <w:b/>
            <w:noProof/>
            <w:webHidden/>
            <w:sz w:val="20"/>
            <w:szCs w:val="20"/>
          </w:rPr>
          <w:fldChar w:fldCharType="end"/>
        </w:r>
      </w:hyperlink>
    </w:p>
    <w:p w:rsidR="00587B56" w:rsidRPr="00215DD5" w:rsidRDefault="00435ECE" w:rsidP="00587B56">
      <w:pPr>
        <w:pStyle w:val="TOC2"/>
        <w:tabs>
          <w:tab w:val="left" w:pos="720"/>
        </w:tabs>
        <w:rPr>
          <w:rFonts w:asciiTheme="majorHAnsi" w:eastAsia="Times New Roman" w:hAnsiTheme="majorHAnsi"/>
          <w:noProof/>
          <w:sz w:val="20"/>
          <w:szCs w:val="20"/>
          <w:bdr w:val="none" w:sz="0" w:space="0" w:color="auto"/>
        </w:rPr>
      </w:pPr>
      <w:hyperlink w:anchor="_Toc482278239" w:history="1">
        <w:r w:rsidR="00B72D94" w:rsidRPr="00215DD5">
          <w:rPr>
            <w:rStyle w:val="Hyperlink"/>
            <w:rFonts w:asciiTheme="majorHAnsi" w:hAnsiTheme="majorHAnsi"/>
            <w:noProof/>
            <w:sz w:val="20"/>
            <w:szCs w:val="20"/>
          </w:rPr>
          <w:t>A.</w:t>
        </w:r>
        <w:r w:rsidR="00B72D94" w:rsidRPr="00215DD5">
          <w:rPr>
            <w:rFonts w:asciiTheme="majorHAnsi" w:eastAsia="Times New Roman" w:hAnsiTheme="majorHAnsi"/>
            <w:noProof/>
            <w:sz w:val="20"/>
            <w:szCs w:val="20"/>
            <w:bdr w:val="none" w:sz="0" w:space="0" w:color="auto"/>
          </w:rPr>
          <w:tab/>
        </w:r>
        <w:r w:rsidR="00D96AC7" w:rsidRPr="00215DD5">
          <w:rPr>
            <w:rFonts w:asciiTheme="majorHAnsi" w:eastAsia="Times New Roman" w:hAnsiTheme="majorHAnsi"/>
            <w:noProof/>
            <w:sz w:val="20"/>
            <w:szCs w:val="20"/>
            <w:bdr w:val="none" w:sz="0" w:space="0" w:color="auto"/>
          </w:rPr>
          <w:t>The petitioner</w:t>
        </w:r>
        <w:r w:rsidR="00B72D94" w:rsidRPr="00215DD5">
          <w:rPr>
            <w:rFonts w:asciiTheme="majorHAnsi" w:hAnsiTheme="majorHAnsi"/>
            <w:noProof/>
            <w:webHidden/>
            <w:sz w:val="20"/>
            <w:szCs w:val="20"/>
          </w:rPr>
          <w:tab/>
        </w:r>
        <w:r w:rsidR="00B72D94" w:rsidRPr="00215DD5">
          <w:rPr>
            <w:rFonts w:asciiTheme="majorHAnsi" w:hAnsiTheme="majorHAnsi"/>
            <w:noProof/>
            <w:webHidden/>
            <w:sz w:val="20"/>
            <w:szCs w:val="20"/>
          </w:rPr>
          <w:fldChar w:fldCharType="begin"/>
        </w:r>
        <w:r w:rsidR="00B72D94" w:rsidRPr="00215DD5">
          <w:rPr>
            <w:rFonts w:asciiTheme="majorHAnsi" w:hAnsiTheme="majorHAnsi"/>
            <w:noProof/>
            <w:webHidden/>
            <w:sz w:val="20"/>
            <w:szCs w:val="20"/>
          </w:rPr>
          <w:instrText xml:space="preserve"> PAGEREF _Toc482278239 \h </w:instrText>
        </w:r>
        <w:r w:rsidR="00B72D94" w:rsidRPr="00215DD5">
          <w:rPr>
            <w:rFonts w:asciiTheme="majorHAnsi" w:hAnsiTheme="majorHAnsi"/>
            <w:noProof/>
            <w:webHidden/>
            <w:sz w:val="20"/>
            <w:szCs w:val="20"/>
          </w:rPr>
        </w:r>
        <w:r w:rsidR="00B72D94" w:rsidRPr="00215DD5">
          <w:rPr>
            <w:rFonts w:asciiTheme="majorHAnsi" w:hAnsiTheme="majorHAnsi"/>
            <w:noProof/>
            <w:webHidden/>
            <w:sz w:val="20"/>
            <w:szCs w:val="20"/>
          </w:rPr>
          <w:fldChar w:fldCharType="separate"/>
        </w:r>
        <w:r w:rsidR="0094532B" w:rsidRPr="00215DD5">
          <w:rPr>
            <w:rFonts w:asciiTheme="majorHAnsi" w:hAnsiTheme="majorHAnsi"/>
            <w:noProof/>
            <w:webHidden/>
            <w:sz w:val="20"/>
            <w:szCs w:val="20"/>
          </w:rPr>
          <w:t>2</w:t>
        </w:r>
        <w:r w:rsidR="00B72D94" w:rsidRPr="00215DD5">
          <w:rPr>
            <w:rFonts w:asciiTheme="majorHAnsi" w:hAnsiTheme="majorHAnsi"/>
            <w:noProof/>
            <w:webHidden/>
            <w:sz w:val="20"/>
            <w:szCs w:val="20"/>
          </w:rPr>
          <w:fldChar w:fldCharType="end"/>
        </w:r>
      </w:hyperlink>
    </w:p>
    <w:p w:rsidR="00587B56" w:rsidRPr="00215DD5" w:rsidRDefault="00435ECE" w:rsidP="00587B56">
      <w:pPr>
        <w:pStyle w:val="TOC2"/>
        <w:tabs>
          <w:tab w:val="left" w:pos="720"/>
        </w:tabs>
        <w:rPr>
          <w:rFonts w:asciiTheme="majorHAnsi" w:eastAsia="Times New Roman" w:hAnsiTheme="majorHAnsi"/>
          <w:noProof/>
          <w:sz w:val="20"/>
          <w:szCs w:val="20"/>
          <w:bdr w:val="none" w:sz="0" w:space="0" w:color="auto"/>
        </w:rPr>
      </w:pPr>
      <w:hyperlink w:anchor="_Toc482278240" w:history="1">
        <w:r w:rsidR="00B72D94" w:rsidRPr="00215DD5">
          <w:rPr>
            <w:rStyle w:val="Hyperlink"/>
            <w:rFonts w:asciiTheme="majorHAnsi" w:hAnsiTheme="majorHAnsi"/>
            <w:noProof/>
            <w:sz w:val="20"/>
            <w:szCs w:val="20"/>
          </w:rPr>
          <w:t>B.</w:t>
        </w:r>
        <w:r w:rsidR="00B72D94" w:rsidRPr="00215DD5">
          <w:rPr>
            <w:rFonts w:asciiTheme="majorHAnsi" w:eastAsia="Times New Roman" w:hAnsiTheme="majorHAnsi"/>
            <w:noProof/>
            <w:sz w:val="20"/>
            <w:szCs w:val="20"/>
            <w:bdr w:val="none" w:sz="0" w:space="0" w:color="auto"/>
          </w:rPr>
          <w:tab/>
        </w:r>
        <w:r w:rsidR="00D96AC7" w:rsidRPr="00215DD5">
          <w:rPr>
            <w:rFonts w:asciiTheme="majorHAnsi" w:eastAsia="Times New Roman" w:hAnsiTheme="majorHAnsi"/>
            <w:noProof/>
            <w:sz w:val="20"/>
            <w:szCs w:val="20"/>
            <w:bdr w:val="none" w:sz="0" w:space="0" w:color="auto"/>
          </w:rPr>
          <w:t>The State</w:t>
        </w:r>
        <w:r w:rsidR="00B72D94" w:rsidRPr="00215DD5">
          <w:rPr>
            <w:rFonts w:asciiTheme="majorHAnsi" w:hAnsiTheme="majorHAnsi"/>
            <w:noProof/>
            <w:webHidden/>
            <w:sz w:val="20"/>
            <w:szCs w:val="20"/>
          </w:rPr>
          <w:tab/>
        </w:r>
        <w:r w:rsidR="00B72D94" w:rsidRPr="00215DD5">
          <w:rPr>
            <w:rFonts w:asciiTheme="majorHAnsi" w:hAnsiTheme="majorHAnsi"/>
            <w:noProof/>
            <w:webHidden/>
            <w:sz w:val="20"/>
            <w:szCs w:val="20"/>
          </w:rPr>
          <w:fldChar w:fldCharType="begin"/>
        </w:r>
        <w:r w:rsidR="00B72D94" w:rsidRPr="00215DD5">
          <w:rPr>
            <w:rFonts w:asciiTheme="majorHAnsi" w:hAnsiTheme="majorHAnsi"/>
            <w:noProof/>
            <w:webHidden/>
            <w:sz w:val="20"/>
            <w:szCs w:val="20"/>
          </w:rPr>
          <w:instrText xml:space="preserve"> PAGEREF _Toc482278240 \h </w:instrText>
        </w:r>
        <w:r w:rsidR="00B72D94" w:rsidRPr="00215DD5">
          <w:rPr>
            <w:rFonts w:asciiTheme="majorHAnsi" w:hAnsiTheme="majorHAnsi"/>
            <w:noProof/>
            <w:webHidden/>
            <w:sz w:val="20"/>
            <w:szCs w:val="20"/>
          </w:rPr>
        </w:r>
        <w:r w:rsidR="00B72D94" w:rsidRPr="00215DD5">
          <w:rPr>
            <w:rFonts w:asciiTheme="majorHAnsi" w:hAnsiTheme="majorHAnsi"/>
            <w:noProof/>
            <w:webHidden/>
            <w:sz w:val="20"/>
            <w:szCs w:val="20"/>
          </w:rPr>
          <w:fldChar w:fldCharType="separate"/>
        </w:r>
        <w:r w:rsidR="0094532B" w:rsidRPr="00215DD5">
          <w:rPr>
            <w:rFonts w:asciiTheme="majorHAnsi" w:hAnsiTheme="majorHAnsi"/>
            <w:noProof/>
            <w:webHidden/>
            <w:sz w:val="20"/>
            <w:szCs w:val="20"/>
          </w:rPr>
          <w:t>3</w:t>
        </w:r>
        <w:r w:rsidR="00B72D94" w:rsidRPr="00215DD5">
          <w:rPr>
            <w:rFonts w:asciiTheme="majorHAnsi" w:hAnsiTheme="majorHAnsi"/>
            <w:noProof/>
            <w:webHidden/>
            <w:sz w:val="20"/>
            <w:szCs w:val="20"/>
          </w:rPr>
          <w:fldChar w:fldCharType="end"/>
        </w:r>
      </w:hyperlink>
    </w:p>
    <w:p w:rsidR="00215DD5" w:rsidRPr="00215DD5" w:rsidRDefault="00215DD5" w:rsidP="00587B56">
      <w:pPr>
        <w:pStyle w:val="TOC1"/>
        <w:tabs>
          <w:tab w:val="left" w:pos="720"/>
          <w:tab w:val="left" w:pos="1440"/>
          <w:tab w:val="right" w:leader="dot" w:pos="9350"/>
        </w:tabs>
        <w:rPr>
          <w:rFonts w:asciiTheme="majorHAnsi" w:hAnsiTheme="majorHAnsi"/>
          <w:sz w:val="20"/>
          <w:szCs w:val="20"/>
        </w:rPr>
      </w:pPr>
    </w:p>
    <w:p w:rsidR="00587B56" w:rsidRPr="00215DD5" w:rsidRDefault="00435ECE" w:rsidP="00587B56">
      <w:pPr>
        <w:pStyle w:val="TOC1"/>
        <w:tabs>
          <w:tab w:val="left" w:pos="720"/>
          <w:tab w:val="left" w:pos="1440"/>
          <w:tab w:val="right" w:leader="dot" w:pos="9350"/>
        </w:tabs>
        <w:rPr>
          <w:rFonts w:asciiTheme="majorHAnsi" w:eastAsia="Times New Roman" w:hAnsiTheme="majorHAnsi"/>
          <w:b/>
          <w:noProof/>
          <w:sz w:val="20"/>
          <w:szCs w:val="20"/>
          <w:bdr w:val="none" w:sz="0" w:space="0" w:color="auto"/>
        </w:rPr>
      </w:pPr>
      <w:hyperlink w:anchor="_Toc482278241" w:history="1">
        <w:r w:rsidR="00B72D94" w:rsidRPr="00215DD5">
          <w:rPr>
            <w:rStyle w:val="Hyperlink"/>
            <w:rFonts w:asciiTheme="majorHAnsi" w:hAnsiTheme="majorHAnsi"/>
            <w:b/>
            <w:noProof/>
            <w:sz w:val="20"/>
            <w:szCs w:val="20"/>
          </w:rPr>
          <w:t>IV.</w:t>
        </w:r>
        <w:r w:rsidR="00B72D94" w:rsidRPr="00215DD5">
          <w:rPr>
            <w:rFonts w:asciiTheme="majorHAnsi" w:eastAsia="Times New Roman" w:hAnsiTheme="majorHAnsi"/>
            <w:b/>
            <w:noProof/>
            <w:sz w:val="20"/>
            <w:szCs w:val="20"/>
            <w:bdr w:val="none" w:sz="0" w:space="0" w:color="auto"/>
          </w:rPr>
          <w:tab/>
        </w:r>
        <w:r w:rsidR="00CD3DB6" w:rsidRPr="00215DD5">
          <w:rPr>
            <w:rFonts w:asciiTheme="majorHAnsi" w:eastAsia="Times New Roman" w:hAnsiTheme="majorHAnsi"/>
            <w:b/>
            <w:noProof/>
            <w:sz w:val="20"/>
            <w:szCs w:val="20"/>
            <w:bdr w:val="none" w:sz="0" w:space="0" w:color="auto"/>
          </w:rPr>
          <w:t xml:space="preserve">PROVEN </w:t>
        </w:r>
        <w:r w:rsidR="00D96AC7" w:rsidRPr="00215DD5">
          <w:rPr>
            <w:rFonts w:asciiTheme="majorHAnsi" w:eastAsia="Times New Roman" w:hAnsiTheme="majorHAnsi"/>
            <w:b/>
            <w:noProof/>
            <w:sz w:val="20"/>
            <w:szCs w:val="20"/>
            <w:bdr w:val="none" w:sz="0" w:space="0" w:color="auto"/>
          </w:rPr>
          <w:t>FACTS</w:t>
        </w:r>
        <w:r w:rsidR="00B72D94" w:rsidRPr="00215DD5">
          <w:rPr>
            <w:rFonts w:asciiTheme="majorHAnsi" w:hAnsiTheme="majorHAnsi"/>
            <w:b/>
            <w:noProof/>
            <w:webHidden/>
            <w:sz w:val="20"/>
            <w:szCs w:val="20"/>
          </w:rPr>
          <w:tab/>
        </w:r>
        <w:r w:rsidR="00B72D94" w:rsidRPr="00215DD5">
          <w:rPr>
            <w:rFonts w:asciiTheme="majorHAnsi" w:hAnsiTheme="majorHAnsi"/>
            <w:b/>
            <w:noProof/>
            <w:webHidden/>
            <w:sz w:val="20"/>
            <w:szCs w:val="20"/>
          </w:rPr>
          <w:fldChar w:fldCharType="begin"/>
        </w:r>
        <w:r w:rsidR="00B72D94" w:rsidRPr="00215DD5">
          <w:rPr>
            <w:rFonts w:asciiTheme="majorHAnsi" w:hAnsiTheme="majorHAnsi"/>
            <w:b/>
            <w:noProof/>
            <w:webHidden/>
            <w:sz w:val="20"/>
            <w:szCs w:val="20"/>
          </w:rPr>
          <w:instrText xml:space="preserve"> PAGEREF _Toc482278241 \h </w:instrText>
        </w:r>
        <w:r w:rsidR="00B72D94" w:rsidRPr="00215DD5">
          <w:rPr>
            <w:rFonts w:asciiTheme="majorHAnsi" w:hAnsiTheme="majorHAnsi"/>
            <w:b/>
            <w:noProof/>
            <w:webHidden/>
            <w:sz w:val="20"/>
            <w:szCs w:val="20"/>
          </w:rPr>
        </w:r>
        <w:r w:rsidR="00B72D94" w:rsidRPr="00215DD5">
          <w:rPr>
            <w:rFonts w:asciiTheme="majorHAnsi" w:hAnsiTheme="majorHAnsi"/>
            <w:b/>
            <w:noProof/>
            <w:webHidden/>
            <w:sz w:val="20"/>
            <w:szCs w:val="20"/>
          </w:rPr>
          <w:fldChar w:fldCharType="separate"/>
        </w:r>
        <w:r w:rsidR="0094532B" w:rsidRPr="00215DD5">
          <w:rPr>
            <w:rFonts w:asciiTheme="majorHAnsi" w:hAnsiTheme="majorHAnsi"/>
            <w:b/>
            <w:noProof/>
            <w:webHidden/>
            <w:sz w:val="20"/>
            <w:szCs w:val="20"/>
          </w:rPr>
          <w:t>3</w:t>
        </w:r>
        <w:r w:rsidR="00B72D94" w:rsidRPr="00215DD5">
          <w:rPr>
            <w:rFonts w:asciiTheme="majorHAnsi" w:hAnsiTheme="majorHAnsi"/>
            <w:b/>
            <w:noProof/>
            <w:webHidden/>
            <w:sz w:val="20"/>
            <w:szCs w:val="20"/>
          </w:rPr>
          <w:fldChar w:fldCharType="end"/>
        </w:r>
      </w:hyperlink>
    </w:p>
    <w:p w:rsidR="00215DD5" w:rsidRPr="00215DD5" w:rsidRDefault="00215DD5" w:rsidP="00587B56">
      <w:pPr>
        <w:pStyle w:val="TOC1"/>
        <w:tabs>
          <w:tab w:val="left" w:pos="720"/>
          <w:tab w:val="left" w:pos="1440"/>
          <w:tab w:val="right" w:leader="dot" w:pos="9350"/>
        </w:tabs>
        <w:rPr>
          <w:rFonts w:asciiTheme="majorHAnsi" w:hAnsiTheme="majorHAnsi"/>
          <w:b/>
          <w:sz w:val="20"/>
          <w:szCs w:val="20"/>
        </w:rPr>
      </w:pPr>
    </w:p>
    <w:p w:rsidR="00587B56" w:rsidRPr="00215DD5" w:rsidRDefault="00435ECE" w:rsidP="00587B56">
      <w:pPr>
        <w:pStyle w:val="TOC1"/>
        <w:tabs>
          <w:tab w:val="left" w:pos="720"/>
          <w:tab w:val="left" w:pos="1440"/>
          <w:tab w:val="right" w:leader="dot" w:pos="9350"/>
        </w:tabs>
        <w:rPr>
          <w:rFonts w:asciiTheme="majorHAnsi" w:eastAsia="Times New Roman" w:hAnsiTheme="majorHAnsi"/>
          <w:b/>
          <w:noProof/>
          <w:sz w:val="20"/>
          <w:szCs w:val="20"/>
          <w:bdr w:val="none" w:sz="0" w:space="0" w:color="auto"/>
        </w:rPr>
      </w:pPr>
      <w:hyperlink w:anchor="_Toc482278242" w:history="1">
        <w:r w:rsidR="00B72D94" w:rsidRPr="00215DD5">
          <w:rPr>
            <w:rStyle w:val="Hyperlink"/>
            <w:rFonts w:asciiTheme="majorHAnsi" w:hAnsiTheme="majorHAnsi"/>
            <w:b/>
            <w:noProof/>
            <w:sz w:val="20"/>
            <w:szCs w:val="20"/>
          </w:rPr>
          <w:t>V.</w:t>
        </w:r>
        <w:r w:rsidR="00B72D94" w:rsidRPr="00215DD5">
          <w:rPr>
            <w:rFonts w:asciiTheme="majorHAnsi" w:eastAsia="Times New Roman" w:hAnsiTheme="majorHAnsi"/>
            <w:b/>
            <w:noProof/>
            <w:sz w:val="20"/>
            <w:szCs w:val="20"/>
            <w:bdr w:val="none" w:sz="0" w:space="0" w:color="auto"/>
          </w:rPr>
          <w:tab/>
        </w:r>
        <w:r w:rsidR="00B72D94" w:rsidRPr="00215DD5">
          <w:rPr>
            <w:rStyle w:val="Hyperlink"/>
            <w:rFonts w:asciiTheme="majorHAnsi" w:hAnsiTheme="majorHAnsi"/>
            <w:b/>
            <w:noProof/>
            <w:sz w:val="20"/>
            <w:szCs w:val="20"/>
          </w:rPr>
          <w:t>AN</w:t>
        </w:r>
        <w:r w:rsidR="00D96AC7" w:rsidRPr="00215DD5">
          <w:rPr>
            <w:rStyle w:val="Hyperlink"/>
            <w:rFonts w:asciiTheme="majorHAnsi" w:hAnsiTheme="majorHAnsi"/>
            <w:b/>
            <w:noProof/>
            <w:sz w:val="20"/>
            <w:szCs w:val="20"/>
          </w:rPr>
          <w:t xml:space="preserve">ALYSIS </w:t>
        </w:r>
        <w:r w:rsidR="00C03A09" w:rsidRPr="00215DD5">
          <w:rPr>
            <w:rStyle w:val="Hyperlink"/>
            <w:rFonts w:asciiTheme="majorHAnsi" w:hAnsiTheme="majorHAnsi"/>
            <w:b/>
            <w:noProof/>
            <w:sz w:val="20"/>
            <w:szCs w:val="20"/>
          </w:rPr>
          <w:t>OF LAW</w:t>
        </w:r>
        <w:r w:rsidR="00B72D94" w:rsidRPr="00215DD5">
          <w:rPr>
            <w:rFonts w:asciiTheme="majorHAnsi" w:hAnsiTheme="majorHAnsi"/>
            <w:b/>
            <w:noProof/>
            <w:webHidden/>
            <w:sz w:val="20"/>
            <w:szCs w:val="20"/>
          </w:rPr>
          <w:tab/>
        </w:r>
        <w:r w:rsidR="00B72D94" w:rsidRPr="00215DD5">
          <w:rPr>
            <w:rFonts w:asciiTheme="majorHAnsi" w:hAnsiTheme="majorHAnsi"/>
            <w:b/>
            <w:noProof/>
            <w:webHidden/>
            <w:sz w:val="20"/>
            <w:szCs w:val="20"/>
          </w:rPr>
          <w:fldChar w:fldCharType="begin"/>
        </w:r>
        <w:r w:rsidR="00B72D94" w:rsidRPr="00215DD5">
          <w:rPr>
            <w:rFonts w:asciiTheme="majorHAnsi" w:hAnsiTheme="majorHAnsi"/>
            <w:b/>
            <w:noProof/>
            <w:webHidden/>
            <w:sz w:val="20"/>
            <w:szCs w:val="20"/>
          </w:rPr>
          <w:instrText xml:space="preserve"> PAGEREF _Toc482278242 \h </w:instrText>
        </w:r>
        <w:r w:rsidR="00B72D94" w:rsidRPr="00215DD5">
          <w:rPr>
            <w:rFonts w:asciiTheme="majorHAnsi" w:hAnsiTheme="majorHAnsi"/>
            <w:b/>
            <w:noProof/>
            <w:webHidden/>
            <w:sz w:val="20"/>
            <w:szCs w:val="20"/>
          </w:rPr>
        </w:r>
        <w:r w:rsidR="00B72D94" w:rsidRPr="00215DD5">
          <w:rPr>
            <w:rFonts w:asciiTheme="majorHAnsi" w:hAnsiTheme="majorHAnsi"/>
            <w:b/>
            <w:noProof/>
            <w:webHidden/>
            <w:sz w:val="20"/>
            <w:szCs w:val="20"/>
          </w:rPr>
          <w:fldChar w:fldCharType="separate"/>
        </w:r>
        <w:r w:rsidR="0094532B" w:rsidRPr="00215DD5">
          <w:rPr>
            <w:rFonts w:asciiTheme="majorHAnsi" w:hAnsiTheme="majorHAnsi"/>
            <w:b/>
            <w:noProof/>
            <w:webHidden/>
            <w:sz w:val="20"/>
            <w:szCs w:val="20"/>
          </w:rPr>
          <w:t>7</w:t>
        </w:r>
        <w:r w:rsidR="00B72D94" w:rsidRPr="00215DD5">
          <w:rPr>
            <w:rFonts w:asciiTheme="majorHAnsi" w:hAnsiTheme="majorHAnsi"/>
            <w:b/>
            <w:noProof/>
            <w:webHidden/>
            <w:sz w:val="20"/>
            <w:szCs w:val="20"/>
          </w:rPr>
          <w:fldChar w:fldCharType="end"/>
        </w:r>
      </w:hyperlink>
    </w:p>
    <w:p w:rsidR="00587B56" w:rsidRPr="00215DD5" w:rsidRDefault="00435ECE" w:rsidP="00587B56">
      <w:pPr>
        <w:pStyle w:val="TOC2"/>
        <w:tabs>
          <w:tab w:val="left" w:pos="720"/>
        </w:tabs>
        <w:rPr>
          <w:rFonts w:asciiTheme="majorHAnsi" w:eastAsia="Times New Roman" w:hAnsiTheme="majorHAnsi"/>
          <w:noProof/>
          <w:sz w:val="20"/>
          <w:szCs w:val="20"/>
          <w:bdr w:val="none" w:sz="0" w:space="0" w:color="auto"/>
        </w:rPr>
      </w:pPr>
      <w:hyperlink w:anchor="_Toc482278243" w:history="1">
        <w:r w:rsidR="00B72D94" w:rsidRPr="00215DD5">
          <w:rPr>
            <w:rStyle w:val="Hyperlink"/>
            <w:rFonts w:asciiTheme="majorHAnsi" w:hAnsiTheme="majorHAnsi"/>
            <w:noProof/>
            <w:sz w:val="20"/>
            <w:szCs w:val="20"/>
          </w:rPr>
          <w:t>A.</w:t>
        </w:r>
        <w:r w:rsidR="00B72D94" w:rsidRPr="00215DD5">
          <w:rPr>
            <w:rFonts w:asciiTheme="majorHAnsi" w:eastAsia="Times New Roman" w:hAnsiTheme="majorHAnsi"/>
            <w:noProof/>
            <w:sz w:val="20"/>
            <w:szCs w:val="20"/>
            <w:bdr w:val="none" w:sz="0" w:space="0" w:color="auto"/>
          </w:rPr>
          <w:tab/>
        </w:r>
        <w:r w:rsidR="00C03A09" w:rsidRPr="00215DD5">
          <w:rPr>
            <w:rFonts w:asciiTheme="majorHAnsi" w:eastAsia="Times New Roman" w:hAnsiTheme="majorHAnsi"/>
            <w:noProof/>
            <w:sz w:val="20"/>
            <w:szCs w:val="20"/>
            <w:bdr w:val="none" w:sz="0" w:space="0" w:color="auto"/>
          </w:rPr>
          <w:t>Matter precedent concerning the scope of the case</w:t>
        </w:r>
        <w:r w:rsidR="00B72D94" w:rsidRPr="00215DD5">
          <w:rPr>
            <w:rFonts w:asciiTheme="majorHAnsi" w:hAnsiTheme="majorHAnsi"/>
            <w:noProof/>
            <w:webHidden/>
            <w:sz w:val="20"/>
            <w:szCs w:val="20"/>
          </w:rPr>
          <w:tab/>
        </w:r>
        <w:r w:rsidR="00B72D94" w:rsidRPr="00215DD5">
          <w:rPr>
            <w:rFonts w:asciiTheme="majorHAnsi" w:hAnsiTheme="majorHAnsi"/>
            <w:noProof/>
            <w:webHidden/>
            <w:sz w:val="20"/>
            <w:szCs w:val="20"/>
          </w:rPr>
          <w:fldChar w:fldCharType="begin"/>
        </w:r>
        <w:r w:rsidR="00B72D94" w:rsidRPr="00215DD5">
          <w:rPr>
            <w:rFonts w:asciiTheme="majorHAnsi" w:hAnsiTheme="majorHAnsi"/>
            <w:noProof/>
            <w:webHidden/>
            <w:sz w:val="20"/>
            <w:szCs w:val="20"/>
          </w:rPr>
          <w:instrText xml:space="preserve"> PAGEREF _Toc482278243 \h </w:instrText>
        </w:r>
        <w:r w:rsidR="00B72D94" w:rsidRPr="00215DD5">
          <w:rPr>
            <w:rFonts w:asciiTheme="majorHAnsi" w:hAnsiTheme="majorHAnsi"/>
            <w:noProof/>
            <w:webHidden/>
            <w:sz w:val="20"/>
            <w:szCs w:val="20"/>
          </w:rPr>
        </w:r>
        <w:r w:rsidR="00B72D94" w:rsidRPr="00215DD5">
          <w:rPr>
            <w:rFonts w:asciiTheme="majorHAnsi" w:hAnsiTheme="majorHAnsi"/>
            <w:noProof/>
            <w:webHidden/>
            <w:sz w:val="20"/>
            <w:szCs w:val="20"/>
          </w:rPr>
          <w:fldChar w:fldCharType="separate"/>
        </w:r>
        <w:r w:rsidR="0094532B" w:rsidRPr="00215DD5">
          <w:rPr>
            <w:rFonts w:asciiTheme="majorHAnsi" w:hAnsiTheme="majorHAnsi"/>
            <w:noProof/>
            <w:webHidden/>
            <w:sz w:val="20"/>
            <w:szCs w:val="20"/>
          </w:rPr>
          <w:t>7</w:t>
        </w:r>
        <w:r w:rsidR="00B72D94" w:rsidRPr="00215DD5">
          <w:rPr>
            <w:rFonts w:asciiTheme="majorHAnsi" w:hAnsiTheme="majorHAnsi"/>
            <w:noProof/>
            <w:webHidden/>
            <w:sz w:val="20"/>
            <w:szCs w:val="20"/>
          </w:rPr>
          <w:fldChar w:fldCharType="end"/>
        </w:r>
      </w:hyperlink>
    </w:p>
    <w:p w:rsidR="00587B56" w:rsidRPr="00215DD5" w:rsidRDefault="00435ECE" w:rsidP="00587B56">
      <w:pPr>
        <w:pStyle w:val="TOC2"/>
        <w:tabs>
          <w:tab w:val="left" w:pos="720"/>
        </w:tabs>
        <w:rPr>
          <w:rFonts w:asciiTheme="majorHAnsi" w:eastAsia="Times New Roman" w:hAnsiTheme="majorHAnsi"/>
          <w:noProof/>
          <w:sz w:val="20"/>
          <w:szCs w:val="20"/>
          <w:bdr w:val="none" w:sz="0" w:space="0" w:color="auto"/>
        </w:rPr>
      </w:pPr>
      <w:hyperlink w:anchor="_Toc482278244" w:history="1">
        <w:r w:rsidR="00B72D94" w:rsidRPr="00215DD5">
          <w:rPr>
            <w:rStyle w:val="Hyperlink"/>
            <w:rFonts w:asciiTheme="majorHAnsi" w:hAnsiTheme="majorHAnsi"/>
            <w:noProof/>
            <w:sz w:val="20"/>
            <w:szCs w:val="20"/>
          </w:rPr>
          <w:t>B.</w:t>
        </w:r>
        <w:r w:rsidR="00B72D94" w:rsidRPr="00215DD5">
          <w:rPr>
            <w:rFonts w:asciiTheme="majorHAnsi" w:eastAsia="Times New Roman" w:hAnsiTheme="majorHAnsi"/>
            <w:noProof/>
            <w:sz w:val="20"/>
            <w:szCs w:val="20"/>
            <w:bdr w:val="none" w:sz="0" w:space="0" w:color="auto"/>
          </w:rPr>
          <w:tab/>
        </w:r>
        <w:r w:rsidR="00C03A09" w:rsidRPr="00215DD5">
          <w:rPr>
            <w:rFonts w:asciiTheme="majorHAnsi" w:eastAsia="Times New Roman" w:hAnsiTheme="majorHAnsi"/>
            <w:noProof/>
            <w:sz w:val="20"/>
            <w:szCs w:val="20"/>
            <w:bdr w:val="none" w:sz="0" w:space="0" w:color="auto"/>
          </w:rPr>
          <w:t>The right to personal liberty and the right to be presumed innocent</w:t>
        </w:r>
        <w:r w:rsidR="00B72D94" w:rsidRPr="00215DD5">
          <w:rPr>
            <w:rFonts w:asciiTheme="majorHAnsi" w:hAnsiTheme="majorHAnsi"/>
            <w:noProof/>
            <w:webHidden/>
            <w:sz w:val="20"/>
            <w:szCs w:val="20"/>
          </w:rPr>
          <w:tab/>
        </w:r>
        <w:r w:rsidR="00B72D94" w:rsidRPr="00215DD5">
          <w:rPr>
            <w:rFonts w:asciiTheme="majorHAnsi" w:hAnsiTheme="majorHAnsi"/>
            <w:noProof/>
            <w:webHidden/>
            <w:sz w:val="20"/>
            <w:szCs w:val="20"/>
          </w:rPr>
          <w:fldChar w:fldCharType="begin"/>
        </w:r>
        <w:r w:rsidR="00B72D94" w:rsidRPr="00215DD5">
          <w:rPr>
            <w:rFonts w:asciiTheme="majorHAnsi" w:hAnsiTheme="majorHAnsi"/>
            <w:noProof/>
            <w:webHidden/>
            <w:sz w:val="20"/>
            <w:szCs w:val="20"/>
          </w:rPr>
          <w:instrText xml:space="preserve"> PAGEREF _Toc482278244 \h </w:instrText>
        </w:r>
        <w:r w:rsidR="00B72D94" w:rsidRPr="00215DD5">
          <w:rPr>
            <w:rFonts w:asciiTheme="majorHAnsi" w:hAnsiTheme="majorHAnsi"/>
            <w:noProof/>
            <w:webHidden/>
            <w:sz w:val="20"/>
            <w:szCs w:val="20"/>
          </w:rPr>
        </w:r>
        <w:r w:rsidR="00B72D94" w:rsidRPr="00215DD5">
          <w:rPr>
            <w:rFonts w:asciiTheme="majorHAnsi" w:hAnsiTheme="majorHAnsi"/>
            <w:noProof/>
            <w:webHidden/>
            <w:sz w:val="20"/>
            <w:szCs w:val="20"/>
          </w:rPr>
          <w:fldChar w:fldCharType="separate"/>
        </w:r>
        <w:r w:rsidR="0094532B" w:rsidRPr="00215DD5">
          <w:rPr>
            <w:rFonts w:asciiTheme="majorHAnsi" w:hAnsiTheme="majorHAnsi"/>
            <w:noProof/>
            <w:webHidden/>
            <w:sz w:val="20"/>
            <w:szCs w:val="20"/>
          </w:rPr>
          <w:t>8</w:t>
        </w:r>
        <w:r w:rsidR="00B72D94" w:rsidRPr="00215DD5">
          <w:rPr>
            <w:rFonts w:asciiTheme="majorHAnsi" w:hAnsiTheme="majorHAnsi"/>
            <w:noProof/>
            <w:webHidden/>
            <w:sz w:val="20"/>
            <w:szCs w:val="20"/>
          </w:rPr>
          <w:fldChar w:fldCharType="end"/>
        </w:r>
      </w:hyperlink>
    </w:p>
    <w:p w:rsidR="00587B56" w:rsidRPr="00215DD5" w:rsidRDefault="00435ECE" w:rsidP="00587B56">
      <w:pPr>
        <w:pStyle w:val="TOC3"/>
        <w:tabs>
          <w:tab w:val="left" w:pos="720"/>
          <w:tab w:val="left" w:pos="2160"/>
        </w:tabs>
        <w:rPr>
          <w:rFonts w:asciiTheme="majorHAnsi" w:eastAsia="Times New Roman" w:hAnsiTheme="majorHAnsi"/>
          <w:noProof/>
          <w:sz w:val="20"/>
          <w:szCs w:val="20"/>
          <w:bdr w:val="none" w:sz="0" w:space="0" w:color="auto"/>
        </w:rPr>
      </w:pPr>
      <w:hyperlink w:anchor="_Toc482278245" w:history="1">
        <w:r w:rsidR="00B72D94" w:rsidRPr="00215DD5">
          <w:rPr>
            <w:rStyle w:val="Hyperlink"/>
            <w:rFonts w:asciiTheme="majorHAnsi" w:hAnsiTheme="majorHAnsi"/>
            <w:noProof/>
            <w:sz w:val="20"/>
            <w:szCs w:val="20"/>
          </w:rPr>
          <w:t>1.</w:t>
        </w:r>
        <w:r w:rsidR="00B72D94" w:rsidRPr="00215DD5">
          <w:rPr>
            <w:rFonts w:asciiTheme="majorHAnsi" w:eastAsia="Times New Roman" w:hAnsiTheme="majorHAnsi"/>
            <w:noProof/>
            <w:sz w:val="20"/>
            <w:szCs w:val="20"/>
            <w:bdr w:val="none" w:sz="0" w:space="0" w:color="auto"/>
          </w:rPr>
          <w:tab/>
        </w:r>
        <w:r w:rsidR="00C03A09" w:rsidRPr="00215DD5">
          <w:rPr>
            <w:rFonts w:asciiTheme="majorHAnsi" w:eastAsia="Times New Roman" w:hAnsiTheme="majorHAnsi"/>
            <w:noProof/>
            <w:sz w:val="20"/>
            <w:szCs w:val="20"/>
            <w:bdr w:val="none" w:sz="0" w:space="0" w:color="auto"/>
          </w:rPr>
          <w:t>General considerations on pretrial detention</w:t>
        </w:r>
        <w:r w:rsidR="00B72D94" w:rsidRPr="00215DD5">
          <w:rPr>
            <w:rFonts w:asciiTheme="majorHAnsi" w:hAnsiTheme="majorHAnsi"/>
            <w:noProof/>
            <w:webHidden/>
            <w:sz w:val="20"/>
            <w:szCs w:val="20"/>
          </w:rPr>
          <w:tab/>
        </w:r>
        <w:r w:rsidR="00B72D94" w:rsidRPr="00215DD5">
          <w:rPr>
            <w:rFonts w:asciiTheme="majorHAnsi" w:hAnsiTheme="majorHAnsi"/>
            <w:noProof/>
            <w:webHidden/>
            <w:sz w:val="20"/>
            <w:szCs w:val="20"/>
          </w:rPr>
          <w:fldChar w:fldCharType="begin"/>
        </w:r>
        <w:r w:rsidR="00B72D94" w:rsidRPr="00215DD5">
          <w:rPr>
            <w:rFonts w:asciiTheme="majorHAnsi" w:hAnsiTheme="majorHAnsi"/>
            <w:noProof/>
            <w:webHidden/>
            <w:sz w:val="20"/>
            <w:szCs w:val="20"/>
          </w:rPr>
          <w:instrText xml:space="preserve"> PAGEREF _Toc482278245 \h </w:instrText>
        </w:r>
        <w:r w:rsidR="00B72D94" w:rsidRPr="00215DD5">
          <w:rPr>
            <w:rFonts w:asciiTheme="majorHAnsi" w:hAnsiTheme="majorHAnsi"/>
            <w:noProof/>
            <w:webHidden/>
            <w:sz w:val="20"/>
            <w:szCs w:val="20"/>
          </w:rPr>
        </w:r>
        <w:r w:rsidR="00B72D94" w:rsidRPr="00215DD5">
          <w:rPr>
            <w:rFonts w:asciiTheme="majorHAnsi" w:hAnsiTheme="majorHAnsi"/>
            <w:noProof/>
            <w:webHidden/>
            <w:sz w:val="20"/>
            <w:szCs w:val="20"/>
          </w:rPr>
          <w:fldChar w:fldCharType="separate"/>
        </w:r>
        <w:r w:rsidR="0094532B" w:rsidRPr="00215DD5">
          <w:rPr>
            <w:rFonts w:asciiTheme="majorHAnsi" w:hAnsiTheme="majorHAnsi"/>
            <w:noProof/>
            <w:webHidden/>
            <w:sz w:val="20"/>
            <w:szCs w:val="20"/>
          </w:rPr>
          <w:t>8</w:t>
        </w:r>
        <w:r w:rsidR="00B72D94" w:rsidRPr="00215DD5">
          <w:rPr>
            <w:rFonts w:asciiTheme="majorHAnsi" w:hAnsiTheme="majorHAnsi"/>
            <w:noProof/>
            <w:webHidden/>
            <w:sz w:val="20"/>
            <w:szCs w:val="20"/>
          </w:rPr>
          <w:fldChar w:fldCharType="end"/>
        </w:r>
      </w:hyperlink>
    </w:p>
    <w:p w:rsidR="00587B56" w:rsidRPr="00215DD5" w:rsidRDefault="00435ECE" w:rsidP="00587B56">
      <w:pPr>
        <w:pStyle w:val="TOC3"/>
        <w:tabs>
          <w:tab w:val="left" w:pos="720"/>
          <w:tab w:val="left" w:pos="2160"/>
        </w:tabs>
        <w:rPr>
          <w:rFonts w:asciiTheme="majorHAnsi" w:eastAsia="Times New Roman" w:hAnsiTheme="majorHAnsi"/>
          <w:noProof/>
          <w:sz w:val="20"/>
          <w:szCs w:val="20"/>
          <w:bdr w:val="none" w:sz="0" w:space="0" w:color="auto"/>
        </w:rPr>
      </w:pPr>
      <w:hyperlink w:anchor="_Toc482278246" w:history="1">
        <w:r w:rsidR="00B72D94" w:rsidRPr="00215DD5">
          <w:rPr>
            <w:rStyle w:val="Hyperlink"/>
            <w:rFonts w:asciiTheme="majorHAnsi" w:hAnsiTheme="majorHAnsi"/>
            <w:noProof/>
            <w:sz w:val="20"/>
            <w:szCs w:val="20"/>
          </w:rPr>
          <w:t>2.</w:t>
        </w:r>
        <w:r w:rsidR="00B72D94" w:rsidRPr="00215DD5">
          <w:rPr>
            <w:rFonts w:asciiTheme="majorHAnsi" w:eastAsia="Times New Roman" w:hAnsiTheme="majorHAnsi"/>
            <w:noProof/>
            <w:sz w:val="20"/>
            <w:szCs w:val="20"/>
            <w:bdr w:val="none" w:sz="0" w:space="0" w:color="auto"/>
          </w:rPr>
          <w:tab/>
        </w:r>
        <w:r w:rsidR="00B72D94" w:rsidRPr="00215DD5">
          <w:rPr>
            <w:rStyle w:val="Hyperlink"/>
            <w:rFonts w:asciiTheme="majorHAnsi" w:hAnsiTheme="majorHAnsi"/>
            <w:noProof/>
            <w:sz w:val="20"/>
            <w:szCs w:val="20"/>
          </w:rPr>
          <w:t>An</w:t>
        </w:r>
        <w:r w:rsidR="00C03A09" w:rsidRPr="00215DD5">
          <w:rPr>
            <w:rStyle w:val="Hyperlink"/>
            <w:rFonts w:asciiTheme="majorHAnsi" w:hAnsiTheme="majorHAnsi"/>
            <w:noProof/>
            <w:sz w:val="20"/>
            <w:szCs w:val="20"/>
          </w:rPr>
          <w:t>alysis of the case</w:t>
        </w:r>
        <w:r w:rsidR="00B72D94" w:rsidRPr="00215DD5">
          <w:rPr>
            <w:rFonts w:asciiTheme="majorHAnsi" w:hAnsiTheme="majorHAnsi"/>
            <w:noProof/>
            <w:webHidden/>
            <w:sz w:val="20"/>
            <w:szCs w:val="20"/>
          </w:rPr>
          <w:tab/>
        </w:r>
        <w:r w:rsidR="00B72D94" w:rsidRPr="00215DD5">
          <w:rPr>
            <w:rFonts w:asciiTheme="majorHAnsi" w:hAnsiTheme="majorHAnsi"/>
            <w:noProof/>
            <w:webHidden/>
            <w:sz w:val="20"/>
            <w:szCs w:val="20"/>
          </w:rPr>
          <w:fldChar w:fldCharType="begin"/>
        </w:r>
        <w:r w:rsidR="00B72D94" w:rsidRPr="00215DD5">
          <w:rPr>
            <w:rFonts w:asciiTheme="majorHAnsi" w:hAnsiTheme="majorHAnsi"/>
            <w:noProof/>
            <w:webHidden/>
            <w:sz w:val="20"/>
            <w:szCs w:val="20"/>
          </w:rPr>
          <w:instrText xml:space="preserve"> PAGEREF _Toc482278246 \h </w:instrText>
        </w:r>
        <w:r w:rsidR="00B72D94" w:rsidRPr="00215DD5">
          <w:rPr>
            <w:rFonts w:asciiTheme="majorHAnsi" w:hAnsiTheme="majorHAnsi"/>
            <w:noProof/>
            <w:webHidden/>
            <w:sz w:val="20"/>
            <w:szCs w:val="20"/>
          </w:rPr>
        </w:r>
        <w:r w:rsidR="00B72D94" w:rsidRPr="00215DD5">
          <w:rPr>
            <w:rFonts w:asciiTheme="majorHAnsi" w:hAnsiTheme="majorHAnsi"/>
            <w:noProof/>
            <w:webHidden/>
            <w:sz w:val="20"/>
            <w:szCs w:val="20"/>
          </w:rPr>
          <w:fldChar w:fldCharType="separate"/>
        </w:r>
        <w:r w:rsidR="0094532B" w:rsidRPr="00215DD5">
          <w:rPr>
            <w:rFonts w:asciiTheme="majorHAnsi" w:hAnsiTheme="majorHAnsi"/>
            <w:noProof/>
            <w:webHidden/>
            <w:sz w:val="20"/>
            <w:szCs w:val="20"/>
          </w:rPr>
          <w:t>10</w:t>
        </w:r>
        <w:r w:rsidR="00B72D94" w:rsidRPr="00215DD5">
          <w:rPr>
            <w:rFonts w:asciiTheme="majorHAnsi" w:hAnsiTheme="majorHAnsi"/>
            <w:noProof/>
            <w:webHidden/>
            <w:sz w:val="20"/>
            <w:szCs w:val="20"/>
          </w:rPr>
          <w:fldChar w:fldCharType="end"/>
        </w:r>
      </w:hyperlink>
    </w:p>
    <w:p w:rsidR="00587B56" w:rsidRPr="00215DD5" w:rsidRDefault="00435ECE" w:rsidP="00587B56">
      <w:pPr>
        <w:pStyle w:val="TOC2"/>
        <w:tabs>
          <w:tab w:val="left" w:pos="720"/>
        </w:tabs>
        <w:rPr>
          <w:rFonts w:asciiTheme="majorHAnsi" w:eastAsia="Times New Roman" w:hAnsiTheme="majorHAnsi"/>
          <w:noProof/>
          <w:sz w:val="20"/>
          <w:szCs w:val="20"/>
          <w:bdr w:val="none" w:sz="0" w:space="0" w:color="auto"/>
        </w:rPr>
      </w:pPr>
      <w:hyperlink w:anchor="_Toc482278247" w:history="1">
        <w:r w:rsidR="00B72D94" w:rsidRPr="00215DD5">
          <w:rPr>
            <w:rStyle w:val="Hyperlink"/>
            <w:rFonts w:asciiTheme="majorHAnsi" w:hAnsiTheme="majorHAnsi"/>
            <w:noProof/>
            <w:sz w:val="20"/>
            <w:szCs w:val="20"/>
          </w:rPr>
          <w:t>C.</w:t>
        </w:r>
        <w:r w:rsidR="00B72D94" w:rsidRPr="00215DD5">
          <w:rPr>
            <w:rFonts w:asciiTheme="majorHAnsi" w:eastAsia="Times New Roman" w:hAnsiTheme="majorHAnsi"/>
            <w:noProof/>
            <w:sz w:val="20"/>
            <w:szCs w:val="20"/>
            <w:bdr w:val="none" w:sz="0" w:space="0" w:color="auto"/>
          </w:rPr>
          <w:tab/>
        </w:r>
        <w:r w:rsidR="00644C08" w:rsidRPr="00215DD5">
          <w:rPr>
            <w:rFonts w:asciiTheme="majorHAnsi" w:eastAsia="Times New Roman" w:hAnsiTheme="majorHAnsi"/>
            <w:noProof/>
            <w:sz w:val="20"/>
            <w:szCs w:val="20"/>
            <w:bdr w:val="none" w:sz="0" w:space="0" w:color="auto"/>
          </w:rPr>
          <w:t>The r</w:t>
        </w:r>
        <w:r w:rsidR="00C03A09" w:rsidRPr="00215DD5">
          <w:rPr>
            <w:rFonts w:asciiTheme="majorHAnsi" w:eastAsia="Times New Roman" w:hAnsiTheme="majorHAnsi"/>
            <w:noProof/>
            <w:sz w:val="20"/>
            <w:szCs w:val="20"/>
            <w:bdr w:val="none" w:sz="0" w:space="0" w:color="auto"/>
          </w:rPr>
          <w:t>ight to a trial within a reasonable time</w:t>
        </w:r>
        <w:r w:rsidR="00B72D94" w:rsidRPr="00215DD5">
          <w:rPr>
            <w:rFonts w:asciiTheme="majorHAnsi" w:hAnsiTheme="majorHAnsi"/>
            <w:noProof/>
            <w:webHidden/>
            <w:sz w:val="20"/>
            <w:szCs w:val="20"/>
          </w:rPr>
          <w:tab/>
        </w:r>
        <w:r w:rsidR="00B72D94" w:rsidRPr="00215DD5">
          <w:rPr>
            <w:rFonts w:asciiTheme="majorHAnsi" w:hAnsiTheme="majorHAnsi"/>
            <w:noProof/>
            <w:webHidden/>
            <w:sz w:val="20"/>
            <w:szCs w:val="20"/>
          </w:rPr>
          <w:fldChar w:fldCharType="begin"/>
        </w:r>
        <w:r w:rsidR="00B72D94" w:rsidRPr="00215DD5">
          <w:rPr>
            <w:rFonts w:asciiTheme="majorHAnsi" w:hAnsiTheme="majorHAnsi"/>
            <w:noProof/>
            <w:webHidden/>
            <w:sz w:val="20"/>
            <w:szCs w:val="20"/>
          </w:rPr>
          <w:instrText xml:space="preserve"> PAGEREF _Toc482278247 \h </w:instrText>
        </w:r>
        <w:r w:rsidR="00B72D94" w:rsidRPr="00215DD5">
          <w:rPr>
            <w:rFonts w:asciiTheme="majorHAnsi" w:hAnsiTheme="majorHAnsi"/>
            <w:noProof/>
            <w:webHidden/>
            <w:sz w:val="20"/>
            <w:szCs w:val="20"/>
          </w:rPr>
        </w:r>
        <w:r w:rsidR="00B72D94" w:rsidRPr="00215DD5">
          <w:rPr>
            <w:rFonts w:asciiTheme="majorHAnsi" w:hAnsiTheme="majorHAnsi"/>
            <w:noProof/>
            <w:webHidden/>
            <w:sz w:val="20"/>
            <w:szCs w:val="20"/>
          </w:rPr>
          <w:fldChar w:fldCharType="separate"/>
        </w:r>
        <w:r w:rsidR="0094532B" w:rsidRPr="00215DD5">
          <w:rPr>
            <w:rFonts w:asciiTheme="majorHAnsi" w:hAnsiTheme="majorHAnsi"/>
            <w:noProof/>
            <w:webHidden/>
            <w:sz w:val="20"/>
            <w:szCs w:val="20"/>
          </w:rPr>
          <w:t>11</w:t>
        </w:r>
        <w:r w:rsidR="00B72D94" w:rsidRPr="00215DD5">
          <w:rPr>
            <w:rFonts w:asciiTheme="majorHAnsi" w:hAnsiTheme="majorHAnsi"/>
            <w:noProof/>
            <w:webHidden/>
            <w:sz w:val="20"/>
            <w:szCs w:val="20"/>
          </w:rPr>
          <w:fldChar w:fldCharType="end"/>
        </w:r>
      </w:hyperlink>
    </w:p>
    <w:p w:rsidR="00215DD5" w:rsidRPr="00215DD5" w:rsidRDefault="00215DD5" w:rsidP="00587B56">
      <w:pPr>
        <w:pStyle w:val="TOC1"/>
        <w:tabs>
          <w:tab w:val="left" w:pos="720"/>
          <w:tab w:val="left" w:pos="1440"/>
          <w:tab w:val="right" w:leader="dot" w:pos="9350"/>
        </w:tabs>
        <w:rPr>
          <w:rFonts w:asciiTheme="majorHAnsi" w:hAnsiTheme="majorHAnsi"/>
          <w:sz w:val="20"/>
          <w:szCs w:val="20"/>
        </w:rPr>
      </w:pPr>
    </w:p>
    <w:p w:rsidR="00587B56" w:rsidRPr="00215DD5" w:rsidRDefault="00435ECE" w:rsidP="00587B56">
      <w:pPr>
        <w:pStyle w:val="TOC1"/>
        <w:tabs>
          <w:tab w:val="left" w:pos="720"/>
          <w:tab w:val="left" w:pos="1440"/>
          <w:tab w:val="right" w:leader="dot" w:pos="9350"/>
        </w:tabs>
        <w:rPr>
          <w:rFonts w:asciiTheme="majorHAnsi" w:eastAsia="Times New Roman" w:hAnsiTheme="majorHAnsi"/>
          <w:b/>
          <w:noProof/>
          <w:sz w:val="20"/>
          <w:szCs w:val="20"/>
          <w:bdr w:val="none" w:sz="0" w:space="0" w:color="auto"/>
        </w:rPr>
      </w:pPr>
      <w:hyperlink w:anchor="_Toc482278248" w:history="1">
        <w:r w:rsidR="00B72D94" w:rsidRPr="00215DD5">
          <w:rPr>
            <w:rStyle w:val="Hyperlink"/>
            <w:rFonts w:asciiTheme="majorHAnsi" w:hAnsiTheme="majorHAnsi"/>
            <w:b/>
            <w:noProof/>
            <w:sz w:val="20"/>
            <w:szCs w:val="20"/>
          </w:rPr>
          <w:t>VI.</w:t>
        </w:r>
        <w:r w:rsidR="00B72D94" w:rsidRPr="00215DD5">
          <w:rPr>
            <w:rFonts w:asciiTheme="majorHAnsi" w:eastAsia="Times New Roman" w:hAnsiTheme="majorHAnsi"/>
            <w:b/>
            <w:noProof/>
            <w:sz w:val="20"/>
            <w:szCs w:val="20"/>
            <w:bdr w:val="none" w:sz="0" w:space="0" w:color="auto"/>
          </w:rPr>
          <w:tab/>
        </w:r>
        <w:r w:rsidR="00C03A09" w:rsidRPr="00215DD5">
          <w:rPr>
            <w:rStyle w:val="Hyperlink"/>
            <w:rFonts w:asciiTheme="majorHAnsi" w:hAnsiTheme="majorHAnsi"/>
            <w:b/>
            <w:noProof/>
            <w:sz w:val="20"/>
            <w:szCs w:val="20"/>
          </w:rPr>
          <w:t>CONCLUSION</w:t>
        </w:r>
        <w:r w:rsidR="00B72D94" w:rsidRPr="00215DD5">
          <w:rPr>
            <w:rStyle w:val="Hyperlink"/>
            <w:rFonts w:asciiTheme="majorHAnsi" w:hAnsiTheme="majorHAnsi"/>
            <w:b/>
            <w:noProof/>
            <w:sz w:val="20"/>
            <w:szCs w:val="20"/>
          </w:rPr>
          <w:t>S</w:t>
        </w:r>
        <w:r w:rsidR="00B72D94" w:rsidRPr="00215DD5">
          <w:rPr>
            <w:rFonts w:asciiTheme="majorHAnsi" w:hAnsiTheme="majorHAnsi"/>
            <w:b/>
            <w:noProof/>
            <w:webHidden/>
            <w:sz w:val="20"/>
            <w:szCs w:val="20"/>
          </w:rPr>
          <w:tab/>
        </w:r>
        <w:r w:rsidR="00B72D94" w:rsidRPr="00215DD5">
          <w:rPr>
            <w:rFonts w:asciiTheme="majorHAnsi" w:hAnsiTheme="majorHAnsi"/>
            <w:b/>
            <w:noProof/>
            <w:webHidden/>
            <w:sz w:val="20"/>
            <w:szCs w:val="20"/>
          </w:rPr>
          <w:fldChar w:fldCharType="begin"/>
        </w:r>
        <w:r w:rsidR="00B72D94" w:rsidRPr="00215DD5">
          <w:rPr>
            <w:rFonts w:asciiTheme="majorHAnsi" w:hAnsiTheme="majorHAnsi"/>
            <w:b/>
            <w:noProof/>
            <w:webHidden/>
            <w:sz w:val="20"/>
            <w:szCs w:val="20"/>
          </w:rPr>
          <w:instrText xml:space="preserve"> PAGEREF _Toc482278248 \h </w:instrText>
        </w:r>
        <w:r w:rsidR="00B72D94" w:rsidRPr="00215DD5">
          <w:rPr>
            <w:rFonts w:asciiTheme="majorHAnsi" w:hAnsiTheme="majorHAnsi"/>
            <w:b/>
            <w:noProof/>
            <w:webHidden/>
            <w:sz w:val="20"/>
            <w:szCs w:val="20"/>
          </w:rPr>
        </w:r>
        <w:r w:rsidR="00B72D94" w:rsidRPr="00215DD5">
          <w:rPr>
            <w:rFonts w:asciiTheme="majorHAnsi" w:hAnsiTheme="majorHAnsi"/>
            <w:b/>
            <w:noProof/>
            <w:webHidden/>
            <w:sz w:val="20"/>
            <w:szCs w:val="20"/>
          </w:rPr>
          <w:fldChar w:fldCharType="separate"/>
        </w:r>
        <w:r w:rsidR="0094532B" w:rsidRPr="00215DD5">
          <w:rPr>
            <w:rFonts w:asciiTheme="majorHAnsi" w:hAnsiTheme="majorHAnsi"/>
            <w:b/>
            <w:noProof/>
            <w:webHidden/>
            <w:sz w:val="20"/>
            <w:szCs w:val="20"/>
          </w:rPr>
          <w:t>12</w:t>
        </w:r>
        <w:r w:rsidR="00B72D94" w:rsidRPr="00215DD5">
          <w:rPr>
            <w:rFonts w:asciiTheme="majorHAnsi" w:hAnsiTheme="majorHAnsi"/>
            <w:b/>
            <w:noProof/>
            <w:webHidden/>
            <w:sz w:val="20"/>
            <w:szCs w:val="20"/>
          </w:rPr>
          <w:fldChar w:fldCharType="end"/>
        </w:r>
      </w:hyperlink>
    </w:p>
    <w:p w:rsidR="00215DD5" w:rsidRPr="00215DD5" w:rsidRDefault="00215DD5" w:rsidP="00587B56">
      <w:pPr>
        <w:pStyle w:val="TOC1"/>
        <w:tabs>
          <w:tab w:val="left" w:pos="720"/>
          <w:tab w:val="left" w:pos="1440"/>
          <w:tab w:val="right" w:leader="dot" w:pos="9350"/>
        </w:tabs>
        <w:rPr>
          <w:rFonts w:asciiTheme="majorHAnsi" w:hAnsiTheme="majorHAnsi"/>
          <w:b/>
          <w:sz w:val="20"/>
          <w:szCs w:val="20"/>
        </w:rPr>
      </w:pPr>
    </w:p>
    <w:p w:rsidR="00587B56" w:rsidRPr="00215DD5" w:rsidRDefault="00435ECE" w:rsidP="00587B56">
      <w:pPr>
        <w:pStyle w:val="TOC1"/>
        <w:tabs>
          <w:tab w:val="left" w:pos="720"/>
          <w:tab w:val="left" w:pos="1440"/>
          <w:tab w:val="right" w:leader="dot" w:pos="9350"/>
        </w:tabs>
        <w:rPr>
          <w:rFonts w:asciiTheme="majorHAnsi" w:eastAsia="Times New Roman" w:hAnsiTheme="majorHAnsi"/>
          <w:b/>
          <w:noProof/>
          <w:sz w:val="20"/>
          <w:szCs w:val="20"/>
          <w:bdr w:val="none" w:sz="0" w:space="0" w:color="auto"/>
        </w:rPr>
      </w:pPr>
      <w:hyperlink w:anchor="_Toc482278249" w:history="1">
        <w:r w:rsidR="00B72D94" w:rsidRPr="00215DD5">
          <w:rPr>
            <w:rStyle w:val="Hyperlink"/>
            <w:rFonts w:asciiTheme="majorHAnsi" w:hAnsiTheme="majorHAnsi"/>
            <w:b/>
            <w:noProof/>
            <w:sz w:val="20"/>
            <w:szCs w:val="20"/>
          </w:rPr>
          <w:t>VII.</w:t>
        </w:r>
        <w:r w:rsidR="00B72D94" w:rsidRPr="00215DD5">
          <w:rPr>
            <w:rFonts w:asciiTheme="majorHAnsi" w:eastAsia="Times New Roman" w:hAnsiTheme="majorHAnsi"/>
            <w:b/>
            <w:noProof/>
            <w:sz w:val="20"/>
            <w:szCs w:val="20"/>
            <w:bdr w:val="none" w:sz="0" w:space="0" w:color="auto"/>
          </w:rPr>
          <w:tab/>
        </w:r>
        <w:r w:rsidR="00B72D94" w:rsidRPr="00215DD5">
          <w:rPr>
            <w:rStyle w:val="Hyperlink"/>
            <w:rFonts w:asciiTheme="majorHAnsi" w:hAnsiTheme="majorHAnsi"/>
            <w:b/>
            <w:noProof/>
            <w:sz w:val="20"/>
            <w:szCs w:val="20"/>
          </w:rPr>
          <w:t>RECO</w:t>
        </w:r>
        <w:r w:rsidR="00C03A09" w:rsidRPr="00215DD5">
          <w:rPr>
            <w:rStyle w:val="Hyperlink"/>
            <w:rFonts w:asciiTheme="majorHAnsi" w:hAnsiTheme="majorHAnsi"/>
            <w:b/>
            <w:noProof/>
            <w:sz w:val="20"/>
            <w:szCs w:val="20"/>
          </w:rPr>
          <w:t>M</w:t>
        </w:r>
        <w:r w:rsidR="00B72D94" w:rsidRPr="00215DD5">
          <w:rPr>
            <w:rStyle w:val="Hyperlink"/>
            <w:rFonts w:asciiTheme="majorHAnsi" w:hAnsiTheme="majorHAnsi"/>
            <w:b/>
            <w:noProof/>
            <w:sz w:val="20"/>
            <w:szCs w:val="20"/>
          </w:rPr>
          <w:t>MENDA</w:t>
        </w:r>
        <w:r w:rsidR="00C03A09" w:rsidRPr="00215DD5">
          <w:rPr>
            <w:rStyle w:val="Hyperlink"/>
            <w:rFonts w:asciiTheme="majorHAnsi" w:hAnsiTheme="majorHAnsi"/>
            <w:b/>
            <w:noProof/>
            <w:sz w:val="20"/>
            <w:szCs w:val="20"/>
          </w:rPr>
          <w:t>TIONS</w:t>
        </w:r>
        <w:r w:rsidR="00B72D94" w:rsidRPr="00215DD5">
          <w:rPr>
            <w:rFonts w:asciiTheme="majorHAnsi" w:hAnsiTheme="majorHAnsi"/>
            <w:b/>
            <w:noProof/>
            <w:webHidden/>
            <w:sz w:val="20"/>
            <w:szCs w:val="20"/>
          </w:rPr>
          <w:tab/>
        </w:r>
        <w:r w:rsidR="00B72D94" w:rsidRPr="00215DD5">
          <w:rPr>
            <w:rFonts w:asciiTheme="majorHAnsi" w:hAnsiTheme="majorHAnsi"/>
            <w:b/>
            <w:noProof/>
            <w:webHidden/>
            <w:sz w:val="20"/>
            <w:szCs w:val="20"/>
          </w:rPr>
          <w:fldChar w:fldCharType="begin"/>
        </w:r>
        <w:r w:rsidR="00B72D94" w:rsidRPr="00215DD5">
          <w:rPr>
            <w:rFonts w:asciiTheme="majorHAnsi" w:hAnsiTheme="majorHAnsi"/>
            <w:b/>
            <w:noProof/>
            <w:webHidden/>
            <w:sz w:val="20"/>
            <w:szCs w:val="20"/>
          </w:rPr>
          <w:instrText xml:space="preserve"> PAGEREF _Toc482278249 \h </w:instrText>
        </w:r>
        <w:r w:rsidR="00B72D94" w:rsidRPr="00215DD5">
          <w:rPr>
            <w:rFonts w:asciiTheme="majorHAnsi" w:hAnsiTheme="majorHAnsi"/>
            <w:b/>
            <w:noProof/>
            <w:webHidden/>
            <w:sz w:val="20"/>
            <w:szCs w:val="20"/>
          </w:rPr>
        </w:r>
        <w:r w:rsidR="00B72D94" w:rsidRPr="00215DD5">
          <w:rPr>
            <w:rFonts w:asciiTheme="majorHAnsi" w:hAnsiTheme="majorHAnsi"/>
            <w:b/>
            <w:noProof/>
            <w:webHidden/>
            <w:sz w:val="20"/>
            <w:szCs w:val="20"/>
          </w:rPr>
          <w:fldChar w:fldCharType="separate"/>
        </w:r>
        <w:r w:rsidR="0094532B" w:rsidRPr="00215DD5">
          <w:rPr>
            <w:rFonts w:asciiTheme="majorHAnsi" w:hAnsiTheme="majorHAnsi"/>
            <w:b/>
            <w:noProof/>
            <w:webHidden/>
            <w:sz w:val="20"/>
            <w:szCs w:val="20"/>
          </w:rPr>
          <w:t>12</w:t>
        </w:r>
        <w:r w:rsidR="00B72D94" w:rsidRPr="00215DD5">
          <w:rPr>
            <w:rFonts w:asciiTheme="majorHAnsi" w:hAnsiTheme="majorHAnsi"/>
            <w:b/>
            <w:noProof/>
            <w:webHidden/>
            <w:sz w:val="20"/>
            <w:szCs w:val="20"/>
          </w:rPr>
          <w:fldChar w:fldCharType="end"/>
        </w:r>
      </w:hyperlink>
    </w:p>
    <w:p w:rsidR="00587B56" w:rsidRPr="00215DD5" w:rsidRDefault="00587B56" w:rsidP="00587B56">
      <w:pPr>
        <w:tabs>
          <w:tab w:val="left" w:pos="720"/>
          <w:tab w:val="center" w:pos="5400"/>
        </w:tabs>
        <w:suppressAutoHyphens/>
        <w:spacing w:line="276" w:lineRule="auto"/>
        <w:jc w:val="both"/>
        <w:rPr>
          <w:rFonts w:asciiTheme="majorHAnsi" w:hAnsiTheme="majorHAnsi"/>
          <w:sz w:val="20"/>
          <w:szCs w:val="20"/>
        </w:rPr>
      </w:pPr>
      <w:r w:rsidRPr="00215DD5">
        <w:rPr>
          <w:rFonts w:asciiTheme="majorHAnsi" w:hAnsiTheme="majorHAnsi"/>
          <w:sz w:val="20"/>
          <w:szCs w:val="20"/>
        </w:rPr>
        <w:fldChar w:fldCharType="end"/>
      </w:r>
    </w:p>
    <w:p w:rsidR="00C140DA" w:rsidRPr="00D1255F" w:rsidRDefault="00161414" w:rsidP="00C140DA">
      <w:pPr>
        <w:jc w:val="center"/>
        <w:rPr>
          <w:rFonts w:ascii="Cambria" w:hAnsi="Cambria"/>
          <w:sz w:val="18"/>
          <w:szCs w:val="18"/>
        </w:rPr>
      </w:pPr>
      <w:r>
        <w:rPr>
          <w:rFonts w:ascii="Cambria" w:hAnsi="Cambria"/>
          <w:sz w:val="20"/>
          <w:szCs w:val="20"/>
        </w:rPr>
        <w:br w:type="page"/>
      </w:r>
      <w:r>
        <w:rPr>
          <w:rFonts w:ascii="Cambria" w:hAnsi="Cambria"/>
          <w:b/>
          <w:bCs/>
          <w:sz w:val="18"/>
          <w:szCs w:val="18"/>
        </w:rPr>
        <w:lastRenderedPageBreak/>
        <w:t>REPORT No.</w:t>
      </w:r>
      <w:r>
        <w:rPr>
          <w:rFonts w:ascii="Cambria" w:hAnsi="Cambria"/>
          <w:sz w:val="18"/>
          <w:szCs w:val="18"/>
        </w:rPr>
        <w:t xml:space="preserve"> </w:t>
      </w:r>
      <w:r w:rsidR="00215DD5">
        <w:rPr>
          <w:rFonts w:ascii="Cambria" w:hAnsi="Cambria"/>
          <w:b/>
          <w:bCs/>
          <w:sz w:val="18"/>
          <w:szCs w:val="18"/>
        </w:rPr>
        <w:t>40</w:t>
      </w:r>
      <w:r>
        <w:rPr>
          <w:rFonts w:ascii="Cambria" w:hAnsi="Cambria"/>
          <w:b/>
          <w:bCs/>
          <w:sz w:val="18"/>
          <w:szCs w:val="18"/>
        </w:rPr>
        <w:t>/17</w:t>
      </w:r>
    </w:p>
    <w:p w:rsidR="00C140DA" w:rsidRPr="00D1255F" w:rsidRDefault="00C140DA" w:rsidP="00C140DA">
      <w:pPr>
        <w:tabs>
          <w:tab w:val="center" w:pos="5400"/>
        </w:tabs>
        <w:suppressAutoHyphens/>
        <w:spacing w:line="276" w:lineRule="auto"/>
        <w:jc w:val="center"/>
        <w:rPr>
          <w:rFonts w:ascii="Cambria" w:hAnsi="Cambria"/>
          <w:b/>
          <w:sz w:val="18"/>
          <w:szCs w:val="18"/>
        </w:rPr>
      </w:pPr>
      <w:r>
        <w:rPr>
          <w:rFonts w:ascii="Cambria" w:hAnsi="Cambria"/>
          <w:b/>
          <w:bCs/>
          <w:sz w:val="18"/>
          <w:szCs w:val="18"/>
        </w:rPr>
        <w:t>CASE 12.197</w:t>
      </w:r>
    </w:p>
    <w:p w:rsidR="00C140DA" w:rsidRPr="00D1255F" w:rsidRDefault="00C140DA" w:rsidP="00C140DA">
      <w:pPr>
        <w:tabs>
          <w:tab w:val="center" w:pos="5400"/>
        </w:tabs>
        <w:suppressAutoHyphens/>
        <w:spacing w:line="276" w:lineRule="auto"/>
        <w:jc w:val="center"/>
        <w:rPr>
          <w:rFonts w:ascii="Cambria" w:hAnsi="Cambria"/>
          <w:sz w:val="18"/>
          <w:szCs w:val="18"/>
        </w:rPr>
      </w:pPr>
      <w:r>
        <w:rPr>
          <w:rFonts w:ascii="Cambria" w:hAnsi="Cambria"/>
          <w:sz w:val="18"/>
          <w:szCs w:val="18"/>
        </w:rPr>
        <w:t>REPORT ON MERITS</w:t>
      </w:r>
    </w:p>
    <w:p w:rsidR="00C140DA" w:rsidRPr="0094532B" w:rsidRDefault="00C140DA" w:rsidP="00C140DA">
      <w:pPr>
        <w:tabs>
          <w:tab w:val="center" w:pos="5400"/>
        </w:tabs>
        <w:suppressAutoHyphens/>
        <w:spacing w:line="276" w:lineRule="auto"/>
        <w:jc w:val="center"/>
        <w:rPr>
          <w:rFonts w:ascii="Cambria" w:hAnsi="Cambria"/>
          <w:sz w:val="18"/>
          <w:szCs w:val="18"/>
          <w:lang w:val="es-MX"/>
        </w:rPr>
      </w:pPr>
      <w:r w:rsidRPr="0094532B">
        <w:rPr>
          <w:rFonts w:ascii="Cambria" w:hAnsi="Cambria"/>
          <w:sz w:val="18"/>
          <w:szCs w:val="18"/>
          <w:lang w:val="es-MX"/>
        </w:rPr>
        <w:t>RAMÓN ROSENDO CARRANZA ALARCÓN</w:t>
      </w:r>
    </w:p>
    <w:p w:rsidR="00C140DA" w:rsidRPr="0094532B" w:rsidRDefault="00C140DA" w:rsidP="00C140DA">
      <w:pPr>
        <w:tabs>
          <w:tab w:val="center" w:pos="5400"/>
        </w:tabs>
        <w:suppressAutoHyphens/>
        <w:spacing w:line="276" w:lineRule="auto"/>
        <w:jc w:val="center"/>
        <w:rPr>
          <w:rFonts w:ascii="Cambria" w:hAnsi="Cambria"/>
          <w:sz w:val="18"/>
          <w:szCs w:val="18"/>
          <w:lang w:val="es-MX"/>
        </w:rPr>
      </w:pPr>
      <w:r w:rsidRPr="0094532B">
        <w:rPr>
          <w:rFonts w:ascii="Cambria" w:hAnsi="Cambria"/>
          <w:sz w:val="18"/>
          <w:szCs w:val="18"/>
          <w:lang w:val="es-MX"/>
        </w:rPr>
        <w:t>ECUADOR</w:t>
      </w:r>
    </w:p>
    <w:p w:rsidR="00C140DA" w:rsidRPr="0094532B" w:rsidRDefault="00215DD5" w:rsidP="00C140DA">
      <w:pPr>
        <w:tabs>
          <w:tab w:val="center" w:pos="5400"/>
        </w:tabs>
        <w:suppressAutoHyphens/>
        <w:spacing w:line="276" w:lineRule="auto"/>
        <w:jc w:val="center"/>
        <w:rPr>
          <w:rFonts w:ascii="Cambria" w:hAnsi="Cambria"/>
          <w:sz w:val="18"/>
          <w:szCs w:val="18"/>
          <w:lang w:val="es-MX"/>
        </w:rPr>
      </w:pPr>
      <w:r>
        <w:rPr>
          <w:rFonts w:ascii="Cambria" w:hAnsi="Cambria"/>
          <w:sz w:val="18"/>
          <w:szCs w:val="18"/>
          <w:lang w:val="es-MX"/>
        </w:rPr>
        <w:t xml:space="preserve">MAY 23, </w:t>
      </w:r>
      <w:r w:rsidR="00C140DA" w:rsidRPr="0094532B">
        <w:rPr>
          <w:rFonts w:ascii="Cambria" w:hAnsi="Cambria"/>
          <w:sz w:val="18"/>
          <w:szCs w:val="18"/>
          <w:lang w:val="es-MX"/>
        </w:rPr>
        <w:t>2017</w:t>
      </w:r>
    </w:p>
    <w:p w:rsidR="000F494B" w:rsidRPr="0094532B" w:rsidRDefault="000F494B" w:rsidP="00B7712A">
      <w:pPr>
        <w:tabs>
          <w:tab w:val="center" w:pos="5400"/>
        </w:tabs>
        <w:suppressAutoHyphens/>
        <w:jc w:val="both"/>
        <w:rPr>
          <w:rFonts w:ascii="Cambria" w:hAnsi="Cambria"/>
          <w:sz w:val="20"/>
          <w:szCs w:val="20"/>
          <w:lang w:val="es-MX"/>
        </w:rPr>
      </w:pPr>
    </w:p>
    <w:p w:rsidR="00D1255F" w:rsidRPr="0094532B" w:rsidRDefault="00D1255F" w:rsidP="00B7712A">
      <w:pPr>
        <w:tabs>
          <w:tab w:val="center" w:pos="5400"/>
        </w:tabs>
        <w:suppressAutoHyphens/>
        <w:jc w:val="both"/>
        <w:rPr>
          <w:rFonts w:ascii="Cambria" w:hAnsi="Cambria"/>
          <w:sz w:val="20"/>
          <w:szCs w:val="20"/>
          <w:lang w:val="es-MX"/>
        </w:rPr>
      </w:pPr>
    </w:p>
    <w:p w:rsidR="000F494B" w:rsidRPr="00A11409" w:rsidRDefault="000F494B" w:rsidP="00BB058F">
      <w:pPr>
        <w:pStyle w:val="Heading1"/>
      </w:pPr>
      <w:bookmarkStart w:id="1" w:name="_Toc482278236"/>
      <w:bookmarkStart w:id="2" w:name="_Toc416685625"/>
      <w:bookmarkStart w:id="3" w:name="_Toc412635569"/>
      <w:bookmarkStart w:id="4" w:name="_Toc370831280"/>
      <w:bookmarkStart w:id="5" w:name="_Toc370830569"/>
      <w:r>
        <w:rPr>
          <w:lang w:val="en-US"/>
        </w:rPr>
        <w:t>SUMMARY</w:t>
      </w:r>
      <w:bookmarkEnd w:id="1"/>
      <w:bookmarkEnd w:id="2"/>
      <w:bookmarkEnd w:id="3"/>
      <w:bookmarkEnd w:id="4"/>
      <w:bookmarkEnd w:id="5"/>
    </w:p>
    <w:p w:rsidR="000F494B" w:rsidRPr="00A11409" w:rsidRDefault="000F494B" w:rsidP="00B7712A">
      <w:pPr>
        <w:ind w:firstLine="567"/>
        <w:jc w:val="both"/>
        <w:rPr>
          <w:rFonts w:ascii="Cambria" w:hAnsi="Cambria" w:cs="Arial"/>
          <w:sz w:val="20"/>
          <w:szCs w:val="20"/>
        </w:rPr>
      </w:pPr>
    </w:p>
    <w:p w:rsidR="00B7712A" w:rsidRPr="00D96AC7" w:rsidRDefault="000F494B" w:rsidP="00B7712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On April 5, 1998, the Inter-American Commission on Human Rights (hereinafter the "Commission," “Inter-American Commission,”</w:t>
      </w:r>
      <w:r w:rsidR="00644C08">
        <w:rPr>
          <w:rFonts w:ascii="Cambria" w:hAnsi="Cambria"/>
          <w:sz w:val="20"/>
          <w:szCs w:val="20"/>
          <w:lang w:val="en-US"/>
        </w:rPr>
        <w:t xml:space="preserve"> </w:t>
      </w:r>
      <w:r>
        <w:rPr>
          <w:rFonts w:ascii="Cambria" w:hAnsi="Cambria"/>
          <w:sz w:val="20"/>
          <w:szCs w:val="20"/>
          <w:lang w:val="en-US"/>
        </w:rPr>
        <w:t xml:space="preserve">or "IACHR") received a petition lodged by José Leonardo </w:t>
      </w:r>
      <w:proofErr w:type="spellStart"/>
      <w:r>
        <w:rPr>
          <w:rFonts w:ascii="Cambria" w:hAnsi="Cambria"/>
          <w:sz w:val="20"/>
          <w:szCs w:val="20"/>
          <w:lang w:val="en-US"/>
        </w:rPr>
        <w:t>Obando</w:t>
      </w:r>
      <w:proofErr w:type="spellEnd"/>
      <w:r>
        <w:rPr>
          <w:rFonts w:ascii="Cambria" w:hAnsi="Cambria"/>
          <w:sz w:val="20"/>
          <w:szCs w:val="20"/>
          <w:lang w:val="en-US"/>
        </w:rPr>
        <w:t xml:space="preserve"> </w:t>
      </w:r>
      <w:proofErr w:type="spellStart"/>
      <w:r>
        <w:rPr>
          <w:rFonts w:ascii="Cambria" w:hAnsi="Cambria"/>
          <w:sz w:val="20"/>
          <w:szCs w:val="20"/>
          <w:lang w:val="en-US"/>
        </w:rPr>
        <w:t>Laaz</w:t>
      </w:r>
      <w:proofErr w:type="spellEnd"/>
      <w:r>
        <w:rPr>
          <w:rFonts w:ascii="Cambria" w:hAnsi="Cambria"/>
          <w:sz w:val="20"/>
          <w:szCs w:val="20"/>
          <w:lang w:val="en-US"/>
        </w:rPr>
        <w:t xml:space="preserve"> (hereinafter "the petitioner") alleging that the Republic of Ecuador was responsible for the unlawful and arbitrary detention of Ramón Rosendo Carranza Alarcón in November 1994 by State agents, as well as for his unreasonably long pretrial detention in the framework of an investigation and criminal proceeding for the crime of murder.</w:t>
      </w:r>
      <w:r w:rsidR="00644C08">
        <w:rPr>
          <w:rFonts w:ascii="Cambria" w:hAnsi="Cambria"/>
          <w:sz w:val="20"/>
          <w:szCs w:val="20"/>
          <w:lang w:val="en-US"/>
        </w:rPr>
        <w:t xml:space="preserve"> </w:t>
      </w:r>
    </w:p>
    <w:p w:rsidR="00A20AB1" w:rsidRPr="00D96AC7" w:rsidRDefault="00A20AB1" w:rsidP="00937642">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944F64" w:rsidRPr="00D96AC7" w:rsidRDefault="00937642" w:rsidP="00B7712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The State argued that Mr. Carranza’s arrest and the length of his pretrial detention were consistent with the provisions of its domestic system of laws and international standards. It held that Mr. Carranza had access to an array of adequate and effective remedies in order to challenge any supposed violation of his rights.</w:t>
      </w:r>
    </w:p>
    <w:p w:rsidR="00926134" w:rsidRPr="00D96AC7" w:rsidRDefault="00926134" w:rsidP="00B7712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0F494B" w:rsidRPr="00D96AC7" w:rsidRDefault="00E01979" w:rsidP="00B7712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Having analyzed the available information, the Commission has concluded that the State is responsible for violation of the rights to personal liberty and a fair trial recognized in Articles 7(1), 7(3), 7(5), 8(1) and 8(2) of the American Convention, taken in conjunction with the obligations established in Articles 1(1) and 2 of that instrument, to the detriment of Ramón Rosendo Carranza Alarcón.</w:t>
      </w:r>
    </w:p>
    <w:p w:rsidR="002E7F9F" w:rsidRPr="00D96AC7" w:rsidRDefault="002E7F9F" w:rsidP="00B7712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rsidR="000F494B" w:rsidRPr="00BB058F" w:rsidRDefault="000F494B" w:rsidP="00BB058F">
      <w:pPr>
        <w:pStyle w:val="Heading1"/>
      </w:pPr>
      <w:bookmarkStart w:id="6" w:name="_Toc482278237"/>
      <w:bookmarkStart w:id="7" w:name="_Toc416685626"/>
      <w:bookmarkStart w:id="8" w:name="_Toc412635570"/>
      <w:bookmarkStart w:id="9" w:name="_Toc370831281"/>
      <w:bookmarkStart w:id="10" w:name="_Toc370830570"/>
      <w:r>
        <w:rPr>
          <w:lang w:val="en-US"/>
        </w:rPr>
        <w:t>PROCE</w:t>
      </w:r>
      <w:r w:rsidR="00C03A09">
        <w:rPr>
          <w:lang w:val="en-US"/>
        </w:rPr>
        <w:t xml:space="preserve">EDINGS BEFORE </w:t>
      </w:r>
      <w:r>
        <w:rPr>
          <w:lang w:val="en-US"/>
        </w:rPr>
        <w:t>THE COMMISSION</w:t>
      </w:r>
      <w:bookmarkEnd w:id="6"/>
      <w:bookmarkEnd w:id="7"/>
      <w:bookmarkEnd w:id="8"/>
      <w:bookmarkEnd w:id="9"/>
      <w:bookmarkEnd w:id="10"/>
      <w:r>
        <w:rPr>
          <w:b w:val="0"/>
          <w:bCs w:val="0"/>
          <w:lang w:val="en-US"/>
        </w:rPr>
        <w:t xml:space="preserve"> </w:t>
      </w:r>
    </w:p>
    <w:p w:rsidR="00754548" w:rsidRPr="00A11409" w:rsidRDefault="00B772BF" w:rsidP="00B7712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Pr>
          <w:rFonts w:ascii="Cambria" w:hAnsi="Cambria"/>
          <w:sz w:val="20"/>
          <w:szCs w:val="20"/>
        </w:rPr>
        <w:t xml:space="preserve"> </w:t>
      </w:r>
    </w:p>
    <w:p w:rsidR="00AC66BC" w:rsidRPr="00D96AC7" w:rsidRDefault="00CB7BBC" w:rsidP="00B7712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sz w:val="20"/>
          <w:szCs w:val="20"/>
          <w:lang w:val="en-US"/>
        </w:rPr>
      </w:pPr>
      <w:r>
        <w:rPr>
          <w:rFonts w:ascii="Cambria" w:hAnsi="Cambria"/>
          <w:sz w:val="20"/>
          <w:szCs w:val="20"/>
          <w:lang w:val="en-US"/>
        </w:rPr>
        <w:t>The IACHR received the original petition on April 5, 1998. A detailed account of the processing of the petition up to the decision on admissibility is found in Report on Admissibility 154/11 adopted on November 2, 2011.</w:t>
      </w:r>
      <w:r>
        <w:rPr>
          <w:rStyle w:val="FootnoteReference"/>
          <w:rFonts w:ascii="Cambria" w:hAnsi="Cambria"/>
          <w:sz w:val="20"/>
          <w:szCs w:val="20"/>
          <w:lang w:val="en-US"/>
        </w:rPr>
        <w:footnoteReference w:id="2"/>
      </w:r>
    </w:p>
    <w:p w:rsidR="00AC66BC" w:rsidRPr="00A11409" w:rsidRDefault="00AC66BC" w:rsidP="00B7712A">
      <w:pPr>
        <w:jc w:val="both"/>
        <w:rPr>
          <w:rFonts w:ascii="Cambria" w:hAnsi="Cambria"/>
          <w:sz w:val="20"/>
          <w:szCs w:val="20"/>
        </w:rPr>
      </w:pPr>
    </w:p>
    <w:p w:rsidR="00C81F49" w:rsidRPr="00A11409" w:rsidRDefault="001E04D5" w:rsidP="00B771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Pr>
          <w:rFonts w:ascii="Cambria" w:hAnsi="Cambria"/>
          <w:sz w:val="20"/>
          <w:szCs w:val="20"/>
        </w:rPr>
        <w:t>On November 10, 2011, the Commission notified the parties of that report and placed itself at their disposal with a view to reaching a friendly settlement. On June 30, 2014, the petitioners informed the IACHR that they had no additional comments to submit. The State submitted its additional comments on merits on July 15, 2016.</w:t>
      </w:r>
    </w:p>
    <w:p w:rsidR="00866579" w:rsidRPr="00D96AC7" w:rsidRDefault="00866579" w:rsidP="00B7712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0F494B" w:rsidRPr="00A11409" w:rsidRDefault="000F494B" w:rsidP="00BB058F">
      <w:pPr>
        <w:pStyle w:val="Heading1"/>
      </w:pPr>
      <w:bookmarkStart w:id="11" w:name="_Toc482278238"/>
      <w:bookmarkStart w:id="12" w:name="_Toc416685627"/>
      <w:bookmarkStart w:id="13" w:name="_Toc412635571"/>
      <w:r>
        <w:rPr>
          <w:lang w:val="en-US"/>
        </w:rPr>
        <w:t>POSITIONS OF THE PARTIES</w:t>
      </w:r>
      <w:bookmarkEnd w:id="11"/>
      <w:bookmarkEnd w:id="12"/>
      <w:bookmarkEnd w:id="13"/>
    </w:p>
    <w:p w:rsidR="000F494B" w:rsidRPr="00A11409" w:rsidRDefault="000F494B" w:rsidP="00B7712A">
      <w:pPr>
        <w:ind w:firstLine="567"/>
        <w:jc w:val="both"/>
        <w:rPr>
          <w:rFonts w:ascii="Cambria" w:hAnsi="Cambria"/>
          <w:sz w:val="20"/>
          <w:szCs w:val="20"/>
        </w:rPr>
      </w:pPr>
    </w:p>
    <w:p w:rsidR="000F494B" w:rsidRPr="00A11409" w:rsidRDefault="000F494B" w:rsidP="00D1255F">
      <w:pPr>
        <w:pStyle w:val="Heading2"/>
        <w:numPr>
          <w:ilvl w:val="0"/>
          <w:numId w:val="56"/>
        </w:numPr>
      </w:pPr>
      <w:bookmarkStart w:id="14" w:name="_Toc416685628"/>
      <w:bookmarkStart w:id="15" w:name="_Toc412635572"/>
      <w:bookmarkStart w:id="16" w:name="_Toc370831283"/>
      <w:bookmarkStart w:id="17" w:name="_Toc482278239"/>
      <w:r>
        <w:rPr>
          <w:bCs/>
          <w:lang w:val="en-US"/>
        </w:rPr>
        <w:t xml:space="preserve">The </w:t>
      </w:r>
      <w:bookmarkEnd w:id="14"/>
      <w:bookmarkEnd w:id="15"/>
      <w:bookmarkEnd w:id="16"/>
      <w:r>
        <w:rPr>
          <w:bCs/>
          <w:lang w:val="en-US"/>
        </w:rPr>
        <w:t>petitioner</w:t>
      </w:r>
      <w:bookmarkEnd w:id="17"/>
    </w:p>
    <w:p w:rsidR="009B1199" w:rsidRPr="00A11409" w:rsidRDefault="009B1199" w:rsidP="00B7712A">
      <w:pPr>
        <w:pStyle w:val="MediumList2-Accent41"/>
        <w:ind w:left="1440"/>
        <w:jc w:val="both"/>
        <w:rPr>
          <w:sz w:val="20"/>
          <w:szCs w:val="20"/>
        </w:rPr>
      </w:pPr>
    </w:p>
    <w:p w:rsidR="00923951" w:rsidRPr="00D96AC7" w:rsidRDefault="00D25C21" w:rsidP="00CC62D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The petitioner alleged that the Republic of Ecuador was responsible for the unlawful and arbitrary detention of Ramón Rosendo Carranza Alarcón in November 1994 by State agents, as well as for his unreasonably long pretrial detention in the framework of his criminal prosecution for murder. The petitioner said that Mr. Carranza was kept in pretrial detention until his conviction in December 1998. The petitioner also claimed that the State was responsible for the violation of Mr. Carranza’s physical integrity due to the fact that, despite having tuberculosis while in detention, he did not receive proper medical attention. The details about the facts and domestic proceedings will be addressed in the “</w:t>
      </w:r>
      <w:r w:rsidR="00C03A09">
        <w:rPr>
          <w:rFonts w:ascii="Cambria" w:hAnsi="Cambria"/>
          <w:sz w:val="20"/>
          <w:szCs w:val="20"/>
          <w:lang w:val="en-US"/>
        </w:rPr>
        <w:t xml:space="preserve">Proven </w:t>
      </w:r>
      <w:r>
        <w:rPr>
          <w:rFonts w:ascii="Cambria" w:hAnsi="Cambria"/>
          <w:sz w:val="20"/>
          <w:szCs w:val="20"/>
          <w:lang w:val="en-US"/>
        </w:rPr>
        <w:t>Facts” section of this report, based on information provided by both parties.</w:t>
      </w:r>
    </w:p>
    <w:p w:rsidR="00923951" w:rsidRPr="00D96AC7" w:rsidRDefault="00923951" w:rsidP="00B7712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rsidR="00C6319F" w:rsidRPr="00A11409" w:rsidRDefault="00C0158B" w:rsidP="00B7712A">
      <w:pPr>
        <w:numPr>
          <w:ilvl w:val="0"/>
          <w:numId w:val="55"/>
        </w:numPr>
        <w:jc w:val="both"/>
        <w:rPr>
          <w:rFonts w:ascii="Cambria" w:eastAsia="Times New Roman" w:hAnsi="Cambria"/>
          <w:color w:val="000000"/>
          <w:sz w:val="20"/>
          <w:szCs w:val="20"/>
          <w:u w:color="000000"/>
        </w:rPr>
      </w:pPr>
      <w:r>
        <w:rPr>
          <w:rFonts w:ascii="Cambria" w:eastAsia="Times New Roman" w:hAnsi="Cambria"/>
          <w:color w:val="000000"/>
          <w:sz w:val="20"/>
          <w:szCs w:val="20"/>
          <w:u w:color="000000"/>
        </w:rPr>
        <w:lastRenderedPageBreak/>
        <w:t xml:space="preserve">In relation to the alleged violation of the </w:t>
      </w:r>
      <w:r>
        <w:rPr>
          <w:rFonts w:ascii="Cambria" w:eastAsia="Times New Roman" w:hAnsi="Cambria"/>
          <w:b/>
          <w:bCs/>
          <w:color w:val="000000"/>
          <w:sz w:val="20"/>
          <w:szCs w:val="20"/>
          <w:u w:color="000000"/>
        </w:rPr>
        <w:t>right to personal liberty</w:t>
      </w:r>
      <w:r>
        <w:rPr>
          <w:rFonts w:ascii="Cambria" w:eastAsia="Times New Roman" w:hAnsi="Cambria"/>
          <w:color w:val="000000"/>
          <w:sz w:val="20"/>
          <w:szCs w:val="20"/>
          <w:u w:color="000000"/>
        </w:rPr>
        <w:t>, the petitioner alleged that Mr. Carranza was detained by police without a court order or being caught in the act of committing an offense. The petitioner said that the agents did not inform him of the reasons for his arrest. The petitioner added that he was held in pretrial detention for approximately four years, which was an unreasonably long time.</w:t>
      </w:r>
    </w:p>
    <w:p w:rsidR="00895700" w:rsidRPr="00A11409" w:rsidRDefault="00895700" w:rsidP="00895700">
      <w:pPr>
        <w:pStyle w:val="MediumGrid1-Accent22"/>
        <w:rPr>
          <w:rFonts w:ascii="Cambria" w:eastAsia="Times New Roman" w:hAnsi="Cambria"/>
          <w:color w:val="000000"/>
          <w:sz w:val="20"/>
          <w:szCs w:val="20"/>
          <w:u w:color="000000"/>
        </w:rPr>
      </w:pPr>
    </w:p>
    <w:p w:rsidR="00895700" w:rsidRPr="00A11409" w:rsidRDefault="00895700" w:rsidP="00895700">
      <w:pPr>
        <w:numPr>
          <w:ilvl w:val="0"/>
          <w:numId w:val="55"/>
        </w:numPr>
        <w:jc w:val="both"/>
        <w:rPr>
          <w:rFonts w:ascii="Cambria" w:eastAsia="Times New Roman" w:hAnsi="Cambria"/>
          <w:color w:val="000000"/>
          <w:sz w:val="20"/>
          <w:szCs w:val="20"/>
          <w:u w:color="000000"/>
        </w:rPr>
      </w:pPr>
      <w:r>
        <w:rPr>
          <w:rFonts w:ascii="Cambria" w:eastAsia="Times New Roman" w:hAnsi="Cambria"/>
          <w:color w:val="000000"/>
          <w:sz w:val="20"/>
          <w:szCs w:val="20"/>
          <w:u w:color="000000"/>
        </w:rPr>
        <w:t xml:space="preserve">In relation to the alleged violation of the rights to a </w:t>
      </w:r>
      <w:r>
        <w:rPr>
          <w:rFonts w:ascii="Cambria" w:eastAsia="Times New Roman" w:hAnsi="Cambria"/>
          <w:b/>
          <w:bCs/>
          <w:color w:val="000000"/>
          <w:sz w:val="20"/>
          <w:szCs w:val="20"/>
          <w:u w:color="000000"/>
        </w:rPr>
        <w:t>fair trial and judicial protection</w:t>
      </w:r>
      <w:r>
        <w:rPr>
          <w:rFonts w:ascii="Cambria" w:eastAsia="Times New Roman" w:hAnsi="Cambria"/>
          <w:color w:val="000000"/>
          <w:sz w:val="20"/>
          <w:szCs w:val="20"/>
          <w:u w:color="000000"/>
        </w:rPr>
        <w:t>, the petitioner said that the criminal proceeding instituted against him did not meet the requirements of a fair trial. The petitioner argued that the sentence was not proportionate, in that he was not granted the reductions envisaged in domestic law in accordance with international standards. The petitioner said that Mr. Carranza was sentenced to six years’ imprisonment even though he had already spent four years in pretrial detention.</w:t>
      </w:r>
    </w:p>
    <w:p w:rsidR="00063B94" w:rsidRPr="00A11409" w:rsidRDefault="00063B94" w:rsidP="00B7712A">
      <w:pPr>
        <w:pStyle w:val="MediumList2-Accent41"/>
        <w:ind w:left="0"/>
        <w:jc w:val="both"/>
        <w:rPr>
          <w:sz w:val="20"/>
          <w:szCs w:val="20"/>
        </w:rPr>
      </w:pPr>
    </w:p>
    <w:p w:rsidR="00380035" w:rsidRPr="00A11409" w:rsidRDefault="009B1199" w:rsidP="00D1255F">
      <w:pPr>
        <w:pStyle w:val="Heading2"/>
        <w:numPr>
          <w:ilvl w:val="0"/>
          <w:numId w:val="56"/>
        </w:numPr>
      </w:pPr>
      <w:bookmarkStart w:id="18" w:name="_Toc482278240"/>
      <w:r>
        <w:rPr>
          <w:bCs/>
          <w:lang w:val="en-US"/>
        </w:rPr>
        <w:t>The State</w:t>
      </w:r>
      <w:bookmarkEnd w:id="18"/>
    </w:p>
    <w:p w:rsidR="00227CC8" w:rsidRPr="00A11409" w:rsidRDefault="00227CC8" w:rsidP="00B7712A">
      <w:pPr>
        <w:ind w:left="720"/>
        <w:jc w:val="both"/>
        <w:rPr>
          <w:rFonts w:ascii="Cambria" w:hAnsi="Cambria" w:cs="Calibri"/>
          <w:color w:val="808080"/>
          <w:sz w:val="20"/>
          <w:szCs w:val="20"/>
        </w:rPr>
      </w:pPr>
    </w:p>
    <w:p w:rsidR="00336266" w:rsidRPr="00A11409" w:rsidRDefault="00227CC8" w:rsidP="00B7712A">
      <w:pPr>
        <w:numPr>
          <w:ilvl w:val="0"/>
          <w:numId w:val="55"/>
        </w:numPr>
        <w:jc w:val="both"/>
        <w:rPr>
          <w:rFonts w:ascii="Cambria" w:hAnsi="Cambria" w:cs="Calibri"/>
          <w:color w:val="808080"/>
          <w:sz w:val="20"/>
          <w:szCs w:val="20"/>
        </w:rPr>
      </w:pPr>
      <w:r>
        <w:rPr>
          <w:rFonts w:ascii="Cambria" w:hAnsi="Cambria"/>
          <w:sz w:val="20"/>
          <w:szCs w:val="20"/>
        </w:rPr>
        <w:t>The State argued that Mr. Carranza’s arrest and the length of his pretrial detention were consistent with the provisions of its domestic system of laws and international standards.</w:t>
      </w:r>
    </w:p>
    <w:p w:rsidR="007B1F60" w:rsidRPr="00A11409" w:rsidRDefault="007B1F60" w:rsidP="007B1F60">
      <w:pPr>
        <w:ind w:left="720"/>
        <w:jc w:val="both"/>
        <w:rPr>
          <w:rFonts w:ascii="Cambria" w:hAnsi="Cambria" w:cs="Calibri"/>
          <w:color w:val="808080"/>
          <w:sz w:val="20"/>
          <w:szCs w:val="20"/>
        </w:rPr>
      </w:pPr>
    </w:p>
    <w:p w:rsidR="007B1F60" w:rsidRPr="00A11409" w:rsidRDefault="007B1F60" w:rsidP="00B7712A">
      <w:pPr>
        <w:numPr>
          <w:ilvl w:val="0"/>
          <w:numId w:val="55"/>
        </w:numPr>
        <w:jc w:val="both"/>
        <w:rPr>
          <w:rFonts w:ascii="Cambria" w:hAnsi="Cambria"/>
          <w:sz w:val="20"/>
          <w:szCs w:val="20"/>
        </w:rPr>
      </w:pPr>
      <w:r>
        <w:rPr>
          <w:rFonts w:ascii="Cambria" w:hAnsi="Cambria"/>
          <w:sz w:val="20"/>
          <w:szCs w:val="20"/>
        </w:rPr>
        <w:t xml:space="preserve">With regard to Mr. Carranza’s detention, Ecuador argued that at no point did he file an application for habeas corpus in order to challenge his arrest. The State argued that his detention was lawful because there was a judicial order for his arrest as a result of the fact that he had been a fugitive from justice for almost a year. It added that after his arrest, Mr. Carranza was duly turned over to the relevant authorities for his case to be heard. The State also said that the duration of the pretrial detention was reasonable given that its purpose was to ensure Mr. Carranza's appearance at trial, bearing in mind that he had evaded justice for almost a year. </w:t>
      </w:r>
    </w:p>
    <w:p w:rsidR="007B1F60" w:rsidRPr="00A11409" w:rsidRDefault="007B1F60" w:rsidP="007B1F60">
      <w:pPr>
        <w:pStyle w:val="MediumGrid1-Accent22"/>
        <w:rPr>
          <w:rFonts w:ascii="Cambria" w:hAnsi="Cambria"/>
          <w:sz w:val="20"/>
          <w:szCs w:val="20"/>
        </w:rPr>
      </w:pPr>
    </w:p>
    <w:p w:rsidR="00D11BAD" w:rsidRPr="00A11409" w:rsidRDefault="0024191D" w:rsidP="00D11BAD">
      <w:pPr>
        <w:numPr>
          <w:ilvl w:val="0"/>
          <w:numId w:val="55"/>
        </w:numPr>
        <w:jc w:val="both"/>
        <w:rPr>
          <w:rFonts w:ascii="Cambria" w:hAnsi="Cambria"/>
          <w:sz w:val="20"/>
          <w:szCs w:val="20"/>
        </w:rPr>
      </w:pPr>
      <w:r>
        <w:rPr>
          <w:rFonts w:ascii="Cambria" w:hAnsi="Cambria"/>
          <w:sz w:val="20"/>
          <w:szCs w:val="20"/>
        </w:rPr>
        <w:t xml:space="preserve">As regards Mr. Carranza’s criminal trial, Ecuador stated that it was conducted in accordance with the rules of due process. It held that Mr. Carranza’s conviction was handed down in accordance with its national law and international obligations. The State said that the duration of the proceedings was reasonable. Their duration was due to the complexity of the matter and the fact that Mr. Carranza had evaded justice for almost a year. It added that Mr. Carranza had access to all the remedies that the law afforded him, such as appeal, cassation, or review, but that he did not have recourse to them. </w:t>
      </w:r>
    </w:p>
    <w:p w:rsidR="00D11BAD" w:rsidRPr="00A11409" w:rsidRDefault="00D11BAD" w:rsidP="00D11BAD">
      <w:pPr>
        <w:jc w:val="both"/>
        <w:rPr>
          <w:rFonts w:ascii="Cambria" w:hAnsi="Cambria" w:cs="Calibri"/>
          <w:sz w:val="20"/>
          <w:szCs w:val="20"/>
        </w:rPr>
      </w:pPr>
    </w:p>
    <w:p w:rsidR="00C20034" w:rsidRPr="00A11409" w:rsidRDefault="00D11BAD" w:rsidP="00D11BAD">
      <w:pPr>
        <w:numPr>
          <w:ilvl w:val="0"/>
          <w:numId w:val="55"/>
        </w:numPr>
        <w:jc w:val="both"/>
        <w:rPr>
          <w:rFonts w:ascii="Cambria" w:hAnsi="Cambria"/>
          <w:sz w:val="20"/>
          <w:szCs w:val="20"/>
        </w:rPr>
      </w:pPr>
      <w:r>
        <w:rPr>
          <w:rFonts w:ascii="Cambria" w:hAnsi="Cambria"/>
          <w:sz w:val="20"/>
          <w:szCs w:val="20"/>
        </w:rPr>
        <w:t>As to the proportionality of the sentence imposed on Mr. Carranza, the State said that the court that sentenced him accepted his plea of mitigating circumstances and modified the sentence that the law mandated (8 to 12 years). Ecuador said that the court sentenced Mr. Carranza to the “special term of imprisonment of six years, precisely for his good behavior.”</w:t>
      </w:r>
    </w:p>
    <w:p w:rsidR="00011E17" w:rsidRPr="00A11409" w:rsidRDefault="00011E17" w:rsidP="00011E17">
      <w:pPr>
        <w:jc w:val="both"/>
        <w:rPr>
          <w:rFonts w:ascii="Cambria" w:hAnsi="Cambria" w:cs="Calibri"/>
          <w:sz w:val="20"/>
          <w:szCs w:val="20"/>
        </w:rPr>
      </w:pPr>
    </w:p>
    <w:p w:rsidR="0025671F" w:rsidRPr="00A11409" w:rsidRDefault="0025671F" w:rsidP="00BB058F">
      <w:pPr>
        <w:pStyle w:val="Heading1"/>
      </w:pPr>
      <w:bookmarkStart w:id="19" w:name="_Toc482278241"/>
      <w:r>
        <w:rPr>
          <w:lang w:val="en-US"/>
        </w:rPr>
        <w:t>PROVEN FACTS</w:t>
      </w:r>
      <w:bookmarkEnd w:id="19"/>
    </w:p>
    <w:p w:rsidR="0025671F" w:rsidRPr="00A11409" w:rsidRDefault="0025671F" w:rsidP="00B7712A">
      <w:pPr>
        <w:jc w:val="both"/>
        <w:rPr>
          <w:rFonts w:ascii="Cambria" w:hAnsi="Cambria"/>
          <w:sz w:val="20"/>
          <w:szCs w:val="20"/>
        </w:rPr>
      </w:pPr>
    </w:p>
    <w:p w:rsidR="0025671F" w:rsidRPr="00A11409" w:rsidRDefault="0025671F" w:rsidP="00011E17">
      <w:pPr>
        <w:ind w:left="1440" w:hanging="720"/>
        <w:jc w:val="both"/>
        <w:rPr>
          <w:rFonts w:ascii="Cambria" w:hAnsi="Cambria"/>
          <w:b/>
          <w:sz w:val="20"/>
          <w:szCs w:val="20"/>
        </w:rPr>
      </w:pPr>
      <w:r>
        <w:rPr>
          <w:rFonts w:ascii="Cambria" w:hAnsi="Cambria"/>
          <w:b/>
          <w:bCs/>
          <w:sz w:val="20"/>
          <w:szCs w:val="20"/>
        </w:rPr>
        <w:t xml:space="preserve">A. </w:t>
      </w:r>
      <w:r>
        <w:rPr>
          <w:rFonts w:ascii="Cambria" w:hAnsi="Cambria"/>
          <w:sz w:val="20"/>
          <w:szCs w:val="20"/>
        </w:rPr>
        <w:tab/>
      </w:r>
      <w:r>
        <w:rPr>
          <w:rFonts w:ascii="Cambria" w:hAnsi="Cambria"/>
          <w:b/>
          <w:bCs/>
          <w:sz w:val="20"/>
          <w:szCs w:val="20"/>
        </w:rPr>
        <w:t>Mr. Carranza’s arrest in August 1993</w:t>
      </w:r>
    </w:p>
    <w:p w:rsidR="00AE2D66" w:rsidRPr="00A11409" w:rsidRDefault="00AE2D66" w:rsidP="00BC4C44">
      <w:pPr>
        <w:jc w:val="both"/>
        <w:rPr>
          <w:rFonts w:ascii="Cambria" w:hAnsi="Cambria" w:cs="Calibri"/>
          <w:sz w:val="20"/>
          <w:szCs w:val="20"/>
        </w:rPr>
      </w:pPr>
    </w:p>
    <w:p w:rsidR="00BC4C44" w:rsidRPr="00A11409" w:rsidRDefault="00BC4C44" w:rsidP="00B7712A">
      <w:pPr>
        <w:numPr>
          <w:ilvl w:val="0"/>
          <w:numId w:val="55"/>
        </w:numPr>
        <w:jc w:val="both"/>
        <w:rPr>
          <w:rFonts w:ascii="Cambria" w:hAnsi="Cambria" w:cs="Calibri"/>
          <w:sz w:val="20"/>
          <w:szCs w:val="20"/>
        </w:rPr>
      </w:pPr>
      <w:r>
        <w:rPr>
          <w:rFonts w:ascii="Cambria" w:hAnsi="Cambria"/>
          <w:sz w:val="20"/>
          <w:szCs w:val="20"/>
        </w:rPr>
        <w:t xml:space="preserve">On August 16, 1993, Segundo </w:t>
      </w:r>
      <w:proofErr w:type="spellStart"/>
      <w:r>
        <w:rPr>
          <w:rFonts w:ascii="Cambria" w:hAnsi="Cambria"/>
          <w:sz w:val="20"/>
          <w:szCs w:val="20"/>
        </w:rPr>
        <w:t>Mariño</w:t>
      </w:r>
      <w:proofErr w:type="spellEnd"/>
      <w:r>
        <w:rPr>
          <w:rFonts w:ascii="Cambria" w:hAnsi="Cambria"/>
          <w:sz w:val="20"/>
          <w:szCs w:val="20"/>
        </w:rPr>
        <w:t xml:space="preserve"> </w:t>
      </w:r>
      <w:proofErr w:type="spellStart"/>
      <w:r>
        <w:rPr>
          <w:rFonts w:ascii="Cambria" w:hAnsi="Cambria"/>
          <w:sz w:val="20"/>
          <w:szCs w:val="20"/>
        </w:rPr>
        <w:t>Gamboa</w:t>
      </w:r>
      <w:proofErr w:type="spellEnd"/>
      <w:r>
        <w:rPr>
          <w:rFonts w:ascii="Cambria" w:hAnsi="Cambria"/>
          <w:sz w:val="20"/>
          <w:szCs w:val="20"/>
        </w:rPr>
        <w:t xml:space="preserve"> filed a complaint at the National Police Station in </w:t>
      </w:r>
      <w:proofErr w:type="spellStart"/>
      <w:r>
        <w:rPr>
          <w:rFonts w:ascii="Cambria" w:hAnsi="Cambria"/>
          <w:sz w:val="20"/>
          <w:szCs w:val="20"/>
        </w:rPr>
        <w:t>Yaguachi</w:t>
      </w:r>
      <w:proofErr w:type="spellEnd"/>
      <w:r>
        <w:rPr>
          <w:rFonts w:ascii="Cambria" w:hAnsi="Cambria"/>
          <w:sz w:val="20"/>
          <w:szCs w:val="20"/>
        </w:rPr>
        <w:t xml:space="preserve"> Canton, Guayas Province.</w:t>
      </w:r>
      <w:r>
        <w:rPr>
          <w:rStyle w:val="FootnoteReference"/>
          <w:rFonts w:ascii="Cambria" w:hAnsi="Cambria"/>
          <w:sz w:val="20"/>
          <w:szCs w:val="20"/>
        </w:rPr>
        <w:footnoteReference w:id="3"/>
      </w:r>
      <w:r>
        <w:rPr>
          <w:rFonts w:ascii="Cambria" w:hAnsi="Cambria"/>
          <w:sz w:val="20"/>
          <w:szCs w:val="20"/>
        </w:rPr>
        <w:t xml:space="preserve"> Mr. </w:t>
      </w:r>
      <w:proofErr w:type="spellStart"/>
      <w:r>
        <w:rPr>
          <w:rFonts w:ascii="Cambria" w:hAnsi="Cambria"/>
          <w:sz w:val="20"/>
          <w:szCs w:val="20"/>
        </w:rPr>
        <w:t>Mariño</w:t>
      </w:r>
      <w:proofErr w:type="spellEnd"/>
      <w:r>
        <w:rPr>
          <w:rFonts w:ascii="Cambria" w:hAnsi="Cambria"/>
          <w:sz w:val="20"/>
          <w:szCs w:val="20"/>
        </w:rPr>
        <w:t xml:space="preserve"> said that his brother, Samuel </w:t>
      </w:r>
      <w:proofErr w:type="spellStart"/>
      <w:r>
        <w:rPr>
          <w:rFonts w:ascii="Cambria" w:hAnsi="Cambria"/>
          <w:sz w:val="20"/>
          <w:szCs w:val="20"/>
        </w:rPr>
        <w:t>Evaristo</w:t>
      </w:r>
      <w:proofErr w:type="spellEnd"/>
      <w:r>
        <w:rPr>
          <w:rFonts w:ascii="Cambria" w:hAnsi="Cambria"/>
          <w:sz w:val="20"/>
          <w:szCs w:val="20"/>
        </w:rPr>
        <w:t>, had been murdered the previous day at an establishment that sold alcoholic beverages.</w:t>
      </w:r>
      <w:r>
        <w:rPr>
          <w:rStyle w:val="FootnoteReference"/>
          <w:rFonts w:ascii="Cambria" w:hAnsi="Cambria"/>
          <w:sz w:val="20"/>
          <w:szCs w:val="20"/>
        </w:rPr>
        <w:footnoteReference w:id="4"/>
      </w:r>
      <w:r>
        <w:rPr>
          <w:rFonts w:ascii="Cambria" w:hAnsi="Cambria"/>
          <w:sz w:val="20"/>
          <w:szCs w:val="20"/>
        </w:rPr>
        <w:t xml:space="preserve"> He said that according to witnesses, were Ramón Rosendo Carranza Alarcón and Alfredo Vargas </w:t>
      </w:r>
      <w:proofErr w:type="spellStart"/>
      <w:r>
        <w:rPr>
          <w:rFonts w:ascii="Cambria" w:hAnsi="Cambria"/>
          <w:sz w:val="20"/>
          <w:szCs w:val="20"/>
        </w:rPr>
        <w:t>Recalde</w:t>
      </w:r>
      <w:proofErr w:type="spellEnd"/>
      <w:r>
        <w:rPr>
          <w:rFonts w:ascii="Cambria" w:hAnsi="Cambria"/>
          <w:sz w:val="20"/>
          <w:szCs w:val="20"/>
        </w:rPr>
        <w:t xml:space="preserve"> were at the scene and that they got into a </w:t>
      </w:r>
      <w:r>
        <w:rPr>
          <w:rFonts w:ascii="Cambria" w:hAnsi="Cambria"/>
          <w:sz w:val="20"/>
          <w:szCs w:val="20"/>
        </w:rPr>
        <w:lastRenderedPageBreak/>
        <w:t>quarrel with his brother.</w:t>
      </w:r>
      <w:r>
        <w:rPr>
          <w:rStyle w:val="FootnoteReference"/>
          <w:rFonts w:ascii="Cambria" w:hAnsi="Cambria"/>
          <w:sz w:val="20"/>
          <w:szCs w:val="20"/>
        </w:rPr>
        <w:footnoteReference w:id="5"/>
      </w:r>
      <w:r>
        <w:rPr>
          <w:rFonts w:ascii="Cambria" w:hAnsi="Cambria"/>
          <w:sz w:val="20"/>
          <w:szCs w:val="20"/>
        </w:rPr>
        <w:t xml:space="preserve"> He added that Mr. Carranza shot his brother with his rifle and that both he and Alfredo Vargas fled the scene.</w:t>
      </w:r>
      <w:r>
        <w:rPr>
          <w:rStyle w:val="FootnoteReference"/>
          <w:rFonts w:ascii="Cambria" w:hAnsi="Cambria"/>
          <w:sz w:val="20"/>
          <w:szCs w:val="20"/>
        </w:rPr>
        <w:footnoteReference w:id="6"/>
      </w:r>
      <w:r>
        <w:rPr>
          <w:rFonts w:ascii="Cambria" w:hAnsi="Cambria"/>
          <w:sz w:val="20"/>
          <w:szCs w:val="20"/>
        </w:rPr>
        <w:t xml:space="preserve"> </w:t>
      </w:r>
    </w:p>
    <w:p w:rsidR="006F4954" w:rsidRPr="00A11409" w:rsidRDefault="006F4954" w:rsidP="006F4954">
      <w:pPr>
        <w:ind w:left="720"/>
        <w:jc w:val="both"/>
        <w:rPr>
          <w:rFonts w:ascii="Cambria" w:hAnsi="Cambria" w:cs="Calibri"/>
          <w:sz w:val="20"/>
          <w:szCs w:val="20"/>
        </w:rPr>
      </w:pPr>
    </w:p>
    <w:p w:rsidR="000127C3" w:rsidRPr="00A11409" w:rsidRDefault="00F369AE" w:rsidP="00F369AE">
      <w:pPr>
        <w:numPr>
          <w:ilvl w:val="0"/>
          <w:numId w:val="55"/>
        </w:numPr>
        <w:jc w:val="both"/>
        <w:rPr>
          <w:rFonts w:ascii="Cambria" w:hAnsi="Cambria" w:cs="Calibri"/>
          <w:sz w:val="20"/>
          <w:szCs w:val="20"/>
        </w:rPr>
      </w:pPr>
      <w:r>
        <w:rPr>
          <w:rFonts w:ascii="Cambria" w:hAnsi="Cambria"/>
          <w:sz w:val="20"/>
          <w:szCs w:val="20"/>
        </w:rPr>
        <w:t>The next day, the captain (</w:t>
      </w:r>
      <w:proofErr w:type="spellStart"/>
      <w:r>
        <w:rPr>
          <w:rFonts w:ascii="Cambria" w:hAnsi="Cambria"/>
          <w:i/>
          <w:iCs/>
          <w:sz w:val="20"/>
          <w:szCs w:val="20"/>
        </w:rPr>
        <w:t>comisario</w:t>
      </w:r>
      <w:proofErr w:type="spellEnd"/>
      <w:r>
        <w:rPr>
          <w:rFonts w:ascii="Cambria" w:hAnsi="Cambria"/>
          <w:sz w:val="20"/>
          <w:szCs w:val="20"/>
        </w:rPr>
        <w:t>) in command of the police station ordered a preliminary inquiry to be opened and proceedings instituted against Messrs. Carranza and Vargas.</w:t>
      </w:r>
      <w:r>
        <w:rPr>
          <w:rStyle w:val="FootnoteReference"/>
          <w:rFonts w:ascii="Cambria" w:hAnsi="Cambria"/>
          <w:sz w:val="20"/>
          <w:szCs w:val="20"/>
        </w:rPr>
        <w:footnoteReference w:id="7"/>
      </w:r>
      <w:r>
        <w:rPr>
          <w:rFonts w:ascii="Cambria" w:hAnsi="Cambria"/>
          <w:sz w:val="20"/>
          <w:szCs w:val="20"/>
        </w:rPr>
        <w:t xml:space="preserve"> An order was also issued for the arrest of both.</w:t>
      </w:r>
      <w:r>
        <w:rPr>
          <w:rStyle w:val="FootnoteReference"/>
          <w:rFonts w:ascii="Cambria" w:hAnsi="Cambria"/>
          <w:sz w:val="20"/>
          <w:szCs w:val="20"/>
        </w:rPr>
        <w:footnoteReference w:id="8"/>
      </w:r>
      <w:r>
        <w:rPr>
          <w:rFonts w:ascii="Cambria" w:hAnsi="Cambria"/>
          <w:sz w:val="20"/>
          <w:szCs w:val="20"/>
        </w:rPr>
        <w:t xml:space="preserve"> The order was based on the following rationale: “(…) the pretrial detention of the suspects is hereby ordered under Article 177 of the Code of Criminal Procedure.” The order added that because they were fugitives, the police were requested to apprehend them. </w:t>
      </w:r>
    </w:p>
    <w:p w:rsidR="000127C3" w:rsidRPr="00A11409" w:rsidRDefault="000127C3" w:rsidP="00F369AE">
      <w:pPr>
        <w:jc w:val="both"/>
        <w:rPr>
          <w:rFonts w:ascii="Cambria" w:hAnsi="Cambria" w:cs="Calibri"/>
          <w:sz w:val="20"/>
          <w:szCs w:val="20"/>
        </w:rPr>
      </w:pPr>
    </w:p>
    <w:p w:rsidR="00395688" w:rsidRPr="00A11409" w:rsidRDefault="00F369AE" w:rsidP="00F369AE">
      <w:pPr>
        <w:numPr>
          <w:ilvl w:val="0"/>
          <w:numId w:val="55"/>
        </w:numPr>
        <w:jc w:val="both"/>
        <w:rPr>
          <w:rFonts w:ascii="Cambria" w:hAnsi="Cambria" w:cs="Calibri"/>
          <w:sz w:val="20"/>
          <w:szCs w:val="20"/>
        </w:rPr>
      </w:pPr>
      <w:r>
        <w:rPr>
          <w:rFonts w:ascii="Cambria" w:hAnsi="Cambria"/>
          <w:sz w:val="20"/>
          <w:szCs w:val="20"/>
        </w:rPr>
        <w:t>On October 1, 1993, the police captain notified the 11th Lower Criminal Court of Guayas of the proceeding for murder instituted against Messrs. Carranza and Vargas.</w:t>
      </w:r>
      <w:r>
        <w:rPr>
          <w:rStyle w:val="FootnoteReference"/>
          <w:rFonts w:ascii="Cambria" w:hAnsi="Cambria"/>
          <w:sz w:val="20"/>
          <w:szCs w:val="20"/>
        </w:rPr>
        <w:footnoteReference w:id="9"/>
      </w:r>
      <w:r>
        <w:rPr>
          <w:rFonts w:ascii="Cambria" w:hAnsi="Cambria"/>
          <w:sz w:val="20"/>
          <w:szCs w:val="20"/>
        </w:rPr>
        <w:t xml:space="preserve"> On October 28, 1993, the 11th Lower Criminal Court of Guayas took up the criminal proceeding.</w:t>
      </w:r>
      <w:r>
        <w:rPr>
          <w:rStyle w:val="FootnoteReference"/>
          <w:rFonts w:ascii="Cambria" w:hAnsi="Cambria"/>
          <w:sz w:val="20"/>
          <w:szCs w:val="20"/>
        </w:rPr>
        <w:footnoteReference w:id="10"/>
      </w:r>
      <w:r>
        <w:rPr>
          <w:rFonts w:ascii="Cambria" w:hAnsi="Cambria"/>
          <w:sz w:val="20"/>
          <w:szCs w:val="20"/>
        </w:rPr>
        <w:t xml:space="preserve"> The court also confirmed the detention orders issued for both individuals and requested the National Police to take steps to ensure their capture.</w:t>
      </w:r>
      <w:r>
        <w:rPr>
          <w:rStyle w:val="FootnoteReference"/>
          <w:rFonts w:ascii="Cambria" w:hAnsi="Cambria"/>
          <w:sz w:val="20"/>
          <w:szCs w:val="20"/>
        </w:rPr>
        <w:footnoteReference w:id="11"/>
      </w:r>
      <w:r>
        <w:rPr>
          <w:rFonts w:ascii="Cambria" w:hAnsi="Cambria"/>
          <w:sz w:val="20"/>
          <w:szCs w:val="20"/>
        </w:rPr>
        <w:t xml:space="preserve"> As for the grounds for that decision, the court reiterated that [since] “all the conditions established in Article 177 of the Code of Criminal Procedure are met, the pretrial detention orders that the investigator has issued are hereby confirmed.” </w:t>
      </w:r>
    </w:p>
    <w:p w:rsidR="00F51BA9" w:rsidRPr="00A11409" w:rsidRDefault="00F51BA9" w:rsidP="00B7712A">
      <w:pPr>
        <w:ind w:left="720"/>
        <w:jc w:val="both"/>
        <w:rPr>
          <w:rFonts w:ascii="Cambria" w:hAnsi="Cambria" w:cs="Calibri"/>
          <w:sz w:val="20"/>
          <w:szCs w:val="20"/>
        </w:rPr>
      </w:pPr>
    </w:p>
    <w:p w:rsidR="001D230D" w:rsidRPr="00A11409" w:rsidRDefault="002F1167" w:rsidP="00B7712A">
      <w:pPr>
        <w:numPr>
          <w:ilvl w:val="0"/>
          <w:numId w:val="55"/>
        </w:numPr>
        <w:jc w:val="both"/>
        <w:rPr>
          <w:rFonts w:ascii="Cambria" w:hAnsi="Cambria" w:cs="Calibri"/>
          <w:sz w:val="20"/>
          <w:szCs w:val="20"/>
        </w:rPr>
      </w:pPr>
      <w:r>
        <w:rPr>
          <w:rFonts w:ascii="Cambria" w:hAnsi="Cambria"/>
          <w:sz w:val="20"/>
          <w:szCs w:val="20"/>
        </w:rPr>
        <w:t>In the original petition submitted to the IACHR, Mr. Carranza said that he was arrested by police in November 1994.</w:t>
      </w:r>
      <w:r>
        <w:rPr>
          <w:rStyle w:val="FootnoteReference"/>
          <w:rFonts w:ascii="Cambria" w:hAnsi="Cambria"/>
          <w:sz w:val="20"/>
          <w:szCs w:val="20"/>
        </w:rPr>
        <w:footnoteReference w:id="12"/>
      </w:r>
      <w:r>
        <w:rPr>
          <w:rFonts w:ascii="Cambria" w:hAnsi="Cambria"/>
          <w:sz w:val="20"/>
          <w:szCs w:val="20"/>
        </w:rPr>
        <w:t xml:space="preserve"> The Commission does not have information on the exact date on which he was detained. Mr. Carranza said the following about his arrest: </w:t>
      </w:r>
    </w:p>
    <w:p w:rsidR="001D230D" w:rsidRPr="00A11409" w:rsidRDefault="001D230D" w:rsidP="001D230D">
      <w:pPr>
        <w:pStyle w:val="MediumGrid1-Accent22"/>
        <w:ind w:left="0"/>
        <w:rPr>
          <w:rFonts w:ascii="Cambria" w:hAnsi="Cambria" w:cs="Calibri"/>
          <w:sz w:val="20"/>
          <w:szCs w:val="20"/>
        </w:rPr>
      </w:pPr>
    </w:p>
    <w:p w:rsidR="001D230D" w:rsidRPr="00D1255F" w:rsidRDefault="001D230D" w:rsidP="00D1255F">
      <w:pPr>
        <w:ind w:left="720" w:right="720"/>
        <w:jc w:val="both"/>
        <w:rPr>
          <w:rFonts w:ascii="Cambria" w:eastAsia="Times New Roman" w:hAnsi="Cambria"/>
          <w:sz w:val="20"/>
          <w:szCs w:val="20"/>
        </w:rPr>
      </w:pPr>
      <w:r>
        <w:rPr>
          <w:rFonts w:ascii="Cambria" w:hAnsi="Cambria"/>
          <w:sz w:val="20"/>
          <w:szCs w:val="20"/>
        </w:rPr>
        <w:t xml:space="preserve">(…) I was unlawfully apprehended without being caught in the act of committing any crime by members of the Ecuadorian Rural Police, who did not show me the detention order ...; in spite of that, I was accused of the murder of </w:t>
      </w:r>
      <w:r>
        <w:rPr>
          <w:rFonts w:ascii="Cambria" w:hAnsi="Cambria"/>
          <w:sz w:val="20"/>
          <w:szCs w:val="20"/>
          <w:shd w:val="clear" w:color="auto" w:fill="FFFFFF"/>
        </w:rPr>
        <w:t xml:space="preserve">[Samuel </w:t>
      </w:r>
      <w:proofErr w:type="spellStart"/>
      <w:r>
        <w:rPr>
          <w:rFonts w:ascii="Cambria" w:hAnsi="Cambria"/>
          <w:sz w:val="20"/>
          <w:szCs w:val="20"/>
          <w:shd w:val="clear" w:color="auto" w:fill="FFFFFF"/>
        </w:rPr>
        <w:t>Evaristo</w:t>
      </w:r>
      <w:proofErr w:type="spellEnd"/>
      <w:r>
        <w:rPr>
          <w:rFonts w:ascii="Cambria" w:hAnsi="Cambria"/>
          <w:sz w:val="20"/>
          <w:szCs w:val="20"/>
          <w:shd w:val="clear" w:color="auto" w:fill="FFFFFF"/>
        </w:rPr>
        <w:t>]</w:t>
      </w:r>
      <w:r>
        <w:rPr>
          <w:rFonts w:ascii="Cambria" w:hAnsi="Cambria"/>
          <w:sz w:val="20"/>
          <w:szCs w:val="20"/>
        </w:rPr>
        <w:t>.</w:t>
      </w:r>
      <w:r>
        <w:rPr>
          <w:rStyle w:val="FootnoteReference"/>
          <w:rFonts w:ascii="Cambria" w:hAnsi="Cambria"/>
          <w:sz w:val="20"/>
          <w:szCs w:val="20"/>
        </w:rPr>
        <w:footnoteReference w:id="13"/>
      </w:r>
    </w:p>
    <w:p w:rsidR="0025671F" w:rsidRPr="00A11409" w:rsidRDefault="0025671F" w:rsidP="00B7712A">
      <w:pPr>
        <w:jc w:val="both"/>
        <w:rPr>
          <w:rFonts w:ascii="Cambria" w:hAnsi="Cambria" w:cs="Calibri"/>
          <w:sz w:val="20"/>
          <w:szCs w:val="20"/>
        </w:rPr>
      </w:pPr>
    </w:p>
    <w:p w:rsidR="00AB42AF" w:rsidRPr="00A11409" w:rsidRDefault="00B30C0D" w:rsidP="00B7712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b/>
          <w:sz w:val="20"/>
          <w:szCs w:val="20"/>
        </w:rPr>
      </w:pPr>
      <w:r>
        <w:rPr>
          <w:rFonts w:ascii="Cambria" w:hAnsi="Cambria" w:cs="Arial"/>
          <w:b/>
          <w:bCs/>
          <w:sz w:val="20"/>
          <w:szCs w:val="20"/>
        </w:rPr>
        <w:t xml:space="preserve">B. </w:t>
      </w:r>
      <w:r>
        <w:rPr>
          <w:rFonts w:ascii="Cambria" w:hAnsi="Cambria" w:cs="Arial"/>
          <w:sz w:val="20"/>
          <w:szCs w:val="20"/>
        </w:rPr>
        <w:tab/>
      </w:r>
      <w:r>
        <w:rPr>
          <w:rFonts w:ascii="Cambria" w:hAnsi="Cambria" w:cs="Arial"/>
          <w:b/>
          <w:bCs/>
          <w:sz w:val="20"/>
          <w:szCs w:val="20"/>
        </w:rPr>
        <w:t>The criminal proceeding against Mr. Carranza</w:t>
      </w:r>
    </w:p>
    <w:p w:rsidR="00AB42AF" w:rsidRPr="00A11409" w:rsidRDefault="00AB42AF" w:rsidP="00B7712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b/>
          <w:sz w:val="20"/>
          <w:szCs w:val="20"/>
        </w:rPr>
      </w:pPr>
    </w:p>
    <w:p w:rsidR="001D230D" w:rsidRPr="00A11409" w:rsidRDefault="001D230D" w:rsidP="00B7712A">
      <w:pPr>
        <w:numPr>
          <w:ilvl w:val="0"/>
          <w:numId w:val="55"/>
        </w:numPr>
        <w:jc w:val="both"/>
        <w:rPr>
          <w:rFonts w:ascii="Cambria" w:hAnsi="Cambria" w:cs="Calibri"/>
          <w:sz w:val="20"/>
          <w:szCs w:val="20"/>
        </w:rPr>
      </w:pPr>
      <w:r>
        <w:rPr>
          <w:rFonts w:ascii="Cambria" w:hAnsi="Cambria" w:cs="Calibri"/>
          <w:sz w:val="20"/>
          <w:szCs w:val="20"/>
        </w:rPr>
        <w:t>In the original petition submitted to the IACHR, Mr. Carranza said that after he was arrested, he was held incommunicado for more than 24 hours without the assistance of counsel.</w:t>
      </w:r>
      <w:r>
        <w:rPr>
          <w:rStyle w:val="FootnoteReference"/>
          <w:rFonts w:ascii="Cambria" w:hAnsi="Cambria" w:cs="Calibri"/>
          <w:sz w:val="20"/>
          <w:szCs w:val="20"/>
        </w:rPr>
        <w:footnoteReference w:id="14"/>
      </w:r>
      <w:r>
        <w:rPr>
          <w:rFonts w:ascii="Cambria" w:hAnsi="Cambria" w:cs="Calibri"/>
          <w:sz w:val="20"/>
          <w:szCs w:val="20"/>
        </w:rPr>
        <w:t xml:space="preserve"> He added that he was interrogated while being subjected to psychological pressure.</w:t>
      </w:r>
      <w:r>
        <w:rPr>
          <w:rStyle w:val="FootnoteReference"/>
          <w:rFonts w:ascii="Cambria" w:hAnsi="Cambria" w:cs="Calibri"/>
          <w:sz w:val="20"/>
          <w:szCs w:val="20"/>
        </w:rPr>
        <w:footnoteReference w:id="15"/>
      </w:r>
      <w:r>
        <w:rPr>
          <w:rFonts w:ascii="Cambria" w:hAnsi="Cambria" w:cs="Calibri"/>
          <w:sz w:val="20"/>
          <w:szCs w:val="20"/>
        </w:rPr>
        <w:t xml:space="preserve"> The Commission does not have any other information in relation to those submissions.</w:t>
      </w:r>
    </w:p>
    <w:p w:rsidR="001D230D" w:rsidRPr="00A11409" w:rsidRDefault="001D230D" w:rsidP="001D230D">
      <w:pPr>
        <w:ind w:left="720"/>
        <w:jc w:val="both"/>
        <w:rPr>
          <w:rFonts w:ascii="Cambria" w:hAnsi="Cambria" w:cs="Calibri"/>
          <w:sz w:val="20"/>
          <w:szCs w:val="20"/>
        </w:rPr>
      </w:pPr>
    </w:p>
    <w:p w:rsidR="001E73E4" w:rsidRPr="00A11409" w:rsidRDefault="001E73E4" w:rsidP="00B7712A">
      <w:pPr>
        <w:numPr>
          <w:ilvl w:val="0"/>
          <w:numId w:val="55"/>
        </w:numPr>
        <w:jc w:val="both"/>
        <w:rPr>
          <w:rFonts w:ascii="Cambria" w:hAnsi="Cambria" w:cs="Calibri"/>
          <w:sz w:val="20"/>
          <w:szCs w:val="20"/>
        </w:rPr>
      </w:pPr>
      <w:r>
        <w:rPr>
          <w:rFonts w:ascii="Cambria" w:hAnsi="Cambria" w:cs="Calibri"/>
          <w:sz w:val="20"/>
          <w:szCs w:val="20"/>
        </w:rPr>
        <w:t xml:space="preserve">On December 6, 1994, Mr. Rosendo Carranza submitted a brief to the 11th Lower Criminal Court of Guayas in which he named his attorney and offered the following statement: </w:t>
      </w:r>
    </w:p>
    <w:p w:rsidR="001E73E4" w:rsidRPr="00A11409" w:rsidRDefault="001E73E4" w:rsidP="00B7712A">
      <w:pPr>
        <w:ind w:left="720"/>
        <w:jc w:val="both"/>
        <w:rPr>
          <w:rFonts w:ascii="Cambria" w:hAnsi="Cambria" w:cs="Calibri"/>
          <w:sz w:val="20"/>
          <w:szCs w:val="20"/>
        </w:rPr>
      </w:pPr>
    </w:p>
    <w:p w:rsidR="001E73E4" w:rsidRPr="00A11409" w:rsidRDefault="001E73E4" w:rsidP="00D1255F">
      <w:pPr>
        <w:ind w:left="720" w:right="720"/>
        <w:jc w:val="both"/>
        <w:rPr>
          <w:rFonts w:ascii="Cambria" w:hAnsi="Cambria" w:cs="Calibri"/>
          <w:sz w:val="20"/>
          <w:szCs w:val="20"/>
        </w:rPr>
      </w:pPr>
      <w:r>
        <w:rPr>
          <w:rFonts w:ascii="Cambria" w:hAnsi="Cambria" w:cs="Calibri"/>
          <w:sz w:val="20"/>
          <w:szCs w:val="20"/>
        </w:rPr>
        <w:t xml:space="preserve">I hereby reject the charge made by Segundo </w:t>
      </w:r>
      <w:proofErr w:type="spellStart"/>
      <w:r>
        <w:rPr>
          <w:rFonts w:ascii="Cambria" w:hAnsi="Cambria" w:cs="Calibri"/>
          <w:sz w:val="20"/>
          <w:szCs w:val="20"/>
        </w:rPr>
        <w:t>Mariño</w:t>
      </w:r>
      <w:proofErr w:type="spellEnd"/>
      <w:r>
        <w:rPr>
          <w:rFonts w:ascii="Cambria" w:hAnsi="Cambria" w:cs="Calibri"/>
          <w:sz w:val="20"/>
          <w:szCs w:val="20"/>
        </w:rPr>
        <w:t xml:space="preserve"> </w:t>
      </w:r>
      <w:proofErr w:type="spellStart"/>
      <w:r>
        <w:rPr>
          <w:rFonts w:ascii="Cambria" w:hAnsi="Cambria" w:cs="Calibri"/>
          <w:sz w:val="20"/>
          <w:szCs w:val="20"/>
        </w:rPr>
        <w:t>Gamboa</w:t>
      </w:r>
      <w:proofErr w:type="spellEnd"/>
      <w:r>
        <w:rPr>
          <w:rFonts w:ascii="Cambria" w:hAnsi="Cambria" w:cs="Calibri"/>
          <w:sz w:val="20"/>
          <w:szCs w:val="20"/>
        </w:rPr>
        <w:t xml:space="preserve"> as having no basis in the reality of the facts, given that I never fired the weapon that he claims I discharged; furthermore, I do not know who fired the shot that killed Samuel </w:t>
      </w:r>
      <w:proofErr w:type="spellStart"/>
      <w:r>
        <w:rPr>
          <w:rFonts w:ascii="Cambria" w:hAnsi="Cambria" w:cs="Calibri"/>
          <w:sz w:val="20"/>
          <w:szCs w:val="20"/>
        </w:rPr>
        <w:t>Evaristo</w:t>
      </w:r>
      <w:proofErr w:type="spellEnd"/>
      <w:r>
        <w:rPr>
          <w:rFonts w:ascii="Cambria" w:hAnsi="Cambria" w:cs="Calibri"/>
          <w:sz w:val="20"/>
          <w:szCs w:val="20"/>
        </w:rPr>
        <w:t xml:space="preserve"> </w:t>
      </w:r>
      <w:proofErr w:type="spellStart"/>
      <w:r>
        <w:rPr>
          <w:rFonts w:ascii="Cambria" w:hAnsi="Cambria" w:cs="Calibri"/>
          <w:sz w:val="20"/>
          <w:szCs w:val="20"/>
        </w:rPr>
        <w:t>Mariño</w:t>
      </w:r>
      <w:proofErr w:type="spellEnd"/>
      <w:r>
        <w:rPr>
          <w:rFonts w:ascii="Cambria" w:hAnsi="Cambria" w:cs="Calibri"/>
          <w:sz w:val="20"/>
          <w:szCs w:val="20"/>
        </w:rPr>
        <w:t xml:space="preserve"> </w:t>
      </w:r>
      <w:proofErr w:type="spellStart"/>
      <w:r>
        <w:rPr>
          <w:rFonts w:ascii="Cambria" w:hAnsi="Cambria" w:cs="Calibri"/>
          <w:sz w:val="20"/>
          <w:szCs w:val="20"/>
        </w:rPr>
        <w:t>Gamboa</w:t>
      </w:r>
      <w:proofErr w:type="spellEnd"/>
      <w:r>
        <w:rPr>
          <w:rFonts w:ascii="Cambria" w:hAnsi="Cambria" w:cs="Calibri"/>
          <w:sz w:val="20"/>
          <w:szCs w:val="20"/>
        </w:rPr>
        <w:t xml:space="preserve">; however, I do wish to state that the only person who was carrying a small rifle that day was Juan N., also known as </w:t>
      </w:r>
      <w:r>
        <w:rPr>
          <w:rFonts w:ascii="Cambria" w:hAnsi="Cambria" w:cs="Calibri"/>
          <w:i/>
          <w:iCs/>
          <w:sz w:val="20"/>
          <w:szCs w:val="20"/>
        </w:rPr>
        <w:t>“Loco Juan”</w:t>
      </w:r>
      <w:r>
        <w:rPr>
          <w:rFonts w:ascii="Cambria" w:hAnsi="Cambria" w:cs="Calibri"/>
          <w:sz w:val="20"/>
          <w:szCs w:val="20"/>
        </w:rPr>
        <w:t xml:space="preserve"> (Crazy John); nevertheless, I did not see if it was he who shot at Samuel </w:t>
      </w:r>
      <w:proofErr w:type="spellStart"/>
      <w:r>
        <w:rPr>
          <w:rFonts w:ascii="Cambria" w:hAnsi="Cambria" w:cs="Calibri"/>
          <w:sz w:val="20"/>
          <w:szCs w:val="20"/>
        </w:rPr>
        <w:t>Mariño</w:t>
      </w:r>
      <w:proofErr w:type="spellEnd"/>
      <w:r>
        <w:rPr>
          <w:rFonts w:ascii="Cambria" w:hAnsi="Cambria" w:cs="Calibri"/>
          <w:sz w:val="20"/>
          <w:szCs w:val="20"/>
        </w:rPr>
        <w:t xml:space="preserve"> because he was at the other end from where the deceased </w:t>
      </w:r>
      <w:proofErr w:type="spellStart"/>
      <w:r>
        <w:rPr>
          <w:rFonts w:ascii="Cambria" w:hAnsi="Cambria" w:cs="Calibri"/>
          <w:sz w:val="20"/>
          <w:szCs w:val="20"/>
        </w:rPr>
        <w:t>Mariño</w:t>
      </w:r>
      <w:proofErr w:type="spellEnd"/>
      <w:r>
        <w:rPr>
          <w:rFonts w:ascii="Cambria" w:hAnsi="Cambria" w:cs="Calibri"/>
          <w:sz w:val="20"/>
          <w:szCs w:val="20"/>
        </w:rPr>
        <w:t xml:space="preserve"> </w:t>
      </w:r>
      <w:proofErr w:type="spellStart"/>
      <w:r>
        <w:rPr>
          <w:rFonts w:ascii="Cambria" w:hAnsi="Cambria" w:cs="Calibri"/>
          <w:sz w:val="20"/>
          <w:szCs w:val="20"/>
        </w:rPr>
        <w:t>Gamboa</w:t>
      </w:r>
      <w:proofErr w:type="spellEnd"/>
      <w:r>
        <w:rPr>
          <w:rFonts w:ascii="Cambria" w:hAnsi="Cambria" w:cs="Calibri"/>
          <w:sz w:val="20"/>
          <w:szCs w:val="20"/>
        </w:rPr>
        <w:t xml:space="preserve"> was positioned.</w:t>
      </w:r>
      <w:r>
        <w:rPr>
          <w:rStyle w:val="FootnoteReference"/>
          <w:rFonts w:ascii="Cambria" w:hAnsi="Cambria" w:cs="Calibri"/>
          <w:sz w:val="20"/>
          <w:szCs w:val="20"/>
        </w:rPr>
        <w:footnoteReference w:id="16"/>
      </w:r>
      <w:r>
        <w:rPr>
          <w:rFonts w:ascii="Cambria" w:hAnsi="Cambria" w:cs="Calibri"/>
          <w:sz w:val="20"/>
          <w:szCs w:val="20"/>
        </w:rPr>
        <w:t xml:space="preserve"> </w:t>
      </w:r>
    </w:p>
    <w:p w:rsidR="00FE26A3" w:rsidRPr="00A11409" w:rsidRDefault="00FE26A3" w:rsidP="002F1167">
      <w:pPr>
        <w:jc w:val="both"/>
        <w:rPr>
          <w:rFonts w:ascii="Cambria" w:hAnsi="Cambria" w:cs="Calibri"/>
          <w:sz w:val="20"/>
          <w:szCs w:val="20"/>
        </w:rPr>
      </w:pPr>
    </w:p>
    <w:p w:rsidR="00FB3BA2" w:rsidRPr="00A11409" w:rsidRDefault="00FB3BA2" w:rsidP="00FB3BA2">
      <w:pPr>
        <w:numPr>
          <w:ilvl w:val="0"/>
          <w:numId w:val="55"/>
        </w:numPr>
        <w:jc w:val="both"/>
        <w:rPr>
          <w:rFonts w:ascii="Cambria" w:hAnsi="Cambria" w:cs="Calibri"/>
          <w:sz w:val="20"/>
          <w:szCs w:val="20"/>
        </w:rPr>
      </w:pPr>
      <w:r>
        <w:rPr>
          <w:rFonts w:ascii="Cambria" w:hAnsi="Cambria" w:cs="Arial"/>
          <w:sz w:val="20"/>
          <w:szCs w:val="20"/>
        </w:rPr>
        <w:t>The State said that on February 23, 1995, the 11th Lower Criminal Court of Guayas ordered that Mr. Carranza be taken from the court to Guayaquil Prison (</w:t>
      </w:r>
      <w:r>
        <w:rPr>
          <w:rFonts w:ascii="Cambria" w:hAnsi="Cambria" w:cs="Arial"/>
          <w:i/>
          <w:iCs/>
          <w:sz w:val="20"/>
          <w:szCs w:val="20"/>
        </w:rPr>
        <w:t xml:space="preserve">Centro de </w:t>
      </w:r>
      <w:proofErr w:type="spellStart"/>
      <w:r>
        <w:rPr>
          <w:rFonts w:ascii="Cambria" w:hAnsi="Cambria" w:cs="Arial"/>
          <w:i/>
          <w:iCs/>
          <w:sz w:val="20"/>
          <w:szCs w:val="20"/>
        </w:rPr>
        <w:t>Rehabilitación</w:t>
      </w:r>
      <w:proofErr w:type="spellEnd"/>
      <w:r>
        <w:rPr>
          <w:rFonts w:ascii="Cambria" w:hAnsi="Cambria" w:cs="Arial"/>
          <w:i/>
          <w:iCs/>
          <w:sz w:val="20"/>
          <w:szCs w:val="20"/>
        </w:rPr>
        <w:t xml:space="preserve"> Social de </w:t>
      </w:r>
      <w:proofErr w:type="spellStart"/>
      <w:r>
        <w:rPr>
          <w:rFonts w:ascii="Cambria" w:hAnsi="Cambria" w:cs="Arial"/>
          <w:i/>
          <w:iCs/>
          <w:sz w:val="20"/>
          <w:szCs w:val="20"/>
        </w:rPr>
        <w:t>Varones</w:t>
      </w:r>
      <w:proofErr w:type="spellEnd"/>
      <w:r>
        <w:rPr>
          <w:rFonts w:ascii="Cambria" w:hAnsi="Cambria" w:cs="Arial"/>
          <w:i/>
          <w:iCs/>
          <w:sz w:val="20"/>
          <w:szCs w:val="20"/>
        </w:rPr>
        <w:t xml:space="preserve"> de Guayaquil</w:t>
      </w:r>
      <w:r>
        <w:rPr>
          <w:rFonts w:ascii="Cambria" w:hAnsi="Cambria" w:cs="Arial"/>
          <w:sz w:val="20"/>
          <w:szCs w:val="20"/>
        </w:rPr>
        <w:t>), in order to receive his testimony in response to questioning.</w:t>
      </w:r>
      <w:r>
        <w:rPr>
          <w:rStyle w:val="FootnoteReference"/>
          <w:rFonts w:ascii="Cambria" w:hAnsi="Cambria" w:cs="Arial"/>
          <w:sz w:val="20"/>
          <w:szCs w:val="20"/>
        </w:rPr>
        <w:footnoteReference w:id="17"/>
      </w:r>
      <w:r>
        <w:rPr>
          <w:rFonts w:ascii="Cambria" w:hAnsi="Cambria" w:cs="Arial"/>
          <w:sz w:val="20"/>
          <w:szCs w:val="20"/>
        </w:rPr>
        <w:t xml:space="preserve"> Mr. Carranza gave his testimony in response to questioning on August 25, 1995, and stated the following:</w:t>
      </w:r>
    </w:p>
    <w:p w:rsidR="00F51BA9" w:rsidRPr="00A11409" w:rsidRDefault="00F51BA9" w:rsidP="00B7712A">
      <w:pPr>
        <w:ind w:left="720"/>
        <w:jc w:val="both"/>
        <w:rPr>
          <w:rFonts w:ascii="Cambria" w:hAnsi="Cambria" w:cs="Calibri"/>
          <w:i/>
          <w:sz w:val="20"/>
          <w:szCs w:val="20"/>
        </w:rPr>
      </w:pPr>
    </w:p>
    <w:p w:rsidR="00090145" w:rsidRPr="00A11409" w:rsidRDefault="0025354A" w:rsidP="008358C7">
      <w:pPr>
        <w:ind w:left="720" w:right="720"/>
        <w:jc w:val="both"/>
        <w:rPr>
          <w:rFonts w:ascii="Cambria" w:hAnsi="Cambria" w:cs="Arial"/>
          <w:sz w:val="20"/>
          <w:szCs w:val="20"/>
        </w:rPr>
      </w:pPr>
      <w:r>
        <w:rPr>
          <w:rFonts w:ascii="Cambria" w:hAnsi="Cambria" w:cs="Arial"/>
          <w:sz w:val="20"/>
          <w:szCs w:val="20"/>
        </w:rPr>
        <w:t>I do not know ... the deceased. That day, August 15, 1993, I was in Durán Canton ..., and I have committed no crime.</w:t>
      </w:r>
      <w:r>
        <w:rPr>
          <w:rStyle w:val="FootnoteReference"/>
          <w:rFonts w:ascii="Cambria" w:hAnsi="Cambria" w:cs="Arial"/>
          <w:sz w:val="20"/>
          <w:szCs w:val="20"/>
        </w:rPr>
        <w:footnoteReference w:id="18"/>
      </w:r>
    </w:p>
    <w:p w:rsidR="00090145" w:rsidRPr="00A11409" w:rsidRDefault="00090145" w:rsidP="00495554">
      <w:pPr>
        <w:jc w:val="both"/>
        <w:rPr>
          <w:rFonts w:ascii="Cambria" w:hAnsi="Cambria" w:cs="Calibri"/>
          <w:i/>
          <w:sz w:val="20"/>
          <w:szCs w:val="20"/>
        </w:rPr>
      </w:pPr>
    </w:p>
    <w:p w:rsidR="00FD5AB7" w:rsidRPr="00A11409" w:rsidRDefault="00802169" w:rsidP="00B7712A">
      <w:pPr>
        <w:numPr>
          <w:ilvl w:val="0"/>
          <w:numId w:val="55"/>
        </w:numPr>
        <w:jc w:val="both"/>
        <w:rPr>
          <w:rFonts w:ascii="Cambria" w:hAnsi="Cambria" w:cs="Calibri"/>
          <w:i/>
          <w:sz w:val="20"/>
          <w:szCs w:val="20"/>
        </w:rPr>
      </w:pPr>
      <w:r>
        <w:rPr>
          <w:rFonts w:ascii="Cambria" w:hAnsi="Cambria"/>
          <w:sz w:val="20"/>
          <w:szCs w:val="20"/>
        </w:rPr>
        <w:t>On September 11, 1995, Mr. Carranza presented a brief to the 11th Lower Criminal Court of Guayas, in which he stated the following:</w:t>
      </w:r>
    </w:p>
    <w:p w:rsidR="00FD5AB7" w:rsidRPr="00A11409" w:rsidRDefault="00FD5AB7" w:rsidP="00FD5AB7">
      <w:pPr>
        <w:ind w:left="720"/>
        <w:jc w:val="both"/>
        <w:rPr>
          <w:rFonts w:ascii="Cambria" w:hAnsi="Cambria" w:cs="Calibri"/>
          <w:i/>
          <w:sz w:val="20"/>
          <w:szCs w:val="20"/>
        </w:rPr>
      </w:pPr>
    </w:p>
    <w:p w:rsidR="00FD5AB7" w:rsidRPr="00A11409" w:rsidRDefault="00FD5AB7" w:rsidP="00D1255F">
      <w:pPr>
        <w:ind w:left="720" w:right="720"/>
        <w:jc w:val="both"/>
        <w:rPr>
          <w:rFonts w:ascii="Cambria" w:hAnsi="Cambria" w:cs="Calibri"/>
          <w:sz w:val="20"/>
          <w:szCs w:val="20"/>
        </w:rPr>
      </w:pPr>
      <w:r>
        <w:rPr>
          <w:rFonts w:ascii="Cambria" w:hAnsi="Cambria"/>
          <w:sz w:val="20"/>
          <w:szCs w:val="20"/>
        </w:rPr>
        <w:t>I have been confined in the prison for 10 months, blamed for an act that I never committed ... I have always devoted myself to farm work ... I have been confused with someone else because of a mistake and I am being blamed for a crime that I never committed. I ask the court ... to release me so that I can help my family and carry on being of use to society.</w:t>
      </w:r>
      <w:r>
        <w:rPr>
          <w:rStyle w:val="FootnoteReference"/>
          <w:rFonts w:ascii="Cambria" w:hAnsi="Cambria"/>
          <w:sz w:val="20"/>
          <w:szCs w:val="20"/>
        </w:rPr>
        <w:footnoteReference w:id="19"/>
      </w:r>
    </w:p>
    <w:p w:rsidR="00FD5AB7" w:rsidRPr="00A11409" w:rsidRDefault="00FD5AB7" w:rsidP="00FD5AB7">
      <w:pPr>
        <w:ind w:left="720"/>
        <w:jc w:val="both"/>
        <w:rPr>
          <w:rFonts w:ascii="Cambria" w:hAnsi="Cambria" w:cs="Calibri"/>
          <w:i/>
          <w:sz w:val="20"/>
          <w:szCs w:val="20"/>
        </w:rPr>
      </w:pPr>
    </w:p>
    <w:p w:rsidR="00B43475" w:rsidRPr="00A11409" w:rsidRDefault="00FD5AB7" w:rsidP="00B7712A">
      <w:pPr>
        <w:numPr>
          <w:ilvl w:val="0"/>
          <w:numId w:val="55"/>
        </w:numPr>
        <w:jc w:val="both"/>
        <w:rPr>
          <w:rFonts w:ascii="Cambria" w:hAnsi="Cambria" w:cs="Calibri"/>
          <w:i/>
          <w:sz w:val="20"/>
          <w:szCs w:val="20"/>
        </w:rPr>
      </w:pPr>
      <w:r>
        <w:rPr>
          <w:rFonts w:ascii="Cambria" w:hAnsi="Cambria" w:cs="Arial"/>
          <w:sz w:val="20"/>
          <w:szCs w:val="20"/>
        </w:rPr>
        <w:t xml:space="preserve">The IACHR notes that the petitioner stated that no response was ever made to that request. The state presented no evidence to the contrary. </w:t>
      </w:r>
    </w:p>
    <w:p w:rsidR="00B43475" w:rsidRPr="00A11409" w:rsidRDefault="00B43475" w:rsidP="00B43475">
      <w:pPr>
        <w:ind w:left="720"/>
        <w:jc w:val="both"/>
        <w:rPr>
          <w:rFonts w:ascii="Cambria" w:hAnsi="Cambria" w:cs="Calibri"/>
          <w:i/>
          <w:sz w:val="20"/>
          <w:szCs w:val="20"/>
        </w:rPr>
      </w:pPr>
    </w:p>
    <w:p w:rsidR="00090145" w:rsidRPr="00A11409" w:rsidRDefault="00090145" w:rsidP="00B7712A">
      <w:pPr>
        <w:numPr>
          <w:ilvl w:val="0"/>
          <w:numId w:val="55"/>
        </w:numPr>
        <w:jc w:val="both"/>
        <w:rPr>
          <w:rFonts w:ascii="Cambria" w:hAnsi="Cambria" w:cs="Calibri"/>
          <w:i/>
          <w:sz w:val="20"/>
          <w:szCs w:val="20"/>
        </w:rPr>
      </w:pPr>
      <w:r>
        <w:rPr>
          <w:rFonts w:ascii="Cambria" w:hAnsi="Cambria" w:cs="Arial"/>
          <w:sz w:val="20"/>
          <w:szCs w:val="20"/>
        </w:rPr>
        <w:t>On September 30, 1996, the 11th Lower Criminal Court of Guayas closed the preliminary inquiry and ordered the record of the proceeding to be transferred to the Seventh Prosecutor for Traffic Matters for indictment.</w:t>
      </w:r>
      <w:r>
        <w:rPr>
          <w:rStyle w:val="FootnoteReference"/>
          <w:rFonts w:ascii="Cambria" w:hAnsi="Cambria" w:cs="Arial"/>
          <w:sz w:val="20"/>
          <w:szCs w:val="20"/>
        </w:rPr>
        <w:footnoteReference w:id="20"/>
      </w:r>
    </w:p>
    <w:p w:rsidR="00090145" w:rsidRPr="00A11409" w:rsidRDefault="00090145" w:rsidP="00B7712A">
      <w:pPr>
        <w:ind w:left="720"/>
        <w:jc w:val="both"/>
        <w:rPr>
          <w:rFonts w:ascii="Cambria" w:hAnsi="Cambria" w:cs="Calibri"/>
          <w:i/>
          <w:sz w:val="20"/>
          <w:szCs w:val="20"/>
        </w:rPr>
      </w:pPr>
    </w:p>
    <w:p w:rsidR="00090145" w:rsidRPr="00A11409" w:rsidRDefault="00A20CD5" w:rsidP="00B7712A">
      <w:pPr>
        <w:numPr>
          <w:ilvl w:val="0"/>
          <w:numId w:val="55"/>
        </w:numPr>
        <w:jc w:val="both"/>
        <w:rPr>
          <w:rFonts w:ascii="Cambria" w:hAnsi="Cambria" w:cs="Calibri"/>
          <w:i/>
          <w:sz w:val="20"/>
          <w:szCs w:val="20"/>
        </w:rPr>
      </w:pPr>
      <w:r>
        <w:rPr>
          <w:rFonts w:ascii="Cambria" w:hAnsi="Cambria" w:cs="Arial"/>
          <w:sz w:val="20"/>
          <w:szCs w:val="20"/>
        </w:rPr>
        <w:t xml:space="preserve">On March 4, 1997, the Seventh Prosecutor for Traffic Matters of Guayas issued his indictment in which he stated the following: </w:t>
      </w:r>
    </w:p>
    <w:p w:rsidR="00090145" w:rsidRPr="00A11409" w:rsidRDefault="00090145" w:rsidP="00B7712A">
      <w:pPr>
        <w:ind w:left="720"/>
        <w:jc w:val="both"/>
        <w:rPr>
          <w:rFonts w:ascii="Cambria" w:hAnsi="Cambria" w:cs="Calibri"/>
          <w:i/>
          <w:sz w:val="20"/>
          <w:szCs w:val="20"/>
        </w:rPr>
      </w:pPr>
    </w:p>
    <w:p w:rsidR="000277E6" w:rsidRPr="00A11409" w:rsidRDefault="00A20CD5" w:rsidP="00D1255F">
      <w:pPr>
        <w:ind w:left="720" w:right="720"/>
        <w:jc w:val="both"/>
        <w:rPr>
          <w:rFonts w:ascii="Cambria" w:hAnsi="Cambria" w:cs="Arial"/>
          <w:sz w:val="20"/>
          <w:szCs w:val="20"/>
        </w:rPr>
      </w:pPr>
      <w:r>
        <w:rPr>
          <w:rFonts w:ascii="Cambria" w:hAnsi="Cambria" w:cs="Arial"/>
          <w:sz w:val="20"/>
          <w:szCs w:val="20"/>
        </w:rPr>
        <w:t xml:space="preserve">Based on a careful and in-depth study of each part of the proceedings, I find that there are sufficient grounds to consider that Ramón Carranza Alarcón participated directly in the case under investigation, inasmuch as there is nothing in the record to show that the suspect has disproved the charges against him or that he has managed to show where and with whom he was on the day of the criminal acts ...; therefore, the behavior of the suspect Ramón Rosendo Carranza Alarcón is consistent with the unlawful and culpable conduct of perpetrator of the offense classified in Article 449 of the Criminal Code. I refrain from accusing Alfredo Vargas </w:t>
      </w:r>
      <w:proofErr w:type="spellStart"/>
      <w:r>
        <w:rPr>
          <w:rFonts w:ascii="Cambria" w:hAnsi="Cambria" w:cs="Arial"/>
          <w:sz w:val="20"/>
          <w:szCs w:val="20"/>
        </w:rPr>
        <w:t>Recalde</w:t>
      </w:r>
      <w:proofErr w:type="spellEnd"/>
      <w:r>
        <w:rPr>
          <w:rFonts w:ascii="Cambria" w:hAnsi="Cambria" w:cs="Arial"/>
          <w:sz w:val="20"/>
          <w:szCs w:val="20"/>
        </w:rPr>
        <w:t xml:space="preserve"> because there are insufficient grounds to do so.</w:t>
      </w:r>
      <w:r>
        <w:rPr>
          <w:rStyle w:val="FootnoteReference"/>
          <w:rFonts w:ascii="Cambria" w:hAnsi="Cambria" w:cs="Arial"/>
          <w:sz w:val="20"/>
          <w:szCs w:val="20"/>
        </w:rPr>
        <w:footnoteReference w:id="21"/>
      </w:r>
    </w:p>
    <w:p w:rsidR="00F51BA9" w:rsidRPr="00A11409" w:rsidRDefault="00F51BA9" w:rsidP="00717666">
      <w:pPr>
        <w:jc w:val="both"/>
        <w:rPr>
          <w:rFonts w:ascii="Cambria" w:hAnsi="Cambria" w:cs="Arial"/>
          <w:sz w:val="20"/>
          <w:szCs w:val="20"/>
        </w:rPr>
      </w:pPr>
    </w:p>
    <w:p w:rsidR="000277E6" w:rsidRPr="00A11409" w:rsidRDefault="00495554" w:rsidP="00B7712A">
      <w:pPr>
        <w:numPr>
          <w:ilvl w:val="0"/>
          <w:numId w:val="55"/>
        </w:numPr>
        <w:jc w:val="both"/>
        <w:rPr>
          <w:rFonts w:ascii="Cambria" w:hAnsi="Cambria" w:cs="Arial"/>
          <w:sz w:val="20"/>
          <w:szCs w:val="20"/>
        </w:rPr>
      </w:pPr>
      <w:r>
        <w:rPr>
          <w:rFonts w:ascii="Cambria" w:hAnsi="Cambria" w:cs="Arial"/>
          <w:sz w:val="20"/>
          <w:szCs w:val="20"/>
        </w:rPr>
        <w:t>On April 14, 1997, the 11th Lower Criminal Court of Guayas issued a decision in which it accepted the prosecutor's indictment and opened trial proceedings.</w:t>
      </w:r>
      <w:r>
        <w:rPr>
          <w:rStyle w:val="FootnoteReference"/>
          <w:rFonts w:ascii="Cambria" w:hAnsi="Cambria" w:cs="Arial"/>
          <w:sz w:val="20"/>
          <w:szCs w:val="20"/>
        </w:rPr>
        <w:footnoteReference w:id="22"/>
      </w:r>
      <w:r>
        <w:rPr>
          <w:rFonts w:ascii="Cambria" w:hAnsi="Cambria" w:cs="Arial"/>
          <w:sz w:val="20"/>
          <w:szCs w:val="20"/>
        </w:rPr>
        <w:t xml:space="preserve"> In that decision, the court ordered Mr. Vargas' provisional acquittal.</w:t>
      </w:r>
      <w:r>
        <w:rPr>
          <w:rStyle w:val="FootnoteReference"/>
          <w:rFonts w:ascii="Cambria" w:hAnsi="Cambria" w:cs="Arial"/>
          <w:sz w:val="20"/>
          <w:szCs w:val="20"/>
        </w:rPr>
        <w:footnoteReference w:id="23"/>
      </w:r>
    </w:p>
    <w:p w:rsidR="000277E6" w:rsidRPr="00A11409" w:rsidRDefault="000277E6" w:rsidP="00B7712A">
      <w:pPr>
        <w:ind w:left="720"/>
        <w:jc w:val="both"/>
        <w:rPr>
          <w:rFonts w:ascii="Cambria" w:hAnsi="Cambria" w:cs="Arial"/>
          <w:sz w:val="20"/>
          <w:szCs w:val="20"/>
        </w:rPr>
      </w:pPr>
    </w:p>
    <w:p w:rsidR="007419E9" w:rsidRPr="00A11409" w:rsidRDefault="00436C97" w:rsidP="00436C97">
      <w:pPr>
        <w:numPr>
          <w:ilvl w:val="0"/>
          <w:numId w:val="55"/>
        </w:numPr>
        <w:jc w:val="both"/>
        <w:rPr>
          <w:rFonts w:ascii="Cambria" w:hAnsi="Cambria" w:cs="Arial"/>
          <w:sz w:val="20"/>
          <w:szCs w:val="20"/>
        </w:rPr>
      </w:pPr>
      <w:r>
        <w:rPr>
          <w:rFonts w:ascii="Cambria" w:hAnsi="Cambria" w:cs="Arial"/>
          <w:sz w:val="20"/>
          <w:szCs w:val="20"/>
        </w:rPr>
        <w:t>On December 1, 1998, the public hearing in the trial proceedings was held before the Fourth Criminal Tribunal of Guayas.</w:t>
      </w:r>
      <w:r>
        <w:rPr>
          <w:rStyle w:val="FootnoteReference"/>
          <w:rFonts w:ascii="Cambria" w:hAnsi="Cambria" w:cs="Arial"/>
          <w:sz w:val="20"/>
          <w:szCs w:val="20"/>
        </w:rPr>
        <w:footnoteReference w:id="24"/>
      </w:r>
      <w:r>
        <w:rPr>
          <w:rFonts w:ascii="Cambria" w:hAnsi="Cambria" w:cs="Arial"/>
          <w:sz w:val="20"/>
          <w:szCs w:val="20"/>
        </w:rPr>
        <w:t xml:space="preserve"> At that hearing, Mr. Carranza's defense counsel stated the following:</w:t>
      </w:r>
    </w:p>
    <w:p w:rsidR="007419E9" w:rsidRPr="00A11409" w:rsidRDefault="007419E9" w:rsidP="007419E9">
      <w:pPr>
        <w:jc w:val="both"/>
        <w:rPr>
          <w:rFonts w:ascii="Cambria" w:hAnsi="Cambria" w:cs="Arial"/>
          <w:sz w:val="20"/>
          <w:szCs w:val="20"/>
        </w:rPr>
      </w:pPr>
    </w:p>
    <w:p w:rsidR="007419E9" w:rsidRPr="00A11409" w:rsidRDefault="007419E9" w:rsidP="00D1255F">
      <w:pPr>
        <w:ind w:left="720" w:right="720"/>
        <w:jc w:val="both"/>
        <w:rPr>
          <w:rFonts w:ascii="Cambria" w:hAnsi="Cambria" w:cs="Arial"/>
          <w:sz w:val="20"/>
          <w:szCs w:val="20"/>
        </w:rPr>
      </w:pPr>
      <w:r>
        <w:rPr>
          <w:rFonts w:ascii="Cambria" w:hAnsi="Cambria" w:cs="Arial"/>
          <w:sz w:val="20"/>
          <w:szCs w:val="20"/>
        </w:rPr>
        <w:t xml:space="preserve">(...) my client did not act with malice aforethought ..., in other words, his conduct is consistent with what </w:t>
      </w:r>
      <w:r>
        <w:rPr>
          <w:rFonts w:ascii="Cambria" w:hAnsi="Cambria" w:cs="Arial"/>
          <w:sz w:val="20"/>
          <w:szCs w:val="20"/>
          <w:shd w:val="clear" w:color="auto" w:fill="FFFFFF"/>
        </w:rPr>
        <w:t>[</w:t>
      </w:r>
      <w:r>
        <w:rPr>
          <w:rFonts w:ascii="Cambria" w:hAnsi="Cambria" w:cs="Arial"/>
          <w:sz w:val="20"/>
          <w:szCs w:val="20"/>
        </w:rPr>
        <w:t>Article</w:t>
      </w:r>
      <w:r>
        <w:rPr>
          <w:rFonts w:ascii="Cambria" w:hAnsi="Cambria" w:cs="Arial"/>
          <w:sz w:val="20"/>
          <w:szCs w:val="20"/>
          <w:shd w:val="clear" w:color="auto" w:fill="FFFFFF"/>
        </w:rPr>
        <w:t>] 449 [of the Criminal Code] provides, which is 8 to 12 years. Unfortunately, your honors, the State has violated Article 7 of the American Convention on Human Rights, by not trying the accused within a reasonable time, given that, to date, he has spent four years in prison.</w:t>
      </w:r>
      <w:r>
        <w:rPr>
          <w:rStyle w:val="FootnoteReference"/>
          <w:rFonts w:ascii="Cambria" w:hAnsi="Cambria" w:cs="Arial"/>
          <w:sz w:val="20"/>
          <w:szCs w:val="20"/>
        </w:rPr>
        <w:footnoteReference w:id="25"/>
      </w:r>
    </w:p>
    <w:p w:rsidR="007419E9" w:rsidRPr="00A11409" w:rsidRDefault="007419E9" w:rsidP="007419E9">
      <w:pPr>
        <w:jc w:val="both"/>
        <w:rPr>
          <w:rFonts w:ascii="Cambria" w:hAnsi="Cambria" w:cs="Arial"/>
          <w:sz w:val="20"/>
          <w:szCs w:val="20"/>
        </w:rPr>
      </w:pPr>
    </w:p>
    <w:p w:rsidR="000277E6" w:rsidRPr="00A11409" w:rsidRDefault="00812DCB" w:rsidP="00436C97">
      <w:pPr>
        <w:numPr>
          <w:ilvl w:val="0"/>
          <w:numId w:val="55"/>
        </w:numPr>
        <w:jc w:val="both"/>
        <w:rPr>
          <w:rFonts w:ascii="Cambria" w:hAnsi="Cambria" w:cs="Arial"/>
          <w:sz w:val="20"/>
          <w:szCs w:val="20"/>
        </w:rPr>
      </w:pPr>
      <w:r>
        <w:rPr>
          <w:rFonts w:ascii="Cambria" w:hAnsi="Cambria" w:cs="Arial"/>
          <w:sz w:val="20"/>
          <w:szCs w:val="20"/>
        </w:rPr>
        <w:t xml:space="preserve">Mr. Carranza, for his part, stated the following at the hearing: </w:t>
      </w:r>
    </w:p>
    <w:p w:rsidR="000277E6" w:rsidRPr="00A11409" w:rsidRDefault="000277E6" w:rsidP="00B7712A">
      <w:pPr>
        <w:ind w:left="720"/>
        <w:jc w:val="both"/>
        <w:rPr>
          <w:rFonts w:ascii="Cambria" w:hAnsi="Cambria" w:cs="Arial"/>
          <w:sz w:val="20"/>
          <w:szCs w:val="20"/>
        </w:rPr>
      </w:pPr>
    </w:p>
    <w:p w:rsidR="00A20CD5" w:rsidRPr="00A11409" w:rsidRDefault="00A20CD5" w:rsidP="00D1255F">
      <w:pPr>
        <w:ind w:left="720" w:right="720"/>
        <w:jc w:val="both"/>
        <w:rPr>
          <w:rFonts w:ascii="Cambria" w:hAnsi="Cambria" w:cs="Arial"/>
          <w:sz w:val="20"/>
          <w:szCs w:val="20"/>
        </w:rPr>
      </w:pPr>
      <w:r>
        <w:rPr>
          <w:rFonts w:ascii="Cambria" w:hAnsi="Cambria" w:cs="Arial"/>
          <w:sz w:val="20"/>
          <w:szCs w:val="20"/>
        </w:rPr>
        <w:t>I had no intention of killing him; I was only trying to protect myself; the man came after me with a machete and what I did was in defense of my life; I shot him but I did not want to; I ask that I be released.</w:t>
      </w:r>
      <w:r>
        <w:rPr>
          <w:rStyle w:val="FootnoteReference"/>
          <w:rFonts w:ascii="Cambria" w:hAnsi="Cambria" w:cs="Arial"/>
          <w:sz w:val="20"/>
          <w:szCs w:val="20"/>
        </w:rPr>
        <w:footnoteReference w:id="26"/>
      </w:r>
    </w:p>
    <w:p w:rsidR="000277E6" w:rsidRPr="00A11409" w:rsidRDefault="000277E6" w:rsidP="00B7712A">
      <w:pPr>
        <w:jc w:val="both"/>
        <w:rPr>
          <w:rFonts w:ascii="Cambria" w:hAnsi="Cambria" w:cs="Arial"/>
          <w:i/>
          <w:sz w:val="20"/>
          <w:szCs w:val="20"/>
        </w:rPr>
      </w:pPr>
    </w:p>
    <w:p w:rsidR="002F1167" w:rsidRPr="00A11409" w:rsidRDefault="002F1167" w:rsidP="002F1167">
      <w:pPr>
        <w:numPr>
          <w:ilvl w:val="0"/>
          <w:numId w:val="55"/>
        </w:numPr>
        <w:jc w:val="both"/>
        <w:rPr>
          <w:rFonts w:ascii="Cambria" w:hAnsi="Cambria" w:cs="Calibri"/>
          <w:sz w:val="20"/>
          <w:szCs w:val="20"/>
        </w:rPr>
      </w:pPr>
      <w:r>
        <w:rPr>
          <w:rFonts w:ascii="Cambria" w:hAnsi="Cambria" w:cs="Calibri"/>
          <w:sz w:val="20"/>
          <w:szCs w:val="20"/>
        </w:rPr>
        <w:t>The IACHR also notes that the original petition lodged with the Commission contained the following statement by Mr. Carranza:</w:t>
      </w:r>
    </w:p>
    <w:p w:rsidR="002F1167" w:rsidRPr="00A11409" w:rsidRDefault="002F1167" w:rsidP="002F1167">
      <w:pPr>
        <w:ind w:left="720"/>
        <w:jc w:val="both"/>
        <w:rPr>
          <w:rFonts w:ascii="Cambria" w:hAnsi="Cambria" w:cs="Calibri"/>
          <w:sz w:val="20"/>
          <w:szCs w:val="20"/>
        </w:rPr>
      </w:pPr>
    </w:p>
    <w:p w:rsidR="002F1167" w:rsidRPr="00A11409" w:rsidRDefault="002F1167" w:rsidP="00D1255F">
      <w:pPr>
        <w:ind w:left="720" w:right="720"/>
        <w:jc w:val="both"/>
        <w:rPr>
          <w:rFonts w:ascii="Cambria" w:hAnsi="Cambria" w:cs="Calibri"/>
          <w:sz w:val="20"/>
          <w:szCs w:val="20"/>
        </w:rPr>
      </w:pPr>
      <w:r>
        <w:rPr>
          <w:rFonts w:ascii="Cambria" w:hAnsi="Cambria" w:cs="Arial"/>
          <w:sz w:val="20"/>
          <w:szCs w:val="20"/>
        </w:rPr>
        <w:t xml:space="preserve">I was accused of committing the murder of Samuel </w:t>
      </w:r>
      <w:proofErr w:type="spellStart"/>
      <w:r>
        <w:rPr>
          <w:rFonts w:ascii="Cambria" w:hAnsi="Cambria" w:cs="Arial"/>
          <w:sz w:val="20"/>
          <w:szCs w:val="20"/>
        </w:rPr>
        <w:t>Mariño</w:t>
      </w:r>
      <w:proofErr w:type="spellEnd"/>
      <w:r>
        <w:rPr>
          <w:rFonts w:ascii="Cambria" w:hAnsi="Cambria" w:cs="Arial"/>
          <w:sz w:val="20"/>
          <w:szCs w:val="20"/>
        </w:rPr>
        <w:t>, without consideration of the fact that I acted in legitimate defense of my own life, which was being gravely threatened by the deceased; there was never any evidence that I acted with premeditation or malice aforethought. During the hearing ... I admitted to firing the shot that killed the aforesaid person.</w:t>
      </w:r>
      <w:r>
        <w:rPr>
          <w:rStyle w:val="FootnoteReference"/>
          <w:rFonts w:ascii="Cambria" w:hAnsi="Cambria" w:cs="Arial"/>
          <w:sz w:val="20"/>
          <w:szCs w:val="20"/>
        </w:rPr>
        <w:footnoteReference w:id="27"/>
      </w:r>
    </w:p>
    <w:p w:rsidR="002F1167" w:rsidRPr="00A11409" w:rsidRDefault="002F1167" w:rsidP="00B7712A">
      <w:pPr>
        <w:jc w:val="both"/>
        <w:rPr>
          <w:rFonts w:ascii="Cambria" w:hAnsi="Cambria" w:cs="Arial"/>
          <w:i/>
          <w:sz w:val="20"/>
          <w:szCs w:val="20"/>
        </w:rPr>
      </w:pPr>
    </w:p>
    <w:p w:rsidR="000277E6" w:rsidRPr="00A11409" w:rsidRDefault="0060469B" w:rsidP="00B7712A">
      <w:pPr>
        <w:numPr>
          <w:ilvl w:val="0"/>
          <w:numId w:val="55"/>
        </w:numPr>
        <w:jc w:val="both"/>
        <w:rPr>
          <w:rFonts w:ascii="Cambria" w:hAnsi="Cambria" w:cs="Arial"/>
          <w:sz w:val="20"/>
          <w:szCs w:val="20"/>
        </w:rPr>
      </w:pPr>
      <w:r>
        <w:rPr>
          <w:rFonts w:ascii="Cambria" w:hAnsi="Cambria" w:cs="Arial"/>
          <w:sz w:val="20"/>
          <w:szCs w:val="20"/>
        </w:rPr>
        <w:t>On December 15, 1998, the Fourth Criminal Tribunal of Guayas returned judgment, convicting Mr. Carranza.</w:t>
      </w:r>
      <w:r>
        <w:rPr>
          <w:rStyle w:val="FootnoteReference"/>
          <w:rFonts w:ascii="Cambria" w:hAnsi="Cambria" w:cs="Arial"/>
          <w:sz w:val="20"/>
          <w:szCs w:val="20"/>
        </w:rPr>
        <w:footnoteReference w:id="28"/>
      </w:r>
      <w:r>
        <w:rPr>
          <w:rFonts w:ascii="Cambria" w:hAnsi="Cambria" w:cs="Arial"/>
          <w:sz w:val="20"/>
          <w:szCs w:val="20"/>
        </w:rPr>
        <w:t xml:space="preserve"> The tribunal found him guilty of perpetrating the crime of homicide, as defined in Article 449 of the Criminal Code.</w:t>
      </w:r>
      <w:r>
        <w:rPr>
          <w:rStyle w:val="FootnoteReference"/>
          <w:rFonts w:ascii="Cambria" w:hAnsi="Cambria" w:cs="Arial"/>
          <w:sz w:val="20"/>
          <w:szCs w:val="20"/>
        </w:rPr>
        <w:footnoteReference w:id="29"/>
      </w:r>
      <w:r>
        <w:rPr>
          <w:rFonts w:ascii="Cambria" w:hAnsi="Cambria" w:cs="Arial"/>
          <w:sz w:val="20"/>
          <w:szCs w:val="20"/>
        </w:rPr>
        <w:t xml:space="preserve"> The tribunal sentenced him to six years’ imprisonment due to the existence of mitigating factors.</w:t>
      </w:r>
      <w:r>
        <w:rPr>
          <w:rStyle w:val="FootnoteReference"/>
          <w:rFonts w:ascii="Cambria" w:hAnsi="Cambria" w:cs="Arial"/>
          <w:sz w:val="20"/>
          <w:szCs w:val="20"/>
        </w:rPr>
        <w:footnoteReference w:id="30"/>
      </w:r>
      <w:r>
        <w:rPr>
          <w:rFonts w:ascii="Cambria" w:hAnsi="Cambria" w:cs="Arial"/>
          <w:sz w:val="20"/>
          <w:szCs w:val="20"/>
        </w:rPr>
        <w:t xml:space="preserve"> </w:t>
      </w:r>
    </w:p>
    <w:p w:rsidR="000277E6" w:rsidRPr="00A11409" w:rsidRDefault="000277E6" w:rsidP="00B7712A">
      <w:pPr>
        <w:ind w:left="720"/>
        <w:jc w:val="both"/>
        <w:rPr>
          <w:rFonts w:ascii="Cambria" w:hAnsi="Cambria" w:cs="Arial"/>
          <w:sz w:val="20"/>
          <w:szCs w:val="20"/>
        </w:rPr>
      </w:pPr>
    </w:p>
    <w:p w:rsidR="000277E6" w:rsidRPr="00A11409" w:rsidRDefault="00597139" w:rsidP="00B7712A">
      <w:pPr>
        <w:numPr>
          <w:ilvl w:val="0"/>
          <w:numId w:val="55"/>
        </w:numPr>
        <w:jc w:val="both"/>
        <w:rPr>
          <w:rFonts w:ascii="Cambria" w:hAnsi="Cambria" w:cs="Arial"/>
          <w:sz w:val="20"/>
          <w:szCs w:val="20"/>
        </w:rPr>
      </w:pPr>
      <w:r>
        <w:rPr>
          <w:rFonts w:ascii="Cambria" w:hAnsi="Cambria" w:cs="Arial"/>
          <w:sz w:val="20"/>
          <w:szCs w:val="20"/>
        </w:rPr>
        <w:lastRenderedPageBreak/>
        <w:t>The tribunal added that the sentence was to be served at Guayaquil Prison and that the time that he had already spent deprived of his liberty should be deducted from the sentence, in accordance with Article 54 of the Sentences and Social Rehabilitation Code.</w:t>
      </w:r>
      <w:r>
        <w:rPr>
          <w:rStyle w:val="FootnoteReference"/>
          <w:rFonts w:ascii="Cambria" w:hAnsi="Cambria" w:cs="Arial"/>
          <w:sz w:val="20"/>
          <w:szCs w:val="20"/>
        </w:rPr>
        <w:footnoteReference w:id="31"/>
      </w:r>
    </w:p>
    <w:p w:rsidR="000277E6" w:rsidRPr="00A11409" w:rsidRDefault="000277E6" w:rsidP="00B7712A">
      <w:pPr>
        <w:ind w:left="720"/>
        <w:jc w:val="both"/>
        <w:rPr>
          <w:rFonts w:ascii="Cambria" w:hAnsi="Cambria" w:cs="Arial"/>
          <w:sz w:val="20"/>
          <w:szCs w:val="20"/>
        </w:rPr>
      </w:pPr>
    </w:p>
    <w:p w:rsidR="00A20CD5" w:rsidRPr="00A11409" w:rsidRDefault="00FA2A8D" w:rsidP="00B7712A">
      <w:pPr>
        <w:numPr>
          <w:ilvl w:val="0"/>
          <w:numId w:val="55"/>
        </w:numPr>
        <w:jc w:val="both"/>
        <w:rPr>
          <w:rFonts w:ascii="Cambria" w:hAnsi="Cambria" w:cs="Arial"/>
          <w:sz w:val="20"/>
          <w:szCs w:val="20"/>
        </w:rPr>
      </w:pPr>
      <w:r>
        <w:rPr>
          <w:rFonts w:ascii="Cambria" w:hAnsi="Cambria" w:cs="Arial"/>
          <w:sz w:val="20"/>
          <w:szCs w:val="20"/>
        </w:rPr>
        <w:t xml:space="preserve">The IACHR notes that Mr. Carranza filed no appeal to challenge that judgment. </w:t>
      </w:r>
    </w:p>
    <w:p w:rsidR="005C157B" w:rsidRPr="00D96AC7" w:rsidRDefault="005C157B" w:rsidP="00B7712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516470" w:rsidRPr="00A11409" w:rsidRDefault="00516470" w:rsidP="00BB058F">
      <w:pPr>
        <w:pStyle w:val="Heading1"/>
      </w:pPr>
      <w:bookmarkStart w:id="20" w:name="_Toc482278242"/>
      <w:r>
        <w:rPr>
          <w:lang w:val="en-US"/>
        </w:rPr>
        <w:t>ANALYSIS OF LAW</w:t>
      </w:r>
      <w:bookmarkEnd w:id="20"/>
    </w:p>
    <w:p w:rsidR="001010E3" w:rsidRPr="00A11409" w:rsidRDefault="001010E3" w:rsidP="00B7712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3F2C42" w:rsidRPr="00D96AC7" w:rsidRDefault="00701A06" w:rsidP="00701A06">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Having regard to the submissions of the parties and the </w:t>
      </w:r>
      <w:r w:rsidR="00C03A09">
        <w:rPr>
          <w:rFonts w:ascii="Cambria" w:hAnsi="Cambria"/>
          <w:sz w:val="20"/>
          <w:szCs w:val="20"/>
          <w:lang w:val="en-US"/>
        </w:rPr>
        <w:t xml:space="preserve">proven </w:t>
      </w:r>
      <w:r>
        <w:rPr>
          <w:rFonts w:ascii="Cambria" w:hAnsi="Cambria"/>
          <w:sz w:val="20"/>
          <w:szCs w:val="20"/>
          <w:lang w:val="en-US"/>
        </w:rPr>
        <w:t xml:space="preserve">facts, the Commission’s legal analysis is presented in the following order: A. Matter precedent concerning the scope of the case; B. The right to personal liberty and the right to be presumed innocent; and C. The right to a trial within a reasonable time. </w:t>
      </w:r>
    </w:p>
    <w:p w:rsidR="003F2C42" w:rsidRPr="00D96AC7" w:rsidRDefault="003F2C42" w:rsidP="00B7712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7E5D8B" w:rsidRPr="00D96AC7" w:rsidRDefault="007E5D8B" w:rsidP="00D1255F">
      <w:pPr>
        <w:pStyle w:val="Heading2"/>
        <w:rPr>
          <w:lang w:val="en-US"/>
        </w:rPr>
      </w:pPr>
      <w:bookmarkStart w:id="21" w:name="_Toc482278243"/>
      <w:r>
        <w:rPr>
          <w:bCs/>
          <w:lang w:val="en-US"/>
        </w:rPr>
        <w:t>Matter precedent concerning the scope of the case</w:t>
      </w:r>
      <w:bookmarkEnd w:id="21"/>
    </w:p>
    <w:p w:rsidR="007E5D8B" w:rsidRPr="00D96AC7" w:rsidRDefault="007E5D8B" w:rsidP="00012FC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b/>
          <w:sz w:val="20"/>
          <w:szCs w:val="20"/>
          <w:lang w:val="en-US"/>
        </w:rPr>
      </w:pPr>
    </w:p>
    <w:p w:rsidR="00012FCE" w:rsidRPr="00D96AC7" w:rsidRDefault="00012FCE" w:rsidP="0025261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Taking into account the various arguments formulated by the petitioner, the Commission considers it pertinent first to refer to the scope of this case.</w:t>
      </w:r>
    </w:p>
    <w:p w:rsidR="008703AA" w:rsidRPr="00D96AC7" w:rsidRDefault="008703AA" w:rsidP="00012FC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8703AA" w:rsidRPr="00D96AC7" w:rsidRDefault="008703AA" w:rsidP="0025261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In that connection, the petitioner argued that his arrest was illegal and arbitrary, that his detention was unreasonable, that he received inadequate medical attention for the tuberculosis that he suffered, that violations of due process occurred, and that the sentence imposed was not proportional since he was not granted the reductions provided under domestic law. </w:t>
      </w:r>
    </w:p>
    <w:p w:rsidR="00241E56" w:rsidRPr="00D96AC7" w:rsidRDefault="00241E56" w:rsidP="00012FC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241E56" w:rsidRPr="00D96AC7" w:rsidRDefault="00241E56" w:rsidP="0025261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The Commission recalls that in Report on Admissibility No. 154/11 it outlined the object of this case. Specifically, upon analyzing the requirement of exhaustion of domestic remedies, the Commission noted that Mr. Carranza did not appeal against his conviction. In that regard, the analysis as to exhaustion of domestic remedies centered exclusively on Mr. Carranza's pretrial detention.</w:t>
      </w:r>
      <w:r>
        <w:rPr>
          <w:rStyle w:val="FootnoteReference"/>
          <w:rFonts w:ascii="Cambria" w:hAnsi="Cambria"/>
          <w:sz w:val="20"/>
          <w:szCs w:val="20"/>
          <w:lang w:val="en-US"/>
        </w:rPr>
        <w:footnoteReference w:id="32"/>
      </w:r>
      <w:r>
        <w:rPr>
          <w:rFonts w:ascii="Cambria" w:hAnsi="Cambria"/>
          <w:sz w:val="20"/>
          <w:szCs w:val="20"/>
          <w:lang w:val="en-US"/>
        </w:rPr>
        <w:t xml:space="preserve"> Likewise, in the section on “</w:t>
      </w:r>
      <w:proofErr w:type="spellStart"/>
      <w:r>
        <w:rPr>
          <w:rFonts w:ascii="Cambria" w:hAnsi="Cambria"/>
          <w:sz w:val="20"/>
          <w:szCs w:val="20"/>
          <w:lang w:val="en-US"/>
        </w:rPr>
        <w:t>colorability</w:t>
      </w:r>
      <w:proofErr w:type="spellEnd"/>
      <w:r>
        <w:rPr>
          <w:rFonts w:ascii="Cambria" w:hAnsi="Cambria"/>
          <w:sz w:val="20"/>
          <w:szCs w:val="20"/>
          <w:lang w:val="en-US"/>
        </w:rPr>
        <w:t>” of the petition in said admissibility report, the Commission focused solely on the pretrial detention, finding that “the facts alleged by the petitioner regarding the extended [pretrial] detention of Ramón Rosendo Alarcón could characterize possible violations [of] the rights to personal liberty, [a fair trial], and judicial protection.</w:t>
      </w:r>
      <w:r>
        <w:rPr>
          <w:rStyle w:val="FootnoteReference"/>
          <w:rFonts w:ascii="Cambria" w:hAnsi="Cambria"/>
          <w:sz w:val="20"/>
          <w:szCs w:val="20"/>
          <w:lang w:val="en-US"/>
        </w:rPr>
        <w:footnoteReference w:id="33"/>
      </w:r>
      <w:r>
        <w:rPr>
          <w:rFonts w:ascii="Cambria" w:hAnsi="Cambria"/>
          <w:sz w:val="20"/>
          <w:szCs w:val="20"/>
          <w:lang w:val="en-US"/>
        </w:rPr>
        <w:t xml:space="preserve"> In that same section, the Commission found that the petitioner presented no arguments from which to find </w:t>
      </w:r>
      <w:r>
        <w:rPr>
          <w:rFonts w:ascii="Cambria" w:hAnsi="Cambria"/>
          <w:i/>
          <w:iCs/>
          <w:sz w:val="20"/>
          <w:szCs w:val="20"/>
          <w:lang w:val="en-US"/>
        </w:rPr>
        <w:t>prima facie</w:t>
      </w:r>
      <w:r>
        <w:rPr>
          <w:rFonts w:ascii="Cambria" w:hAnsi="Cambria"/>
          <w:sz w:val="20"/>
          <w:szCs w:val="20"/>
          <w:lang w:val="en-US"/>
        </w:rPr>
        <w:t xml:space="preserve"> a possible violation of Article 5 of the Convention.</w:t>
      </w:r>
      <w:r>
        <w:rPr>
          <w:rStyle w:val="FootnoteReference"/>
          <w:rFonts w:ascii="Cambria" w:hAnsi="Cambria"/>
          <w:sz w:val="20"/>
          <w:szCs w:val="20"/>
          <w:lang w:val="en-US"/>
        </w:rPr>
        <w:footnoteReference w:id="34"/>
      </w:r>
      <w:r>
        <w:rPr>
          <w:rFonts w:ascii="Cambria" w:hAnsi="Cambria"/>
          <w:sz w:val="20"/>
          <w:szCs w:val="20"/>
          <w:lang w:val="en-US"/>
        </w:rPr>
        <w:t xml:space="preserve"> </w:t>
      </w:r>
    </w:p>
    <w:p w:rsidR="000927AD" w:rsidRPr="00D96AC7" w:rsidRDefault="000927AD" w:rsidP="00012FC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012FCE" w:rsidRPr="00D96AC7" w:rsidRDefault="000927AD" w:rsidP="0010261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In light of the foregoing, the following analysis of law will be confined to Mr. Carranza's pretrial detention. Furthermore, since the two matters are intertwined, the Commission will pronounce on whether his right to a trial within a reasonable time was violated in the criminal proceeding. </w:t>
      </w:r>
    </w:p>
    <w:p w:rsidR="00102615" w:rsidRPr="00D96AC7" w:rsidRDefault="00102615" w:rsidP="0010261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7E5D8B" w:rsidRPr="00D96AC7" w:rsidRDefault="00D1255F" w:rsidP="00D1255F">
      <w:pPr>
        <w:pStyle w:val="Heading2"/>
        <w:rPr>
          <w:lang w:val="en-US"/>
        </w:rPr>
      </w:pPr>
      <w:bookmarkStart w:id="22" w:name="_Toc482278244"/>
      <w:r>
        <w:rPr>
          <w:bCs/>
          <w:lang w:val="en-US"/>
        </w:rPr>
        <w:t>The right to personal liberty and the right to be presumed innocent</w:t>
      </w:r>
      <w:bookmarkEnd w:id="22"/>
      <w:r>
        <w:rPr>
          <w:b w:val="0"/>
          <w:lang w:val="en-US"/>
        </w:rPr>
        <w:t xml:space="preserve"> </w:t>
      </w:r>
    </w:p>
    <w:p w:rsidR="007E5D8B" w:rsidRPr="00D96AC7" w:rsidRDefault="007E5D8B" w:rsidP="007E5D8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b/>
          <w:sz w:val="20"/>
          <w:szCs w:val="20"/>
          <w:lang w:val="en-US"/>
        </w:rPr>
      </w:pPr>
    </w:p>
    <w:p w:rsidR="00782018" w:rsidRPr="00D96AC7" w:rsidRDefault="00782018" w:rsidP="0078201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The pertinent portions of Article 7 of the American Convention provide:</w:t>
      </w:r>
    </w:p>
    <w:p w:rsidR="00782018" w:rsidRPr="00A11409" w:rsidRDefault="00782018" w:rsidP="00782018">
      <w:pPr>
        <w:ind w:left="720" w:right="630"/>
        <w:rPr>
          <w:rFonts w:ascii="Cambria" w:hAnsi="Cambria"/>
          <w:sz w:val="20"/>
          <w:szCs w:val="20"/>
        </w:rPr>
      </w:pPr>
    </w:p>
    <w:p w:rsidR="00782018" w:rsidRPr="00A11409" w:rsidRDefault="00782018" w:rsidP="00D1255F">
      <w:pPr>
        <w:tabs>
          <w:tab w:val="left" w:pos="360"/>
          <w:tab w:val="left" w:pos="1080"/>
        </w:tabs>
        <w:ind w:left="720" w:right="720"/>
        <w:jc w:val="both"/>
        <w:rPr>
          <w:rFonts w:ascii="Cambria" w:hAnsi="Cambria"/>
          <w:spacing w:val="-3"/>
          <w:sz w:val="20"/>
          <w:szCs w:val="20"/>
        </w:rPr>
      </w:pPr>
      <w:r>
        <w:rPr>
          <w:rFonts w:ascii="Cambria" w:hAnsi="Cambria"/>
          <w:sz w:val="20"/>
          <w:szCs w:val="20"/>
        </w:rPr>
        <w:t xml:space="preserve">1. </w:t>
      </w:r>
      <w:r>
        <w:rPr>
          <w:rFonts w:ascii="Cambria" w:hAnsi="Cambria"/>
          <w:sz w:val="20"/>
          <w:szCs w:val="20"/>
        </w:rPr>
        <w:tab/>
        <w:t>Every person has the right to personal liberty and security.</w:t>
      </w:r>
    </w:p>
    <w:p w:rsidR="00782018" w:rsidRPr="00A11409" w:rsidRDefault="00782018" w:rsidP="00D1255F">
      <w:pPr>
        <w:tabs>
          <w:tab w:val="left" w:pos="360"/>
        </w:tabs>
        <w:ind w:left="720" w:right="720"/>
        <w:jc w:val="both"/>
        <w:rPr>
          <w:rFonts w:ascii="Cambria" w:hAnsi="Cambria"/>
          <w:spacing w:val="-3"/>
          <w:sz w:val="20"/>
          <w:szCs w:val="20"/>
        </w:rPr>
      </w:pPr>
      <w:r>
        <w:rPr>
          <w:rFonts w:ascii="Cambria" w:hAnsi="Cambria"/>
          <w:sz w:val="20"/>
          <w:szCs w:val="20"/>
        </w:rPr>
        <w:t>(…)</w:t>
      </w:r>
    </w:p>
    <w:p w:rsidR="00782018" w:rsidRPr="00A11409" w:rsidRDefault="00782018" w:rsidP="00D1255F">
      <w:pPr>
        <w:tabs>
          <w:tab w:val="left" w:pos="360"/>
          <w:tab w:val="left" w:pos="1080"/>
        </w:tabs>
        <w:ind w:left="720" w:right="720"/>
        <w:jc w:val="both"/>
        <w:rPr>
          <w:rFonts w:ascii="Cambria" w:hAnsi="Cambria"/>
          <w:spacing w:val="-3"/>
          <w:sz w:val="20"/>
          <w:szCs w:val="20"/>
        </w:rPr>
      </w:pPr>
      <w:r>
        <w:rPr>
          <w:rFonts w:ascii="Cambria" w:hAnsi="Cambria"/>
          <w:sz w:val="20"/>
          <w:szCs w:val="20"/>
        </w:rPr>
        <w:t>3.</w:t>
      </w:r>
      <w:r>
        <w:rPr>
          <w:rFonts w:ascii="Cambria" w:hAnsi="Cambria"/>
          <w:sz w:val="20"/>
          <w:szCs w:val="20"/>
        </w:rPr>
        <w:tab/>
        <w:t>No one shall be subject to arbitrary arrest or imprisonment.</w:t>
      </w:r>
    </w:p>
    <w:p w:rsidR="00782018" w:rsidRPr="00A11409" w:rsidRDefault="00782018" w:rsidP="00D1255F">
      <w:pPr>
        <w:tabs>
          <w:tab w:val="left" w:pos="360"/>
        </w:tabs>
        <w:ind w:left="720" w:right="720"/>
        <w:jc w:val="both"/>
        <w:rPr>
          <w:rFonts w:ascii="Cambria" w:hAnsi="Cambria"/>
          <w:spacing w:val="-3"/>
          <w:sz w:val="20"/>
          <w:szCs w:val="20"/>
        </w:rPr>
      </w:pPr>
      <w:r>
        <w:rPr>
          <w:rFonts w:ascii="Cambria" w:hAnsi="Cambria"/>
          <w:sz w:val="20"/>
          <w:szCs w:val="20"/>
        </w:rPr>
        <w:t>(…)</w:t>
      </w:r>
    </w:p>
    <w:p w:rsidR="00E23507" w:rsidRPr="00A11409" w:rsidRDefault="00782018" w:rsidP="00D1255F">
      <w:pPr>
        <w:tabs>
          <w:tab w:val="left" w:pos="360"/>
        </w:tabs>
        <w:ind w:left="720" w:right="720"/>
        <w:jc w:val="both"/>
        <w:rPr>
          <w:rFonts w:ascii="Cambria" w:hAnsi="Cambria"/>
          <w:spacing w:val="-3"/>
          <w:sz w:val="20"/>
          <w:szCs w:val="20"/>
        </w:rPr>
      </w:pPr>
      <w:r>
        <w:rPr>
          <w:rFonts w:ascii="Cambria" w:hAnsi="Cambria"/>
          <w:sz w:val="20"/>
          <w:szCs w:val="20"/>
        </w:rPr>
        <w:lastRenderedPageBreak/>
        <w:t>5.</w:t>
      </w:r>
      <w:r w:rsidR="00644C08">
        <w:rPr>
          <w:rFonts w:ascii="Cambria" w:hAnsi="Cambria"/>
          <w:sz w:val="20"/>
          <w:szCs w:val="20"/>
        </w:rPr>
        <w:t xml:space="preserve"> </w:t>
      </w:r>
      <w:r>
        <w:rPr>
          <w:rFonts w:ascii="Cambria" w:hAnsi="Cambria"/>
          <w:sz w:val="20"/>
          <w:szCs w:val="20"/>
        </w:rPr>
        <w:t>Any person detained shall be brought promptly before a judge or other officer authorized by law to exercise judicial power and shall be entitled to trial within a reasonable time or to be released without prejudice to the continuation of the proceedings. His release may be subject to guarantees to assure his appearance for trial.</w:t>
      </w:r>
    </w:p>
    <w:p w:rsidR="00C0701D" w:rsidRPr="00A11409" w:rsidRDefault="00C0701D" w:rsidP="00D1255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r>
        <w:rPr>
          <w:rFonts w:ascii="Cambria" w:hAnsi="Cambria"/>
          <w:sz w:val="20"/>
          <w:szCs w:val="20"/>
          <w:lang w:val="en-US"/>
        </w:rPr>
        <w:t>(…)</w:t>
      </w:r>
    </w:p>
    <w:p w:rsidR="00253414" w:rsidRPr="00A11409" w:rsidRDefault="00253414" w:rsidP="007E5D8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D632FF" w:rsidRPr="00D96AC7" w:rsidRDefault="00253414" w:rsidP="003A1B0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For its part, the pertinent portion of Article 8(2) of the American Convention provides: </w:t>
      </w:r>
    </w:p>
    <w:p w:rsidR="00D632FF" w:rsidRPr="00D96AC7" w:rsidRDefault="00D632FF" w:rsidP="00835C9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C0701D" w:rsidRPr="00D96AC7" w:rsidRDefault="00D632FF" w:rsidP="00D1255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pacing w:val="-3"/>
          <w:sz w:val="20"/>
          <w:szCs w:val="20"/>
          <w:lang w:val="en-US"/>
        </w:rPr>
      </w:pPr>
      <w:r>
        <w:rPr>
          <w:rFonts w:ascii="Cambria" w:hAnsi="Cambria"/>
          <w:sz w:val="20"/>
          <w:szCs w:val="20"/>
          <w:lang w:val="en-US"/>
        </w:rPr>
        <w:t>Every person accused of a criminal offense has the right to be presumed innocent so long as his guilt has not been proven according to law.</w:t>
      </w:r>
    </w:p>
    <w:p w:rsidR="00835C95" w:rsidRPr="00D96AC7" w:rsidRDefault="00835C95" w:rsidP="00835C9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p>
    <w:p w:rsidR="00FE43A8" w:rsidRPr="00A11409" w:rsidRDefault="00FE43A8" w:rsidP="00835C95">
      <w:pPr>
        <w:pStyle w:val="Heading3"/>
        <w:keepLines/>
        <w:numPr>
          <w:ilvl w:val="1"/>
          <w:numId w:val="64"/>
        </w:numPr>
        <w:pBdr>
          <w:top w:val="nil"/>
          <w:left w:val="nil"/>
          <w:bottom w:val="nil"/>
          <w:right w:val="nil"/>
          <w:between w:val="nil"/>
          <w:bar w:val="nil"/>
        </w:pBdr>
        <w:tabs>
          <w:tab w:val="clear" w:pos="1800"/>
          <w:tab w:val="num" w:pos="720"/>
        </w:tabs>
        <w:spacing w:before="0" w:after="0"/>
        <w:ind w:left="720" w:firstLine="0"/>
        <w:rPr>
          <w:rFonts w:ascii="Cambria" w:hAnsi="Cambria"/>
          <w:sz w:val="20"/>
          <w:szCs w:val="20"/>
        </w:rPr>
      </w:pPr>
      <w:bookmarkStart w:id="23" w:name="_Toc482278245"/>
      <w:bookmarkStart w:id="24" w:name="_Toc469409098"/>
      <w:r>
        <w:rPr>
          <w:rFonts w:ascii="Cambria" w:hAnsi="Cambria"/>
          <w:sz w:val="20"/>
          <w:szCs w:val="20"/>
        </w:rPr>
        <w:t>General considerations on pretrial detention</w:t>
      </w:r>
      <w:bookmarkEnd w:id="23"/>
      <w:bookmarkEnd w:id="24"/>
      <w:r>
        <w:rPr>
          <w:rFonts w:ascii="Cambria" w:hAnsi="Cambria"/>
          <w:b w:val="0"/>
          <w:bCs w:val="0"/>
          <w:sz w:val="20"/>
          <w:szCs w:val="20"/>
        </w:rPr>
        <w:tab/>
      </w:r>
    </w:p>
    <w:p w:rsidR="00FE43A8" w:rsidRPr="00A11409" w:rsidRDefault="00FE43A8" w:rsidP="00835C95">
      <w:pPr>
        <w:pStyle w:val="ColorfulList-Accent12"/>
        <w:tabs>
          <w:tab w:val="left" w:pos="3087"/>
        </w:tabs>
        <w:rPr>
          <w:sz w:val="20"/>
          <w:szCs w:val="20"/>
        </w:rPr>
      </w:pPr>
      <w:r>
        <w:tab/>
      </w:r>
    </w:p>
    <w:p w:rsidR="00FE43A8" w:rsidRPr="00D96AC7" w:rsidRDefault="00FE43A8" w:rsidP="00835C9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The Inter-American Commission and Court have held that pretrial detention is limited by the principles of legality, presumption of innocence, necessity, and proportionality.</w:t>
      </w:r>
      <w:r>
        <w:rPr>
          <w:rStyle w:val="FootnoteReference"/>
          <w:rFonts w:ascii="Cambria" w:hAnsi="Cambria"/>
          <w:sz w:val="20"/>
          <w:szCs w:val="20"/>
          <w:lang w:val="en-US"/>
        </w:rPr>
        <w:footnoteReference w:id="35"/>
      </w:r>
      <w:r>
        <w:rPr>
          <w:rFonts w:ascii="Cambria" w:hAnsi="Cambria"/>
          <w:sz w:val="20"/>
          <w:szCs w:val="20"/>
          <w:lang w:val="en-US"/>
        </w:rPr>
        <w:t xml:space="preserve"> The Court has also stated that it is a precautionary, rather than a punitive</w:t>
      </w:r>
      <w:r w:rsidR="005F0A28">
        <w:rPr>
          <w:rStyle w:val="FootnoteReference"/>
          <w:rFonts w:ascii="Cambria" w:hAnsi="Cambria"/>
          <w:sz w:val="20"/>
          <w:szCs w:val="20"/>
          <w:lang w:val="en-US"/>
        </w:rPr>
        <w:footnoteReference w:id="36"/>
      </w:r>
      <w:r>
        <w:rPr>
          <w:rFonts w:ascii="Cambria" w:hAnsi="Cambria"/>
          <w:sz w:val="20"/>
          <w:szCs w:val="20"/>
          <w:lang w:val="en-US"/>
        </w:rPr>
        <w:t>, measure, and that, as the most severe measure that can be imposed on an accused, it should only be used exceptionally. In the view of both organs of the inter-American system, the rule should be for the accused to be on release until a decision is reached on their criminal responsibility.</w:t>
      </w:r>
      <w:r>
        <w:rPr>
          <w:rStyle w:val="FootnoteReference"/>
          <w:rFonts w:ascii="Cambria" w:hAnsi="Cambria"/>
          <w:sz w:val="20"/>
          <w:szCs w:val="20"/>
          <w:lang w:val="en-US"/>
        </w:rPr>
        <w:footnoteReference w:id="37"/>
      </w:r>
      <w:r>
        <w:rPr>
          <w:rFonts w:ascii="Cambria" w:hAnsi="Cambria"/>
          <w:sz w:val="20"/>
          <w:szCs w:val="20"/>
          <w:lang w:val="en-US"/>
        </w:rPr>
        <w:t xml:space="preserve"> </w:t>
      </w:r>
    </w:p>
    <w:p w:rsidR="00FE43A8" w:rsidRPr="00A11409" w:rsidRDefault="00FE43A8" w:rsidP="00FE43A8">
      <w:pPr>
        <w:ind w:firstLine="720"/>
        <w:jc w:val="both"/>
        <w:rPr>
          <w:rFonts w:ascii="Cambria" w:hAnsi="Cambria"/>
          <w:sz w:val="20"/>
          <w:szCs w:val="20"/>
        </w:rPr>
      </w:pPr>
    </w:p>
    <w:p w:rsidR="00FE43A8" w:rsidRPr="00A11409" w:rsidRDefault="00FE43A8" w:rsidP="00323B9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szCs w:val="20"/>
          <w:lang w:val="en-US"/>
        </w:rPr>
        <w:t>The Court and the Commission have underscored that the personal characteristics of the alleged perpetrator and the seriousness of the offense with which they are charged are not, in themselves, sufficient justification for pretrial detention.</w:t>
      </w:r>
      <w:r>
        <w:rPr>
          <w:rStyle w:val="FootnoteReference"/>
          <w:rFonts w:ascii="Cambria" w:hAnsi="Cambria"/>
          <w:sz w:val="20"/>
          <w:szCs w:val="20"/>
          <w:lang w:val="en-US"/>
        </w:rPr>
        <w:footnoteReference w:id="38"/>
      </w:r>
      <w:r>
        <w:rPr>
          <w:rFonts w:ascii="Cambria" w:hAnsi="Cambria"/>
          <w:sz w:val="20"/>
          <w:szCs w:val="20"/>
          <w:lang w:val="en-US"/>
        </w:rPr>
        <w:t xml:space="preserve"> With respect to the reasons that may justify pretrial detention, the organs of the system have interpreted Article 7(3) of the American Convention in the sense that circumstantial evidence of guilt are a necessary condition but not sufficient alone to impose such a measure. In the words of the Court: </w:t>
      </w:r>
      <w:bookmarkStart w:id="25" w:name="_Ref242782550"/>
    </w:p>
    <w:p w:rsidR="00FE43A8" w:rsidRPr="00A11409" w:rsidRDefault="00FE43A8" w:rsidP="00FE43A8">
      <w:pPr>
        <w:ind w:left="720" w:right="720"/>
        <w:jc w:val="both"/>
        <w:rPr>
          <w:rFonts w:ascii="Cambria" w:hAnsi="Cambria"/>
          <w:sz w:val="20"/>
          <w:szCs w:val="20"/>
        </w:rPr>
      </w:pPr>
    </w:p>
    <w:p w:rsidR="00FE43A8" w:rsidRPr="00A11409" w:rsidRDefault="00FE43A8" w:rsidP="00D1255F">
      <w:pPr>
        <w:ind w:left="720" w:right="720"/>
        <w:jc w:val="both"/>
        <w:rPr>
          <w:rFonts w:ascii="Cambria" w:hAnsi="Cambria"/>
          <w:sz w:val="20"/>
          <w:szCs w:val="20"/>
        </w:rPr>
      </w:pPr>
      <w:r>
        <w:rPr>
          <w:rFonts w:ascii="Cambria" w:hAnsi="Cambria"/>
          <w:sz w:val="20"/>
          <w:szCs w:val="20"/>
        </w:rPr>
        <w:t>(…) there must be sufficient evidence to allow reasonable supposition that the person committed to trial has taken part in the criminal offense under investigation.</w:t>
      </w:r>
      <w:bookmarkStart w:id="26" w:name="_Ref247965465"/>
      <w:r>
        <w:rPr>
          <w:rStyle w:val="FootnoteReference"/>
          <w:rFonts w:ascii="Cambria" w:hAnsi="Cambria"/>
          <w:sz w:val="20"/>
          <w:szCs w:val="20"/>
        </w:rPr>
        <w:footnoteReference w:id="39"/>
      </w:r>
      <w:bookmarkEnd w:id="26"/>
      <w:r>
        <w:rPr>
          <w:rFonts w:ascii="Cambria" w:hAnsi="Cambria"/>
          <w:sz w:val="20"/>
          <w:szCs w:val="20"/>
        </w:rPr>
        <w:t xml:space="preserve"> Nevertheless, “even in these circumstances, the deprivation of liberty of the accused cannot be based on general preventive or special preventive purposes, which could be attributed to the punishment, but […] based on a legitimate purpose, which is: to ensure that the accused does not prevent the proceedings from being conducted or elude the system of justice.”</w:t>
      </w:r>
      <w:r>
        <w:rPr>
          <w:rStyle w:val="FootnoteReference"/>
          <w:rFonts w:ascii="Cambria" w:hAnsi="Cambria"/>
          <w:sz w:val="20"/>
          <w:szCs w:val="20"/>
        </w:rPr>
        <w:footnoteReference w:id="40"/>
      </w:r>
      <w:bookmarkEnd w:id="25"/>
    </w:p>
    <w:p w:rsidR="00FE43A8" w:rsidRPr="00A11409" w:rsidRDefault="00FE43A8" w:rsidP="00FE43A8">
      <w:pPr>
        <w:pStyle w:val="ColorfulList-Accent12"/>
        <w:rPr>
          <w:sz w:val="20"/>
          <w:szCs w:val="20"/>
        </w:rPr>
      </w:pPr>
    </w:p>
    <w:p w:rsidR="00FE43A8" w:rsidRPr="00D96AC7" w:rsidRDefault="00FE43A8" w:rsidP="00323B9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lastRenderedPageBreak/>
        <w:t>Thus, any decision to restrict the right to personal liberty through the imposition of pretrial detention must be justified by sufficient grounds in each instance to determine if said detention meets the requirements for its application.</w:t>
      </w:r>
      <w:r>
        <w:rPr>
          <w:rStyle w:val="FootnoteReference"/>
          <w:rFonts w:ascii="Cambria" w:hAnsi="Cambria"/>
          <w:sz w:val="20"/>
          <w:szCs w:val="20"/>
          <w:lang w:val="en-US"/>
        </w:rPr>
        <w:footnoteReference w:id="41"/>
      </w:r>
      <w:r>
        <w:rPr>
          <w:rFonts w:ascii="Cambria" w:hAnsi="Cambria"/>
          <w:sz w:val="20"/>
          <w:szCs w:val="20"/>
          <w:lang w:val="en-US"/>
        </w:rPr>
        <w:t xml:space="preserve"> </w:t>
      </w:r>
    </w:p>
    <w:p w:rsidR="00FE43A8" w:rsidRPr="00A11409" w:rsidRDefault="00FE43A8" w:rsidP="00FE43A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rsidR="00FE43A8" w:rsidRPr="00D96AC7" w:rsidRDefault="00FE43A8" w:rsidP="00323B9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b/>
          <w:sz w:val="20"/>
          <w:szCs w:val="20"/>
          <w:lang w:val="en-US"/>
        </w:rPr>
      </w:pPr>
      <w:r>
        <w:rPr>
          <w:rFonts w:ascii="Cambria" w:hAnsi="Cambria"/>
          <w:sz w:val="20"/>
          <w:szCs w:val="20"/>
          <w:lang w:val="en-US"/>
        </w:rPr>
        <w:t>At the same time, Article 7(5) of the American Convention imposes time limits on pretrial detention and, consequently, on the power of the State to protect the purposes pursued by the proceeding with this type of precautionary measure. As the Inter-American Court has held, “[w]hen the duration of pre-trial detention exceeds a reasonable time, the State can restrict the liberty of the accused by other measures that are less harmful than deprivation of liberty.”</w:t>
      </w:r>
      <w:r>
        <w:rPr>
          <w:rStyle w:val="FootnoteReference"/>
          <w:rFonts w:ascii="Cambria" w:hAnsi="Cambria"/>
          <w:sz w:val="20"/>
          <w:szCs w:val="20"/>
          <w:lang w:val="en-US"/>
        </w:rPr>
        <w:footnoteReference w:id="42"/>
      </w:r>
      <w:r>
        <w:rPr>
          <w:rFonts w:ascii="Cambria" w:hAnsi="Cambria"/>
          <w:sz w:val="20"/>
          <w:szCs w:val="20"/>
          <w:lang w:val="en-US"/>
        </w:rPr>
        <w:t xml:space="preserve"> The Court has indicated that even when there are reasons to keep someone in pretrial detention, the period of detention should not exceed what is reasonable.</w:t>
      </w:r>
      <w:r>
        <w:rPr>
          <w:rStyle w:val="FootnoteReference"/>
          <w:rFonts w:ascii="Cambria" w:hAnsi="Cambria"/>
          <w:sz w:val="20"/>
          <w:szCs w:val="20"/>
          <w:lang w:val="en-US"/>
        </w:rPr>
        <w:footnoteReference w:id="43"/>
      </w:r>
    </w:p>
    <w:p w:rsidR="00FE43A8" w:rsidRPr="00A11409" w:rsidRDefault="00FE43A8" w:rsidP="00FE43A8">
      <w:pPr>
        <w:pStyle w:val="ColorfulList-Accent12"/>
        <w:rPr>
          <w:sz w:val="20"/>
          <w:szCs w:val="20"/>
        </w:rPr>
      </w:pPr>
    </w:p>
    <w:p w:rsidR="00FE43A8" w:rsidRPr="00D96AC7" w:rsidRDefault="00FE43A8" w:rsidP="002247E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As regards the need for periodic review of the grounds for pretrial detention and its duration, the Court has stated that: </w:t>
      </w:r>
    </w:p>
    <w:p w:rsidR="00FE43A8" w:rsidRPr="00A11409" w:rsidRDefault="00FE43A8" w:rsidP="00FE43A8">
      <w:pPr>
        <w:pStyle w:val="ColorfulList-Accent12"/>
        <w:rPr>
          <w:sz w:val="20"/>
          <w:szCs w:val="20"/>
        </w:rPr>
      </w:pPr>
    </w:p>
    <w:p w:rsidR="00FE43A8" w:rsidRPr="00A11409" w:rsidRDefault="00FE43A8" w:rsidP="00D1255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Pr>
          <w:rFonts w:ascii="Cambria" w:hAnsi="Cambria"/>
          <w:sz w:val="20"/>
          <w:szCs w:val="20"/>
        </w:rPr>
        <w:t>pretrial detention or imprisonment should be subject to periodic review, so that it is not prolonged when the reasons that supported it no longer exist .... Whenever it appears that pretrial detention does not meet those conditions, release should be ordered, without prejudice to the continuation of the proceedings.</w:t>
      </w:r>
      <w:r>
        <w:rPr>
          <w:rStyle w:val="FootnoteReference"/>
          <w:rFonts w:ascii="Cambria" w:hAnsi="Cambria"/>
          <w:sz w:val="20"/>
          <w:szCs w:val="20"/>
        </w:rPr>
        <w:footnoteReference w:id="44"/>
      </w:r>
      <w:r>
        <w:rPr>
          <w:rFonts w:ascii="Cambria" w:hAnsi="Cambria"/>
          <w:sz w:val="20"/>
          <w:szCs w:val="20"/>
        </w:rPr>
        <w:t xml:space="preserve"> </w:t>
      </w:r>
    </w:p>
    <w:p w:rsidR="00FE43A8" w:rsidRPr="00A11409" w:rsidRDefault="00FE43A8" w:rsidP="00FE43A8">
      <w:pPr>
        <w:pStyle w:val="ColorfulList-Accent12"/>
        <w:rPr>
          <w:sz w:val="20"/>
          <w:szCs w:val="20"/>
        </w:rPr>
      </w:pPr>
    </w:p>
    <w:p w:rsidR="00FE43A8" w:rsidRPr="00D96AC7" w:rsidRDefault="00FE43A8" w:rsidP="002247E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Besides its effects on the exercise of the right to personal liberty, both the Commission and the Court have stated that improper use of pretrial detention may undermine the principle of presumption of innocence contained in Article 8(2) of the American Convention. In that connection, the Commission has underscored the importance of the criterion of reasonableness, since to keep someone deprived of liberty beyond a time that is reasonable to accomplish the ends that justified their detention would be tantamount, in effect, to a premature punishment.</w:t>
      </w:r>
      <w:r>
        <w:rPr>
          <w:rStyle w:val="FootnoteReference"/>
          <w:rFonts w:ascii="Cambria" w:hAnsi="Cambria"/>
          <w:sz w:val="20"/>
          <w:szCs w:val="20"/>
          <w:lang w:val="en-US"/>
        </w:rPr>
        <w:footnoteReference w:id="45"/>
      </w:r>
      <w:r>
        <w:rPr>
          <w:rFonts w:ascii="Cambria" w:hAnsi="Cambria"/>
          <w:sz w:val="20"/>
          <w:szCs w:val="20"/>
          <w:lang w:val="en-US"/>
        </w:rPr>
        <w:t xml:space="preserve"> </w:t>
      </w:r>
    </w:p>
    <w:p w:rsidR="00FE43A8" w:rsidRPr="00A11409" w:rsidRDefault="00FE43A8" w:rsidP="00FE43A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FE43A8" w:rsidRPr="00D96AC7" w:rsidRDefault="00D1255F" w:rsidP="00AA70F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The IACHR has said the following with respect to unreasonably long pre-trial detention:</w:t>
      </w:r>
    </w:p>
    <w:p w:rsidR="00FE43A8" w:rsidRPr="00A11409" w:rsidRDefault="00FE43A8" w:rsidP="00FE43A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FE43A8" w:rsidRPr="00A11409" w:rsidRDefault="00FE43A8" w:rsidP="00D1255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pacing w:val="-3"/>
          <w:sz w:val="20"/>
          <w:szCs w:val="20"/>
        </w:rPr>
      </w:pPr>
      <w:r>
        <w:rPr>
          <w:rFonts w:ascii="Cambria" w:hAnsi="Cambria"/>
          <w:sz w:val="20"/>
          <w:szCs w:val="20"/>
        </w:rPr>
        <w:t>In addition, the risk of inverting the presumption of innocence increases with an unreasonably prolonged pre-trial incarceration.</w:t>
      </w:r>
      <w:r w:rsidR="00644C08">
        <w:rPr>
          <w:rFonts w:ascii="Cambria" w:hAnsi="Cambria"/>
          <w:sz w:val="20"/>
          <w:szCs w:val="20"/>
        </w:rPr>
        <w:t xml:space="preserve"> </w:t>
      </w:r>
      <w:r>
        <w:rPr>
          <w:rFonts w:ascii="Cambria" w:hAnsi="Cambria"/>
          <w:sz w:val="20"/>
          <w:szCs w:val="20"/>
        </w:rPr>
        <w:t>The guarantee of presumption of innocence becomes increasingly empty and ultimately a mockery when pre-trial imprisonment is prolonged unreasonably, since presumption notwithstanding, the severe penalty of deprivation of liberty which is legally reserved for those who have been convicted, is being visited upon someone who is, until and if convicted by the courts, innocent.</w:t>
      </w:r>
      <w:r>
        <w:rPr>
          <w:rStyle w:val="FootnoteReference"/>
          <w:rFonts w:ascii="Cambria" w:hAnsi="Cambria"/>
          <w:sz w:val="20"/>
          <w:szCs w:val="20"/>
        </w:rPr>
        <w:footnoteReference w:id="46"/>
      </w:r>
    </w:p>
    <w:p w:rsidR="00FE43A8" w:rsidRPr="00A11409" w:rsidRDefault="00FE43A8" w:rsidP="00D1255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pacing w:val="-3"/>
          <w:sz w:val="20"/>
          <w:szCs w:val="20"/>
        </w:rPr>
      </w:pPr>
    </w:p>
    <w:p w:rsidR="00FE43A8" w:rsidRPr="00A11409" w:rsidRDefault="00FE43A8" w:rsidP="00D1255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pacing w:val="-3"/>
          <w:sz w:val="20"/>
          <w:szCs w:val="20"/>
        </w:rPr>
      </w:pPr>
      <w:r>
        <w:rPr>
          <w:rFonts w:ascii="Cambria" w:hAnsi="Cambria"/>
          <w:sz w:val="20"/>
          <w:szCs w:val="20"/>
        </w:rPr>
        <w:t>(…)</w:t>
      </w:r>
    </w:p>
    <w:p w:rsidR="00FE43A8" w:rsidRPr="00A11409" w:rsidRDefault="00FE43A8" w:rsidP="00D1255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pacing w:val="-3"/>
          <w:sz w:val="20"/>
          <w:szCs w:val="20"/>
        </w:rPr>
      </w:pPr>
    </w:p>
    <w:p w:rsidR="00FE43A8" w:rsidRPr="00A11409" w:rsidRDefault="00FE43A8" w:rsidP="00D1255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r>
        <w:rPr>
          <w:rFonts w:ascii="Cambria" w:hAnsi="Cambria"/>
          <w:sz w:val="20"/>
          <w:szCs w:val="20"/>
        </w:rPr>
        <w:lastRenderedPageBreak/>
        <w:t>If the State fails to issue a judgment establishing blame justifies further holding the accused in pre-trial incarceration, based on the suspicion of guilt, then it is essentially substituting pre-trial detention for the punishment.</w:t>
      </w:r>
      <w:r>
        <w:rPr>
          <w:rStyle w:val="FootnoteReference"/>
          <w:rFonts w:ascii="Cambria" w:hAnsi="Cambria"/>
          <w:sz w:val="20"/>
          <w:szCs w:val="20"/>
        </w:rPr>
        <w:footnoteReference w:id="47"/>
      </w:r>
    </w:p>
    <w:p w:rsidR="00FE43A8" w:rsidRPr="00A11409" w:rsidRDefault="00FE43A8" w:rsidP="00FE43A8">
      <w:pPr>
        <w:pStyle w:val="ColorfulList-Accent12"/>
        <w:jc w:val="both"/>
        <w:rPr>
          <w:rFonts w:cs="Calibri"/>
          <w:sz w:val="20"/>
          <w:szCs w:val="20"/>
        </w:rPr>
      </w:pPr>
    </w:p>
    <w:p w:rsidR="00FE43A8" w:rsidRPr="00D96AC7" w:rsidRDefault="00FE43A8" w:rsidP="00AA70F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Calibri"/>
          <w:sz w:val="20"/>
          <w:szCs w:val="20"/>
          <w:lang w:val="en-US"/>
        </w:rPr>
      </w:pPr>
      <w:r>
        <w:rPr>
          <w:rFonts w:ascii="Cambria" w:hAnsi="Cambria" w:cs="Calibri"/>
          <w:sz w:val="20"/>
          <w:szCs w:val="20"/>
          <w:lang w:val="en-US"/>
        </w:rPr>
        <w:t>Respect for the right to be presumed innocent also requires that the State demonstrate with clear and reasoned arguments in each specific case the existence of valid rules governing the applicability of pretrial detention.</w:t>
      </w:r>
      <w:r>
        <w:rPr>
          <w:rStyle w:val="FootnoteReference"/>
          <w:rFonts w:ascii="Cambria" w:hAnsi="Cambria" w:cs="Calibri"/>
          <w:sz w:val="20"/>
          <w:szCs w:val="20"/>
          <w:lang w:val="en-US"/>
        </w:rPr>
        <w:footnoteReference w:id="48"/>
      </w:r>
      <w:r>
        <w:rPr>
          <w:rFonts w:ascii="Cambria" w:hAnsi="Cambria" w:cs="Calibri"/>
          <w:sz w:val="20"/>
          <w:szCs w:val="20"/>
          <w:lang w:val="en-US"/>
        </w:rPr>
        <w:t xml:space="preserve"> Accordingly, the principle of presumption of innocence is also violated when pretrial detention is imposed arbitrarily, or when its application is essentially determined by such factors as the nature of the crime, the expected punishment, or the mere existence of reasonable indicia implicating the accused.</w:t>
      </w:r>
      <w:r>
        <w:rPr>
          <w:rStyle w:val="FootnoteReference"/>
          <w:rFonts w:ascii="Cambria" w:hAnsi="Cambria" w:cs="Calibri"/>
          <w:sz w:val="20"/>
          <w:szCs w:val="20"/>
          <w:lang w:val="en-US"/>
        </w:rPr>
        <w:footnoteReference w:id="49"/>
      </w:r>
    </w:p>
    <w:p w:rsidR="007814B4" w:rsidRPr="00D96AC7" w:rsidRDefault="007814B4" w:rsidP="007814B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lang w:val="en-US"/>
        </w:rPr>
      </w:pPr>
    </w:p>
    <w:p w:rsidR="00FE43A8" w:rsidRPr="00A11409" w:rsidRDefault="00E50F59" w:rsidP="007814B4">
      <w:pPr>
        <w:pStyle w:val="Heading3"/>
        <w:keepLines/>
        <w:numPr>
          <w:ilvl w:val="1"/>
          <w:numId w:val="64"/>
        </w:numPr>
        <w:pBdr>
          <w:top w:val="nil"/>
          <w:left w:val="nil"/>
          <w:bottom w:val="nil"/>
          <w:right w:val="nil"/>
          <w:between w:val="nil"/>
          <w:bar w:val="nil"/>
        </w:pBdr>
        <w:tabs>
          <w:tab w:val="clear" w:pos="1800"/>
          <w:tab w:val="num" w:pos="720"/>
        </w:tabs>
        <w:spacing w:before="0" w:after="0"/>
        <w:ind w:left="720" w:firstLine="0"/>
        <w:rPr>
          <w:rFonts w:ascii="Cambria" w:hAnsi="Cambria"/>
          <w:sz w:val="20"/>
          <w:szCs w:val="20"/>
        </w:rPr>
      </w:pPr>
      <w:bookmarkStart w:id="27" w:name="_Toc482278246"/>
      <w:r>
        <w:rPr>
          <w:rFonts w:ascii="Cambria" w:hAnsi="Cambria"/>
          <w:sz w:val="20"/>
          <w:szCs w:val="20"/>
        </w:rPr>
        <w:t>Analysis of the case</w:t>
      </w:r>
      <w:bookmarkEnd w:id="27"/>
    </w:p>
    <w:p w:rsidR="0026443D" w:rsidRPr="00A11409" w:rsidRDefault="0026443D" w:rsidP="0026443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b/>
          <w:sz w:val="20"/>
          <w:szCs w:val="20"/>
        </w:rPr>
      </w:pPr>
    </w:p>
    <w:p w:rsidR="009F44A8" w:rsidRPr="00D96AC7" w:rsidRDefault="0026443D" w:rsidP="004038C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In this case, the Commission has taken it as a</w:t>
      </w:r>
      <w:r w:rsidR="00C03A09">
        <w:rPr>
          <w:rFonts w:ascii="Cambria" w:hAnsi="Cambria"/>
          <w:sz w:val="20"/>
          <w:szCs w:val="20"/>
          <w:lang w:val="en-US"/>
        </w:rPr>
        <w:t xml:space="preserve"> proven </w:t>
      </w:r>
      <w:r>
        <w:rPr>
          <w:rFonts w:ascii="Cambria" w:hAnsi="Cambria"/>
          <w:sz w:val="20"/>
          <w:szCs w:val="20"/>
          <w:lang w:val="en-US"/>
        </w:rPr>
        <w:t>fact that Mr. Carranza Alarcón was held in pretrial detention from November 1994 to December 1998, when he was convicted in a judgment that became final. The order for that pretrial detention was given in the order to institute proceedings of August 17, 1993, and confirmed on October 28, 1993. The Commission recalls that the length of pretrial detention must be counted until the date of the final judgment.</w:t>
      </w:r>
      <w:r w:rsidR="00B3504E">
        <w:rPr>
          <w:rStyle w:val="FootnoteReference"/>
          <w:rFonts w:ascii="Cambria" w:hAnsi="Cambria" w:cs="Calibri"/>
          <w:sz w:val="20"/>
          <w:szCs w:val="20"/>
          <w:lang w:val="en-US"/>
        </w:rPr>
        <w:footnoteReference w:id="50"/>
      </w:r>
      <w:r>
        <w:rPr>
          <w:rFonts w:ascii="Cambria" w:hAnsi="Cambria"/>
          <w:sz w:val="20"/>
          <w:szCs w:val="20"/>
          <w:lang w:val="en-US"/>
        </w:rPr>
        <w:t xml:space="preserve"> </w:t>
      </w:r>
    </w:p>
    <w:p w:rsidR="009F44A8" w:rsidRPr="00D96AC7" w:rsidRDefault="009F44A8" w:rsidP="009F44A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rsidR="004C4DC5" w:rsidRPr="00D96AC7" w:rsidRDefault="009F44A8" w:rsidP="004038C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As to justification, as was mentioned in the establish facts, the basis cited for the propriety of pretrial detention in both decisions was Article 177 of the Code of Criminal Procedure. </w:t>
      </w:r>
    </w:p>
    <w:p w:rsidR="0026443D" w:rsidRPr="00D96AC7" w:rsidRDefault="0026443D" w:rsidP="004038C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b/>
          <w:sz w:val="20"/>
          <w:szCs w:val="20"/>
          <w:lang w:val="en-US"/>
        </w:rPr>
      </w:pPr>
    </w:p>
    <w:p w:rsidR="004A1D2D" w:rsidRPr="00D96AC7" w:rsidRDefault="00370AA1" w:rsidP="004038C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Article 177 of that Code, invoked as the grounds in both decisions, provided that the judge, “when he believes it necessary,” could order pretrial detention provided that there existed: (</w:t>
      </w:r>
      <w:proofErr w:type="spellStart"/>
      <w:r>
        <w:rPr>
          <w:rFonts w:ascii="Cambria" w:hAnsi="Cambria"/>
          <w:sz w:val="20"/>
          <w:szCs w:val="20"/>
          <w:lang w:val="en-US"/>
        </w:rPr>
        <w:t>i</w:t>
      </w:r>
      <w:proofErr w:type="spellEnd"/>
      <w:r>
        <w:rPr>
          <w:rFonts w:ascii="Cambria" w:hAnsi="Cambria"/>
          <w:sz w:val="20"/>
          <w:szCs w:val="20"/>
          <w:lang w:val="en-US"/>
        </w:rPr>
        <w:t>) indicia to presume the existence of a criminal offense that would warrant deprivation of liberty as punishment; and (ii) indicia to presume that the accused had committed or was complicit in the commission of the offense that the proceeding concerned. That provision also required that “[t]he order shall specify the evidence supporting the incarceration order.”</w:t>
      </w:r>
      <w:r>
        <w:rPr>
          <w:rStyle w:val="FootnoteReference"/>
          <w:rFonts w:ascii="Cambria" w:hAnsi="Cambria"/>
          <w:sz w:val="20"/>
          <w:szCs w:val="20"/>
          <w:lang w:val="en-US"/>
        </w:rPr>
        <w:footnoteReference w:id="51"/>
      </w:r>
    </w:p>
    <w:p w:rsidR="004A1D2D" w:rsidRPr="00A11409" w:rsidRDefault="004A1D2D" w:rsidP="003E29F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rsidR="0039763C" w:rsidRPr="00D96AC7" w:rsidRDefault="0039763C" w:rsidP="00EF335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The Commission observes that this provision did not require the existence of procedural needs for ordering pretrial detention. On the contrary, it provided that it was sufficient for there to exist indicia of responsibility for a crime that would warrant deprivation of liberty as punishment. The Commission has held that, in practice, this norm inverts the exceptionality of pretrial detention and makes it the rule in cases punishable by imprisonment, since to order it, it is sufficient for there to exist a crime punishable by deprivation of liberty and “indicia of responsibility.”</w:t>
      </w:r>
      <w:r>
        <w:rPr>
          <w:rStyle w:val="FootnoteReference"/>
          <w:rFonts w:ascii="Cambria" w:hAnsi="Cambria"/>
          <w:sz w:val="20"/>
          <w:szCs w:val="20"/>
          <w:lang w:val="en-US"/>
        </w:rPr>
        <w:footnoteReference w:id="52"/>
      </w:r>
      <w:r>
        <w:rPr>
          <w:rFonts w:ascii="Cambria" w:hAnsi="Cambria"/>
          <w:sz w:val="20"/>
          <w:szCs w:val="20"/>
          <w:lang w:val="en-US"/>
        </w:rPr>
        <w:t xml:space="preserve"> </w:t>
      </w:r>
    </w:p>
    <w:p w:rsidR="0039763C" w:rsidRPr="00D96AC7" w:rsidRDefault="0039763C" w:rsidP="003E29F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73470A" w:rsidRPr="00D96AC7" w:rsidRDefault="00110CDB" w:rsidP="00EC15D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b/>
          <w:sz w:val="20"/>
          <w:szCs w:val="20"/>
          <w:lang w:val="en-US"/>
        </w:rPr>
      </w:pPr>
      <w:r>
        <w:rPr>
          <w:rFonts w:ascii="Cambria" w:hAnsi="Cambria"/>
          <w:sz w:val="20"/>
          <w:szCs w:val="20"/>
          <w:lang w:val="en-US"/>
        </w:rPr>
        <w:t>The justification for the decisions to impose pretrial detention on Mr. Carranza was essentially based on the evidence that pointed to his responsibility. In that regard, both the applicable norm and the decisions adopted on the basis thereof are arbitrary and, therefore, incompatible with the American Convention. While mention was made of the fact that the alleged victim was evading justice, from its examination of both decisions the Commission finds that the only effect of that reference was to order the police to apprehend him; it was not the basis for imposing pretrial detention from the point of view of procedural need.</w:t>
      </w:r>
    </w:p>
    <w:p w:rsidR="00036141" w:rsidRPr="00D96AC7" w:rsidRDefault="00036141" w:rsidP="0003614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b/>
          <w:sz w:val="20"/>
          <w:szCs w:val="20"/>
          <w:lang w:val="en-US"/>
        </w:rPr>
      </w:pPr>
    </w:p>
    <w:p w:rsidR="00036141" w:rsidRPr="00D96AC7" w:rsidRDefault="00036141" w:rsidP="00EC15D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b/>
          <w:sz w:val="20"/>
          <w:szCs w:val="20"/>
          <w:lang w:val="en-US"/>
        </w:rPr>
      </w:pPr>
      <w:r>
        <w:rPr>
          <w:rFonts w:ascii="Cambria" w:hAnsi="Cambria"/>
          <w:sz w:val="20"/>
          <w:szCs w:val="20"/>
          <w:lang w:val="en-US"/>
        </w:rPr>
        <w:t xml:space="preserve">As for the duration of Mr. Carranza's pretrial detention, the Commission notes that it lasted a little over four years: November 1994 to December 1998. The Commission notes that at no point during that time was there any periodic review to determine the ongoing propriety of the pretrial detention, despite the fact that Mr. Carranza requested his release. The foregoing is consistent with the above-cited provision of the Code of Criminal Procedure, whose logical consequence is that so long as the indicia of responsibility remain, pretrial detention is justified without any review of its duration in the light of the conventionally accepted needs. The Commission considers therefore, that the period of more than four years exceeded any criteria of reasonableness. </w:t>
      </w:r>
    </w:p>
    <w:p w:rsidR="00236786" w:rsidRPr="00D96AC7" w:rsidRDefault="00236786" w:rsidP="00236786">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b/>
          <w:sz w:val="20"/>
          <w:szCs w:val="20"/>
          <w:lang w:val="en-US"/>
        </w:rPr>
      </w:pPr>
    </w:p>
    <w:p w:rsidR="004A1D2D" w:rsidRPr="00D96AC7" w:rsidRDefault="00236786" w:rsidP="00D9003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b/>
          <w:sz w:val="20"/>
          <w:szCs w:val="20"/>
          <w:lang w:val="en-US"/>
        </w:rPr>
      </w:pPr>
      <w:r>
        <w:rPr>
          <w:rFonts w:ascii="Cambria" w:hAnsi="Cambria"/>
          <w:sz w:val="20"/>
          <w:szCs w:val="20"/>
          <w:lang w:val="en-US"/>
        </w:rPr>
        <w:t xml:space="preserve">Consequently, from the moment that it began and throughout the more than four years that it lasted, that pretrial detention was arbitrary and, based on the above-cited standards, was a punitive rather than a precautionary measure, in violation both of the right to personal liberty and of the right to be presumed innocent. Therefore, the Commission concludes that the State of Ecuador is responsible for the violation of Articles 7(1), 7(3), 7(5), and 8(2) of the American Convention, taken in conjunction with the obligations established in Articles 1(1) and 2 of that instrument, to the detriment of Ramón Rosendo Carranza Alarcón. </w:t>
      </w:r>
    </w:p>
    <w:p w:rsidR="004A1D2D" w:rsidRPr="00D96AC7" w:rsidRDefault="004A1D2D" w:rsidP="007814B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b/>
          <w:sz w:val="20"/>
          <w:szCs w:val="20"/>
          <w:lang w:val="en-US"/>
        </w:rPr>
      </w:pPr>
    </w:p>
    <w:p w:rsidR="007E5D8B" w:rsidRPr="00D96AC7" w:rsidRDefault="007E5D8B" w:rsidP="00EE6D2F">
      <w:pPr>
        <w:pStyle w:val="Heading2"/>
        <w:rPr>
          <w:lang w:val="en-US"/>
        </w:rPr>
      </w:pPr>
      <w:bookmarkStart w:id="28" w:name="_Toc482278247"/>
      <w:r>
        <w:rPr>
          <w:bCs/>
          <w:lang w:val="en-US"/>
        </w:rPr>
        <w:t>The right to a trial within a reasonable time</w:t>
      </w:r>
      <w:bookmarkEnd w:id="28"/>
    </w:p>
    <w:p w:rsidR="007E5D8B" w:rsidRPr="00D96AC7" w:rsidRDefault="007E5D8B" w:rsidP="00B7712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9F1D0C" w:rsidRPr="00D96AC7" w:rsidRDefault="009F1D0C" w:rsidP="009F1D0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Article 8(1) of the American Convention provides:</w:t>
      </w:r>
    </w:p>
    <w:p w:rsidR="009F1D0C" w:rsidRPr="00A11409" w:rsidRDefault="009F1D0C" w:rsidP="009F1D0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jc w:val="both"/>
        <w:rPr>
          <w:rFonts w:ascii="Cambria" w:hAnsi="Cambria" w:cs="Tahoma"/>
          <w:color w:val="000000"/>
          <w:sz w:val="20"/>
          <w:szCs w:val="20"/>
        </w:rPr>
      </w:pPr>
    </w:p>
    <w:p w:rsidR="009F1D0C" w:rsidRPr="00A11409" w:rsidRDefault="009F1D0C" w:rsidP="00D1255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cs="Tahoma"/>
          <w:color w:val="000000"/>
          <w:sz w:val="20"/>
          <w:szCs w:val="20"/>
        </w:rPr>
      </w:pPr>
      <w:r>
        <w:rPr>
          <w:rFonts w:ascii="Cambria" w:hAnsi="Cambria" w:cs="Tahoma"/>
          <w:color w:val="000000"/>
          <w:sz w:val="20"/>
          <w:szCs w:val="20"/>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p w:rsidR="009F1D0C" w:rsidRPr="00D96AC7" w:rsidRDefault="009F1D0C" w:rsidP="00B7712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2F5E72" w:rsidRPr="00D96AC7" w:rsidRDefault="002F5E72" w:rsidP="002F5E7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One of the elements of a fair trial is that tribunals reach a decision on cases submitted for their consideration within a reasonable time. The fulfillment of that guarantee implies not only that the remedies were decided in accordance with the rules of due process, but also that they were effective and offered due judicial protection from possible violations of human rights. </w:t>
      </w:r>
    </w:p>
    <w:p w:rsidR="002F5E72" w:rsidRPr="00A11409" w:rsidRDefault="002F5E72" w:rsidP="002F5E72">
      <w:pPr>
        <w:pStyle w:val="ColorfulList-Accent12"/>
        <w:rPr>
          <w:sz w:val="20"/>
          <w:szCs w:val="20"/>
        </w:rPr>
      </w:pPr>
    </w:p>
    <w:p w:rsidR="002F5E72" w:rsidRPr="00D96AC7" w:rsidRDefault="002F5E72" w:rsidP="002F5E7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The Commission recalls that the elements that the organs of the inter-American system have considered in determining a reasonable time in the circumstances of each case are (</w:t>
      </w:r>
      <w:proofErr w:type="spellStart"/>
      <w:r>
        <w:rPr>
          <w:rFonts w:ascii="Cambria" w:hAnsi="Cambria"/>
          <w:sz w:val="20"/>
          <w:szCs w:val="20"/>
          <w:lang w:val="en-US"/>
        </w:rPr>
        <w:t>i</w:t>
      </w:r>
      <w:proofErr w:type="spellEnd"/>
      <w:r>
        <w:rPr>
          <w:rFonts w:ascii="Cambria" w:hAnsi="Cambria"/>
          <w:sz w:val="20"/>
          <w:szCs w:val="20"/>
          <w:lang w:val="en-US"/>
        </w:rPr>
        <w:t>) the complexity of the matter; (ii) the procedural activity of the interested party; (iii) the conduct of the judicial authorities, and (iv) the general effects on the legal situation of the person involved in the proceeding.</w:t>
      </w:r>
      <w:r>
        <w:rPr>
          <w:rStyle w:val="FootnoteReference"/>
          <w:rFonts w:ascii="Cambria" w:hAnsi="Cambria"/>
          <w:sz w:val="20"/>
          <w:szCs w:val="20"/>
          <w:lang w:val="en-US"/>
        </w:rPr>
        <w:footnoteReference w:id="53"/>
      </w:r>
      <w:r>
        <w:rPr>
          <w:rFonts w:ascii="Cambria" w:hAnsi="Cambria"/>
          <w:sz w:val="20"/>
          <w:szCs w:val="20"/>
          <w:lang w:val="en-US"/>
        </w:rPr>
        <w:t xml:space="preserve"> The Inter-American Court has found that a prolonged delay may constitute, in itself, a violation of the right to a fair trial,</w:t>
      </w:r>
      <w:r>
        <w:rPr>
          <w:rFonts w:ascii="Cambria" w:hAnsi="Cambria"/>
          <w:sz w:val="20"/>
          <w:szCs w:val="20"/>
          <w:vertAlign w:val="superscript"/>
          <w:lang w:val="en-US"/>
        </w:rPr>
        <w:footnoteReference w:id="54"/>
      </w:r>
      <w:r>
        <w:rPr>
          <w:rFonts w:ascii="Cambria" w:hAnsi="Cambria"/>
          <w:sz w:val="20"/>
          <w:szCs w:val="20"/>
          <w:lang w:val="en-US"/>
        </w:rPr>
        <w:t xml:space="preserve"> and that, therefore, it is for the State to explain and prove why it has required more time than would be reasonable to deliver final judgment in a specific case.</w:t>
      </w:r>
      <w:r>
        <w:rPr>
          <w:rFonts w:ascii="Cambria" w:hAnsi="Cambria"/>
          <w:sz w:val="20"/>
          <w:szCs w:val="20"/>
          <w:vertAlign w:val="superscript"/>
          <w:lang w:val="en-US"/>
        </w:rPr>
        <w:footnoteReference w:id="55"/>
      </w:r>
    </w:p>
    <w:p w:rsidR="002F5E72" w:rsidRPr="00D96AC7" w:rsidRDefault="002F5E72" w:rsidP="00B7712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2F5E72" w:rsidRPr="00D96AC7" w:rsidRDefault="00D90038" w:rsidP="00582C8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The proceedings in this case began with the order to institute proceedings issued on August 17, 1993, and concluded on December 15, 1998, with the final judgment that convicted Mr. Carranza, against which he did not lodge any appeal. Therefore, in all, the proceeding lasted five years and four months. </w:t>
      </w:r>
    </w:p>
    <w:p w:rsidR="00743E72" w:rsidRPr="00D96AC7" w:rsidRDefault="00743E72" w:rsidP="00743E72">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743E72" w:rsidRPr="00D96AC7" w:rsidRDefault="00743E72" w:rsidP="00582C8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As to the complexity of the matter, the Commission notes that the case concerned a solitary victim and two accused. Based on the information available, there is nothing to suggest that the investigation </w:t>
      </w:r>
      <w:r>
        <w:rPr>
          <w:rFonts w:ascii="Cambria" w:hAnsi="Cambria"/>
          <w:sz w:val="20"/>
          <w:szCs w:val="20"/>
          <w:lang w:val="en-US"/>
        </w:rPr>
        <w:lastRenderedPageBreak/>
        <w:t xml:space="preserve">was especially complex, such as to justify the length of time that the proceeding lasted. Moreover, the Ecuadorian State did not advance any specific arguments as to the complexity of the matter or how any such complexities related to the actual delays in the proceeding. </w:t>
      </w:r>
    </w:p>
    <w:p w:rsidR="00A9665B" w:rsidRPr="00D96AC7" w:rsidRDefault="00A9665B" w:rsidP="00A9665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A9665B" w:rsidRPr="00A11409" w:rsidRDefault="00A9665B" w:rsidP="00582C8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szCs w:val="20"/>
          <w:lang w:val="en-US"/>
        </w:rPr>
        <w:t xml:space="preserve">Regarding the conduct of the judicial authorities, the Commission finds that the progress of the proceeding was hampered by significant delays. For example, when February 23, 1995, by which time Mr. Carranza was already in custody, the judge ordered his transfer to present his testimony in response to questioning, which only occurred on August 25. In addition, for the space of one year from September 11, 1995, when Mr. Carranza presented a brief, to September 13, 1996, the preliminary proceeding was closed while the case was referred to the prosecutor for an opinion. The Commission also notes that an additional period of a year and nine months elapsed between the issuance of the opinion in March 1997 and the public hearing in December 1998. The State did not justify those delays. </w:t>
      </w:r>
    </w:p>
    <w:p w:rsidR="007E6324" w:rsidRPr="00A11409" w:rsidRDefault="007E6324" w:rsidP="007E632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FD4246" w:rsidRPr="00D96AC7" w:rsidRDefault="007E6324" w:rsidP="00582C8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Finally, concerning the activity of the person on trial, the Commission observes that while it is true that Mr. Carranza did not appear for trial during the first year of the proceeding, the delays mentioned in the preceding paragraph occurred when he was in custody. Therefore, his initial failure to appear has no bearing on those delays. In this case, the uncertainty of having a criminal trial pending against him aside, the delay had a decisive impact on his right to personal liberty.</w:t>
      </w:r>
    </w:p>
    <w:p w:rsidR="00FD4246" w:rsidRPr="00D96AC7" w:rsidRDefault="00FD4246" w:rsidP="00FD4246">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7E6324" w:rsidRPr="00D96AC7" w:rsidRDefault="00FD4246" w:rsidP="00FD4246">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Based on the foregoing, the Commission concludes that the Ecuadorian State violated the right of Ramón Rosendo Carranza Alarcón to a trial within a reasonable time recognized at Article 8(1) of the American Convention, taken in conjunction with Article 1(1) of the same instrument. </w:t>
      </w:r>
    </w:p>
    <w:p w:rsidR="007E5D8B" w:rsidRPr="00D96AC7" w:rsidRDefault="007E5D8B" w:rsidP="00B7712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E35039" w:rsidRPr="00A11409" w:rsidRDefault="00E35039" w:rsidP="00BB058F">
      <w:pPr>
        <w:pStyle w:val="Heading1"/>
      </w:pPr>
      <w:bookmarkStart w:id="29" w:name="_Toc482278248"/>
      <w:r>
        <w:rPr>
          <w:lang w:val="en-US"/>
        </w:rPr>
        <w:t>CONCLUSIONS</w:t>
      </w:r>
      <w:bookmarkEnd w:id="29"/>
    </w:p>
    <w:p w:rsidR="00E35039" w:rsidRPr="00A11409" w:rsidRDefault="00E35039" w:rsidP="00B7712A">
      <w:pPr>
        <w:jc w:val="both"/>
        <w:rPr>
          <w:rFonts w:ascii="Cambria" w:hAnsi="Cambria"/>
          <w:sz w:val="20"/>
          <w:szCs w:val="20"/>
        </w:rPr>
      </w:pPr>
    </w:p>
    <w:p w:rsidR="00E54DF6" w:rsidRPr="00D96AC7" w:rsidRDefault="003178E3" w:rsidP="00B7712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Based on the considerations of fact and law set out above, the Commission concludes that the State of Ecuador is responsible for violation of the rights to personal liberty, a fair trial, and judicial protection recognized in Articles 7(1), 7(3), 7(5), 8(1) and 8(2) of the American Convention, taken in conjunction with the obligations established in Articles 1(1) and 2 of that instrument, to the detriment of Ramón Rosendo Carranza Alarcón.</w:t>
      </w:r>
    </w:p>
    <w:p w:rsidR="0006236A" w:rsidRPr="00D96AC7" w:rsidRDefault="00754414" w:rsidP="00B7712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r>
        <w:rPr>
          <w:rFonts w:ascii="Cambria" w:hAnsi="Cambria"/>
          <w:sz w:val="20"/>
          <w:szCs w:val="20"/>
          <w:lang w:val="en-US"/>
        </w:rPr>
        <w:t xml:space="preserve"> </w:t>
      </w:r>
    </w:p>
    <w:p w:rsidR="00E35039" w:rsidRPr="00A11409" w:rsidRDefault="00D1255F" w:rsidP="00BB058F">
      <w:pPr>
        <w:pStyle w:val="Heading1"/>
      </w:pPr>
      <w:bookmarkStart w:id="30" w:name="_Toc482278249"/>
      <w:r>
        <w:rPr>
          <w:lang w:val="en-US"/>
        </w:rPr>
        <w:t>RECOMMENDATIONS</w:t>
      </w:r>
      <w:bookmarkEnd w:id="30"/>
    </w:p>
    <w:p w:rsidR="00E35039" w:rsidRPr="00A11409" w:rsidRDefault="00E35039" w:rsidP="00B7712A">
      <w:pPr>
        <w:jc w:val="both"/>
        <w:rPr>
          <w:rFonts w:ascii="Cambria" w:hAnsi="Cambria"/>
          <w:sz w:val="20"/>
          <w:szCs w:val="20"/>
        </w:rPr>
      </w:pPr>
    </w:p>
    <w:p w:rsidR="00E35039" w:rsidRPr="00D96AC7" w:rsidRDefault="00E35039" w:rsidP="00B7712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Based on the foregoing conclusions,</w:t>
      </w:r>
    </w:p>
    <w:p w:rsidR="00E35039" w:rsidRPr="00A11409" w:rsidRDefault="00E35039" w:rsidP="00B7712A">
      <w:pPr>
        <w:jc w:val="both"/>
        <w:rPr>
          <w:rFonts w:ascii="Cambria" w:hAnsi="Cambria"/>
          <w:sz w:val="20"/>
          <w:szCs w:val="20"/>
        </w:rPr>
      </w:pPr>
    </w:p>
    <w:p w:rsidR="00E35039" w:rsidRPr="00A11409" w:rsidRDefault="00E35039" w:rsidP="00B7712A">
      <w:pPr>
        <w:jc w:val="center"/>
        <w:rPr>
          <w:rFonts w:ascii="Cambria" w:hAnsi="Cambria"/>
          <w:b/>
          <w:sz w:val="20"/>
          <w:szCs w:val="20"/>
        </w:rPr>
      </w:pPr>
      <w:r>
        <w:rPr>
          <w:rFonts w:ascii="Cambria" w:hAnsi="Cambria"/>
          <w:b/>
          <w:bCs/>
          <w:sz w:val="20"/>
          <w:szCs w:val="20"/>
        </w:rPr>
        <w:t>THE INTER-AMERICAN COMMISSION ON HUMAN RIGHTS</w:t>
      </w:r>
    </w:p>
    <w:p w:rsidR="00E35039" w:rsidRPr="00A11409" w:rsidRDefault="00E35039" w:rsidP="00B7712A">
      <w:pPr>
        <w:jc w:val="center"/>
        <w:rPr>
          <w:rFonts w:ascii="Cambria" w:hAnsi="Cambria"/>
          <w:b/>
          <w:sz w:val="20"/>
          <w:szCs w:val="20"/>
        </w:rPr>
      </w:pPr>
      <w:r>
        <w:rPr>
          <w:rFonts w:ascii="Cambria" w:hAnsi="Cambria"/>
          <w:b/>
          <w:bCs/>
          <w:sz w:val="20"/>
          <w:szCs w:val="20"/>
        </w:rPr>
        <w:t>RECOMMENDS THAT THE STATE OF ECUADOR:</w:t>
      </w:r>
    </w:p>
    <w:p w:rsidR="00E35039" w:rsidRPr="00A11409" w:rsidRDefault="00E35039" w:rsidP="00B7712A">
      <w:pPr>
        <w:jc w:val="both"/>
        <w:rPr>
          <w:rFonts w:ascii="Cambria" w:hAnsi="Cambria"/>
          <w:b/>
          <w:sz w:val="20"/>
          <w:szCs w:val="20"/>
        </w:rPr>
      </w:pPr>
    </w:p>
    <w:p w:rsidR="001802A0" w:rsidRPr="00D96AC7" w:rsidRDefault="001802A0" w:rsidP="00B7712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rsidR="0073152E" w:rsidRDefault="00A11409" w:rsidP="0073152E">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Pr>
          <w:rFonts w:ascii="Cambria" w:hAnsi="Cambria"/>
          <w:sz w:val="20"/>
          <w:szCs w:val="20"/>
        </w:rPr>
        <w:t>Make comprehensive reparation to Mr. Ramón Rosendo Carranza Alarcón through measures that include material and nonpecuniary damages to the victim for the injuries caused by the violations established in this report</w:t>
      </w:r>
      <w:r w:rsidR="00EA30EB">
        <w:rPr>
          <w:rFonts w:ascii="Cambria" w:hAnsi="Cambria"/>
          <w:sz w:val="20"/>
          <w:szCs w:val="20"/>
        </w:rPr>
        <w:t>.</w:t>
      </w:r>
      <w:r>
        <w:rPr>
          <w:rFonts w:ascii="Cambria" w:hAnsi="Cambria"/>
          <w:sz w:val="20"/>
          <w:szCs w:val="20"/>
        </w:rPr>
        <w:t xml:space="preserve"> </w:t>
      </w:r>
    </w:p>
    <w:p w:rsidR="0069546F" w:rsidRDefault="0069546F" w:rsidP="0069546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1802A0" w:rsidRDefault="00A11409" w:rsidP="0073152E">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Pr>
          <w:rFonts w:ascii="Cambria" w:hAnsi="Cambria"/>
          <w:sz w:val="20"/>
          <w:szCs w:val="20"/>
        </w:rPr>
        <w:t xml:space="preserve">Adopt the necessary measures to ensure that both the applicable norms and the respective practices in relation to pretrial detention are compatible with the standards established in this report. </w:t>
      </w:r>
    </w:p>
    <w:p w:rsidR="008E63CE" w:rsidRDefault="008E63CE" w:rsidP="008E63C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8E63CE" w:rsidRPr="00B127A7" w:rsidRDefault="008E63CE" w:rsidP="008E63C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Pr>
          <w:rFonts w:ascii="Cambria" w:hAnsi="Cambria"/>
          <w:sz w:val="20"/>
          <w:szCs w:val="20"/>
        </w:rPr>
        <w:tab/>
      </w:r>
      <w:r>
        <w:rPr>
          <w:rFonts w:ascii="Cambria" w:hAnsi="Cambria"/>
          <w:sz w:val="20"/>
          <w:szCs w:val="20"/>
        </w:rPr>
        <w:t xml:space="preserve">Done and signed in </w:t>
      </w:r>
      <w:r w:rsidR="00435ECE">
        <w:rPr>
          <w:rFonts w:ascii="Cambria" w:hAnsi="Cambria"/>
          <w:sz w:val="20"/>
          <w:szCs w:val="20"/>
        </w:rPr>
        <w:t>Buenos Aires, Argentina</w:t>
      </w:r>
      <w:bookmarkStart w:id="31" w:name="_GoBack"/>
      <w:bookmarkEnd w:id="31"/>
      <w:r>
        <w:rPr>
          <w:rFonts w:ascii="Cambria" w:hAnsi="Cambria"/>
          <w:sz w:val="20"/>
          <w:szCs w:val="20"/>
        </w:rPr>
        <w:t>, on the 23</w:t>
      </w:r>
      <w:r w:rsidRPr="00E83061">
        <w:rPr>
          <w:rFonts w:ascii="Cambria" w:hAnsi="Cambria"/>
          <w:sz w:val="20"/>
          <w:szCs w:val="20"/>
          <w:vertAlign w:val="superscript"/>
        </w:rPr>
        <w:t>rd</w:t>
      </w:r>
      <w:r>
        <w:rPr>
          <w:rFonts w:ascii="Cambria" w:hAnsi="Cambria"/>
          <w:sz w:val="20"/>
          <w:szCs w:val="20"/>
        </w:rPr>
        <w:t xml:space="preserve"> day of the month of May, 2017. (Signed):      Francisco Jo</w:t>
      </w:r>
      <w:r w:rsidRPr="00B36BD8">
        <w:rPr>
          <w:rFonts w:ascii="Cambria" w:hAnsi="Cambria"/>
          <w:sz w:val="20"/>
          <w:szCs w:val="20"/>
        </w:rPr>
        <w:t>s</w:t>
      </w:r>
      <w:r>
        <w:rPr>
          <w:rFonts w:ascii="Cambria" w:hAnsi="Cambria"/>
          <w:sz w:val="20"/>
          <w:szCs w:val="20"/>
        </w:rPr>
        <w:t>é Eguiguren, President; Margarette May Macaulay, First Vice-President; Esmeralda E. Arosemena Bernal de Troiti</w:t>
      </w:r>
      <w:r w:rsidRPr="00B127A7">
        <w:rPr>
          <w:rFonts w:ascii="Cambria" w:hAnsi="Cambria"/>
          <w:sz w:val="20"/>
          <w:szCs w:val="20"/>
        </w:rPr>
        <w:t>ño</w:t>
      </w:r>
      <w:r>
        <w:rPr>
          <w:rFonts w:ascii="Cambria" w:hAnsi="Cambria"/>
          <w:sz w:val="20"/>
          <w:szCs w:val="20"/>
        </w:rPr>
        <w:t>, Second Vice-President;</w:t>
      </w:r>
      <w:r>
        <w:rPr>
          <w:rFonts w:ascii="Cambria" w:hAnsi="Cambria"/>
          <w:sz w:val="20"/>
          <w:szCs w:val="20"/>
        </w:rPr>
        <w:t xml:space="preserve"> Jos</w:t>
      </w:r>
      <w:r w:rsidRPr="008E63CE">
        <w:rPr>
          <w:rFonts w:ascii="Cambria" w:hAnsi="Cambria"/>
          <w:sz w:val="20"/>
          <w:szCs w:val="20"/>
        </w:rPr>
        <w:t>é de Jesus Orozco Henr</w:t>
      </w:r>
      <w:r>
        <w:rPr>
          <w:rFonts w:ascii="Cambria" w:hAnsi="Cambria"/>
          <w:sz w:val="20"/>
          <w:szCs w:val="20"/>
        </w:rPr>
        <w:t>íquez,</w:t>
      </w:r>
      <w:r>
        <w:rPr>
          <w:rFonts w:ascii="Cambria" w:hAnsi="Cambria"/>
          <w:sz w:val="20"/>
          <w:szCs w:val="20"/>
        </w:rPr>
        <w:t xml:space="preserve"> Paulo Vannuchi, James L. Cavallaro, and Luis Ernesto Vargas Silva,</w:t>
      </w:r>
      <w:r w:rsidRPr="00B127A7">
        <w:rPr>
          <w:rFonts w:ascii="Cambria" w:hAnsi="Cambria"/>
          <w:sz w:val="20"/>
          <w:szCs w:val="20"/>
        </w:rPr>
        <w:t xml:space="preserve"> </w:t>
      </w:r>
      <w:r>
        <w:rPr>
          <w:rFonts w:ascii="Cambria" w:hAnsi="Cambria"/>
          <w:sz w:val="20"/>
          <w:szCs w:val="20"/>
        </w:rPr>
        <w:t>C</w:t>
      </w:r>
      <w:r w:rsidRPr="00B127A7">
        <w:rPr>
          <w:rFonts w:ascii="Cambria" w:hAnsi="Cambria"/>
          <w:sz w:val="20"/>
          <w:szCs w:val="20"/>
        </w:rPr>
        <w:t xml:space="preserve">ommissioners. </w:t>
      </w:r>
    </w:p>
    <w:p w:rsidR="008E63CE" w:rsidRPr="0073152E" w:rsidRDefault="008E63CE" w:rsidP="008E63C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sectPr w:rsidR="008E63CE" w:rsidRPr="0073152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80D" w:rsidRDefault="00BF580D">
      <w:r>
        <w:separator/>
      </w:r>
    </w:p>
  </w:endnote>
  <w:endnote w:type="continuationSeparator" w:id="0">
    <w:p w:rsidR="00BF580D" w:rsidRDefault="00BF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w:panose1 w:val="020B060302020203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54A" w:rsidRPr="00934A2C" w:rsidRDefault="0025354A">
    <w:pPr>
      <w:pStyle w:val="Footer"/>
      <w:jc w:val="center"/>
      <w:rPr>
        <w:sz w:val="16"/>
        <w:szCs w:val="22"/>
      </w:rPr>
    </w:pPr>
    <w:r>
      <w:rPr>
        <w:sz w:val="16"/>
        <w:szCs w:val="22"/>
      </w:rPr>
      <w:fldChar w:fldCharType="begin"/>
    </w:r>
    <w:r>
      <w:rPr>
        <w:sz w:val="16"/>
        <w:szCs w:val="22"/>
      </w:rPr>
      <w:instrText xml:space="preserve"> PAGE   \* MERGEFORMAT </w:instrText>
    </w:r>
    <w:r>
      <w:rPr>
        <w:sz w:val="16"/>
        <w:szCs w:val="22"/>
      </w:rPr>
      <w:fldChar w:fldCharType="separate"/>
    </w:r>
    <w:r w:rsidR="00435ECE">
      <w:rPr>
        <w:noProof/>
        <w:sz w:val="16"/>
        <w:szCs w:val="22"/>
      </w:rPr>
      <w:t>12</w:t>
    </w:r>
    <w:r>
      <w:rPr>
        <w:noProof/>
        <w:sz w:val="16"/>
        <w:szCs w:val="22"/>
      </w:rPr>
      <w:fldChar w:fldCharType="end"/>
    </w:r>
  </w:p>
  <w:p w:rsidR="0025354A" w:rsidRDefault="002535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54A" w:rsidRPr="00934A2C" w:rsidRDefault="0025354A">
    <w:pPr>
      <w:pStyle w:val="Footer"/>
      <w:jc w:val="center"/>
      <w:rPr>
        <w:sz w:val="16"/>
        <w:szCs w:val="22"/>
      </w:rPr>
    </w:pPr>
  </w:p>
  <w:p w:rsidR="0025354A" w:rsidRDefault="002535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80D" w:rsidRPr="007372D2" w:rsidRDefault="00BF580D">
      <w:pPr>
        <w:rPr>
          <w:rFonts w:ascii="Cambria" w:hAnsi="Cambria"/>
          <w:sz w:val="16"/>
          <w:szCs w:val="16"/>
        </w:rPr>
      </w:pPr>
      <w:r>
        <w:rPr>
          <w:rFonts w:ascii="Cambria" w:hAnsi="Cambria"/>
          <w:sz w:val="16"/>
          <w:szCs w:val="16"/>
        </w:rPr>
        <w:separator/>
      </w:r>
    </w:p>
  </w:footnote>
  <w:footnote w:type="continuationSeparator" w:id="0">
    <w:p w:rsidR="00BF580D" w:rsidRPr="007372D2" w:rsidRDefault="00BF580D" w:rsidP="000F35ED">
      <w:pPr>
        <w:rPr>
          <w:rFonts w:ascii="Cambria" w:hAnsi="Cambria"/>
          <w:sz w:val="16"/>
          <w:szCs w:val="16"/>
        </w:rPr>
      </w:pPr>
      <w:r>
        <w:rPr>
          <w:rFonts w:ascii="Cambria" w:hAnsi="Cambria"/>
          <w:sz w:val="16"/>
          <w:szCs w:val="16"/>
        </w:rPr>
        <w:separator/>
      </w:r>
    </w:p>
    <w:p w:rsidR="00BF580D" w:rsidRPr="007372D2" w:rsidRDefault="00BF580D" w:rsidP="000F35ED">
      <w:pPr>
        <w:pStyle w:val="Footer"/>
        <w:rPr>
          <w:sz w:val="16"/>
          <w:szCs w:val="16"/>
        </w:rPr>
      </w:pPr>
      <w:r>
        <w:rPr>
          <w:sz w:val="16"/>
          <w:szCs w:val="16"/>
        </w:rPr>
        <w:t xml:space="preserve">[… </w:t>
      </w:r>
      <w:proofErr w:type="spellStart"/>
      <w:r>
        <w:rPr>
          <w:sz w:val="16"/>
          <w:szCs w:val="16"/>
        </w:rPr>
        <w:t>continuación</w:t>
      </w:r>
      <w:proofErr w:type="spellEnd"/>
      <w:r>
        <w:rPr>
          <w:sz w:val="16"/>
          <w:szCs w:val="16"/>
        </w:rPr>
        <w:t>]</w:t>
      </w:r>
    </w:p>
  </w:footnote>
  <w:footnote w:type="continuationNotice" w:id="1">
    <w:p w:rsidR="00BF580D" w:rsidRPr="007372D2" w:rsidRDefault="00BF580D" w:rsidP="000F35ED">
      <w:pPr>
        <w:jc w:val="right"/>
        <w:rPr>
          <w:rFonts w:ascii="Cambria" w:hAnsi="Cambria"/>
          <w:sz w:val="16"/>
          <w:szCs w:val="16"/>
        </w:rPr>
      </w:pPr>
      <w:r>
        <w:rPr>
          <w:rFonts w:ascii="Cambria" w:hAnsi="Cambria"/>
          <w:sz w:val="16"/>
          <w:szCs w:val="16"/>
        </w:rPr>
        <w:t>[</w:t>
      </w:r>
      <w:proofErr w:type="spellStart"/>
      <w:r>
        <w:rPr>
          <w:rFonts w:ascii="Cambria" w:hAnsi="Cambria"/>
          <w:sz w:val="16"/>
          <w:szCs w:val="16"/>
        </w:rPr>
        <w:t>continúa</w:t>
      </w:r>
      <w:proofErr w:type="spellEnd"/>
      <w:r>
        <w:rPr>
          <w:rFonts w:ascii="Cambria" w:hAnsi="Cambria"/>
          <w:sz w:val="16"/>
          <w:szCs w:val="16"/>
        </w:rPr>
        <w:t>…]</w:t>
      </w:r>
    </w:p>
  </w:footnote>
  <w:footnote w:id="2">
    <w:p w:rsidR="0025354A" w:rsidRPr="00B3504E" w:rsidRDefault="0025354A" w:rsidP="00B3504E">
      <w:pPr>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00215DD5" w:rsidRPr="00B3504E">
        <w:rPr>
          <w:rFonts w:asciiTheme="majorHAnsi" w:hAnsiTheme="majorHAnsi"/>
          <w:sz w:val="16"/>
          <w:szCs w:val="16"/>
        </w:rPr>
        <w:t xml:space="preserve"> </w:t>
      </w:r>
      <w:r w:rsidRPr="00B3504E">
        <w:rPr>
          <w:rFonts w:asciiTheme="majorHAnsi" w:hAnsiTheme="majorHAnsi"/>
          <w:sz w:val="16"/>
          <w:szCs w:val="16"/>
        </w:rPr>
        <w:t xml:space="preserve">IACHR, </w:t>
      </w:r>
      <w:hyperlink r:id="rId1" w:history="1">
        <w:r w:rsidRPr="00B3504E">
          <w:rPr>
            <w:rStyle w:val="Hyperlink"/>
            <w:rFonts w:asciiTheme="majorHAnsi" w:hAnsiTheme="majorHAnsi"/>
            <w:sz w:val="16"/>
            <w:szCs w:val="16"/>
          </w:rPr>
          <w:t>Report on Admissibility No. 154/11</w:t>
        </w:r>
      </w:hyperlink>
      <w:r w:rsidRPr="00B3504E">
        <w:rPr>
          <w:rFonts w:asciiTheme="majorHAnsi" w:hAnsiTheme="majorHAnsi"/>
          <w:sz w:val="16"/>
          <w:szCs w:val="16"/>
        </w:rPr>
        <w:t xml:space="preserve">, Case 12.197, Ramón Rosendo Carranza Alarcón, Ecuador, November 2, 2011. </w:t>
      </w:r>
    </w:p>
  </w:footnote>
  <w:footnote w:id="3">
    <w:p w:rsidR="0025354A" w:rsidRPr="00B3504E" w:rsidRDefault="0025354A"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005F0A28" w:rsidRPr="00B3504E">
        <w:rPr>
          <w:rFonts w:asciiTheme="majorHAnsi" w:hAnsiTheme="majorHAnsi"/>
          <w:sz w:val="16"/>
          <w:szCs w:val="16"/>
        </w:rPr>
        <w:t xml:space="preserve"> </w:t>
      </w:r>
      <w:r w:rsidRPr="00B3504E">
        <w:rPr>
          <w:rFonts w:asciiTheme="majorHAnsi" w:hAnsiTheme="majorHAnsi"/>
          <w:sz w:val="16"/>
          <w:szCs w:val="16"/>
        </w:rPr>
        <w:t xml:space="preserve">Complaint filed with the National Police Station in </w:t>
      </w:r>
      <w:proofErr w:type="spellStart"/>
      <w:r w:rsidRPr="00B3504E">
        <w:rPr>
          <w:rFonts w:asciiTheme="majorHAnsi" w:hAnsiTheme="majorHAnsi"/>
          <w:sz w:val="16"/>
          <w:szCs w:val="16"/>
        </w:rPr>
        <w:t>Yaguachi</w:t>
      </w:r>
      <w:proofErr w:type="spellEnd"/>
      <w:r w:rsidRPr="00B3504E">
        <w:rPr>
          <w:rFonts w:asciiTheme="majorHAnsi" w:hAnsiTheme="majorHAnsi"/>
          <w:sz w:val="16"/>
          <w:szCs w:val="16"/>
        </w:rPr>
        <w:t xml:space="preserve"> Canton by Mr. Segundo </w:t>
      </w:r>
      <w:proofErr w:type="spellStart"/>
      <w:r w:rsidRPr="00B3504E">
        <w:rPr>
          <w:rFonts w:asciiTheme="majorHAnsi" w:hAnsiTheme="majorHAnsi"/>
          <w:sz w:val="16"/>
          <w:szCs w:val="16"/>
        </w:rPr>
        <w:t>Mariño</w:t>
      </w:r>
      <w:proofErr w:type="spellEnd"/>
      <w:r w:rsidRPr="00B3504E">
        <w:rPr>
          <w:rFonts w:asciiTheme="majorHAnsi" w:hAnsiTheme="majorHAnsi"/>
          <w:sz w:val="16"/>
          <w:szCs w:val="16"/>
        </w:rPr>
        <w:t xml:space="preserve"> </w:t>
      </w:r>
      <w:proofErr w:type="spellStart"/>
      <w:r w:rsidRPr="00B3504E">
        <w:rPr>
          <w:rFonts w:asciiTheme="majorHAnsi" w:hAnsiTheme="majorHAnsi"/>
          <w:sz w:val="16"/>
          <w:szCs w:val="16"/>
        </w:rPr>
        <w:t>Gam</w:t>
      </w:r>
      <w:r w:rsidR="00644C08" w:rsidRPr="00B3504E">
        <w:rPr>
          <w:rFonts w:asciiTheme="majorHAnsi" w:hAnsiTheme="majorHAnsi"/>
          <w:sz w:val="16"/>
          <w:szCs w:val="16"/>
        </w:rPr>
        <w:t>boa</w:t>
      </w:r>
      <w:proofErr w:type="spellEnd"/>
      <w:r w:rsidR="00644C08" w:rsidRPr="00B3504E">
        <w:rPr>
          <w:rFonts w:asciiTheme="majorHAnsi" w:hAnsiTheme="majorHAnsi"/>
          <w:sz w:val="16"/>
          <w:szCs w:val="16"/>
        </w:rPr>
        <w:t xml:space="preserve">, brother of Samuel </w:t>
      </w:r>
      <w:proofErr w:type="spellStart"/>
      <w:r w:rsidR="00644C08" w:rsidRPr="00B3504E">
        <w:rPr>
          <w:rFonts w:asciiTheme="majorHAnsi" w:hAnsiTheme="majorHAnsi"/>
          <w:sz w:val="16"/>
          <w:szCs w:val="16"/>
        </w:rPr>
        <w:t>Mariño</w:t>
      </w:r>
      <w:proofErr w:type="spellEnd"/>
      <w:r w:rsidR="00644C08" w:rsidRPr="00B3504E">
        <w:rPr>
          <w:rFonts w:asciiTheme="majorHAnsi" w:hAnsiTheme="majorHAnsi"/>
          <w:sz w:val="16"/>
          <w:szCs w:val="16"/>
        </w:rPr>
        <w:t xml:space="preserve">, </w:t>
      </w:r>
      <w:r w:rsidRPr="00B3504E">
        <w:rPr>
          <w:rFonts w:asciiTheme="majorHAnsi" w:hAnsiTheme="majorHAnsi"/>
          <w:sz w:val="16"/>
          <w:szCs w:val="16"/>
        </w:rPr>
        <w:t xml:space="preserve">August 16, 1993. </w:t>
      </w:r>
      <w:proofErr w:type="gramStart"/>
      <w:r w:rsidRPr="00B3504E">
        <w:rPr>
          <w:rFonts w:asciiTheme="majorHAnsi" w:hAnsiTheme="majorHAnsi"/>
          <w:sz w:val="16"/>
          <w:szCs w:val="16"/>
        </w:rPr>
        <w:t>Enclosed with the State's communication of July 15, 2016.</w:t>
      </w:r>
      <w:proofErr w:type="gramEnd"/>
    </w:p>
  </w:footnote>
  <w:footnote w:id="4">
    <w:p w:rsidR="0025354A" w:rsidRPr="00B3504E" w:rsidRDefault="0025354A"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005F0A28" w:rsidRPr="00B3504E">
        <w:rPr>
          <w:rFonts w:asciiTheme="majorHAnsi" w:hAnsiTheme="majorHAnsi"/>
          <w:sz w:val="16"/>
          <w:szCs w:val="16"/>
        </w:rPr>
        <w:t xml:space="preserve"> </w:t>
      </w:r>
      <w:r w:rsidRPr="00B3504E">
        <w:rPr>
          <w:rFonts w:asciiTheme="majorHAnsi" w:hAnsiTheme="majorHAnsi"/>
          <w:sz w:val="16"/>
          <w:szCs w:val="16"/>
        </w:rPr>
        <w:t xml:space="preserve">Complaint filed with the National Police Station in </w:t>
      </w:r>
      <w:proofErr w:type="spellStart"/>
      <w:r w:rsidRPr="00B3504E">
        <w:rPr>
          <w:rFonts w:asciiTheme="majorHAnsi" w:hAnsiTheme="majorHAnsi"/>
          <w:sz w:val="16"/>
          <w:szCs w:val="16"/>
        </w:rPr>
        <w:t>Yaguachi</w:t>
      </w:r>
      <w:proofErr w:type="spellEnd"/>
      <w:r w:rsidRPr="00B3504E">
        <w:rPr>
          <w:rFonts w:asciiTheme="majorHAnsi" w:hAnsiTheme="majorHAnsi"/>
          <w:sz w:val="16"/>
          <w:szCs w:val="16"/>
        </w:rPr>
        <w:t xml:space="preserve"> Canton by Mr. Segundo </w:t>
      </w:r>
      <w:proofErr w:type="spellStart"/>
      <w:r w:rsidRPr="00B3504E">
        <w:rPr>
          <w:rFonts w:asciiTheme="majorHAnsi" w:hAnsiTheme="majorHAnsi"/>
          <w:sz w:val="16"/>
          <w:szCs w:val="16"/>
        </w:rPr>
        <w:t>Mariño</w:t>
      </w:r>
      <w:proofErr w:type="spellEnd"/>
      <w:r w:rsidRPr="00B3504E">
        <w:rPr>
          <w:rFonts w:asciiTheme="majorHAnsi" w:hAnsiTheme="majorHAnsi"/>
          <w:sz w:val="16"/>
          <w:szCs w:val="16"/>
        </w:rPr>
        <w:t xml:space="preserve"> </w:t>
      </w:r>
      <w:proofErr w:type="spellStart"/>
      <w:r w:rsidRPr="00B3504E">
        <w:rPr>
          <w:rFonts w:asciiTheme="majorHAnsi" w:hAnsiTheme="majorHAnsi"/>
          <w:sz w:val="16"/>
          <w:szCs w:val="16"/>
        </w:rPr>
        <w:t>Gam</w:t>
      </w:r>
      <w:r w:rsidR="00644C08" w:rsidRPr="00B3504E">
        <w:rPr>
          <w:rFonts w:asciiTheme="majorHAnsi" w:hAnsiTheme="majorHAnsi"/>
          <w:sz w:val="16"/>
          <w:szCs w:val="16"/>
        </w:rPr>
        <w:t>boa</w:t>
      </w:r>
      <w:proofErr w:type="spellEnd"/>
      <w:r w:rsidR="00644C08" w:rsidRPr="00B3504E">
        <w:rPr>
          <w:rFonts w:asciiTheme="majorHAnsi" w:hAnsiTheme="majorHAnsi"/>
          <w:sz w:val="16"/>
          <w:szCs w:val="16"/>
        </w:rPr>
        <w:t xml:space="preserve">, brother of Samuel </w:t>
      </w:r>
      <w:proofErr w:type="spellStart"/>
      <w:r w:rsidR="00644C08" w:rsidRPr="00B3504E">
        <w:rPr>
          <w:rFonts w:asciiTheme="majorHAnsi" w:hAnsiTheme="majorHAnsi"/>
          <w:sz w:val="16"/>
          <w:szCs w:val="16"/>
        </w:rPr>
        <w:t>Mariño</w:t>
      </w:r>
      <w:proofErr w:type="spellEnd"/>
      <w:r w:rsidR="00644C08" w:rsidRPr="00B3504E">
        <w:rPr>
          <w:rFonts w:asciiTheme="majorHAnsi" w:hAnsiTheme="majorHAnsi"/>
          <w:sz w:val="16"/>
          <w:szCs w:val="16"/>
        </w:rPr>
        <w:t xml:space="preserve">, </w:t>
      </w:r>
      <w:r w:rsidRPr="00B3504E">
        <w:rPr>
          <w:rFonts w:asciiTheme="majorHAnsi" w:hAnsiTheme="majorHAnsi"/>
          <w:sz w:val="16"/>
          <w:szCs w:val="16"/>
        </w:rPr>
        <w:t xml:space="preserve">August 16, 1993. </w:t>
      </w:r>
      <w:proofErr w:type="gramStart"/>
      <w:r w:rsidRPr="00B3504E">
        <w:rPr>
          <w:rFonts w:asciiTheme="majorHAnsi" w:hAnsiTheme="majorHAnsi"/>
          <w:sz w:val="16"/>
          <w:szCs w:val="16"/>
        </w:rPr>
        <w:t>Enclosed with the State's communication of July 15, 2016.</w:t>
      </w:r>
      <w:proofErr w:type="gramEnd"/>
    </w:p>
  </w:footnote>
  <w:footnote w:id="5">
    <w:p w:rsidR="0025354A" w:rsidRPr="00B3504E" w:rsidRDefault="0025354A"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005F0A28" w:rsidRPr="00B3504E">
        <w:rPr>
          <w:rFonts w:asciiTheme="majorHAnsi" w:hAnsiTheme="majorHAnsi"/>
          <w:sz w:val="16"/>
          <w:szCs w:val="16"/>
        </w:rPr>
        <w:t xml:space="preserve"> </w:t>
      </w:r>
      <w:r w:rsidRPr="00B3504E">
        <w:rPr>
          <w:rFonts w:asciiTheme="majorHAnsi" w:hAnsiTheme="majorHAnsi"/>
          <w:sz w:val="16"/>
          <w:szCs w:val="16"/>
        </w:rPr>
        <w:t xml:space="preserve">Complaint filed with the National Police Station in </w:t>
      </w:r>
      <w:proofErr w:type="spellStart"/>
      <w:r w:rsidRPr="00B3504E">
        <w:rPr>
          <w:rFonts w:asciiTheme="majorHAnsi" w:hAnsiTheme="majorHAnsi"/>
          <w:sz w:val="16"/>
          <w:szCs w:val="16"/>
        </w:rPr>
        <w:t>Yaguachi</w:t>
      </w:r>
      <w:proofErr w:type="spellEnd"/>
      <w:r w:rsidRPr="00B3504E">
        <w:rPr>
          <w:rFonts w:asciiTheme="majorHAnsi" w:hAnsiTheme="majorHAnsi"/>
          <w:sz w:val="16"/>
          <w:szCs w:val="16"/>
        </w:rPr>
        <w:t xml:space="preserve"> Canton by Mr. Segundo </w:t>
      </w:r>
      <w:proofErr w:type="spellStart"/>
      <w:r w:rsidRPr="00B3504E">
        <w:rPr>
          <w:rFonts w:asciiTheme="majorHAnsi" w:hAnsiTheme="majorHAnsi"/>
          <w:sz w:val="16"/>
          <w:szCs w:val="16"/>
        </w:rPr>
        <w:t>Mariño</w:t>
      </w:r>
      <w:proofErr w:type="spellEnd"/>
      <w:r w:rsidRPr="00B3504E">
        <w:rPr>
          <w:rFonts w:asciiTheme="majorHAnsi" w:hAnsiTheme="majorHAnsi"/>
          <w:sz w:val="16"/>
          <w:szCs w:val="16"/>
        </w:rPr>
        <w:t xml:space="preserve"> </w:t>
      </w:r>
      <w:proofErr w:type="spellStart"/>
      <w:r w:rsidRPr="00B3504E">
        <w:rPr>
          <w:rFonts w:asciiTheme="majorHAnsi" w:hAnsiTheme="majorHAnsi"/>
          <w:sz w:val="16"/>
          <w:szCs w:val="16"/>
        </w:rPr>
        <w:t>Gamboa</w:t>
      </w:r>
      <w:proofErr w:type="spellEnd"/>
      <w:r w:rsidRPr="00B3504E">
        <w:rPr>
          <w:rFonts w:asciiTheme="majorHAnsi" w:hAnsiTheme="majorHAnsi"/>
          <w:sz w:val="16"/>
          <w:szCs w:val="16"/>
        </w:rPr>
        <w:t xml:space="preserve">, brother of Samuel </w:t>
      </w:r>
      <w:proofErr w:type="spellStart"/>
      <w:r w:rsidRPr="00B3504E">
        <w:rPr>
          <w:rFonts w:asciiTheme="majorHAnsi" w:hAnsiTheme="majorHAnsi"/>
          <w:sz w:val="16"/>
          <w:szCs w:val="16"/>
        </w:rPr>
        <w:t>Mariño</w:t>
      </w:r>
      <w:proofErr w:type="spellEnd"/>
      <w:r w:rsidRPr="00B3504E">
        <w:rPr>
          <w:rFonts w:asciiTheme="majorHAnsi" w:hAnsiTheme="majorHAnsi"/>
          <w:sz w:val="16"/>
          <w:szCs w:val="16"/>
        </w:rPr>
        <w:t>,</w:t>
      </w:r>
      <w:r w:rsidR="00644C08" w:rsidRPr="00B3504E">
        <w:rPr>
          <w:rFonts w:asciiTheme="majorHAnsi" w:hAnsiTheme="majorHAnsi"/>
          <w:sz w:val="16"/>
          <w:szCs w:val="16"/>
        </w:rPr>
        <w:t xml:space="preserve"> </w:t>
      </w:r>
      <w:r w:rsidRPr="00B3504E">
        <w:rPr>
          <w:rFonts w:asciiTheme="majorHAnsi" w:hAnsiTheme="majorHAnsi"/>
          <w:sz w:val="16"/>
          <w:szCs w:val="16"/>
        </w:rPr>
        <w:t xml:space="preserve">August 16, 1993. </w:t>
      </w:r>
      <w:proofErr w:type="gramStart"/>
      <w:r w:rsidRPr="00B3504E">
        <w:rPr>
          <w:rFonts w:asciiTheme="majorHAnsi" w:hAnsiTheme="majorHAnsi"/>
          <w:sz w:val="16"/>
          <w:szCs w:val="16"/>
        </w:rPr>
        <w:t>Enclosed with the State's communication of July 15, 2016.</w:t>
      </w:r>
      <w:proofErr w:type="gramEnd"/>
    </w:p>
  </w:footnote>
  <w:footnote w:id="6">
    <w:p w:rsidR="0025354A" w:rsidRPr="00B3504E" w:rsidRDefault="0025354A"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005F0A28" w:rsidRPr="00B3504E">
        <w:rPr>
          <w:rFonts w:asciiTheme="majorHAnsi" w:hAnsiTheme="majorHAnsi"/>
          <w:sz w:val="16"/>
          <w:szCs w:val="16"/>
        </w:rPr>
        <w:t xml:space="preserve"> </w:t>
      </w:r>
      <w:r w:rsidRPr="00B3504E">
        <w:rPr>
          <w:rFonts w:asciiTheme="majorHAnsi" w:hAnsiTheme="majorHAnsi"/>
          <w:sz w:val="16"/>
          <w:szCs w:val="16"/>
        </w:rPr>
        <w:t xml:space="preserve">Complaint filed with the National Police Station in </w:t>
      </w:r>
      <w:proofErr w:type="spellStart"/>
      <w:r w:rsidRPr="00B3504E">
        <w:rPr>
          <w:rFonts w:asciiTheme="majorHAnsi" w:hAnsiTheme="majorHAnsi"/>
          <w:sz w:val="16"/>
          <w:szCs w:val="16"/>
        </w:rPr>
        <w:t>Yaguachi</w:t>
      </w:r>
      <w:proofErr w:type="spellEnd"/>
      <w:r w:rsidRPr="00B3504E">
        <w:rPr>
          <w:rFonts w:asciiTheme="majorHAnsi" w:hAnsiTheme="majorHAnsi"/>
          <w:sz w:val="16"/>
          <w:szCs w:val="16"/>
        </w:rPr>
        <w:t xml:space="preserve"> Canton by Mr. Segundo </w:t>
      </w:r>
      <w:proofErr w:type="spellStart"/>
      <w:r w:rsidRPr="00B3504E">
        <w:rPr>
          <w:rFonts w:asciiTheme="majorHAnsi" w:hAnsiTheme="majorHAnsi"/>
          <w:sz w:val="16"/>
          <w:szCs w:val="16"/>
        </w:rPr>
        <w:t>Mariño</w:t>
      </w:r>
      <w:proofErr w:type="spellEnd"/>
      <w:r w:rsidRPr="00B3504E">
        <w:rPr>
          <w:rFonts w:asciiTheme="majorHAnsi" w:hAnsiTheme="majorHAnsi"/>
          <w:sz w:val="16"/>
          <w:szCs w:val="16"/>
        </w:rPr>
        <w:t xml:space="preserve"> </w:t>
      </w:r>
      <w:proofErr w:type="spellStart"/>
      <w:r w:rsidRPr="00B3504E">
        <w:rPr>
          <w:rFonts w:asciiTheme="majorHAnsi" w:hAnsiTheme="majorHAnsi"/>
          <w:sz w:val="16"/>
          <w:szCs w:val="16"/>
        </w:rPr>
        <w:t>Gamboa</w:t>
      </w:r>
      <w:proofErr w:type="spellEnd"/>
      <w:r w:rsidRPr="00B3504E">
        <w:rPr>
          <w:rFonts w:asciiTheme="majorHAnsi" w:hAnsiTheme="majorHAnsi"/>
          <w:sz w:val="16"/>
          <w:szCs w:val="16"/>
        </w:rPr>
        <w:t xml:space="preserve">, brother of Samuel </w:t>
      </w:r>
      <w:proofErr w:type="spellStart"/>
      <w:r w:rsidRPr="00B3504E">
        <w:rPr>
          <w:rFonts w:asciiTheme="majorHAnsi" w:hAnsiTheme="majorHAnsi"/>
          <w:sz w:val="16"/>
          <w:szCs w:val="16"/>
        </w:rPr>
        <w:t>Mariño</w:t>
      </w:r>
      <w:proofErr w:type="spellEnd"/>
      <w:r w:rsidRPr="00B3504E">
        <w:rPr>
          <w:rFonts w:asciiTheme="majorHAnsi" w:hAnsiTheme="majorHAnsi"/>
          <w:sz w:val="16"/>
          <w:szCs w:val="16"/>
        </w:rPr>
        <w:t>,</w:t>
      </w:r>
      <w:r w:rsidR="00644C08" w:rsidRPr="00B3504E">
        <w:rPr>
          <w:rFonts w:asciiTheme="majorHAnsi" w:hAnsiTheme="majorHAnsi"/>
          <w:sz w:val="16"/>
          <w:szCs w:val="16"/>
        </w:rPr>
        <w:t xml:space="preserve"> </w:t>
      </w:r>
      <w:r w:rsidRPr="00B3504E">
        <w:rPr>
          <w:rFonts w:asciiTheme="majorHAnsi" w:hAnsiTheme="majorHAnsi"/>
          <w:sz w:val="16"/>
          <w:szCs w:val="16"/>
        </w:rPr>
        <w:t xml:space="preserve">August 16, 1993. </w:t>
      </w:r>
      <w:proofErr w:type="gramStart"/>
      <w:r w:rsidRPr="00B3504E">
        <w:rPr>
          <w:rFonts w:asciiTheme="majorHAnsi" w:hAnsiTheme="majorHAnsi"/>
          <w:sz w:val="16"/>
          <w:szCs w:val="16"/>
        </w:rPr>
        <w:t>Enclosed with the State's communication of July 15, 2016.</w:t>
      </w:r>
      <w:proofErr w:type="gramEnd"/>
    </w:p>
  </w:footnote>
  <w:footnote w:id="7">
    <w:p w:rsidR="0025354A" w:rsidRPr="00B3504E" w:rsidRDefault="0025354A"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005F0A28" w:rsidRPr="00B3504E">
        <w:rPr>
          <w:rFonts w:asciiTheme="majorHAnsi" w:hAnsiTheme="majorHAnsi"/>
          <w:sz w:val="16"/>
          <w:szCs w:val="16"/>
        </w:rPr>
        <w:t xml:space="preserve"> </w:t>
      </w:r>
      <w:proofErr w:type="gramStart"/>
      <w:r w:rsidRPr="00B3504E">
        <w:rPr>
          <w:rFonts w:asciiTheme="majorHAnsi" w:hAnsiTheme="majorHAnsi"/>
          <w:sz w:val="16"/>
          <w:szCs w:val="16"/>
        </w:rPr>
        <w:t xml:space="preserve">Order to open a preliminary inquiry and institute proceedings by </w:t>
      </w:r>
      <w:proofErr w:type="spellStart"/>
      <w:r w:rsidRPr="00B3504E">
        <w:rPr>
          <w:rFonts w:asciiTheme="majorHAnsi" w:hAnsiTheme="majorHAnsi"/>
          <w:sz w:val="16"/>
          <w:szCs w:val="16"/>
        </w:rPr>
        <w:t>Yaguachi</w:t>
      </w:r>
      <w:proofErr w:type="spellEnd"/>
      <w:r w:rsidRPr="00B3504E">
        <w:rPr>
          <w:rFonts w:asciiTheme="majorHAnsi" w:hAnsiTheme="majorHAnsi"/>
          <w:sz w:val="16"/>
          <w:szCs w:val="16"/>
        </w:rPr>
        <w:t xml:space="preserve"> Canton National Police Station,</w:t>
      </w:r>
      <w:r w:rsidR="00644C08" w:rsidRPr="00B3504E">
        <w:rPr>
          <w:rFonts w:asciiTheme="majorHAnsi" w:hAnsiTheme="majorHAnsi"/>
          <w:sz w:val="16"/>
          <w:szCs w:val="16"/>
        </w:rPr>
        <w:t xml:space="preserve"> </w:t>
      </w:r>
      <w:r w:rsidRPr="00B3504E">
        <w:rPr>
          <w:rFonts w:asciiTheme="majorHAnsi" w:hAnsiTheme="majorHAnsi"/>
          <w:sz w:val="16"/>
          <w:szCs w:val="16"/>
        </w:rPr>
        <w:t>August 17, 1993.</w:t>
      </w:r>
      <w:proofErr w:type="gramEnd"/>
      <w:r w:rsidRPr="00B3504E">
        <w:rPr>
          <w:rFonts w:asciiTheme="majorHAnsi" w:hAnsiTheme="majorHAnsi"/>
          <w:sz w:val="16"/>
          <w:szCs w:val="16"/>
        </w:rPr>
        <w:t xml:space="preserve"> </w:t>
      </w:r>
      <w:proofErr w:type="gramStart"/>
      <w:r w:rsidRPr="00B3504E">
        <w:rPr>
          <w:rFonts w:asciiTheme="majorHAnsi" w:hAnsiTheme="majorHAnsi"/>
          <w:sz w:val="16"/>
          <w:szCs w:val="16"/>
        </w:rPr>
        <w:t>Enclosed with the State's communication of July 15, 2016.</w:t>
      </w:r>
      <w:proofErr w:type="gramEnd"/>
      <w:r w:rsidRPr="00B3504E">
        <w:rPr>
          <w:rFonts w:asciiTheme="majorHAnsi" w:hAnsiTheme="majorHAnsi"/>
          <w:sz w:val="16"/>
          <w:szCs w:val="16"/>
        </w:rPr>
        <w:t xml:space="preserve"> </w:t>
      </w:r>
    </w:p>
  </w:footnote>
  <w:footnote w:id="8">
    <w:p w:rsidR="0025354A" w:rsidRPr="00B3504E" w:rsidRDefault="0025354A"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005F0A28" w:rsidRPr="00B3504E">
        <w:rPr>
          <w:rFonts w:asciiTheme="majorHAnsi" w:hAnsiTheme="majorHAnsi"/>
          <w:sz w:val="16"/>
          <w:szCs w:val="16"/>
        </w:rPr>
        <w:t xml:space="preserve"> </w:t>
      </w:r>
      <w:r w:rsidRPr="00B3504E">
        <w:rPr>
          <w:rFonts w:asciiTheme="majorHAnsi" w:hAnsiTheme="majorHAnsi"/>
          <w:sz w:val="16"/>
          <w:szCs w:val="16"/>
        </w:rPr>
        <w:t xml:space="preserve">Order of Pretrial Detention by </w:t>
      </w:r>
      <w:proofErr w:type="spellStart"/>
      <w:r w:rsidRPr="00B3504E">
        <w:rPr>
          <w:rFonts w:asciiTheme="majorHAnsi" w:hAnsiTheme="majorHAnsi"/>
          <w:sz w:val="16"/>
          <w:szCs w:val="16"/>
        </w:rPr>
        <w:t>Yaguachi</w:t>
      </w:r>
      <w:proofErr w:type="spellEnd"/>
      <w:r w:rsidRPr="00B3504E">
        <w:rPr>
          <w:rFonts w:asciiTheme="majorHAnsi" w:hAnsiTheme="majorHAnsi"/>
          <w:sz w:val="16"/>
          <w:szCs w:val="16"/>
        </w:rPr>
        <w:t xml:space="preserve"> Canton National Police Station, August 17, 1993. </w:t>
      </w:r>
      <w:proofErr w:type="gramStart"/>
      <w:r w:rsidRPr="00B3504E">
        <w:rPr>
          <w:rFonts w:asciiTheme="majorHAnsi" w:hAnsiTheme="majorHAnsi"/>
          <w:sz w:val="16"/>
          <w:szCs w:val="16"/>
        </w:rPr>
        <w:t>Enclosed with the State's communication of July 15, 2016.</w:t>
      </w:r>
      <w:proofErr w:type="gramEnd"/>
      <w:r w:rsidRPr="00B3504E">
        <w:rPr>
          <w:rFonts w:asciiTheme="majorHAnsi" w:hAnsiTheme="majorHAnsi"/>
          <w:sz w:val="16"/>
          <w:szCs w:val="16"/>
        </w:rPr>
        <w:t xml:space="preserve"> </w:t>
      </w:r>
    </w:p>
  </w:footnote>
  <w:footnote w:id="9">
    <w:p w:rsidR="0025354A" w:rsidRPr="00B3504E" w:rsidRDefault="0025354A"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005F0A28" w:rsidRPr="00B3504E">
        <w:rPr>
          <w:rFonts w:asciiTheme="majorHAnsi" w:hAnsiTheme="majorHAnsi"/>
          <w:sz w:val="16"/>
          <w:szCs w:val="16"/>
        </w:rPr>
        <w:t xml:space="preserve"> </w:t>
      </w:r>
      <w:r w:rsidRPr="00B3504E">
        <w:rPr>
          <w:rFonts w:asciiTheme="majorHAnsi" w:hAnsiTheme="majorHAnsi"/>
          <w:sz w:val="16"/>
          <w:szCs w:val="16"/>
        </w:rPr>
        <w:t xml:space="preserve">Order of </w:t>
      </w:r>
      <w:proofErr w:type="spellStart"/>
      <w:r w:rsidRPr="00B3504E">
        <w:rPr>
          <w:rFonts w:asciiTheme="majorHAnsi" w:hAnsiTheme="majorHAnsi"/>
          <w:sz w:val="16"/>
          <w:szCs w:val="16"/>
        </w:rPr>
        <w:t>Yaguachi</w:t>
      </w:r>
      <w:proofErr w:type="spellEnd"/>
      <w:r w:rsidRPr="00B3504E">
        <w:rPr>
          <w:rFonts w:asciiTheme="majorHAnsi" w:hAnsiTheme="majorHAnsi"/>
          <w:sz w:val="16"/>
          <w:szCs w:val="16"/>
        </w:rPr>
        <w:t xml:space="preserve"> Canton National Police Station, October 1, 1993. </w:t>
      </w:r>
      <w:proofErr w:type="gramStart"/>
      <w:r w:rsidRPr="00B3504E">
        <w:rPr>
          <w:rFonts w:asciiTheme="majorHAnsi" w:hAnsiTheme="majorHAnsi"/>
          <w:sz w:val="16"/>
          <w:szCs w:val="16"/>
        </w:rPr>
        <w:t>Enclosed with the State's communication of July 15, 2016.</w:t>
      </w:r>
      <w:proofErr w:type="gramEnd"/>
    </w:p>
  </w:footnote>
  <w:footnote w:id="10">
    <w:p w:rsidR="0025354A" w:rsidRPr="00B3504E" w:rsidRDefault="0025354A"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Order of the 11th Lower Criminal Court of Guayas, October 28, 1993, Enclosed with the State's communication of July 15, 2016.</w:t>
      </w:r>
    </w:p>
  </w:footnote>
  <w:footnote w:id="11">
    <w:p w:rsidR="0025354A" w:rsidRPr="00B3504E" w:rsidRDefault="0025354A"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Order of the 11th Lower Criminal Court of Guayas, October 28, 1993, Enclosed with the State's communication of July 15, 2016.</w:t>
      </w:r>
    </w:p>
  </w:footnote>
  <w:footnote w:id="12">
    <w:p w:rsidR="0025354A" w:rsidRPr="00B3504E" w:rsidRDefault="0025354A"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Original petition lodged with the IACHR on April 5, 1998.</w:t>
      </w:r>
    </w:p>
  </w:footnote>
  <w:footnote w:id="13">
    <w:p w:rsidR="0025354A" w:rsidRPr="00B3504E" w:rsidRDefault="0025354A"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Original petition lodged with the IACHR on April 5, 1998.</w:t>
      </w:r>
    </w:p>
  </w:footnote>
  <w:footnote w:id="14">
    <w:p w:rsidR="0025354A" w:rsidRPr="00B3504E" w:rsidRDefault="0025354A"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Original petition lodged with the IACHR on April 5, 1998.</w:t>
      </w:r>
    </w:p>
  </w:footnote>
  <w:footnote w:id="15">
    <w:p w:rsidR="0025354A" w:rsidRPr="00B3504E" w:rsidRDefault="0025354A"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Original petition lodged with the IACHR on April 5, 1998.</w:t>
      </w:r>
    </w:p>
  </w:footnote>
  <w:footnote w:id="16">
    <w:p w:rsidR="0025354A" w:rsidRPr="00B3504E" w:rsidRDefault="0025354A"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Brief submitted by Mr. Ramón Rosendo Carranza Alarcón to the 11th Lower Criminal Court of Guayas, December 6, 1994. </w:t>
      </w:r>
      <w:proofErr w:type="gramStart"/>
      <w:r w:rsidRPr="00B3504E">
        <w:rPr>
          <w:rFonts w:asciiTheme="majorHAnsi" w:hAnsiTheme="majorHAnsi"/>
          <w:sz w:val="16"/>
          <w:szCs w:val="16"/>
        </w:rPr>
        <w:t>Enclosed with the State's communication of July 15, 2016.</w:t>
      </w:r>
      <w:proofErr w:type="gramEnd"/>
    </w:p>
  </w:footnote>
  <w:footnote w:id="17">
    <w:p w:rsidR="0025354A" w:rsidRPr="00B3504E" w:rsidRDefault="0025354A"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005F0A28" w:rsidRPr="00B3504E">
        <w:rPr>
          <w:rFonts w:asciiTheme="majorHAnsi" w:hAnsiTheme="majorHAnsi"/>
          <w:sz w:val="16"/>
          <w:szCs w:val="16"/>
        </w:rPr>
        <w:t xml:space="preserve"> </w:t>
      </w:r>
      <w:proofErr w:type="gramStart"/>
      <w:r w:rsidRPr="00B3504E">
        <w:rPr>
          <w:rFonts w:asciiTheme="majorHAnsi" w:hAnsiTheme="majorHAnsi"/>
          <w:sz w:val="16"/>
          <w:szCs w:val="16"/>
        </w:rPr>
        <w:t>State’s communication of July 15, 2016.</w:t>
      </w:r>
      <w:proofErr w:type="gramEnd"/>
      <w:r w:rsidRPr="00B3504E">
        <w:rPr>
          <w:rFonts w:asciiTheme="majorHAnsi" w:hAnsiTheme="majorHAnsi"/>
          <w:sz w:val="16"/>
          <w:szCs w:val="16"/>
        </w:rPr>
        <w:t xml:space="preserve"> </w:t>
      </w:r>
    </w:p>
  </w:footnote>
  <w:footnote w:id="18">
    <w:p w:rsidR="0025354A" w:rsidRPr="00B3504E" w:rsidRDefault="0025354A"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w:t>
      </w:r>
      <w:proofErr w:type="gramStart"/>
      <w:r w:rsidRPr="00B3504E">
        <w:rPr>
          <w:rFonts w:asciiTheme="majorHAnsi" w:hAnsiTheme="majorHAnsi"/>
          <w:sz w:val="16"/>
          <w:szCs w:val="16"/>
        </w:rPr>
        <w:t>Testimony of Mr. Ramón Rosendo Carranza in response to questioning at the 11th Lower Criminal Court of Guayas, August 25, 1995.</w:t>
      </w:r>
      <w:proofErr w:type="gramEnd"/>
      <w:r w:rsidRPr="00B3504E">
        <w:rPr>
          <w:rFonts w:asciiTheme="majorHAnsi" w:hAnsiTheme="majorHAnsi"/>
          <w:sz w:val="16"/>
          <w:szCs w:val="16"/>
        </w:rPr>
        <w:t xml:space="preserve"> </w:t>
      </w:r>
      <w:proofErr w:type="gramStart"/>
      <w:r w:rsidRPr="00B3504E">
        <w:rPr>
          <w:rFonts w:asciiTheme="majorHAnsi" w:hAnsiTheme="majorHAnsi"/>
          <w:sz w:val="16"/>
          <w:szCs w:val="16"/>
        </w:rPr>
        <w:t>Enclosed with the State's communication of July 15, 2016.</w:t>
      </w:r>
      <w:proofErr w:type="gramEnd"/>
    </w:p>
  </w:footnote>
  <w:footnote w:id="19">
    <w:p w:rsidR="0025354A" w:rsidRPr="00B3504E" w:rsidRDefault="0025354A"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005F0A28" w:rsidRPr="00B3504E">
        <w:rPr>
          <w:rFonts w:asciiTheme="majorHAnsi" w:hAnsiTheme="majorHAnsi"/>
          <w:sz w:val="16"/>
          <w:szCs w:val="16"/>
        </w:rPr>
        <w:t xml:space="preserve"> </w:t>
      </w:r>
      <w:proofErr w:type="gramStart"/>
      <w:r w:rsidRPr="00B3504E">
        <w:rPr>
          <w:rFonts w:asciiTheme="majorHAnsi" w:hAnsiTheme="majorHAnsi"/>
          <w:sz w:val="16"/>
          <w:szCs w:val="16"/>
        </w:rPr>
        <w:t>Brief to the 11th Lower Criminal Court of Guayas, September 11, 2005.</w:t>
      </w:r>
      <w:proofErr w:type="gramEnd"/>
      <w:r w:rsidRPr="00B3504E">
        <w:rPr>
          <w:rFonts w:asciiTheme="majorHAnsi" w:hAnsiTheme="majorHAnsi"/>
          <w:sz w:val="16"/>
          <w:szCs w:val="16"/>
        </w:rPr>
        <w:t xml:space="preserve"> </w:t>
      </w:r>
      <w:proofErr w:type="gramStart"/>
      <w:r w:rsidRPr="00B3504E">
        <w:rPr>
          <w:rFonts w:asciiTheme="majorHAnsi" w:hAnsiTheme="majorHAnsi"/>
          <w:sz w:val="16"/>
          <w:szCs w:val="16"/>
        </w:rPr>
        <w:t>Enclosed with the initial petition.</w:t>
      </w:r>
      <w:proofErr w:type="gramEnd"/>
    </w:p>
  </w:footnote>
  <w:footnote w:id="20">
    <w:p w:rsidR="0025354A" w:rsidRPr="00B3504E" w:rsidRDefault="0025354A"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w:t>
      </w:r>
      <w:proofErr w:type="gramStart"/>
      <w:r w:rsidRPr="00B3504E">
        <w:rPr>
          <w:rFonts w:asciiTheme="majorHAnsi" w:hAnsiTheme="majorHAnsi"/>
          <w:sz w:val="16"/>
          <w:szCs w:val="16"/>
        </w:rPr>
        <w:t>Closure of the preliminary inquiry at the 11th Lower Criminal Court of Guayas.</w:t>
      </w:r>
      <w:proofErr w:type="gramEnd"/>
      <w:r w:rsidRPr="00B3504E">
        <w:rPr>
          <w:rFonts w:asciiTheme="majorHAnsi" w:hAnsiTheme="majorHAnsi"/>
          <w:sz w:val="16"/>
          <w:szCs w:val="16"/>
        </w:rPr>
        <w:t xml:space="preserve"> September 30, 1996, Enclosed with the State's communication of July 15, 2016.</w:t>
      </w:r>
    </w:p>
  </w:footnote>
  <w:footnote w:id="21">
    <w:p w:rsidR="0025354A" w:rsidRPr="00B3504E" w:rsidRDefault="0025354A"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Office of the Attorney General, Indictment, March 4, 1997. </w:t>
      </w:r>
      <w:proofErr w:type="gramStart"/>
      <w:r w:rsidRPr="00B3504E">
        <w:rPr>
          <w:rFonts w:asciiTheme="majorHAnsi" w:hAnsiTheme="majorHAnsi"/>
          <w:sz w:val="16"/>
          <w:szCs w:val="16"/>
        </w:rPr>
        <w:t>Enclosed with the State's communication of July 15, 2016.</w:t>
      </w:r>
      <w:proofErr w:type="gramEnd"/>
    </w:p>
  </w:footnote>
  <w:footnote w:id="22">
    <w:p w:rsidR="0025354A" w:rsidRPr="00B3504E" w:rsidRDefault="0025354A"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w:t>
      </w:r>
      <w:proofErr w:type="gramStart"/>
      <w:r w:rsidRPr="00B3504E">
        <w:rPr>
          <w:rFonts w:asciiTheme="majorHAnsi" w:hAnsiTheme="majorHAnsi"/>
          <w:sz w:val="16"/>
          <w:szCs w:val="16"/>
        </w:rPr>
        <w:t>Opening of trial proceedings by the 11th Lower Criminal Court of Guayas, April 14, 1997.</w:t>
      </w:r>
      <w:proofErr w:type="gramEnd"/>
      <w:r w:rsidRPr="00B3504E">
        <w:rPr>
          <w:rFonts w:asciiTheme="majorHAnsi" w:hAnsiTheme="majorHAnsi"/>
          <w:sz w:val="16"/>
          <w:szCs w:val="16"/>
        </w:rPr>
        <w:t xml:space="preserve"> </w:t>
      </w:r>
      <w:proofErr w:type="gramStart"/>
      <w:r w:rsidRPr="00B3504E">
        <w:rPr>
          <w:rFonts w:asciiTheme="majorHAnsi" w:hAnsiTheme="majorHAnsi"/>
          <w:sz w:val="16"/>
          <w:szCs w:val="16"/>
        </w:rPr>
        <w:t>Enclosed with the State's communication of July 15, 2016.</w:t>
      </w:r>
      <w:proofErr w:type="gramEnd"/>
    </w:p>
  </w:footnote>
  <w:footnote w:id="23">
    <w:p w:rsidR="0025354A" w:rsidRPr="00B3504E" w:rsidRDefault="0025354A"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w:t>
      </w:r>
      <w:proofErr w:type="gramStart"/>
      <w:r w:rsidRPr="00B3504E">
        <w:rPr>
          <w:rFonts w:asciiTheme="majorHAnsi" w:hAnsiTheme="majorHAnsi"/>
          <w:sz w:val="16"/>
          <w:szCs w:val="16"/>
        </w:rPr>
        <w:t>Opening of trial proceedings by the 11th Lower Criminal Court of Guayas, April 14, 1997.</w:t>
      </w:r>
      <w:proofErr w:type="gramEnd"/>
      <w:r w:rsidRPr="00B3504E">
        <w:rPr>
          <w:rFonts w:asciiTheme="majorHAnsi" w:hAnsiTheme="majorHAnsi"/>
          <w:sz w:val="16"/>
          <w:szCs w:val="16"/>
        </w:rPr>
        <w:t xml:space="preserve"> </w:t>
      </w:r>
      <w:proofErr w:type="gramStart"/>
      <w:r w:rsidRPr="00B3504E">
        <w:rPr>
          <w:rFonts w:asciiTheme="majorHAnsi" w:hAnsiTheme="majorHAnsi"/>
          <w:sz w:val="16"/>
          <w:szCs w:val="16"/>
        </w:rPr>
        <w:t>Enclosed with the State's communication of July 15, 2016.</w:t>
      </w:r>
      <w:proofErr w:type="gramEnd"/>
    </w:p>
  </w:footnote>
  <w:footnote w:id="24">
    <w:p w:rsidR="0025354A" w:rsidRPr="00B3504E" w:rsidRDefault="0025354A"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w:t>
      </w:r>
      <w:proofErr w:type="gramStart"/>
      <w:r w:rsidRPr="00B3504E">
        <w:rPr>
          <w:rFonts w:asciiTheme="majorHAnsi" w:hAnsiTheme="majorHAnsi"/>
          <w:sz w:val="16"/>
          <w:szCs w:val="16"/>
        </w:rPr>
        <w:t>Public Hearing by the Fourth Criminal Tribunal of Guayas, December 1, 1998.</w:t>
      </w:r>
      <w:proofErr w:type="gramEnd"/>
      <w:r w:rsidRPr="00B3504E">
        <w:rPr>
          <w:rFonts w:asciiTheme="majorHAnsi" w:hAnsiTheme="majorHAnsi"/>
          <w:sz w:val="16"/>
          <w:szCs w:val="16"/>
        </w:rPr>
        <w:t xml:space="preserve"> </w:t>
      </w:r>
      <w:proofErr w:type="gramStart"/>
      <w:r w:rsidRPr="00B3504E">
        <w:rPr>
          <w:rFonts w:asciiTheme="majorHAnsi" w:hAnsiTheme="majorHAnsi"/>
          <w:sz w:val="16"/>
          <w:szCs w:val="16"/>
        </w:rPr>
        <w:t>Enclosed with the State's communication of July 15, 2016.</w:t>
      </w:r>
      <w:proofErr w:type="gramEnd"/>
    </w:p>
  </w:footnote>
  <w:footnote w:id="25">
    <w:p w:rsidR="0025354A" w:rsidRPr="00B3504E" w:rsidRDefault="0025354A"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w:t>
      </w:r>
      <w:proofErr w:type="gramStart"/>
      <w:r w:rsidRPr="00B3504E">
        <w:rPr>
          <w:rFonts w:asciiTheme="majorHAnsi" w:hAnsiTheme="majorHAnsi"/>
          <w:sz w:val="16"/>
          <w:szCs w:val="16"/>
        </w:rPr>
        <w:t>Public Hearing by the Fourth Criminal Tribunal of Guayas, December 1, 1998.</w:t>
      </w:r>
      <w:proofErr w:type="gramEnd"/>
      <w:r w:rsidRPr="00B3504E">
        <w:rPr>
          <w:rFonts w:asciiTheme="majorHAnsi" w:hAnsiTheme="majorHAnsi"/>
          <w:sz w:val="16"/>
          <w:szCs w:val="16"/>
        </w:rPr>
        <w:t xml:space="preserve"> </w:t>
      </w:r>
      <w:proofErr w:type="gramStart"/>
      <w:r w:rsidRPr="00B3504E">
        <w:rPr>
          <w:rFonts w:asciiTheme="majorHAnsi" w:hAnsiTheme="majorHAnsi"/>
          <w:sz w:val="16"/>
          <w:szCs w:val="16"/>
        </w:rPr>
        <w:t>Enclosed with the State's communication of July 15, 2016.</w:t>
      </w:r>
      <w:proofErr w:type="gramEnd"/>
    </w:p>
  </w:footnote>
  <w:footnote w:id="26">
    <w:p w:rsidR="0025354A" w:rsidRPr="00B3504E" w:rsidRDefault="0025354A"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w:t>
      </w:r>
      <w:proofErr w:type="gramStart"/>
      <w:r w:rsidRPr="00B3504E">
        <w:rPr>
          <w:rFonts w:asciiTheme="majorHAnsi" w:hAnsiTheme="majorHAnsi"/>
          <w:sz w:val="16"/>
          <w:szCs w:val="16"/>
        </w:rPr>
        <w:t>Public Hearing by the Fourth Criminal Tribunal of Guayas, December 1, 1998.</w:t>
      </w:r>
      <w:proofErr w:type="gramEnd"/>
      <w:r w:rsidRPr="00B3504E">
        <w:rPr>
          <w:rFonts w:asciiTheme="majorHAnsi" w:hAnsiTheme="majorHAnsi"/>
          <w:sz w:val="16"/>
          <w:szCs w:val="16"/>
        </w:rPr>
        <w:t xml:space="preserve"> </w:t>
      </w:r>
      <w:proofErr w:type="gramStart"/>
      <w:r w:rsidRPr="00B3504E">
        <w:rPr>
          <w:rFonts w:asciiTheme="majorHAnsi" w:hAnsiTheme="majorHAnsi"/>
          <w:sz w:val="16"/>
          <w:szCs w:val="16"/>
        </w:rPr>
        <w:t>Enclosed with the State's communication of July 15, 2016.</w:t>
      </w:r>
      <w:proofErr w:type="gramEnd"/>
    </w:p>
  </w:footnote>
  <w:footnote w:id="27">
    <w:p w:rsidR="0025354A" w:rsidRPr="00B3504E" w:rsidRDefault="0025354A"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005F0A28" w:rsidRPr="00B3504E">
        <w:rPr>
          <w:rFonts w:asciiTheme="majorHAnsi" w:hAnsiTheme="majorHAnsi"/>
          <w:sz w:val="16"/>
          <w:szCs w:val="16"/>
        </w:rPr>
        <w:t xml:space="preserve"> </w:t>
      </w:r>
      <w:r w:rsidRPr="00B3504E">
        <w:rPr>
          <w:rFonts w:asciiTheme="majorHAnsi" w:hAnsiTheme="majorHAnsi"/>
          <w:sz w:val="16"/>
          <w:szCs w:val="16"/>
        </w:rPr>
        <w:t>Original petition lodged with the IACHR on April 5, 1998.</w:t>
      </w:r>
    </w:p>
  </w:footnote>
  <w:footnote w:id="28">
    <w:p w:rsidR="0025354A" w:rsidRPr="00B3504E" w:rsidRDefault="0025354A"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Judgment of the Fourth Criminal Tribunal of Guayas, December 15, 1998 Enclosed with the State's communication of July 15, 2016.</w:t>
      </w:r>
    </w:p>
  </w:footnote>
  <w:footnote w:id="29">
    <w:p w:rsidR="0025354A" w:rsidRPr="00B3504E" w:rsidRDefault="0025354A"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Judgment of the Fourth Criminal Tribunal of Guayas, December 15, 1998 Enclosed with the State's communication of July 15, 2016.</w:t>
      </w:r>
    </w:p>
  </w:footnote>
  <w:footnote w:id="30">
    <w:p w:rsidR="0025354A" w:rsidRPr="00B3504E" w:rsidRDefault="0025354A"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Judgment of the Fourth Criminal Tribunal of Guayas, December 15, 1998 Enclosed with the State's communication of July 15, 2016.</w:t>
      </w:r>
    </w:p>
  </w:footnote>
  <w:footnote w:id="31">
    <w:p w:rsidR="0025354A" w:rsidRPr="00B3504E" w:rsidRDefault="0025354A"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Judgment of the Fourth Criminal Tribunal of Guayas, December 15, 1998 Enclosed with the State's communication of July 15, 2016.</w:t>
      </w:r>
    </w:p>
  </w:footnote>
  <w:footnote w:id="32">
    <w:p w:rsidR="00613832" w:rsidRPr="00B3504E" w:rsidRDefault="00613832" w:rsidP="00B3504E">
      <w:pPr>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005F0A28" w:rsidRPr="00B3504E">
        <w:rPr>
          <w:rFonts w:asciiTheme="majorHAnsi" w:hAnsiTheme="majorHAnsi"/>
          <w:sz w:val="16"/>
          <w:szCs w:val="16"/>
        </w:rPr>
        <w:t xml:space="preserve"> </w:t>
      </w:r>
      <w:r w:rsidRPr="00B3504E">
        <w:rPr>
          <w:rFonts w:asciiTheme="majorHAnsi" w:hAnsiTheme="majorHAnsi"/>
          <w:sz w:val="16"/>
          <w:szCs w:val="16"/>
        </w:rPr>
        <w:t xml:space="preserve">IACHR, </w:t>
      </w:r>
      <w:hyperlink r:id="rId2" w:history="1">
        <w:r w:rsidRPr="00B3504E">
          <w:rPr>
            <w:rStyle w:val="Hyperlink"/>
            <w:rFonts w:asciiTheme="majorHAnsi" w:hAnsiTheme="majorHAnsi"/>
            <w:sz w:val="16"/>
            <w:szCs w:val="16"/>
          </w:rPr>
          <w:t>Report on Admissibility No.</w:t>
        </w:r>
        <w:r w:rsidRPr="00B3504E">
          <w:rPr>
            <w:rStyle w:val="Hyperlink"/>
            <w:rFonts w:asciiTheme="majorHAnsi" w:hAnsiTheme="majorHAnsi"/>
            <w:sz w:val="16"/>
            <w:szCs w:val="16"/>
            <w:u w:val="none"/>
          </w:rPr>
          <w:t xml:space="preserve"> </w:t>
        </w:r>
        <w:r w:rsidRPr="00B3504E">
          <w:rPr>
            <w:rStyle w:val="Hyperlink"/>
            <w:rFonts w:asciiTheme="majorHAnsi" w:hAnsiTheme="majorHAnsi"/>
            <w:sz w:val="16"/>
            <w:szCs w:val="16"/>
          </w:rPr>
          <w:t>154/11</w:t>
        </w:r>
      </w:hyperlink>
      <w:r w:rsidRPr="00B3504E">
        <w:rPr>
          <w:rFonts w:asciiTheme="majorHAnsi" w:hAnsiTheme="majorHAnsi"/>
          <w:sz w:val="16"/>
          <w:szCs w:val="16"/>
        </w:rPr>
        <w:t xml:space="preserve">, Case 12.197, Ramón Rosendo Carranza Alarcón, Ecuador, November 2, 2011, pars. 20-22. </w:t>
      </w:r>
    </w:p>
  </w:footnote>
  <w:footnote w:id="33">
    <w:p w:rsidR="00251EAE" w:rsidRPr="00B3504E" w:rsidRDefault="00251EAE" w:rsidP="00B3504E">
      <w:pPr>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005F0A28" w:rsidRPr="00B3504E">
        <w:rPr>
          <w:rFonts w:asciiTheme="majorHAnsi" w:hAnsiTheme="majorHAnsi"/>
          <w:sz w:val="16"/>
          <w:szCs w:val="16"/>
        </w:rPr>
        <w:t xml:space="preserve"> </w:t>
      </w:r>
      <w:r w:rsidRPr="00B3504E">
        <w:rPr>
          <w:rFonts w:asciiTheme="majorHAnsi" w:hAnsiTheme="majorHAnsi"/>
          <w:sz w:val="16"/>
          <w:szCs w:val="16"/>
        </w:rPr>
        <w:t xml:space="preserve">IACHR, </w:t>
      </w:r>
      <w:hyperlink r:id="rId3" w:history="1">
        <w:r w:rsidRPr="00B3504E">
          <w:rPr>
            <w:rStyle w:val="Hyperlink"/>
            <w:rFonts w:asciiTheme="majorHAnsi" w:hAnsiTheme="majorHAnsi"/>
            <w:sz w:val="16"/>
            <w:szCs w:val="16"/>
          </w:rPr>
          <w:t>Report on Admissibility No.</w:t>
        </w:r>
        <w:r w:rsidRPr="00B3504E">
          <w:rPr>
            <w:rStyle w:val="Hyperlink"/>
            <w:rFonts w:asciiTheme="majorHAnsi" w:hAnsiTheme="majorHAnsi"/>
            <w:sz w:val="16"/>
            <w:szCs w:val="16"/>
            <w:u w:val="none"/>
          </w:rPr>
          <w:t xml:space="preserve"> </w:t>
        </w:r>
        <w:r w:rsidRPr="00B3504E">
          <w:rPr>
            <w:rStyle w:val="Hyperlink"/>
            <w:rFonts w:asciiTheme="majorHAnsi" w:hAnsiTheme="majorHAnsi"/>
            <w:sz w:val="16"/>
            <w:szCs w:val="16"/>
          </w:rPr>
          <w:t>154/11</w:t>
        </w:r>
      </w:hyperlink>
      <w:r w:rsidRPr="00B3504E">
        <w:rPr>
          <w:rFonts w:asciiTheme="majorHAnsi" w:hAnsiTheme="majorHAnsi"/>
          <w:sz w:val="16"/>
          <w:szCs w:val="16"/>
        </w:rPr>
        <w:t xml:space="preserve">, Case 12.197, Ramón Rosendo Carranza Alarcón, Ecuador, November 2, 2011, par. 27. </w:t>
      </w:r>
    </w:p>
  </w:footnote>
  <w:footnote w:id="34">
    <w:p w:rsidR="00251EAE" w:rsidRPr="00B3504E" w:rsidRDefault="00251EAE" w:rsidP="00B3504E">
      <w:pPr>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005F0A28" w:rsidRPr="00B3504E">
        <w:rPr>
          <w:rFonts w:asciiTheme="majorHAnsi" w:hAnsiTheme="majorHAnsi"/>
          <w:sz w:val="16"/>
          <w:szCs w:val="16"/>
        </w:rPr>
        <w:t xml:space="preserve"> </w:t>
      </w:r>
      <w:r w:rsidRPr="00B3504E">
        <w:rPr>
          <w:rFonts w:asciiTheme="majorHAnsi" w:hAnsiTheme="majorHAnsi"/>
          <w:sz w:val="16"/>
          <w:szCs w:val="16"/>
        </w:rPr>
        <w:t xml:space="preserve">IACHR, </w:t>
      </w:r>
      <w:hyperlink r:id="rId4" w:history="1">
        <w:r w:rsidRPr="00B3504E">
          <w:rPr>
            <w:rStyle w:val="Hyperlink"/>
            <w:rFonts w:asciiTheme="majorHAnsi" w:hAnsiTheme="majorHAnsi"/>
            <w:sz w:val="16"/>
            <w:szCs w:val="16"/>
          </w:rPr>
          <w:t>Report on Admissibility No.</w:t>
        </w:r>
        <w:r w:rsidRPr="00B3504E">
          <w:rPr>
            <w:rStyle w:val="Hyperlink"/>
            <w:rFonts w:asciiTheme="majorHAnsi" w:hAnsiTheme="majorHAnsi"/>
            <w:sz w:val="16"/>
            <w:szCs w:val="16"/>
            <w:u w:val="none"/>
          </w:rPr>
          <w:t xml:space="preserve"> </w:t>
        </w:r>
        <w:r w:rsidRPr="00B3504E">
          <w:rPr>
            <w:rStyle w:val="Hyperlink"/>
            <w:rFonts w:asciiTheme="majorHAnsi" w:hAnsiTheme="majorHAnsi"/>
            <w:sz w:val="16"/>
            <w:szCs w:val="16"/>
          </w:rPr>
          <w:t>154/11</w:t>
        </w:r>
      </w:hyperlink>
      <w:r w:rsidRPr="00B3504E">
        <w:rPr>
          <w:rFonts w:asciiTheme="majorHAnsi" w:hAnsiTheme="majorHAnsi"/>
          <w:sz w:val="16"/>
          <w:szCs w:val="16"/>
        </w:rPr>
        <w:t>, Case 12.197, Ramón Rosendo Carranza Alarcón, Ecuador, November 2, 2011, par. 29.</w:t>
      </w:r>
    </w:p>
  </w:footnote>
  <w:footnote w:id="35">
    <w:p w:rsidR="00FE43A8" w:rsidRPr="00B3504E" w:rsidRDefault="00FE43A8" w:rsidP="00B3504E">
      <w:pPr>
        <w:spacing w:before="120"/>
        <w:ind w:firstLine="720"/>
        <w:jc w:val="both"/>
        <w:rPr>
          <w:rFonts w:asciiTheme="majorHAnsi" w:hAnsiTheme="majorHAnsi" w:cs="Times"/>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IACHR, </w:t>
      </w:r>
      <w:hyperlink r:id="rId5" w:history="1">
        <w:r w:rsidRPr="00B3504E">
          <w:rPr>
            <w:rStyle w:val="Hyperlink"/>
            <w:rFonts w:asciiTheme="majorHAnsi" w:hAnsiTheme="majorHAnsi"/>
            <w:i/>
            <w:iCs/>
            <w:sz w:val="16"/>
            <w:szCs w:val="16"/>
          </w:rPr>
          <w:t>Report on the Use of Pretrial Detention in the Americas</w:t>
        </w:r>
      </w:hyperlink>
      <w:r w:rsidRPr="00B3504E">
        <w:rPr>
          <w:rFonts w:asciiTheme="majorHAnsi" w:hAnsiTheme="majorHAnsi"/>
          <w:sz w:val="16"/>
          <w:szCs w:val="16"/>
        </w:rPr>
        <w:t>, OEA/</w:t>
      </w:r>
      <w:proofErr w:type="spellStart"/>
      <w:r w:rsidRPr="00B3504E">
        <w:rPr>
          <w:rFonts w:asciiTheme="majorHAnsi" w:hAnsiTheme="majorHAnsi"/>
          <w:sz w:val="16"/>
          <w:szCs w:val="16"/>
        </w:rPr>
        <w:t>Ser.L</w:t>
      </w:r>
      <w:proofErr w:type="spellEnd"/>
      <w:r w:rsidRPr="00B3504E">
        <w:rPr>
          <w:rFonts w:asciiTheme="majorHAnsi" w:hAnsiTheme="majorHAnsi"/>
          <w:sz w:val="16"/>
          <w:szCs w:val="16"/>
        </w:rPr>
        <w:t xml:space="preserve">/V/II. December 30, 2013, par. 20; I/A Court H.R., Case of </w:t>
      </w:r>
      <w:proofErr w:type="spellStart"/>
      <w:r w:rsidRPr="00B3504E">
        <w:rPr>
          <w:rFonts w:asciiTheme="majorHAnsi" w:hAnsiTheme="majorHAnsi"/>
          <w:sz w:val="16"/>
          <w:szCs w:val="16"/>
        </w:rPr>
        <w:t>López</w:t>
      </w:r>
      <w:proofErr w:type="spellEnd"/>
      <w:r w:rsidRPr="00B3504E">
        <w:rPr>
          <w:rFonts w:asciiTheme="majorHAnsi" w:hAnsiTheme="majorHAnsi"/>
          <w:sz w:val="16"/>
          <w:szCs w:val="16"/>
        </w:rPr>
        <w:t xml:space="preserve"> </w:t>
      </w:r>
      <w:proofErr w:type="spellStart"/>
      <w:r w:rsidRPr="00B3504E">
        <w:rPr>
          <w:rFonts w:asciiTheme="majorHAnsi" w:hAnsiTheme="majorHAnsi"/>
          <w:sz w:val="16"/>
          <w:szCs w:val="16"/>
        </w:rPr>
        <w:t>Álvarez</w:t>
      </w:r>
      <w:proofErr w:type="spellEnd"/>
      <w:r w:rsidRPr="00B3504E">
        <w:rPr>
          <w:rFonts w:asciiTheme="majorHAnsi" w:hAnsiTheme="majorHAnsi"/>
          <w:sz w:val="16"/>
          <w:szCs w:val="16"/>
        </w:rPr>
        <w:t xml:space="preserve"> v. </w:t>
      </w:r>
      <w:r w:rsidRPr="00B3504E">
        <w:rPr>
          <w:rFonts w:asciiTheme="majorHAnsi" w:hAnsiTheme="majorHAnsi"/>
          <w:i/>
          <w:iCs/>
          <w:sz w:val="16"/>
          <w:szCs w:val="16"/>
        </w:rPr>
        <w:t>Honduras,</w:t>
      </w:r>
      <w:r w:rsidRPr="00B3504E">
        <w:rPr>
          <w:rFonts w:asciiTheme="majorHAnsi" w:hAnsiTheme="majorHAnsi"/>
          <w:sz w:val="16"/>
          <w:szCs w:val="16"/>
        </w:rPr>
        <w:t xml:space="preserve"> Judgment of February 1, 2006, Series C No. 141, par. 67; </w:t>
      </w:r>
      <w:r w:rsidRPr="00B3504E">
        <w:rPr>
          <w:rFonts w:asciiTheme="majorHAnsi" w:hAnsiTheme="majorHAnsi"/>
          <w:i/>
          <w:iCs/>
          <w:sz w:val="16"/>
          <w:szCs w:val="16"/>
        </w:rPr>
        <w:t xml:space="preserve">Case of </w:t>
      </w:r>
      <w:proofErr w:type="spellStart"/>
      <w:r w:rsidRPr="00B3504E">
        <w:rPr>
          <w:rFonts w:asciiTheme="majorHAnsi" w:hAnsiTheme="majorHAnsi"/>
          <w:i/>
          <w:iCs/>
          <w:sz w:val="16"/>
          <w:szCs w:val="16"/>
        </w:rPr>
        <w:t>García</w:t>
      </w:r>
      <w:proofErr w:type="spellEnd"/>
      <w:r w:rsidRPr="00B3504E">
        <w:rPr>
          <w:rFonts w:asciiTheme="majorHAnsi" w:hAnsiTheme="majorHAnsi"/>
          <w:i/>
          <w:iCs/>
          <w:sz w:val="16"/>
          <w:szCs w:val="16"/>
        </w:rPr>
        <w:t xml:space="preserve"> </w:t>
      </w:r>
      <w:proofErr w:type="spellStart"/>
      <w:r w:rsidRPr="00B3504E">
        <w:rPr>
          <w:rFonts w:asciiTheme="majorHAnsi" w:hAnsiTheme="majorHAnsi"/>
          <w:i/>
          <w:iCs/>
          <w:sz w:val="16"/>
          <w:szCs w:val="16"/>
        </w:rPr>
        <w:t>Asto</w:t>
      </w:r>
      <w:proofErr w:type="spellEnd"/>
      <w:r w:rsidRPr="00B3504E">
        <w:rPr>
          <w:rFonts w:asciiTheme="majorHAnsi" w:hAnsiTheme="majorHAnsi"/>
          <w:i/>
          <w:iCs/>
          <w:sz w:val="16"/>
          <w:szCs w:val="16"/>
        </w:rPr>
        <w:t xml:space="preserve"> and </w:t>
      </w:r>
      <w:proofErr w:type="spellStart"/>
      <w:r w:rsidRPr="00B3504E">
        <w:rPr>
          <w:rFonts w:asciiTheme="majorHAnsi" w:hAnsiTheme="majorHAnsi"/>
          <w:i/>
          <w:iCs/>
          <w:sz w:val="16"/>
          <w:szCs w:val="16"/>
        </w:rPr>
        <w:t>Ramírez</w:t>
      </w:r>
      <w:proofErr w:type="spellEnd"/>
      <w:r w:rsidRPr="00B3504E">
        <w:rPr>
          <w:rFonts w:asciiTheme="majorHAnsi" w:hAnsiTheme="majorHAnsi"/>
          <w:i/>
          <w:iCs/>
          <w:sz w:val="16"/>
          <w:szCs w:val="16"/>
        </w:rPr>
        <w:t xml:space="preserve"> Rojas v.</w:t>
      </w:r>
      <w:r w:rsidRPr="00B3504E">
        <w:rPr>
          <w:rFonts w:asciiTheme="majorHAnsi" w:hAnsiTheme="majorHAnsi"/>
          <w:sz w:val="16"/>
          <w:szCs w:val="16"/>
        </w:rPr>
        <w:t xml:space="preserve"> </w:t>
      </w:r>
      <w:r w:rsidRPr="00B3504E">
        <w:rPr>
          <w:rFonts w:asciiTheme="majorHAnsi" w:hAnsiTheme="majorHAnsi"/>
          <w:i/>
          <w:iCs/>
          <w:sz w:val="16"/>
          <w:szCs w:val="16"/>
        </w:rPr>
        <w:t>Peru</w:t>
      </w:r>
      <w:r w:rsidRPr="00B3504E">
        <w:rPr>
          <w:rFonts w:asciiTheme="majorHAnsi" w:hAnsiTheme="majorHAnsi"/>
          <w:sz w:val="16"/>
          <w:szCs w:val="16"/>
        </w:rPr>
        <w:t xml:space="preserve">, Judgment of November 25, 2005, Series C No. 137, par. 106; </w:t>
      </w:r>
      <w:r w:rsidRPr="00B3504E">
        <w:rPr>
          <w:rFonts w:asciiTheme="majorHAnsi" w:hAnsiTheme="majorHAnsi"/>
          <w:i/>
          <w:iCs/>
          <w:sz w:val="16"/>
          <w:szCs w:val="16"/>
        </w:rPr>
        <w:t xml:space="preserve">Case of </w:t>
      </w:r>
      <w:proofErr w:type="spellStart"/>
      <w:r w:rsidRPr="00B3504E">
        <w:rPr>
          <w:rFonts w:asciiTheme="majorHAnsi" w:hAnsiTheme="majorHAnsi"/>
          <w:i/>
          <w:iCs/>
          <w:sz w:val="16"/>
          <w:szCs w:val="16"/>
        </w:rPr>
        <w:t>Palamara</w:t>
      </w:r>
      <w:proofErr w:type="spellEnd"/>
      <w:r w:rsidRPr="00B3504E">
        <w:rPr>
          <w:rFonts w:asciiTheme="majorHAnsi" w:hAnsiTheme="majorHAnsi"/>
          <w:i/>
          <w:iCs/>
          <w:sz w:val="16"/>
          <w:szCs w:val="16"/>
        </w:rPr>
        <w:t xml:space="preserve"> </w:t>
      </w:r>
      <w:proofErr w:type="spellStart"/>
      <w:r w:rsidRPr="00B3504E">
        <w:rPr>
          <w:rFonts w:asciiTheme="majorHAnsi" w:hAnsiTheme="majorHAnsi"/>
          <w:i/>
          <w:iCs/>
          <w:sz w:val="16"/>
          <w:szCs w:val="16"/>
        </w:rPr>
        <w:t>Iribarne</w:t>
      </w:r>
      <w:proofErr w:type="spellEnd"/>
      <w:r w:rsidRPr="00B3504E">
        <w:rPr>
          <w:rFonts w:asciiTheme="majorHAnsi" w:hAnsiTheme="majorHAnsi"/>
          <w:i/>
          <w:iCs/>
          <w:sz w:val="16"/>
          <w:szCs w:val="16"/>
        </w:rPr>
        <w:t xml:space="preserve"> v.</w:t>
      </w:r>
      <w:r w:rsidRPr="00B3504E">
        <w:rPr>
          <w:rFonts w:asciiTheme="majorHAnsi" w:hAnsiTheme="majorHAnsi"/>
          <w:sz w:val="16"/>
          <w:szCs w:val="16"/>
        </w:rPr>
        <w:t xml:space="preserve"> </w:t>
      </w:r>
      <w:r w:rsidRPr="00B3504E">
        <w:rPr>
          <w:rFonts w:asciiTheme="majorHAnsi" w:hAnsiTheme="majorHAnsi"/>
          <w:i/>
          <w:iCs/>
          <w:sz w:val="16"/>
          <w:szCs w:val="16"/>
        </w:rPr>
        <w:t>Chile,</w:t>
      </w:r>
      <w:r w:rsidRPr="00B3504E">
        <w:rPr>
          <w:rFonts w:asciiTheme="majorHAnsi" w:hAnsiTheme="majorHAnsi"/>
          <w:sz w:val="16"/>
          <w:szCs w:val="16"/>
        </w:rPr>
        <w:t xml:space="preserve"> Judgment of November 22, 2005, Series C No. 135, par.</w:t>
      </w:r>
      <w:r w:rsidRPr="00B3504E">
        <w:rPr>
          <w:rFonts w:asciiTheme="majorHAnsi" w:hAnsiTheme="majorHAnsi"/>
          <w:color w:val="000000"/>
          <w:sz w:val="16"/>
          <w:szCs w:val="16"/>
        </w:rPr>
        <w:t xml:space="preserve"> 197; and</w:t>
      </w:r>
      <w:r w:rsidRPr="00B3504E">
        <w:rPr>
          <w:rFonts w:asciiTheme="majorHAnsi" w:hAnsiTheme="majorHAnsi"/>
          <w:sz w:val="16"/>
          <w:szCs w:val="16"/>
        </w:rPr>
        <w:t xml:space="preserve"> </w:t>
      </w:r>
      <w:r w:rsidRPr="00B3504E">
        <w:rPr>
          <w:rFonts w:asciiTheme="majorHAnsi" w:hAnsiTheme="majorHAnsi"/>
          <w:i/>
          <w:iCs/>
          <w:sz w:val="16"/>
          <w:szCs w:val="16"/>
        </w:rPr>
        <w:t>Case of Acosta Calderón v.</w:t>
      </w:r>
      <w:r w:rsidRPr="00B3504E">
        <w:rPr>
          <w:rFonts w:asciiTheme="majorHAnsi" w:hAnsiTheme="majorHAnsi"/>
          <w:sz w:val="16"/>
          <w:szCs w:val="16"/>
        </w:rPr>
        <w:t xml:space="preserve"> </w:t>
      </w:r>
      <w:r w:rsidRPr="00B3504E">
        <w:rPr>
          <w:rFonts w:asciiTheme="majorHAnsi" w:hAnsiTheme="majorHAnsi"/>
          <w:i/>
          <w:iCs/>
          <w:sz w:val="16"/>
          <w:szCs w:val="16"/>
        </w:rPr>
        <w:t>Ecuador,</w:t>
      </w:r>
      <w:r w:rsidR="00644C08" w:rsidRPr="00B3504E">
        <w:rPr>
          <w:rFonts w:asciiTheme="majorHAnsi" w:hAnsiTheme="majorHAnsi"/>
          <w:sz w:val="16"/>
          <w:szCs w:val="16"/>
        </w:rPr>
        <w:t xml:space="preserve"> </w:t>
      </w:r>
      <w:r w:rsidRPr="00B3504E">
        <w:rPr>
          <w:rFonts w:asciiTheme="majorHAnsi" w:hAnsiTheme="majorHAnsi"/>
          <w:sz w:val="16"/>
          <w:szCs w:val="16"/>
        </w:rPr>
        <w:t>Judgment of June 24, 2005,</w:t>
      </w:r>
      <w:r w:rsidR="00644C08" w:rsidRPr="00B3504E">
        <w:rPr>
          <w:rFonts w:asciiTheme="majorHAnsi" w:hAnsiTheme="majorHAnsi"/>
          <w:sz w:val="16"/>
          <w:szCs w:val="16"/>
        </w:rPr>
        <w:t xml:space="preserve"> </w:t>
      </w:r>
      <w:r w:rsidRPr="00B3504E">
        <w:rPr>
          <w:rFonts w:asciiTheme="majorHAnsi" w:hAnsiTheme="majorHAnsi"/>
          <w:sz w:val="16"/>
          <w:szCs w:val="16"/>
        </w:rPr>
        <w:t>Series C No. 129, par.</w:t>
      </w:r>
      <w:r w:rsidRPr="00B3504E">
        <w:rPr>
          <w:rFonts w:asciiTheme="majorHAnsi" w:hAnsiTheme="majorHAnsi"/>
          <w:color w:val="000000"/>
          <w:sz w:val="16"/>
          <w:szCs w:val="16"/>
        </w:rPr>
        <w:t xml:space="preserve"> 74.</w:t>
      </w:r>
    </w:p>
  </w:footnote>
  <w:footnote w:id="36">
    <w:p w:rsidR="005F0A28" w:rsidRPr="00B3504E" w:rsidRDefault="005F0A28"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I/A Court H.R., </w:t>
      </w:r>
      <w:r w:rsidRPr="00B3504E">
        <w:rPr>
          <w:rFonts w:asciiTheme="majorHAnsi" w:hAnsiTheme="majorHAnsi"/>
          <w:i/>
          <w:sz w:val="16"/>
          <w:szCs w:val="16"/>
        </w:rPr>
        <w:t>Case of Suárez Rosero v. Ecuador</w:t>
      </w:r>
      <w:r w:rsidRPr="00B3504E">
        <w:rPr>
          <w:rFonts w:asciiTheme="majorHAnsi" w:hAnsiTheme="majorHAnsi"/>
          <w:sz w:val="16"/>
          <w:szCs w:val="16"/>
        </w:rPr>
        <w:t xml:space="preserve">. </w:t>
      </w:r>
      <w:proofErr w:type="gramStart"/>
      <w:r w:rsidRPr="00B3504E">
        <w:rPr>
          <w:rFonts w:asciiTheme="majorHAnsi" w:hAnsiTheme="majorHAnsi"/>
          <w:sz w:val="16"/>
          <w:szCs w:val="16"/>
        </w:rPr>
        <w:t>Merits.</w:t>
      </w:r>
      <w:proofErr w:type="gramEnd"/>
      <w:r w:rsidRPr="00B3504E">
        <w:rPr>
          <w:rFonts w:asciiTheme="majorHAnsi" w:hAnsiTheme="majorHAnsi"/>
          <w:sz w:val="16"/>
          <w:szCs w:val="16"/>
        </w:rPr>
        <w:t xml:space="preserve"> Judgment of November 12, 1997. Series C No. 35, </w:t>
      </w:r>
      <w:proofErr w:type="spellStart"/>
      <w:r w:rsidRPr="00B3504E">
        <w:rPr>
          <w:rFonts w:asciiTheme="majorHAnsi" w:hAnsiTheme="majorHAnsi"/>
          <w:sz w:val="16"/>
          <w:szCs w:val="16"/>
        </w:rPr>
        <w:t>párr</w:t>
      </w:r>
      <w:proofErr w:type="spellEnd"/>
      <w:r w:rsidRPr="00B3504E">
        <w:rPr>
          <w:rFonts w:asciiTheme="majorHAnsi" w:hAnsiTheme="majorHAnsi"/>
          <w:sz w:val="16"/>
          <w:szCs w:val="16"/>
        </w:rPr>
        <w:t>. 77.</w:t>
      </w:r>
    </w:p>
  </w:footnote>
  <w:footnote w:id="37">
    <w:p w:rsidR="00FE43A8" w:rsidRPr="00B3504E" w:rsidRDefault="00FE43A8" w:rsidP="00B3504E">
      <w:pPr>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IACHR, </w:t>
      </w:r>
      <w:hyperlink r:id="rId6" w:history="1">
        <w:r w:rsidRPr="00B3504E">
          <w:rPr>
            <w:rStyle w:val="Hyperlink"/>
            <w:rFonts w:asciiTheme="majorHAnsi" w:hAnsiTheme="majorHAnsi"/>
            <w:i/>
            <w:iCs/>
            <w:sz w:val="16"/>
            <w:szCs w:val="16"/>
          </w:rPr>
          <w:t>Report on the Use of Pretrial Detention in the Americas</w:t>
        </w:r>
      </w:hyperlink>
      <w:r w:rsidRPr="00B3504E">
        <w:rPr>
          <w:rFonts w:asciiTheme="majorHAnsi" w:hAnsiTheme="majorHAnsi"/>
          <w:sz w:val="16"/>
          <w:szCs w:val="16"/>
        </w:rPr>
        <w:t>, OEA/</w:t>
      </w:r>
      <w:proofErr w:type="spellStart"/>
      <w:r w:rsidRPr="00B3504E">
        <w:rPr>
          <w:rFonts w:asciiTheme="majorHAnsi" w:hAnsiTheme="majorHAnsi"/>
          <w:sz w:val="16"/>
          <w:szCs w:val="16"/>
        </w:rPr>
        <w:t>Ser.L</w:t>
      </w:r>
      <w:proofErr w:type="spellEnd"/>
      <w:r w:rsidRPr="00B3504E">
        <w:rPr>
          <w:rFonts w:asciiTheme="majorHAnsi" w:hAnsiTheme="majorHAnsi"/>
          <w:sz w:val="16"/>
          <w:szCs w:val="16"/>
        </w:rPr>
        <w:t xml:space="preserve">/V/II. December 30, 2013, par. 21; I/A Court H.R., </w:t>
      </w:r>
      <w:r w:rsidRPr="00B3504E">
        <w:rPr>
          <w:rFonts w:asciiTheme="majorHAnsi" w:hAnsiTheme="majorHAnsi"/>
          <w:i/>
          <w:iCs/>
          <w:sz w:val="16"/>
          <w:szCs w:val="16"/>
        </w:rPr>
        <w:t xml:space="preserve">Case of </w:t>
      </w:r>
      <w:proofErr w:type="spellStart"/>
      <w:r w:rsidRPr="00B3504E">
        <w:rPr>
          <w:rFonts w:asciiTheme="majorHAnsi" w:hAnsiTheme="majorHAnsi"/>
          <w:i/>
          <w:iCs/>
          <w:sz w:val="16"/>
          <w:szCs w:val="16"/>
        </w:rPr>
        <w:t>López</w:t>
      </w:r>
      <w:proofErr w:type="spellEnd"/>
      <w:r w:rsidRPr="00B3504E">
        <w:rPr>
          <w:rFonts w:asciiTheme="majorHAnsi" w:hAnsiTheme="majorHAnsi"/>
          <w:i/>
          <w:iCs/>
          <w:sz w:val="16"/>
          <w:szCs w:val="16"/>
        </w:rPr>
        <w:t xml:space="preserve"> </w:t>
      </w:r>
      <w:proofErr w:type="spellStart"/>
      <w:r w:rsidRPr="00B3504E">
        <w:rPr>
          <w:rFonts w:asciiTheme="majorHAnsi" w:hAnsiTheme="majorHAnsi"/>
          <w:i/>
          <w:iCs/>
          <w:sz w:val="16"/>
          <w:szCs w:val="16"/>
        </w:rPr>
        <w:t>Álvarez</w:t>
      </w:r>
      <w:proofErr w:type="spellEnd"/>
      <w:r w:rsidRPr="00B3504E">
        <w:rPr>
          <w:rFonts w:asciiTheme="majorHAnsi" w:hAnsiTheme="majorHAnsi"/>
          <w:i/>
          <w:iCs/>
          <w:sz w:val="16"/>
          <w:szCs w:val="16"/>
        </w:rPr>
        <w:t xml:space="preserve"> v.</w:t>
      </w:r>
      <w:r w:rsidRPr="00B3504E">
        <w:rPr>
          <w:rFonts w:asciiTheme="majorHAnsi" w:hAnsiTheme="majorHAnsi"/>
          <w:sz w:val="16"/>
          <w:szCs w:val="16"/>
        </w:rPr>
        <w:t xml:space="preserve"> </w:t>
      </w:r>
      <w:r w:rsidRPr="00B3504E">
        <w:rPr>
          <w:rFonts w:asciiTheme="majorHAnsi" w:hAnsiTheme="majorHAnsi"/>
          <w:i/>
          <w:iCs/>
          <w:sz w:val="16"/>
          <w:szCs w:val="16"/>
        </w:rPr>
        <w:t>Honduras,</w:t>
      </w:r>
      <w:r w:rsidRPr="00B3504E">
        <w:rPr>
          <w:rFonts w:asciiTheme="majorHAnsi" w:hAnsiTheme="majorHAnsi"/>
          <w:sz w:val="16"/>
          <w:szCs w:val="16"/>
        </w:rPr>
        <w:t xml:space="preserve"> Judgment of February 1, 2006, Series C No. 141, par. 67; I/A Court H.R., </w:t>
      </w:r>
      <w:r w:rsidRPr="00B3504E">
        <w:rPr>
          <w:rFonts w:asciiTheme="majorHAnsi" w:hAnsiTheme="majorHAnsi"/>
          <w:i/>
          <w:iCs/>
          <w:sz w:val="16"/>
          <w:szCs w:val="16"/>
        </w:rPr>
        <w:t xml:space="preserve">Case of </w:t>
      </w:r>
      <w:proofErr w:type="spellStart"/>
      <w:r w:rsidRPr="00B3504E">
        <w:rPr>
          <w:rFonts w:asciiTheme="majorHAnsi" w:hAnsiTheme="majorHAnsi"/>
          <w:i/>
          <w:iCs/>
          <w:sz w:val="16"/>
          <w:szCs w:val="16"/>
        </w:rPr>
        <w:t>Palamara</w:t>
      </w:r>
      <w:proofErr w:type="spellEnd"/>
      <w:r w:rsidRPr="00B3504E">
        <w:rPr>
          <w:rFonts w:asciiTheme="majorHAnsi" w:hAnsiTheme="majorHAnsi"/>
          <w:i/>
          <w:iCs/>
          <w:sz w:val="16"/>
          <w:szCs w:val="16"/>
        </w:rPr>
        <w:t xml:space="preserve"> </w:t>
      </w:r>
      <w:proofErr w:type="spellStart"/>
      <w:r w:rsidRPr="00B3504E">
        <w:rPr>
          <w:rFonts w:asciiTheme="majorHAnsi" w:hAnsiTheme="majorHAnsi"/>
          <w:i/>
          <w:iCs/>
          <w:sz w:val="16"/>
          <w:szCs w:val="16"/>
        </w:rPr>
        <w:t>Iribarne</w:t>
      </w:r>
      <w:proofErr w:type="spellEnd"/>
      <w:r w:rsidRPr="00B3504E">
        <w:rPr>
          <w:rFonts w:asciiTheme="majorHAnsi" w:hAnsiTheme="majorHAnsi"/>
          <w:i/>
          <w:iCs/>
          <w:sz w:val="16"/>
          <w:szCs w:val="16"/>
        </w:rPr>
        <w:t xml:space="preserve"> v.</w:t>
      </w:r>
      <w:r w:rsidRPr="00B3504E">
        <w:rPr>
          <w:rFonts w:asciiTheme="majorHAnsi" w:hAnsiTheme="majorHAnsi"/>
          <w:sz w:val="16"/>
          <w:szCs w:val="16"/>
        </w:rPr>
        <w:t xml:space="preserve"> </w:t>
      </w:r>
      <w:r w:rsidRPr="00B3504E">
        <w:rPr>
          <w:rFonts w:asciiTheme="majorHAnsi" w:hAnsiTheme="majorHAnsi"/>
          <w:i/>
          <w:iCs/>
          <w:sz w:val="16"/>
          <w:szCs w:val="16"/>
        </w:rPr>
        <w:t>Chile,</w:t>
      </w:r>
      <w:r w:rsidRPr="00B3504E">
        <w:rPr>
          <w:rFonts w:asciiTheme="majorHAnsi" w:hAnsiTheme="majorHAnsi"/>
          <w:sz w:val="16"/>
          <w:szCs w:val="16"/>
        </w:rPr>
        <w:t xml:space="preserve"> Judgment of November 22, 2005, Series C No. 135, par. 196; and I/A Court H.R., </w:t>
      </w:r>
      <w:r w:rsidRPr="00B3504E">
        <w:rPr>
          <w:rFonts w:asciiTheme="majorHAnsi" w:hAnsiTheme="majorHAnsi"/>
          <w:i/>
          <w:iCs/>
          <w:sz w:val="16"/>
          <w:szCs w:val="16"/>
        </w:rPr>
        <w:t>Case of Acosta Calderón v.</w:t>
      </w:r>
      <w:r w:rsidRPr="00B3504E">
        <w:rPr>
          <w:rFonts w:asciiTheme="majorHAnsi" w:hAnsiTheme="majorHAnsi"/>
          <w:sz w:val="16"/>
          <w:szCs w:val="16"/>
        </w:rPr>
        <w:t xml:space="preserve"> </w:t>
      </w:r>
      <w:r w:rsidRPr="00B3504E">
        <w:rPr>
          <w:rFonts w:asciiTheme="majorHAnsi" w:hAnsiTheme="majorHAnsi"/>
          <w:i/>
          <w:iCs/>
          <w:sz w:val="16"/>
          <w:szCs w:val="16"/>
        </w:rPr>
        <w:t>Ecuador,</w:t>
      </w:r>
      <w:r w:rsidRPr="00B3504E">
        <w:rPr>
          <w:rFonts w:asciiTheme="majorHAnsi" w:hAnsiTheme="majorHAnsi"/>
          <w:sz w:val="16"/>
          <w:szCs w:val="16"/>
        </w:rPr>
        <w:t xml:space="preserve"> Judgment of June 24, 2005, Series C No. 129, par. 74.</w:t>
      </w:r>
    </w:p>
  </w:footnote>
  <w:footnote w:id="38">
    <w:p w:rsidR="00FE43A8" w:rsidRPr="00B3504E" w:rsidRDefault="00FE43A8" w:rsidP="00B3504E">
      <w:pPr>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IACHR, </w:t>
      </w:r>
      <w:hyperlink r:id="rId7" w:history="1">
        <w:r w:rsidRPr="00B3504E">
          <w:rPr>
            <w:rStyle w:val="Hyperlink"/>
            <w:rFonts w:asciiTheme="majorHAnsi" w:hAnsiTheme="majorHAnsi"/>
            <w:i/>
            <w:iCs/>
            <w:sz w:val="16"/>
            <w:szCs w:val="16"/>
          </w:rPr>
          <w:t>Report on the Use of Pretrial Detention in the Americas</w:t>
        </w:r>
      </w:hyperlink>
      <w:r w:rsidRPr="00B3504E">
        <w:rPr>
          <w:rFonts w:asciiTheme="majorHAnsi" w:hAnsiTheme="majorHAnsi"/>
          <w:sz w:val="16"/>
          <w:szCs w:val="16"/>
        </w:rPr>
        <w:t>, OEA/</w:t>
      </w:r>
      <w:proofErr w:type="spellStart"/>
      <w:r w:rsidRPr="00B3504E">
        <w:rPr>
          <w:rFonts w:asciiTheme="majorHAnsi" w:hAnsiTheme="majorHAnsi"/>
          <w:sz w:val="16"/>
          <w:szCs w:val="16"/>
        </w:rPr>
        <w:t>Ser.L</w:t>
      </w:r>
      <w:proofErr w:type="spellEnd"/>
      <w:r w:rsidRPr="00B3504E">
        <w:rPr>
          <w:rFonts w:asciiTheme="majorHAnsi" w:hAnsiTheme="majorHAnsi"/>
          <w:sz w:val="16"/>
          <w:szCs w:val="16"/>
        </w:rPr>
        <w:t xml:space="preserve">/V/II. December 30, 2013, par. 21; I/A Court H.R., </w:t>
      </w:r>
      <w:r w:rsidRPr="00B3504E">
        <w:rPr>
          <w:rFonts w:asciiTheme="majorHAnsi" w:hAnsiTheme="majorHAnsi"/>
          <w:i/>
          <w:iCs/>
          <w:sz w:val="16"/>
          <w:szCs w:val="16"/>
        </w:rPr>
        <w:t xml:space="preserve">Case of </w:t>
      </w:r>
      <w:proofErr w:type="spellStart"/>
      <w:r w:rsidRPr="00B3504E">
        <w:rPr>
          <w:rFonts w:asciiTheme="majorHAnsi" w:hAnsiTheme="majorHAnsi"/>
          <w:i/>
          <w:iCs/>
          <w:sz w:val="16"/>
          <w:szCs w:val="16"/>
        </w:rPr>
        <w:t>López</w:t>
      </w:r>
      <w:proofErr w:type="spellEnd"/>
      <w:r w:rsidRPr="00B3504E">
        <w:rPr>
          <w:rFonts w:asciiTheme="majorHAnsi" w:hAnsiTheme="majorHAnsi"/>
          <w:i/>
          <w:iCs/>
          <w:sz w:val="16"/>
          <w:szCs w:val="16"/>
        </w:rPr>
        <w:t xml:space="preserve"> </w:t>
      </w:r>
      <w:proofErr w:type="spellStart"/>
      <w:r w:rsidRPr="00B3504E">
        <w:rPr>
          <w:rFonts w:asciiTheme="majorHAnsi" w:hAnsiTheme="majorHAnsi"/>
          <w:i/>
          <w:iCs/>
          <w:sz w:val="16"/>
          <w:szCs w:val="16"/>
        </w:rPr>
        <w:t>Álvarez</w:t>
      </w:r>
      <w:proofErr w:type="spellEnd"/>
      <w:r w:rsidRPr="00B3504E">
        <w:rPr>
          <w:rFonts w:asciiTheme="majorHAnsi" w:hAnsiTheme="majorHAnsi"/>
          <w:i/>
          <w:iCs/>
          <w:sz w:val="16"/>
          <w:szCs w:val="16"/>
        </w:rPr>
        <w:t xml:space="preserve"> v.</w:t>
      </w:r>
      <w:r w:rsidRPr="00B3504E">
        <w:rPr>
          <w:rFonts w:asciiTheme="majorHAnsi" w:hAnsiTheme="majorHAnsi"/>
          <w:sz w:val="16"/>
          <w:szCs w:val="16"/>
        </w:rPr>
        <w:t xml:space="preserve"> </w:t>
      </w:r>
      <w:r w:rsidRPr="00B3504E">
        <w:rPr>
          <w:rFonts w:asciiTheme="majorHAnsi" w:hAnsiTheme="majorHAnsi"/>
          <w:i/>
          <w:iCs/>
          <w:sz w:val="16"/>
          <w:szCs w:val="16"/>
        </w:rPr>
        <w:t>Honduras,</w:t>
      </w:r>
      <w:r w:rsidRPr="00B3504E">
        <w:rPr>
          <w:rFonts w:asciiTheme="majorHAnsi" w:hAnsiTheme="majorHAnsi"/>
          <w:sz w:val="16"/>
          <w:szCs w:val="16"/>
        </w:rPr>
        <w:t xml:space="preserve"> Judgment of February 1, 2006, Series C No. 141, par. 69; </w:t>
      </w:r>
      <w:r w:rsidRPr="00B3504E">
        <w:rPr>
          <w:rFonts w:asciiTheme="majorHAnsi" w:hAnsiTheme="majorHAnsi"/>
          <w:i/>
          <w:iCs/>
          <w:sz w:val="16"/>
          <w:szCs w:val="16"/>
        </w:rPr>
        <w:t xml:space="preserve">Case of </w:t>
      </w:r>
      <w:proofErr w:type="spellStart"/>
      <w:r w:rsidRPr="00B3504E">
        <w:rPr>
          <w:rFonts w:asciiTheme="majorHAnsi" w:hAnsiTheme="majorHAnsi"/>
          <w:i/>
          <w:iCs/>
          <w:sz w:val="16"/>
          <w:szCs w:val="16"/>
        </w:rPr>
        <w:t>García</w:t>
      </w:r>
      <w:proofErr w:type="spellEnd"/>
      <w:r w:rsidRPr="00B3504E">
        <w:rPr>
          <w:rFonts w:asciiTheme="majorHAnsi" w:hAnsiTheme="majorHAnsi"/>
          <w:i/>
          <w:iCs/>
          <w:sz w:val="16"/>
          <w:szCs w:val="16"/>
        </w:rPr>
        <w:t xml:space="preserve"> </w:t>
      </w:r>
      <w:proofErr w:type="spellStart"/>
      <w:r w:rsidRPr="00B3504E">
        <w:rPr>
          <w:rFonts w:asciiTheme="majorHAnsi" w:hAnsiTheme="majorHAnsi"/>
          <w:i/>
          <w:iCs/>
          <w:sz w:val="16"/>
          <w:szCs w:val="16"/>
        </w:rPr>
        <w:t>Asto</w:t>
      </w:r>
      <w:proofErr w:type="spellEnd"/>
      <w:r w:rsidRPr="00B3504E">
        <w:rPr>
          <w:rFonts w:asciiTheme="majorHAnsi" w:hAnsiTheme="majorHAnsi"/>
          <w:i/>
          <w:iCs/>
          <w:sz w:val="16"/>
          <w:szCs w:val="16"/>
        </w:rPr>
        <w:t xml:space="preserve"> and </w:t>
      </w:r>
      <w:proofErr w:type="spellStart"/>
      <w:r w:rsidRPr="00B3504E">
        <w:rPr>
          <w:rFonts w:asciiTheme="majorHAnsi" w:hAnsiTheme="majorHAnsi"/>
          <w:i/>
          <w:iCs/>
          <w:sz w:val="16"/>
          <w:szCs w:val="16"/>
        </w:rPr>
        <w:t>Ramírez</w:t>
      </w:r>
      <w:proofErr w:type="spellEnd"/>
      <w:r w:rsidRPr="00B3504E">
        <w:rPr>
          <w:rFonts w:asciiTheme="majorHAnsi" w:hAnsiTheme="majorHAnsi"/>
          <w:i/>
          <w:iCs/>
          <w:sz w:val="16"/>
          <w:szCs w:val="16"/>
        </w:rPr>
        <w:t xml:space="preserve"> Rojas v.</w:t>
      </w:r>
      <w:r w:rsidRPr="00B3504E">
        <w:rPr>
          <w:rFonts w:asciiTheme="majorHAnsi" w:hAnsiTheme="majorHAnsi"/>
          <w:sz w:val="16"/>
          <w:szCs w:val="16"/>
        </w:rPr>
        <w:t xml:space="preserve"> </w:t>
      </w:r>
      <w:r w:rsidRPr="00B3504E">
        <w:rPr>
          <w:rFonts w:asciiTheme="majorHAnsi" w:hAnsiTheme="majorHAnsi"/>
          <w:i/>
          <w:iCs/>
          <w:sz w:val="16"/>
          <w:szCs w:val="16"/>
        </w:rPr>
        <w:t>Peru,</w:t>
      </w:r>
      <w:r w:rsidRPr="00B3504E">
        <w:rPr>
          <w:rFonts w:asciiTheme="majorHAnsi" w:hAnsiTheme="majorHAnsi"/>
          <w:sz w:val="16"/>
          <w:szCs w:val="16"/>
        </w:rPr>
        <w:t xml:space="preserve"> Judgment of November 25, 2005, Series C No. 137, par. 106; </w:t>
      </w:r>
      <w:r w:rsidRPr="00B3504E">
        <w:rPr>
          <w:rFonts w:asciiTheme="majorHAnsi" w:hAnsiTheme="majorHAnsi"/>
          <w:i/>
          <w:iCs/>
          <w:sz w:val="16"/>
          <w:szCs w:val="16"/>
        </w:rPr>
        <w:t>Case of Acosta Calderón v.</w:t>
      </w:r>
      <w:r w:rsidRPr="00B3504E">
        <w:rPr>
          <w:rFonts w:asciiTheme="majorHAnsi" w:hAnsiTheme="majorHAnsi"/>
          <w:sz w:val="16"/>
          <w:szCs w:val="16"/>
        </w:rPr>
        <w:t xml:space="preserve"> </w:t>
      </w:r>
      <w:r w:rsidRPr="00B3504E">
        <w:rPr>
          <w:rFonts w:asciiTheme="majorHAnsi" w:hAnsiTheme="majorHAnsi"/>
          <w:i/>
          <w:iCs/>
          <w:sz w:val="16"/>
          <w:szCs w:val="16"/>
        </w:rPr>
        <w:t>Ecuador,</w:t>
      </w:r>
      <w:r w:rsidRPr="00B3504E">
        <w:rPr>
          <w:rFonts w:asciiTheme="majorHAnsi" w:hAnsiTheme="majorHAnsi"/>
          <w:sz w:val="16"/>
          <w:szCs w:val="16"/>
        </w:rPr>
        <w:t xml:space="preserve"> Judgment of June 24, 2005, Series C No. 129, par.</w:t>
      </w:r>
      <w:r w:rsidRPr="00B3504E">
        <w:rPr>
          <w:rFonts w:asciiTheme="majorHAnsi" w:hAnsiTheme="majorHAnsi"/>
          <w:color w:val="000000"/>
          <w:sz w:val="16"/>
          <w:szCs w:val="16"/>
        </w:rPr>
        <w:t xml:space="preserve"> 75; </w:t>
      </w:r>
      <w:r w:rsidRPr="00B3504E">
        <w:rPr>
          <w:rFonts w:asciiTheme="majorHAnsi" w:hAnsiTheme="majorHAnsi"/>
          <w:sz w:val="16"/>
          <w:szCs w:val="16"/>
        </w:rPr>
        <w:t xml:space="preserve">and </w:t>
      </w:r>
      <w:r w:rsidRPr="00B3504E">
        <w:rPr>
          <w:rFonts w:asciiTheme="majorHAnsi" w:hAnsiTheme="majorHAnsi"/>
          <w:i/>
          <w:iCs/>
          <w:sz w:val="16"/>
          <w:szCs w:val="16"/>
        </w:rPr>
        <w:t xml:space="preserve">Case of </w:t>
      </w:r>
      <w:proofErr w:type="spellStart"/>
      <w:r w:rsidRPr="00B3504E">
        <w:rPr>
          <w:rFonts w:asciiTheme="majorHAnsi" w:hAnsiTheme="majorHAnsi"/>
          <w:i/>
          <w:iCs/>
          <w:sz w:val="16"/>
          <w:szCs w:val="16"/>
        </w:rPr>
        <w:t>Tibi</w:t>
      </w:r>
      <w:proofErr w:type="spellEnd"/>
      <w:r w:rsidRPr="00B3504E">
        <w:rPr>
          <w:rFonts w:asciiTheme="majorHAnsi" w:hAnsiTheme="majorHAnsi"/>
          <w:i/>
          <w:iCs/>
          <w:sz w:val="16"/>
          <w:szCs w:val="16"/>
        </w:rPr>
        <w:t xml:space="preserve"> v.</w:t>
      </w:r>
      <w:r w:rsidRPr="00B3504E">
        <w:rPr>
          <w:rFonts w:asciiTheme="majorHAnsi" w:hAnsiTheme="majorHAnsi"/>
          <w:sz w:val="16"/>
          <w:szCs w:val="16"/>
        </w:rPr>
        <w:t xml:space="preserve"> </w:t>
      </w:r>
      <w:r w:rsidRPr="00B3504E">
        <w:rPr>
          <w:rFonts w:asciiTheme="majorHAnsi" w:hAnsiTheme="majorHAnsi"/>
          <w:i/>
          <w:iCs/>
          <w:sz w:val="16"/>
          <w:szCs w:val="16"/>
        </w:rPr>
        <w:t>Ecuador,</w:t>
      </w:r>
      <w:r w:rsidRPr="00B3504E">
        <w:rPr>
          <w:rFonts w:asciiTheme="majorHAnsi" w:hAnsiTheme="majorHAnsi"/>
          <w:sz w:val="16"/>
          <w:szCs w:val="16"/>
        </w:rPr>
        <w:t xml:space="preserve"> Judgment of September 7, 2004,</w:t>
      </w:r>
      <w:r w:rsidR="00644C08" w:rsidRPr="00B3504E">
        <w:rPr>
          <w:rFonts w:asciiTheme="majorHAnsi" w:hAnsiTheme="majorHAnsi"/>
          <w:sz w:val="16"/>
          <w:szCs w:val="16"/>
        </w:rPr>
        <w:t xml:space="preserve"> </w:t>
      </w:r>
      <w:r w:rsidRPr="00B3504E">
        <w:rPr>
          <w:rFonts w:asciiTheme="majorHAnsi" w:hAnsiTheme="majorHAnsi"/>
          <w:sz w:val="16"/>
          <w:szCs w:val="16"/>
        </w:rPr>
        <w:t>Series C No. 114, par.</w:t>
      </w:r>
      <w:r w:rsidRPr="00B3504E">
        <w:rPr>
          <w:rFonts w:asciiTheme="majorHAnsi" w:hAnsiTheme="majorHAnsi"/>
          <w:color w:val="000000"/>
          <w:sz w:val="16"/>
          <w:szCs w:val="16"/>
        </w:rPr>
        <w:t xml:space="preserve"> 180.</w:t>
      </w:r>
    </w:p>
  </w:footnote>
  <w:footnote w:id="39">
    <w:p w:rsidR="00FE43A8" w:rsidRPr="00B3504E" w:rsidRDefault="00FE43A8"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I/A Court H.R., </w:t>
      </w:r>
      <w:r w:rsidRPr="00B3504E">
        <w:rPr>
          <w:rFonts w:asciiTheme="majorHAnsi" w:hAnsiTheme="majorHAnsi"/>
          <w:i/>
          <w:iCs/>
          <w:sz w:val="16"/>
          <w:szCs w:val="16"/>
        </w:rPr>
        <w:t>Case of Barreto Leiva v.</w:t>
      </w:r>
      <w:r w:rsidRPr="00B3504E">
        <w:rPr>
          <w:rFonts w:asciiTheme="majorHAnsi" w:hAnsiTheme="majorHAnsi"/>
          <w:sz w:val="16"/>
          <w:szCs w:val="16"/>
        </w:rPr>
        <w:t xml:space="preserve"> </w:t>
      </w:r>
      <w:r w:rsidRPr="00B3504E">
        <w:rPr>
          <w:rFonts w:asciiTheme="majorHAnsi" w:hAnsiTheme="majorHAnsi"/>
          <w:i/>
          <w:iCs/>
          <w:sz w:val="16"/>
          <w:szCs w:val="16"/>
        </w:rPr>
        <w:t>Venezuela,</w:t>
      </w:r>
      <w:r w:rsidRPr="00B3504E">
        <w:rPr>
          <w:rFonts w:asciiTheme="majorHAnsi" w:hAnsiTheme="majorHAnsi"/>
          <w:sz w:val="16"/>
          <w:szCs w:val="16"/>
        </w:rPr>
        <w:t xml:space="preserve"> Merits, Reparations and Costs, Judgment of November 17, 2009, Series C No. 206. </w:t>
      </w:r>
      <w:proofErr w:type="gramStart"/>
      <w:r w:rsidRPr="00B3504E">
        <w:rPr>
          <w:rFonts w:asciiTheme="majorHAnsi" w:hAnsiTheme="majorHAnsi"/>
          <w:sz w:val="16"/>
          <w:szCs w:val="16"/>
        </w:rPr>
        <w:t>par. 111</w:t>
      </w:r>
      <w:r w:rsidR="00D728F1">
        <w:rPr>
          <w:rFonts w:asciiTheme="majorHAnsi" w:hAnsiTheme="majorHAnsi"/>
          <w:sz w:val="16"/>
          <w:szCs w:val="16"/>
        </w:rPr>
        <w:t>.</w:t>
      </w:r>
      <w:proofErr w:type="gramEnd"/>
    </w:p>
  </w:footnote>
  <w:footnote w:id="40">
    <w:p w:rsidR="00FE43A8" w:rsidRPr="00B3504E" w:rsidRDefault="00FE43A8"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I/A Court H.R., </w:t>
      </w:r>
      <w:r w:rsidRPr="00B3504E">
        <w:rPr>
          <w:rFonts w:asciiTheme="majorHAnsi" w:hAnsiTheme="majorHAnsi"/>
          <w:i/>
          <w:iCs/>
          <w:sz w:val="16"/>
          <w:szCs w:val="16"/>
        </w:rPr>
        <w:t>Case of Barreto Leiva v.</w:t>
      </w:r>
      <w:r w:rsidRPr="00B3504E">
        <w:rPr>
          <w:rFonts w:asciiTheme="majorHAnsi" w:hAnsiTheme="majorHAnsi"/>
          <w:sz w:val="16"/>
          <w:szCs w:val="16"/>
        </w:rPr>
        <w:t xml:space="preserve"> </w:t>
      </w:r>
      <w:r w:rsidRPr="00B3504E">
        <w:rPr>
          <w:rFonts w:asciiTheme="majorHAnsi" w:hAnsiTheme="majorHAnsi"/>
          <w:i/>
          <w:iCs/>
          <w:sz w:val="16"/>
          <w:szCs w:val="16"/>
        </w:rPr>
        <w:t>Venezuela,</w:t>
      </w:r>
      <w:r w:rsidRPr="00B3504E">
        <w:rPr>
          <w:rFonts w:asciiTheme="majorHAnsi" w:hAnsiTheme="majorHAnsi"/>
          <w:sz w:val="16"/>
          <w:szCs w:val="16"/>
        </w:rPr>
        <w:t xml:space="preserve"> Merits, Reparations and Costs, Judgment of November 17, 2009, Series C No. 206. par. 111, citing </w:t>
      </w:r>
      <w:r w:rsidRPr="00B3504E">
        <w:rPr>
          <w:rFonts w:asciiTheme="majorHAnsi" w:hAnsiTheme="majorHAnsi"/>
          <w:i/>
          <w:iCs/>
          <w:sz w:val="16"/>
          <w:szCs w:val="16"/>
        </w:rPr>
        <w:t xml:space="preserve">Case of </w:t>
      </w:r>
      <w:proofErr w:type="spellStart"/>
      <w:r w:rsidRPr="00B3504E">
        <w:rPr>
          <w:rFonts w:asciiTheme="majorHAnsi" w:hAnsiTheme="majorHAnsi"/>
          <w:i/>
          <w:iCs/>
          <w:sz w:val="16"/>
          <w:szCs w:val="16"/>
        </w:rPr>
        <w:t>Chaparro</w:t>
      </w:r>
      <w:proofErr w:type="spellEnd"/>
      <w:r w:rsidRPr="00B3504E">
        <w:rPr>
          <w:rFonts w:asciiTheme="majorHAnsi" w:hAnsiTheme="majorHAnsi"/>
          <w:i/>
          <w:iCs/>
          <w:sz w:val="16"/>
          <w:szCs w:val="16"/>
        </w:rPr>
        <w:t xml:space="preserve"> </w:t>
      </w:r>
      <w:proofErr w:type="spellStart"/>
      <w:r w:rsidRPr="00B3504E">
        <w:rPr>
          <w:rFonts w:asciiTheme="majorHAnsi" w:hAnsiTheme="majorHAnsi"/>
          <w:i/>
          <w:iCs/>
          <w:sz w:val="16"/>
          <w:szCs w:val="16"/>
        </w:rPr>
        <w:t>Álvarez</w:t>
      </w:r>
      <w:proofErr w:type="spellEnd"/>
      <w:r w:rsidRPr="00B3504E">
        <w:rPr>
          <w:rFonts w:asciiTheme="majorHAnsi" w:hAnsiTheme="majorHAnsi"/>
          <w:i/>
          <w:iCs/>
          <w:sz w:val="16"/>
          <w:szCs w:val="16"/>
        </w:rPr>
        <w:t xml:space="preserve"> and </w:t>
      </w:r>
      <w:proofErr w:type="spellStart"/>
      <w:r w:rsidRPr="00B3504E">
        <w:rPr>
          <w:rFonts w:asciiTheme="majorHAnsi" w:hAnsiTheme="majorHAnsi"/>
          <w:i/>
          <w:iCs/>
          <w:sz w:val="16"/>
          <w:szCs w:val="16"/>
        </w:rPr>
        <w:t>Lapo</w:t>
      </w:r>
      <w:proofErr w:type="spellEnd"/>
      <w:r w:rsidRPr="00B3504E">
        <w:rPr>
          <w:rFonts w:asciiTheme="majorHAnsi" w:hAnsiTheme="majorHAnsi"/>
          <w:i/>
          <w:iCs/>
          <w:sz w:val="16"/>
          <w:szCs w:val="16"/>
        </w:rPr>
        <w:t xml:space="preserve"> </w:t>
      </w:r>
      <w:proofErr w:type="spellStart"/>
      <w:r w:rsidRPr="00B3504E">
        <w:rPr>
          <w:rFonts w:asciiTheme="majorHAnsi" w:hAnsiTheme="majorHAnsi"/>
          <w:i/>
          <w:iCs/>
          <w:sz w:val="16"/>
          <w:szCs w:val="16"/>
        </w:rPr>
        <w:t>Íñiguez</w:t>
      </w:r>
      <w:proofErr w:type="spellEnd"/>
      <w:r w:rsidRPr="00B3504E">
        <w:rPr>
          <w:rFonts w:asciiTheme="majorHAnsi" w:hAnsiTheme="majorHAnsi"/>
          <w:i/>
          <w:iCs/>
          <w:sz w:val="16"/>
          <w:szCs w:val="16"/>
        </w:rPr>
        <w:t xml:space="preserve"> v.</w:t>
      </w:r>
      <w:r w:rsidRPr="00B3504E">
        <w:rPr>
          <w:rFonts w:asciiTheme="majorHAnsi" w:hAnsiTheme="majorHAnsi"/>
          <w:sz w:val="16"/>
          <w:szCs w:val="16"/>
        </w:rPr>
        <w:t xml:space="preserve"> </w:t>
      </w:r>
      <w:r w:rsidRPr="00B3504E">
        <w:rPr>
          <w:rFonts w:asciiTheme="majorHAnsi" w:hAnsiTheme="majorHAnsi"/>
          <w:i/>
          <w:iCs/>
          <w:sz w:val="16"/>
          <w:szCs w:val="16"/>
        </w:rPr>
        <w:t>Ecuador,</w:t>
      </w:r>
      <w:r w:rsidRPr="00B3504E">
        <w:rPr>
          <w:rFonts w:asciiTheme="majorHAnsi" w:hAnsiTheme="majorHAnsi"/>
          <w:sz w:val="16"/>
          <w:szCs w:val="16"/>
        </w:rPr>
        <w:t xml:space="preserve"> Preliminary Objections, Merits, Reparations, and Costs, Judgment of November 21, 2007, Series C No. 170, par. 103; and </w:t>
      </w:r>
      <w:r w:rsidRPr="00B3504E">
        <w:rPr>
          <w:rFonts w:asciiTheme="majorHAnsi" w:hAnsiTheme="majorHAnsi"/>
          <w:i/>
          <w:iCs/>
          <w:sz w:val="16"/>
          <w:szCs w:val="16"/>
        </w:rPr>
        <w:t xml:space="preserve">Case of </w:t>
      </w:r>
      <w:proofErr w:type="spellStart"/>
      <w:r w:rsidRPr="00B3504E">
        <w:rPr>
          <w:rFonts w:asciiTheme="majorHAnsi" w:hAnsiTheme="majorHAnsi"/>
          <w:i/>
          <w:iCs/>
          <w:sz w:val="16"/>
          <w:szCs w:val="16"/>
        </w:rPr>
        <w:t>Servellón</w:t>
      </w:r>
      <w:proofErr w:type="spellEnd"/>
      <w:r w:rsidRPr="00B3504E">
        <w:rPr>
          <w:rFonts w:asciiTheme="majorHAnsi" w:hAnsiTheme="majorHAnsi"/>
          <w:i/>
          <w:iCs/>
          <w:sz w:val="16"/>
          <w:szCs w:val="16"/>
        </w:rPr>
        <w:t xml:space="preserve"> </w:t>
      </w:r>
      <w:proofErr w:type="spellStart"/>
      <w:r w:rsidRPr="00B3504E">
        <w:rPr>
          <w:rFonts w:asciiTheme="majorHAnsi" w:hAnsiTheme="majorHAnsi"/>
          <w:i/>
          <w:iCs/>
          <w:sz w:val="16"/>
          <w:szCs w:val="16"/>
        </w:rPr>
        <w:t>García</w:t>
      </w:r>
      <w:proofErr w:type="spellEnd"/>
      <w:r w:rsidRPr="00B3504E">
        <w:rPr>
          <w:rFonts w:asciiTheme="majorHAnsi" w:hAnsiTheme="majorHAnsi"/>
          <w:i/>
          <w:iCs/>
          <w:sz w:val="16"/>
          <w:szCs w:val="16"/>
        </w:rPr>
        <w:t xml:space="preserve"> et al. v.</w:t>
      </w:r>
      <w:r w:rsidRPr="00B3504E">
        <w:rPr>
          <w:rFonts w:asciiTheme="majorHAnsi" w:hAnsiTheme="majorHAnsi"/>
          <w:sz w:val="16"/>
          <w:szCs w:val="16"/>
        </w:rPr>
        <w:t xml:space="preserve"> </w:t>
      </w:r>
      <w:r w:rsidRPr="00B3504E">
        <w:rPr>
          <w:rFonts w:asciiTheme="majorHAnsi" w:hAnsiTheme="majorHAnsi"/>
          <w:i/>
          <w:iCs/>
          <w:sz w:val="16"/>
          <w:szCs w:val="16"/>
        </w:rPr>
        <w:t>Honduras,</w:t>
      </w:r>
      <w:r w:rsidRPr="00B3504E">
        <w:rPr>
          <w:rFonts w:asciiTheme="majorHAnsi" w:hAnsiTheme="majorHAnsi"/>
          <w:sz w:val="16"/>
          <w:szCs w:val="16"/>
        </w:rPr>
        <w:t xml:space="preserve"> Merits, Reparations and Costs, Judgment</w:t>
      </w:r>
      <w:r w:rsidR="00644C08" w:rsidRPr="00B3504E">
        <w:rPr>
          <w:rFonts w:asciiTheme="majorHAnsi" w:hAnsiTheme="majorHAnsi"/>
          <w:sz w:val="16"/>
          <w:szCs w:val="16"/>
        </w:rPr>
        <w:t xml:space="preserve"> </w:t>
      </w:r>
      <w:r w:rsidRPr="00B3504E">
        <w:rPr>
          <w:rFonts w:asciiTheme="majorHAnsi" w:hAnsiTheme="majorHAnsi"/>
          <w:sz w:val="16"/>
          <w:szCs w:val="16"/>
        </w:rPr>
        <w:t>of September 21, 2006, Series C No. 152, par. 90.</w:t>
      </w:r>
    </w:p>
  </w:footnote>
  <w:footnote w:id="41">
    <w:p w:rsidR="002F1789" w:rsidRPr="00B3504E" w:rsidRDefault="002F1789" w:rsidP="00B3504E">
      <w:pPr>
        <w:spacing w:before="120"/>
        <w:ind w:firstLine="720"/>
        <w:jc w:val="both"/>
        <w:outlineLvl w:val="0"/>
        <w:rPr>
          <w:rFonts w:asciiTheme="majorHAnsi" w:hAnsiTheme="majorHAnsi"/>
          <w:b/>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IACHR, </w:t>
      </w:r>
      <w:r w:rsidRPr="00B3504E">
        <w:rPr>
          <w:rFonts w:asciiTheme="majorHAnsi" w:hAnsiTheme="majorHAnsi"/>
          <w:i/>
          <w:iCs/>
          <w:sz w:val="16"/>
          <w:szCs w:val="16"/>
        </w:rPr>
        <w:t>Report on the Use of Preventive Custody in the Americas,</w:t>
      </w:r>
      <w:r w:rsidRPr="00B3504E">
        <w:rPr>
          <w:rFonts w:asciiTheme="majorHAnsi" w:hAnsiTheme="majorHAnsi"/>
          <w:sz w:val="16"/>
          <w:szCs w:val="16"/>
        </w:rPr>
        <w:t xml:space="preserve"> OEA/</w:t>
      </w:r>
      <w:proofErr w:type="spellStart"/>
      <w:r w:rsidRPr="00B3504E">
        <w:rPr>
          <w:rFonts w:asciiTheme="majorHAnsi" w:hAnsiTheme="majorHAnsi"/>
          <w:sz w:val="16"/>
          <w:szCs w:val="16"/>
        </w:rPr>
        <w:t>Ser.L</w:t>
      </w:r>
      <w:proofErr w:type="spellEnd"/>
      <w:r w:rsidRPr="00B3504E">
        <w:rPr>
          <w:rFonts w:asciiTheme="majorHAnsi" w:hAnsiTheme="majorHAnsi"/>
          <w:sz w:val="16"/>
          <w:szCs w:val="16"/>
        </w:rPr>
        <w:t xml:space="preserve">/V/II. </w:t>
      </w:r>
      <w:proofErr w:type="gramStart"/>
      <w:r w:rsidRPr="00B3504E">
        <w:rPr>
          <w:rFonts w:asciiTheme="majorHAnsi" w:hAnsiTheme="majorHAnsi"/>
          <w:sz w:val="16"/>
          <w:szCs w:val="16"/>
        </w:rPr>
        <w:t>Doc. 46/13.</w:t>
      </w:r>
      <w:proofErr w:type="gramEnd"/>
      <w:r w:rsidRPr="00B3504E">
        <w:rPr>
          <w:rFonts w:asciiTheme="majorHAnsi" w:hAnsiTheme="majorHAnsi"/>
          <w:sz w:val="16"/>
          <w:szCs w:val="16"/>
        </w:rPr>
        <w:t xml:space="preserve"> </w:t>
      </w:r>
      <w:proofErr w:type="gramStart"/>
      <w:r w:rsidRPr="00B3504E">
        <w:rPr>
          <w:rFonts w:asciiTheme="majorHAnsi" w:hAnsiTheme="majorHAnsi"/>
          <w:sz w:val="16"/>
          <w:szCs w:val="16"/>
        </w:rPr>
        <w:t>December 30, 2013 par. 21.</w:t>
      </w:r>
      <w:proofErr w:type="gramEnd"/>
      <w:r w:rsidRPr="00B3504E">
        <w:rPr>
          <w:rFonts w:asciiTheme="majorHAnsi" w:hAnsiTheme="majorHAnsi"/>
          <w:sz w:val="16"/>
          <w:szCs w:val="16"/>
        </w:rPr>
        <w:t xml:space="preserve"> </w:t>
      </w:r>
    </w:p>
  </w:footnote>
  <w:footnote w:id="42">
    <w:p w:rsidR="00FE43A8" w:rsidRPr="00B3504E" w:rsidRDefault="00FE43A8"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I/A Court H.R., </w:t>
      </w:r>
      <w:r w:rsidRPr="00B3504E">
        <w:rPr>
          <w:rFonts w:asciiTheme="majorHAnsi" w:hAnsiTheme="majorHAnsi"/>
          <w:i/>
          <w:iCs/>
          <w:sz w:val="16"/>
          <w:szCs w:val="16"/>
        </w:rPr>
        <w:t>Case of Barreto Leiva v. Venezuela,</w:t>
      </w:r>
      <w:r w:rsidRPr="00B3504E">
        <w:rPr>
          <w:rFonts w:asciiTheme="majorHAnsi" w:hAnsiTheme="majorHAnsi"/>
          <w:sz w:val="16"/>
          <w:szCs w:val="16"/>
        </w:rPr>
        <w:t xml:space="preserve"> Merits, Reparations and Costs, Judgment of November 17, 2009, Series C No. 206, par. 120.</w:t>
      </w:r>
    </w:p>
  </w:footnote>
  <w:footnote w:id="43">
    <w:p w:rsidR="00FE43A8" w:rsidRPr="00B3504E" w:rsidRDefault="00FE43A8" w:rsidP="00B3504E">
      <w:pPr>
        <w:pStyle w:val="FootnoteText"/>
        <w:spacing w:before="120"/>
        <w:ind w:firstLine="720"/>
        <w:jc w:val="both"/>
        <w:rPr>
          <w:rFonts w:asciiTheme="majorHAnsi" w:hAnsiTheme="majorHAnsi"/>
          <w:b/>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w:t>
      </w:r>
      <w:r w:rsidRPr="00B3504E">
        <w:rPr>
          <w:rStyle w:val="Strong"/>
          <w:rFonts w:asciiTheme="majorHAnsi" w:hAnsiTheme="majorHAnsi"/>
          <w:b w:val="0"/>
          <w:bCs w:val="0"/>
          <w:sz w:val="16"/>
          <w:szCs w:val="16"/>
        </w:rPr>
        <w:t xml:space="preserve">I/A Court H.R., </w:t>
      </w:r>
      <w:r w:rsidRPr="00B3504E">
        <w:rPr>
          <w:rStyle w:val="Strong"/>
          <w:rFonts w:asciiTheme="majorHAnsi" w:hAnsiTheme="majorHAnsi"/>
          <w:b w:val="0"/>
          <w:bCs w:val="0"/>
          <w:i/>
          <w:iCs/>
          <w:sz w:val="16"/>
          <w:szCs w:val="16"/>
        </w:rPr>
        <w:t>Case of Argüelles et al. v.</w:t>
      </w:r>
      <w:r w:rsidRPr="00B3504E">
        <w:rPr>
          <w:rStyle w:val="Strong"/>
          <w:rFonts w:asciiTheme="majorHAnsi" w:hAnsiTheme="majorHAnsi"/>
          <w:b w:val="0"/>
          <w:bCs w:val="0"/>
          <w:sz w:val="16"/>
          <w:szCs w:val="16"/>
        </w:rPr>
        <w:t xml:space="preserve"> </w:t>
      </w:r>
      <w:r w:rsidRPr="00B3504E">
        <w:rPr>
          <w:rStyle w:val="Strong"/>
          <w:rFonts w:asciiTheme="majorHAnsi" w:hAnsiTheme="majorHAnsi"/>
          <w:b w:val="0"/>
          <w:bCs w:val="0"/>
          <w:i/>
          <w:iCs/>
          <w:sz w:val="16"/>
          <w:szCs w:val="16"/>
        </w:rPr>
        <w:t>Argentina,</w:t>
      </w:r>
      <w:r w:rsidRPr="00B3504E">
        <w:rPr>
          <w:rStyle w:val="Strong"/>
          <w:rFonts w:asciiTheme="majorHAnsi" w:hAnsiTheme="majorHAnsi"/>
          <w:b w:val="0"/>
          <w:bCs w:val="0"/>
          <w:sz w:val="16"/>
          <w:szCs w:val="16"/>
        </w:rPr>
        <w:t xml:space="preserve"> Preliminary Objections, Merits, Reparations, and Costs, Judgment of November 20, 2014. </w:t>
      </w:r>
      <w:proofErr w:type="gramStart"/>
      <w:r w:rsidRPr="00B3504E">
        <w:rPr>
          <w:rStyle w:val="Strong"/>
          <w:rFonts w:asciiTheme="majorHAnsi" w:hAnsiTheme="majorHAnsi"/>
          <w:b w:val="0"/>
          <w:bCs w:val="0"/>
          <w:sz w:val="16"/>
          <w:szCs w:val="16"/>
        </w:rPr>
        <w:t>Series C No. 288, par. 122.</w:t>
      </w:r>
      <w:proofErr w:type="gramEnd"/>
      <w:r w:rsidRPr="00B3504E">
        <w:rPr>
          <w:rStyle w:val="Strong"/>
          <w:rFonts w:asciiTheme="majorHAnsi" w:hAnsiTheme="majorHAnsi"/>
          <w:b w:val="0"/>
          <w:bCs w:val="0"/>
          <w:sz w:val="16"/>
          <w:szCs w:val="16"/>
        </w:rPr>
        <w:t xml:space="preserve"> </w:t>
      </w:r>
    </w:p>
  </w:footnote>
  <w:footnote w:id="44">
    <w:p w:rsidR="00FE43A8" w:rsidRPr="00B3504E" w:rsidRDefault="00FE43A8"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I/A Court H.R., </w:t>
      </w:r>
      <w:r w:rsidRPr="00B3504E">
        <w:rPr>
          <w:rFonts w:asciiTheme="majorHAnsi" w:hAnsiTheme="majorHAnsi"/>
          <w:i/>
          <w:iCs/>
          <w:sz w:val="16"/>
          <w:szCs w:val="16"/>
        </w:rPr>
        <w:t>Case of Argüelles et al. v.</w:t>
      </w:r>
      <w:r w:rsidRPr="00B3504E">
        <w:rPr>
          <w:rFonts w:asciiTheme="majorHAnsi" w:hAnsiTheme="majorHAnsi"/>
          <w:sz w:val="16"/>
          <w:szCs w:val="16"/>
        </w:rPr>
        <w:t xml:space="preserve"> </w:t>
      </w:r>
      <w:r w:rsidRPr="00B3504E">
        <w:rPr>
          <w:rFonts w:asciiTheme="majorHAnsi" w:hAnsiTheme="majorHAnsi"/>
          <w:i/>
          <w:iCs/>
          <w:sz w:val="16"/>
          <w:szCs w:val="16"/>
        </w:rPr>
        <w:t>Argentina,</w:t>
      </w:r>
      <w:r w:rsidRPr="00B3504E">
        <w:rPr>
          <w:rFonts w:asciiTheme="majorHAnsi" w:hAnsiTheme="majorHAnsi"/>
          <w:sz w:val="16"/>
          <w:szCs w:val="16"/>
        </w:rPr>
        <w:t xml:space="preserve"> Preliminary Objections, Merits, Reparations, and Costs, Judgment of November 20, 2014. </w:t>
      </w:r>
      <w:proofErr w:type="gramStart"/>
      <w:r w:rsidRPr="00B3504E">
        <w:rPr>
          <w:rFonts w:asciiTheme="majorHAnsi" w:hAnsiTheme="majorHAnsi"/>
          <w:sz w:val="16"/>
          <w:szCs w:val="16"/>
        </w:rPr>
        <w:t>Series C No. 288, par. 121.</w:t>
      </w:r>
      <w:proofErr w:type="gramEnd"/>
    </w:p>
  </w:footnote>
  <w:footnote w:id="45">
    <w:p w:rsidR="00FE43A8" w:rsidRPr="00B3504E" w:rsidRDefault="00FE43A8" w:rsidP="00B3504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IACHR, Report No. 2/97, Case 11.205, Merits, Jorge Luis Bronstein et al., Argentina, March 11, 1997, par. 12; IACHR, Third Report on the Situation of Human Rights in Paraguay, OEA/Ser./L/VII.110. Doc. 52, adopted on March 9, 2001, Ch. IV, par. 34. See also: I/A Court H.R., </w:t>
      </w:r>
      <w:r w:rsidRPr="00B3504E">
        <w:rPr>
          <w:rFonts w:asciiTheme="majorHAnsi" w:hAnsiTheme="majorHAnsi"/>
          <w:i/>
          <w:iCs/>
          <w:sz w:val="16"/>
          <w:szCs w:val="16"/>
        </w:rPr>
        <w:t xml:space="preserve">Case of </w:t>
      </w:r>
      <w:proofErr w:type="spellStart"/>
      <w:r w:rsidRPr="00B3504E">
        <w:rPr>
          <w:rFonts w:asciiTheme="majorHAnsi" w:hAnsiTheme="majorHAnsi"/>
          <w:i/>
          <w:iCs/>
          <w:sz w:val="16"/>
          <w:szCs w:val="16"/>
        </w:rPr>
        <w:t>López</w:t>
      </w:r>
      <w:proofErr w:type="spellEnd"/>
      <w:r w:rsidRPr="00B3504E">
        <w:rPr>
          <w:rFonts w:asciiTheme="majorHAnsi" w:hAnsiTheme="majorHAnsi"/>
          <w:i/>
          <w:iCs/>
          <w:sz w:val="16"/>
          <w:szCs w:val="16"/>
        </w:rPr>
        <w:t xml:space="preserve"> </w:t>
      </w:r>
      <w:proofErr w:type="spellStart"/>
      <w:r w:rsidRPr="00B3504E">
        <w:rPr>
          <w:rFonts w:asciiTheme="majorHAnsi" w:hAnsiTheme="majorHAnsi"/>
          <w:i/>
          <w:iCs/>
          <w:sz w:val="16"/>
          <w:szCs w:val="16"/>
        </w:rPr>
        <w:t>Álvarez</w:t>
      </w:r>
      <w:proofErr w:type="spellEnd"/>
      <w:r w:rsidRPr="00B3504E">
        <w:rPr>
          <w:rFonts w:asciiTheme="majorHAnsi" w:hAnsiTheme="majorHAnsi"/>
          <w:i/>
          <w:iCs/>
          <w:sz w:val="16"/>
          <w:szCs w:val="16"/>
        </w:rPr>
        <w:t xml:space="preserve"> v.</w:t>
      </w:r>
      <w:r w:rsidRPr="00B3504E">
        <w:rPr>
          <w:rFonts w:asciiTheme="majorHAnsi" w:hAnsiTheme="majorHAnsi"/>
          <w:sz w:val="16"/>
          <w:szCs w:val="16"/>
        </w:rPr>
        <w:t xml:space="preserve"> </w:t>
      </w:r>
      <w:r w:rsidRPr="00B3504E">
        <w:rPr>
          <w:rFonts w:asciiTheme="majorHAnsi" w:hAnsiTheme="majorHAnsi"/>
          <w:i/>
          <w:iCs/>
          <w:sz w:val="16"/>
          <w:szCs w:val="16"/>
        </w:rPr>
        <w:t>Honduras,</w:t>
      </w:r>
      <w:r w:rsidRPr="00B3504E">
        <w:rPr>
          <w:rFonts w:asciiTheme="majorHAnsi" w:hAnsiTheme="majorHAnsi"/>
          <w:sz w:val="16"/>
          <w:szCs w:val="16"/>
        </w:rPr>
        <w:t xml:space="preserve"> Judgment of February 1, 2006. Series C No. 141, par. 69; I/A Court H.R., </w:t>
      </w:r>
      <w:r w:rsidRPr="00B3504E">
        <w:rPr>
          <w:rFonts w:asciiTheme="majorHAnsi" w:hAnsiTheme="majorHAnsi"/>
          <w:i/>
          <w:iCs/>
          <w:sz w:val="16"/>
          <w:szCs w:val="16"/>
        </w:rPr>
        <w:t>Case of Acosta Calderón v.</w:t>
      </w:r>
      <w:r w:rsidRPr="00B3504E">
        <w:rPr>
          <w:rFonts w:asciiTheme="majorHAnsi" w:hAnsiTheme="majorHAnsi"/>
          <w:sz w:val="16"/>
          <w:szCs w:val="16"/>
        </w:rPr>
        <w:t xml:space="preserve"> </w:t>
      </w:r>
      <w:r w:rsidRPr="00B3504E">
        <w:rPr>
          <w:rFonts w:asciiTheme="majorHAnsi" w:hAnsiTheme="majorHAnsi"/>
          <w:i/>
          <w:iCs/>
          <w:sz w:val="16"/>
          <w:szCs w:val="16"/>
        </w:rPr>
        <w:t>Ecuador,</w:t>
      </w:r>
      <w:r w:rsidRPr="00B3504E">
        <w:rPr>
          <w:rFonts w:asciiTheme="majorHAnsi" w:hAnsiTheme="majorHAnsi"/>
          <w:sz w:val="16"/>
          <w:szCs w:val="16"/>
        </w:rPr>
        <w:t xml:space="preserve"> Judgment of June 24, 2005, Series C No. 129, par. 111; I/A Court H.R., </w:t>
      </w:r>
      <w:r w:rsidRPr="00B3504E">
        <w:rPr>
          <w:rFonts w:asciiTheme="majorHAnsi" w:hAnsiTheme="majorHAnsi"/>
          <w:i/>
          <w:iCs/>
          <w:sz w:val="16"/>
          <w:szCs w:val="16"/>
        </w:rPr>
        <w:t xml:space="preserve">Case of </w:t>
      </w:r>
      <w:proofErr w:type="spellStart"/>
      <w:r w:rsidRPr="00B3504E">
        <w:rPr>
          <w:rFonts w:asciiTheme="majorHAnsi" w:hAnsiTheme="majorHAnsi"/>
          <w:i/>
          <w:iCs/>
          <w:sz w:val="16"/>
          <w:szCs w:val="16"/>
        </w:rPr>
        <w:t>Tibi</w:t>
      </w:r>
      <w:proofErr w:type="spellEnd"/>
      <w:r w:rsidRPr="00B3504E">
        <w:rPr>
          <w:rFonts w:asciiTheme="majorHAnsi" w:hAnsiTheme="majorHAnsi"/>
          <w:i/>
          <w:iCs/>
          <w:sz w:val="16"/>
          <w:szCs w:val="16"/>
        </w:rPr>
        <w:t xml:space="preserve"> v.</w:t>
      </w:r>
      <w:r w:rsidRPr="00B3504E">
        <w:rPr>
          <w:rFonts w:asciiTheme="majorHAnsi" w:hAnsiTheme="majorHAnsi"/>
          <w:sz w:val="16"/>
          <w:szCs w:val="16"/>
        </w:rPr>
        <w:t xml:space="preserve"> </w:t>
      </w:r>
      <w:r w:rsidRPr="00B3504E">
        <w:rPr>
          <w:rFonts w:asciiTheme="majorHAnsi" w:hAnsiTheme="majorHAnsi"/>
          <w:i/>
          <w:iCs/>
          <w:sz w:val="16"/>
          <w:szCs w:val="16"/>
        </w:rPr>
        <w:t>Ecuador,</w:t>
      </w:r>
      <w:r w:rsidRPr="00B3504E">
        <w:rPr>
          <w:rFonts w:asciiTheme="majorHAnsi" w:hAnsiTheme="majorHAnsi"/>
          <w:sz w:val="16"/>
          <w:szCs w:val="16"/>
        </w:rPr>
        <w:t xml:space="preserve"> Judgment of September 7, 2004, Series C No. 114, par. 180; I/A Court H.R., </w:t>
      </w:r>
      <w:r w:rsidRPr="00B3504E">
        <w:rPr>
          <w:rFonts w:asciiTheme="majorHAnsi" w:hAnsiTheme="majorHAnsi"/>
          <w:i/>
          <w:iCs/>
          <w:sz w:val="16"/>
          <w:szCs w:val="16"/>
        </w:rPr>
        <w:t>Case of the “Juvenile Reeducation Institute” v.</w:t>
      </w:r>
      <w:r w:rsidRPr="00B3504E">
        <w:rPr>
          <w:rFonts w:asciiTheme="majorHAnsi" w:hAnsiTheme="majorHAnsi"/>
          <w:sz w:val="16"/>
          <w:szCs w:val="16"/>
        </w:rPr>
        <w:t xml:space="preserve"> </w:t>
      </w:r>
      <w:r w:rsidRPr="00B3504E">
        <w:rPr>
          <w:rFonts w:asciiTheme="majorHAnsi" w:hAnsiTheme="majorHAnsi"/>
          <w:i/>
          <w:iCs/>
          <w:sz w:val="16"/>
          <w:szCs w:val="16"/>
        </w:rPr>
        <w:t>Paraguay,</w:t>
      </w:r>
      <w:r w:rsidRPr="00B3504E">
        <w:rPr>
          <w:rFonts w:asciiTheme="majorHAnsi" w:hAnsiTheme="majorHAnsi"/>
          <w:sz w:val="16"/>
          <w:szCs w:val="16"/>
        </w:rPr>
        <w:t xml:space="preserve"> Judgment of September 2, 2004, Series C No. 112, par. 229; I/A Court H.R., </w:t>
      </w:r>
      <w:r w:rsidRPr="00B3504E">
        <w:rPr>
          <w:rFonts w:asciiTheme="majorHAnsi" w:hAnsiTheme="majorHAnsi"/>
          <w:i/>
          <w:iCs/>
          <w:sz w:val="16"/>
          <w:szCs w:val="16"/>
        </w:rPr>
        <w:t>Case of Suárez Rosero v.</w:t>
      </w:r>
      <w:r w:rsidRPr="00B3504E">
        <w:rPr>
          <w:rFonts w:asciiTheme="majorHAnsi" w:hAnsiTheme="majorHAnsi"/>
          <w:sz w:val="16"/>
          <w:szCs w:val="16"/>
        </w:rPr>
        <w:t xml:space="preserve"> </w:t>
      </w:r>
      <w:r w:rsidRPr="00B3504E">
        <w:rPr>
          <w:rFonts w:asciiTheme="majorHAnsi" w:hAnsiTheme="majorHAnsi"/>
          <w:i/>
          <w:iCs/>
          <w:sz w:val="16"/>
          <w:szCs w:val="16"/>
        </w:rPr>
        <w:t>Ecuador,</w:t>
      </w:r>
      <w:r w:rsidRPr="00B3504E">
        <w:rPr>
          <w:rFonts w:asciiTheme="majorHAnsi" w:hAnsiTheme="majorHAnsi"/>
          <w:sz w:val="16"/>
          <w:szCs w:val="16"/>
        </w:rPr>
        <w:t xml:space="preserve"> Judgment of November 12, 1997, Series C No. 35, par. 77.</w:t>
      </w:r>
    </w:p>
  </w:footnote>
  <w:footnote w:id="46">
    <w:p w:rsidR="00FE43A8" w:rsidRPr="00B3504E" w:rsidRDefault="00FE43A8"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IACHR, </w:t>
      </w:r>
      <w:hyperlink r:id="rId8" w:history="1">
        <w:r w:rsidRPr="00B3504E">
          <w:rPr>
            <w:rStyle w:val="Hyperlink"/>
            <w:rFonts w:asciiTheme="majorHAnsi" w:hAnsiTheme="majorHAnsi"/>
            <w:sz w:val="16"/>
            <w:szCs w:val="16"/>
          </w:rPr>
          <w:t>Report No.</w:t>
        </w:r>
        <w:r w:rsidRPr="00B3504E">
          <w:rPr>
            <w:rStyle w:val="Hyperlink"/>
            <w:rFonts w:asciiTheme="majorHAnsi" w:hAnsiTheme="majorHAnsi"/>
            <w:sz w:val="16"/>
            <w:szCs w:val="16"/>
            <w:u w:val="none"/>
          </w:rPr>
          <w:t xml:space="preserve"> 12/96</w:t>
        </w:r>
      </w:hyperlink>
      <w:r w:rsidRPr="00B3504E">
        <w:rPr>
          <w:rFonts w:asciiTheme="majorHAnsi" w:hAnsiTheme="majorHAnsi"/>
          <w:sz w:val="16"/>
          <w:szCs w:val="16"/>
        </w:rPr>
        <w:t xml:space="preserve">. Argentina. Case 11.245, March 1, 1996, par. 80. </w:t>
      </w:r>
    </w:p>
  </w:footnote>
  <w:footnote w:id="47">
    <w:p w:rsidR="00FE43A8" w:rsidRPr="00B3504E" w:rsidRDefault="00FE43A8"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IACHR, </w:t>
      </w:r>
      <w:hyperlink r:id="rId9" w:history="1">
        <w:r w:rsidRPr="00B3504E">
          <w:rPr>
            <w:rStyle w:val="Hyperlink"/>
            <w:rFonts w:asciiTheme="majorHAnsi" w:hAnsiTheme="majorHAnsi"/>
            <w:sz w:val="16"/>
            <w:szCs w:val="16"/>
          </w:rPr>
          <w:t>Report No.</w:t>
        </w:r>
        <w:r w:rsidRPr="00B3504E">
          <w:rPr>
            <w:rStyle w:val="Hyperlink"/>
            <w:rFonts w:asciiTheme="majorHAnsi" w:hAnsiTheme="majorHAnsi"/>
            <w:sz w:val="16"/>
            <w:szCs w:val="16"/>
            <w:u w:val="none"/>
          </w:rPr>
          <w:t xml:space="preserve"> 12/96</w:t>
        </w:r>
      </w:hyperlink>
      <w:r w:rsidRPr="00B3504E">
        <w:rPr>
          <w:rFonts w:asciiTheme="majorHAnsi" w:hAnsiTheme="majorHAnsi"/>
          <w:sz w:val="16"/>
          <w:szCs w:val="16"/>
        </w:rPr>
        <w:t xml:space="preserve">. Argentina. Case 11.245, March 1, 1996, par. 114. </w:t>
      </w:r>
    </w:p>
  </w:footnote>
  <w:footnote w:id="48">
    <w:p w:rsidR="00FE43A8" w:rsidRPr="00B3504E" w:rsidRDefault="00FE43A8" w:rsidP="00B3504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ind w:firstLine="720"/>
        <w:jc w:val="both"/>
        <w:rPr>
          <w:rFonts w:asciiTheme="majorHAnsi" w:hAnsiTheme="majorHAnsi" w:cs="Calibri"/>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I/A Court H.R., </w:t>
      </w:r>
      <w:r w:rsidRPr="00B3504E">
        <w:rPr>
          <w:rFonts w:asciiTheme="majorHAnsi" w:hAnsiTheme="majorHAnsi"/>
          <w:i/>
          <w:iCs/>
          <w:sz w:val="16"/>
          <w:szCs w:val="16"/>
        </w:rPr>
        <w:t xml:space="preserve">Case of </w:t>
      </w:r>
      <w:proofErr w:type="spellStart"/>
      <w:r w:rsidRPr="00B3504E">
        <w:rPr>
          <w:rFonts w:asciiTheme="majorHAnsi" w:hAnsiTheme="majorHAnsi"/>
          <w:i/>
          <w:iCs/>
          <w:sz w:val="16"/>
          <w:szCs w:val="16"/>
        </w:rPr>
        <w:t>Usón</w:t>
      </w:r>
      <w:proofErr w:type="spellEnd"/>
      <w:r w:rsidRPr="00B3504E">
        <w:rPr>
          <w:rFonts w:asciiTheme="majorHAnsi" w:hAnsiTheme="majorHAnsi"/>
          <w:i/>
          <w:iCs/>
          <w:sz w:val="16"/>
          <w:szCs w:val="16"/>
        </w:rPr>
        <w:t xml:space="preserve"> </w:t>
      </w:r>
      <w:proofErr w:type="spellStart"/>
      <w:r w:rsidRPr="00B3504E">
        <w:rPr>
          <w:rFonts w:asciiTheme="majorHAnsi" w:hAnsiTheme="majorHAnsi"/>
          <w:i/>
          <w:iCs/>
          <w:sz w:val="16"/>
          <w:szCs w:val="16"/>
        </w:rPr>
        <w:t>Ramírez</w:t>
      </w:r>
      <w:proofErr w:type="spellEnd"/>
      <w:r w:rsidRPr="00B3504E">
        <w:rPr>
          <w:rFonts w:asciiTheme="majorHAnsi" w:hAnsiTheme="majorHAnsi"/>
          <w:i/>
          <w:iCs/>
          <w:sz w:val="16"/>
          <w:szCs w:val="16"/>
        </w:rPr>
        <w:t xml:space="preserve"> v.</w:t>
      </w:r>
      <w:r w:rsidRPr="00B3504E">
        <w:rPr>
          <w:rFonts w:asciiTheme="majorHAnsi" w:hAnsiTheme="majorHAnsi"/>
          <w:sz w:val="16"/>
          <w:szCs w:val="16"/>
        </w:rPr>
        <w:t xml:space="preserve"> </w:t>
      </w:r>
      <w:r w:rsidRPr="00B3504E">
        <w:rPr>
          <w:rFonts w:asciiTheme="majorHAnsi" w:hAnsiTheme="majorHAnsi"/>
          <w:i/>
          <w:iCs/>
          <w:sz w:val="16"/>
          <w:szCs w:val="16"/>
        </w:rPr>
        <w:t>Venezuela,</w:t>
      </w:r>
      <w:r w:rsidRPr="00B3504E">
        <w:rPr>
          <w:rFonts w:asciiTheme="majorHAnsi" w:hAnsiTheme="majorHAnsi"/>
          <w:sz w:val="16"/>
          <w:szCs w:val="16"/>
        </w:rPr>
        <w:t xml:space="preserve"> Preliminary Objections, Merits, Reparations and Costs, Judgment of November 20, 2009, Series C No. 207, par. 144.</w:t>
      </w:r>
    </w:p>
  </w:footnote>
  <w:footnote w:id="49">
    <w:p w:rsidR="00FE43A8" w:rsidRPr="00B3504E" w:rsidRDefault="00FE43A8"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color w:val="auto"/>
          <w:sz w:val="16"/>
          <w:szCs w:val="16"/>
        </w:rPr>
        <w:footnoteRef/>
      </w:r>
      <w:r w:rsidRPr="00B3504E">
        <w:rPr>
          <w:rFonts w:asciiTheme="majorHAnsi" w:hAnsiTheme="majorHAnsi"/>
          <w:sz w:val="16"/>
          <w:szCs w:val="16"/>
        </w:rPr>
        <w:t xml:space="preserve"> IACHR, </w:t>
      </w:r>
      <w:hyperlink r:id="rId10" w:history="1">
        <w:r w:rsidRPr="00B3504E">
          <w:rPr>
            <w:rStyle w:val="Hyperlink"/>
            <w:rFonts w:asciiTheme="majorHAnsi" w:hAnsiTheme="majorHAnsi"/>
            <w:i/>
            <w:iCs/>
            <w:sz w:val="16"/>
            <w:szCs w:val="16"/>
          </w:rPr>
          <w:t>Report on the Use of Pretrial Detention in the Americas</w:t>
        </w:r>
      </w:hyperlink>
      <w:r w:rsidRPr="00B3504E">
        <w:rPr>
          <w:rFonts w:asciiTheme="majorHAnsi" w:hAnsiTheme="majorHAnsi"/>
          <w:sz w:val="16"/>
          <w:szCs w:val="16"/>
        </w:rPr>
        <w:t>, OEA/</w:t>
      </w:r>
      <w:proofErr w:type="spellStart"/>
      <w:r w:rsidRPr="00B3504E">
        <w:rPr>
          <w:rFonts w:asciiTheme="majorHAnsi" w:hAnsiTheme="majorHAnsi"/>
          <w:sz w:val="16"/>
          <w:szCs w:val="16"/>
        </w:rPr>
        <w:t>Ser.L</w:t>
      </w:r>
      <w:proofErr w:type="spellEnd"/>
      <w:r w:rsidRPr="00B3504E">
        <w:rPr>
          <w:rFonts w:asciiTheme="majorHAnsi" w:hAnsiTheme="majorHAnsi"/>
          <w:sz w:val="16"/>
          <w:szCs w:val="16"/>
        </w:rPr>
        <w:t xml:space="preserve">/V/II. </w:t>
      </w:r>
      <w:proofErr w:type="gramStart"/>
      <w:r w:rsidRPr="00B3504E">
        <w:rPr>
          <w:rFonts w:asciiTheme="majorHAnsi" w:hAnsiTheme="majorHAnsi"/>
          <w:sz w:val="16"/>
          <w:szCs w:val="16"/>
        </w:rPr>
        <w:t>December 30, 2013 par. 137.</w:t>
      </w:r>
      <w:proofErr w:type="gramEnd"/>
    </w:p>
  </w:footnote>
  <w:footnote w:id="50">
    <w:p w:rsidR="00B3504E" w:rsidRPr="00B3504E" w:rsidRDefault="00B3504E"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color w:val="auto"/>
          <w:sz w:val="16"/>
          <w:szCs w:val="16"/>
        </w:rPr>
        <w:footnoteRef/>
      </w:r>
      <w:r w:rsidRPr="00B3504E">
        <w:rPr>
          <w:rFonts w:asciiTheme="majorHAnsi" w:hAnsiTheme="majorHAnsi"/>
          <w:sz w:val="16"/>
          <w:szCs w:val="16"/>
        </w:rPr>
        <w:t xml:space="preserve"> IACHR, </w:t>
      </w:r>
      <w:hyperlink r:id="rId11" w:history="1">
        <w:r w:rsidRPr="00B3504E">
          <w:rPr>
            <w:rStyle w:val="Hyperlink"/>
            <w:rFonts w:asciiTheme="majorHAnsi" w:hAnsiTheme="majorHAnsi"/>
            <w:i/>
            <w:iCs/>
            <w:sz w:val="16"/>
            <w:szCs w:val="16"/>
          </w:rPr>
          <w:t>Report on the Use of Pretrial Detention in the Americas</w:t>
        </w:r>
      </w:hyperlink>
      <w:r w:rsidRPr="00B3504E">
        <w:rPr>
          <w:rFonts w:asciiTheme="majorHAnsi" w:hAnsiTheme="majorHAnsi"/>
          <w:sz w:val="16"/>
          <w:szCs w:val="16"/>
        </w:rPr>
        <w:t>, OEA/</w:t>
      </w:r>
      <w:proofErr w:type="spellStart"/>
      <w:r w:rsidRPr="00B3504E">
        <w:rPr>
          <w:rFonts w:asciiTheme="majorHAnsi" w:hAnsiTheme="majorHAnsi"/>
          <w:sz w:val="16"/>
          <w:szCs w:val="16"/>
        </w:rPr>
        <w:t>Ser.L</w:t>
      </w:r>
      <w:proofErr w:type="spellEnd"/>
      <w:r w:rsidRPr="00B3504E">
        <w:rPr>
          <w:rFonts w:asciiTheme="majorHAnsi" w:hAnsiTheme="majorHAnsi"/>
          <w:sz w:val="16"/>
          <w:szCs w:val="16"/>
        </w:rPr>
        <w:t>/</w:t>
      </w:r>
      <w:r>
        <w:rPr>
          <w:rFonts w:asciiTheme="majorHAnsi" w:hAnsiTheme="majorHAnsi"/>
          <w:sz w:val="16"/>
          <w:szCs w:val="16"/>
        </w:rPr>
        <w:t xml:space="preserve">V/II. </w:t>
      </w:r>
      <w:proofErr w:type="gramStart"/>
      <w:r>
        <w:rPr>
          <w:rFonts w:asciiTheme="majorHAnsi" w:hAnsiTheme="majorHAnsi"/>
          <w:sz w:val="16"/>
          <w:szCs w:val="16"/>
        </w:rPr>
        <w:t>December 30, 2013 par. 132</w:t>
      </w:r>
      <w:r w:rsidRPr="00B3504E">
        <w:rPr>
          <w:rFonts w:asciiTheme="majorHAnsi" w:hAnsiTheme="majorHAnsi"/>
          <w:sz w:val="16"/>
          <w:szCs w:val="16"/>
        </w:rPr>
        <w:t>.</w:t>
      </w:r>
      <w:proofErr w:type="gramEnd"/>
    </w:p>
  </w:footnote>
  <w:footnote w:id="51">
    <w:p w:rsidR="004A1D2D" w:rsidRPr="00B3504E" w:rsidRDefault="004A1D2D" w:rsidP="00B3504E">
      <w:pPr>
        <w:pStyle w:val="FootnoteText"/>
        <w:pBdr>
          <w:top w:val="none" w:sz="0" w:space="0" w:color="auto"/>
          <w:left w:val="none" w:sz="0" w:space="0" w:color="auto"/>
          <w:bottom w:val="none" w:sz="0" w:space="0" w:color="auto"/>
          <w:right w:val="none" w:sz="0" w:space="0" w:color="auto"/>
          <w:bar w:val="none" w:sz="0" w:color="auto"/>
        </w:pBdr>
        <w:spacing w:before="120"/>
        <w:ind w:firstLine="720"/>
        <w:jc w:val="both"/>
        <w:rPr>
          <w:rFonts w:asciiTheme="majorHAnsi" w:hAnsiTheme="majorHAnsi"/>
          <w:sz w:val="16"/>
          <w:szCs w:val="16"/>
        </w:rPr>
      </w:pPr>
      <w:r w:rsidRPr="00B3504E">
        <w:rPr>
          <w:rStyle w:val="FootnoteReference"/>
          <w:rFonts w:asciiTheme="majorHAnsi" w:hAnsiTheme="majorHAnsi"/>
          <w:color w:val="auto"/>
          <w:sz w:val="16"/>
          <w:szCs w:val="16"/>
        </w:rPr>
        <w:footnoteRef/>
      </w:r>
      <w:r w:rsidR="00B3504E">
        <w:rPr>
          <w:rFonts w:asciiTheme="majorHAnsi" w:hAnsiTheme="majorHAnsi"/>
          <w:color w:val="auto"/>
          <w:sz w:val="16"/>
          <w:szCs w:val="16"/>
        </w:rPr>
        <w:t xml:space="preserve"> </w:t>
      </w:r>
      <w:r w:rsidRPr="00B3504E">
        <w:rPr>
          <w:rFonts w:asciiTheme="majorHAnsi" w:hAnsiTheme="majorHAnsi"/>
          <w:color w:val="auto"/>
          <w:sz w:val="16"/>
          <w:szCs w:val="16"/>
        </w:rPr>
        <w:t xml:space="preserve">Ecuadorian Code of Criminal Procedure of 1983, Article 177. </w:t>
      </w:r>
      <w:proofErr w:type="gramStart"/>
      <w:r w:rsidRPr="00B3504E">
        <w:rPr>
          <w:rFonts w:asciiTheme="majorHAnsi" w:hAnsiTheme="majorHAnsi"/>
          <w:color w:val="auto"/>
          <w:sz w:val="16"/>
          <w:szCs w:val="16"/>
        </w:rPr>
        <w:t>(L. 134-PCL.</w:t>
      </w:r>
      <w:proofErr w:type="gramEnd"/>
      <w:r w:rsidRPr="00B3504E">
        <w:rPr>
          <w:rFonts w:asciiTheme="majorHAnsi" w:hAnsiTheme="majorHAnsi"/>
          <w:color w:val="auto"/>
          <w:sz w:val="16"/>
          <w:szCs w:val="16"/>
        </w:rPr>
        <w:t xml:space="preserve"> RO 511: 10-jun-1983). </w:t>
      </w:r>
      <w:r w:rsidRPr="00B3504E">
        <w:rPr>
          <w:rFonts w:asciiTheme="majorHAnsi" w:hAnsiTheme="majorHAnsi"/>
          <w:i/>
          <w:iCs/>
          <w:color w:val="auto"/>
          <w:sz w:val="16"/>
          <w:szCs w:val="16"/>
        </w:rPr>
        <w:t>Cf.</w:t>
      </w:r>
      <w:r w:rsidRPr="00B3504E">
        <w:rPr>
          <w:rFonts w:asciiTheme="majorHAnsi" w:hAnsiTheme="majorHAnsi"/>
          <w:color w:val="auto"/>
          <w:sz w:val="16"/>
          <w:szCs w:val="16"/>
        </w:rPr>
        <w:t xml:space="preserve"> I/A Court H.R., </w:t>
      </w:r>
      <w:r w:rsidRPr="00B3504E">
        <w:rPr>
          <w:rFonts w:asciiTheme="majorHAnsi" w:hAnsiTheme="majorHAnsi"/>
          <w:i/>
          <w:iCs/>
          <w:color w:val="auto"/>
          <w:sz w:val="16"/>
          <w:szCs w:val="16"/>
        </w:rPr>
        <w:t>Case of Suárez Rosero v.</w:t>
      </w:r>
      <w:r w:rsidRPr="00B3504E">
        <w:rPr>
          <w:rFonts w:asciiTheme="majorHAnsi" w:hAnsiTheme="majorHAnsi"/>
          <w:color w:val="auto"/>
          <w:sz w:val="16"/>
          <w:szCs w:val="16"/>
        </w:rPr>
        <w:t xml:space="preserve"> </w:t>
      </w:r>
      <w:r w:rsidRPr="00B3504E">
        <w:rPr>
          <w:rFonts w:asciiTheme="majorHAnsi" w:hAnsiTheme="majorHAnsi"/>
          <w:i/>
          <w:iCs/>
          <w:color w:val="auto"/>
          <w:sz w:val="16"/>
          <w:szCs w:val="16"/>
        </w:rPr>
        <w:t>Ecuador,</w:t>
      </w:r>
      <w:r w:rsidRPr="00B3504E">
        <w:rPr>
          <w:rFonts w:asciiTheme="majorHAnsi" w:hAnsiTheme="majorHAnsi"/>
          <w:color w:val="auto"/>
          <w:sz w:val="16"/>
          <w:szCs w:val="16"/>
        </w:rPr>
        <w:t xml:space="preserve"> Judgment of November 12, 1997, Series C No. 35, par. 146; </w:t>
      </w:r>
      <w:r w:rsidRPr="00B3504E">
        <w:rPr>
          <w:rFonts w:asciiTheme="majorHAnsi" w:hAnsiTheme="majorHAnsi"/>
          <w:i/>
          <w:iCs/>
          <w:color w:val="auto"/>
          <w:sz w:val="16"/>
          <w:szCs w:val="16"/>
        </w:rPr>
        <w:t xml:space="preserve">Case of </w:t>
      </w:r>
      <w:proofErr w:type="spellStart"/>
      <w:r w:rsidRPr="00B3504E">
        <w:rPr>
          <w:rFonts w:asciiTheme="majorHAnsi" w:hAnsiTheme="majorHAnsi"/>
          <w:i/>
          <w:iCs/>
          <w:color w:val="auto"/>
          <w:sz w:val="16"/>
          <w:szCs w:val="16"/>
        </w:rPr>
        <w:t>Chaparro</w:t>
      </w:r>
      <w:proofErr w:type="spellEnd"/>
      <w:r w:rsidRPr="00B3504E">
        <w:rPr>
          <w:rFonts w:asciiTheme="majorHAnsi" w:hAnsiTheme="majorHAnsi"/>
          <w:i/>
          <w:iCs/>
          <w:color w:val="auto"/>
          <w:sz w:val="16"/>
          <w:szCs w:val="16"/>
        </w:rPr>
        <w:t xml:space="preserve"> </w:t>
      </w:r>
      <w:proofErr w:type="spellStart"/>
      <w:r w:rsidRPr="00B3504E">
        <w:rPr>
          <w:rFonts w:asciiTheme="majorHAnsi" w:hAnsiTheme="majorHAnsi"/>
          <w:i/>
          <w:iCs/>
          <w:color w:val="auto"/>
          <w:sz w:val="16"/>
          <w:szCs w:val="16"/>
        </w:rPr>
        <w:t>Álvarez</w:t>
      </w:r>
      <w:proofErr w:type="spellEnd"/>
      <w:r w:rsidRPr="00B3504E">
        <w:rPr>
          <w:rFonts w:asciiTheme="majorHAnsi" w:hAnsiTheme="majorHAnsi"/>
          <w:i/>
          <w:iCs/>
          <w:color w:val="auto"/>
          <w:sz w:val="16"/>
          <w:szCs w:val="16"/>
        </w:rPr>
        <w:t xml:space="preserve"> and </w:t>
      </w:r>
      <w:proofErr w:type="spellStart"/>
      <w:r w:rsidRPr="00B3504E">
        <w:rPr>
          <w:rFonts w:asciiTheme="majorHAnsi" w:hAnsiTheme="majorHAnsi"/>
          <w:i/>
          <w:iCs/>
          <w:color w:val="auto"/>
          <w:sz w:val="16"/>
          <w:szCs w:val="16"/>
        </w:rPr>
        <w:t>Lapo</w:t>
      </w:r>
      <w:proofErr w:type="spellEnd"/>
      <w:r w:rsidRPr="00B3504E">
        <w:rPr>
          <w:rFonts w:asciiTheme="majorHAnsi" w:hAnsiTheme="majorHAnsi"/>
          <w:i/>
          <w:iCs/>
          <w:color w:val="auto"/>
          <w:sz w:val="16"/>
          <w:szCs w:val="16"/>
        </w:rPr>
        <w:t xml:space="preserve"> </w:t>
      </w:r>
      <w:proofErr w:type="spellStart"/>
      <w:r w:rsidRPr="00B3504E">
        <w:rPr>
          <w:rFonts w:asciiTheme="majorHAnsi" w:hAnsiTheme="majorHAnsi"/>
          <w:i/>
          <w:iCs/>
          <w:color w:val="auto"/>
          <w:sz w:val="16"/>
          <w:szCs w:val="16"/>
        </w:rPr>
        <w:t>Íñiguez</w:t>
      </w:r>
      <w:proofErr w:type="spellEnd"/>
      <w:r w:rsidRPr="00B3504E">
        <w:rPr>
          <w:rFonts w:asciiTheme="majorHAnsi" w:hAnsiTheme="majorHAnsi"/>
          <w:i/>
          <w:iCs/>
          <w:color w:val="auto"/>
          <w:sz w:val="16"/>
          <w:szCs w:val="16"/>
        </w:rPr>
        <w:t xml:space="preserve"> v.</w:t>
      </w:r>
      <w:r w:rsidRPr="00B3504E">
        <w:rPr>
          <w:rFonts w:asciiTheme="majorHAnsi" w:hAnsiTheme="majorHAnsi"/>
          <w:color w:val="auto"/>
          <w:sz w:val="16"/>
          <w:szCs w:val="16"/>
        </w:rPr>
        <w:t xml:space="preserve"> </w:t>
      </w:r>
      <w:r w:rsidRPr="00B3504E">
        <w:rPr>
          <w:rFonts w:asciiTheme="majorHAnsi" w:hAnsiTheme="majorHAnsi"/>
          <w:i/>
          <w:iCs/>
          <w:color w:val="auto"/>
          <w:sz w:val="16"/>
          <w:szCs w:val="16"/>
        </w:rPr>
        <w:t>Ecuador,</w:t>
      </w:r>
      <w:r w:rsidRPr="00B3504E">
        <w:rPr>
          <w:rFonts w:asciiTheme="majorHAnsi" w:hAnsiTheme="majorHAnsi"/>
          <w:color w:val="auto"/>
          <w:sz w:val="16"/>
          <w:szCs w:val="16"/>
        </w:rPr>
        <w:t xml:space="preserve"> </w:t>
      </w:r>
      <w:r w:rsidRPr="00B3504E">
        <w:rPr>
          <w:rFonts w:asciiTheme="majorHAnsi" w:hAnsiTheme="majorHAnsi"/>
          <w:i/>
          <w:iCs/>
          <w:color w:val="auto"/>
          <w:sz w:val="16"/>
          <w:szCs w:val="16"/>
        </w:rPr>
        <w:t>Preliminary Objections, Merits, Reparations, and Costs</w:t>
      </w:r>
      <w:r w:rsidRPr="00B3504E">
        <w:rPr>
          <w:rFonts w:asciiTheme="majorHAnsi" w:hAnsiTheme="majorHAnsi"/>
          <w:color w:val="auto"/>
          <w:sz w:val="16"/>
          <w:szCs w:val="16"/>
        </w:rPr>
        <w:t xml:space="preserve">. </w:t>
      </w:r>
      <w:proofErr w:type="gramStart"/>
      <w:r w:rsidRPr="00B3504E">
        <w:rPr>
          <w:rFonts w:asciiTheme="majorHAnsi" w:hAnsiTheme="majorHAnsi"/>
          <w:color w:val="auto"/>
          <w:sz w:val="16"/>
          <w:szCs w:val="16"/>
        </w:rPr>
        <w:t>Judgment of November 21, 2007, Series C No. 170, par. 104.</w:t>
      </w:r>
      <w:proofErr w:type="gramEnd"/>
    </w:p>
  </w:footnote>
  <w:footnote w:id="52">
    <w:p w:rsidR="00BC237A" w:rsidRPr="00B3504E" w:rsidRDefault="00BC237A" w:rsidP="00B3504E">
      <w:pPr>
        <w:pStyle w:val="FootnoteText"/>
        <w:spacing w:before="120"/>
        <w:ind w:firstLine="720"/>
        <w:jc w:val="both"/>
        <w:rPr>
          <w:rFonts w:asciiTheme="majorHAnsi" w:hAnsiTheme="majorHAnsi"/>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IACHR, Report No. 40/14, Case 10.438, Report on Merits, Herrera Espinoza </w:t>
      </w:r>
      <w:r w:rsidRPr="00B3504E">
        <w:rPr>
          <w:rFonts w:asciiTheme="majorHAnsi" w:hAnsiTheme="majorHAnsi"/>
          <w:i/>
          <w:iCs/>
          <w:sz w:val="16"/>
          <w:szCs w:val="16"/>
        </w:rPr>
        <w:t>et al.</w:t>
      </w:r>
      <w:r w:rsidRPr="00B3504E">
        <w:rPr>
          <w:rFonts w:asciiTheme="majorHAnsi" w:hAnsiTheme="majorHAnsi"/>
          <w:sz w:val="16"/>
          <w:szCs w:val="16"/>
        </w:rPr>
        <w:t xml:space="preserve"> Ecuador, July 17, 2015, par. 135.</w:t>
      </w:r>
    </w:p>
  </w:footnote>
  <w:footnote w:id="53">
    <w:p w:rsidR="002F5E72" w:rsidRPr="00B3504E" w:rsidRDefault="002F5E72" w:rsidP="00B3504E">
      <w:pPr>
        <w:pStyle w:val="FootnoteText"/>
        <w:spacing w:before="120"/>
        <w:ind w:firstLine="720"/>
        <w:jc w:val="both"/>
        <w:rPr>
          <w:rFonts w:asciiTheme="majorHAnsi" w:hAnsiTheme="majorHAnsi"/>
          <w:color w:val="auto"/>
          <w:sz w:val="16"/>
          <w:szCs w:val="16"/>
        </w:rPr>
      </w:pPr>
      <w:r w:rsidRPr="00B3504E">
        <w:rPr>
          <w:rStyle w:val="FootnoteReference"/>
          <w:rFonts w:asciiTheme="majorHAnsi" w:hAnsiTheme="majorHAnsi"/>
          <w:color w:val="auto"/>
          <w:sz w:val="16"/>
          <w:szCs w:val="16"/>
        </w:rPr>
        <w:footnoteRef/>
      </w:r>
      <w:r w:rsidRPr="00B3504E">
        <w:rPr>
          <w:rFonts w:asciiTheme="majorHAnsi" w:hAnsiTheme="majorHAnsi"/>
          <w:color w:val="auto"/>
          <w:sz w:val="16"/>
          <w:szCs w:val="16"/>
        </w:rPr>
        <w:t xml:space="preserve">IACHR, Report No. 111/10, Case 12.539, Merits, </w:t>
      </w:r>
      <w:proofErr w:type="spellStart"/>
      <w:r w:rsidRPr="00B3504E">
        <w:rPr>
          <w:rFonts w:asciiTheme="majorHAnsi" w:hAnsiTheme="majorHAnsi"/>
          <w:color w:val="auto"/>
          <w:sz w:val="16"/>
          <w:szCs w:val="16"/>
        </w:rPr>
        <w:t>Sebastián</w:t>
      </w:r>
      <w:proofErr w:type="spellEnd"/>
      <w:r w:rsidRPr="00B3504E">
        <w:rPr>
          <w:rFonts w:asciiTheme="majorHAnsi" w:hAnsiTheme="majorHAnsi"/>
          <w:color w:val="auto"/>
          <w:sz w:val="16"/>
          <w:szCs w:val="16"/>
        </w:rPr>
        <w:t xml:space="preserve"> Claus </w:t>
      </w:r>
      <w:proofErr w:type="spellStart"/>
      <w:r w:rsidRPr="00B3504E">
        <w:rPr>
          <w:rFonts w:asciiTheme="majorHAnsi" w:hAnsiTheme="majorHAnsi"/>
          <w:color w:val="auto"/>
          <w:sz w:val="16"/>
          <w:szCs w:val="16"/>
        </w:rPr>
        <w:t>Furlan</w:t>
      </w:r>
      <w:proofErr w:type="spellEnd"/>
      <w:r w:rsidRPr="00B3504E">
        <w:rPr>
          <w:rFonts w:asciiTheme="majorHAnsi" w:hAnsiTheme="majorHAnsi"/>
          <w:color w:val="auto"/>
          <w:sz w:val="16"/>
          <w:szCs w:val="16"/>
        </w:rPr>
        <w:t xml:space="preserve"> and family, Argentina, October 21, 2010, par. 100.</w:t>
      </w:r>
      <w:r w:rsidR="00644C08" w:rsidRPr="00B3504E">
        <w:rPr>
          <w:rFonts w:asciiTheme="majorHAnsi" w:hAnsiTheme="majorHAnsi"/>
          <w:color w:val="auto"/>
          <w:sz w:val="16"/>
          <w:szCs w:val="16"/>
        </w:rPr>
        <w:t xml:space="preserve"> </w:t>
      </w:r>
      <w:r w:rsidRPr="00B3504E">
        <w:rPr>
          <w:rFonts w:asciiTheme="majorHAnsi" w:hAnsiTheme="majorHAnsi"/>
          <w:color w:val="auto"/>
          <w:sz w:val="16"/>
          <w:szCs w:val="16"/>
        </w:rPr>
        <w:t xml:space="preserve">I/A Court H.R., </w:t>
      </w:r>
      <w:r w:rsidRPr="00B3504E">
        <w:rPr>
          <w:rFonts w:asciiTheme="majorHAnsi" w:hAnsiTheme="majorHAnsi"/>
          <w:i/>
          <w:iCs/>
          <w:color w:val="auto"/>
          <w:sz w:val="16"/>
          <w:szCs w:val="16"/>
          <w:shd w:val="clear" w:color="auto" w:fill="FFFFFF"/>
        </w:rPr>
        <w:t>Case of the Massacre of Santo Domingo v.</w:t>
      </w:r>
      <w:r w:rsidRPr="00B3504E">
        <w:rPr>
          <w:rFonts w:asciiTheme="majorHAnsi" w:hAnsiTheme="majorHAnsi"/>
          <w:color w:val="auto"/>
          <w:sz w:val="16"/>
          <w:szCs w:val="16"/>
          <w:shd w:val="clear" w:color="auto" w:fill="FFFFFF"/>
        </w:rPr>
        <w:t xml:space="preserve"> </w:t>
      </w:r>
      <w:r w:rsidRPr="00B3504E">
        <w:rPr>
          <w:rFonts w:asciiTheme="majorHAnsi" w:hAnsiTheme="majorHAnsi"/>
          <w:i/>
          <w:iCs/>
          <w:color w:val="auto"/>
          <w:sz w:val="16"/>
          <w:szCs w:val="16"/>
          <w:shd w:val="clear" w:color="auto" w:fill="FFFFFF"/>
        </w:rPr>
        <w:t>Colombia,</w:t>
      </w:r>
      <w:r w:rsidRPr="00B3504E">
        <w:rPr>
          <w:rFonts w:asciiTheme="majorHAnsi" w:hAnsiTheme="majorHAnsi"/>
          <w:color w:val="auto"/>
          <w:sz w:val="16"/>
          <w:szCs w:val="16"/>
          <w:shd w:val="clear" w:color="auto" w:fill="FFFFFF"/>
        </w:rPr>
        <w:t xml:space="preserve"> Preliminary Objections, Merits and Reparations, Judgment of November 30, 2012, Series C No. 259,</w:t>
      </w:r>
      <w:r w:rsidRPr="00B3504E">
        <w:rPr>
          <w:rFonts w:asciiTheme="majorHAnsi" w:hAnsiTheme="majorHAnsi"/>
          <w:color w:val="auto"/>
          <w:sz w:val="16"/>
          <w:szCs w:val="16"/>
        </w:rPr>
        <w:t xml:space="preserve"> par. 164.</w:t>
      </w:r>
    </w:p>
  </w:footnote>
  <w:footnote w:id="54">
    <w:p w:rsidR="002F5E72" w:rsidRPr="00B3504E" w:rsidRDefault="002F5E72" w:rsidP="00B3504E">
      <w:pPr>
        <w:pStyle w:val="FootnoteText"/>
        <w:spacing w:before="120"/>
        <w:ind w:firstLine="709"/>
        <w:jc w:val="both"/>
        <w:rPr>
          <w:rFonts w:asciiTheme="majorHAnsi" w:hAnsiTheme="majorHAnsi"/>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I/A Court H.R., </w:t>
      </w:r>
      <w:r w:rsidRPr="00B3504E">
        <w:rPr>
          <w:rFonts w:asciiTheme="majorHAnsi" w:hAnsiTheme="majorHAnsi"/>
          <w:i/>
          <w:iCs/>
          <w:sz w:val="16"/>
          <w:szCs w:val="16"/>
        </w:rPr>
        <w:t xml:space="preserve">Case of </w:t>
      </w:r>
      <w:proofErr w:type="spellStart"/>
      <w:r w:rsidRPr="00B3504E">
        <w:rPr>
          <w:rFonts w:asciiTheme="majorHAnsi" w:hAnsiTheme="majorHAnsi"/>
          <w:i/>
          <w:iCs/>
          <w:sz w:val="16"/>
          <w:szCs w:val="16"/>
        </w:rPr>
        <w:t>García</w:t>
      </w:r>
      <w:proofErr w:type="spellEnd"/>
      <w:r w:rsidRPr="00B3504E">
        <w:rPr>
          <w:rFonts w:asciiTheme="majorHAnsi" w:hAnsiTheme="majorHAnsi"/>
          <w:i/>
          <w:iCs/>
          <w:sz w:val="16"/>
          <w:szCs w:val="16"/>
        </w:rPr>
        <w:t xml:space="preserve"> </w:t>
      </w:r>
      <w:proofErr w:type="spellStart"/>
      <w:r w:rsidRPr="00B3504E">
        <w:rPr>
          <w:rFonts w:asciiTheme="majorHAnsi" w:hAnsiTheme="majorHAnsi"/>
          <w:i/>
          <w:iCs/>
          <w:sz w:val="16"/>
          <w:szCs w:val="16"/>
        </w:rPr>
        <w:t>Asto</w:t>
      </w:r>
      <w:proofErr w:type="spellEnd"/>
      <w:r w:rsidRPr="00B3504E">
        <w:rPr>
          <w:rFonts w:asciiTheme="majorHAnsi" w:hAnsiTheme="majorHAnsi"/>
          <w:i/>
          <w:iCs/>
          <w:sz w:val="16"/>
          <w:szCs w:val="16"/>
        </w:rPr>
        <w:t xml:space="preserve"> and </w:t>
      </w:r>
      <w:proofErr w:type="spellStart"/>
      <w:r w:rsidRPr="00B3504E">
        <w:rPr>
          <w:rFonts w:asciiTheme="majorHAnsi" w:hAnsiTheme="majorHAnsi"/>
          <w:i/>
          <w:iCs/>
          <w:sz w:val="16"/>
          <w:szCs w:val="16"/>
        </w:rPr>
        <w:t>Ramírez</w:t>
      </w:r>
      <w:proofErr w:type="spellEnd"/>
      <w:r w:rsidRPr="00B3504E">
        <w:rPr>
          <w:rFonts w:asciiTheme="majorHAnsi" w:hAnsiTheme="majorHAnsi"/>
          <w:i/>
          <w:iCs/>
          <w:sz w:val="16"/>
          <w:szCs w:val="16"/>
        </w:rPr>
        <w:t xml:space="preserve"> Rojas v.</w:t>
      </w:r>
      <w:r w:rsidRPr="00B3504E">
        <w:rPr>
          <w:rFonts w:asciiTheme="majorHAnsi" w:hAnsiTheme="majorHAnsi"/>
          <w:sz w:val="16"/>
          <w:szCs w:val="16"/>
        </w:rPr>
        <w:t xml:space="preserve"> </w:t>
      </w:r>
      <w:r w:rsidRPr="00B3504E">
        <w:rPr>
          <w:rFonts w:asciiTheme="majorHAnsi" w:hAnsiTheme="majorHAnsi"/>
          <w:i/>
          <w:iCs/>
          <w:sz w:val="16"/>
          <w:szCs w:val="16"/>
        </w:rPr>
        <w:t>Peru,</w:t>
      </w:r>
      <w:r w:rsidRPr="00B3504E">
        <w:rPr>
          <w:rFonts w:asciiTheme="majorHAnsi" w:hAnsiTheme="majorHAnsi"/>
          <w:sz w:val="16"/>
          <w:szCs w:val="16"/>
        </w:rPr>
        <w:t xml:space="preserve"> Judgment of November 25, 2005, Series C No. 137, par. 166; </w:t>
      </w:r>
      <w:r w:rsidRPr="00B3504E">
        <w:rPr>
          <w:rFonts w:asciiTheme="majorHAnsi" w:hAnsiTheme="majorHAnsi"/>
          <w:i/>
          <w:iCs/>
          <w:sz w:val="16"/>
          <w:szCs w:val="16"/>
        </w:rPr>
        <w:t>Case of Gómez Palomino v.</w:t>
      </w:r>
      <w:r w:rsidRPr="00B3504E">
        <w:rPr>
          <w:rFonts w:asciiTheme="majorHAnsi" w:hAnsiTheme="majorHAnsi"/>
          <w:sz w:val="16"/>
          <w:szCs w:val="16"/>
        </w:rPr>
        <w:t xml:space="preserve"> </w:t>
      </w:r>
      <w:r w:rsidRPr="00B3504E">
        <w:rPr>
          <w:rFonts w:asciiTheme="majorHAnsi" w:hAnsiTheme="majorHAnsi"/>
          <w:i/>
          <w:iCs/>
          <w:sz w:val="16"/>
          <w:szCs w:val="16"/>
        </w:rPr>
        <w:t>Peru,</w:t>
      </w:r>
      <w:r w:rsidRPr="00B3504E">
        <w:rPr>
          <w:rFonts w:asciiTheme="majorHAnsi" w:hAnsiTheme="majorHAnsi"/>
          <w:sz w:val="16"/>
          <w:szCs w:val="16"/>
        </w:rPr>
        <w:t xml:space="preserve"> Judgment of November 22, 2005, Series C No. 136, par. 85; </w:t>
      </w:r>
      <w:r w:rsidRPr="00B3504E">
        <w:rPr>
          <w:rFonts w:asciiTheme="majorHAnsi" w:hAnsiTheme="majorHAnsi"/>
          <w:i/>
          <w:iCs/>
          <w:sz w:val="16"/>
          <w:szCs w:val="16"/>
        </w:rPr>
        <w:t xml:space="preserve">Case of the </w:t>
      </w:r>
      <w:proofErr w:type="spellStart"/>
      <w:r w:rsidRPr="00B3504E">
        <w:rPr>
          <w:rFonts w:asciiTheme="majorHAnsi" w:hAnsiTheme="majorHAnsi"/>
          <w:i/>
          <w:iCs/>
          <w:sz w:val="16"/>
          <w:szCs w:val="16"/>
        </w:rPr>
        <w:t>Moiwana</w:t>
      </w:r>
      <w:proofErr w:type="spellEnd"/>
      <w:r w:rsidRPr="00B3504E">
        <w:rPr>
          <w:rFonts w:asciiTheme="majorHAnsi" w:hAnsiTheme="majorHAnsi"/>
          <w:i/>
          <w:iCs/>
          <w:sz w:val="16"/>
          <w:szCs w:val="16"/>
        </w:rPr>
        <w:t xml:space="preserve"> Community v.</w:t>
      </w:r>
      <w:r w:rsidRPr="00B3504E">
        <w:rPr>
          <w:rFonts w:asciiTheme="majorHAnsi" w:hAnsiTheme="majorHAnsi"/>
          <w:sz w:val="16"/>
          <w:szCs w:val="16"/>
        </w:rPr>
        <w:t xml:space="preserve"> </w:t>
      </w:r>
      <w:r w:rsidRPr="00B3504E">
        <w:rPr>
          <w:rFonts w:asciiTheme="majorHAnsi" w:hAnsiTheme="majorHAnsi"/>
          <w:i/>
          <w:iCs/>
          <w:sz w:val="16"/>
          <w:szCs w:val="16"/>
        </w:rPr>
        <w:t>Suriname,</w:t>
      </w:r>
      <w:r w:rsidRPr="00B3504E">
        <w:rPr>
          <w:rFonts w:asciiTheme="majorHAnsi" w:hAnsiTheme="majorHAnsi"/>
          <w:sz w:val="16"/>
          <w:szCs w:val="16"/>
        </w:rPr>
        <w:t xml:space="preserve"> Judgment of June 15, 2005, Series C No. 124, par. 160.</w:t>
      </w:r>
      <w:r w:rsidR="00644C08" w:rsidRPr="00B3504E">
        <w:rPr>
          <w:rFonts w:asciiTheme="majorHAnsi" w:hAnsiTheme="majorHAnsi"/>
          <w:sz w:val="16"/>
          <w:szCs w:val="16"/>
        </w:rPr>
        <w:t xml:space="preserve"> </w:t>
      </w:r>
    </w:p>
  </w:footnote>
  <w:footnote w:id="55">
    <w:p w:rsidR="002F5E72" w:rsidRPr="00B3504E" w:rsidRDefault="002F5E72" w:rsidP="00B3504E">
      <w:pPr>
        <w:pStyle w:val="FootnoteText"/>
        <w:spacing w:before="120"/>
        <w:ind w:firstLine="709"/>
        <w:jc w:val="both"/>
        <w:rPr>
          <w:rFonts w:asciiTheme="majorHAnsi" w:hAnsiTheme="majorHAnsi"/>
          <w:sz w:val="16"/>
          <w:szCs w:val="16"/>
        </w:rPr>
      </w:pPr>
      <w:r w:rsidRPr="00B3504E">
        <w:rPr>
          <w:rStyle w:val="FootnoteReference"/>
          <w:rFonts w:asciiTheme="majorHAnsi" w:hAnsiTheme="majorHAnsi"/>
          <w:sz w:val="16"/>
          <w:szCs w:val="16"/>
        </w:rPr>
        <w:footnoteRef/>
      </w:r>
      <w:r w:rsidRPr="00B3504E">
        <w:rPr>
          <w:rFonts w:asciiTheme="majorHAnsi" w:hAnsiTheme="majorHAnsi"/>
          <w:sz w:val="16"/>
          <w:szCs w:val="16"/>
        </w:rPr>
        <w:t xml:space="preserve"> I/A Court H.R., </w:t>
      </w:r>
      <w:r w:rsidRPr="00B3504E">
        <w:rPr>
          <w:rFonts w:asciiTheme="majorHAnsi" w:hAnsiTheme="majorHAnsi"/>
          <w:i/>
          <w:iCs/>
          <w:sz w:val="16"/>
          <w:szCs w:val="16"/>
        </w:rPr>
        <w:t xml:space="preserve">Case of Ricardo </w:t>
      </w:r>
      <w:proofErr w:type="spellStart"/>
      <w:r w:rsidRPr="00B3504E">
        <w:rPr>
          <w:rFonts w:asciiTheme="majorHAnsi" w:hAnsiTheme="majorHAnsi"/>
          <w:i/>
          <w:iCs/>
          <w:sz w:val="16"/>
          <w:szCs w:val="16"/>
        </w:rPr>
        <w:t>Canese</w:t>
      </w:r>
      <w:proofErr w:type="spellEnd"/>
      <w:r w:rsidRPr="00B3504E">
        <w:rPr>
          <w:rFonts w:asciiTheme="majorHAnsi" w:hAnsiTheme="majorHAnsi"/>
          <w:i/>
          <w:iCs/>
          <w:sz w:val="16"/>
          <w:szCs w:val="16"/>
        </w:rPr>
        <w:t xml:space="preserve"> v.</w:t>
      </w:r>
      <w:r w:rsidRPr="00B3504E">
        <w:rPr>
          <w:rFonts w:asciiTheme="majorHAnsi" w:hAnsiTheme="majorHAnsi"/>
          <w:sz w:val="16"/>
          <w:szCs w:val="16"/>
        </w:rPr>
        <w:t xml:space="preserve"> </w:t>
      </w:r>
      <w:r w:rsidRPr="00B3504E">
        <w:rPr>
          <w:rFonts w:asciiTheme="majorHAnsi" w:hAnsiTheme="majorHAnsi"/>
          <w:i/>
          <w:iCs/>
          <w:sz w:val="16"/>
          <w:szCs w:val="16"/>
        </w:rPr>
        <w:t>Paraguay,</w:t>
      </w:r>
      <w:r w:rsidRPr="00B3504E">
        <w:rPr>
          <w:rFonts w:asciiTheme="majorHAnsi" w:hAnsiTheme="majorHAnsi"/>
          <w:sz w:val="16"/>
          <w:szCs w:val="16"/>
        </w:rPr>
        <w:t xml:space="preserve"> Judgment of August 31, 2004, Series C No. 111, par. 142.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54A" w:rsidRDefault="0025354A" w:rsidP="0089339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25354A" w:rsidRDefault="002535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54A" w:rsidRDefault="00A318DC" w:rsidP="00A50FCF">
    <w:pPr>
      <w:pStyle w:val="Header"/>
      <w:tabs>
        <w:tab w:val="clear" w:pos="4320"/>
        <w:tab w:val="clear" w:pos="8640"/>
      </w:tabs>
      <w:jc w:val="center"/>
      <w:rPr>
        <w:sz w:val="22"/>
        <w:szCs w:val="22"/>
      </w:rPr>
    </w:pPr>
    <w:r>
      <w:rPr>
        <w:noProof/>
        <w:sz w:val="22"/>
        <w:szCs w:val="22"/>
      </w:rPr>
      <w:drawing>
        <wp:inline distT="0" distB="0" distL="0" distR="0">
          <wp:extent cx="1978025" cy="101600"/>
          <wp:effectExtent l="0" t="0" r="3175" b="0"/>
          <wp:docPr id="5" name="Picture 3" descr="Description: 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8025" cy="101600"/>
                  </a:xfrm>
                  <a:prstGeom prst="rect">
                    <a:avLst/>
                  </a:prstGeom>
                  <a:noFill/>
                  <a:ln>
                    <a:noFill/>
                  </a:ln>
                </pic:spPr>
              </pic:pic>
            </a:graphicData>
          </a:graphic>
        </wp:inline>
      </w:drawing>
    </w:r>
  </w:p>
  <w:p w:rsidR="0025354A" w:rsidRPr="00EC7D62" w:rsidRDefault="00435ECE"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D941F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9050020"/>
    <w:multiLevelType w:val="hybridMultilevel"/>
    <w:tmpl w:val="16E6E34A"/>
    <w:lvl w:ilvl="0" w:tplc="10D4F5F8">
      <w:start w:val="1"/>
      <w:numFmt w:val="decimal"/>
      <w:lvlText w:val="%1."/>
      <w:lvlJc w:val="left"/>
      <w:pPr>
        <w:tabs>
          <w:tab w:val="num" w:pos="1429"/>
        </w:tabs>
        <w:ind w:firstLine="720"/>
      </w:pPr>
      <w:rPr>
        <w:rFonts w:ascii="Cambria" w:hAnsi="Cambria" w:cs="Times New Roman" w:hint="default"/>
        <w:b w:val="0"/>
        <w:i w:val="0"/>
        <w:color w:val="000000"/>
        <w:sz w:val="20"/>
        <w:szCs w:val="20"/>
        <w:lang w:val="es-PE"/>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0C58E6D2">
      <w:start w:val="1"/>
      <w:numFmt w:val="decimal"/>
      <w:lvlText w:val="%4."/>
      <w:lvlJc w:val="left"/>
      <w:pPr>
        <w:tabs>
          <w:tab w:val="num" w:pos="2880"/>
        </w:tabs>
        <w:ind w:left="2880" w:hanging="360"/>
      </w:pPr>
      <w:rPr>
        <w:rFonts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3979AB"/>
    <w:multiLevelType w:val="hybridMultilevel"/>
    <w:tmpl w:val="68F03888"/>
    <w:lvl w:ilvl="0" w:tplc="300E081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913E7C"/>
    <w:multiLevelType w:val="hybridMultilevel"/>
    <w:tmpl w:val="97EE0F18"/>
    <w:lvl w:ilvl="0" w:tplc="10D4F5F8">
      <w:start w:val="1"/>
      <w:numFmt w:val="decimal"/>
      <w:lvlText w:val="%1."/>
      <w:lvlJc w:val="left"/>
      <w:pPr>
        <w:tabs>
          <w:tab w:val="num" w:pos="1429"/>
        </w:tabs>
        <w:ind w:firstLine="720"/>
      </w:pPr>
      <w:rPr>
        <w:rFonts w:ascii="Cambria" w:hAnsi="Cambria" w:cs="Times New Roman" w:hint="default"/>
        <w:b w:val="0"/>
        <w:i w:val="0"/>
        <w:color w:val="000000"/>
        <w:sz w:val="20"/>
        <w:szCs w:val="20"/>
        <w:lang w:val="es-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3DC61D90"/>
    <w:multiLevelType w:val="hybridMultilevel"/>
    <w:tmpl w:val="14C2A7A6"/>
    <w:lvl w:ilvl="0" w:tplc="91C6FCC8">
      <w:start w:val="1"/>
      <w:numFmt w:val="decimal"/>
      <w:lvlText w:val="%1."/>
      <w:lvlJc w:val="left"/>
      <w:pPr>
        <w:tabs>
          <w:tab w:val="num" w:pos="1440"/>
        </w:tabs>
        <w:ind w:left="1440" w:hanging="360"/>
      </w:pPr>
      <w:rPr>
        <w:rFonts w:ascii="Cambria" w:hAnsi="Cambria" w:cs="Times New Roman" w:hint="default"/>
        <w:b w:val="0"/>
        <w:i w:val="0"/>
        <w:sz w:val="20"/>
        <w:szCs w:val="20"/>
        <w:lang w:val="es-V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8106D8"/>
    <w:multiLevelType w:val="hybridMultilevel"/>
    <w:tmpl w:val="6152E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E479CB"/>
    <w:multiLevelType w:val="hybridMultilevel"/>
    <w:tmpl w:val="C640149C"/>
    <w:lvl w:ilvl="0" w:tplc="0A0E2EC4">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0561B8E"/>
    <w:multiLevelType w:val="hybridMultilevel"/>
    <w:tmpl w:val="7C44C386"/>
    <w:lvl w:ilvl="0" w:tplc="71B23924">
      <w:start w:val="1"/>
      <w:numFmt w:val="decimal"/>
      <w:lvlText w:val="%1."/>
      <w:lvlJc w:val="left"/>
      <w:pPr>
        <w:tabs>
          <w:tab w:val="num" w:pos="1429"/>
        </w:tabs>
        <w:ind w:left="1429" w:hanging="720"/>
      </w:pPr>
      <w:rPr>
        <w:rFonts w:ascii="Cambria" w:hAnsi="Cambria" w:cs="Times New Roman" w:hint="default"/>
        <w:b w:val="0"/>
        <w:color w:val="auto"/>
        <w:sz w:val="20"/>
        <w:szCs w:val="20"/>
      </w:rPr>
    </w:lvl>
    <w:lvl w:ilvl="1" w:tplc="04090019">
      <w:start w:val="1"/>
      <w:numFmt w:val="lowerLetter"/>
      <w:lvlText w:val="%2."/>
      <w:lvlJc w:val="left"/>
      <w:pPr>
        <w:tabs>
          <w:tab w:val="num" w:pos="1800"/>
        </w:tabs>
        <w:ind w:left="1800" w:hanging="360"/>
      </w:pPr>
      <w:rPr>
        <w:rFonts w:cs="Times New Roman"/>
      </w:rPr>
    </w:lvl>
    <w:lvl w:ilvl="2" w:tplc="3CA6FEDA">
      <w:start w:val="5"/>
      <w:numFmt w:val="upperRoman"/>
      <w:lvlText w:val="%3."/>
      <w:lvlJc w:val="left"/>
      <w:pPr>
        <w:tabs>
          <w:tab w:val="num" w:pos="3060"/>
        </w:tabs>
        <w:ind w:left="3060" w:hanging="720"/>
      </w:pPr>
      <w:rPr>
        <w:rFonts w:cs="Times New Roman" w:hint="default"/>
      </w:rPr>
    </w:lvl>
    <w:lvl w:ilvl="3" w:tplc="71681AC0">
      <w:start w:val="1"/>
      <w:numFmt w:val="upperLetter"/>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6A101BB"/>
    <w:multiLevelType w:val="hybridMultilevel"/>
    <w:tmpl w:val="455C2F06"/>
    <w:lvl w:ilvl="0" w:tplc="CB3E82CC">
      <w:start w:val="1"/>
      <w:numFmt w:val="upperRoman"/>
      <w:lvlText w:val="%1."/>
      <w:lvlJc w:val="left"/>
      <w:pPr>
        <w:tabs>
          <w:tab w:val="num" w:pos="1440"/>
        </w:tabs>
        <w:ind w:left="1440" w:hanging="720"/>
      </w:pPr>
      <w:rPr>
        <w:rFonts w:cs="Times New Roman" w:hint="default"/>
        <w:b/>
      </w:rPr>
    </w:lvl>
    <w:lvl w:ilvl="1" w:tplc="47D87E38">
      <w:start w:val="1"/>
      <w:numFmt w:val="decimal"/>
      <w:lvlText w:val="%2."/>
      <w:lvlJc w:val="left"/>
      <w:pPr>
        <w:tabs>
          <w:tab w:val="num" w:pos="1800"/>
        </w:tabs>
        <w:ind w:left="1800" w:hanging="360"/>
      </w:pPr>
      <w:rPr>
        <w:rFonts w:cs="Times New Roman" w:hint="default"/>
        <w:b/>
        <w:color w:val="auto"/>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2">
    <w:nsid w:val="66BE5E6A"/>
    <w:multiLevelType w:val="hybridMultilevel"/>
    <w:tmpl w:val="99A4964C"/>
    <w:lvl w:ilvl="0" w:tplc="B95E0210">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E6084074"/>
    <w:lvl w:ilvl="0" w:tplc="FC34F45C">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DD65A3B"/>
    <w:multiLevelType w:val="hybridMultilevel"/>
    <w:tmpl w:val="B5C2416C"/>
    <w:lvl w:ilvl="0" w:tplc="10D4F5F8">
      <w:start w:val="1"/>
      <w:numFmt w:val="decimal"/>
      <w:lvlText w:val="%1."/>
      <w:lvlJc w:val="left"/>
      <w:pPr>
        <w:tabs>
          <w:tab w:val="num" w:pos="2149"/>
        </w:tabs>
        <w:ind w:firstLine="720"/>
      </w:pPr>
      <w:rPr>
        <w:rFonts w:ascii="Cambria" w:hAnsi="Cambria" w:cs="Times New Roman" w:hint="default"/>
        <w:b w:val="0"/>
        <w:i w:val="0"/>
        <w:color w:val="000000"/>
        <w:sz w:val="20"/>
        <w:szCs w:val="20"/>
        <w:lang w:val="es-P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CC36F6"/>
    <w:multiLevelType w:val="hybridMultilevel"/>
    <w:tmpl w:val="3FB08DBE"/>
    <w:lvl w:ilvl="0" w:tplc="7D0A5278">
      <w:start w:val="1"/>
      <w:numFmt w:val="decimal"/>
      <w:pStyle w:val="Style2"/>
      <w:lvlText w:val="%1."/>
      <w:lvlJc w:val="left"/>
      <w:pPr>
        <w:tabs>
          <w:tab w:val="num" w:pos="720"/>
        </w:tabs>
        <w:ind w:left="0" w:firstLine="72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8"/>
  </w:num>
  <w:num w:numId="4">
    <w:abstractNumId w:val="23"/>
  </w:num>
  <w:num w:numId="5">
    <w:abstractNumId w:val="50"/>
  </w:num>
  <w:num w:numId="6">
    <w:abstractNumId w:val="28"/>
  </w:num>
  <w:num w:numId="7">
    <w:abstractNumId w:val="7"/>
  </w:num>
  <w:num w:numId="8">
    <w:abstractNumId w:val="18"/>
  </w:num>
  <w:num w:numId="9">
    <w:abstractNumId w:val="45"/>
  </w:num>
  <w:num w:numId="10">
    <w:abstractNumId w:val="1"/>
  </w:num>
  <w:num w:numId="11">
    <w:abstractNumId w:val="39"/>
  </w:num>
  <w:num w:numId="12">
    <w:abstractNumId w:val="41"/>
  </w:num>
  <w:num w:numId="13">
    <w:abstractNumId w:val="46"/>
  </w:num>
  <w:num w:numId="14">
    <w:abstractNumId w:val="2"/>
  </w:num>
  <w:num w:numId="15">
    <w:abstractNumId w:val="3"/>
  </w:num>
  <w:num w:numId="16">
    <w:abstractNumId w:val="8"/>
  </w:num>
  <w:num w:numId="17">
    <w:abstractNumId w:val="9"/>
  </w:num>
  <w:num w:numId="18">
    <w:abstractNumId w:val="10"/>
  </w:num>
  <w:num w:numId="19">
    <w:abstractNumId w:val="11"/>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1"/>
  </w:num>
  <w:num w:numId="33">
    <w:abstractNumId w:val="32"/>
  </w:num>
  <w:num w:numId="34">
    <w:abstractNumId w:val="33"/>
  </w:num>
  <w:num w:numId="35">
    <w:abstractNumId w:val="34"/>
  </w:num>
  <w:num w:numId="36">
    <w:abstractNumId w:val="35"/>
  </w:num>
  <w:num w:numId="37">
    <w:abstractNumId w:val="37"/>
  </w:num>
  <w:num w:numId="38">
    <w:abstractNumId w:val="38"/>
  </w:num>
  <w:num w:numId="39">
    <w:abstractNumId w:val="42"/>
  </w:num>
  <w:num w:numId="40">
    <w:abstractNumId w:val="43"/>
  </w:num>
  <w:num w:numId="41">
    <w:abstractNumId w:val="49"/>
  </w:num>
  <w:num w:numId="42">
    <w:abstractNumId w:val="53"/>
  </w:num>
  <w:num w:numId="43">
    <w:abstractNumId w:val="54"/>
  </w:num>
  <w:num w:numId="44">
    <w:abstractNumId w:val="56"/>
  </w:num>
  <w:num w:numId="45">
    <w:abstractNumId w:val="57"/>
  </w:num>
  <w:num w:numId="46">
    <w:abstractNumId w:val="59"/>
  </w:num>
  <w:num w:numId="47">
    <w:abstractNumId w:val="60"/>
  </w:num>
  <w:num w:numId="48">
    <w:abstractNumId w:val="61"/>
  </w:num>
  <w:num w:numId="49">
    <w:abstractNumId w:val="63"/>
  </w:num>
  <w:num w:numId="50">
    <w:abstractNumId w:val="65"/>
  </w:num>
  <w:num w:numId="51">
    <w:abstractNumId w:val="22"/>
  </w:num>
  <w:num w:numId="52">
    <w:abstractNumId w:val="44"/>
  </w:num>
  <w:num w:numId="53">
    <w:abstractNumId w:val="55"/>
  </w:num>
  <w:num w:numId="54">
    <w:abstractNumId w:val="47"/>
  </w:num>
  <w:num w:numId="55">
    <w:abstractNumId w:val="6"/>
  </w:num>
  <w:num w:numId="56">
    <w:abstractNumId w:val="12"/>
  </w:num>
  <w:num w:numId="57">
    <w:abstractNumId w:val="64"/>
  </w:num>
  <w:num w:numId="58">
    <w:abstractNumId w:val="62"/>
  </w:num>
  <w:num w:numId="59">
    <w:abstractNumId w:val="0"/>
  </w:num>
  <w:num w:numId="60">
    <w:abstractNumId w:val="21"/>
  </w:num>
  <w:num w:numId="61">
    <w:abstractNumId w:val="36"/>
  </w:num>
  <w:num w:numId="62">
    <w:abstractNumId w:val="40"/>
  </w:num>
  <w:num w:numId="63">
    <w:abstractNumId w:val="30"/>
  </w:num>
  <w:num w:numId="64">
    <w:abstractNumId w:val="51"/>
  </w:num>
  <w:num w:numId="65">
    <w:abstractNumId w:val="48"/>
  </w:num>
  <w:num w:numId="66">
    <w:abstractNumId w:val="5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8194"/>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700787C-7756-4DA7-B42F-CBBC3D2494A7}"/>
    <w:docVar w:name="dgnword-eventsink" w:val="375763680"/>
  </w:docVars>
  <w:rsids>
    <w:rsidRoot w:val="006B2D5C"/>
    <w:rsid w:val="0000036F"/>
    <w:rsid w:val="00000C74"/>
    <w:rsid w:val="00000CDA"/>
    <w:rsid w:val="0000173E"/>
    <w:rsid w:val="00002497"/>
    <w:rsid w:val="000031EC"/>
    <w:rsid w:val="00005834"/>
    <w:rsid w:val="00006E1F"/>
    <w:rsid w:val="000070D7"/>
    <w:rsid w:val="00007506"/>
    <w:rsid w:val="00007D4C"/>
    <w:rsid w:val="00011662"/>
    <w:rsid w:val="00011E17"/>
    <w:rsid w:val="000127C3"/>
    <w:rsid w:val="00012FCE"/>
    <w:rsid w:val="0001348F"/>
    <w:rsid w:val="0001550E"/>
    <w:rsid w:val="00015AA6"/>
    <w:rsid w:val="000166C8"/>
    <w:rsid w:val="00016A79"/>
    <w:rsid w:val="00016C80"/>
    <w:rsid w:val="0001788C"/>
    <w:rsid w:val="00020808"/>
    <w:rsid w:val="00020999"/>
    <w:rsid w:val="000219F1"/>
    <w:rsid w:val="00021DBF"/>
    <w:rsid w:val="00024307"/>
    <w:rsid w:val="000246E9"/>
    <w:rsid w:val="00026248"/>
    <w:rsid w:val="000277E6"/>
    <w:rsid w:val="0002788B"/>
    <w:rsid w:val="000308B6"/>
    <w:rsid w:val="0003283D"/>
    <w:rsid w:val="000336FE"/>
    <w:rsid w:val="00033BFF"/>
    <w:rsid w:val="00036141"/>
    <w:rsid w:val="00040C3A"/>
    <w:rsid w:val="0004124D"/>
    <w:rsid w:val="000416D4"/>
    <w:rsid w:val="00041997"/>
    <w:rsid w:val="0004488C"/>
    <w:rsid w:val="000451D1"/>
    <w:rsid w:val="0004562F"/>
    <w:rsid w:val="00045D4D"/>
    <w:rsid w:val="00051CE0"/>
    <w:rsid w:val="00053E07"/>
    <w:rsid w:val="00053E54"/>
    <w:rsid w:val="0005428B"/>
    <w:rsid w:val="00055921"/>
    <w:rsid w:val="00061170"/>
    <w:rsid w:val="0006236A"/>
    <w:rsid w:val="00063B94"/>
    <w:rsid w:val="00064223"/>
    <w:rsid w:val="00065BCB"/>
    <w:rsid w:val="00065F05"/>
    <w:rsid w:val="00066FDC"/>
    <w:rsid w:val="0007094B"/>
    <w:rsid w:val="000716C5"/>
    <w:rsid w:val="000719D0"/>
    <w:rsid w:val="000737C6"/>
    <w:rsid w:val="00075E23"/>
    <w:rsid w:val="00076946"/>
    <w:rsid w:val="000802BC"/>
    <w:rsid w:val="000807BA"/>
    <w:rsid w:val="00082BA8"/>
    <w:rsid w:val="000842C9"/>
    <w:rsid w:val="0008461D"/>
    <w:rsid w:val="000862FE"/>
    <w:rsid w:val="00087833"/>
    <w:rsid w:val="00090145"/>
    <w:rsid w:val="00092461"/>
    <w:rsid w:val="000927AD"/>
    <w:rsid w:val="0009344A"/>
    <w:rsid w:val="00093556"/>
    <w:rsid w:val="00093C55"/>
    <w:rsid w:val="00097134"/>
    <w:rsid w:val="000A045E"/>
    <w:rsid w:val="000A07AF"/>
    <w:rsid w:val="000A16F3"/>
    <w:rsid w:val="000A17A5"/>
    <w:rsid w:val="000A2001"/>
    <w:rsid w:val="000A2DAB"/>
    <w:rsid w:val="000A392E"/>
    <w:rsid w:val="000A550C"/>
    <w:rsid w:val="000A575F"/>
    <w:rsid w:val="000A772F"/>
    <w:rsid w:val="000A7B77"/>
    <w:rsid w:val="000A7E9C"/>
    <w:rsid w:val="000B20BD"/>
    <w:rsid w:val="000B20D8"/>
    <w:rsid w:val="000B2106"/>
    <w:rsid w:val="000B4539"/>
    <w:rsid w:val="000B74FA"/>
    <w:rsid w:val="000C0CA0"/>
    <w:rsid w:val="000C195B"/>
    <w:rsid w:val="000C1DAE"/>
    <w:rsid w:val="000C2D9C"/>
    <w:rsid w:val="000C54A2"/>
    <w:rsid w:val="000C5AAB"/>
    <w:rsid w:val="000D099D"/>
    <w:rsid w:val="000D10DB"/>
    <w:rsid w:val="000D1BCF"/>
    <w:rsid w:val="000D5652"/>
    <w:rsid w:val="000D5912"/>
    <w:rsid w:val="000E1302"/>
    <w:rsid w:val="000E274C"/>
    <w:rsid w:val="000E42EA"/>
    <w:rsid w:val="000E513D"/>
    <w:rsid w:val="000E5EB5"/>
    <w:rsid w:val="000E7947"/>
    <w:rsid w:val="000F2057"/>
    <w:rsid w:val="000F35ED"/>
    <w:rsid w:val="000F43A8"/>
    <w:rsid w:val="000F494B"/>
    <w:rsid w:val="000F5186"/>
    <w:rsid w:val="000F6D9D"/>
    <w:rsid w:val="001010E3"/>
    <w:rsid w:val="00102615"/>
    <w:rsid w:val="00102AF7"/>
    <w:rsid w:val="00102B7B"/>
    <w:rsid w:val="001038FA"/>
    <w:rsid w:val="00104FA7"/>
    <w:rsid w:val="00106036"/>
    <w:rsid w:val="00107131"/>
    <w:rsid w:val="0010736F"/>
    <w:rsid w:val="00110CDB"/>
    <w:rsid w:val="00110DAC"/>
    <w:rsid w:val="0011191A"/>
    <w:rsid w:val="00111AD0"/>
    <w:rsid w:val="00112588"/>
    <w:rsid w:val="00113F73"/>
    <w:rsid w:val="0011576B"/>
    <w:rsid w:val="00115A54"/>
    <w:rsid w:val="00115F81"/>
    <w:rsid w:val="001171AF"/>
    <w:rsid w:val="00121CC2"/>
    <w:rsid w:val="001220B7"/>
    <w:rsid w:val="001237DE"/>
    <w:rsid w:val="00124F62"/>
    <w:rsid w:val="00131497"/>
    <w:rsid w:val="0013225C"/>
    <w:rsid w:val="001337A7"/>
    <w:rsid w:val="00133EE5"/>
    <w:rsid w:val="00135978"/>
    <w:rsid w:val="00140A6C"/>
    <w:rsid w:val="00141E6D"/>
    <w:rsid w:val="001425B4"/>
    <w:rsid w:val="00145FEC"/>
    <w:rsid w:val="001474B4"/>
    <w:rsid w:val="00152D31"/>
    <w:rsid w:val="0015406E"/>
    <w:rsid w:val="00154644"/>
    <w:rsid w:val="00154A98"/>
    <w:rsid w:val="00156981"/>
    <w:rsid w:val="001575BF"/>
    <w:rsid w:val="001612A6"/>
    <w:rsid w:val="00161414"/>
    <w:rsid w:val="0016163F"/>
    <w:rsid w:val="00162A5A"/>
    <w:rsid w:val="0016747C"/>
    <w:rsid w:val="00167A34"/>
    <w:rsid w:val="00172429"/>
    <w:rsid w:val="00172538"/>
    <w:rsid w:val="0017372C"/>
    <w:rsid w:val="00174313"/>
    <w:rsid w:val="0017533B"/>
    <w:rsid w:val="0017691B"/>
    <w:rsid w:val="001772CC"/>
    <w:rsid w:val="0017778A"/>
    <w:rsid w:val="001801CE"/>
    <w:rsid w:val="001802A0"/>
    <w:rsid w:val="0018354E"/>
    <w:rsid w:val="00183DB4"/>
    <w:rsid w:val="00184955"/>
    <w:rsid w:val="00191BCE"/>
    <w:rsid w:val="00192533"/>
    <w:rsid w:val="00194106"/>
    <w:rsid w:val="00194611"/>
    <w:rsid w:val="001970B3"/>
    <w:rsid w:val="00197403"/>
    <w:rsid w:val="00197E50"/>
    <w:rsid w:val="001A0C3F"/>
    <w:rsid w:val="001A0CB8"/>
    <w:rsid w:val="001A21B4"/>
    <w:rsid w:val="001A4058"/>
    <w:rsid w:val="001A44B0"/>
    <w:rsid w:val="001A4D09"/>
    <w:rsid w:val="001A6EF3"/>
    <w:rsid w:val="001A7870"/>
    <w:rsid w:val="001B1BE6"/>
    <w:rsid w:val="001B229F"/>
    <w:rsid w:val="001B3541"/>
    <w:rsid w:val="001B49DD"/>
    <w:rsid w:val="001C050A"/>
    <w:rsid w:val="001C0E33"/>
    <w:rsid w:val="001C0F16"/>
    <w:rsid w:val="001C1B41"/>
    <w:rsid w:val="001C2B50"/>
    <w:rsid w:val="001C3273"/>
    <w:rsid w:val="001C34E0"/>
    <w:rsid w:val="001C3707"/>
    <w:rsid w:val="001C3B7A"/>
    <w:rsid w:val="001C6C41"/>
    <w:rsid w:val="001C71FC"/>
    <w:rsid w:val="001C78CE"/>
    <w:rsid w:val="001D0061"/>
    <w:rsid w:val="001D12A6"/>
    <w:rsid w:val="001D230D"/>
    <w:rsid w:val="001D34D3"/>
    <w:rsid w:val="001D3631"/>
    <w:rsid w:val="001D4EE2"/>
    <w:rsid w:val="001D551C"/>
    <w:rsid w:val="001D65EF"/>
    <w:rsid w:val="001D6829"/>
    <w:rsid w:val="001D7A78"/>
    <w:rsid w:val="001E0261"/>
    <w:rsid w:val="001E04D5"/>
    <w:rsid w:val="001E1991"/>
    <w:rsid w:val="001E1D04"/>
    <w:rsid w:val="001E28DA"/>
    <w:rsid w:val="001E3062"/>
    <w:rsid w:val="001E31B5"/>
    <w:rsid w:val="001E45AA"/>
    <w:rsid w:val="001E5F6D"/>
    <w:rsid w:val="001E73E4"/>
    <w:rsid w:val="001F0CC1"/>
    <w:rsid w:val="001F0E68"/>
    <w:rsid w:val="001F3A4D"/>
    <w:rsid w:val="001F69B8"/>
    <w:rsid w:val="001F6DAB"/>
    <w:rsid w:val="001F77B0"/>
    <w:rsid w:val="002027C1"/>
    <w:rsid w:val="00202DCF"/>
    <w:rsid w:val="0020369B"/>
    <w:rsid w:val="0020556A"/>
    <w:rsid w:val="0020581A"/>
    <w:rsid w:val="00212554"/>
    <w:rsid w:val="00215DD5"/>
    <w:rsid w:val="00220487"/>
    <w:rsid w:val="00221825"/>
    <w:rsid w:val="0022297B"/>
    <w:rsid w:val="00222A5F"/>
    <w:rsid w:val="002231DC"/>
    <w:rsid w:val="00224740"/>
    <w:rsid w:val="002247E3"/>
    <w:rsid w:val="002250A3"/>
    <w:rsid w:val="00225BAD"/>
    <w:rsid w:val="002262DD"/>
    <w:rsid w:val="00227CC8"/>
    <w:rsid w:val="002302D7"/>
    <w:rsid w:val="002312D9"/>
    <w:rsid w:val="00235217"/>
    <w:rsid w:val="00236786"/>
    <w:rsid w:val="0024191D"/>
    <w:rsid w:val="00241E56"/>
    <w:rsid w:val="00245670"/>
    <w:rsid w:val="00245BF1"/>
    <w:rsid w:val="00246358"/>
    <w:rsid w:val="002468B3"/>
    <w:rsid w:val="00246D1F"/>
    <w:rsid w:val="00247403"/>
    <w:rsid w:val="00247542"/>
    <w:rsid w:val="00247C1B"/>
    <w:rsid w:val="0025162A"/>
    <w:rsid w:val="00251EAE"/>
    <w:rsid w:val="00252613"/>
    <w:rsid w:val="00253414"/>
    <w:rsid w:val="0025354A"/>
    <w:rsid w:val="0025671F"/>
    <w:rsid w:val="0026295A"/>
    <w:rsid w:val="0026443D"/>
    <w:rsid w:val="00265636"/>
    <w:rsid w:val="00266844"/>
    <w:rsid w:val="00266B61"/>
    <w:rsid w:val="0026712A"/>
    <w:rsid w:val="002704DB"/>
    <w:rsid w:val="00270604"/>
    <w:rsid w:val="00273BB5"/>
    <w:rsid w:val="00273E61"/>
    <w:rsid w:val="00275243"/>
    <w:rsid w:val="00275F40"/>
    <w:rsid w:val="00277F5C"/>
    <w:rsid w:val="002819CB"/>
    <w:rsid w:val="002840D4"/>
    <w:rsid w:val="00285618"/>
    <w:rsid w:val="00287948"/>
    <w:rsid w:val="00287AAE"/>
    <w:rsid w:val="002925A7"/>
    <w:rsid w:val="0029409A"/>
    <w:rsid w:val="0029581B"/>
    <w:rsid w:val="0029607A"/>
    <w:rsid w:val="00296A13"/>
    <w:rsid w:val="00296AF6"/>
    <w:rsid w:val="00296DAF"/>
    <w:rsid w:val="00297DA2"/>
    <w:rsid w:val="002A0AAE"/>
    <w:rsid w:val="002A2085"/>
    <w:rsid w:val="002A2649"/>
    <w:rsid w:val="002A5820"/>
    <w:rsid w:val="002A6BB8"/>
    <w:rsid w:val="002A7838"/>
    <w:rsid w:val="002B09B6"/>
    <w:rsid w:val="002B0C49"/>
    <w:rsid w:val="002B1654"/>
    <w:rsid w:val="002C1503"/>
    <w:rsid w:val="002C2B64"/>
    <w:rsid w:val="002C4D3A"/>
    <w:rsid w:val="002C6B4C"/>
    <w:rsid w:val="002C6DD2"/>
    <w:rsid w:val="002C7150"/>
    <w:rsid w:val="002D0B9D"/>
    <w:rsid w:val="002D2A71"/>
    <w:rsid w:val="002D2B26"/>
    <w:rsid w:val="002D6DF8"/>
    <w:rsid w:val="002D7EA2"/>
    <w:rsid w:val="002E187C"/>
    <w:rsid w:val="002E1D03"/>
    <w:rsid w:val="002E4357"/>
    <w:rsid w:val="002E643A"/>
    <w:rsid w:val="002E7F9F"/>
    <w:rsid w:val="002F0391"/>
    <w:rsid w:val="002F1167"/>
    <w:rsid w:val="002F1789"/>
    <w:rsid w:val="002F5775"/>
    <w:rsid w:val="002F5E72"/>
    <w:rsid w:val="002F7F44"/>
    <w:rsid w:val="0030179B"/>
    <w:rsid w:val="00302733"/>
    <w:rsid w:val="003057C4"/>
    <w:rsid w:val="0030629B"/>
    <w:rsid w:val="00306326"/>
    <w:rsid w:val="0030633A"/>
    <w:rsid w:val="00306657"/>
    <w:rsid w:val="003122CD"/>
    <w:rsid w:val="00312F14"/>
    <w:rsid w:val="0031342D"/>
    <w:rsid w:val="00314078"/>
    <w:rsid w:val="0031535D"/>
    <w:rsid w:val="00315F73"/>
    <w:rsid w:val="0031730F"/>
    <w:rsid w:val="003174DB"/>
    <w:rsid w:val="003178E3"/>
    <w:rsid w:val="00317912"/>
    <w:rsid w:val="003205B4"/>
    <w:rsid w:val="00322FA4"/>
    <w:rsid w:val="00323B9E"/>
    <w:rsid w:val="00325574"/>
    <w:rsid w:val="00330C8A"/>
    <w:rsid w:val="0033169F"/>
    <w:rsid w:val="00332FF1"/>
    <w:rsid w:val="003347FF"/>
    <w:rsid w:val="00335D5F"/>
    <w:rsid w:val="00336266"/>
    <w:rsid w:val="00340677"/>
    <w:rsid w:val="00340FFE"/>
    <w:rsid w:val="003427D8"/>
    <w:rsid w:val="00342FFC"/>
    <w:rsid w:val="00345500"/>
    <w:rsid w:val="00345D92"/>
    <w:rsid w:val="00346637"/>
    <w:rsid w:val="00346C95"/>
    <w:rsid w:val="003477C5"/>
    <w:rsid w:val="0035073E"/>
    <w:rsid w:val="00351D17"/>
    <w:rsid w:val="0035450C"/>
    <w:rsid w:val="00356185"/>
    <w:rsid w:val="00356BE7"/>
    <w:rsid w:val="0035731A"/>
    <w:rsid w:val="00360380"/>
    <w:rsid w:val="003616F3"/>
    <w:rsid w:val="003619CE"/>
    <w:rsid w:val="003630AF"/>
    <w:rsid w:val="003636D3"/>
    <w:rsid w:val="00364105"/>
    <w:rsid w:val="00367AF5"/>
    <w:rsid w:val="0037079B"/>
    <w:rsid w:val="00370AA1"/>
    <w:rsid w:val="00372E5B"/>
    <w:rsid w:val="003732CA"/>
    <w:rsid w:val="00373B91"/>
    <w:rsid w:val="00373E33"/>
    <w:rsid w:val="00374BBE"/>
    <w:rsid w:val="00374C4E"/>
    <w:rsid w:val="0037519E"/>
    <w:rsid w:val="0037673C"/>
    <w:rsid w:val="00380035"/>
    <w:rsid w:val="00381524"/>
    <w:rsid w:val="003818B0"/>
    <w:rsid w:val="00385652"/>
    <w:rsid w:val="00385E10"/>
    <w:rsid w:val="00386CF0"/>
    <w:rsid w:val="00390375"/>
    <w:rsid w:val="00390BCD"/>
    <w:rsid w:val="00391220"/>
    <w:rsid w:val="003938DC"/>
    <w:rsid w:val="003942F0"/>
    <w:rsid w:val="0039430B"/>
    <w:rsid w:val="00395688"/>
    <w:rsid w:val="0039763C"/>
    <w:rsid w:val="00397A2E"/>
    <w:rsid w:val="003A1B0C"/>
    <w:rsid w:val="003A2BF2"/>
    <w:rsid w:val="003A2E71"/>
    <w:rsid w:val="003A357C"/>
    <w:rsid w:val="003A4606"/>
    <w:rsid w:val="003A4D96"/>
    <w:rsid w:val="003A4E74"/>
    <w:rsid w:val="003A65F2"/>
    <w:rsid w:val="003A6CAF"/>
    <w:rsid w:val="003B00A2"/>
    <w:rsid w:val="003B0A5E"/>
    <w:rsid w:val="003B1947"/>
    <w:rsid w:val="003B3C5F"/>
    <w:rsid w:val="003B48B6"/>
    <w:rsid w:val="003B595A"/>
    <w:rsid w:val="003B735A"/>
    <w:rsid w:val="003C003B"/>
    <w:rsid w:val="003C0407"/>
    <w:rsid w:val="003C0944"/>
    <w:rsid w:val="003C1298"/>
    <w:rsid w:val="003C26CC"/>
    <w:rsid w:val="003C3917"/>
    <w:rsid w:val="003C4117"/>
    <w:rsid w:val="003C676B"/>
    <w:rsid w:val="003C6ECC"/>
    <w:rsid w:val="003D065D"/>
    <w:rsid w:val="003D06FB"/>
    <w:rsid w:val="003D1204"/>
    <w:rsid w:val="003D2A55"/>
    <w:rsid w:val="003D3BC2"/>
    <w:rsid w:val="003D4AE8"/>
    <w:rsid w:val="003D7FDB"/>
    <w:rsid w:val="003E0AE4"/>
    <w:rsid w:val="003E0D23"/>
    <w:rsid w:val="003E29FA"/>
    <w:rsid w:val="003E5A05"/>
    <w:rsid w:val="003E6B74"/>
    <w:rsid w:val="003E6CA1"/>
    <w:rsid w:val="003E7B7A"/>
    <w:rsid w:val="003F0AA6"/>
    <w:rsid w:val="003F14FD"/>
    <w:rsid w:val="003F1C67"/>
    <w:rsid w:val="003F1D4C"/>
    <w:rsid w:val="003F2C42"/>
    <w:rsid w:val="003F53C1"/>
    <w:rsid w:val="003F5598"/>
    <w:rsid w:val="00402258"/>
    <w:rsid w:val="004038C0"/>
    <w:rsid w:val="00407F80"/>
    <w:rsid w:val="00411B60"/>
    <w:rsid w:val="00411D99"/>
    <w:rsid w:val="004149B7"/>
    <w:rsid w:val="004152E3"/>
    <w:rsid w:val="004157EA"/>
    <w:rsid w:val="00416520"/>
    <w:rsid w:val="004165C2"/>
    <w:rsid w:val="00421CD5"/>
    <w:rsid w:val="00423B3C"/>
    <w:rsid w:val="00423B50"/>
    <w:rsid w:val="00426B4D"/>
    <w:rsid w:val="0043254D"/>
    <w:rsid w:val="00432E1D"/>
    <w:rsid w:val="004333B8"/>
    <w:rsid w:val="00435ECE"/>
    <w:rsid w:val="00436C97"/>
    <w:rsid w:val="004372F8"/>
    <w:rsid w:val="0044087E"/>
    <w:rsid w:val="00441ECB"/>
    <w:rsid w:val="00444C2B"/>
    <w:rsid w:val="00447C2D"/>
    <w:rsid w:val="00450640"/>
    <w:rsid w:val="004508FD"/>
    <w:rsid w:val="00453E89"/>
    <w:rsid w:val="00454991"/>
    <w:rsid w:val="00455F1C"/>
    <w:rsid w:val="0046342B"/>
    <w:rsid w:val="00463DD5"/>
    <w:rsid w:val="00466087"/>
    <w:rsid w:val="00467166"/>
    <w:rsid w:val="00467B7E"/>
    <w:rsid w:val="0047379F"/>
    <w:rsid w:val="00476B70"/>
    <w:rsid w:val="00477592"/>
    <w:rsid w:val="004778B8"/>
    <w:rsid w:val="004825CC"/>
    <w:rsid w:val="00483203"/>
    <w:rsid w:val="00483F40"/>
    <w:rsid w:val="004853DD"/>
    <w:rsid w:val="00486F1C"/>
    <w:rsid w:val="0048739C"/>
    <w:rsid w:val="004921E5"/>
    <w:rsid w:val="00492972"/>
    <w:rsid w:val="0049419D"/>
    <w:rsid w:val="004945D6"/>
    <w:rsid w:val="00495554"/>
    <w:rsid w:val="00495600"/>
    <w:rsid w:val="00497190"/>
    <w:rsid w:val="004A1166"/>
    <w:rsid w:val="004A1D2D"/>
    <w:rsid w:val="004A2A6B"/>
    <w:rsid w:val="004A5180"/>
    <w:rsid w:val="004A5B9B"/>
    <w:rsid w:val="004A635E"/>
    <w:rsid w:val="004A66C0"/>
    <w:rsid w:val="004A71FF"/>
    <w:rsid w:val="004A7E3C"/>
    <w:rsid w:val="004B1D51"/>
    <w:rsid w:val="004B2A95"/>
    <w:rsid w:val="004B2B7A"/>
    <w:rsid w:val="004B41F2"/>
    <w:rsid w:val="004B67AE"/>
    <w:rsid w:val="004C20D2"/>
    <w:rsid w:val="004C239F"/>
    <w:rsid w:val="004C41DF"/>
    <w:rsid w:val="004C4B62"/>
    <w:rsid w:val="004C4DC5"/>
    <w:rsid w:val="004C54C9"/>
    <w:rsid w:val="004C6EF3"/>
    <w:rsid w:val="004C7566"/>
    <w:rsid w:val="004D02E2"/>
    <w:rsid w:val="004D2EB7"/>
    <w:rsid w:val="004D316D"/>
    <w:rsid w:val="004D6025"/>
    <w:rsid w:val="004D70F4"/>
    <w:rsid w:val="004E1563"/>
    <w:rsid w:val="004E2093"/>
    <w:rsid w:val="004E2378"/>
    <w:rsid w:val="004E2649"/>
    <w:rsid w:val="004E2C41"/>
    <w:rsid w:val="004E3113"/>
    <w:rsid w:val="004E5B5C"/>
    <w:rsid w:val="004E6D75"/>
    <w:rsid w:val="004E7DFA"/>
    <w:rsid w:val="004F450C"/>
    <w:rsid w:val="004F656F"/>
    <w:rsid w:val="004F788A"/>
    <w:rsid w:val="00501399"/>
    <w:rsid w:val="00501887"/>
    <w:rsid w:val="00502057"/>
    <w:rsid w:val="0050366B"/>
    <w:rsid w:val="00504209"/>
    <w:rsid w:val="00504D47"/>
    <w:rsid w:val="005056C5"/>
    <w:rsid w:val="0050633D"/>
    <w:rsid w:val="00507BC4"/>
    <w:rsid w:val="0051084C"/>
    <w:rsid w:val="00510BE7"/>
    <w:rsid w:val="005128E4"/>
    <w:rsid w:val="005133DB"/>
    <w:rsid w:val="00513E67"/>
    <w:rsid w:val="00514B5C"/>
    <w:rsid w:val="00515C44"/>
    <w:rsid w:val="00515E1C"/>
    <w:rsid w:val="00516470"/>
    <w:rsid w:val="0051759E"/>
    <w:rsid w:val="005177BE"/>
    <w:rsid w:val="00520AC1"/>
    <w:rsid w:val="00520D8C"/>
    <w:rsid w:val="00525560"/>
    <w:rsid w:val="00525CC8"/>
    <w:rsid w:val="005276CE"/>
    <w:rsid w:val="005277A6"/>
    <w:rsid w:val="005358D0"/>
    <w:rsid w:val="0053686A"/>
    <w:rsid w:val="0054190E"/>
    <w:rsid w:val="00542E67"/>
    <w:rsid w:val="00542E76"/>
    <w:rsid w:val="00544C49"/>
    <w:rsid w:val="00545658"/>
    <w:rsid w:val="00545B6E"/>
    <w:rsid w:val="005506C0"/>
    <w:rsid w:val="005516A1"/>
    <w:rsid w:val="00552A59"/>
    <w:rsid w:val="00552F96"/>
    <w:rsid w:val="00553C56"/>
    <w:rsid w:val="00555B44"/>
    <w:rsid w:val="00556117"/>
    <w:rsid w:val="0055649D"/>
    <w:rsid w:val="0055713B"/>
    <w:rsid w:val="00557343"/>
    <w:rsid w:val="00557554"/>
    <w:rsid w:val="005577AD"/>
    <w:rsid w:val="00557885"/>
    <w:rsid w:val="005639B7"/>
    <w:rsid w:val="00563C20"/>
    <w:rsid w:val="00563CC4"/>
    <w:rsid w:val="0056444B"/>
    <w:rsid w:val="00564CE1"/>
    <w:rsid w:val="0056776F"/>
    <w:rsid w:val="00572624"/>
    <w:rsid w:val="0057402A"/>
    <w:rsid w:val="005771D0"/>
    <w:rsid w:val="005773E2"/>
    <w:rsid w:val="00577A6C"/>
    <w:rsid w:val="00581512"/>
    <w:rsid w:val="00582C12"/>
    <w:rsid w:val="00582C81"/>
    <w:rsid w:val="005850DC"/>
    <w:rsid w:val="005858A4"/>
    <w:rsid w:val="005863CA"/>
    <w:rsid w:val="00586AA7"/>
    <w:rsid w:val="00587B56"/>
    <w:rsid w:val="00587B79"/>
    <w:rsid w:val="00590147"/>
    <w:rsid w:val="0059088D"/>
    <w:rsid w:val="0059191A"/>
    <w:rsid w:val="005921FF"/>
    <w:rsid w:val="0059232F"/>
    <w:rsid w:val="00595BC2"/>
    <w:rsid w:val="00596DBA"/>
    <w:rsid w:val="00597139"/>
    <w:rsid w:val="00597E5A"/>
    <w:rsid w:val="005A1E24"/>
    <w:rsid w:val="005A2988"/>
    <w:rsid w:val="005A2F94"/>
    <w:rsid w:val="005A348C"/>
    <w:rsid w:val="005A4488"/>
    <w:rsid w:val="005A6D0E"/>
    <w:rsid w:val="005B13A7"/>
    <w:rsid w:val="005B1CE2"/>
    <w:rsid w:val="005B1D1D"/>
    <w:rsid w:val="005B382F"/>
    <w:rsid w:val="005B4749"/>
    <w:rsid w:val="005B52B0"/>
    <w:rsid w:val="005B54B0"/>
    <w:rsid w:val="005B585D"/>
    <w:rsid w:val="005B5CF4"/>
    <w:rsid w:val="005B6806"/>
    <w:rsid w:val="005B6E19"/>
    <w:rsid w:val="005B7C64"/>
    <w:rsid w:val="005B7FDA"/>
    <w:rsid w:val="005C04AD"/>
    <w:rsid w:val="005C0AC5"/>
    <w:rsid w:val="005C0DAC"/>
    <w:rsid w:val="005C0F66"/>
    <w:rsid w:val="005C14B0"/>
    <w:rsid w:val="005C157B"/>
    <w:rsid w:val="005C4225"/>
    <w:rsid w:val="005C42CD"/>
    <w:rsid w:val="005C438F"/>
    <w:rsid w:val="005C75CF"/>
    <w:rsid w:val="005C7A11"/>
    <w:rsid w:val="005D24F8"/>
    <w:rsid w:val="005D2E35"/>
    <w:rsid w:val="005D42C6"/>
    <w:rsid w:val="005D4522"/>
    <w:rsid w:val="005E1953"/>
    <w:rsid w:val="005E2711"/>
    <w:rsid w:val="005E3AD8"/>
    <w:rsid w:val="005E3B2D"/>
    <w:rsid w:val="005E4117"/>
    <w:rsid w:val="005E53A5"/>
    <w:rsid w:val="005E6031"/>
    <w:rsid w:val="005E7027"/>
    <w:rsid w:val="005E7969"/>
    <w:rsid w:val="005F0A28"/>
    <w:rsid w:val="005F0DAD"/>
    <w:rsid w:val="005F0F33"/>
    <w:rsid w:val="005F1A6C"/>
    <w:rsid w:val="005F254C"/>
    <w:rsid w:val="005F28D3"/>
    <w:rsid w:val="005F5E68"/>
    <w:rsid w:val="00600120"/>
    <w:rsid w:val="00600738"/>
    <w:rsid w:val="00600DEB"/>
    <w:rsid w:val="0060166C"/>
    <w:rsid w:val="00602384"/>
    <w:rsid w:val="0060385E"/>
    <w:rsid w:val="00604381"/>
    <w:rsid w:val="0060469B"/>
    <w:rsid w:val="00605782"/>
    <w:rsid w:val="006069E6"/>
    <w:rsid w:val="00611D1B"/>
    <w:rsid w:val="00613832"/>
    <w:rsid w:val="00614C63"/>
    <w:rsid w:val="006154BD"/>
    <w:rsid w:val="0061619F"/>
    <w:rsid w:val="00617C06"/>
    <w:rsid w:val="0062239B"/>
    <w:rsid w:val="006241C6"/>
    <w:rsid w:val="00624F35"/>
    <w:rsid w:val="00624F61"/>
    <w:rsid w:val="00625735"/>
    <w:rsid w:val="006262B3"/>
    <w:rsid w:val="00626BE5"/>
    <w:rsid w:val="0062780E"/>
    <w:rsid w:val="00627C9F"/>
    <w:rsid w:val="006305F3"/>
    <w:rsid w:val="00630827"/>
    <w:rsid w:val="006311E9"/>
    <w:rsid w:val="00632354"/>
    <w:rsid w:val="0063414B"/>
    <w:rsid w:val="0063554E"/>
    <w:rsid w:val="00635D78"/>
    <w:rsid w:val="00636832"/>
    <w:rsid w:val="00637181"/>
    <w:rsid w:val="00640588"/>
    <w:rsid w:val="0064083D"/>
    <w:rsid w:val="00640E59"/>
    <w:rsid w:val="00641344"/>
    <w:rsid w:val="00642750"/>
    <w:rsid w:val="00642810"/>
    <w:rsid w:val="006432D2"/>
    <w:rsid w:val="00643DA7"/>
    <w:rsid w:val="00644C08"/>
    <w:rsid w:val="00644E60"/>
    <w:rsid w:val="00645CE7"/>
    <w:rsid w:val="00651C0B"/>
    <w:rsid w:val="00652333"/>
    <w:rsid w:val="00652E79"/>
    <w:rsid w:val="0066032C"/>
    <w:rsid w:val="00660956"/>
    <w:rsid w:val="00660F7F"/>
    <w:rsid w:val="00661421"/>
    <w:rsid w:val="006624EE"/>
    <w:rsid w:val="00665089"/>
    <w:rsid w:val="006664D5"/>
    <w:rsid w:val="00672422"/>
    <w:rsid w:val="00673E50"/>
    <w:rsid w:val="006741A1"/>
    <w:rsid w:val="00674653"/>
    <w:rsid w:val="0067470D"/>
    <w:rsid w:val="00675298"/>
    <w:rsid w:val="00676C95"/>
    <w:rsid w:val="0068009E"/>
    <w:rsid w:val="006803C2"/>
    <w:rsid w:val="00692219"/>
    <w:rsid w:val="00692AE2"/>
    <w:rsid w:val="0069546F"/>
    <w:rsid w:val="006974C7"/>
    <w:rsid w:val="006A17D2"/>
    <w:rsid w:val="006A364B"/>
    <w:rsid w:val="006A473C"/>
    <w:rsid w:val="006A73E6"/>
    <w:rsid w:val="006A7737"/>
    <w:rsid w:val="006B006D"/>
    <w:rsid w:val="006B0DDC"/>
    <w:rsid w:val="006B0E43"/>
    <w:rsid w:val="006B2D5C"/>
    <w:rsid w:val="006B3DDD"/>
    <w:rsid w:val="006B7502"/>
    <w:rsid w:val="006C4EB1"/>
    <w:rsid w:val="006C6E5C"/>
    <w:rsid w:val="006D2D18"/>
    <w:rsid w:val="006D3683"/>
    <w:rsid w:val="006D5B5C"/>
    <w:rsid w:val="006E0166"/>
    <w:rsid w:val="006E0C18"/>
    <w:rsid w:val="006E13C3"/>
    <w:rsid w:val="006E19D8"/>
    <w:rsid w:val="006E1E04"/>
    <w:rsid w:val="006E2CB5"/>
    <w:rsid w:val="006E3CBE"/>
    <w:rsid w:val="006E4988"/>
    <w:rsid w:val="006E4D34"/>
    <w:rsid w:val="006E5380"/>
    <w:rsid w:val="006E5B1D"/>
    <w:rsid w:val="006E7B34"/>
    <w:rsid w:val="006F0B5B"/>
    <w:rsid w:val="006F11B5"/>
    <w:rsid w:val="006F18C8"/>
    <w:rsid w:val="006F26F5"/>
    <w:rsid w:val="006F4954"/>
    <w:rsid w:val="007008EB"/>
    <w:rsid w:val="00700B66"/>
    <w:rsid w:val="0070114F"/>
    <w:rsid w:val="00701A06"/>
    <w:rsid w:val="00702517"/>
    <w:rsid w:val="00703939"/>
    <w:rsid w:val="00704521"/>
    <w:rsid w:val="00704555"/>
    <w:rsid w:val="00704DC5"/>
    <w:rsid w:val="007050C7"/>
    <w:rsid w:val="007054F2"/>
    <w:rsid w:val="0070619C"/>
    <w:rsid w:val="0070697F"/>
    <w:rsid w:val="007102A7"/>
    <w:rsid w:val="007139AB"/>
    <w:rsid w:val="007139BB"/>
    <w:rsid w:val="00713EA7"/>
    <w:rsid w:val="00715201"/>
    <w:rsid w:val="00715ACB"/>
    <w:rsid w:val="00715F47"/>
    <w:rsid w:val="00716096"/>
    <w:rsid w:val="00716666"/>
    <w:rsid w:val="00716F66"/>
    <w:rsid w:val="00717666"/>
    <w:rsid w:val="00717B07"/>
    <w:rsid w:val="0072199C"/>
    <w:rsid w:val="00721B2F"/>
    <w:rsid w:val="007227D8"/>
    <w:rsid w:val="00722C9F"/>
    <w:rsid w:val="00723D88"/>
    <w:rsid w:val="00723F3C"/>
    <w:rsid w:val="007244BB"/>
    <w:rsid w:val="007253B8"/>
    <w:rsid w:val="00727D76"/>
    <w:rsid w:val="007312B7"/>
    <w:rsid w:val="0073152E"/>
    <w:rsid w:val="00731F01"/>
    <w:rsid w:val="007326FB"/>
    <w:rsid w:val="00733D92"/>
    <w:rsid w:val="0073470A"/>
    <w:rsid w:val="00736514"/>
    <w:rsid w:val="007372D2"/>
    <w:rsid w:val="0073741F"/>
    <w:rsid w:val="0073789E"/>
    <w:rsid w:val="00740E3C"/>
    <w:rsid w:val="00740F20"/>
    <w:rsid w:val="007419E9"/>
    <w:rsid w:val="00743E72"/>
    <w:rsid w:val="007444AA"/>
    <w:rsid w:val="00745577"/>
    <w:rsid w:val="00745794"/>
    <w:rsid w:val="00747BBB"/>
    <w:rsid w:val="007504E2"/>
    <w:rsid w:val="007514E9"/>
    <w:rsid w:val="007516B0"/>
    <w:rsid w:val="007528C2"/>
    <w:rsid w:val="00754414"/>
    <w:rsid w:val="00754548"/>
    <w:rsid w:val="007552AC"/>
    <w:rsid w:val="007554AF"/>
    <w:rsid w:val="00755873"/>
    <w:rsid w:val="007559BB"/>
    <w:rsid w:val="007569BA"/>
    <w:rsid w:val="007569F0"/>
    <w:rsid w:val="0075722E"/>
    <w:rsid w:val="0076001F"/>
    <w:rsid w:val="00761AB4"/>
    <w:rsid w:val="00762ABB"/>
    <w:rsid w:val="00762E68"/>
    <w:rsid w:val="0076643F"/>
    <w:rsid w:val="0077058F"/>
    <w:rsid w:val="00771C1D"/>
    <w:rsid w:val="00776BFB"/>
    <w:rsid w:val="00777F63"/>
    <w:rsid w:val="007801D7"/>
    <w:rsid w:val="007814B4"/>
    <w:rsid w:val="00782018"/>
    <w:rsid w:val="00784610"/>
    <w:rsid w:val="00785100"/>
    <w:rsid w:val="00785183"/>
    <w:rsid w:val="00786177"/>
    <w:rsid w:val="00786D27"/>
    <w:rsid w:val="007928ED"/>
    <w:rsid w:val="00792B26"/>
    <w:rsid w:val="00792B41"/>
    <w:rsid w:val="00793EDB"/>
    <w:rsid w:val="00794847"/>
    <w:rsid w:val="0079632D"/>
    <w:rsid w:val="00796564"/>
    <w:rsid w:val="00796EBF"/>
    <w:rsid w:val="007A12CB"/>
    <w:rsid w:val="007A1DE0"/>
    <w:rsid w:val="007A2C58"/>
    <w:rsid w:val="007A4B98"/>
    <w:rsid w:val="007A4BD3"/>
    <w:rsid w:val="007A4C8E"/>
    <w:rsid w:val="007A5817"/>
    <w:rsid w:val="007A5ED9"/>
    <w:rsid w:val="007A6BBB"/>
    <w:rsid w:val="007B1F5C"/>
    <w:rsid w:val="007B1F60"/>
    <w:rsid w:val="007B27A3"/>
    <w:rsid w:val="007B27B5"/>
    <w:rsid w:val="007B342C"/>
    <w:rsid w:val="007B60E9"/>
    <w:rsid w:val="007B6C18"/>
    <w:rsid w:val="007B6CC3"/>
    <w:rsid w:val="007B719B"/>
    <w:rsid w:val="007B7D98"/>
    <w:rsid w:val="007C10B3"/>
    <w:rsid w:val="007C113D"/>
    <w:rsid w:val="007C293C"/>
    <w:rsid w:val="007C2AAE"/>
    <w:rsid w:val="007C3334"/>
    <w:rsid w:val="007C390E"/>
    <w:rsid w:val="007C5585"/>
    <w:rsid w:val="007C58FD"/>
    <w:rsid w:val="007C5C27"/>
    <w:rsid w:val="007C5FA1"/>
    <w:rsid w:val="007C680F"/>
    <w:rsid w:val="007D1025"/>
    <w:rsid w:val="007D19B1"/>
    <w:rsid w:val="007D2B98"/>
    <w:rsid w:val="007D3BD1"/>
    <w:rsid w:val="007D46C8"/>
    <w:rsid w:val="007D56B6"/>
    <w:rsid w:val="007E098C"/>
    <w:rsid w:val="007E0AF5"/>
    <w:rsid w:val="007E0BE6"/>
    <w:rsid w:val="007E21BC"/>
    <w:rsid w:val="007E2B6A"/>
    <w:rsid w:val="007E2E66"/>
    <w:rsid w:val="007E553F"/>
    <w:rsid w:val="007E5D8B"/>
    <w:rsid w:val="007E5FB8"/>
    <w:rsid w:val="007E6324"/>
    <w:rsid w:val="007E7246"/>
    <w:rsid w:val="007E7FC1"/>
    <w:rsid w:val="007F0979"/>
    <w:rsid w:val="007F0DD4"/>
    <w:rsid w:val="007F37B6"/>
    <w:rsid w:val="007F4ABB"/>
    <w:rsid w:val="007F6DB8"/>
    <w:rsid w:val="008005F9"/>
    <w:rsid w:val="00801DA6"/>
    <w:rsid w:val="00802169"/>
    <w:rsid w:val="008027CF"/>
    <w:rsid w:val="00803F1C"/>
    <w:rsid w:val="00804361"/>
    <w:rsid w:val="0080600E"/>
    <w:rsid w:val="00807244"/>
    <w:rsid w:val="00810001"/>
    <w:rsid w:val="00812DCB"/>
    <w:rsid w:val="00813108"/>
    <w:rsid w:val="0081424D"/>
    <w:rsid w:val="00814511"/>
    <w:rsid w:val="0081497B"/>
    <w:rsid w:val="00815498"/>
    <w:rsid w:val="008165C5"/>
    <w:rsid w:val="00817612"/>
    <w:rsid w:val="00821D9F"/>
    <w:rsid w:val="0082513C"/>
    <w:rsid w:val="00825378"/>
    <w:rsid w:val="0082542B"/>
    <w:rsid w:val="00831D90"/>
    <w:rsid w:val="008330EB"/>
    <w:rsid w:val="008338A4"/>
    <w:rsid w:val="00833D69"/>
    <w:rsid w:val="00834518"/>
    <w:rsid w:val="00834E0F"/>
    <w:rsid w:val="008358C7"/>
    <w:rsid w:val="00835C95"/>
    <w:rsid w:val="00836D50"/>
    <w:rsid w:val="00837C45"/>
    <w:rsid w:val="00840BBB"/>
    <w:rsid w:val="00844730"/>
    <w:rsid w:val="00844929"/>
    <w:rsid w:val="008454A5"/>
    <w:rsid w:val="008457C2"/>
    <w:rsid w:val="00845EEB"/>
    <w:rsid w:val="008520A5"/>
    <w:rsid w:val="00852456"/>
    <w:rsid w:val="0085353B"/>
    <w:rsid w:val="00853640"/>
    <w:rsid w:val="00853731"/>
    <w:rsid w:val="00854C66"/>
    <w:rsid w:val="008570D2"/>
    <w:rsid w:val="00857A82"/>
    <w:rsid w:val="0086180D"/>
    <w:rsid w:val="00861EB5"/>
    <w:rsid w:val="008626A3"/>
    <w:rsid w:val="00863A8B"/>
    <w:rsid w:val="00864065"/>
    <w:rsid w:val="00865F19"/>
    <w:rsid w:val="008660B7"/>
    <w:rsid w:val="00866579"/>
    <w:rsid w:val="00867197"/>
    <w:rsid w:val="008700FE"/>
    <w:rsid w:val="008703AA"/>
    <w:rsid w:val="008708BB"/>
    <w:rsid w:val="00871A9B"/>
    <w:rsid w:val="0087307B"/>
    <w:rsid w:val="00873836"/>
    <w:rsid w:val="00873949"/>
    <w:rsid w:val="008833D8"/>
    <w:rsid w:val="00883487"/>
    <w:rsid w:val="00884A4A"/>
    <w:rsid w:val="008853FC"/>
    <w:rsid w:val="00885737"/>
    <w:rsid w:val="00887255"/>
    <w:rsid w:val="00890650"/>
    <w:rsid w:val="0089339B"/>
    <w:rsid w:val="008935F3"/>
    <w:rsid w:val="0089508A"/>
    <w:rsid w:val="008952FC"/>
    <w:rsid w:val="00895700"/>
    <w:rsid w:val="00895D4F"/>
    <w:rsid w:val="00895ED0"/>
    <w:rsid w:val="00897E12"/>
    <w:rsid w:val="008A1476"/>
    <w:rsid w:val="008A1C76"/>
    <w:rsid w:val="008A337B"/>
    <w:rsid w:val="008A5106"/>
    <w:rsid w:val="008A5BAC"/>
    <w:rsid w:val="008A7E0F"/>
    <w:rsid w:val="008B12F5"/>
    <w:rsid w:val="008B3B36"/>
    <w:rsid w:val="008B3DE5"/>
    <w:rsid w:val="008B43A5"/>
    <w:rsid w:val="008B5CA1"/>
    <w:rsid w:val="008B62DD"/>
    <w:rsid w:val="008B66A6"/>
    <w:rsid w:val="008B7943"/>
    <w:rsid w:val="008C1384"/>
    <w:rsid w:val="008C1E3F"/>
    <w:rsid w:val="008C2C62"/>
    <w:rsid w:val="008C4EA6"/>
    <w:rsid w:val="008C54B5"/>
    <w:rsid w:val="008C5D1D"/>
    <w:rsid w:val="008D051B"/>
    <w:rsid w:val="008D2098"/>
    <w:rsid w:val="008D365C"/>
    <w:rsid w:val="008D44AC"/>
    <w:rsid w:val="008D6575"/>
    <w:rsid w:val="008D768D"/>
    <w:rsid w:val="008E150C"/>
    <w:rsid w:val="008E3759"/>
    <w:rsid w:val="008E63CE"/>
    <w:rsid w:val="008E640D"/>
    <w:rsid w:val="008F0EA1"/>
    <w:rsid w:val="008F1912"/>
    <w:rsid w:val="008F1A21"/>
    <w:rsid w:val="008F2263"/>
    <w:rsid w:val="008F49F9"/>
    <w:rsid w:val="008F7B6C"/>
    <w:rsid w:val="00900102"/>
    <w:rsid w:val="009002DA"/>
    <w:rsid w:val="0090270B"/>
    <w:rsid w:val="00902CA4"/>
    <w:rsid w:val="009041DC"/>
    <w:rsid w:val="00905583"/>
    <w:rsid w:val="00905587"/>
    <w:rsid w:val="0090589D"/>
    <w:rsid w:val="00906CBC"/>
    <w:rsid w:val="00910542"/>
    <w:rsid w:val="00910DA6"/>
    <w:rsid w:val="0091274B"/>
    <w:rsid w:val="00912A8D"/>
    <w:rsid w:val="00917B5A"/>
    <w:rsid w:val="00920177"/>
    <w:rsid w:val="00920A58"/>
    <w:rsid w:val="00920A8C"/>
    <w:rsid w:val="00922B97"/>
    <w:rsid w:val="00923951"/>
    <w:rsid w:val="0092405A"/>
    <w:rsid w:val="00925599"/>
    <w:rsid w:val="009258D0"/>
    <w:rsid w:val="00926134"/>
    <w:rsid w:val="00934A2C"/>
    <w:rsid w:val="00935C8F"/>
    <w:rsid w:val="00937025"/>
    <w:rsid w:val="00937642"/>
    <w:rsid w:val="0093785D"/>
    <w:rsid w:val="009423E7"/>
    <w:rsid w:val="00942A71"/>
    <w:rsid w:val="00943130"/>
    <w:rsid w:val="00944F64"/>
    <w:rsid w:val="0094505F"/>
    <w:rsid w:val="0094532B"/>
    <w:rsid w:val="00947322"/>
    <w:rsid w:val="00947BDC"/>
    <w:rsid w:val="00953FF5"/>
    <w:rsid w:val="0095520E"/>
    <w:rsid w:val="009556D2"/>
    <w:rsid w:val="00955B2D"/>
    <w:rsid w:val="00956064"/>
    <w:rsid w:val="00957C4E"/>
    <w:rsid w:val="009600D7"/>
    <w:rsid w:val="00960B2D"/>
    <w:rsid w:val="00961B02"/>
    <w:rsid w:val="00963122"/>
    <w:rsid w:val="00963C75"/>
    <w:rsid w:val="0096706E"/>
    <w:rsid w:val="00967945"/>
    <w:rsid w:val="00967E49"/>
    <w:rsid w:val="00971DA7"/>
    <w:rsid w:val="009751B8"/>
    <w:rsid w:val="00975513"/>
    <w:rsid w:val="00975C4E"/>
    <w:rsid w:val="00977129"/>
    <w:rsid w:val="00981FBA"/>
    <w:rsid w:val="00982323"/>
    <w:rsid w:val="009863E0"/>
    <w:rsid w:val="009876B0"/>
    <w:rsid w:val="00987A57"/>
    <w:rsid w:val="009916DF"/>
    <w:rsid w:val="00991E05"/>
    <w:rsid w:val="00997BC5"/>
    <w:rsid w:val="009A0011"/>
    <w:rsid w:val="009A00CD"/>
    <w:rsid w:val="009A259A"/>
    <w:rsid w:val="009A36E6"/>
    <w:rsid w:val="009A4B18"/>
    <w:rsid w:val="009A4F41"/>
    <w:rsid w:val="009B0D90"/>
    <w:rsid w:val="009B1002"/>
    <w:rsid w:val="009B1199"/>
    <w:rsid w:val="009B1E64"/>
    <w:rsid w:val="009B2E1F"/>
    <w:rsid w:val="009B381B"/>
    <w:rsid w:val="009B42F3"/>
    <w:rsid w:val="009B4708"/>
    <w:rsid w:val="009B4AD5"/>
    <w:rsid w:val="009B619C"/>
    <w:rsid w:val="009C0460"/>
    <w:rsid w:val="009C1471"/>
    <w:rsid w:val="009C1846"/>
    <w:rsid w:val="009C39C4"/>
    <w:rsid w:val="009C5B12"/>
    <w:rsid w:val="009D1020"/>
    <w:rsid w:val="009D1753"/>
    <w:rsid w:val="009D2747"/>
    <w:rsid w:val="009D290A"/>
    <w:rsid w:val="009D37A0"/>
    <w:rsid w:val="009D501A"/>
    <w:rsid w:val="009D503D"/>
    <w:rsid w:val="009D7611"/>
    <w:rsid w:val="009E040E"/>
    <w:rsid w:val="009E0AC2"/>
    <w:rsid w:val="009E0B61"/>
    <w:rsid w:val="009E309F"/>
    <w:rsid w:val="009E350F"/>
    <w:rsid w:val="009E4609"/>
    <w:rsid w:val="009E53DE"/>
    <w:rsid w:val="009E6065"/>
    <w:rsid w:val="009F05ED"/>
    <w:rsid w:val="009F1D0C"/>
    <w:rsid w:val="009F1F4D"/>
    <w:rsid w:val="009F22B8"/>
    <w:rsid w:val="009F4210"/>
    <w:rsid w:val="009F44A8"/>
    <w:rsid w:val="009F53BF"/>
    <w:rsid w:val="009F5563"/>
    <w:rsid w:val="009F591C"/>
    <w:rsid w:val="009F5ED8"/>
    <w:rsid w:val="009F68C9"/>
    <w:rsid w:val="00A0100E"/>
    <w:rsid w:val="00A0130C"/>
    <w:rsid w:val="00A01EF3"/>
    <w:rsid w:val="00A033CC"/>
    <w:rsid w:val="00A03648"/>
    <w:rsid w:val="00A0558A"/>
    <w:rsid w:val="00A0587A"/>
    <w:rsid w:val="00A062F7"/>
    <w:rsid w:val="00A066AB"/>
    <w:rsid w:val="00A072CC"/>
    <w:rsid w:val="00A106CB"/>
    <w:rsid w:val="00A1090E"/>
    <w:rsid w:val="00A11409"/>
    <w:rsid w:val="00A11A3E"/>
    <w:rsid w:val="00A13AEC"/>
    <w:rsid w:val="00A14BC2"/>
    <w:rsid w:val="00A153CA"/>
    <w:rsid w:val="00A174A2"/>
    <w:rsid w:val="00A20AB1"/>
    <w:rsid w:val="00A20CD5"/>
    <w:rsid w:val="00A24008"/>
    <w:rsid w:val="00A24808"/>
    <w:rsid w:val="00A24E3A"/>
    <w:rsid w:val="00A24E73"/>
    <w:rsid w:val="00A26E93"/>
    <w:rsid w:val="00A272C2"/>
    <w:rsid w:val="00A3176C"/>
    <w:rsid w:val="00A318DC"/>
    <w:rsid w:val="00A328B3"/>
    <w:rsid w:val="00A349C5"/>
    <w:rsid w:val="00A34DFE"/>
    <w:rsid w:val="00A3721C"/>
    <w:rsid w:val="00A4125B"/>
    <w:rsid w:val="00A4249E"/>
    <w:rsid w:val="00A429D0"/>
    <w:rsid w:val="00A43CFA"/>
    <w:rsid w:val="00A4440A"/>
    <w:rsid w:val="00A45B56"/>
    <w:rsid w:val="00A47463"/>
    <w:rsid w:val="00A50FCF"/>
    <w:rsid w:val="00A51349"/>
    <w:rsid w:val="00A518C8"/>
    <w:rsid w:val="00A528D1"/>
    <w:rsid w:val="00A52B43"/>
    <w:rsid w:val="00A550AB"/>
    <w:rsid w:val="00A5517D"/>
    <w:rsid w:val="00A5636A"/>
    <w:rsid w:val="00A60CD9"/>
    <w:rsid w:val="00A60EC3"/>
    <w:rsid w:val="00A610CD"/>
    <w:rsid w:val="00A645B9"/>
    <w:rsid w:val="00A66084"/>
    <w:rsid w:val="00A70D73"/>
    <w:rsid w:val="00A73A4D"/>
    <w:rsid w:val="00A7654A"/>
    <w:rsid w:val="00A77986"/>
    <w:rsid w:val="00A806AA"/>
    <w:rsid w:val="00A80BD0"/>
    <w:rsid w:val="00A81092"/>
    <w:rsid w:val="00A81146"/>
    <w:rsid w:val="00A83CA8"/>
    <w:rsid w:val="00A85F7B"/>
    <w:rsid w:val="00A9316F"/>
    <w:rsid w:val="00A94611"/>
    <w:rsid w:val="00A94F8B"/>
    <w:rsid w:val="00A9665B"/>
    <w:rsid w:val="00A97A2A"/>
    <w:rsid w:val="00AA098A"/>
    <w:rsid w:val="00AA09A2"/>
    <w:rsid w:val="00AA199B"/>
    <w:rsid w:val="00AA4C9B"/>
    <w:rsid w:val="00AA5D9C"/>
    <w:rsid w:val="00AA6722"/>
    <w:rsid w:val="00AA70F2"/>
    <w:rsid w:val="00AA7996"/>
    <w:rsid w:val="00AA7E6D"/>
    <w:rsid w:val="00AB0FFF"/>
    <w:rsid w:val="00AB3A72"/>
    <w:rsid w:val="00AB3CA6"/>
    <w:rsid w:val="00AB3F0F"/>
    <w:rsid w:val="00AB42AF"/>
    <w:rsid w:val="00AB529E"/>
    <w:rsid w:val="00AC19CB"/>
    <w:rsid w:val="00AC1E0A"/>
    <w:rsid w:val="00AC2007"/>
    <w:rsid w:val="00AC4605"/>
    <w:rsid w:val="00AC486F"/>
    <w:rsid w:val="00AC59E5"/>
    <w:rsid w:val="00AC66BC"/>
    <w:rsid w:val="00AC78AA"/>
    <w:rsid w:val="00AD112D"/>
    <w:rsid w:val="00AD205E"/>
    <w:rsid w:val="00AD51CF"/>
    <w:rsid w:val="00AD7770"/>
    <w:rsid w:val="00AE0059"/>
    <w:rsid w:val="00AE0C60"/>
    <w:rsid w:val="00AE2D66"/>
    <w:rsid w:val="00AE34AB"/>
    <w:rsid w:val="00AE5488"/>
    <w:rsid w:val="00AE6F91"/>
    <w:rsid w:val="00AE732C"/>
    <w:rsid w:val="00AF0AC0"/>
    <w:rsid w:val="00AF1D11"/>
    <w:rsid w:val="00AF215F"/>
    <w:rsid w:val="00AF2A06"/>
    <w:rsid w:val="00AF2D4B"/>
    <w:rsid w:val="00AF5571"/>
    <w:rsid w:val="00AF689C"/>
    <w:rsid w:val="00AF6D50"/>
    <w:rsid w:val="00B01552"/>
    <w:rsid w:val="00B0430F"/>
    <w:rsid w:val="00B04527"/>
    <w:rsid w:val="00B055A8"/>
    <w:rsid w:val="00B063DC"/>
    <w:rsid w:val="00B07341"/>
    <w:rsid w:val="00B07547"/>
    <w:rsid w:val="00B07E83"/>
    <w:rsid w:val="00B11390"/>
    <w:rsid w:val="00B114CB"/>
    <w:rsid w:val="00B12579"/>
    <w:rsid w:val="00B1258B"/>
    <w:rsid w:val="00B1435A"/>
    <w:rsid w:val="00B15877"/>
    <w:rsid w:val="00B15F5E"/>
    <w:rsid w:val="00B16583"/>
    <w:rsid w:val="00B20DEA"/>
    <w:rsid w:val="00B22EF2"/>
    <w:rsid w:val="00B24F89"/>
    <w:rsid w:val="00B25EBA"/>
    <w:rsid w:val="00B278EF"/>
    <w:rsid w:val="00B30539"/>
    <w:rsid w:val="00B30C0D"/>
    <w:rsid w:val="00B314DB"/>
    <w:rsid w:val="00B32774"/>
    <w:rsid w:val="00B33C9C"/>
    <w:rsid w:val="00B34152"/>
    <w:rsid w:val="00B3434C"/>
    <w:rsid w:val="00B3504E"/>
    <w:rsid w:val="00B350F7"/>
    <w:rsid w:val="00B35995"/>
    <w:rsid w:val="00B361F2"/>
    <w:rsid w:val="00B3718B"/>
    <w:rsid w:val="00B374D8"/>
    <w:rsid w:val="00B42A83"/>
    <w:rsid w:val="00B42F96"/>
    <w:rsid w:val="00B43475"/>
    <w:rsid w:val="00B44689"/>
    <w:rsid w:val="00B44E73"/>
    <w:rsid w:val="00B45126"/>
    <w:rsid w:val="00B455C0"/>
    <w:rsid w:val="00B45FDB"/>
    <w:rsid w:val="00B46166"/>
    <w:rsid w:val="00B4632A"/>
    <w:rsid w:val="00B50507"/>
    <w:rsid w:val="00B52A89"/>
    <w:rsid w:val="00B530F1"/>
    <w:rsid w:val="00B53D22"/>
    <w:rsid w:val="00B55324"/>
    <w:rsid w:val="00B56390"/>
    <w:rsid w:val="00B56CE0"/>
    <w:rsid w:val="00B570EC"/>
    <w:rsid w:val="00B6063F"/>
    <w:rsid w:val="00B624A5"/>
    <w:rsid w:val="00B62AFC"/>
    <w:rsid w:val="00B62C81"/>
    <w:rsid w:val="00B63BBE"/>
    <w:rsid w:val="00B63E1C"/>
    <w:rsid w:val="00B6423F"/>
    <w:rsid w:val="00B67695"/>
    <w:rsid w:val="00B67AFB"/>
    <w:rsid w:val="00B67E22"/>
    <w:rsid w:val="00B7067D"/>
    <w:rsid w:val="00B71866"/>
    <w:rsid w:val="00B71B11"/>
    <w:rsid w:val="00B72031"/>
    <w:rsid w:val="00B726B1"/>
    <w:rsid w:val="00B72D94"/>
    <w:rsid w:val="00B747F6"/>
    <w:rsid w:val="00B74A13"/>
    <w:rsid w:val="00B76E4F"/>
    <w:rsid w:val="00B76FC2"/>
    <w:rsid w:val="00B7712A"/>
    <w:rsid w:val="00B772BF"/>
    <w:rsid w:val="00B808D5"/>
    <w:rsid w:val="00B82957"/>
    <w:rsid w:val="00B83C67"/>
    <w:rsid w:val="00B847F2"/>
    <w:rsid w:val="00B85E36"/>
    <w:rsid w:val="00B86283"/>
    <w:rsid w:val="00B87354"/>
    <w:rsid w:val="00B93C69"/>
    <w:rsid w:val="00B9573A"/>
    <w:rsid w:val="00B9635E"/>
    <w:rsid w:val="00B97402"/>
    <w:rsid w:val="00BA1DA2"/>
    <w:rsid w:val="00BA276C"/>
    <w:rsid w:val="00BA389D"/>
    <w:rsid w:val="00BA3D36"/>
    <w:rsid w:val="00BA42B6"/>
    <w:rsid w:val="00BB058F"/>
    <w:rsid w:val="00BB0AE9"/>
    <w:rsid w:val="00BB0B7A"/>
    <w:rsid w:val="00BB0CD4"/>
    <w:rsid w:val="00BB1CE2"/>
    <w:rsid w:val="00BB306F"/>
    <w:rsid w:val="00BB373C"/>
    <w:rsid w:val="00BC0681"/>
    <w:rsid w:val="00BC1021"/>
    <w:rsid w:val="00BC13C3"/>
    <w:rsid w:val="00BC237A"/>
    <w:rsid w:val="00BC4C44"/>
    <w:rsid w:val="00BC5511"/>
    <w:rsid w:val="00BC6263"/>
    <w:rsid w:val="00BD17AC"/>
    <w:rsid w:val="00BD2A0F"/>
    <w:rsid w:val="00BD4B89"/>
    <w:rsid w:val="00BD7F16"/>
    <w:rsid w:val="00BE0112"/>
    <w:rsid w:val="00BE0B43"/>
    <w:rsid w:val="00BE1DBA"/>
    <w:rsid w:val="00BE4623"/>
    <w:rsid w:val="00BE4AB4"/>
    <w:rsid w:val="00BE4B65"/>
    <w:rsid w:val="00BE6D38"/>
    <w:rsid w:val="00BE6F7F"/>
    <w:rsid w:val="00BF01DD"/>
    <w:rsid w:val="00BF3632"/>
    <w:rsid w:val="00BF3941"/>
    <w:rsid w:val="00BF3AC4"/>
    <w:rsid w:val="00BF580D"/>
    <w:rsid w:val="00BF5B7B"/>
    <w:rsid w:val="00BF6FD8"/>
    <w:rsid w:val="00BF773C"/>
    <w:rsid w:val="00BF7A83"/>
    <w:rsid w:val="00C00DCF"/>
    <w:rsid w:val="00C0158B"/>
    <w:rsid w:val="00C01745"/>
    <w:rsid w:val="00C01903"/>
    <w:rsid w:val="00C031C8"/>
    <w:rsid w:val="00C03680"/>
    <w:rsid w:val="00C03A09"/>
    <w:rsid w:val="00C04768"/>
    <w:rsid w:val="00C04A93"/>
    <w:rsid w:val="00C054DF"/>
    <w:rsid w:val="00C06FC9"/>
    <w:rsid w:val="00C0701D"/>
    <w:rsid w:val="00C1025F"/>
    <w:rsid w:val="00C13518"/>
    <w:rsid w:val="00C140DA"/>
    <w:rsid w:val="00C14996"/>
    <w:rsid w:val="00C160C5"/>
    <w:rsid w:val="00C16455"/>
    <w:rsid w:val="00C20034"/>
    <w:rsid w:val="00C2012A"/>
    <w:rsid w:val="00C2042B"/>
    <w:rsid w:val="00C2069A"/>
    <w:rsid w:val="00C21762"/>
    <w:rsid w:val="00C230F9"/>
    <w:rsid w:val="00C23ABF"/>
    <w:rsid w:val="00C243BE"/>
    <w:rsid w:val="00C24543"/>
    <w:rsid w:val="00C256A2"/>
    <w:rsid w:val="00C27946"/>
    <w:rsid w:val="00C27D46"/>
    <w:rsid w:val="00C34C12"/>
    <w:rsid w:val="00C36A4D"/>
    <w:rsid w:val="00C4098E"/>
    <w:rsid w:val="00C41468"/>
    <w:rsid w:val="00C42537"/>
    <w:rsid w:val="00C44B14"/>
    <w:rsid w:val="00C45C08"/>
    <w:rsid w:val="00C45C0C"/>
    <w:rsid w:val="00C46678"/>
    <w:rsid w:val="00C46C14"/>
    <w:rsid w:val="00C4754A"/>
    <w:rsid w:val="00C5028A"/>
    <w:rsid w:val="00C5048D"/>
    <w:rsid w:val="00C50E19"/>
    <w:rsid w:val="00C51515"/>
    <w:rsid w:val="00C52875"/>
    <w:rsid w:val="00C5367C"/>
    <w:rsid w:val="00C5660B"/>
    <w:rsid w:val="00C57930"/>
    <w:rsid w:val="00C60142"/>
    <w:rsid w:val="00C6017D"/>
    <w:rsid w:val="00C61CBE"/>
    <w:rsid w:val="00C61EF6"/>
    <w:rsid w:val="00C627CC"/>
    <w:rsid w:val="00C62E3B"/>
    <w:rsid w:val="00C6316F"/>
    <w:rsid w:val="00C6319F"/>
    <w:rsid w:val="00C63E43"/>
    <w:rsid w:val="00C64622"/>
    <w:rsid w:val="00C6564B"/>
    <w:rsid w:val="00C664E9"/>
    <w:rsid w:val="00C66B72"/>
    <w:rsid w:val="00C66D96"/>
    <w:rsid w:val="00C70059"/>
    <w:rsid w:val="00C70267"/>
    <w:rsid w:val="00C71A76"/>
    <w:rsid w:val="00C7253F"/>
    <w:rsid w:val="00C77C48"/>
    <w:rsid w:val="00C80049"/>
    <w:rsid w:val="00C81C41"/>
    <w:rsid w:val="00C81F49"/>
    <w:rsid w:val="00C836BC"/>
    <w:rsid w:val="00C84287"/>
    <w:rsid w:val="00C84BA1"/>
    <w:rsid w:val="00C91919"/>
    <w:rsid w:val="00C9567A"/>
    <w:rsid w:val="00C95C71"/>
    <w:rsid w:val="00C95E05"/>
    <w:rsid w:val="00C963B4"/>
    <w:rsid w:val="00C97BD5"/>
    <w:rsid w:val="00CA155F"/>
    <w:rsid w:val="00CA4727"/>
    <w:rsid w:val="00CA4A25"/>
    <w:rsid w:val="00CB0722"/>
    <w:rsid w:val="00CB11C7"/>
    <w:rsid w:val="00CB212D"/>
    <w:rsid w:val="00CB2215"/>
    <w:rsid w:val="00CB2660"/>
    <w:rsid w:val="00CB2BFE"/>
    <w:rsid w:val="00CB3DB2"/>
    <w:rsid w:val="00CB7BBC"/>
    <w:rsid w:val="00CC1580"/>
    <w:rsid w:val="00CC30B5"/>
    <w:rsid w:val="00CC30E4"/>
    <w:rsid w:val="00CC3A65"/>
    <w:rsid w:val="00CC412E"/>
    <w:rsid w:val="00CC42BC"/>
    <w:rsid w:val="00CC5E90"/>
    <w:rsid w:val="00CC62D7"/>
    <w:rsid w:val="00CC7C0A"/>
    <w:rsid w:val="00CC7D3F"/>
    <w:rsid w:val="00CD046C"/>
    <w:rsid w:val="00CD0759"/>
    <w:rsid w:val="00CD3DB6"/>
    <w:rsid w:val="00CD7A7E"/>
    <w:rsid w:val="00CE076C"/>
    <w:rsid w:val="00CE1BBB"/>
    <w:rsid w:val="00CE3048"/>
    <w:rsid w:val="00CE330B"/>
    <w:rsid w:val="00CE4AB5"/>
    <w:rsid w:val="00CE5199"/>
    <w:rsid w:val="00CE62B0"/>
    <w:rsid w:val="00CE66D5"/>
    <w:rsid w:val="00CE7E51"/>
    <w:rsid w:val="00CF0F3D"/>
    <w:rsid w:val="00CF13A1"/>
    <w:rsid w:val="00CF2321"/>
    <w:rsid w:val="00CF4097"/>
    <w:rsid w:val="00CF541E"/>
    <w:rsid w:val="00CF637A"/>
    <w:rsid w:val="00D00835"/>
    <w:rsid w:val="00D00F87"/>
    <w:rsid w:val="00D01FEC"/>
    <w:rsid w:val="00D020EA"/>
    <w:rsid w:val="00D02784"/>
    <w:rsid w:val="00D03136"/>
    <w:rsid w:val="00D05662"/>
    <w:rsid w:val="00D059DE"/>
    <w:rsid w:val="00D0619B"/>
    <w:rsid w:val="00D069BE"/>
    <w:rsid w:val="00D07386"/>
    <w:rsid w:val="00D10089"/>
    <w:rsid w:val="00D10650"/>
    <w:rsid w:val="00D11BAD"/>
    <w:rsid w:val="00D1255F"/>
    <w:rsid w:val="00D13A3F"/>
    <w:rsid w:val="00D13FCE"/>
    <w:rsid w:val="00D172B9"/>
    <w:rsid w:val="00D2066A"/>
    <w:rsid w:val="00D20826"/>
    <w:rsid w:val="00D20EDE"/>
    <w:rsid w:val="00D21EAA"/>
    <w:rsid w:val="00D24554"/>
    <w:rsid w:val="00D245FA"/>
    <w:rsid w:val="00D25C21"/>
    <w:rsid w:val="00D27F5A"/>
    <w:rsid w:val="00D306D1"/>
    <w:rsid w:val="00D313E5"/>
    <w:rsid w:val="00D3166D"/>
    <w:rsid w:val="00D31DD3"/>
    <w:rsid w:val="00D34786"/>
    <w:rsid w:val="00D35188"/>
    <w:rsid w:val="00D37235"/>
    <w:rsid w:val="00D376B1"/>
    <w:rsid w:val="00D37BFC"/>
    <w:rsid w:val="00D410BA"/>
    <w:rsid w:val="00D42DF7"/>
    <w:rsid w:val="00D46445"/>
    <w:rsid w:val="00D4689A"/>
    <w:rsid w:val="00D46CA7"/>
    <w:rsid w:val="00D47A8E"/>
    <w:rsid w:val="00D50E01"/>
    <w:rsid w:val="00D51F7C"/>
    <w:rsid w:val="00D5275F"/>
    <w:rsid w:val="00D52791"/>
    <w:rsid w:val="00D52D14"/>
    <w:rsid w:val="00D55686"/>
    <w:rsid w:val="00D632FF"/>
    <w:rsid w:val="00D63583"/>
    <w:rsid w:val="00D63E18"/>
    <w:rsid w:val="00D6432F"/>
    <w:rsid w:val="00D652C2"/>
    <w:rsid w:val="00D65519"/>
    <w:rsid w:val="00D65742"/>
    <w:rsid w:val="00D67CF6"/>
    <w:rsid w:val="00D70964"/>
    <w:rsid w:val="00D712D3"/>
    <w:rsid w:val="00D71422"/>
    <w:rsid w:val="00D728F1"/>
    <w:rsid w:val="00D72DA4"/>
    <w:rsid w:val="00D72DA9"/>
    <w:rsid w:val="00D72DC6"/>
    <w:rsid w:val="00D7558D"/>
    <w:rsid w:val="00D756CC"/>
    <w:rsid w:val="00D7700B"/>
    <w:rsid w:val="00D80F91"/>
    <w:rsid w:val="00D812B2"/>
    <w:rsid w:val="00D8142B"/>
    <w:rsid w:val="00D81B89"/>
    <w:rsid w:val="00D81D92"/>
    <w:rsid w:val="00D85BBA"/>
    <w:rsid w:val="00D869C6"/>
    <w:rsid w:val="00D90038"/>
    <w:rsid w:val="00D91D6C"/>
    <w:rsid w:val="00D92EBD"/>
    <w:rsid w:val="00D93613"/>
    <w:rsid w:val="00D945C6"/>
    <w:rsid w:val="00D94994"/>
    <w:rsid w:val="00D96AC7"/>
    <w:rsid w:val="00D976C9"/>
    <w:rsid w:val="00DA0B2D"/>
    <w:rsid w:val="00DA0E3D"/>
    <w:rsid w:val="00DA1363"/>
    <w:rsid w:val="00DA29B5"/>
    <w:rsid w:val="00DA301E"/>
    <w:rsid w:val="00DA3574"/>
    <w:rsid w:val="00DA3A11"/>
    <w:rsid w:val="00DA3FDE"/>
    <w:rsid w:val="00DA67BA"/>
    <w:rsid w:val="00DA7B5F"/>
    <w:rsid w:val="00DB1036"/>
    <w:rsid w:val="00DB1133"/>
    <w:rsid w:val="00DB2CD4"/>
    <w:rsid w:val="00DB6809"/>
    <w:rsid w:val="00DB68D7"/>
    <w:rsid w:val="00DB7920"/>
    <w:rsid w:val="00DC08A6"/>
    <w:rsid w:val="00DC11E7"/>
    <w:rsid w:val="00DC2BF1"/>
    <w:rsid w:val="00DC34DE"/>
    <w:rsid w:val="00DC3CDA"/>
    <w:rsid w:val="00DC7023"/>
    <w:rsid w:val="00DC769A"/>
    <w:rsid w:val="00DD0740"/>
    <w:rsid w:val="00DD1A23"/>
    <w:rsid w:val="00DD3B4C"/>
    <w:rsid w:val="00DD3D86"/>
    <w:rsid w:val="00DD54EA"/>
    <w:rsid w:val="00DE02C7"/>
    <w:rsid w:val="00DE1DD5"/>
    <w:rsid w:val="00DE28A2"/>
    <w:rsid w:val="00DE57B3"/>
    <w:rsid w:val="00DE5937"/>
    <w:rsid w:val="00DE6AD9"/>
    <w:rsid w:val="00DF1EC4"/>
    <w:rsid w:val="00DF5AB4"/>
    <w:rsid w:val="00DF652F"/>
    <w:rsid w:val="00DF6F09"/>
    <w:rsid w:val="00E0097F"/>
    <w:rsid w:val="00E01979"/>
    <w:rsid w:val="00E0340B"/>
    <w:rsid w:val="00E046B0"/>
    <w:rsid w:val="00E04A90"/>
    <w:rsid w:val="00E07E14"/>
    <w:rsid w:val="00E1168C"/>
    <w:rsid w:val="00E12121"/>
    <w:rsid w:val="00E12A4D"/>
    <w:rsid w:val="00E13609"/>
    <w:rsid w:val="00E13782"/>
    <w:rsid w:val="00E139F9"/>
    <w:rsid w:val="00E170BC"/>
    <w:rsid w:val="00E17705"/>
    <w:rsid w:val="00E219C7"/>
    <w:rsid w:val="00E23507"/>
    <w:rsid w:val="00E23FF2"/>
    <w:rsid w:val="00E24A29"/>
    <w:rsid w:val="00E255A9"/>
    <w:rsid w:val="00E255BA"/>
    <w:rsid w:val="00E266F6"/>
    <w:rsid w:val="00E267EF"/>
    <w:rsid w:val="00E279AA"/>
    <w:rsid w:val="00E27C1B"/>
    <w:rsid w:val="00E304DF"/>
    <w:rsid w:val="00E30C38"/>
    <w:rsid w:val="00E34E9F"/>
    <w:rsid w:val="00E35039"/>
    <w:rsid w:val="00E35864"/>
    <w:rsid w:val="00E36DFB"/>
    <w:rsid w:val="00E36E6A"/>
    <w:rsid w:val="00E40CA1"/>
    <w:rsid w:val="00E413FC"/>
    <w:rsid w:val="00E42B75"/>
    <w:rsid w:val="00E43157"/>
    <w:rsid w:val="00E434A1"/>
    <w:rsid w:val="00E4423C"/>
    <w:rsid w:val="00E46061"/>
    <w:rsid w:val="00E461CE"/>
    <w:rsid w:val="00E46DF2"/>
    <w:rsid w:val="00E4732E"/>
    <w:rsid w:val="00E50F59"/>
    <w:rsid w:val="00E53537"/>
    <w:rsid w:val="00E54DF6"/>
    <w:rsid w:val="00E551BA"/>
    <w:rsid w:val="00E639C1"/>
    <w:rsid w:val="00E640DD"/>
    <w:rsid w:val="00E66959"/>
    <w:rsid w:val="00E70B4B"/>
    <w:rsid w:val="00E71F0D"/>
    <w:rsid w:val="00E720CA"/>
    <w:rsid w:val="00E7291D"/>
    <w:rsid w:val="00E72FBE"/>
    <w:rsid w:val="00E73EC3"/>
    <w:rsid w:val="00E76917"/>
    <w:rsid w:val="00E771EF"/>
    <w:rsid w:val="00E81741"/>
    <w:rsid w:val="00E8308E"/>
    <w:rsid w:val="00E84520"/>
    <w:rsid w:val="00E84C64"/>
    <w:rsid w:val="00E84EB5"/>
    <w:rsid w:val="00E85662"/>
    <w:rsid w:val="00E8701D"/>
    <w:rsid w:val="00E87079"/>
    <w:rsid w:val="00E8765E"/>
    <w:rsid w:val="00E8789F"/>
    <w:rsid w:val="00E87914"/>
    <w:rsid w:val="00E87A94"/>
    <w:rsid w:val="00E902B3"/>
    <w:rsid w:val="00E913E0"/>
    <w:rsid w:val="00E944BB"/>
    <w:rsid w:val="00E9511B"/>
    <w:rsid w:val="00E955D3"/>
    <w:rsid w:val="00E974D6"/>
    <w:rsid w:val="00E97B71"/>
    <w:rsid w:val="00E97C98"/>
    <w:rsid w:val="00E97F34"/>
    <w:rsid w:val="00EA176A"/>
    <w:rsid w:val="00EA20EE"/>
    <w:rsid w:val="00EA30EB"/>
    <w:rsid w:val="00EA3405"/>
    <w:rsid w:val="00EA3614"/>
    <w:rsid w:val="00EA3D34"/>
    <w:rsid w:val="00EA42BB"/>
    <w:rsid w:val="00EA47EE"/>
    <w:rsid w:val="00EA52A1"/>
    <w:rsid w:val="00EA5579"/>
    <w:rsid w:val="00EA57D6"/>
    <w:rsid w:val="00EA6C8A"/>
    <w:rsid w:val="00EA6C96"/>
    <w:rsid w:val="00EA7109"/>
    <w:rsid w:val="00EB1E17"/>
    <w:rsid w:val="00EB28E9"/>
    <w:rsid w:val="00EB3EC8"/>
    <w:rsid w:val="00EB425B"/>
    <w:rsid w:val="00EB454D"/>
    <w:rsid w:val="00EB4B2D"/>
    <w:rsid w:val="00EB4D46"/>
    <w:rsid w:val="00EB5685"/>
    <w:rsid w:val="00EC15D1"/>
    <w:rsid w:val="00EC18D8"/>
    <w:rsid w:val="00EC1932"/>
    <w:rsid w:val="00EC2DEB"/>
    <w:rsid w:val="00EC5609"/>
    <w:rsid w:val="00EC62C9"/>
    <w:rsid w:val="00EC6C1F"/>
    <w:rsid w:val="00EC7078"/>
    <w:rsid w:val="00ED01DC"/>
    <w:rsid w:val="00ED06DA"/>
    <w:rsid w:val="00ED1DAF"/>
    <w:rsid w:val="00ED3470"/>
    <w:rsid w:val="00ED4BDD"/>
    <w:rsid w:val="00ED5B00"/>
    <w:rsid w:val="00ED76BE"/>
    <w:rsid w:val="00ED7718"/>
    <w:rsid w:val="00EE08FD"/>
    <w:rsid w:val="00EE0A4A"/>
    <w:rsid w:val="00EE0FE5"/>
    <w:rsid w:val="00EE1A15"/>
    <w:rsid w:val="00EE3953"/>
    <w:rsid w:val="00EE40FE"/>
    <w:rsid w:val="00EE6554"/>
    <w:rsid w:val="00EE6A4C"/>
    <w:rsid w:val="00EE6D2F"/>
    <w:rsid w:val="00EF0FDA"/>
    <w:rsid w:val="00EF2ACB"/>
    <w:rsid w:val="00EF335C"/>
    <w:rsid w:val="00EF55ED"/>
    <w:rsid w:val="00EF619B"/>
    <w:rsid w:val="00EF72F8"/>
    <w:rsid w:val="00EF7DDB"/>
    <w:rsid w:val="00F00B55"/>
    <w:rsid w:val="00F011C1"/>
    <w:rsid w:val="00F01D10"/>
    <w:rsid w:val="00F02AD1"/>
    <w:rsid w:val="00F03E85"/>
    <w:rsid w:val="00F06378"/>
    <w:rsid w:val="00F11259"/>
    <w:rsid w:val="00F129BA"/>
    <w:rsid w:val="00F1767B"/>
    <w:rsid w:val="00F17811"/>
    <w:rsid w:val="00F2128B"/>
    <w:rsid w:val="00F2152E"/>
    <w:rsid w:val="00F2296E"/>
    <w:rsid w:val="00F230DA"/>
    <w:rsid w:val="00F24BAD"/>
    <w:rsid w:val="00F24C74"/>
    <w:rsid w:val="00F253CC"/>
    <w:rsid w:val="00F2608E"/>
    <w:rsid w:val="00F27D1F"/>
    <w:rsid w:val="00F30368"/>
    <w:rsid w:val="00F30768"/>
    <w:rsid w:val="00F319D0"/>
    <w:rsid w:val="00F34F14"/>
    <w:rsid w:val="00F363D3"/>
    <w:rsid w:val="00F369AE"/>
    <w:rsid w:val="00F37106"/>
    <w:rsid w:val="00F4024D"/>
    <w:rsid w:val="00F42183"/>
    <w:rsid w:val="00F42437"/>
    <w:rsid w:val="00F43697"/>
    <w:rsid w:val="00F451E7"/>
    <w:rsid w:val="00F47A02"/>
    <w:rsid w:val="00F47B54"/>
    <w:rsid w:val="00F5032B"/>
    <w:rsid w:val="00F519CF"/>
    <w:rsid w:val="00F51BA9"/>
    <w:rsid w:val="00F51D27"/>
    <w:rsid w:val="00F52E12"/>
    <w:rsid w:val="00F55907"/>
    <w:rsid w:val="00F568D7"/>
    <w:rsid w:val="00F56BA5"/>
    <w:rsid w:val="00F60E22"/>
    <w:rsid w:val="00F62983"/>
    <w:rsid w:val="00F6639D"/>
    <w:rsid w:val="00F666E4"/>
    <w:rsid w:val="00F66BD7"/>
    <w:rsid w:val="00F66F87"/>
    <w:rsid w:val="00F67642"/>
    <w:rsid w:val="00F67A0C"/>
    <w:rsid w:val="00F7002B"/>
    <w:rsid w:val="00F759A8"/>
    <w:rsid w:val="00F75FB1"/>
    <w:rsid w:val="00F76B51"/>
    <w:rsid w:val="00F809CA"/>
    <w:rsid w:val="00F81395"/>
    <w:rsid w:val="00F81404"/>
    <w:rsid w:val="00F8162F"/>
    <w:rsid w:val="00F830CC"/>
    <w:rsid w:val="00F835BF"/>
    <w:rsid w:val="00F84012"/>
    <w:rsid w:val="00F84426"/>
    <w:rsid w:val="00F84EB8"/>
    <w:rsid w:val="00F87213"/>
    <w:rsid w:val="00F90975"/>
    <w:rsid w:val="00F9169A"/>
    <w:rsid w:val="00F917D1"/>
    <w:rsid w:val="00F9351F"/>
    <w:rsid w:val="00F93E30"/>
    <w:rsid w:val="00F942F9"/>
    <w:rsid w:val="00F96347"/>
    <w:rsid w:val="00F9653B"/>
    <w:rsid w:val="00F97DF6"/>
    <w:rsid w:val="00FA21AD"/>
    <w:rsid w:val="00FA2A8D"/>
    <w:rsid w:val="00FA4569"/>
    <w:rsid w:val="00FA4605"/>
    <w:rsid w:val="00FA47E8"/>
    <w:rsid w:val="00FA5A0F"/>
    <w:rsid w:val="00FA5F18"/>
    <w:rsid w:val="00FA6A10"/>
    <w:rsid w:val="00FB1733"/>
    <w:rsid w:val="00FB2A16"/>
    <w:rsid w:val="00FB32D5"/>
    <w:rsid w:val="00FB3BA2"/>
    <w:rsid w:val="00FB4694"/>
    <w:rsid w:val="00FB527C"/>
    <w:rsid w:val="00FB62CF"/>
    <w:rsid w:val="00FB7039"/>
    <w:rsid w:val="00FC1734"/>
    <w:rsid w:val="00FC32F4"/>
    <w:rsid w:val="00FC33E1"/>
    <w:rsid w:val="00FC4BC1"/>
    <w:rsid w:val="00FC5D8C"/>
    <w:rsid w:val="00FD045C"/>
    <w:rsid w:val="00FD3704"/>
    <w:rsid w:val="00FD3C3B"/>
    <w:rsid w:val="00FD4246"/>
    <w:rsid w:val="00FD49BF"/>
    <w:rsid w:val="00FD5AB7"/>
    <w:rsid w:val="00FD6AD2"/>
    <w:rsid w:val="00FD75BC"/>
    <w:rsid w:val="00FD781E"/>
    <w:rsid w:val="00FE26A3"/>
    <w:rsid w:val="00FE34D6"/>
    <w:rsid w:val="00FE3E2B"/>
    <w:rsid w:val="00FE43A8"/>
    <w:rsid w:val="00FE4D5D"/>
    <w:rsid w:val="00FE6B45"/>
    <w:rsid w:val="00FF069B"/>
    <w:rsid w:val="00FF453C"/>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BB058F"/>
    <w:pPr>
      <w:keepNext/>
      <w:keepLines/>
      <w:numPr>
        <w:numId w:val="53"/>
      </w:numPr>
      <w:tabs>
        <w:tab w:val="left" w:pos="1440"/>
      </w:tabs>
      <w:ind w:left="0" w:firstLine="720"/>
      <w:jc w:val="both"/>
      <w:outlineLvl w:val="0"/>
    </w:pPr>
    <w:rPr>
      <w:rFonts w:ascii="Cambria" w:eastAsia="MS Gothic" w:hAnsi="Cambria"/>
      <w:b/>
      <w:bCs/>
      <w:sz w:val="20"/>
      <w:szCs w:val="20"/>
      <w:lang w:val="es-ES_tradnl"/>
    </w:rPr>
  </w:style>
  <w:style w:type="paragraph" w:styleId="Heading2">
    <w:name w:val="heading 2"/>
    <w:basedOn w:val="BodyTextIndent"/>
    <w:next w:val="Normal"/>
    <w:link w:val="Heading2Char"/>
    <w:qFormat/>
    <w:rsid w:val="00D1255F"/>
    <w:pPr>
      <w:numPr>
        <w:numId w:val="62"/>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pPr>
    <w:rPr>
      <w:rFonts w:ascii="Cambria" w:hAnsi="Cambria"/>
      <w:b/>
      <w:sz w:val="20"/>
      <w:szCs w:val="20"/>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5">
    <w:name w:val="heading 5"/>
    <w:basedOn w:val="Normal"/>
    <w:next w:val="Normal"/>
    <w:link w:val="Heading5Char"/>
    <w:uiPriority w:val="9"/>
    <w:qFormat/>
    <w:rsid w:val="004A1D2D"/>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customStyle="1" w:styleId="MediumList2-Accent41">
    <w:name w:val="Medium List 2 - Accent 41"/>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BB058F"/>
    <w:rPr>
      <w:rFonts w:ascii="Cambria" w:eastAsia="MS Gothic" w:hAnsi="Cambria"/>
      <w:b/>
      <w:bCs/>
      <w:bdr w:val="nil"/>
      <w:lang w:val="es-ES_tradnl"/>
    </w:rPr>
  </w:style>
  <w:style w:type="table" w:customStyle="1" w:styleId="Bibliography1">
    <w:name w:val="Bibliography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link w:val="BVIfnrCar1CarCarCarC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link w:val="Heading2"/>
    <w:rsid w:val="00D1255F"/>
    <w:rPr>
      <w:rFonts w:ascii="Cambria" w:eastAsia="Times New Roman" w:hAnsi="Cambria"/>
      <w:b/>
      <w:color w:val="000000"/>
      <w:u w:color="000000"/>
      <w:bdr w:val="nil"/>
      <w:lang w:val="es-ES_tradnl" w:eastAsia="es-ES"/>
    </w:rPr>
  </w:style>
  <w:style w:type="character" w:customStyle="1" w:styleId="Heading3Char">
    <w:name w:val="Heading 3 Char"/>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rsid w:val="001614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character" w:customStyle="1" w:styleId="BodyTextIndentChar">
    <w:name w:val="Body Text Indent Char"/>
    <w:link w:val="BodyTextIndent"/>
    <w:locked/>
    <w:rsid w:val="00161414"/>
    <w:rPr>
      <w:rFonts w:eastAsia="Times New Roman"/>
      <w:color w:val="000000"/>
      <w:sz w:val="24"/>
      <w:szCs w:val="24"/>
      <w:u w:color="000000"/>
      <w:lang w:val="es-ES_tradnl"/>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locked/>
    <w:rsid w:val="0089339B"/>
    <w:rPr>
      <w:rFonts w:ascii="Univers" w:hAnsi="Univers"/>
    </w:rPr>
  </w:style>
  <w:style w:type="character" w:customStyle="1" w:styleId="BodyTextIndentChar1">
    <w:name w:val="Body Text Indent Char1"/>
    <w:locked/>
    <w:rsid w:val="001D0061"/>
    <w:rPr>
      <w:rFonts w:eastAsia="Times New Roman"/>
      <w:color w:val="000000"/>
      <w:sz w:val="24"/>
      <w:szCs w:val="24"/>
      <w:u w:color="000000"/>
      <w:lang w:val="es-ES_tradnl"/>
    </w:rPr>
  </w:style>
  <w:style w:type="character" w:customStyle="1" w:styleId="apple-converted-space">
    <w:name w:val="apple-converted-space"/>
    <w:rsid w:val="003122CD"/>
  </w:style>
  <w:style w:type="paragraph" w:customStyle="1" w:styleId="ColorfulShading-Accent31">
    <w:name w:val="Colorful Shading - Accent 31"/>
    <w:basedOn w:val="Normal"/>
    <w:uiPriority w:val="72"/>
    <w:qFormat/>
    <w:rsid w:val="00947322"/>
    <w:pPr>
      <w:ind w:left="720"/>
    </w:pPr>
  </w:style>
  <w:style w:type="character" w:styleId="CommentReference">
    <w:name w:val="annotation reference"/>
    <w:uiPriority w:val="99"/>
    <w:semiHidden/>
    <w:unhideWhenUsed/>
    <w:rsid w:val="008520A5"/>
    <w:rPr>
      <w:sz w:val="16"/>
      <w:szCs w:val="16"/>
    </w:rPr>
  </w:style>
  <w:style w:type="paragraph" w:styleId="CommentText">
    <w:name w:val="annotation text"/>
    <w:basedOn w:val="Normal"/>
    <w:link w:val="CommentTextChar"/>
    <w:uiPriority w:val="99"/>
    <w:semiHidden/>
    <w:unhideWhenUsed/>
    <w:rsid w:val="008520A5"/>
    <w:rPr>
      <w:sz w:val="20"/>
      <w:szCs w:val="20"/>
    </w:rPr>
  </w:style>
  <w:style w:type="character" w:customStyle="1" w:styleId="CommentTextChar">
    <w:name w:val="Comment Text Char"/>
    <w:link w:val="CommentText"/>
    <w:uiPriority w:val="99"/>
    <w:semiHidden/>
    <w:rsid w:val="008520A5"/>
    <w:rPr>
      <w:bdr w:val="nil"/>
    </w:rPr>
  </w:style>
  <w:style w:type="paragraph" w:styleId="CommentSubject">
    <w:name w:val="annotation subject"/>
    <w:basedOn w:val="CommentText"/>
    <w:next w:val="CommentText"/>
    <w:link w:val="CommentSubjectChar"/>
    <w:uiPriority w:val="99"/>
    <w:semiHidden/>
    <w:unhideWhenUsed/>
    <w:rsid w:val="008520A5"/>
    <w:rPr>
      <w:b/>
      <w:bCs/>
    </w:rPr>
  </w:style>
  <w:style w:type="character" w:customStyle="1" w:styleId="CommentSubjectChar">
    <w:name w:val="Comment Subject Char"/>
    <w:link w:val="CommentSubject"/>
    <w:uiPriority w:val="99"/>
    <w:semiHidden/>
    <w:rsid w:val="008520A5"/>
    <w:rPr>
      <w:b/>
      <w:bCs/>
      <w:bdr w:val="nil"/>
    </w:rPr>
  </w:style>
  <w:style w:type="paragraph" w:customStyle="1" w:styleId="DarkList-Accent31">
    <w:name w:val="Dark List - Accent 31"/>
    <w:hidden/>
    <w:uiPriority w:val="99"/>
    <w:semiHidden/>
    <w:rsid w:val="000A16F3"/>
    <w:rPr>
      <w:sz w:val="24"/>
      <w:szCs w:val="24"/>
      <w:bdr w:val="nil"/>
    </w:rPr>
  </w:style>
  <w:style w:type="paragraph" w:customStyle="1" w:styleId="LightGrid-Accent31">
    <w:name w:val="Light Grid - Accent 31"/>
    <w:basedOn w:val="Normal"/>
    <w:uiPriority w:val="72"/>
    <w:qFormat/>
    <w:rsid w:val="003D06FB"/>
    <w:pPr>
      <w:ind w:left="720"/>
    </w:pPr>
  </w:style>
  <w:style w:type="paragraph" w:customStyle="1" w:styleId="MediumGrid1-Accent21">
    <w:name w:val="Medium Grid 1 - Accent 21"/>
    <w:basedOn w:val="Normal"/>
    <w:uiPriority w:val="72"/>
    <w:qFormat/>
    <w:rsid w:val="00572624"/>
    <w:pPr>
      <w:ind w:left="720"/>
    </w:pPr>
  </w:style>
  <w:style w:type="paragraph" w:customStyle="1" w:styleId="ColorfulList-Accent11">
    <w:name w:val="Colorful List - Accent 11"/>
    <w:basedOn w:val="Normal"/>
    <w:uiPriority w:val="72"/>
    <w:qFormat/>
    <w:rsid w:val="00A03648"/>
    <w:pPr>
      <w:ind w:left="720"/>
    </w:pPr>
  </w:style>
  <w:style w:type="paragraph" w:customStyle="1" w:styleId="Style2">
    <w:name w:val="Style2"/>
    <w:basedOn w:val="Normal"/>
    <w:qFormat/>
    <w:rsid w:val="00754548"/>
    <w:pPr>
      <w:numPr>
        <w:numId w:val="57"/>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lang w:val="es-ES"/>
    </w:rPr>
  </w:style>
  <w:style w:type="paragraph" w:customStyle="1" w:styleId="MediumList2-Accent42">
    <w:name w:val="Medium List 2 - Accent 42"/>
    <w:basedOn w:val="Normal"/>
    <w:uiPriority w:val="34"/>
    <w:qFormat/>
    <w:rsid w:val="006069E6"/>
    <w:pPr>
      <w:ind w:left="720"/>
    </w:pPr>
  </w:style>
  <w:style w:type="character" w:styleId="FollowedHyperlink">
    <w:name w:val="FollowedHyperlink"/>
    <w:uiPriority w:val="99"/>
    <w:semiHidden/>
    <w:unhideWhenUsed/>
    <w:rsid w:val="00DA3FDE"/>
    <w:rPr>
      <w:color w:val="800080"/>
      <w:u w:val="single"/>
    </w:rPr>
  </w:style>
  <w:style w:type="paragraph" w:customStyle="1" w:styleId="ColorfulShading-Accent32">
    <w:name w:val="Colorful Shading - Accent 32"/>
    <w:basedOn w:val="Normal"/>
    <w:uiPriority w:val="34"/>
    <w:qFormat/>
    <w:rsid w:val="0005428B"/>
    <w:pPr>
      <w:ind w:left="720"/>
    </w:pPr>
  </w:style>
  <w:style w:type="paragraph" w:customStyle="1" w:styleId="LightGrid-Accent32">
    <w:name w:val="Light Grid - Accent 32"/>
    <w:basedOn w:val="Normal"/>
    <w:uiPriority w:val="34"/>
    <w:qFormat/>
    <w:rsid w:val="004149B7"/>
    <w:pPr>
      <w:ind w:left="720"/>
    </w:pPr>
  </w:style>
  <w:style w:type="paragraph" w:customStyle="1" w:styleId="MediumGrid1-Accent22">
    <w:name w:val="Medium Grid 1 - Accent 22"/>
    <w:basedOn w:val="Normal"/>
    <w:uiPriority w:val="34"/>
    <w:qFormat/>
    <w:rsid w:val="00944F64"/>
    <w:pPr>
      <w:ind w:left="720"/>
    </w:pPr>
  </w:style>
  <w:style w:type="paragraph" w:customStyle="1" w:styleId="ColorfulList-Accent12">
    <w:name w:val="Colorful List - Accent 12"/>
    <w:aliases w:val="Párrafo de lista1,List Paragraph1,List Paragraph11"/>
    <w:link w:val="ColorfulList-Accent1Char"/>
    <w:uiPriority w:val="99"/>
    <w:qFormat/>
    <w:rsid w:val="00FE43A8"/>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character" w:styleId="Strong">
    <w:name w:val="Strong"/>
    <w:uiPriority w:val="22"/>
    <w:qFormat/>
    <w:rsid w:val="00FE43A8"/>
    <w:rPr>
      <w:b/>
      <w:bCs/>
    </w:rPr>
  </w:style>
  <w:style w:type="character" w:customStyle="1" w:styleId="ColorfulList-Accent1Char">
    <w:name w:val="Colorful List - Accent 1 Char"/>
    <w:aliases w:val="Párrafo de lista1 Char,List Paragraph1 Char,List Paragraph11 Char"/>
    <w:link w:val="ColorfulList-Accent12"/>
    <w:uiPriority w:val="99"/>
    <w:locked/>
    <w:rsid w:val="00FE43A8"/>
    <w:rPr>
      <w:rFonts w:ascii="Cambria" w:eastAsia="Cambria" w:hAnsi="Cambria" w:cs="Cambria"/>
      <w:color w:val="000000"/>
      <w:sz w:val="24"/>
      <w:szCs w:val="24"/>
      <w:u w:color="000000"/>
      <w:bdr w:val="nil"/>
      <w:lang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FE43A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bdr w:val="none" w:sz="0" w:space="0" w:color="auto"/>
      <w:vertAlign w:val="superscript"/>
    </w:rPr>
  </w:style>
  <w:style w:type="character" w:customStyle="1" w:styleId="Heading5Char">
    <w:name w:val="Heading 5 Char"/>
    <w:link w:val="Heading5"/>
    <w:uiPriority w:val="99"/>
    <w:rsid w:val="004A1D2D"/>
    <w:rPr>
      <w:rFonts w:ascii="Calibri" w:eastAsia="Times New Roman" w:hAnsi="Calibri" w:cs="Times New Roman"/>
      <w:b/>
      <w:bCs/>
      <w:i/>
      <w:iCs/>
      <w:sz w:val="26"/>
      <w:szCs w:val="26"/>
      <w:bdr w:val="nil"/>
    </w:rPr>
  </w:style>
  <w:style w:type="character" w:customStyle="1" w:styleId="FootnoteTextChar1">
    <w:name w:val="Footnote Text Char1"/>
    <w:aliases w:val="Footnote Text Char Char Char Char Char Char2,Footnote Text Char Char Char Char Char3,Footnote reference Char2,FA Fu Char2,Footnote Text Char Char Char Char3,Footnote Text Cha Char2,FA Fußnotentext Char2,FA Fuﬂnotentext Char2,Ca Char1"/>
    <w:uiPriority w:val="99"/>
    <w:locked/>
    <w:rsid w:val="004A1D2D"/>
    <w:rPr>
      <w:rFonts w:ascii="Calibri" w:eastAsia="Times New Roman" w:hAnsi="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BB058F"/>
    <w:pPr>
      <w:keepNext/>
      <w:keepLines/>
      <w:numPr>
        <w:numId w:val="53"/>
      </w:numPr>
      <w:tabs>
        <w:tab w:val="left" w:pos="1440"/>
      </w:tabs>
      <w:ind w:left="0" w:firstLine="720"/>
      <w:jc w:val="both"/>
      <w:outlineLvl w:val="0"/>
    </w:pPr>
    <w:rPr>
      <w:rFonts w:ascii="Cambria" w:eastAsia="MS Gothic" w:hAnsi="Cambria"/>
      <w:b/>
      <w:bCs/>
      <w:sz w:val="20"/>
      <w:szCs w:val="20"/>
      <w:lang w:val="es-ES_tradnl"/>
    </w:rPr>
  </w:style>
  <w:style w:type="paragraph" w:styleId="Heading2">
    <w:name w:val="heading 2"/>
    <w:basedOn w:val="BodyTextIndent"/>
    <w:next w:val="Normal"/>
    <w:link w:val="Heading2Char"/>
    <w:qFormat/>
    <w:rsid w:val="00D1255F"/>
    <w:pPr>
      <w:numPr>
        <w:numId w:val="62"/>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pPr>
    <w:rPr>
      <w:rFonts w:ascii="Cambria" w:hAnsi="Cambria"/>
      <w:b/>
      <w:sz w:val="20"/>
      <w:szCs w:val="20"/>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5">
    <w:name w:val="heading 5"/>
    <w:basedOn w:val="Normal"/>
    <w:next w:val="Normal"/>
    <w:link w:val="Heading5Char"/>
    <w:uiPriority w:val="9"/>
    <w:qFormat/>
    <w:rsid w:val="004A1D2D"/>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customStyle="1" w:styleId="MediumList2-Accent41">
    <w:name w:val="Medium List 2 - Accent 41"/>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BB058F"/>
    <w:rPr>
      <w:rFonts w:ascii="Cambria" w:eastAsia="MS Gothic" w:hAnsi="Cambria"/>
      <w:b/>
      <w:bCs/>
      <w:bdr w:val="nil"/>
      <w:lang w:val="es-ES_tradnl"/>
    </w:rPr>
  </w:style>
  <w:style w:type="table" w:customStyle="1" w:styleId="Bibliography1">
    <w:name w:val="Bibliography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link w:val="BVIfnrCar1CarCarCarC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link w:val="Heading2"/>
    <w:rsid w:val="00D1255F"/>
    <w:rPr>
      <w:rFonts w:ascii="Cambria" w:eastAsia="Times New Roman" w:hAnsi="Cambria"/>
      <w:b/>
      <w:color w:val="000000"/>
      <w:u w:color="000000"/>
      <w:bdr w:val="nil"/>
      <w:lang w:val="es-ES_tradnl" w:eastAsia="es-ES"/>
    </w:rPr>
  </w:style>
  <w:style w:type="character" w:customStyle="1" w:styleId="Heading3Char">
    <w:name w:val="Heading 3 Char"/>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rsid w:val="001614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character" w:customStyle="1" w:styleId="BodyTextIndentChar">
    <w:name w:val="Body Text Indent Char"/>
    <w:link w:val="BodyTextIndent"/>
    <w:locked/>
    <w:rsid w:val="00161414"/>
    <w:rPr>
      <w:rFonts w:eastAsia="Times New Roman"/>
      <w:color w:val="000000"/>
      <w:sz w:val="24"/>
      <w:szCs w:val="24"/>
      <w:u w:color="000000"/>
      <w:lang w:val="es-ES_tradnl"/>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locked/>
    <w:rsid w:val="0089339B"/>
    <w:rPr>
      <w:rFonts w:ascii="Univers" w:hAnsi="Univers"/>
    </w:rPr>
  </w:style>
  <w:style w:type="character" w:customStyle="1" w:styleId="BodyTextIndentChar1">
    <w:name w:val="Body Text Indent Char1"/>
    <w:locked/>
    <w:rsid w:val="001D0061"/>
    <w:rPr>
      <w:rFonts w:eastAsia="Times New Roman"/>
      <w:color w:val="000000"/>
      <w:sz w:val="24"/>
      <w:szCs w:val="24"/>
      <w:u w:color="000000"/>
      <w:lang w:val="es-ES_tradnl"/>
    </w:rPr>
  </w:style>
  <w:style w:type="character" w:customStyle="1" w:styleId="apple-converted-space">
    <w:name w:val="apple-converted-space"/>
    <w:rsid w:val="003122CD"/>
  </w:style>
  <w:style w:type="paragraph" w:customStyle="1" w:styleId="ColorfulShading-Accent31">
    <w:name w:val="Colorful Shading - Accent 31"/>
    <w:basedOn w:val="Normal"/>
    <w:uiPriority w:val="72"/>
    <w:qFormat/>
    <w:rsid w:val="00947322"/>
    <w:pPr>
      <w:ind w:left="720"/>
    </w:pPr>
  </w:style>
  <w:style w:type="character" w:styleId="CommentReference">
    <w:name w:val="annotation reference"/>
    <w:uiPriority w:val="99"/>
    <w:semiHidden/>
    <w:unhideWhenUsed/>
    <w:rsid w:val="008520A5"/>
    <w:rPr>
      <w:sz w:val="16"/>
      <w:szCs w:val="16"/>
    </w:rPr>
  </w:style>
  <w:style w:type="paragraph" w:styleId="CommentText">
    <w:name w:val="annotation text"/>
    <w:basedOn w:val="Normal"/>
    <w:link w:val="CommentTextChar"/>
    <w:uiPriority w:val="99"/>
    <w:semiHidden/>
    <w:unhideWhenUsed/>
    <w:rsid w:val="008520A5"/>
    <w:rPr>
      <w:sz w:val="20"/>
      <w:szCs w:val="20"/>
    </w:rPr>
  </w:style>
  <w:style w:type="character" w:customStyle="1" w:styleId="CommentTextChar">
    <w:name w:val="Comment Text Char"/>
    <w:link w:val="CommentText"/>
    <w:uiPriority w:val="99"/>
    <w:semiHidden/>
    <w:rsid w:val="008520A5"/>
    <w:rPr>
      <w:bdr w:val="nil"/>
    </w:rPr>
  </w:style>
  <w:style w:type="paragraph" w:styleId="CommentSubject">
    <w:name w:val="annotation subject"/>
    <w:basedOn w:val="CommentText"/>
    <w:next w:val="CommentText"/>
    <w:link w:val="CommentSubjectChar"/>
    <w:uiPriority w:val="99"/>
    <w:semiHidden/>
    <w:unhideWhenUsed/>
    <w:rsid w:val="008520A5"/>
    <w:rPr>
      <w:b/>
      <w:bCs/>
    </w:rPr>
  </w:style>
  <w:style w:type="character" w:customStyle="1" w:styleId="CommentSubjectChar">
    <w:name w:val="Comment Subject Char"/>
    <w:link w:val="CommentSubject"/>
    <w:uiPriority w:val="99"/>
    <w:semiHidden/>
    <w:rsid w:val="008520A5"/>
    <w:rPr>
      <w:b/>
      <w:bCs/>
      <w:bdr w:val="nil"/>
    </w:rPr>
  </w:style>
  <w:style w:type="paragraph" w:customStyle="1" w:styleId="DarkList-Accent31">
    <w:name w:val="Dark List - Accent 31"/>
    <w:hidden/>
    <w:uiPriority w:val="99"/>
    <w:semiHidden/>
    <w:rsid w:val="000A16F3"/>
    <w:rPr>
      <w:sz w:val="24"/>
      <w:szCs w:val="24"/>
      <w:bdr w:val="nil"/>
    </w:rPr>
  </w:style>
  <w:style w:type="paragraph" w:customStyle="1" w:styleId="LightGrid-Accent31">
    <w:name w:val="Light Grid - Accent 31"/>
    <w:basedOn w:val="Normal"/>
    <w:uiPriority w:val="72"/>
    <w:qFormat/>
    <w:rsid w:val="003D06FB"/>
    <w:pPr>
      <w:ind w:left="720"/>
    </w:pPr>
  </w:style>
  <w:style w:type="paragraph" w:customStyle="1" w:styleId="MediumGrid1-Accent21">
    <w:name w:val="Medium Grid 1 - Accent 21"/>
    <w:basedOn w:val="Normal"/>
    <w:uiPriority w:val="72"/>
    <w:qFormat/>
    <w:rsid w:val="00572624"/>
    <w:pPr>
      <w:ind w:left="720"/>
    </w:pPr>
  </w:style>
  <w:style w:type="paragraph" w:customStyle="1" w:styleId="ColorfulList-Accent11">
    <w:name w:val="Colorful List - Accent 11"/>
    <w:basedOn w:val="Normal"/>
    <w:uiPriority w:val="72"/>
    <w:qFormat/>
    <w:rsid w:val="00A03648"/>
    <w:pPr>
      <w:ind w:left="720"/>
    </w:pPr>
  </w:style>
  <w:style w:type="paragraph" w:customStyle="1" w:styleId="Style2">
    <w:name w:val="Style2"/>
    <w:basedOn w:val="Normal"/>
    <w:qFormat/>
    <w:rsid w:val="00754548"/>
    <w:pPr>
      <w:numPr>
        <w:numId w:val="57"/>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lang w:val="es-ES"/>
    </w:rPr>
  </w:style>
  <w:style w:type="paragraph" w:customStyle="1" w:styleId="MediumList2-Accent42">
    <w:name w:val="Medium List 2 - Accent 42"/>
    <w:basedOn w:val="Normal"/>
    <w:uiPriority w:val="34"/>
    <w:qFormat/>
    <w:rsid w:val="006069E6"/>
    <w:pPr>
      <w:ind w:left="720"/>
    </w:pPr>
  </w:style>
  <w:style w:type="character" w:styleId="FollowedHyperlink">
    <w:name w:val="FollowedHyperlink"/>
    <w:uiPriority w:val="99"/>
    <w:semiHidden/>
    <w:unhideWhenUsed/>
    <w:rsid w:val="00DA3FDE"/>
    <w:rPr>
      <w:color w:val="800080"/>
      <w:u w:val="single"/>
    </w:rPr>
  </w:style>
  <w:style w:type="paragraph" w:customStyle="1" w:styleId="ColorfulShading-Accent32">
    <w:name w:val="Colorful Shading - Accent 32"/>
    <w:basedOn w:val="Normal"/>
    <w:uiPriority w:val="34"/>
    <w:qFormat/>
    <w:rsid w:val="0005428B"/>
    <w:pPr>
      <w:ind w:left="720"/>
    </w:pPr>
  </w:style>
  <w:style w:type="paragraph" w:customStyle="1" w:styleId="LightGrid-Accent32">
    <w:name w:val="Light Grid - Accent 32"/>
    <w:basedOn w:val="Normal"/>
    <w:uiPriority w:val="34"/>
    <w:qFormat/>
    <w:rsid w:val="004149B7"/>
    <w:pPr>
      <w:ind w:left="720"/>
    </w:pPr>
  </w:style>
  <w:style w:type="paragraph" w:customStyle="1" w:styleId="MediumGrid1-Accent22">
    <w:name w:val="Medium Grid 1 - Accent 22"/>
    <w:basedOn w:val="Normal"/>
    <w:uiPriority w:val="34"/>
    <w:qFormat/>
    <w:rsid w:val="00944F64"/>
    <w:pPr>
      <w:ind w:left="720"/>
    </w:pPr>
  </w:style>
  <w:style w:type="paragraph" w:customStyle="1" w:styleId="ColorfulList-Accent12">
    <w:name w:val="Colorful List - Accent 12"/>
    <w:aliases w:val="Párrafo de lista1,List Paragraph1,List Paragraph11"/>
    <w:link w:val="ColorfulList-Accent1Char"/>
    <w:uiPriority w:val="99"/>
    <w:qFormat/>
    <w:rsid w:val="00FE43A8"/>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character" w:styleId="Strong">
    <w:name w:val="Strong"/>
    <w:uiPriority w:val="22"/>
    <w:qFormat/>
    <w:rsid w:val="00FE43A8"/>
    <w:rPr>
      <w:b/>
      <w:bCs/>
    </w:rPr>
  </w:style>
  <w:style w:type="character" w:customStyle="1" w:styleId="ColorfulList-Accent1Char">
    <w:name w:val="Colorful List - Accent 1 Char"/>
    <w:aliases w:val="Párrafo de lista1 Char,List Paragraph1 Char,List Paragraph11 Char"/>
    <w:link w:val="ColorfulList-Accent12"/>
    <w:uiPriority w:val="99"/>
    <w:locked/>
    <w:rsid w:val="00FE43A8"/>
    <w:rPr>
      <w:rFonts w:ascii="Cambria" w:eastAsia="Cambria" w:hAnsi="Cambria" w:cs="Cambria"/>
      <w:color w:val="000000"/>
      <w:sz w:val="24"/>
      <w:szCs w:val="24"/>
      <w:u w:color="000000"/>
      <w:bdr w:val="nil"/>
      <w:lang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FE43A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bdr w:val="none" w:sz="0" w:space="0" w:color="auto"/>
      <w:vertAlign w:val="superscript"/>
    </w:rPr>
  </w:style>
  <w:style w:type="character" w:customStyle="1" w:styleId="Heading5Char">
    <w:name w:val="Heading 5 Char"/>
    <w:link w:val="Heading5"/>
    <w:uiPriority w:val="99"/>
    <w:rsid w:val="004A1D2D"/>
    <w:rPr>
      <w:rFonts w:ascii="Calibri" w:eastAsia="Times New Roman" w:hAnsi="Calibri" w:cs="Times New Roman"/>
      <w:b/>
      <w:bCs/>
      <w:i/>
      <w:iCs/>
      <w:sz w:val="26"/>
      <w:szCs w:val="26"/>
      <w:bdr w:val="nil"/>
    </w:rPr>
  </w:style>
  <w:style w:type="character" w:customStyle="1" w:styleId="FootnoteTextChar1">
    <w:name w:val="Footnote Text Char1"/>
    <w:aliases w:val="Footnote Text Char Char Char Char Char Char2,Footnote Text Char Char Char Char Char3,Footnote reference Char2,FA Fu Char2,Footnote Text Char Char Char Char3,Footnote Text Cha Char2,FA Fußnotentext Char2,FA Fuﬂnotentext Char2,Ca Char1"/>
    <w:uiPriority w:val="99"/>
    <w:locked/>
    <w:rsid w:val="004A1D2D"/>
    <w:rPr>
      <w:rFonts w:ascii="Calibri" w:eastAsia="Times New Roman" w:hAnsi="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9577">
      <w:bodyDiv w:val="1"/>
      <w:marLeft w:val="0"/>
      <w:marRight w:val="0"/>
      <w:marTop w:val="0"/>
      <w:marBottom w:val="0"/>
      <w:divBdr>
        <w:top w:val="none" w:sz="0" w:space="0" w:color="auto"/>
        <w:left w:val="none" w:sz="0" w:space="0" w:color="auto"/>
        <w:bottom w:val="none" w:sz="0" w:space="0" w:color="auto"/>
        <w:right w:val="none" w:sz="0" w:space="0" w:color="auto"/>
      </w:divBdr>
    </w:div>
    <w:div w:id="99111820">
      <w:bodyDiv w:val="1"/>
      <w:marLeft w:val="0"/>
      <w:marRight w:val="0"/>
      <w:marTop w:val="0"/>
      <w:marBottom w:val="0"/>
      <w:divBdr>
        <w:top w:val="none" w:sz="0" w:space="0" w:color="auto"/>
        <w:left w:val="none" w:sz="0" w:space="0" w:color="auto"/>
        <w:bottom w:val="none" w:sz="0" w:space="0" w:color="auto"/>
        <w:right w:val="none" w:sz="0" w:space="0" w:color="auto"/>
      </w:divBdr>
    </w:div>
    <w:div w:id="161892597">
      <w:bodyDiv w:val="1"/>
      <w:marLeft w:val="0"/>
      <w:marRight w:val="0"/>
      <w:marTop w:val="0"/>
      <w:marBottom w:val="0"/>
      <w:divBdr>
        <w:top w:val="none" w:sz="0" w:space="0" w:color="auto"/>
        <w:left w:val="none" w:sz="0" w:space="0" w:color="auto"/>
        <w:bottom w:val="none" w:sz="0" w:space="0" w:color="auto"/>
        <w:right w:val="none" w:sz="0" w:space="0" w:color="auto"/>
      </w:divBdr>
    </w:div>
    <w:div w:id="227570173">
      <w:bodyDiv w:val="1"/>
      <w:marLeft w:val="0"/>
      <w:marRight w:val="0"/>
      <w:marTop w:val="0"/>
      <w:marBottom w:val="0"/>
      <w:divBdr>
        <w:top w:val="none" w:sz="0" w:space="0" w:color="auto"/>
        <w:left w:val="none" w:sz="0" w:space="0" w:color="auto"/>
        <w:bottom w:val="none" w:sz="0" w:space="0" w:color="auto"/>
        <w:right w:val="none" w:sz="0" w:space="0" w:color="auto"/>
      </w:divBdr>
    </w:div>
    <w:div w:id="257064036">
      <w:bodyDiv w:val="1"/>
      <w:marLeft w:val="0"/>
      <w:marRight w:val="0"/>
      <w:marTop w:val="0"/>
      <w:marBottom w:val="0"/>
      <w:divBdr>
        <w:top w:val="none" w:sz="0" w:space="0" w:color="auto"/>
        <w:left w:val="none" w:sz="0" w:space="0" w:color="auto"/>
        <w:bottom w:val="none" w:sz="0" w:space="0" w:color="auto"/>
        <w:right w:val="none" w:sz="0" w:space="0" w:color="auto"/>
      </w:divBdr>
    </w:div>
    <w:div w:id="390537910">
      <w:bodyDiv w:val="1"/>
      <w:marLeft w:val="0"/>
      <w:marRight w:val="0"/>
      <w:marTop w:val="0"/>
      <w:marBottom w:val="0"/>
      <w:divBdr>
        <w:top w:val="none" w:sz="0" w:space="0" w:color="auto"/>
        <w:left w:val="none" w:sz="0" w:space="0" w:color="auto"/>
        <w:bottom w:val="none" w:sz="0" w:space="0" w:color="auto"/>
        <w:right w:val="none" w:sz="0" w:space="0" w:color="auto"/>
      </w:divBdr>
    </w:div>
    <w:div w:id="598219594">
      <w:bodyDiv w:val="1"/>
      <w:marLeft w:val="0"/>
      <w:marRight w:val="0"/>
      <w:marTop w:val="0"/>
      <w:marBottom w:val="0"/>
      <w:divBdr>
        <w:top w:val="none" w:sz="0" w:space="0" w:color="auto"/>
        <w:left w:val="none" w:sz="0" w:space="0" w:color="auto"/>
        <w:bottom w:val="none" w:sz="0" w:space="0" w:color="auto"/>
        <w:right w:val="none" w:sz="0" w:space="0" w:color="auto"/>
      </w:divBdr>
    </w:div>
    <w:div w:id="734931854">
      <w:bodyDiv w:val="1"/>
      <w:marLeft w:val="0"/>
      <w:marRight w:val="0"/>
      <w:marTop w:val="0"/>
      <w:marBottom w:val="0"/>
      <w:divBdr>
        <w:top w:val="none" w:sz="0" w:space="0" w:color="auto"/>
        <w:left w:val="none" w:sz="0" w:space="0" w:color="auto"/>
        <w:bottom w:val="none" w:sz="0" w:space="0" w:color="auto"/>
        <w:right w:val="none" w:sz="0" w:space="0" w:color="auto"/>
      </w:divBdr>
    </w:div>
    <w:div w:id="840238404">
      <w:bodyDiv w:val="1"/>
      <w:marLeft w:val="0"/>
      <w:marRight w:val="0"/>
      <w:marTop w:val="0"/>
      <w:marBottom w:val="0"/>
      <w:divBdr>
        <w:top w:val="none" w:sz="0" w:space="0" w:color="auto"/>
        <w:left w:val="none" w:sz="0" w:space="0" w:color="auto"/>
        <w:bottom w:val="none" w:sz="0" w:space="0" w:color="auto"/>
        <w:right w:val="none" w:sz="0" w:space="0" w:color="auto"/>
      </w:divBdr>
    </w:div>
    <w:div w:id="883951426">
      <w:bodyDiv w:val="1"/>
      <w:marLeft w:val="0"/>
      <w:marRight w:val="0"/>
      <w:marTop w:val="0"/>
      <w:marBottom w:val="0"/>
      <w:divBdr>
        <w:top w:val="none" w:sz="0" w:space="0" w:color="auto"/>
        <w:left w:val="none" w:sz="0" w:space="0" w:color="auto"/>
        <w:bottom w:val="none" w:sz="0" w:space="0" w:color="auto"/>
        <w:right w:val="none" w:sz="0" w:space="0" w:color="auto"/>
      </w:divBdr>
    </w:div>
    <w:div w:id="977955099">
      <w:bodyDiv w:val="1"/>
      <w:marLeft w:val="0"/>
      <w:marRight w:val="0"/>
      <w:marTop w:val="0"/>
      <w:marBottom w:val="0"/>
      <w:divBdr>
        <w:top w:val="none" w:sz="0" w:space="0" w:color="auto"/>
        <w:left w:val="none" w:sz="0" w:space="0" w:color="auto"/>
        <w:bottom w:val="none" w:sz="0" w:space="0" w:color="auto"/>
        <w:right w:val="none" w:sz="0" w:space="0" w:color="auto"/>
      </w:divBdr>
    </w:div>
    <w:div w:id="999695248">
      <w:bodyDiv w:val="1"/>
      <w:marLeft w:val="0"/>
      <w:marRight w:val="0"/>
      <w:marTop w:val="0"/>
      <w:marBottom w:val="0"/>
      <w:divBdr>
        <w:top w:val="none" w:sz="0" w:space="0" w:color="auto"/>
        <w:left w:val="none" w:sz="0" w:space="0" w:color="auto"/>
        <w:bottom w:val="none" w:sz="0" w:space="0" w:color="auto"/>
        <w:right w:val="none" w:sz="0" w:space="0" w:color="auto"/>
      </w:divBdr>
    </w:div>
    <w:div w:id="1204098108">
      <w:bodyDiv w:val="1"/>
      <w:marLeft w:val="0"/>
      <w:marRight w:val="0"/>
      <w:marTop w:val="0"/>
      <w:marBottom w:val="0"/>
      <w:divBdr>
        <w:top w:val="none" w:sz="0" w:space="0" w:color="auto"/>
        <w:left w:val="none" w:sz="0" w:space="0" w:color="auto"/>
        <w:bottom w:val="none" w:sz="0" w:space="0" w:color="auto"/>
        <w:right w:val="none" w:sz="0" w:space="0" w:color="auto"/>
      </w:divBdr>
    </w:div>
    <w:div w:id="1543177878">
      <w:bodyDiv w:val="1"/>
      <w:marLeft w:val="0"/>
      <w:marRight w:val="0"/>
      <w:marTop w:val="0"/>
      <w:marBottom w:val="0"/>
      <w:divBdr>
        <w:top w:val="none" w:sz="0" w:space="0" w:color="auto"/>
        <w:left w:val="none" w:sz="0" w:space="0" w:color="auto"/>
        <w:bottom w:val="none" w:sz="0" w:space="0" w:color="auto"/>
        <w:right w:val="none" w:sz="0" w:space="0" w:color="auto"/>
      </w:divBdr>
    </w:div>
    <w:div w:id="164515684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1419154">
      <w:bodyDiv w:val="1"/>
      <w:marLeft w:val="0"/>
      <w:marRight w:val="0"/>
      <w:marTop w:val="0"/>
      <w:marBottom w:val="0"/>
      <w:divBdr>
        <w:top w:val="none" w:sz="0" w:space="0" w:color="auto"/>
        <w:left w:val="none" w:sz="0" w:space="0" w:color="auto"/>
        <w:bottom w:val="none" w:sz="0" w:space="0" w:color="auto"/>
        <w:right w:val="none" w:sz="0" w:space="0" w:color="auto"/>
      </w:divBdr>
    </w:div>
    <w:div w:id="1886411524">
      <w:bodyDiv w:val="1"/>
      <w:marLeft w:val="0"/>
      <w:marRight w:val="0"/>
      <w:marTop w:val="0"/>
      <w:marBottom w:val="0"/>
      <w:divBdr>
        <w:top w:val="none" w:sz="0" w:space="0" w:color="auto"/>
        <w:left w:val="none" w:sz="0" w:space="0" w:color="auto"/>
        <w:bottom w:val="none" w:sz="0" w:space="0" w:color="auto"/>
        <w:right w:val="none" w:sz="0" w:space="0" w:color="auto"/>
      </w:divBdr>
    </w:div>
    <w:div w:id="1982228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cidh.oas.org/annualrep/95span/cap.III.argentina11.245.htm" TargetMode="External"/><Relationship Id="rId3" Type="http://schemas.openxmlformats.org/officeDocument/2006/relationships/hyperlink" Target="http://www.oas.org/es/cidh/decisiones/2011/ECAD12197ES.doc" TargetMode="External"/><Relationship Id="rId7" Type="http://schemas.openxmlformats.org/officeDocument/2006/relationships/hyperlink" Target="http://www.oas.org/es/cidh/ppl/informes/pdfs/Informe-PP-2013-es.pdf" TargetMode="External"/><Relationship Id="rId2" Type="http://schemas.openxmlformats.org/officeDocument/2006/relationships/hyperlink" Target="http://www.oas.org/es/cidh/decisiones/2011/ECAD12197ES.doc" TargetMode="External"/><Relationship Id="rId1" Type="http://schemas.openxmlformats.org/officeDocument/2006/relationships/hyperlink" Target="http://www.oas.org/es/cidh/decisiones/2011/ECAD12197ES.doc" TargetMode="External"/><Relationship Id="rId6" Type="http://schemas.openxmlformats.org/officeDocument/2006/relationships/hyperlink" Target="http://www.oas.org/es/cidh/ppl/informes/pdfs/Informe-PP-2013-es.pdf" TargetMode="External"/><Relationship Id="rId11" Type="http://schemas.openxmlformats.org/officeDocument/2006/relationships/hyperlink" Target="http://www.oas.org/es/cidh/ppl/informes/pdfs/Informe-PP-2013-es.pdf" TargetMode="External"/><Relationship Id="rId5" Type="http://schemas.openxmlformats.org/officeDocument/2006/relationships/hyperlink" Target="http://www.oas.org/es/cidh/ppl/informes/pdfs/Informe-PP-2013-es.pdf" TargetMode="External"/><Relationship Id="rId10" Type="http://schemas.openxmlformats.org/officeDocument/2006/relationships/hyperlink" Target="http://www.oas.org/es/cidh/ppl/informes/pdfs/Informe-PP-2013-es.pdf" TargetMode="External"/><Relationship Id="rId4" Type="http://schemas.openxmlformats.org/officeDocument/2006/relationships/hyperlink" Target="http://www.oas.org/es/cidh/decisiones/2011/ECAD12197ES.doc" TargetMode="External"/><Relationship Id="rId9" Type="http://schemas.openxmlformats.org/officeDocument/2006/relationships/hyperlink" Target="http://www.cidh.oas.org/annualrep/95span/cap.III.argentina11.245.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CF5BA-ED02-433D-B78B-6C60B6257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4775</Words>
  <Characters>27224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31936</CharactersWithSpaces>
  <SharedDoc>false</SharedDoc>
  <HLinks>
    <vt:vector size="12" baseType="variant">
      <vt:variant>
        <vt:i4>10682471</vt:i4>
      </vt:variant>
      <vt:variant>
        <vt:i4>3</vt:i4>
      </vt:variant>
      <vt:variant>
        <vt:i4>0</vt:i4>
      </vt:variant>
      <vt:variant>
        <vt:i4>5</vt:i4>
      </vt:variant>
      <vt:variant>
        <vt:lpwstr>http://www.oas.org/es/cidh/decisiones/2011/ECAD12197ES.doc. Párr.s</vt:lpwstr>
      </vt:variant>
      <vt:variant>
        <vt:lpwstr/>
      </vt:variant>
      <vt:variant>
        <vt:i4>6488165</vt:i4>
      </vt:variant>
      <vt:variant>
        <vt:i4>0</vt:i4>
      </vt:variant>
      <vt:variant>
        <vt:i4>0</vt:i4>
      </vt:variant>
      <vt:variant>
        <vt:i4>5</vt:i4>
      </vt:variant>
      <vt:variant>
        <vt:lpwstr>http://www.oas.org/es/cidh/decisiones/2011/ECAD12197ES.doc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%username%</cp:lastModifiedBy>
  <cp:revision>11</cp:revision>
  <cp:lastPrinted>2017-05-20T22:34:00Z</cp:lastPrinted>
  <dcterms:created xsi:type="dcterms:W3CDTF">2017-05-20T22:34:00Z</dcterms:created>
  <dcterms:modified xsi:type="dcterms:W3CDTF">2017-11-03T19:11:00Z</dcterms:modified>
</cp:coreProperties>
</file>