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6D8C4" w14:textId="77777777" w:rsidR="00040C3A" w:rsidRPr="00A83E9D" w:rsidRDefault="006311DA" w:rsidP="00627C9F">
      <w:pPr>
        <w:jc w:val="both"/>
        <w:rPr>
          <w:rFonts w:asciiTheme="majorHAnsi" w:hAnsiTheme="majorHAnsi" w:cs="Univers"/>
          <w:b/>
          <w:bCs/>
          <w:sz w:val="22"/>
          <w:szCs w:val="22"/>
        </w:rPr>
      </w:pPr>
      <w:r w:rsidRPr="00A83E9D">
        <w:rPr>
          <w:rFonts w:asciiTheme="majorHAnsi" w:hAnsiTheme="majorHAnsi"/>
          <w:noProof/>
          <w:sz w:val="22"/>
          <w:szCs w:val="22"/>
          <w:lang w:val="es-ES" w:eastAsia="es-ES"/>
        </w:rPr>
        <mc:AlternateContent>
          <mc:Choice Requires="wps">
            <w:drawing>
              <wp:anchor distT="0" distB="0" distL="114300" distR="114300" simplePos="0" relativeHeight="251661311" behindDoc="0" locked="0" layoutInCell="1" allowOverlap="1" wp14:anchorId="628957FE" wp14:editId="4A01A86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rect w14:anchorId="72F338F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83E9D">
        <w:rPr>
          <w:rFonts w:asciiTheme="majorHAnsi" w:hAnsiTheme="majorHAnsi"/>
          <w:noProof/>
          <w:sz w:val="22"/>
          <w:szCs w:val="22"/>
          <w:lang w:val="es-ES" w:eastAsia="es-ES"/>
        </w:rPr>
        <mc:AlternateContent>
          <mc:Choice Requires="wps">
            <w:drawing>
              <wp:anchor distT="0" distB="0" distL="114300" distR="114300" simplePos="0" relativeHeight="251673600" behindDoc="0" locked="0" layoutInCell="1" allowOverlap="1" wp14:anchorId="3CA65E4C" wp14:editId="557C4C2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813CA" w14:textId="77777777" w:rsidR="00581210" w:rsidRDefault="00581210">
                            <w:r>
                              <w:rPr>
                                <w:noProof/>
                                <w:lang w:val="es-ES" w:eastAsia="es-ES"/>
                              </w:rPr>
                              <w:drawing>
                                <wp:inline distT="0" distB="0" distL="0" distR="0" wp14:anchorId="523F0D3B" wp14:editId="57EB7AE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6BA813CA" w14:textId="77777777" w:rsidR="00581210" w:rsidRDefault="00581210">
                      <w:r>
                        <w:rPr>
                          <w:noProof/>
                          <w:lang w:val="es-ES" w:eastAsia="es-ES"/>
                        </w:rPr>
                        <w:drawing>
                          <wp:inline distT="0" distB="0" distL="0" distR="0" wp14:anchorId="523F0D3B" wp14:editId="57EB7AE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D06C9FF" w14:textId="77777777" w:rsidR="00040C3A" w:rsidRPr="00A83E9D" w:rsidRDefault="00040C3A" w:rsidP="00040C3A">
      <w:pPr>
        <w:tabs>
          <w:tab w:val="center" w:pos="5400"/>
        </w:tabs>
        <w:suppressAutoHyphens/>
        <w:jc w:val="both"/>
        <w:rPr>
          <w:rFonts w:asciiTheme="majorHAnsi" w:hAnsiTheme="majorHAnsi"/>
          <w:sz w:val="22"/>
          <w:szCs w:val="22"/>
        </w:rPr>
      </w:pPr>
    </w:p>
    <w:p w14:paraId="787FF999" w14:textId="77777777" w:rsidR="00040C3A" w:rsidRPr="00A83E9D" w:rsidRDefault="00040C3A" w:rsidP="00040C3A">
      <w:pPr>
        <w:tabs>
          <w:tab w:val="center" w:pos="5400"/>
        </w:tabs>
        <w:suppressAutoHyphens/>
        <w:jc w:val="both"/>
        <w:rPr>
          <w:rFonts w:asciiTheme="majorHAnsi" w:hAnsiTheme="majorHAnsi"/>
          <w:sz w:val="22"/>
          <w:szCs w:val="22"/>
        </w:rPr>
      </w:pPr>
    </w:p>
    <w:p w14:paraId="60976B1A" w14:textId="77777777" w:rsidR="005128E4" w:rsidRPr="00A83E9D" w:rsidRDefault="005128E4" w:rsidP="00040C3A">
      <w:pPr>
        <w:tabs>
          <w:tab w:val="center" w:pos="5400"/>
        </w:tabs>
        <w:suppressAutoHyphens/>
        <w:rPr>
          <w:rFonts w:asciiTheme="majorHAnsi" w:hAnsiTheme="majorHAnsi"/>
          <w:sz w:val="22"/>
          <w:szCs w:val="22"/>
        </w:rPr>
      </w:pPr>
    </w:p>
    <w:p w14:paraId="2BF49C7D" w14:textId="77777777" w:rsidR="005128E4" w:rsidRPr="00A83E9D" w:rsidRDefault="005128E4" w:rsidP="00040C3A">
      <w:pPr>
        <w:tabs>
          <w:tab w:val="center" w:pos="5400"/>
        </w:tabs>
        <w:suppressAutoHyphens/>
        <w:rPr>
          <w:rFonts w:asciiTheme="majorHAnsi" w:hAnsiTheme="majorHAnsi"/>
          <w:sz w:val="22"/>
          <w:szCs w:val="22"/>
        </w:rPr>
      </w:pPr>
    </w:p>
    <w:p w14:paraId="62242B4B" w14:textId="77777777" w:rsidR="005128E4" w:rsidRPr="00A83E9D" w:rsidRDefault="005128E4" w:rsidP="00040C3A">
      <w:pPr>
        <w:tabs>
          <w:tab w:val="center" w:pos="5400"/>
        </w:tabs>
        <w:suppressAutoHyphens/>
        <w:rPr>
          <w:rFonts w:asciiTheme="majorHAnsi" w:hAnsiTheme="majorHAnsi"/>
          <w:sz w:val="22"/>
          <w:szCs w:val="22"/>
        </w:rPr>
      </w:pPr>
    </w:p>
    <w:p w14:paraId="209DCBD1" w14:textId="77777777" w:rsidR="00040C3A" w:rsidRPr="00A83E9D" w:rsidRDefault="00040C3A" w:rsidP="005128E4">
      <w:pPr>
        <w:tabs>
          <w:tab w:val="center" w:pos="5400"/>
        </w:tabs>
        <w:suppressAutoHyphens/>
        <w:jc w:val="center"/>
        <w:rPr>
          <w:rFonts w:asciiTheme="majorHAnsi" w:hAnsiTheme="majorHAnsi"/>
          <w:sz w:val="22"/>
          <w:szCs w:val="22"/>
        </w:rPr>
      </w:pPr>
    </w:p>
    <w:p w14:paraId="60A0D628" w14:textId="77777777" w:rsidR="00040C3A" w:rsidRPr="00A83E9D" w:rsidRDefault="00040C3A" w:rsidP="005128E4">
      <w:pPr>
        <w:tabs>
          <w:tab w:val="center" w:pos="5400"/>
        </w:tabs>
        <w:suppressAutoHyphens/>
        <w:jc w:val="center"/>
        <w:rPr>
          <w:rFonts w:asciiTheme="majorHAnsi" w:hAnsiTheme="majorHAnsi"/>
          <w:sz w:val="22"/>
          <w:szCs w:val="22"/>
        </w:rPr>
      </w:pPr>
    </w:p>
    <w:p w14:paraId="1544B671" w14:textId="77777777" w:rsidR="005B52B0" w:rsidRPr="00A83E9D" w:rsidRDefault="005B52B0" w:rsidP="005128E4">
      <w:pPr>
        <w:tabs>
          <w:tab w:val="center" w:pos="5400"/>
        </w:tabs>
        <w:suppressAutoHyphens/>
        <w:jc w:val="center"/>
        <w:rPr>
          <w:rFonts w:asciiTheme="majorHAnsi" w:hAnsiTheme="majorHAnsi"/>
          <w:sz w:val="22"/>
          <w:szCs w:val="22"/>
        </w:rPr>
      </w:pPr>
    </w:p>
    <w:p w14:paraId="0817D4D6" w14:textId="77777777" w:rsidR="005B52B0" w:rsidRPr="00A83E9D" w:rsidRDefault="005B52B0" w:rsidP="005128E4">
      <w:pPr>
        <w:tabs>
          <w:tab w:val="center" w:pos="5400"/>
        </w:tabs>
        <w:suppressAutoHyphens/>
        <w:jc w:val="center"/>
        <w:rPr>
          <w:rFonts w:asciiTheme="majorHAnsi" w:hAnsiTheme="majorHAnsi"/>
          <w:sz w:val="22"/>
          <w:szCs w:val="22"/>
        </w:rPr>
      </w:pPr>
    </w:p>
    <w:p w14:paraId="154CC9AC" w14:textId="77777777" w:rsidR="005B52B0" w:rsidRPr="00A83E9D" w:rsidRDefault="005B52B0" w:rsidP="005128E4">
      <w:pPr>
        <w:tabs>
          <w:tab w:val="center" w:pos="5400"/>
        </w:tabs>
        <w:suppressAutoHyphens/>
        <w:jc w:val="center"/>
        <w:rPr>
          <w:rFonts w:asciiTheme="majorHAnsi" w:hAnsiTheme="majorHAnsi"/>
          <w:sz w:val="22"/>
          <w:szCs w:val="22"/>
        </w:rPr>
      </w:pPr>
    </w:p>
    <w:p w14:paraId="3DE17A3D" w14:textId="77777777" w:rsidR="00040C3A" w:rsidRPr="00A83E9D" w:rsidRDefault="00040C3A" w:rsidP="00040C3A">
      <w:pPr>
        <w:tabs>
          <w:tab w:val="center" w:pos="5400"/>
        </w:tabs>
        <w:suppressAutoHyphens/>
        <w:jc w:val="center"/>
        <w:rPr>
          <w:rFonts w:asciiTheme="majorHAnsi" w:hAnsiTheme="majorHAnsi"/>
          <w:sz w:val="22"/>
          <w:szCs w:val="22"/>
        </w:rPr>
      </w:pPr>
    </w:p>
    <w:p w14:paraId="0E1B5D31" w14:textId="77777777" w:rsidR="00040C3A" w:rsidRPr="00A83E9D" w:rsidRDefault="00040C3A" w:rsidP="00040C3A">
      <w:pPr>
        <w:tabs>
          <w:tab w:val="center" w:pos="5400"/>
        </w:tabs>
        <w:suppressAutoHyphens/>
        <w:jc w:val="center"/>
        <w:rPr>
          <w:rFonts w:asciiTheme="majorHAnsi" w:hAnsiTheme="majorHAnsi"/>
          <w:sz w:val="22"/>
          <w:szCs w:val="22"/>
        </w:rPr>
      </w:pPr>
    </w:p>
    <w:p w14:paraId="4AD2CAE9" w14:textId="77777777" w:rsidR="00040C3A" w:rsidRPr="00A83E9D" w:rsidRDefault="00040C3A" w:rsidP="00040C3A">
      <w:pPr>
        <w:tabs>
          <w:tab w:val="center" w:pos="5400"/>
        </w:tabs>
        <w:suppressAutoHyphens/>
        <w:jc w:val="center"/>
        <w:rPr>
          <w:rFonts w:asciiTheme="majorHAnsi" w:hAnsiTheme="majorHAnsi"/>
          <w:sz w:val="22"/>
          <w:szCs w:val="22"/>
        </w:rPr>
      </w:pPr>
    </w:p>
    <w:p w14:paraId="13BF29A2" w14:textId="77777777" w:rsidR="00040C3A" w:rsidRPr="00A83E9D" w:rsidRDefault="00E533FF" w:rsidP="00040C3A">
      <w:pPr>
        <w:tabs>
          <w:tab w:val="center" w:pos="5400"/>
        </w:tabs>
        <w:suppressAutoHyphens/>
        <w:jc w:val="center"/>
        <w:rPr>
          <w:rFonts w:asciiTheme="majorHAnsi" w:hAnsiTheme="majorHAnsi"/>
          <w:sz w:val="22"/>
          <w:szCs w:val="22"/>
        </w:rPr>
      </w:pPr>
      <w:r w:rsidRPr="00A83E9D">
        <w:rPr>
          <w:rFonts w:asciiTheme="majorHAnsi" w:hAnsiTheme="majorHAnsi"/>
          <w:noProof/>
          <w:sz w:val="22"/>
          <w:szCs w:val="22"/>
          <w:lang w:val="es-ES" w:eastAsia="es-ES"/>
        </w:rPr>
        <mc:AlternateContent>
          <mc:Choice Requires="wps">
            <w:drawing>
              <wp:anchor distT="0" distB="0" distL="114300" distR="114300" simplePos="0" relativeHeight="251669504" behindDoc="0" locked="0" layoutInCell="1" allowOverlap="1" wp14:anchorId="1C820CAC" wp14:editId="442CE52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5824F" w14:textId="0F46ED05" w:rsidR="00581210" w:rsidRPr="004B7EB6" w:rsidRDefault="0058121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129</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14:paraId="72F4E85D" w14:textId="77777777" w:rsidR="00581210" w:rsidRPr="004B7EB6" w:rsidRDefault="0058121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12,315</w:t>
                            </w:r>
                          </w:p>
                          <w:p w14:paraId="3883258E" w14:textId="77777777" w:rsidR="00581210" w:rsidRPr="004B7EB6" w:rsidRDefault="00581210" w:rsidP="00F474A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1A449679" w14:textId="77777777" w:rsidR="00581210" w:rsidRPr="004B7EB6" w:rsidRDefault="00581210" w:rsidP="004B7EB6">
                            <w:pPr>
                              <w:spacing w:line="276" w:lineRule="auto"/>
                              <w:rPr>
                                <w:rFonts w:asciiTheme="majorHAnsi" w:hAnsiTheme="majorHAnsi" w:cs="Arial"/>
                                <w:color w:val="0D0D0D" w:themeColor="text1" w:themeTint="F2"/>
                                <w:szCs w:val="22"/>
                              </w:rPr>
                            </w:pPr>
                          </w:p>
                          <w:p w14:paraId="544D6A49" w14:textId="77777777" w:rsidR="00581210" w:rsidRPr="004B7EB6" w:rsidRDefault="00581210" w:rsidP="004B7EB6">
                            <w:pPr>
                              <w:spacing w:line="276" w:lineRule="auto"/>
                              <w:rPr>
                                <w:rFonts w:asciiTheme="majorHAnsi" w:hAnsiTheme="majorHAnsi" w:cs="Arial"/>
                                <w:color w:val="0D0D0D" w:themeColor="text1" w:themeTint="F2"/>
                                <w:szCs w:val="22"/>
                              </w:rPr>
                            </w:pPr>
                          </w:p>
                          <w:p w14:paraId="38F3538D" w14:textId="77777777" w:rsidR="00581210" w:rsidRPr="00581210" w:rsidRDefault="00581210" w:rsidP="00F474A4">
                            <w:pPr>
                              <w:spacing w:line="276" w:lineRule="auto"/>
                              <w:rPr>
                                <w:rFonts w:asciiTheme="majorHAnsi" w:hAnsiTheme="majorHAnsi" w:cs="Arial"/>
                                <w:color w:val="0D0D0D" w:themeColor="text1" w:themeTint="F2"/>
                                <w:szCs w:val="22"/>
                                <w:lang w:val="pt-BR"/>
                              </w:rPr>
                            </w:pPr>
                            <w:r w:rsidRPr="00581210">
                              <w:rPr>
                                <w:rFonts w:asciiTheme="majorHAnsi" w:hAnsiTheme="majorHAnsi" w:cs="Arial"/>
                                <w:color w:val="0D0D0D" w:themeColor="text1" w:themeTint="F2"/>
                                <w:szCs w:val="22"/>
                                <w:lang w:val="pt-BR"/>
                              </w:rPr>
                              <w:t>CARLOS ALBERTO FERNÁNDEZ PRIETO AND</w:t>
                            </w:r>
                          </w:p>
                          <w:p w14:paraId="69D92AAD" w14:textId="77777777" w:rsidR="00581210" w:rsidRPr="00581210" w:rsidRDefault="00581210" w:rsidP="00F474A4">
                            <w:pPr>
                              <w:spacing w:line="276" w:lineRule="auto"/>
                              <w:rPr>
                                <w:rFonts w:asciiTheme="majorHAnsi" w:hAnsiTheme="majorHAnsi" w:cs="Arial"/>
                                <w:color w:val="0D0D0D" w:themeColor="text1" w:themeTint="F2"/>
                                <w:szCs w:val="22"/>
                                <w:lang w:val="pt-BR"/>
                              </w:rPr>
                            </w:pPr>
                            <w:r w:rsidRPr="00581210">
                              <w:rPr>
                                <w:rFonts w:asciiTheme="majorHAnsi" w:hAnsiTheme="majorHAnsi" w:cs="Arial"/>
                                <w:color w:val="0D0D0D" w:themeColor="text1" w:themeTint="F2"/>
                                <w:szCs w:val="22"/>
                                <w:lang w:val="pt-BR"/>
                              </w:rPr>
                              <w:t xml:space="preserve">CARLOS ALEJANDRO TUMBEIRO </w:t>
                            </w:r>
                          </w:p>
                          <w:p w14:paraId="4B47229D" w14:textId="77777777" w:rsidR="00581210" w:rsidRPr="004B7EB6" w:rsidRDefault="00581210" w:rsidP="00F474A4">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2DD5824F" w14:textId="0F46ED05" w:rsidR="00581210" w:rsidRPr="004B7EB6" w:rsidRDefault="0058121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129</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14:paraId="72F4E85D" w14:textId="77777777" w:rsidR="00581210" w:rsidRPr="004B7EB6" w:rsidRDefault="0058121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12,315</w:t>
                      </w:r>
                    </w:p>
                    <w:p w14:paraId="3883258E" w14:textId="77777777" w:rsidR="00581210" w:rsidRPr="004B7EB6" w:rsidRDefault="00581210" w:rsidP="00F474A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1A449679" w14:textId="77777777" w:rsidR="00581210" w:rsidRPr="004B7EB6" w:rsidRDefault="00581210" w:rsidP="004B7EB6">
                      <w:pPr>
                        <w:spacing w:line="276" w:lineRule="auto"/>
                        <w:rPr>
                          <w:rFonts w:asciiTheme="majorHAnsi" w:hAnsiTheme="majorHAnsi" w:cs="Arial"/>
                          <w:color w:val="0D0D0D" w:themeColor="text1" w:themeTint="F2"/>
                          <w:szCs w:val="22"/>
                        </w:rPr>
                      </w:pPr>
                    </w:p>
                    <w:p w14:paraId="544D6A49" w14:textId="77777777" w:rsidR="00581210" w:rsidRPr="004B7EB6" w:rsidRDefault="00581210" w:rsidP="004B7EB6">
                      <w:pPr>
                        <w:spacing w:line="276" w:lineRule="auto"/>
                        <w:rPr>
                          <w:rFonts w:asciiTheme="majorHAnsi" w:hAnsiTheme="majorHAnsi" w:cs="Arial"/>
                          <w:color w:val="0D0D0D" w:themeColor="text1" w:themeTint="F2"/>
                          <w:szCs w:val="22"/>
                        </w:rPr>
                      </w:pPr>
                    </w:p>
                    <w:p w14:paraId="38F3538D" w14:textId="77777777" w:rsidR="00581210" w:rsidRPr="00581210" w:rsidRDefault="00581210" w:rsidP="00F474A4">
                      <w:pPr>
                        <w:spacing w:line="276" w:lineRule="auto"/>
                        <w:rPr>
                          <w:rFonts w:asciiTheme="majorHAnsi" w:hAnsiTheme="majorHAnsi" w:cs="Arial"/>
                          <w:color w:val="0D0D0D" w:themeColor="text1" w:themeTint="F2"/>
                          <w:szCs w:val="22"/>
                          <w:lang w:val="pt-BR"/>
                        </w:rPr>
                      </w:pPr>
                      <w:r w:rsidRPr="00581210">
                        <w:rPr>
                          <w:rFonts w:asciiTheme="majorHAnsi" w:hAnsiTheme="majorHAnsi" w:cs="Arial"/>
                          <w:color w:val="0D0D0D" w:themeColor="text1" w:themeTint="F2"/>
                          <w:szCs w:val="22"/>
                          <w:lang w:val="pt-BR"/>
                        </w:rPr>
                        <w:t>CARLOS ALBERTO FERNÁNDEZ PRIETO AND</w:t>
                      </w:r>
                    </w:p>
                    <w:p w14:paraId="69D92AAD" w14:textId="77777777" w:rsidR="00581210" w:rsidRPr="00581210" w:rsidRDefault="00581210" w:rsidP="00F474A4">
                      <w:pPr>
                        <w:spacing w:line="276" w:lineRule="auto"/>
                        <w:rPr>
                          <w:rFonts w:asciiTheme="majorHAnsi" w:hAnsiTheme="majorHAnsi" w:cs="Arial"/>
                          <w:color w:val="0D0D0D" w:themeColor="text1" w:themeTint="F2"/>
                          <w:szCs w:val="22"/>
                          <w:lang w:val="pt-BR"/>
                        </w:rPr>
                      </w:pPr>
                      <w:r w:rsidRPr="00581210">
                        <w:rPr>
                          <w:rFonts w:asciiTheme="majorHAnsi" w:hAnsiTheme="majorHAnsi" w:cs="Arial"/>
                          <w:color w:val="0D0D0D" w:themeColor="text1" w:themeTint="F2"/>
                          <w:szCs w:val="22"/>
                          <w:lang w:val="pt-BR"/>
                        </w:rPr>
                        <w:t xml:space="preserve">CARLOS ALEJANDRO TUMBEIRO </w:t>
                      </w:r>
                    </w:p>
                    <w:p w14:paraId="4B47229D" w14:textId="77777777" w:rsidR="00581210" w:rsidRPr="004B7EB6" w:rsidRDefault="00581210" w:rsidP="00F474A4">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B7EB6" w:rsidRPr="00A83E9D">
        <w:rPr>
          <w:rFonts w:asciiTheme="majorHAnsi" w:hAnsiTheme="majorHAnsi"/>
          <w:noProof/>
          <w:sz w:val="22"/>
          <w:szCs w:val="22"/>
          <w:lang w:val="es-ES" w:eastAsia="es-ES"/>
        </w:rPr>
        <mc:AlternateContent>
          <mc:Choice Requires="wps">
            <w:drawing>
              <wp:anchor distT="0" distB="0" distL="114300" distR="114300" simplePos="0" relativeHeight="251671552" behindDoc="0" locked="0" layoutInCell="1" allowOverlap="1" wp14:anchorId="096095CA" wp14:editId="595F20D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F6D3B" w14:textId="77777777" w:rsidR="00581210" w:rsidRPr="004B7EB6" w:rsidRDefault="00581210"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165</w:t>
                            </w:r>
                          </w:p>
                          <w:p w14:paraId="2B8E4D33" w14:textId="22A2216B" w:rsidR="00581210" w:rsidRPr="004B7EB6" w:rsidRDefault="00581210"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155</w:t>
                            </w:r>
                          </w:p>
                          <w:p w14:paraId="0D346310" w14:textId="3B353BD7" w:rsidR="00581210" w:rsidRPr="004B7EB6" w:rsidRDefault="00581210"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 25,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14:paraId="2DC925DE" w14:textId="2C2E01AE" w:rsidR="00581210" w:rsidRPr="004B7EB6" w:rsidRDefault="0058121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587F6D3B" w14:textId="77777777" w:rsidR="00581210" w:rsidRPr="004B7EB6" w:rsidRDefault="00581210"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165</w:t>
                      </w:r>
                    </w:p>
                    <w:p w14:paraId="2B8E4D33" w14:textId="22A2216B" w:rsidR="00581210" w:rsidRPr="004B7EB6" w:rsidRDefault="00581210"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155</w:t>
                      </w:r>
                    </w:p>
                    <w:p w14:paraId="0D346310" w14:textId="3B353BD7" w:rsidR="00581210" w:rsidRPr="004B7EB6" w:rsidRDefault="00581210"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 25,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14:paraId="2DC925DE" w14:textId="2C2E01AE" w:rsidR="00581210" w:rsidRPr="004B7EB6" w:rsidRDefault="0058121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27ACEF4A" w14:textId="77777777" w:rsidR="00040C3A" w:rsidRPr="00A83E9D" w:rsidRDefault="00040C3A" w:rsidP="00040C3A">
      <w:pPr>
        <w:tabs>
          <w:tab w:val="center" w:pos="5400"/>
        </w:tabs>
        <w:suppressAutoHyphens/>
        <w:jc w:val="center"/>
        <w:rPr>
          <w:rFonts w:asciiTheme="majorHAnsi" w:hAnsiTheme="majorHAnsi"/>
          <w:sz w:val="22"/>
          <w:szCs w:val="22"/>
        </w:rPr>
      </w:pPr>
    </w:p>
    <w:p w14:paraId="3064AFA4" w14:textId="77777777" w:rsidR="00040C3A" w:rsidRPr="00A83E9D" w:rsidRDefault="00040C3A" w:rsidP="00040C3A">
      <w:pPr>
        <w:tabs>
          <w:tab w:val="center" w:pos="5400"/>
        </w:tabs>
        <w:suppressAutoHyphens/>
        <w:jc w:val="center"/>
        <w:rPr>
          <w:rFonts w:asciiTheme="majorHAnsi" w:hAnsiTheme="majorHAnsi" w:cs="Arial"/>
          <w:sz w:val="22"/>
          <w:szCs w:val="22"/>
        </w:rPr>
      </w:pPr>
    </w:p>
    <w:p w14:paraId="21B3048A" w14:textId="77777777" w:rsidR="00040C3A" w:rsidRPr="00A83E9D" w:rsidRDefault="00040C3A" w:rsidP="00040C3A">
      <w:pPr>
        <w:tabs>
          <w:tab w:val="center" w:pos="5400"/>
        </w:tabs>
        <w:suppressAutoHyphens/>
        <w:jc w:val="center"/>
        <w:rPr>
          <w:rFonts w:asciiTheme="majorHAnsi" w:hAnsiTheme="majorHAnsi"/>
          <w:sz w:val="22"/>
          <w:szCs w:val="22"/>
        </w:rPr>
      </w:pPr>
    </w:p>
    <w:p w14:paraId="6BC1F36D" w14:textId="77777777" w:rsidR="00040C3A" w:rsidRPr="00A83E9D" w:rsidRDefault="00040C3A" w:rsidP="00040C3A">
      <w:pPr>
        <w:tabs>
          <w:tab w:val="center" w:pos="5400"/>
        </w:tabs>
        <w:suppressAutoHyphens/>
        <w:jc w:val="center"/>
        <w:rPr>
          <w:rFonts w:asciiTheme="majorHAnsi" w:hAnsiTheme="majorHAnsi"/>
          <w:sz w:val="22"/>
          <w:szCs w:val="22"/>
        </w:rPr>
      </w:pPr>
    </w:p>
    <w:p w14:paraId="0AA49FE0" w14:textId="77777777" w:rsidR="00040C3A" w:rsidRPr="00A83E9D" w:rsidRDefault="00040C3A" w:rsidP="00040C3A">
      <w:pPr>
        <w:tabs>
          <w:tab w:val="center" w:pos="5400"/>
        </w:tabs>
        <w:suppressAutoHyphens/>
        <w:jc w:val="center"/>
        <w:rPr>
          <w:rFonts w:asciiTheme="majorHAnsi" w:hAnsiTheme="majorHAnsi"/>
          <w:sz w:val="22"/>
          <w:szCs w:val="22"/>
        </w:rPr>
      </w:pPr>
    </w:p>
    <w:p w14:paraId="689610D7" w14:textId="77777777" w:rsidR="00040C3A" w:rsidRPr="00A83E9D" w:rsidRDefault="00040C3A" w:rsidP="00040C3A">
      <w:pPr>
        <w:tabs>
          <w:tab w:val="center" w:pos="5400"/>
        </w:tabs>
        <w:suppressAutoHyphens/>
        <w:jc w:val="center"/>
        <w:rPr>
          <w:rFonts w:asciiTheme="majorHAnsi" w:hAnsiTheme="majorHAnsi"/>
          <w:sz w:val="22"/>
          <w:szCs w:val="22"/>
        </w:rPr>
      </w:pPr>
    </w:p>
    <w:p w14:paraId="6010F859" w14:textId="77777777" w:rsidR="005128E4" w:rsidRPr="00A83E9D" w:rsidRDefault="005128E4" w:rsidP="00040C3A">
      <w:pPr>
        <w:tabs>
          <w:tab w:val="center" w:pos="5400"/>
        </w:tabs>
        <w:suppressAutoHyphens/>
        <w:jc w:val="center"/>
        <w:rPr>
          <w:rFonts w:asciiTheme="majorHAnsi" w:hAnsiTheme="majorHAnsi"/>
          <w:sz w:val="22"/>
          <w:szCs w:val="22"/>
        </w:rPr>
      </w:pPr>
    </w:p>
    <w:p w14:paraId="06144BEC" w14:textId="77777777" w:rsidR="00040C3A" w:rsidRPr="00A83E9D" w:rsidRDefault="00040C3A" w:rsidP="00040C3A">
      <w:pPr>
        <w:tabs>
          <w:tab w:val="center" w:pos="5400"/>
        </w:tabs>
        <w:suppressAutoHyphens/>
        <w:jc w:val="center"/>
        <w:rPr>
          <w:rFonts w:asciiTheme="majorHAnsi" w:hAnsiTheme="majorHAnsi"/>
          <w:sz w:val="22"/>
          <w:szCs w:val="22"/>
        </w:rPr>
      </w:pPr>
    </w:p>
    <w:p w14:paraId="53B14B30" w14:textId="77777777" w:rsidR="005128E4" w:rsidRPr="00A83E9D" w:rsidRDefault="005128E4" w:rsidP="00040C3A">
      <w:pPr>
        <w:tabs>
          <w:tab w:val="center" w:pos="5400"/>
        </w:tabs>
        <w:suppressAutoHyphens/>
        <w:jc w:val="center"/>
        <w:rPr>
          <w:rFonts w:asciiTheme="majorHAnsi" w:hAnsiTheme="majorHAnsi"/>
          <w:sz w:val="22"/>
          <w:szCs w:val="22"/>
        </w:rPr>
      </w:pPr>
    </w:p>
    <w:p w14:paraId="539E61F4" w14:textId="77777777" w:rsidR="005128E4" w:rsidRPr="00A83E9D" w:rsidRDefault="005128E4" w:rsidP="00040C3A">
      <w:pPr>
        <w:tabs>
          <w:tab w:val="center" w:pos="5400"/>
        </w:tabs>
        <w:suppressAutoHyphens/>
        <w:jc w:val="center"/>
        <w:rPr>
          <w:rFonts w:asciiTheme="majorHAnsi" w:hAnsiTheme="majorHAnsi"/>
          <w:sz w:val="22"/>
          <w:szCs w:val="22"/>
        </w:rPr>
      </w:pPr>
    </w:p>
    <w:p w14:paraId="7E20AE98" w14:textId="77777777" w:rsidR="005128E4" w:rsidRPr="00A83E9D" w:rsidRDefault="005128E4" w:rsidP="00040C3A">
      <w:pPr>
        <w:tabs>
          <w:tab w:val="center" w:pos="5400"/>
        </w:tabs>
        <w:suppressAutoHyphens/>
        <w:jc w:val="center"/>
        <w:rPr>
          <w:rFonts w:asciiTheme="majorHAnsi" w:hAnsiTheme="majorHAnsi"/>
          <w:sz w:val="22"/>
          <w:szCs w:val="22"/>
        </w:rPr>
      </w:pPr>
    </w:p>
    <w:p w14:paraId="46D6FF12" w14:textId="77777777" w:rsidR="00040C3A" w:rsidRPr="00A83E9D" w:rsidRDefault="00040C3A" w:rsidP="00040C3A">
      <w:pPr>
        <w:tabs>
          <w:tab w:val="center" w:pos="5400"/>
        </w:tabs>
        <w:suppressAutoHyphens/>
        <w:jc w:val="center"/>
        <w:rPr>
          <w:rFonts w:asciiTheme="majorHAnsi" w:hAnsiTheme="majorHAnsi"/>
          <w:sz w:val="22"/>
          <w:szCs w:val="22"/>
        </w:rPr>
      </w:pPr>
    </w:p>
    <w:p w14:paraId="41042723" w14:textId="77777777" w:rsidR="00040C3A" w:rsidRPr="00A83E9D" w:rsidRDefault="00040C3A" w:rsidP="00040C3A">
      <w:pPr>
        <w:tabs>
          <w:tab w:val="center" w:pos="5400"/>
        </w:tabs>
        <w:suppressAutoHyphens/>
        <w:jc w:val="center"/>
        <w:rPr>
          <w:rFonts w:asciiTheme="majorHAnsi" w:hAnsiTheme="majorHAnsi"/>
          <w:sz w:val="22"/>
          <w:szCs w:val="22"/>
        </w:rPr>
      </w:pPr>
    </w:p>
    <w:p w14:paraId="575E3C23" w14:textId="77777777" w:rsidR="002C1641" w:rsidRPr="00A83E9D" w:rsidRDefault="002C1641" w:rsidP="00040C3A">
      <w:pPr>
        <w:tabs>
          <w:tab w:val="center" w:pos="5400"/>
        </w:tabs>
        <w:suppressAutoHyphens/>
        <w:jc w:val="center"/>
        <w:rPr>
          <w:rFonts w:asciiTheme="majorHAnsi" w:hAnsiTheme="majorHAnsi"/>
          <w:sz w:val="18"/>
          <w:szCs w:val="22"/>
        </w:rPr>
      </w:pPr>
    </w:p>
    <w:p w14:paraId="5535DD0F" w14:textId="77777777" w:rsidR="002C1641" w:rsidRPr="00A83E9D" w:rsidRDefault="002C1641" w:rsidP="00040C3A">
      <w:pPr>
        <w:tabs>
          <w:tab w:val="center" w:pos="5400"/>
        </w:tabs>
        <w:suppressAutoHyphens/>
        <w:jc w:val="center"/>
        <w:rPr>
          <w:rFonts w:asciiTheme="majorHAnsi" w:hAnsiTheme="majorHAnsi"/>
          <w:sz w:val="18"/>
          <w:szCs w:val="22"/>
        </w:rPr>
      </w:pPr>
    </w:p>
    <w:p w14:paraId="0E6E7A32" w14:textId="77777777" w:rsidR="002C1641" w:rsidRPr="00A83E9D" w:rsidRDefault="002C1641" w:rsidP="00040C3A">
      <w:pPr>
        <w:tabs>
          <w:tab w:val="center" w:pos="5400"/>
        </w:tabs>
        <w:suppressAutoHyphens/>
        <w:jc w:val="center"/>
        <w:rPr>
          <w:rFonts w:asciiTheme="majorHAnsi" w:hAnsiTheme="majorHAnsi"/>
          <w:sz w:val="18"/>
          <w:szCs w:val="22"/>
        </w:rPr>
      </w:pPr>
    </w:p>
    <w:p w14:paraId="3F52794D" w14:textId="77777777" w:rsidR="002C1641" w:rsidRPr="00A83E9D" w:rsidRDefault="002C1641" w:rsidP="00040C3A">
      <w:pPr>
        <w:tabs>
          <w:tab w:val="center" w:pos="5400"/>
        </w:tabs>
        <w:suppressAutoHyphens/>
        <w:jc w:val="center"/>
        <w:rPr>
          <w:rFonts w:asciiTheme="majorHAnsi" w:hAnsiTheme="majorHAnsi"/>
          <w:sz w:val="18"/>
          <w:szCs w:val="22"/>
        </w:rPr>
      </w:pPr>
    </w:p>
    <w:p w14:paraId="5A044E18" w14:textId="77777777" w:rsidR="002C1641" w:rsidRPr="00A83E9D" w:rsidRDefault="002C1641" w:rsidP="00040C3A">
      <w:pPr>
        <w:tabs>
          <w:tab w:val="center" w:pos="5400"/>
        </w:tabs>
        <w:suppressAutoHyphens/>
        <w:jc w:val="center"/>
        <w:rPr>
          <w:rFonts w:asciiTheme="majorHAnsi" w:hAnsiTheme="majorHAnsi"/>
          <w:sz w:val="18"/>
          <w:szCs w:val="22"/>
        </w:rPr>
      </w:pPr>
    </w:p>
    <w:p w14:paraId="7234E7BA" w14:textId="77777777" w:rsidR="002C1641" w:rsidRPr="00A83E9D" w:rsidRDefault="002C1641" w:rsidP="00040C3A">
      <w:pPr>
        <w:tabs>
          <w:tab w:val="center" w:pos="5400"/>
        </w:tabs>
        <w:suppressAutoHyphens/>
        <w:jc w:val="center"/>
        <w:rPr>
          <w:rFonts w:asciiTheme="majorHAnsi" w:hAnsiTheme="majorHAnsi"/>
          <w:sz w:val="18"/>
          <w:szCs w:val="22"/>
        </w:rPr>
      </w:pPr>
    </w:p>
    <w:p w14:paraId="72AAB1D2" w14:textId="77777777" w:rsidR="002C1641" w:rsidRPr="00A83E9D" w:rsidRDefault="002C1641" w:rsidP="00040C3A">
      <w:pPr>
        <w:tabs>
          <w:tab w:val="center" w:pos="5400"/>
        </w:tabs>
        <w:suppressAutoHyphens/>
        <w:jc w:val="center"/>
        <w:rPr>
          <w:rFonts w:asciiTheme="majorHAnsi" w:hAnsiTheme="majorHAnsi"/>
          <w:sz w:val="18"/>
          <w:szCs w:val="22"/>
        </w:rPr>
      </w:pPr>
    </w:p>
    <w:p w14:paraId="1974AAD2" w14:textId="77777777" w:rsidR="002C1641" w:rsidRPr="00A83E9D" w:rsidRDefault="002C1641" w:rsidP="00040C3A">
      <w:pPr>
        <w:tabs>
          <w:tab w:val="center" w:pos="5400"/>
        </w:tabs>
        <w:suppressAutoHyphens/>
        <w:jc w:val="center"/>
        <w:rPr>
          <w:rFonts w:asciiTheme="majorHAnsi" w:hAnsiTheme="majorHAnsi"/>
          <w:sz w:val="18"/>
          <w:szCs w:val="22"/>
        </w:rPr>
      </w:pPr>
    </w:p>
    <w:p w14:paraId="2BC9F290" w14:textId="77777777" w:rsidR="002C1641" w:rsidRPr="00A83E9D" w:rsidRDefault="002C1641" w:rsidP="00040C3A">
      <w:pPr>
        <w:tabs>
          <w:tab w:val="center" w:pos="5400"/>
        </w:tabs>
        <w:suppressAutoHyphens/>
        <w:jc w:val="center"/>
        <w:rPr>
          <w:rFonts w:asciiTheme="majorHAnsi" w:hAnsiTheme="majorHAnsi"/>
          <w:sz w:val="18"/>
          <w:szCs w:val="22"/>
        </w:rPr>
      </w:pPr>
    </w:p>
    <w:p w14:paraId="7D6B4198" w14:textId="77777777" w:rsidR="002C1641" w:rsidRPr="00A83E9D" w:rsidRDefault="002C1641" w:rsidP="00040C3A">
      <w:pPr>
        <w:tabs>
          <w:tab w:val="center" w:pos="5400"/>
        </w:tabs>
        <w:suppressAutoHyphens/>
        <w:jc w:val="center"/>
        <w:rPr>
          <w:rFonts w:asciiTheme="majorHAnsi" w:hAnsiTheme="majorHAnsi"/>
          <w:sz w:val="18"/>
          <w:szCs w:val="22"/>
        </w:rPr>
      </w:pPr>
    </w:p>
    <w:p w14:paraId="16C068C5" w14:textId="77777777" w:rsidR="002C1641" w:rsidRPr="00A83E9D" w:rsidRDefault="002C1641" w:rsidP="00040C3A">
      <w:pPr>
        <w:tabs>
          <w:tab w:val="center" w:pos="5400"/>
        </w:tabs>
        <w:suppressAutoHyphens/>
        <w:jc w:val="center"/>
        <w:rPr>
          <w:rFonts w:asciiTheme="majorHAnsi" w:hAnsiTheme="majorHAnsi"/>
          <w:sz w:val="18"/>
          <w:szCs w:val="22"/>
        </w:rPr>
      </w:pPr>
    </w:p>
    <w:p w14:paraId="6E800D7A" w14:textId="77777777" w:rsidR="002C1641" w:rsidRPr="00A83E9D" w:rsidRDefault="002C1641" w:rsidP="00040C3A">
      <w:pPr>
        <w:tabs>
          <w:tab w:val="center" w:pos="5400"/>
        </w:tabs>
        <w:suppressAutoHyphens/>
        <w:jc w:val="center"/>
        <w:rPr>
          <w:rFonts w:asciiTheme="majorHAnsi" w:hAnsiTheme="majorHAnsi"/>
          <w:sz w:val="18"/>
          <w:szCs w:val="22"/>
        </w:rPr>
      </w:pPr>
    </w:p>
    <w:p w14:paraId="4191FF33" w14:textId="77777777" w:rsidR="002C1641" w:rsidRPr="00A83E9D" w:rsidRDefault="003C32BC" w:rsidP="00040C3A">
      <w:pPr>
        <w:tabs>
          <w:tab w:val="center" w:pos="5400"/>
        </w:tabs>
        <w:suppressAutoHyphens/>
        <w:jc w:val="center"/>
        <w:rPr>
          <w:rFonts w:asciiTheme="majorHAnsi" w:hAnsiTheme="majorHAnsi"/>
          <w:sz w:val="18"/>
          <w:szCs w:val="22"/>
        </w:rPr>
      </w:pPr>
      <w:r w:rsidRPr="00A83E9D">
        <w:rPr>
          <w:rFonts w:asciiTheme="majorHAnsi" w:hAnsiTheme="majorHAnsi"/>
          <w:noProof/>
          <w:sz w:val="22"/>
          <w:szCs w:val="22"/>
          <w:lang w:val="es-ES" w:eastAsia="es-ES"/>
        </w:rPr>
        <mc:AlternateContent>
          <mc:Choice Requires="wps">
            <w:drawing>
              <wp:anchor distT="0" distB="0" distL="114300" distR="114300" simplePos="0" relativeHeight="251670528" behindDoc="0" locked="0" layoutInCell="1" allowOverlap="1" wp14:anchorId="317B3291" wp14:editId="5E4FBE7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197C" w14:textId="60F3A1BE" w:rsidR="00581210" w:rsidRPr="003C32BC" w:rsidRDefault="00581210"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2102</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October 25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165</w:t>
                            </w:r>
                            <w:r w:rsidRPr="00E63767">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Extraordinary</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6226197C" w14:textId="60F3A1BE" w:rsidR="00581210" w:rsidRPr="003C32BC" w:rsidRDefault="00581210"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2102</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October 25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165</w:t>
                      </w:r>
                      <w:r w:rsidRPr="00E63767">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Extraordinary</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18F8275D" w14:textId="77777777" w:rsidR="002C1641" w:rsidRPr="00A83E9D" w:rsidRDefault="002C1641" w:rsidP="00040C3A">
      <w:pPr>
        <w:tabs>
          <w:tab w:val="center" w:pos="5400"/>
        </w:tabs>
        <w:suppressAutoHyphens/>
        <w:jc w:val="center"/>
        <w:rPr>
          <w:rFonts w:asciiTheme="majorHAnsi" w:hAnsiTheme="majorHAnsi"/>
          <w:sz w:val="18"/>
          <w:szCs w:val="22"/>
        </w:rPr>
      </w:pPr>
    </w:p>
    <w:p w14:paraId="030ADA7A" w14:textId="77777777" w:rsidR="002C1641" w:rsidRPr="00A83E9D" w:rsidRDefault="002C1641" w:rsidP="00040C3A">
      <w:pPr>
        <w:tabs>
          <w:tab w:val="center" w:pos="5400"/>
        </w:tabs>
        <w:suppressAutoHyphens/>
        <w:jc w:val="center"/>
        <w:rPr>
          <w:rFonts w:asciiTheme="majorHAnsi" w:hAnsiTheme="majorHAnsi"/>
          <w:sz w:val="18"/>
          <w:szCs w:val="22"/>
        </w:rPr>
      </w:pPr>
    </w:p>
    <w:p w14:paraId="526C3CEE" w14:textId="77777777" w:rsidR="002C1641" w:rsidRPr="00A83E9D" w:rsidRDefault="002C1641" w:rsidP="00040C3A">
      <w:pPr>
        <w:tabs>
          <w:tab w:val="center" w:pos="5400"/>
        </w:tabs>
        <w:suppressAutoHyphens/>
        <w:jc w:val="center"/>
        <w:rPr>
          <w:rFonts w:asciiTheme="majorHAnsi" w:hAnsiTheme="majorHAnsi"/>
          <w:sz w:val="18"/>
          <w:szCs w:val="22"/>
        </w:rPr>
      </w:pPr>
    </w:p>
    <w:p w14:paraId="1D6A62AA" w14:textId="77777777" w:rsidR="002C1641" w:rsidRPr="00A83E9D" w:rsidRDefault="002C1641" w:rsidP="00040C3A">
      <w:pPr>
        <w:tabs>
          <w:tab w:val="center" w:pos="5400"/>
        </w:tabs>
        <w:suppressAutoHyphens/>
        <w:jc w:val="center"/>
        <w:rPr>
          <w:rFonts w:asciiTheme="majorHAnsi" w:hAnsiTheme="majorHAnsi"/>
          <w:sz w:val="18"/>
          <w:szCs w:val="22"/>
        </w:rPr>
      </w:pPr>
    </w:p>
    <w:p w14:paraId="1557C2F7" w14:textId="77777777" w:rsidR="002C1641" w:rsidRPr="00A83E9D" w:rsidRDefault="003C32BC" w:rsidP="00040C3A">
      <w:pPr>
        <w:tabs>
          <w:tab w:val="center" w:pos="5400"/>
        </w:tabs>
        <w:suppressAutoHyphens/>
        <w:jc w:val="center"/>
        <w:rPr>
          <w:rFonts w:asciiTheme="majorHAnsi" w:hAnsiTheme="majorHAnsi"/>
          <w:sz w:val="18"/>
          <w:szCs w:val="22"/>
        </w:rPr>
      </w:pPr>
      <w:r w:rsidRPr="00A83E9D">
        <w:rPr>
          <w:rFonts w:asciiTheme="majorHAnsi" w:hAnsiTheme="majorHAnsi"/>
          <w:noProof/>
          <w:sz w:val="18"/>
          <w:szCs w:val="22"/>
          <w:lang w:val="es-ES" w:eastAsia="es-ES"/>
        </w:rPr>
        <mc:AlternateContent>
          <mc:Choice Requires="wps">
            <w:drawing>
              <wp:anchor distT="0" distB="0" distL="114300" distR="114300" simplePos="0" relativeHeight="251683840" behindDoc="0" locked="0" layoutInCell="1" allowOverlap="1" wp14:anchorId="3449BFC1" wp14:editId="0C4E2CA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AAB61" w14:textId="01B2AB7D" w:rsidR="00581210" w:rsidRPr="00581210" w:rsidRDefault="00581210" w:rsidP="00F644E6">
                            <w:pPr>
                              <w:spacing w:line="276" w:lineRule="auto"/>
                              <w:rPr>
                                <w:rFonts w:asciiTheme="majorHAnsi" w:hAnsiTheme="majorHAnsi"/>
                                <w:color w:val="595959" w:themeColor="text1" w:themeTint="A6"/>
                                <w:sz w:val="18"/>
                                <w:lang w:val="pt-BR"/>
                              </w:rPr>
                            </w:pPr>
                            <w:r w:rsidRPr="00581210">
                              <w:rPr>
                                <w:rFonts w:asciiTheme="majorHAnsi" w:hAnsiTheme="majorHAnsi"/>
                                <w:b/>
                                <w:color w:val="595959" w:themeColor="text1" w:themeTint="A6"/>
                                <w:sz w:val="18"/>
                                <w:lang w:val="pt-BR"/>
                              </w:rPr>
                              <w:t xml:space="preserve">Cite as: </w:t>
                            </w:r>
                            <w:r w:rsidRPr="00581210">
                              <w:rPr>
                                <w:rFonts w:asciiTheme="majorHAnsi" w:hAnsiTheme="majorHAnsi"/>
                                <w:color w:val="595959" w:themeColor="text1" w:themeTint="A6"/>
                                <w:sz w:val="18"/>
                                <w:lang w:val="pt-BR"/>
                              </w:rPr>
                              <w:t>IACHR, Report No. 129/17, Case 12,315, Merits</w:t>
                            </w:r>
                            <w:r>
                              <w:rPr>
                                <w:rFonts w:asciiTheme="majorHAnsi" w:hAnsiTheme="majorHAnsi"/>
                                <w:color w:val="595959" w:themeColor="text1" w:themeTint="A6"/>
                                <w:sz w:val="18"/>
                                <w:lang w:val="pt-BR"/>
                              </w:rPr>
                              <w:t>,</w:t>
                            </w:r>
                            <w:r w:rsidRPr="00581210">
                              <w:rPr>
                                <w:rFonts w:asciiTheme="majorHAnsi" w:hAnsiTheme="majorHAnsi"/>
                                <w:color w:val="595959" w:themeColor="text1" w:themeTint="A6"/>
                                <w:sz w:val="18"/>
                                <w:lang w:val="pt-BR"/>
                              </w:rPr>
                              <w:t xml:space="preserve"> Argentina</w:t>
                            </w:r>
                            <w:r>
                              <w:rPr>
                                <w:rFonts w:asciiTheme="majorHAnsi" w:hAnsiTheme="majorHAnsi"/>
                                <w:color w:val="595959" w:themeColor="text1" w:themeTint="A6"/>
                                <w:sz w:val="18"/>
                                <w:lang w:val="pt-BR"/>
                              </w:rPr>
                              <w:t>,</w:t>
                            </w:r>
                            <w:r w:rsidRPr="00581210">
                              <w:rPr>
                                <w:lang w:val="pt-BR"/>
                              </w:rPr>
                              <w:t xml:space="preserve"> </w:t>
                            </w:r>
                            <w:r w:rsidRPr="00581210">
                              <w:rPr>
                                <w:rFonts w:asciiTheme="majorHAnsi" w:hAnsiTheme="majorHAnsi"/>
                                <w:color w:val="595959" w:themeColor="text1" w:themeTint="A6"/>
                                <w:sz w:val="18"/>
                                <w:lang w:val="pt-BR"/>
                              </w:rPr>
                              <w:t>Carlos Alberto Fernández Prieto and Carlos Alejandro Tumbeiro</w:t>
                            </w:r>
                            <w:r>
                              <w:rPr>
                                <w:rFonts w:asciiTheme="majorHAnsi" w:hAnsiTheme="majorHAnsi"/>
                                <w:color w:val="595959" w:themeColor="text1" w:themeTint="A6"/>
                                <w:sz w:val="18"/>
                                <w:lang w:val="pt-BR"/>
                              </w:rPr>
                              <w:t>, October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7A3AAB61" w14:textId="01B2AB7D" w:rsidR="00581210" w:rsidRPr="00581210" w:rsidRDefault="00581210" w:rsidP="00F644E6">
                      <w:pPr>
                        <w:spacing w:line="276" w:lineRule="auto"/>
                        <w:rPr>
                          <w:rFonts w:asciiTheme="majorHAnsi" w:hAnsiTheme="majorHAnsi"/>
                          <w:color w:val="595959" w:themeColor="text1" w:themeTint="A6"/>
                          <w:sz w:val="18"/>
                          <w:lang w:val="pt-BR"/>
                        </w:rPr>
                      </w:pPr>
                      <w:r w:rsidRPr="00581210">
                        <w:rPr>
                          <w:rFonts w:asciiTheme="majorHAnsi" w:hAnsiTheme="majorHAnsi"/>
                          <w:b/>
                          <w:color w:val="595959" w:themeColor="text1" w:themeTint="A6"/>
                          <w:sz w:val="18"/>
                          <w:lang w:val="pt-BR"/>
                        </w:rPr>
                        <w:t xml:space="preserve">Cite as: </w:t>
                      </w:r>
                      <w:r w:rsidRPr="00581210">
                        <w:rPr>
                          <w:rFonts w:asciiTheme="majorHAnsi" w:hAnsiTheme="majorHAnsi"/>
                          <w:color w:val="595959" w:themeColor="text1" w:themeTint="A6"/>
                          <w:sz w:val="18"/>
                          <w:lang w:val="pt-BR"/>
                        </w:rPr>
                        <w:t>IACHR, Report No. 129/17, Case 12,315, Merits</w:t>
                      </w:r>
                      <w:r>
                        <w:rPr>
                          <w:rFonts w:asciiTheme="majorHAnsi" w:hAnsiTheme="majorHAnsi"/>
                          <w:color w:val="595959" w:themeColor="text1" w:themeTint="A6"/>
                          <w:sz w:val="18"/>
                          <w:lang w:val="pt-BR"/>
                        </w:rPr>
                        <w:t>,</w:t>
                      </w:r>
                      <w:r w:rsidRPr="00581210">
                        <w:rPr>
                          <w:rFonts w:asciiTheme="majorHAnsi" w:hAnsiTheme="majorHAnsi"/>
                          <w:color w:val="595959" w:themeColor="text1" w:themeTint="A6"/>
                          <w:sz w:val="18"/>
                          <w:lang w:val="pt-BR"/>
                        </w:rPr>
                        <w:t xml:space="preserve"> Argentina</w:t>
                      </w:r>
                      <w:r>
                        <w:rPr>
                          <w:rFonts w:asciiTheme="majorHAnsi" w:hAnsiTheme="majorHAnsi"/>
                          <w:color w:val="595959" w:themeColor="text1" w:themeTint="A6"/>
                          <w:sz w:val="18"/>
                          <w:lang w:val="pt-BR"/>
                        </w:rPr>
                        <w:t>,</w:t>
                      </w:r>
                      <w:r w:rsidRPr="00581210">
                        <w:rPr>
                          <w:lang w:val="pt-BR"/>
                        </w:rPr>
                        <w:t xml:space="preserve"> </w:t>
                      </w:r>
                      <w:r w:rsidRPr="00581210">
                        <w:rPr>
                          <w:rFonts w:asciiTheme="majorHAnsi" w:hAnsiTheme="majorHAnsi"/>
                          <w:color w:val="595959" w:themeColor="text1" w:themeTint="A6"/>
                          <w:sz w:val="18"/>
                          <w:lang w:val="pt-BR"/>
                        </w:rPr>
                        <w:t>Carlos Alberto Fernández Prieto and Carlos Alejandro Tumbeiro</w:t>
                      </w:r>
                      <w:r>
                        <w:rPr>
                          <w:rFonts w:asciiTheme="majorHAnsi" w:hAnsiTheme="majorHAnsi"/>
                          <w:color w:val="595959" w:themeColor="text1" w:themeTint="A6"/>
                          <w:sz w:val="18"/>
                          <w:lang w:val="pt-BR"/>
                        </w:rPr>
                        <w:t>, October 25, 2017.</w:t>
                      </w:r>
                    </w:p>
                  </w:txbxContent>
                </v:textbox>
              </v:shape>
            </w:pict>
          </mc:Fallback>
        </mc:AlternateContent>
      </w:r>
    </w:p>
    <w:p w14:paraId="62DF41D7" w14:textId="77777777" w:rsidR="002C1641" w:rsidRPr="00A83E9D" w:rsidRDefault="002C1641" w:rsidP="00040C3A">
      <w:pPr>
        <w:tabs>
          <w:tab w:val="center" w:pos="5400"/>
        </w:tabs>
        <w:suppressAutoHyphens/>
        <w:jc w:val="center"/>
        <w:rPr>
          <w:rFonts w:asciiTheme="majorHAnsi" w:hAnsiTheme="majorHAnsi"/>
          <w:sz w:val="18"/>
          <w:szCs w:val="22"/>
        </w:rPr>
      </w:pPr>
    </w:p>
    <w:p w14:paraId="29EDB338" w14:textId="77777777" w:rsidR="002C1641" w:rsidRPr="00A83E9D" w:rsidRDefault="002C1641" w:rsidP="00040C3A">
      <w:pPr>
        <w:tabs>
          <w:tab w:val="center" w:pos="5400"/>
        </w:tabs>
        <w:suppressAutoHyphens/>
        <w:jc w:val="center"/>
        <w:rPr>
          <w:rFonts w:asciiTheme="majorHAnsi" w:hAnsiTheme="majorHAnsi"/>
          <w:sz w:val="18"/>
          <w:szCs w:val="22"/>
        </w:rPr>
      </w:pPr>
    </w:p>
    <w:p w14:paraId="1F012437" w14:textId="77777777" w:rsidR="003C32BC" w:rsidRPr="00A83E9D" w:rsidRDefault="003C32BC" w:rsidP="003C32BC">
      <w:pPr>
        <w:tabs>
          <w:tab w:val="center" w:pos="5400"/>
        </w:tabs>
        <w:suppressAutoHyphens/>
        <w:jc w:val="center"/>
        <w:rPr>
          <w:rFonts w:asciiTheme="majorHAnsi" w:hAnsiTheme="majorHAnsi"/>
          <w:sz w:val="18"/>
          <w:szCs w:val="22"/>
        </w:rPr>
      </w:pPr>
    </w:p>
    <w:p w14:paraId="09D726A7" w14:textId="77777777" w:rsidR="003C32BC" w:rsidRPr="00A83E9D" w:rsidRDefault="006311DA" w:rsidP="003C32BC">
      <w:pPr>
        <w:tabs>
          <w:tab w:val="center" w:pos="5400"/>
        </w:tabs>
        <w:suppressAutoHyphens/>
        <w:jc w:val="center"/>
        <w:rPr>
          <w:rFonts w:asciiTheme="majorHAnsi" w:hAnsiTheme="majorHAnsi"/>
          <w:sz w:val="18"/>
          <w:szCs w:val="22"/>
        </w:rPr>
      </w:pPr>
      <w:r w:rsidRPr="00A83E9D">
        <w:rPr>
          <w:rFonts w:asciiTheme="majorHAnsi" w:hAnsiTheme="majorHAnsi"/>
          <w:noProof/>
          <w:sz w:val="22"/>
          <w:szCs w:val="22"/>
          <w:lang w:val="es-ES" w:eastAsia="es-ES"/>
        </w:rPr>
        <mc:AlternateContent>
          <mc:Choice Requires="wps">
            <w:drawing>
              <wp:anchor distT="0" distB="0" distL="114300" distR="114300" simplePos="0" relativeHeight="251686912" behindDoc="0" locked="0" layoutInCell="1" allowOverlap="1" wp14:anchorId="2E12C3FA" wp14:editId="20F51D1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BEC1B" w14:textId="77777777" w:rsidR="00581210" w:rsidRPr="004B7EB6" w:rsidRDefault="0058121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77BEC1B" w14:textId="77777777" w:rsidR="00581210" w:rsidRPr="004B7EB6" w:rsidRDefault="0058121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83E9D">
        <w:rPr>
          <w:rFonts w:asciiTheme="majorHAnsi" w:hAnsiTheme="majorHAnsi"/>
          <w:noProof/>
          <w:sz w:val="22"/>
          <w:szCs w:val="22"/>
          <w:lang w:val="es-ES" w:eastAsia="es-ES"/>
        </w:rPr>
        <mc:AlternateContent>
          <mc:Choice Requires="wps">
            <w:drawing>
              <wp:anchor distT="0" distB="0" distL="114300" distR="114300" simplePos="0" relativeHeight="251684864" behindDoc="0" locked="0" layoutInCell="1" allowOverlap="1" wp14:anchorId="766A024C" wp14:editId="5BE722F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5CC85" w14:textId="77777777" w:rsidR="00581210" w:rsidRDefault="00581210">
                            <w:r>
                              <w:rPr>
                                <w:noProof/>
                                <w:lang w:val="es-ES" w:eastAsia="es-ES"/>
                              </w:rPr>
                              <w:drawing>
                                <wp:inline distT="0" distB="0" distL="0" distR="0" wp14:anchorId="7FD6F463" wp14:editId="746A7F8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405CC85" w14:textId="77777777" w:rsidR="00581210" w:rsidRDefault="00581210">
                      <w:r>
                        <w:rPr>
                          <w:noProof/>
                          <w:lang w:val="es-ES" w:eastAsia="es-ES"/>
                        </w:rPr>
                        <w:drawing>
                          <wp:inline distT="0" distB="0" distL="0" distR="0" wp14:anchorId="7FD6F463" wp14:editId="746A7F8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DF291E3" w14:textId="77777777" w:rsidR="007607C4" w:rsidRPr="00A83E9D" w:rsidRDefault="007607C4" w:rsidP="003C32BC">
      <w:pPr>
        <w:tabs>
          <w:tab w:val="center" w:pos="5400"/>
        </w:tabs>
        <w:suppressAutoHyphens/>
        <w:jc w:val="center"/>
        <w:rPr>
          <w:rFonts w:asciiTheme="majorHAnsi" w:hAnsiTheme="majorHAnsi"/>
          <w:sz w:val="18"/>
          <w:szCs w:val="22"/>
        </w:rPr>
        <w:sectPr w:rsidR="007607C4" w:rsidRPr="00A83E9D"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53FBF3F4" w14:textId="77777777" w:rsidR="00581210" w:rsidRPr="00581210" w:rsidRDefault="00581210" w:rsidP="00581210">
      <w:pPr>
        <w:tabs>
          <w:tab w:val="left" w:pos="1440"/>
          <w:tab w:val="center" w:pos="5400"/>
        </w:tabs>
        <w:suppressAutoHyphens/>
        <w:jc w:val="center"/>
        <w:rPr>
          <w:rFonts w:ascii="Cambria" w:hAnsi="Cambria"/>
          <w:b/>
          <w:sz w:val="18"/>
          <w:szCs w:val="18"/>
          <w:lang w:val="pt-BR"/>
        </w:rPr>
      </w:pPr>
      <w:r w:rsidRPr="00581210">
        <w:rPr>
          <w:rFonts w:ascii="Cambria" w:hAnsi="Cambria"/>
          <w:b/>
          <w:sz w:val="18"/>
          <w:szCs w:val="18"/>
          <w:lang w:val="pt-BR"/>
        </w:rPr>
        <w:lastRenderedPageBreak/>
        <w:t xml:space="preserve">REPORT No. </w:t>
      </w:r>
      <w:r>
        <w:rPr>
          <w:rFonts w:ascii="Cambria" w:hAnsi="Cambria"/>
          <w:b/>
          <w:sz w:val="18"/>
          <w:szCs w:val="18"/>
          <w:lang w:val="pt-BR"/>
        </w:rPr>
        <w:t>129</w:t>
      </w:r>
      <w:r w:rsidRPr="00581210">
        <w:rPr>
          <w:rFonts w:ascii="Cambria" w:hAnsi="Cambria"/>
          <w:b/>
          <w:sz w:val="18"/>
          <w:szCs w:val="18"/>
          <w:lang w:val="pt-BR"/>
        </w:rPr>
        <w:t>/17</w:t>
      </w:r>
    </w:p>
    <w:p w14:paraId="03CAC50A" w14:textId="77777777" w:rsidR="00581210" w:rsidRPr="00581210" w:rsidRDefault="00581210" w:rsidP="00581210">
      <w:pPr>
        <w:jc w:val="center"/>
        <w:rPr>
          <w:rFonts w:ascii="Cambria" w:hAnsi="Cambria"/>
          <w:sz w:val="18"/>
          <w:szCs w:val="18"/>
          <w:lang w:val="pt-BR"/>
        </w:rPr>
      </w:pPr>
      <w:r>
        <w:rPr>
          <w:rFonts w:ascii="Cambria" w:hAnsi="Cambria"/>
          <w:b/>
          <w:sz w:val="18"/>
          <w:szCs w:val="18"/>
          <w:lang w:val="pt-BR"/>
        </w:rPr>
        <w:t>CASE 12.</w:t>
      </w:r>
      <w:r w:rsidRPr="00581210">
        <w:rPr>
          <w:rFonts w:ascii="Cambria" w:hAnsi="Cambria"/>
          <w:b/>
          <w:sz w:val="18"/>
          <w:szCs w:val="18"/>
          <w:lang w:val="pt-BR"/>
        </w:rPr>
        <w:t>315</w:t>
      </w:r>
    </w:p>
    <w:p w14:paraId="14F5CB9B" w14:textId="77777777" w:rsidR="00581210" w:rsidRPr="00581210" w:rsidRDefault="00581210" w:rsidP="00581210">
      <w:pPr>
        <w:tabs>
          <w:tab w:val="center" w:pos="5400"/>
        </w:tabs>
        <w:suppressAutoHyphens/>
        <w:jc w:val="center"/>
        <w:rPr>
          <w:rFonts w:ascii="Cambria" w:hAnsi="Cambria"/>
          <w:sz w:val="18"/>
          <w:szCs w:val="18"/>
          <w:lang w:val="pt-BR"/>
        </w:rPr>
      </w:pPr>
      <w:r w:rsidRPr="00581210">
        <w:rPr>
          <w:rFonts w:ascii="Cambria" w:hAnsi="Cambria"/>
          <w:sz w:val="18"/>
          <w:szCs w:val="18"/>
          <w:lang w:val="pt-BR"/>
        </w:rPr>
        <w:t xml:space="preserve">MERITS </w:t>
      </w:r>
    </w:p>
    <w:p w14:paraId="3490AAEA" w14:textId="77777777" w:rsidR="00581210" w:rsidRPr="00581210" w:rsidRDefault="00581210" w:rsidP="00581210">
      <w:pPr>
        <w:tabs>
          <w:tab w:val="center" w:pos="5400"/>
        </w:tabs>
        <w:suppressAutoHyphens/>
        <w:jc w:val="center"/>
        <w:rPr>
          <w:rFonts w:ascii="Cambria" w:hAnsi="Cambria"/>
          <w:sz w:val="18"/>
          <w:szCs w:val="18"/>
          <w:lang w:val="pt-BR"/>
        </w:rPr>
      </w:pPr>
      <w:r w:rsidRPr="00581210">
        <w:rPr>
          <w:rFonts w:ascii="Cambria" w:hAnsi="Cambria"/>
          <w:sz w:val="18"/>
          <w:szCs w:val="18"/>
          <w:lang w:val="pt-BR"/>
        </w:rPr>
        <w:t xml:space="preserve">CARLOS ALBERTO FERNÁNDEZ PRIETO AND CARLOS ALEJANDRO TUMBEIRO </w:t>
      </w:r>
    </w:p>
    <w:p w14:paraId="2CF98FED" w14:textId="77777777" w:rsidR="00581210" w:rsidRPr="00A83E9D" w:rsidRDefault="00581210" w:rsidP="00581210">
      <w:pPr>
        <w:tabs>
          <w:tab w:val="center" w:pos="5400"/>
        </w:tabs>
        <w:suppressAutoHyphens/>
        <w:jc w:val="center"/>
        <w:rPr>
          <w:rFonts w:ascii="Cambria" w:hAnsi="Cambria"/>
          <w:sz w:val="18"/>
          <w:szCs w:val="18"/>
        </w:rPr>
      </w:pPr>
      <w:r>
        <w:rPr>
          <w:rFonts w:ascii="Cambria" w:hAnsi="Cambria"/>
          <w:sz w:val="18"/>
          <w:szCs w:val="18"/>
        </w:rPr>
        <w:t>MERITS</w:t>
      </w:r>
    </w:p>
    <w:p w14:paraId="7D13446C" w14:textId="77777777" w:rsidR="00581210" w:rsidRPr="00A83E9D" w:rsidRDefault="00581210" w:rsidP="00581210">
      <w:pPr>
        <w:tabs>
          <w:tab w:val="center" w:pos="5400"/>
        </w:tabs>
        <w:suppressAutoHyphens/>
        <w:jc w:val="center"/>
        <w:rPr>
          <w:rFonts w:ascii="Cambria" w:hAnsi="Cambria"/>
          <w:sz w:val="18"/>
          <w:szCs w:val="18"/>
        </w:rPr>
      </w:pPr>
      <w:r w:rsidRPr="00A83E9D">
        <w:rPr>
          <w:rFonts w:ascii="Cambria" w:hAnsi="Cambria"/>
          <w:sz w:val="18"/>
          <w:szCs w:val="18"/>
        </w:rPr>
        <w:t>ARGENTINA</w:t>
      </w:r>
    </w:p>
    <w:p w14:paraId="6734CE74" w14:textId="77777777" w:rsidR="00581210" w:rsidRPr="00A83E9D" w:rsidRDefault="00581210" w:rsidP="00581210">
      <w:pPr>
        <w:tabs>
          <w:tab w:val="center" w:pos="5400"/>
        </w:tabs>
        <w:suppressAutoHyphens/>
        <w:jc w:val="center"/>
        <w:rPr>
          <w:rFonts w:ascii="Cambria" w:hAnsi="Cambria"/>
          <w:sz w:val="18"/>
          <w:szCs w:val="18"/>
        </w:rPr>
      </w:pPr>
      <w:r>
        <w:rPr>
          <w:rFonts w:ascii="Cambria" w:hAnsi="Cambria"/>
          <w:sz w:val="18"/>
          <w:szCs w:val="18"/>
        </w:rPr>
        <w:t>OCTOBER 25,</w:t>
      </w:r>
      <w:r w:rsidRPr="00A83E9D">
        <w:rPr>
          <w:rFonts w:ascii="Cambria" w:hAnsi="Cambria"/>
          <w:sz w:val="18"/>
          <w:szCs w:val="18"/>
        </w:rPr>
        <w:t xml:space="preserve"> 2017</w:t>
      </w:r>
    </w:p>
    <w:p w14:paraId="137A4028" w14:textId="77777777" w:rsidR="00581210" w:rsidRDefault="00581210">
      <w:pPr>
        <w:rPr>
          <w:rFonts w:ascii="Cambria" w:hAnsi="Cambria"/>
          <w:b/>
          <w:sz w:val="18"/>
          <w:szCs w:val="18"/>
        </w:rPr>
      </w:pPr>
    </w:p>
    <w:p w14:paraId="6FE135A5" w14:textId="77777777" w:rsidR="00581210" w:rsidRDefault="00581210">
      <w:pPr>
        <w:rPr>
          <w:rFonts w:ascii="Cambria" w:hAnsi="Cambria"/>
          <w:b/>
          <w:sz w:val="18"/>
          <w:szCs w:val="18"/>
        </w:rPr>
      </w:pPr>
    </w:p>
    <w:p w14:paraId="2DD3DE4C" w14:textId="1364CE06" w:rsidR="00581210" w:rsidRDefault="00581210" w:rsidP="00581210">
      <w:pPr>
        <w:jc w:val="center"/>
        <w:rPr>
          <w:rFonts w:ascii="Cambria" w:hAnsi="Cambria"/>
          <w:b/>
          <w:sz w:val="20"/>
          <w:szCs w:val="20"/>
        </w:rPr>
      </w:pPr>
      <w:r w:rsidRPr="00581210">
        <w:rPr>
          <w:rFonts w:ascii="Cambria" w:hAnsi="Cambria"/>
          <w:b/>
          <w:sz w:val="20"/>
          <w:szCs w:val="20"/>
        </w:rPr>
        <w:t>INDEX</w:t>
      </w:r>
    </w:p>
    <w:p w14:paraId="1D406D43" w14:textId="77777777" w:rsidR="00581210" w:rsidRDefault="00581210" w:rsidP="00581210">
      <w:pPr>
        <w:jc w:val="center"/>
        <w:rPr>
          <w:rFonts w:ascii="Cambria" w:hAnsi="Cambria"/>
          <w:b/>
          <w:sz w:val="20"/>
          <w:szCs w:val="20"/>
        </w:rPr>
      </w:pPr>
    </w:p>
    <w:p w14:paraId="31EF7294" w14:textId="77777777" w:rsidR="00581210" w:rsidRPr="00581210" w:rsidRDefault="00581210" w:rsidP="00581210">
      <w:pPr>
        <w:pStyle w:val="TOC1"/>
        <w:tabs>
          <w:tab w:val="left" w:pos="720"/>
          <w:tab w:val="right" w:leader="dot" w:pos="9350"/>
        </w:tabs>
        <w:rPr>
          <w:rFonts w:asciiTheme="majorHAnsi" w:eastAsiaTheme="minorEastAsia" w:hAnsiTheme="majorHAnsi" w:cstheme="minorBidi"/>
          <w:noProof/>
          <w:sz w:val="20"/>
          <w:szCs w:val="20"/>
          <w:bdr w:val="none" w:sz="0" w:space="0" w:color="auto"/>
          <w:lang w:val="es-ES" w:eastAsia="es-ES"/>
        </w:rPr>
      </w:pPr>
      <w:r w:rsidRPr="00581210">
        <w:rPr>
          <w:rFonts w:asciiTheme="majorHAnsi" w:hAnsiTheme="majorHAnsi"/>
          <w:b/>
          <w:sz w:val="20"/>
          <w:szCs w:val="20"/>
        </w:rPr>
        <w:fldChar w:fldCharType="begin"/>
      </w:r>
      <w:r w:rsidRPr="00581210">
        <w:rPr>
          <w:rFonts w:asciiTheme="majorHAnsi" w:hAnsiTheme="majorHAnsi"/>
          <w:b/>
          <w:sz w:val="20"/>
          <w:szCs w:val="20"/>
        </w:rPr>
        <w:instrText xml:space="preserve"> TOC \o "1-3" \h \z \u </w:instrText>
      </w:r>
      <w:r w:rsidRPr="00581210">
        <w:rPr>
          <w:rFonts w:asciiTheme="majorHAnsi" w:hAnsiTheme="majorHAnsi"/>
          <w:b/>
          <w:sz w:val="20"/>
          <w:szCs w:val="20"/>
        </w:rPr>
        <w:fldChar w:fldCharType="separate"/>
      </w:r>
      <w:hyperlink w:anchor="_Toc497896913" w:history="1">
        <w:r w:rsidRPr="00581210">
          <w:rPr>
            <w:rStyle w:val="Hyperlink"/>
            <w:rFonts w:asciiTheme="majorHAnsi" w:hAnsiTheme="majorHAnsi"/>
            <w:noProof/>
            <w:sz w:val="20"/>
            <w:szCs w:val="20"/>
          </w:rPr>
          <w:t>I.</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SUMMARY</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_Toc497896913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3</w:t>
        </w:r>
        <w:r w:rsidRPr="00581210">
          <w:rPr>
            <w:rFonts w:asciiTheme="majorHAnsi" w:hAnsiTheme="majorHAnsi"/>
            <w:noProof/>
            <w:webHidden/>
            <w:sz w:val="20"/>
            <w:szCs w:val="20"/>
          </w:rPr>
          <w:fldChar w:fldCharType="end"/>
        </w:r>
      </w:hyperlink>
    </w:p>
    <w:p w14:paraId="4A0B5FFF" w14:textId="77777777" w:rsidR="00581210" w:rsidRPr="00581210" w:rsidRDefault="00581210" w:rsidP="00581210">
      <w:pPr>
        <w:pStyle w:val="TOC1"/>
        <w:tabs>
          <w:tab w:val="left" w:pos="720"/>
          <w:tab w:val="right" w:leader="dot" w:pos="9350"/>
        </w:tabs>
        <w:rPr>
          <w:rFonts w:asciiTheme="majorHAnsi" w:eastAsiaTheme="minorEastAsia" w:hAnsiTheme="majorHAnsi" w:cstheme="minorBidi"/>
          <w:noProof/>
          <w:sz w:val="20"/>
          <w:szCs w:val="20"/>
          <w:bdr w:val="none" w:sz="0" w:space="0" w:color="auto"/>
          <w:lang w:val="es-ES" w:eastAsia="es-ES"/>
        </w:rPr>
      </w:pPr>
      <w:hyperlink w:anchor="_Toc497896914" w:history="1">
        <w:r w:rsidRPr="00581210">
          <w:rPr>
            <w:rStyle w:val="Hyperlink"/>
            <w:rFonts w:asciiTheme="majorHAnsi" w:hAnsiTheme="majorHAnsi"/>
            <w:noProof/>
            <w:sz w:val="20"/>
            <w:szCs w:val="20"/>
          </w:rPr>
          <w:t>II.</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PROCESSING BEFORE THE COMMISSION</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_Toc497896914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3</w:t>
        </w:r>
        <w:r w:rsidRPr="00581210">
          <w:rPr>
            <w:rFonts w:asciiTheme="majorHAnsi" w:hAnsiTheme="majorHAnsi"/>
            <w:noProof/>
            <w:webHidden/>
            <w:sz w:val="20"/>
            <w:szCs w:val="20"/>
          </w:rPr>
          <w:fldChar w:fldCharType="end"/>
        </w:r>
      </w:hyperlink>
    </w:p>
    <w:p w14:paraId="316E9760" w14:textId="77777777" w:rsidR="00581210" w:rsidRPr="00581210" w:rsidRDefault="00581210" w:rsidP="00581210">
      <w:pPr>
        <w:pStyle w:val="TOC1"/>
        <w:tabs>
          <w:tab w:val="left" w:pos="720"/>
          <w:tab w:val="right" w:leader="dot" w:pos="9350"/>
        </w:tabs>
        <w:rPr>
          <w:rFonts w:asciiTheme="majorHAnsi" w:eastAsiaTheme="minorEastAsia" w:hAnsiTheme="majorHAnsi" w:cstheme="minorBidi"/>
          <w:noProof/>
          <w:sz w:val="20"/>
          <w:szCs w:val="20"/>
          <w:bdr w:val="none" w:sz="0" w:space="0" w:color="auto"/>
          <w:lang w:val="es-ES" w:eastAsia="es-ES"/>
        </w:rPr>
      </w:pPr>
      <w:hyperlink w:anchor="_Toc497896915" w:history="1">
        <w:r w:rsidRPr="00581210">
          <w:rPr>
            <w:rStyle w:val="Hyperlink"/>
            <w:rFonts w:asciiTheme="majorHAnsi" w:hAnsiTheme="majorHAnsi"/>
            <w:noProof/>
            <w:sz w:val="20"/>
            <w:szCs w:val="20"/>
          </w:rPr>
          <w:t>III.</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POSITIONS OF THE PARTIES</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_Toc497896915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3</w:t>
        </w:r>
        <w:r w:rsidRPr="00581210">
          <w:rPr>
            <w:rFonts w:asciiTheme="majorHAnsi" w:hAnsiTheme="majorHAnsi"/>
            <w:noProof/>
            <w:webHidden/>
            <w:sz w:val="20"/>
            <w:szCs w:val="20"/>
          </w:rPr>
          <w:fldChar w:fldCharType="end"/>
        </w:r>
      </w:hyperlink>
    </w:p>
    <w:p w14:paraId="7AB1FA44" w14:textId="77777777" w:rsidR="00581210" w:rsidRPr="00581210" w:rsidRDefault="00581210" w:rsidP="00581210">
      <w:pPr>
        <w:pStyle w:val="TOC2"/>
        <w:tabs>
          <w:tab w:val="clear" w:pos="1440"/>
          <w:tab w:val="left" w:pos="720"/>
        </w:tabs>
        <w:rPr>
          <w:rFonts w:asciiTheme="majorHAnsi" w:eastAsiaTheme="minorEastAsia" w:hAnsiTheme="majorHAnsi" w:cstheme="minorBidi"/>
          <w:noProof/>
          <w:sz w:val="20"/>
          <w:szCs w:val="20"/>
          <w:bdr w:val="none" w:sz="0" w:space="0" w:color="auto"/>
          <w:lang w:val="es-ES" w:eastAsia="es-ES"/>
        </w:rPr>
      </w:pPr>
      <w:hyperlink w:anchor="_Toc497896916" w:history="1">
        <w:r w:rsidRPr="00581210">
          <w:rPr>
            <w:rStyle w:val="Hyperlink"/>
            <w:rFonts w:asciiTheme="majorHAnsi" w:hAnsiTheme="majorHAnsi"/>
            <w:noProof/>
            <w:sz w:val="20"/>
            <w:szCs w:val="20"/>
          </w:rPr>
          <w:t>A.</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Position of the petitioner</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_Toc497896916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3</w:t>
        </w:r>
        <w:r w:rsidRPr="00581210">
          <w:rPr>
            <w:rFonts w:asciiTheme="majorHAnsi" w:hAnsiTheme="majorHAnsi"/>
            <w:noProof/>
            <w:webHidden/>
            <w:sz w:val="20"/>
            <w:szCs w:val="20"/>
          </w:rPr>
          <w:fldChar w:fldCharType="end"/>
        </w:r>
      </w:hyperlink>
    </w:p>
    <w:p w14:paraId="18DAEBFB" w14:textId="77777777" w:rsidR="00581210" w:rsidRPr="00581210" w:rsidRDefault="00581210" w:rsidP="00581210">
      <w:pPr>
        <w:pStyle w:val="TOC2"/>
        <w:tabs>
          <w:tab w:val="clear" w:pos="1440"/>
          <w:tab w:val="left" w:pos="720"/>
        </w:tabs>
        <w:rPr>
          <w:rFonts w:asciiTheme="majorHAnsi" w:eastAsiaTheme="minorEastAsia" w:hAnsiTheme="majorHAnsi" w:cstheme="minorBidi"/>
          <w:noProof/>
          <w:sz w:val="20"/>
          <w:szCs w:val="20"/>
          <w:bdr w:val="none" w:sz="0" w:space="0" w:color="auto"/>
          <w:lang w:val="es-ES" w:eastAsia="es-ES"/>
        </w:rPr>
      </w:pPr>
      <w:hyperlink w:anchor="_Toc497896917" w:history="1">
        <w:r w:rsidRPr="00581210">
          <w:rPr>
            <w:rStyle w:val="Hyperlink"/>
            <w:rFonts w:asciiTheme="majorHAnsi" w:eastAsia="MS Gothic" w:hAnsiTheme="majorHAnsi"/>
            <w:noProof/>
            <w:sz w:val="20"/>
            <w:szCs w:val="20"/>
          </w:rPr>
          <w:t>B.</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eastAsia="MS Gothic" w:hAnsiTheme="majorHAnsi"/>
            <w:noProof/>
            <w:sz w:val="20"/>
            <w:szCs w:val="20"/>
          </w:rPr>
          <w:t>Position of the State</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_Toc497896917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4</w:t>
        </w:r>
        <w:r w:rsidRPr="00581210">
          <w:rPr>
            <w:rFonts w:asciiTheme="majorHAnsi" w:hAnsiTheme="majorHAnsi"/>
            <w:noProof/>
            <w:webHidden/>
            <w:sz w:val="20"/>
            <w:szCs w:val="20"/>
          </w:rPr>
          <w:fldChar w:fldCharType="end"/>
        </w:r>
      </w:hyperlink>
    </w:p>
    <w:p w14:paraId="219BB79B" w14:textId="77777777" w:rsidR="00581210" w:rsidRPr="00581210" w:rsidRDefault="00581210" w:rsidP="00581210">
      <w:pPr>
        <w:pStyle w:val="TOC1"/>
        <w:tabs>
          <w:tab w:val="left" w:pos="720"/>
          <w:tab w:val="right" w:leader="dot" w:pos="9350"/>
        </w:tabs>
        <w:rPr>
          <w:rFonts w:asciiTheme="majorHAnsi" w:eastAsiaTheme="minorEastAsia" w:hAnsiTheme="majorHAnsi" w:cstheme="minorBidi"/>
          <w:noProof/>
          <w:sz w:val="20"/>
          <w:szCs w:val="20"/>
          <w:bdr w:val="none" w:sz="0" w:space="0" w:color="auto"/>
          <w:lang w:val="es-ES" w:eastAsia="es-ES"/>
        </w:rPr>
      </w:pPr>
      <w:hyperlink w:anchor="_Toc497896918" w:history="1">
        <w:r w:rsidRPr="00581210">
          <w:rPr>
            <w:rStyle w:val="Hyperlink"/>
            <w:rFonts w:asciiTheme="majorHAnsi" w:hAnsiTheme="majorHAnsi"/>
            <w:noProof/>
            <w:sz w:val="20"/>
            <w:szCs w:val="20"/>
          </w:rPr>
          <w:t>IV.</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FACTS PROVEN</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_Toc497896918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4</w:t>
        </w:r>
        <w:r w:rsidRPr="00581210">
          <w:rPr>
            <w:rFonts w:asciiTheme="majorHAnsi" w:hAnsiTheme="majorHAnsi"/>
            <w:noProof/>
            <w:webHidden/>
            <w:sz w:val="20"/>
            <w:szCs w:val="20"/>
          </w:rPr>
          <w:fldChar w:fldCharType="end"/>
        </w:r>
      </w:hyperlink>
    </w:p>
    <w:p w14:paraId="6DDF6A5B" w14:textId="77777777" w:rsidR="00581210" w:rsidRPr="00581210" w:rsidRDefault="00581210" w:rsidP="00581210">
      <w:pPr>
        <w:pStyle w:val="TOC2"/>
        <w:tabs>
          <w:tab w:val="clear" w:pos="1440"/>
          <w:tab w:val="left" w:pos="720"/>
        </w:tabs>
        <w:rPr>
          <w:rFonts w:asciiTheme="majorHAnsi" w:eastAsiaTheme="minorEastAsia" w:hAnsiTheme="majorHAnsi" w:cstheme="minorBidi"/>
          <w:noProof/>
          <w:sz w:val="20"/>
          <w:szCs w:val="20"/>
          <w:bdr w:val="none" w:sz="0" w:space="0" w:color="auto"/>
          <w:lang w:val="es-ES" w:eastAsia="es-ES"/>
        </w:rPr>
      </w:pPr>
      <w:hyperlink w:anchor="_Toc497896919" w:history="1">
        <w:r w:rsidRPr="00581210">
          <w:rPr>
            <w:rStyle w:val="Hyperlink"/>
            <w:rFonts w:asciiTheme="majorHAnsi" w:hAnsiTheme="majorHAnsi"/>
            <w:noProof/>
            <w:sz w:val="20"/>
            <w:szCs w:val="20"/>
          </w:rPr>
          <w:t>A.</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Relevant law</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_Toc497896919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4</w:t>
        </w:r>
        <w:r w:rsidRPr="00581210">
          <w:rPr>
            <w:rFonts w:asciiTheme="majorHAnsi" w:hAnsiTheme="majorHAnsi"/>
            <w:noProof/>
            <w:webHidden/>
            <w:sz w:val="20"/>
            <w:szCs w:val="20"/>
          </w:rPr>
          <w:fldChar w:fldCharType="end"/>
        </w:r>
      </w:hyperlink>
    </w:p>
    <w:p w14:paraId="2F0015FA" w14:textId="77777777" w:rsidR="00581210" w:rsidRPr="00581210" w:rsidRDefault="00581210" w:rsidP="00581210">
      <w:pPr>
        <w:pStyle w:val="TOC2"/>
        <w:tabs>
          <w:tab w:val="clear" w:pos="1440"/>
          <w:tab w:val="left" w:pos="720"/>
        </w:tabs>
        <w:rPr>
          <w:rFonts w:asciiTheme="majorHAnsi" w:eastAsiaTheme="minorEastAsia" w:hAnsiTheme="majorHAnsi" w:cstheme="minorBidi"/>
          <w:noProof/>
          <w:sz w:val="20"/>
          <w:szCs w:val="20"/>
          <w:bdr w:val="none" w:sz="0" w:space="0" w:color="auto"/>
          <w:lang w:val="es-ES" w:eastAsia="es-ES"/>
        </w:rPr>
      </w:pPr>
      <w:hyperlink w:anchor="_Toc497896920" w:history="1">
        <w:r w:rsidRPr="00581210">
          <w:rPr>
            <w:rStyle w:val="Hyperlink"/>
            <w:rFonts w:asciiTheme="majorHAnsi" w:hAnsiTheme="majorHAnsi"/>
            <w:noProof/>
            <w:sz w:val="20"/>
            <w:szCs w:val="20"/>
          </w:rPr>
          <w:t>B.</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Context on arrests without judicial warrant or situation of flagrancy in Argentina</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_Toc497896920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5</w:t>
        </w:r>
        <w:r w:rsidRPr="00581210">
          <w:rPr>
            <w:rFonts w:asciiTheme="majorHAnsi" w:hAnsiTheme="majorHAnsi"/>
            <w:noProof/>
            <w:webHidden/>
            <w:sz w:val="20"/>
            <w:szCs w:val="20"/>
          </w:rPr>
          <w:fldChar w:fldCharType="end"/>
        </w:r>
      </w:hyperlink>
    </w:p>
    <w:p w14:paraId="3157E778" w14:textId="77777777" w:rsidR="00581210" w:rsidRPr="00581210" w:rsidRDefault="00581210" w:rsidP="00581210">
      <w:pPr>
        <w:pStyle w:val="TOC2"/>
        <w:tabs>
          <w:tab w:val="clear" w:pos="1440"/>
          <w:tab w:val="left" w:pos="720"/>
        </w:tabs>
        <w:rPr>
          <w:rFonts w:asciiTheme="majorHAnsi" w:eastAsiaTheme="minorEastAsia" w:hAnsiTheme="majorHAnsi" w:cstheme="minorBidi"/>
          <w:noProof/>
          <w:sz w:val="20"/>
          <w:szCs w:val="20"/>
          <w:bdr w:val="none" w:sz="0" w:space="0" w:color="auto"/>
          <w:lang w:val="es-ES" w:eastAsia="es-ES"/>
        </w:rPr>
      </w:pPr>
      <w:hyperlink w:anchor="_Toc497896921" w:history="1">
        <w:r w:rsidRPr="00581210">
          <w:rPr>
            <w:rStyle w:val="Hyperlink"/>
            <w:rFonts w:asciiTheme="majorHAnsi" w:hAnsiTheme="majorHAnsi"/>
            <w:noProof/>
            <w:sz w:val="20"/>
            <w:szCs w:val="20"/>
          </w:rPr>
          <w:t>C.</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Carlos Alberto Fernández Prieto</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_Toc497896921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7</w:t>
        </w:r>
        <w:r w:rsidRPr="00581210">
          <w:rPr>
            <w:rFonts w:asciiTheme="majorHAnsi" w:hAnsiTheme="majorHAnsi"/>
            <w:noProof/>
            <w:webHidden/>
            <w:sz w:val="20"/>
            <w:szCs w:val="20"/>
          </w:rPr>
          <w:fldChar w:fldCharType="end"/>
        </w:r>
      </w:hyperlink>
    </w:p>
    <w:p w14:paraId="1457C3A8" w14:textId="77777777" w:rsidR="00581210" w:rsidRPr="00581210" w:rsidRDefault="00581210" w:rsidP="00581210">
      <w:pPr>
        <w:pStyle w:val="TOC2"/>
        <w:tabs>
          <w:tab w:val="clear" w:pos="1440"/>
          <w:tab w:val="left" w:pos="720"/>
        </w:tabs>
        <w:rPr>
          <w:rFonts w:asciiTheme="majorHAnsi" w:eastAsiaTheme="minorEastAsia" w:hAnsiTheme="majorHAnsi" w:cstheme="minorBidi"/>
          <w:noProof/>
          <w:sz w:val="20"/>
          <w:szCs w:val="20"/>
          <w:bdr w:val="none" w:sz="0" w:space="0" w:color="auto"/>
          <w:lang w:val="es-ES" w:eastAsia="es-ES"/>
        </w:rPr>
      </w:pPr>
      <w:hyperlink w:anchor="_Toc497896922" w:history="1">
        <w:r w:rsidRPr="00581210">
          <w:rPr>
            <w:rStyle w:val="Hyperlink"/>
            <w:rFonts w:asciiTheme="majorHAnsi" w:hAnsiTheme="majorHAnsi"/>
            <w:noProof/>
            <w:sz w:val="20"/>
            <w:szCs w:val="20"/>
          </w:rPr>
          <w:t>D.</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Carlos Alejandro Tumbeiro</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_Toc497896922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11</w:t>
        </w:r>
        <w:r w:rsidRPr="00581210">
          <w:rPr>
            <w:rFonts w:asciiTheme="majorHAnsi" w:hAnsiTheme="majorHAnsi"/>
            <w:noProof/>
            <w:webHidden/>
            <w:sz w:val="20"/>
            <w:szCs w:val="20"/>
          </w:rPr>
          <w:fldChar w:fldCharType="end"/>
        </w:r>
      </w:hyperlink>
    </w:p>
    <w:p w14:paraId="05F9CE70" w14:textId="77777777" w:rsidR="00581210" w:rsidRPr="00581210" w:rsidRDefault="00581210" w:rsidP="00581210">
      <w:pPr>
        <w:pStyle w:val="TOC1"/>
        <w:tabs>
          <w:tab w:val="left" w:pos="720"/>
          <w:tab w:val="right" w:leader="dot" w:pos="9350"/>
        </w:tabs>
        <w:rPr>
          <w:rFonts w:asciiTheme="majorHAnsi" w:eastAsiaTheme="minorEastAsia" w:hAnsiTheme="majorHAnsi" w:cstheme="minorBidi"/>
          <w:noProof/>
          <w:sz w:val="20"/>
          <w:szCs w:val="20"/>
          <w:bdr w:val="none" w:sz="0" w:space="0" w:color="auto"/>
          <w:lang w:val="es-ES" w:eastAsia="es-ES"/>
        </w:rPr>
      </w:pPr>
      <w:hyperlink w:anchor="_Toc497896923" w:history="1">
        <w:r w:rsidRPr="00581210">
          <w:rPr>
            <w:rStyle w:val="Hyperlink"/>
            <w:rFonts w:asciiTheme="majorHAnsi" w:hAnsiTheme="majorHAnsi"/>
            <w:noProof/>
            <w:sz w:val="20"/>
            <w:szCs w:val="20"/>
          </w:rPr>
          <w:t>V.</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LEGAL ANALYSIS</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_Toc497896923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12</w:t>
        </w:r>
        <w:r w:rsidRPr="00581210">
          <w:rPr>
            <w:rFonts w:asciiTheme="majorHAnsi" w:hAnsiTheme="majorHAnsi"/>
            <w:noProof/>
            <w:webHidden/>
            <w:sz w:val="20"/>
            <w:szCs w:val="20"/>
          </w:rPr>
          <w:fldChar w:fldCharType="end"/>
        </w:r>
      </w:hyperlink>
    </w:p>
    <w:p w14:paraId="5B716053" w14:textId="77777777" w:rsidR="00581210" w:rsidRPr="00581210" w:rsidRDefault="00581210" w:rsidP="00581210">
      <w:pPr>
        <w:pStyle w:val="TOC2"/>
        <w:tabs>
          <w:tab w:val="clear" w:pos="1440"/>
          <w:tab w:val="left" w:pos="720"/>
        </w:tabs>
        <w:rPr>
          <w:rFonts w:asciiTheme="majorHAnsi" w:eastAsiaTheme="minorEastAsia" w:hAnsiTheme="majorHAnsi" w:cstheme="minorBidi"/>
          <w:noProof/>
          <w:sz w:val="20"/>
          <w:szCs w:val="20"/>
          <w:bdr w:val="none" w:sz="0" w:space="0" w:color="auto"/>
          <w:lang w:val="es-ES" w:eastAsia="es-ES"/>
        </w:rPr>
      </w:pPr>
      <w:hyperlink w:anchor="_Toc497896924" w:history="1">
        <w:r w:rsidRPr="00581210">
          <w:rPr>
            <w:rStyle w:val="Hyperlink"/>
            <w:rFonts w:asciiTheme="majorHAnsi" w:hAnsiTheme="majorHAnsi"/>
            <w:noProof/>
            <w:sz w:val="20"/>
            <w:szCs w:val="20"/>
          </w:rPr>
          <w:t>A.</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Rights to personal liberty, privacy, judicial guarantees, and judicial protection (Articles 7, 8(1), 11, and 25 of the American Convention in relation to Articles 1(1) and 2 of the same instrument)</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_Toc497896924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12</w:t>
        </w:r>
        <w:r w:rsidRPr="00581210">
          <w:rPr>
            <w:rFonts w:asciiTheme="majorHAnsi" w:hAnsiTheme="majorHAnsi"/>
            <w:noProof/>
            <w:webHidden/>
            <w:sz w:val="20"/>
            <w:szCs w:val="20"/>
          </w:rPr>
          <w:fldChar w:fldCharType="end"/>
        </w:r>
      </w:hyperlink>
    </w:p>
    <w:p w14:paraId="27892E7D" w14:textId="77777777" w:rsidR="00581210" w:rsidRPr="00581210" w:rsidRDefault="00581210" w:rsidP="00581210">
      <w:pPr>
        <w:pStyle w:val="TOC1"/>
        <w:tabs>
          <w:tab w:val="left" w:pos="720"/>
          <w:tab w:val="right" w:leader="dot" w:pos="9350"/>
        </w:tabs>
        <w:rPr>
          <w:rFonts w:asciiTheme="majorHAnsi" w:eastAsiaTheme="minorEastAsia" w:hAnsiTheme="majorHAnsi" w:cstheme="minorBidi"/>
          <w:noProof/>
          <w:sz w:val="20"/>
          <w:szCs w:val="20"/>
          <w:bdr w:val="none" w:sz="0" w:space="0" w:color="auto"/>
          <w:lang w:val="es-ES" w:eastAsia="es-ES"/>
        </w:rPr>
      </w:pPr>
      <w:hyperlink w:anchor="_Toc497896925" w:history="1">
        <w:r w:rsidRPr="00581210">
          <w:rPr>
            <w:rStyle w:val="Hyperlink"/>
            <w:rFonts w:asciiTheme="majorHAnsi" w:hAnsiTheme="majorHAnsi"/>
            <w:noProof/>
            <w:sz w:val="20"/>
            <w:szCs w:val="20"/>
          </w:rPr>
          <w:t>VI.</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CONCLUSIONS</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_Toc497896925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17</w:t>
        </w:r>
        <w:r w:rsidRPr="00581210">
          <w:rPr>
            <w:rFonts w:asciiTheme="majorHAnsi" w:hAnsiTheme="majorHAnsi"/>
            <w:noProof/>
            <w:webHidden/>
            <w:sz w:val="20"/>
            <w:szCs w:val="20"/>
          </w:rPr>
          <w:fldChar w:fldCharType="end"/>
        </w:r>
      </w:hyperlink>
    </w:p>
    <w:p w14:paraId="54C93F2F" w14:textId="77777777" w:rsidR="00581210" w:rsidRPr="00581210" w:rsidRDefault="00581210" w:rsidP="00581210">
      <w:pPr>
        <w:pStyle w:val="TOC1"/>
        <w:tabs>
          <w:tab w:val="left" w:pos="720"/>
          <w:tab w:val="right" w:leader="dot" w:pos="9350"/>
        </w:tabs>
        <w:rPr>
          <w:rFonts w:asciiTheme="majorHAnsi" w:eastAsiaTheme="minorEastAsia" w:hAnsiTheme="majorHAnsi" w:cstheme="minorBidi"/>
          <w:noProof/>
          <w:sz w:val="20"/>
          <w:szCs w:val="20"/>
          <w:bdr w:val="none" w:sz="0" w:space="0" w:color="auto"/>
          <w:lang w:val="es-ES" w:eastAsia="es-ES"/>
        </w:rPr>
      </w:pPr>
      <w:hyperlink w:anchor="_Toc497896926" w:history="1">
        <w:r w:rsidRPr="00581210">
          <w:rPr>
            <w:rStyle w:val="Hyperlink"/>
            <w:rFonts w:asciiTheme="majorHAnsi" w:hAnsiTheme="majorHAnsi"/>
            <w:noProof/>
            <w:sz w:val="20"/>
            <w:szCs w:val="20"/>
          </w:rPr>
          <w:t>VII.</w:t>
        </w:r>
        <w:r w:rsidRPr="00581210">
          <w:rPr>
            <w:rFonts w:asciiTheme="majorHAnsi" w:eastAsiaTheme="minorEastAsia" w:hAnsiTheme="majorHAnsi" w:cstheme="minorBidi"/>
            <w:noProof/>
            <w:sz w:val="20"/>
            <w:szCs w:val="20"/>
            <w:bdr w:val="none" w:sz="0" w:space="0" w:color="auto"/>
            <w:lang w:val="es-ES" w:eastAsia="es-ES"/>
          </w:rPr>
          <w:tab/>
        </w:r>
        <w:r w:rsidRPr="00581210">
          <w:rPr>
            <w:rStyle w:val="Hyperlink"/>
            <w:rFonts w:asciiTheme="majorHAnsi" w:hAnsiTheme="majorHAnsi"/>
            <w:noProof/>
            <w:sz w:val="20"/>
            <w:szCs w:val="20"/>
          </w:rPr>
          <w:t>RECOMMENDATIONS</w:t>
        </w:r>
        <w:r w:rsidRPr="00581210">
          <w:rPr>
            <w:rFonts w:asciiTheme="majorHAnsi" w:hAnsiTheme="majorHAnsi"/>
            <w:noProof/>
            <w:webHidden/>
            <w:sz w:val="20"/>
            <w:szCs w:val="20"/>
          </w:rPr>
          <w:tab/>
        </w:r>
        <w:r w:rsidRPr="00581210">
          <w:rPr>
            <w:rFonts w:asciiTheme="majorHAnsi" w:hAnsiTheme="majorHAnsi"/>
            <w:noProof/>
            <w:webHidden/>
            <w:sz w:val="20"/>
            <w:szCs w:val="20"/>
          </w:rPr>
          <w:fldChar w:fldCharType="begin"/>
        </w:r>
        <w:r w:rsidRPr="00581210">
          <w:rPr>
            <w:rFonts w:asciiTheme="majorHAnsi" w:hAnsiTheme="majorHAnsi"/>
            <w:noProof/>
            <w:webHidden/>
            <w:sz w:val="20"/>
            <w:szCs w:val="20"/>
          </w:rPr>
          <w:instrText xml:space="preserve"> PAGEREF _Toc497896926 \h </w:instrText>
        </w:r>
        <w:r w:rsidRPr="00581210">
          <w:rPr>
            <w:rFonts w:asciiTheme="majorHAnsi" w:hAnsiTheme="majorHAnsi"/>
            <w:noProof/>
            <w:webHidden/>
            <w:sz w:val="20"/>
            <w:szCs w:val="20"/>
          </w:rPr>
        </w:r>
        <w:r w:rsidRPr="00581210">
          <w:rPr>
            <w:rFonts w:asciiTheme="majorHAnsi" w:hAnsiTheme="majorHAnsi"/>
            <w:noProof/>
            <w:webHidden/>
            <w:sz w:val="20"/>
            <w:szCs w:val="20"/>
          </w:rPr>
          <w:fldChar w:fldCharType="separate"/>
        </w:r>
        <w:r w:rsidRPr="00581210">
          <w:rPr>
            <w:rFonts w:asciiTheme="majorHAnsi" w:hAnsiTheme="majorHAnsi"/>
            <w:noProof/>
            <w:webHidden/>
            <w:sz w:val="20"/>
            <w:szCs w:val="20"/>
          </w:rPr>
          <w:t>17</w:t>
        </w:r>
        <w:r w:rsidRPr="00581210">
          <w:rPr>
            <w:rFonts w:asciiTheme="majorHAnsi" w:hAnsiTheme="majorHAnsi"/>
            <w:noProof/>
            <w:webHidden/>
            <w:sz w:val="20"/>
            <w:szCs w:val="20"/>
          </w:rPr>
          <w:fldChar w:fldCharType="end"/>
        </w:r>
      </w:hyperlink>
    </w:p>
    <w:p w14:paraId="4BAC55D7" w14:textId="77777777" w:rsidR="00581210" w:rsidRPr="00581210" w:rsidRDefault="00581210" w:rsidP="00581210">
      <w:pPr>
        <w:tabs>
          <w:tab w:val="left" w:pos="720"/>
        </w:tabs>
        <w:jc w:val="both"/>
        <w:rPr>
          <w:rFonts w:asciiTheme="majorHAnsi" w:hAnsiTheme="majorHAnsi"/>
          <w:b/>
          <w:sz w:val="20"/>
          <w:szCs w:val="20"/>
        </w:rPr>
      </w:pPr>
      <w:r w:rsidRPr="00581210">
        <w:rPr>
          <w:rFonts w:asciiTheme="majorHAnsi" w:hAnsiTheme="majorHAnsi"/>
          <w:b/>
          <w:sz w:val="20"/>
          <w:szCs w:val="20"/>
        </w:rPr>
        <w:fldChar w:fldCharType="end"/>
      </w:r>
    </w:p>
    <w:p w14:paraId="3403DDE8" w14:textId="77777777" w:rsidR="00581210" w:rsidRPr="00581210" w:rsidRDefault="00581210" w:rsidP="00581210">
      <w:pPr>
        <w:tabs>
          <w:tab w:val="left" w:pos="720"/>
        </w:tabs>
        <w:rPr>
          <w:rFonts w:asciiTheme="majorHAnsi" w:hAnsiTheme="majorHAnsi"/>
          <w:b/>
          <w:sz w:val="20"/>
          <w:szCs w:val="20"/>
        </w:rPr>
      </w:pPr>
    </w:p>
    <w:p w14:paraId="718679DF" w14:textId="77777777" w:rsidR="00581210" w:rsidRPr="00581210" w:rsidRDefault="00581210" w:rsidP="00581210">
      <w:pPr>
        <w:tabs>
          <w:tab w:val="left" w:pos="720"/>
        </w:tabs>
        <w:rPr>
          <w:rFonts w:asciiTheme="majorHAnsi" w:hAnsiTheme="majorHAnsi"/>
          <w:b/>
          <w:sz w:val="20"/>
          <w:szCs w:val="20"/>
        </w:rPr>
      </w:pPr>
      <w:r w:rsidRPr="00581210">
        <w:rPr>
          <w:rFonts w:asciiTheme="majorHAnsi" w:hAnsiTheme="majorHAnsi"/>
          <w:b/>
          <w:sz w:val="20"/>
          <w:szCs w:val="20"/>
        </w:rPr>
        <w:br w:type="page"/>
      </w:r>
    </w:p>
    <w:p w14:paraId="7DD3744C" w14:textId="1AC582B4" w:rsidR="00F474A4" w:rsidRPr="00581210" w:rsidRDefault="00A83E9D" w:rsidP="00F474A4">
      <w:pPr>
        <w:tabs>
          <w:tab w:val="left" w:pos="1440"/>
          <w:tab w:val="center" w:pos="5400"/>
        </w:tabs>
        <w:suppressAutoHyphens/>
        <w:jc w:val="center"/>
        <w:rPr>
          <w:rFonts w:ascii="Cambria" w:hAnsi="Cambria"/>
          <w:b/>
          <w:sz w:val="18"/>
          <w:szCs w:val="18"/>
          <w:lang w:val="pt-BR"/>
        </w:rPr>
      </w:pPr>
      <w:r w:rsidRPr="00581210">
        <w:rPr>
          <w:rFonts w:ascii="Cambria" w:hAnsi="Cambria"/>
          <w:b/>
          <w:sz w:val="18"/>
          <w:szCs w:val="18"/>
          <w:lang w:val="pt-BR"/>
        </w:rPr>
        <w:lastRenderedPageBreak/>
        <w:t xml:space="preserve">REPORT </w:t>
      </w:r>
      <w:r w:rsidR="00F474A4" w:rsidRPr="00581210">
        <w:rPr>
          <w:rFonts w:ascii="Cambria" w:hAnsi="Cambria"/>
          <w:b/>
          <w:sz w:val="18"/>
          <w:szCs w:val="18"/>
          <w:lang w:val="pt-BR"/>
        </w:rPr>
        <w:t xml:space="preserve">No. </w:t>
      </w:r>
      <w:r w:rsidR="00581210">
        <w:rPr>
          <w:rFonts w:ascii="Cambria" w:hAnsi="Cambria"/>
          <w:b/>
          <w:sz w:val="18"/>
          <w:szCs w:val="18"/>
          <w:lang w:val="pt-BR"/>
        </w:rPr>
        <w:t>129</w:t>
      </w:r>
      <w:r w:rsidR="00F474A4" w:rsidRPr="00581210">
        <w:rPr>
          <w:rFonts w:ascii="Cambria" w:hAnsi="Cambria"/>
          <w:b/>
          <w:sz w:val="18"/>
          <w:szCs w:val="18"/>
          <w:lang w:val="pt-BR"/>
        </w:rPr>
        <w:t>/17</w:t>
      </w:r>
    </w:p>
    <w:p w14:paraId="342188B6" w14:textId="5B0FE10E" w:rsidR="00F474A4" w:rsidRPr="00581210" w:rsidRDefault="00581210" w:rsidP="00F474A4">
      <w:pPr>
        <w:jc w:val="center"/>
        <w:rPr>
          <w:rFonts w:ascii="Cambria" w:hAnsi="Cambria"/>
          <w:sz w:val="18"/>
          <w:szCs w:val="18"/>
          <w:lang w:val="pt-BR"/>
        </w:rPr>
      </w:pPr>
      <w:r>
        <w:rPr>
          <w:rFonts w:ascii="Cambria" w:hAnsi="Cambria"/>
          <w:b/>
          <w:sz w:val="18"/>
          <w:szCs w:val="18"/>
          <w:lang w:val="pt-BR"/>
        </w:rPr>
        <w:t>CASE 12.</w:t>
      </w:r>
      <w:r w:rsidR="00F474A4" w:rsidRPr="00581210">
        <w:rPr>
          <w:rFonts w:ascii="Cambria" w:hAnsi="Cambria"/>
          <w:b/>
          <w:sz w:val="18"/>
          <w:szCs w:val="18"/>
          <w:lang w:val="pt-BR"/>
        </w:rPr>
        <w:t>315</w:t>
      </w:r>
    </w:p>
    <w:p w14:paraId="058686C3" w14:textId="77777777" w:rsidR="00F474A4" w:rsidRPr="00581210" w:rsidRDefault="00A83E9D" w:rsidP="00F474A4">
      <w:pPr>
        <w:tabs>
          <w:tab w:val="center" w:pos="5400"/>
        </w:tabs>
        <w:suppressAutoHyphens/>
        <w:jc w:val="center"/>
        <w:rPr>
          <w:rFonts w:ascii="Cambria" w:hAnsi="Cambria"/>
          <w:sz w:val="18"/>
          <w:szCs w:val="18"/>
          <w:lang w:val="pt-BR"/>
        </w:rPr>
      </w:pPr>
      <w:r w:rsidRPr="00581210">
        <w:rPr>
          <w:rFonts w:ascii="Cambria" w:hAnsi="Cambria"/>
          <w:sz w:val="18"/>
          <w:szCs w:val="18"/>
          <w:lang w:val="pt-BR"/>
        </w:rPr>
        <w:t xml:space="preserve">MERITS </w:t>
      </w:r>
    </w:p>
    <w:p w14:paraId="14EC95BF" w14:textId="77777777" w:rsidR="00F474A4" w:rsidRPr="00581210" w:rsidRDefault="00F474A4" w:rsidP="00F474A4">
      <w:pPr>
        <w:tabs>
          <w:tab w:val="center" w:pos="5400"/>
        </w:tabs>
        <w:suppressAutoHyphens/>
        <w:jc w:val="center"/>
        <w:rPr>
          <w:rFonts w:ascii="Cambria" w:hAnsi="Cambria"/>
          <w:sz w:val="18"/>
          <w:szCs w:val="18"/>
          <w:lang w:val="pt-BR"/>
        </w:rPr>
      </w:pPr>
      <w:r w:rsidRPr="00581210">
        <w:rPr>
          <w:rFonts w:ascii="Cambria" w:hAnsi="Cambria"/>
          <w:sz w:val="18"/>
          <w:szCs w:val="18"/>
          <w:lang w:val="pt-BR"/>
        </w:rPr>
        <w:t>CAR</w:t>
      </w:r>
      <w:r w:rsidR="00A83E9D" w:rsidRPr="00581210">
        <w:rPr>
          <w:rFonts w:ascii="Cambria" w:hAnsi="Cambria"/>
          <w:sz w:val="18"/>
          <w:szCs w:val="18"/>
          <w:lang w:val="pt-BR"/>
        </w:rPr>
        <w:t xml:space="preserve">LOS ALBERTO FERNÁNDEZ PRIETO AND </w:t>
      </w:r>
      <w:r w:rsidRPr="00581210">
        <w:rPr>
          <w:rFonts w:ascii="Cambria" w:hAnsi="Cambria"/>
          <w:sz w:val="18"/>
          <w:szCs w:val="18"/>
          <w:lang w:val="pt-BR"/>
        </w:rPr>
        <w:t xml:space="preserve">CARLOS ALEJANDRO TUMBEIRO </w:t>
      </w:r>
    </w:p>
    <w:p w14:paraId="53398EFC" w14:textId="77777777" w:rsidR="00F474A4" w:rsidRPr="00A83E9D" w:rsidRDefault="00A83E9D" w:rsidP="00F474A4">
      <w:pPr>
        <w:tabs>
          <w:tab w:val="center" w:pos="5400"/>
        </w:tabs>
        <w:suppressAutoHyphens/>
        <w:jc w:val="center"/>
        <w:rPr>
          <w:rFonts w:ascii="Cambria" w:hAnsi="Cambria"/>
          <w:sz w:val="18"/>
          <w:szCs w:val="18"/>
        </w:rPr>
      </w:pPr>
      <w:r>
        <w:rPr>
          <w:rFonts w:ascii="Cambria" w:hAnsi="Cambria"/>
          <w:sz w:val="18"/>
          <w:szCs w:val="18"/>
        </w:rPr>
        <w:t>MERITS</w:t>
      </w:r>
    </w:p>
    <w:p w14:paraId="622F4824" w14:textId="77777777" w:rsidR="00F474A4" w:rsidRPr="00A83E9D" w:rsidRDefault="00F474A4" w:rsidP="00F474A4">
      <w:pPr>
        <w:tabs>
          <w:tab w:val="center" w:pos="5400"/>
        </w:tabs>
        <w:suppressAutoHyphens/>
        <w:jc w:val="center"/>
        <w:rPr>
          <w:rFonts w:ascii="Cambria" w:hAnsi="Cambria"/>
          <w:sz w:val="18"/>
          <w:szCs w:val="18"/>
        </w:rPr>
      </w:pPr>
      <w:r w:rsidRPr="00A83E9D">
        <w:rPr>
          <w:rFonts w:ascii="Cambria" w:hAnsi="Cambria"/>
          <w:sz w:val="18"/>
          <w:szCs w:val="18"/>
        </w:rPr>
        <w:t>ARGENTINA</w:t>
      </w:r>
    </w:p>
    <w:p w14:paraId="4AEF6AD0" w14:textId="78365B49" w:rsidR="00F474A4" w:rsidRPr="00A83E9D" w:rsidRDefault="00581210" w:rsidP="00F474A4">
      <w:pPr>
        <w:tabs>
          <w:tab w:val="center" w:pos="5400"/>
        </w:tabs>
        <w:suppressAutoHyphens/>
        <w:jc w:val="center"/>
        <w:rPr>
          <w:rFonts w:ascii="Cambria" w:hAnsi="Cambria"/>
          <w:sz w:val="18"/>
          <w:szCs w:val="18"/>
        </w:rPr>
      </w:pPr>
      <w:r>
        <w:rPr>
          <w:rFonts w:ascii="Cambria" w:hAnsi="Cambria"/>
          <w:sz w:val="18"/>
          <w:szCs w:val="18"/>
        </w:rPr>
        <w:t>OCTOBER 25,</w:t>
      </w:r>
      <w:r w:rsidR="00F474A4" w:rsidRPr="00A83E9D">
        <w:rPr>
          <w:rFonts w:ascii="Cambria" w:hAnsi="Cambria"/>
          <w:sz w:val="18"/>
          <w:szCs w:val="18"/>
        </w:rPr>
        <w:t xml:space="preserve"> 2017</w:t>
      </w:r>
    </w:p>
    <w:p w14:paraId="5DE19051" w14:textId="77777777" w:rsidR="00F474A4" w:rsidRPr="00A83E9D" w:rsidRDefault="00F474A4" w:rsidP="00F474A4">
      <w:pPr>
        <w:tabs>
          <w:tab w:val="center" w:pos="5400"/>
        </w:tabs>
        <w:suppressAutoHyphens/>
        <w:jc w:val="center"/>
        <w:rPr>
          <w:rFonts w:ascii="Cambria" w:hAnsi="Cambria" w:cs="Calibri"/>
          <w:sz w:val="20"/>
          <w:szCs w:val="20"/>
        </w:rPr>
      </w:pPr>
    </w:p>
    <w:p w14:paraId="316A5CB4" w14:textId="77777777" w:rsidR="00F474A4" w:rsidRPr="00A83E9D" w:rsidRDefault="00F474A4" w:rsidP="00F474A4">
      <w:pPr>
        <w:jc w:val="center"/>
        <w:rPr>
          <w:rFonts w:ascii="Cambria" w:hAnsi="Cambria" w:cs="Calibri"/>
          <w:sz w:val="20"/>
          <w:szCs w:val="20"/>
        </w:rPr>
      </w:pPr>
    </w:p>
    <w:p w14:paraId="587320BC" w14:textId="77777777" w:rsidR="00F474A4" w:rsidRPr="00A83E9D" w:rsidRDefault="00F474A4" w:rsidP="00F474A4">
      <w:pPr>
        <w:pStyle w:val="Heading1"/>
      </w:pPr>
      <w:bookmarkStart w:id="0" w:name="_Toc430268166"/>
      <w:bookmarkStart w:id="1" w:name="_Toc446591740"/>
      <w:bookmarkStart w:id="2" w:name="_Toc480636761"/>
      <w:bookmarkStart w:id="3" w:name="_Toc495868426"/>
      <w:bookmarkStart w:id="4" w:name="_Toc497896913"/>
      <w:r w:rsidRPr="00A83E9D">
        <w:t>SUM</w:t>
      </w:r>
      <w:r w:rsidR="00A83E9D">
        <w:t>MARY</w:t>
      </w:r>
      <w:bookmarkEnd w:id="0"/>
      <w:bookmarkEnd w:id="1"/>
      <w:bookmarkEnd w:id="2"/>
      <w:bookmarkEnd w:id="3"/>
      <w:bookmarkEnd w:id="4"/>
    </w:p>
    <w:p w14:paraId="53BBA0BD" w14:textId="77777777" w:rsidR="00F474A4" w:rsidRPr="00A83E9D" w:rsidRDefault="00F474A4" w:rsidP="00F474A4">
      <w:pPr>
        <w:ind w:firstLine="567"/>
        <w:jc w:val="both"/>
        <w:rPr>
          <w:rFonts w:ascii="Cambria" w:hAnsi="Cambria"/>
          <w:sz w:val="20"/>
          <w:szCs w:val="20"/>
        </w:rPr>
      </w:pPr>
    </w:p>
    <w:p w14:paraId="601267B2" w14:textId="77777777" w:rsidR="00F474A4" w:rsidRPr="00A83E9D" w:rsidRDefault="00A83E9D"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July </w:t>
      </w:r>
      <w:r w:rsidR="00F474A4" w:rsidRPr="00A83E9D">
        <w:rPr>
          <w:rFonts w:ascii="Cambria" w:hAnsi="Cambria"/>
          <w:sz w:val="20"/>
          <w:szCs w:val="20"/>
          <w:lang w:val="en-US"/>
        </w:rPr>
        <w:t>30</w:t>
      </w:r>
      <w:r>
        <w:rPr>
          <w:rFonts w:ascii="Cambria" w:hAnsi="Cambria"/>
          <w:sz w:val="20"/>
          <w:szCs w:val="20"/>
          <w:lang w:val="en-US"/>
        </w:rPr>
        <w:t>,</w:t>
      </w:r>
      <w:r w:rsidR="00F474A4" w:rsidRPr="00A83E9D">
        <w:rPr>
          <w:rFonts w:ascii="Cambria" w:hAnsi="Cambria"/>
          <w:sz w:val="20"/>
          <w:szCs w:val="20"/>
          <w:lang w:val="en-US"/>
        </w:rPr>
        <w:t xml:space="preserve"> </w:t>
      </w:r>
      <w:r>
        <w:rPr>
          <w:rFonts w:ascii="Cambria" w:hAnsi="Cambria"/>
          <w:sz w:val="20"/>
          <w:szCs w:val="20"/>
          <w:lang w:val="en-US"/>
        </w:rPr>
        <w:t xml:space="preserve">1999, and March </w:t>
      </w:r>
      <w:r w:rsidR="00F474A4" w:rsidRPr="00A83E9D">
        <w:rPr>
          <w:rFonts w:ascii="Cambria" w:hAnsi="Cambria"/>
          <w:sz w:val="20"/>
          <w:szCs w:val="20"/>
          <w:lang w:val="en-US"/>
        </w:rPr>
        <w:t>31</w:t>
      </w:r>
      <w:r>
        <w:rPr>
          <w:rFonts w:ascii="Cambria" w:hAnsi="Cambria"/>
          <w:sz w:val="20"/>
          <w:szCs w:val="20"/>
          <w:lang w:val="en-US"/>
        </w:rPr>
        <w:t>,</w:t>
      </w:r>
      <w:r w:rsidR="00F474A4" w:rsidRPr="00A83E9D">
        <w:rPr>
          <w:rFonts w:ascii="Cambria" w:hAnsi="Cambria"/>
          <w:sz w:val="20"/>
          <w:szCs w:val="20"/>
          <w:lang w:val="en-US"/>
        </w:rPr>
        <w:t xml:space="preserve"> 2003</w:t>
      </w:r>
      <w:r>
        <w:rPr>
          <w:rFonts w:ascii="Cambria" w:hAnsi="Cambria"/>
          <w:sz w:val="20"/>
          <w:szCs w:val="20"/>
          <w:lang w:val="en-US"/>
        </w:rPr>
        <w:t xml:space="preserve">, the Inter-American Commission on Human Rights </w:t>
      </w:r>
      <w:r w:rsidR="00F474A4" w:rsidRPr="00A83E9D">
        <w:rPr>
          <w:rFonts w:ascii="Cambria" w:hAnsi="Cambria"/>
          <w:sz w:val="20"/>
          <w:szCs w:val="20"/>
          <w:lang w:val="en-US"/>
        </w:rPr>
        <w:t>(</w:t>
      </w:r>
      <w:r>
        <w:rPr>
          <w:rFonts w:ascii="Cambria" w:hAnsi="Cambria"/>
          <w:sz w:val="20"/>
          <w:szCs w:val="20"/>
          <w:lang w:val="en-US"/>
        </w:rPr>
        <w:t xml:space="preserve">hereinafter </w:t>
      </w:r>
      <w:r w:rsidR="00F474A4" w:rsidRPr="00A83E9D">
        <w:rPr>
          <w:rFonts w:ascii="Cambria" w:hAnsi="Cambria"/>
          <w:sz w:val="20"/>
          <w:szCs w:val="20"/>
          <w:lang w:val="en-US"/>
        </w:rPr>
        <w:t>“</w:t>
      </w:r>
      <w:r>
        <w:rPr>
          <w:rFonts w:ascii="Cambria" w:hAnsi="Cambria"/>
          <w:sz w:val="20"/>
          <w:szCs w:val="20"/>
          <w:lang w:val="en-US"/>
        </w:rPr>
        <w:t xml:space="preserve">the Commission,” </w:t>
      </w:r>
      <w:r w:rsidR="00F474A4" w:rsidRPr="00A83E9D">
        <w:rPr>
          <w:rFonts w:ascii="Cambria" w:hAnsi="Cambria"/>
          <w:sz w:val="20"/>
          <w:szCs w:val="20"/>
          <w:lang w:val="en-US"/>
        </w:rPr>
        <w:t>“</w:t>
      </w:r>
      <w:r>
        <w:rPr>
          <w:rFonts w:ascii="Cambria" w:hAnsi="Cambria"/>
          <w:sz w:val="20"/>
          <w:szCs w:val="20"/>
          <w:lang w:val="en-US"/>
        </w:rPr>
        <w:t>the Inter-American Commission,” or “the IACHR”</w:t>
      </w:r>
      <w:r w:rsidR="00F474A4" w:rsidRPr="00A83E9D">
        <w:rPr>
          <w:rFonts w:ascii="Cambria" w:hAnsi="Cambria"/>
          <w:sz w:val="20"/>
          <w:szCs w:val="20"/>
          <w:lang w:val="en-US"/>
        </w:rPr>
        <w:t xml:space="preserve">) </w:t>
      </w:r>
      <w:r w:rsidR="003E5216">
        <w:rPr>
          <w:rFonts w:ascii="Cambria" w:hAnsi="Cambria"/>
          <w:sz w:val="20"/>
          <w:szCs w:val="20"/>
          <w:lang w:val="en-US"/>
        </w:rPr>
        <w:t xml:space="preserve">received two petitions that alleged the international responsibility of the Argentine Republic </w:t>
      </w:r>
      <w:r w:rsidR="00F474A4" w:rsidRPr="00A83E9D">
        <w:rPr>
          <w:rFonts w:ascii="Cambria" w:hAnsi="Cambria"/>
          <w:sz w:val="20"/>
          <w:szCs w:val="20"/>
          <w:lang w:val="en-US"/>
        </w:rPr>
        <w:t>(</w:t>
      </w:r>
      <w:r w:rsidR="003E5216">
        <w:rPr>
          <w:rFonts w:ascii="Cambria" w:hAnsi="Cambria"/>
          <w:sz w:val="20"/>
          <w:szCs w:val="20"/>
          <w:lang w:val="en-US"/>
        </w:rPr>
        <w:t xml:space="preserve">hereinafter </w:t>
      </w:r>
      <w:r w:rsidR="00F474A4" w:rsidRPr="00A83E9D">
        <w:rPr>
          <w:rFonts w:ascii="Cambria" w:hAnsi="Cambria"/>
          <w:sz w:val="20"/>
          <w:szCs w:val="20"/>
          <w:lang w:val="en-US"/>
        </w:rPr>
        <w:t>“</w:t>
      </w:r>
      <w:r w:rsidR="003E5216">
        <w:rPr>
          <w:rFonts w:ascii="Cambria" w:hAnsi="Cambria"/>
          <w:sz w:val="20"/>
          <w:szCs w:val="20"/>
          <w:lang w:val="en-US"/>
        </w:rPr>
        <w:t xml:space="preserve">the State,” “the Argentine State,” or </w:t>
      </w:r>
      <w:r w:rsidR="00F474A4" w:rsidRPr="00A83E9D">
        <w:rPr>
          <w:rFonts w:ascii="Cambria" w:hAnsi="Cambria"/>
          <w:sz w:val="20"/>
          <w:szCs w:val="20"/>
          <w:lang w:val="en-US"/>
        </w:rPr>
        <w:t xml:space="preserve">“Argentina”) </w:t>
      </w:r>
      <w:r w:rsidR="00A67F36">
        <w:rPr>
          <w:rFonts w:ascii="Cambria" w:hAnsi="Cambria"/>
          <w:sz w:val="20"/>
          <w:szCs w:val="20"/>
          <w:lang w:val="en-US"/>
        </w:rPr>
        <w:t xml:space="preserve">for the alleged illegal and arbitrary </w:t>
      </w:r>
      <w:r w:rsidR="00E63767">
        <w:rPr>
          <w:rFonts w:ascii="Cambria" w:hAnsi="Cambria"/>
          <w:sz w:val="20"/>
          <w:szCs w:val="20"/>
          <w:lang w:val="en-US"/>
        </w:rPr>
        <w:t xml:space="preserve">arrests </w:t>
      </w:r>
      <w:r w:rsidR="00A67F36">
        <w:rPr>
          <w:rFonts w:ascii="Cambria" w:hAnsi="Cambria"/>
          <w:sz w:val="20"/>
          <w:szCs w:val="20"/>
          <w:lang w:val="en-US"/>
        </w:rPr>
        <w:t xml:space="preserve">to the detriment of </w:t>
      </w:r>
      <w:r w:rsidR="00F474A4" w:rsidRPr="00A83E9D">
        <w:rPr>
          <w:rFonts w:ascii="Cambria" w:hAnsi="Cambria"/>
          <w:sz w:val="20"/>
          <w:lang w:val="en-US"/>
        </w:rPr>
        <w:t xml:space="preserve">Carlos Alberto </w:t>
      </w:r>
      <w:proofErr w:type="spellStart"/>
      <w:r w:rsidR="00F474A4" w:rsidRPr="00A83E9D">
        <w:rPr>
          <w:rFonts w:ascii="Cambria" w:hAnsi="Cambria"/>
          <w:sz w:val="20"/>
          <w:lang w:val="en-US"/>
        </w:rPr>
        <w:t>Fernández</w:t>
      </w:r>
      <w:proofErr w:type="spellEnd"/>
      <w:r w:rsidR="00F474A4" w:rsidRPr="00A83E9D">
        <w:rPr>
          <w:rFonts w:ascii="Cambria" w:hAnsi="Cambria"/>
          <w:sz w:val="20"/>
          <w:lang w:val="en-US"/>
        </w:rPr>
        <w:t xml:space="preserve"> Prieto </w:t>
      </w:r>
      <w:r w:rsidR="00A67F36">
        <w:rPr>
          <w:rFonts w:ascii="Cambria" w:hAnsi="Cambria"/>
          <w:sz w:val="20"/>
          <w:lang w:val="en-US"/>
        </w:rPr>
        <w:t xml:space="preserve">and </w:t>
      </w:r>
      <w:r w:rsidR="00F474A4" w:rsidRPr="00A83E9D">
        <w:rPr>
          <w:rFonts w:ascii="Cambria" w:hAnsi="Cambria"/>
          <w:sz w:val="20"/>
          <w:lang w:val="en-US"/>
        </w:rPr>
        <w:t xml:space="preserve">Carlos Alejandro </w:t>
      </w:r>
      <w:proofErr w:type="spellStart"/>
      <w:r w:rsidR="00F474A4" w:rsidRPr="00A83E9D">
        <w:rPr>
          <w:rFonts w:ascii="Cambria" w:hAnsi="Cambria"/>
          <w:sz w:val="20"/>
          <w:lang w:val="en-US"/>
        </w:rPr>
        <w:t>Tumbeiro</w:t>
      </w:r>
      <w:proofErr w:type="spellEnd"/>
      <w:r w:rsidR="00F474A4" w:rsidRPr="00A83E9D">
        <w:rPr>
          <w:rFonts w:ascii="Cambria" w:hAnsi="Cambria"/>
          <w:sz w:val="20"/>
          <w:lang w:val="en-US"/>
        </w:rPr>
        <w:t xml:space="preserve"> </w:t>
      </w:r>
      <w:r w:rsidR="00A67F36">
        <w:rPr>
          <w:rFonts w:ascii="Cambria" w:hAnsi="Cambria"/>
          <w:sz w:val="20"/>
          <w:lang w:val="en-US"/>
        </w:rPr>
        <w:t xml:space="preserve">in May </w:t>
      </w:r>
      <w:r w:rsidR="00F474A4" w:rsidRPr="00A83E9D">
        <w:rPr>
          <w:rFonts w:ascii="Cambria" w:hAnsi="Cambria"/>
          <w:sz w:val="20"/>
          <w:lang w:val="en-US"/>
        </w:rPr>
        <w:t xml:space="preserve">1992 </w:t>
      </w:r>
      <w:r w:rsidR="00A67F36">
        <w:rPr>
          <w:rFonts w:ascii="Cambria" w:hAnsi="Cambria"/>
          <w:sz w:val="20"/>
          <w:lang w:val="en-US"/>
        </w:rPr>
        <w:t>and January 1998, respectively</w:t>
      </w:r>
      <w:r w:rsidR="00F474A4" w:rsidRPr="00A83E9D">
        <w:rPr>
          <w:rFonts w:ascii="Cambria" w:hAnsi="Cambria"/>
          <w:sz w:val="20"/>
          <w:lang w:val="en-US"/>
        </w:rPr>
        <w:t xml:space="preserve">, </w:t>
      </w:r>
      <w:r w:rsidR="00A67F36">
        <w:rPr>
          <w:rFonts w:ascii="Cambria" w:hAnsi="Cambria"/>
          <w:sz w:val="20"/>
          <w:lang w:val="en-US"/>
        </w:rPr>
        <w:t>by agents of the Buenos Aires Police</w:t>
      </w:r>
      <w:r w:rsidR="00F474A4" w:rsidRPr="00A83E9D">
        <w:rPr>
          <w:rFonts w:ascii="Cambria" w:hAnsi="Cambria"/>
          <w:sz w:val="20"/>
          <w:szCs w:val="20"/>
          <w:lang w:val="en-US"/>
        </w:rPr>
        <w:t xml:space="preserve">. </w:t>
      </w:r>
      <w:r w:rsidR="00562922">
        <w:rPr>
          <w:rFonts w:ascii="Cambria" w:hAnsi="Cambria"/>
          <w:sz w:val="20"/>
          <w:szCs w:val="20"/>
          <w:lang w:val="en-US"/>
        </w:rPr>
        <w:t>The Office o</w:t>
      </w:r>
      <w:r w:rsidR="00E63767">
        <w:rPr>
          <w:rFonts w:ascii="Cambria" w:hAnsi="Cambria"/>
          <w:sz w:val="20"/>
          <w:szCs w:val="20"/>
          <w:lang w:val="en-US"/>
        </w:rPr>
        <w:t>f Public Defense of the Nation</w:t>
      </w:r>
      <w:r w:rsidR="00562922">
        <w:rPr>
          <w:rFonts w:ascii="Cambria" w:hAnsi="Cambria"/>
          <w:sz w:val="20"/>
          <w:szCs w:val="20"/>
          <w:lang w:val="en-US"/>
        </w:rPr>
        <w:t xml:space="preserve"> (</w:t>
      </w:r>
      <w:proofErr w:type="spellStart"/>
      <w:r w:rsidR="00F474A4" w:rsidRPr="00A83E9D">
        <w:rPr>
          <w:rFonts w:ascii="Cambria" w:hAnsi="Cambria"/>
          <w:sz w:val="20"/>
          <w:szCs w:val="20"/>
          <w:lang w:val="en-US"/>
        </w:rPr>
        <w:t>Defensoría</w:t>
      </w:r>
      <w:proofErr w:type="spellEnd"/>
      <w:r w:rsidR="00F474A4" w:rsidRPr="00A83E9D">
        <w:rPr>
          <w:rFonts w:ascii="Cambria" w:hAnsi="Cambria"/>
          <w:sz w:val="20"/>
          <w:szCs w:val="20"/>
          <w:lang w:val="en-US"/>
        </w:rPr>
        <w:t xml:space="preserve"> General de la </w:t>
      </w:r>
      <w:proofErr w:type="spellStart"/>
      <w:r w:rsidR="00F474A4" w:rsidRPr="00A83E9D">
        <w:rPr>
          <w:rFonts w:ascii="Cambria" w:hAnsi="Cambria"/>
          <w:sz w:val="20"/>
          <w:szCs w:val="20"/>
          <w:lang w:val="en-US"/>
        </w:rPr>
        <w:t>Nación</w:t>
      </w:r>
      <w:proofErr w:type="spellEnd"/>
      <w:r w:rsidR="00562922">
        <w:rPr>
          <w:rFonts w:ascii="Cambria" w:hAnsi="Cambria"/>
          <w:sz w:val="20"/>
          <w:szCs w:val="20"/>
          <w:lang w:val="en-US"/>
        </w:rPr>
        <w:t>)</w:t>
      </w:r>
      <w:r w:rsidR="00F474A4" w:rsidRPr="00A83E9D">
        <w:rPr>
          <w:rFonts w:ascii="Cambria" w:hAnsi="Cambria"/>
          <w:sz w:val="20"/>
          <w:szCs w:val="20"/>
          <w:lang w:val="en-US"/>
        </w:rPr>
        <w:t xml:space="preserve">, </w:t>
      </w:r>
      <w:r w:rsidR="00562922">
        <w:rPr>
          <w:rFonts w:ascii="Cambria" w:hAnsi="Cambria"/>
          <w:sz w:val="20"/>
          <w:szCs w:val="20"/>
          <w:lang w:val="en-US"/>
        </w:rPr>
        <w:t xml:space="preserve">as the petitioner, indicated that the </w:t>
      </w:r>
      <w:r w:rsidR="00E63767">
        <w:rPr>
          <w:rFonts w:ascii="Cambria" w:hAnsi="Cambria"/>
          <w:sz w:val="20"/>
          <w:szCs w:val="20"/>
          <w:lang w:val="en-US"/>
        </w:rPr>
        <w:t xml:space="preserve">arrests were not authorized by </w:t>
      </w:r>
      <w:r w:rsidR="00562922">
        <w:rPr>
          <w:rFonts w:ascii="Cambria" w:hAnsi="Cambria"/>
          <w:sz w:val="20"/>
          <w:szCs w:val="20"/>
          <w:lang w:val="en-US"/>
        </w:rPr>
        <w:t>an arrest warrant nor were they carried out in a situation of flagrancy, but were based exclusively on purported suspicious attitudes on the part of the alleged victims.</w:t>
      </w:r>
      <w:r w:rsidR="00F474A4" w:rsidRPr="00A83E9D">
        <w:rPr>
          <w:rFonts w:ascii="Cambria" w:hAnsi="Cambria"/>
          <w:sz w:val="20"/>
          <w:szCs w:val="20"/>
          <w:lang w:val="en-US"/>
        </w:rPr>
        <w:t xml:space="preserve"> </w:t>
      </w:r>
    </w:p>
    <w:p w14:paraId="3D210D3A" w14:textId="77777777" w:rsidR="00F474A4" w:rsidRPr="00A83E9D" w:rsidRDefault="00F474A4" w:rsidP="00F474A4">
      <w:pPr>
        <w:tabs>
          <w:tab w:val="num" w:pos="1440"/>
        </w:tabs>
        <w:suppressAutoHyphens/>
        <w:jc w:val="both"/>
        <w:rPr>
          <w:rFonts w:ascii="Cambria" w:hAnsi="Cambria"/>
          <w:sz w:val="20"/>
          <w:szCs w:val="20"/>
        </w:rPr>
      </w:pPr>
    </w:p>
    <w:p w14:paraId="380543AF" w14:textId="77777777" w:rsidR="00F474A4" w:rsidRPr="00A83E9D" w:rsidRDefault="00562922"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State argued that it is not internationally responsible insofar as the arrests were legal and in keeping with the American Convention on Human Rights </w:t>
      </w:r>
      <w:r w:rsidR="00F474A4" w:rsidRPr="00A83E9D">
        <w:rPr>
          <w:rFonts w:ascii="Cambria" w:hAnsi="Cambria"/>
          <w:sz w:val="20"/>
          <w:szCs w:val="20"/>
          <w:lang w:val="en-US"/>
        </w:rPr>
        <w:t>(</w:t>
      </w:r>
      <w:r>
        <w:rPr>
          <w:rFonts w:ascii="Cambria" w:hAnsi="Cambria"/>
          <w:sz w:val="20"/>
          <w:szCs w:val="20"/>
          <w:lang w:val="en-US"/>
        </w:rPr>
        <w:t xml:space="preserve">hereinafter “the American Convention” or “the Convention”). </w:t>
      </w:r>
      <w:r w:rsidR="009B0E86">
        <w:rPr>
          <w:rFonts w:ascii="Cambria" w:hAnsi="Cambria"/>
          <w:sz w:val="20"/>
          <w:szCs w:val="20"/>
          <w:lang w:val="en-US"/>
        </w:rPr>
        <w:t xml:space="preserve">The State held that the decision of the police agents to intercept the vehicles in which Messrs. </w:t>
      </w:r>
      <w:proofErr w:type="spellStart"/>
      <w:r w:rsidR="00F474A4" w:rsidRPr="00A83E9D">
        <w:rPr>
          <w:rFonts w:ascii="Cambria" w:hAnsi="Cambria"/>
          <w:sz w:val="20"/>
          <w:szCs w:val="20"/>
          <w:lang w:val="en-US"/>
        </w:rPr>
        <w:t>Fernández</w:t>
      </w:r>
      <w:proofErr w:type="spellEnd"/>
      <w:r w:rsidR="00F474A4" w:rsidRPr="00A83E9D">
        <w:rPr>
          <w:rFonts w:ascii="Cambria" w:hAnsi="Cambria"/>
          <w:sz w:val="20"/>
          <w:szCs w:val="20"/>
          <w:lang w:val="en-US"/>
        </w:rPr>
        <w:t xml:space="preserve"> </w:t>
      </w:r>
      <w:r w:rsidR="009B0E86">
        <w:rPr>
          <w:rFonts w:ascii="Cambria" w:hAnsi="Cambria"/>
          <w:sz w:val="20"/>
          <w:szCs w:val="20"/>
          <w:lang w:val="en-US"/>
        </w:rPr>
        <w:t xml:space="preserve">and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9B0E86">
        <w:rPr>
          <w:rFonts w:ascii="Cambria" w:hAnsi="Cambria"/>
          <w:sz w:val="20"/>
          <w:szCs w:val="20"/>
          <w:lang w:val="en-US"/>
        </w:rPr>
        <w:t xml:space="preserve">were riding was due to their “suspicious attitude.” </w:t>
      </w:r>
      <w:r w:rsidR="00EF1C3A">
        <w:rPr>
          <w:rFonts w:ascii="Cambria" w:hAnsi="Cambria"/>
          <w:sz w:val="20"/>
          <w:szCs w:val="20"/>
          <w:lang w:val="en-US"/>
        </w:rPr>
        <w:t xml:space="preserve">It indicated that the arrest and subsequent </w:t>
      </w:r>
      <w:r w:rsidR="00583A16">
        <w:rPr>
          <w:rFonts w:ascii="Cambria" w:hAnsi="Cambria"/>
          <w:sz w:val="20"/>
          <w:szCs w:val="20"/>
          <w:lang w:val="en-US"/>
        </w:rPr>
        <w:t xml:space="preserve">institution of criminal proceedings against the alleged victims </w:t>
      </w:r>
      <w:r w:rsidR="00E63767">
        <w:rPr>
          <w:rFonts w:ascii="Cambria" w:hAnsi="Cambria"/>
          <w:sz w:val="20"/>
          <w:szCs w:val="20"/>
          <w:lang w:val="en-US"/>
        </w:rPr>
        <w:t xml:space="preserve">were </w:t>
      </w:r>
      <w:r w:rsidR="00583A16">
        <w:rPr>
          <w:rFonts w:ascii="Cambria" w:hAnsi="Cambria"/>
          <w:sz w:val="20"/>
          <w:szCs w:val="20"/>
          <w:lang w:val="en-US"/>
        </w:rPr>
        <w:t>due to the seizure of drugs and weapons in their vehicles</w:t>
      </w:r>
      <w:r w:rsidR="00F474A4" w:rsidRPr="00A83E9D">
        <w:rPr>
          <w:rFonts w:ascii="Cambria" w:hAnsi="Cambria"/>
          <w:sz w:val="20"/>
          <w:szCs w:val="20"/>
          <w:lang w:val="en-US"/>
        </w:rPr>
        <w:t xml:space="preserve">. </w:t>
      </w:r>
      <w:r w:rsidR="00583A16">
        <w:rPr>
          <w:rFonts w:ascii="Cambria" w:hAnsi="Cambria"/>
          <w:sz w:val="20"/>
          <w:szCs w:val="20"/>
          <w:lang w:val="en-US"/>
        </w:rPr>
        <w:t>It added that the crimina</w:t>
      </w:r>
      <w:r w:rsidR="00E63767">
        <w:rPr>
          <w:rFonts w:ascii="Cambria" w:hAnsi="Cambria"/>
          <w:sz w:val="20"/>
          <w:szCs w:val="20"/>
          <w:lang w:val="en-US"/>
        </w:rPr>
        <w:t>l proceedings</w:t>
      </w:r>
      <w:r w:rsidR="00583A16">
        <w:rPr>
          <w:rFonts w:ascii="Cambria" w:hAnsi="Cambria"/>
          <w:sz w:val="20"/>
          <w:szCs w:val="20"/>
          <w:lang w:val="en-US"/>
        </w:rPr>
        <w:t xml:space="preserve"> and consequent convictions were accompanied by respect for due process guarantees. </w:t>
      </w:r>
    </w:p>
    <w:p w14:paraId="3D0273B4" w14:textId="77777777" w:rsidR="00F474A4" w:rsidRPr="00A83E9D" w:rsidRDefault="00F474A4" w:rsidP="00F474A4">
      <w:pPr>
        <w:tabs>
          <w:tab w:val="num" w:pos="1440"/>
        </w:tabs>
        <w:ind w:firstLine="567"/>
        <w:jc w:val="both"/>
        <w:rPr>
          <w:rFonts w:ascii="Cambria" w:hAnsi="Cambria"/>
          <w:sz w:val="20"/>
          <w:szCs w:val="20"/>
        </w:rPr>
      </w:pPr>
    </w:p>
    <w:p w14:paraId="221DA625" w14:textId="16683145" w:rsidR="00F474A4" w:rsidRPr="00A83E9D" w:rsidRDefault="00583A1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After analyzing the information available, the Commission concluded that the Argentine State is responsi</w:t>
      </w:r>
      <w:r w:rsidR="00F474A4" w:rsidRPr="00A83E9D">
        <w:rPr>
          <w:rFonts w:ascii="Cambria" w:hAnsi="Cambria"/>
          <w:sz w:val="20"/>
          <w:szCs w:val="20"/>
          <w:lang w:val="en-US"/>
        </w:rPr>
        <w:t xml:space="preserve">ble </w:t>
      </w:r>
      <w:r>
        <w:rPr>
          <w:rFonts w:ascii="Cambria" w:hAnsi="Cambria"/>
          <w:sz w:val="20"/>
          <w:szCs w:val="20"/>
          <w:lang w:val="en-US"/>
        </w:rPr>
        <w:t>for violating the rights to personal liberty, judicial guarantees, and judicial protection, established at Articles 7(</w:t>
      </w:r>
      <w:r w:rsidR="00F474A4" w:rsidRPr="00A83E9D">
        <w:rPr>
          <w:rFonts w:ascii="Cambria" w:hAnsi="Cambria"/>
          <w:sz w:val="20"/>
          <w:szCs w:val="20"/>
          <w:lang w:val="en-US"/>
        </w:rPr>
        <w:t>1</w:t>
      </w:r>
      <w:r>
        <w:rPr>
          <w:rFonts w:ascii="Cambria" w:hAnsi="Cambria"/>
          <w:sz w:val="20"/>
          <w:szCs w:val="20"/>
          <w:lang w:val="en-US"/>
        </w:rPr>
        <w:t>), 7(</w:t>
      </w:r>
      <w:r w:rsidR="00F474A4" w:rsidRPr="00A83E9D">
        <w:rPr>
          <w:rFonts w:ascii="Cambria" w:hAnsi="Cambria"/>
          <w:sz w:val="20"/>
          <w:szCs w:val="20"/>
          <w:lang w:val="en-US"/>
        </w:rPr>
        <w:t>2</w:t>
      </w:r>
      <w:r>
        <w:rPr>
          <w:rFonts w:ascii="Cambria" w:hAnsi="Cambria"/>
          <w:sz w:val="20"/>
          <w:szCs w:val="20"/>
          <w:lang w:val="en-US"/>
        </w:rPr>
        <w:t>), 7(</w:t>
      </w:r>
      <w:r w:rsidR="00F474A4" w:rsidRPr="00A83E9D">
        <w:rPr>
          <w:rFonts w:ascii="Cambria" w:hAnsi="Cambria"/>
          <w:sz w:val="20"/>
          <w:szCs w:val="20"/>
          <w:lang w:val="en-US"/>
        </w:rPr>
        <w:t>3</w:t>
      </w:r>
      <w:r>
        <w:rPr>
          <w:rFonts w:ascii="Cambria" w:hAnsi="Cambria"/>
          <w:sz w:val="20"/>
          <w:szCs w:val="20"/>
          <w:lang w:val="en-US"/>
        </w:rPr>
        <w:t xml:space="preserve">), </w:t>
      </w:r>
      <w:r w:rsidR="002F53D0">
        <w:rPr>
          <w:rFonts w:ascii="Cambria" w:hAnsi="Cambria"/>
          <w:sz w:val="20"/>
          <w:szCs w:val="20"/>
          <w:lang w:val="en-US"/>
        </w:rPr>
        <w:t>7(5),</w:t>
      </w:r>
      <w:r w:rsidR="007A1F0A">
        <w:rPr>
          <w:rFonts w:ascii="Cambria" w:hAnsi="Cambria"/>
          <w:sz w:val="20"/>
          <w:szCs w:val="20"/>
          <w:lang w:val="en-US"/>
        </w:rPr>
        <w:t xml:space="preserve"> 8(1),</w:t>
      </w:r>
      <w:r w:rsidR="00BD79C3">
        <w:rPr>
          <w:rFonts w:ascii="Cambria" w:hAnsi="Cambria"/>
          <w:sz w:val="20"/>
          <w:szCs w:val="20"/>
          <w:lang w:val="en-US"/>
        </w:rPr>
        <w:t xml:space="preserve"> 11(2)</w:t>
      </w:r>
      <w:r w:rsidR="002F53D0">
        <w:rPr>
          <w:rFonts w:ascii="Cambria" w:hAnsi="Cambria"/>
          <w:sz w:val="20"/>
          <w:szCs w:val="20"/>
          <w:lang w:val="en-US"/>
        </w:rPr>
        <w:t xml:space="preserve"> </w:t>
      </w:r>
      <w:r>
        <w:rPr>
          <w:rFonts w:ascii="Cambria" w:hAnsi="Cambria"/>
          <w:sz w:val="20"/>
          <w:szCs w:val="20"/>
          <w:lang w:val="en-US"/>
        </w:rPr>
        <w:t>and 25(</w:t>
      </w:r>
      <w:r w:rsidR="00F474A4" w:rsidRPr="00A83E9D">
        <w:rPr>
          <w:rFonts w:ascii="Cambria" w:hAnsi="Cambria"/>
          <w:sz w:val="20"/>
          <w:szCs w:val="20"/>
          <w:lang w:val="en-US"/>
        </w:rPr>
        <w:t>1</w:t>
      </w:r>
      <w:r>
        <w:rPr>
          <w:rFonts w:ascii="Cambria" w:hAnsi="Cambria"/>
          <w:sz w:val="20"/>
          <w:szCs w:val="20"/>
          <w:lang w:val="en-US"/>
        </w:rPr>
        <w:t>) of the American Convention, in relation to the obligations established at Articles 1(</w:t>
      </w:r>
      <w:r w:rsidR="00F474A4" w:rsidRPr="00A83E9D">
        <w:rPr>
          <w:rFonts w:ascii="Cambria" w:hAnsi="Cambria"/>
          <w:sz w:val="20"/>
          <w:szCs w:val="20"/>
          <w:lang w:val="en-US"/>
        </w:rPr>
        <w:t>1</w:t>
      </w:r>
      <w:r>
        <w:rPr>
          <w:rFonts w:ascii="Cambria" w:hAnsi="Cambria"/>
          <w:sz w:val="20"/>
          <w:szCs w:val="20"/>
          <w:lang w:val="en-US"/>
        </w:rPr>
        <w:t>)</w:t>
      </w:r>
      <w:r w:rsidR="00F474A4" w:rsidRPr="00A83E9D">
        <w:rPr>
          <w:rFonts w:ascii="Cambria" w:hAnsi="Cambria"/>
          <w:sz w:val="20"/>
          <w:szCs w:val="20"/>
          <w:lang w:val="en-US"/>
        </w:rPr>
        <w:t xml:space="preserve"> </w:t>
      </w:r>
      <w:r>
        <w:rPr>
          <w:rFonts w:ascii="Cambria" w:hAnsi="Cambria"/>
          <w:sz w:val="20"/>
          <w:szCs w:val="20"/>
          <w:lang w:val="en-US"/>
        </w:rPr>
        <w:t xml:space="preserve">and </w:t>
      </w:r>
      <w:r w:rsidR="00F474A4" w:rsidRPr="00A83E9D">
        <w:rPr>
          <w:rFonts w:ascii="Cambria" w:hAnsi="Cambria"/>
          <w:sz w:val="20"/>
          <w:szCs w:val="20"/>
          <w:lang w:val="en-US"/>
        </w:rPr>
        <w:t xml:space="preserve">2 </w:t>
      </w:r>
      <w:r>
        <w:rPr>
          <w:rFonts w:ascii="Cambria" w:hAnsi="Cambria"/>
          <w:sz w:val="20"/>
          <w:szCs w:val="20"/>
          <w:lang w:val="en-US"/>
        </w:rPr>
        <w:t xml:space="preserve">of the same instrument to the detriment of </w:t>
      </w:r>
      <w:r w:rsidR="00F474A4" w:rsidRPr="00A83E9D">
        <w:rPr>
          <w:rFonts w:ascii="Cambria" w:hAnsi="Cambria"/>
          <w:sz w:val="20"/>
          <w:lang w:val="en-US"/>
        </w:rPr>
        <w:t>Ca</w:t>
      </w:r>
      <w:r>
        <w:rPr>
          <w:rFonts w:ascii="Cambria" w:hAnsi="Cambria"/>
          <w:sz w:val="20"/>
          <w:lang w:val="en-US"/>
        </w:rPr>
        <w:t xml:space="preserve">rlos Alberto </w:t>
      </w:r>
      <w:proofErr w:type="spellStart"/>
      <w:r>
        <w:rPr>
          <w:rFonts w:ascii="Cambria" w:hAnsi="Cambria"/>
          <w:sz w:val="20"/>
          <w:lang w:val="en-US"/>
        </w:rPr>
        <w:t>Fernández</w:t>
      </w:r>
      <w:proofErr w:type="spellEnd"/>
      <w:r>
        <w:rPr>
          <w:rFonts w:ascii="Cambria" w:hAnsi="Cambria"/>
          <w:sz w:val="20"/>
          <w:lang w:val="en-US"/>
        </w:rPr>
        <w:t xml:space="preserve"> Prieto and </w:t>
      </w:r>
      <w:r w:rsidR="00F474A4" w:rsidRPr="00A83E9D">
        <w:rPr>
          <w:rFonts w:ascii="Cambria" w:hAnsi="Cambria"/>
          <w:sz w:val="20"/>
          <w:lang w:val="en-US"/>
        </w:rPr>
        <w:t xml:space="preserve">Carlos Alejandro </w:t>
      </w:r>
      <w:proofErr w:type="spellStart"/>
      <w:r w:rsidR="00F474A4" w:rsidRPr="00A83E9D">
        <w:rPr>
          <w:rFonts w:ascii="Cambria" w:hAnsi="Cambria"/>
          <w:sz w:val="20"/>
          <w:lang w:val="en-US"/>
        </w:rPr>
        <w:t>Tumbeiro</w:t>
      </w:r>
      <w:proofErr w:type="spellEnd"/>
      <w:r w:rsidR="00F474A4" w:rsidRPr="00A83E9D">
        <w:rPr>
          <w:rFonts w:ascii="Cambria" w:hAnsi="Cambria"/>
          <w:sz w:val="20"/>
          <w:szCs w:val="20"/>
          <w:lang w:val="en-US"/>
        </w:rPr>
        <w:t xml:space="preserve">.  </w:t>
      </w:r>
    </w:p>
    <w:p w14:paraId="667BA68A" w14:textId="77777777" w:rsidR="00F474A4" w:rsidRPr="00A83E9D" w:rsidRDefault="00F474A4" w:rsidP="00F474A4">
      <w:pPr>
        <w:ind w:firstLine="567"/>
        <w:jc w:val="both"/>
        <w:rPr>
          <w:rFonts w:ascii="Cambria" w:hAnsi="Cambria"/>
          <w:sz w:val="20"/>
          <w:szCs w:val="20"/>
        </w:rPr>
      </w:pPr>
    </w:p>
    <w:p w14:paraId="30B0F8D1" w14:textId="77777777" w:rsidR="00F474A4" w:rsidRPr="00A83E9D" w:rsidRDefault="00583A16" w:rsidP="00F474A4">
      <w:pPr>
        <w:pStyle w:val="Heading1"/>
      </w:pPr>
      <w:bookmarkStart w:id="5" w:name="_Toc430268167"/>
      <w:bookmarkStart w:id="6" w:name="_Toc446591741"/>
      <w:bookmarkStart w:id="7" w:name="_Toc480636762"/>
      <w:bookmarkStart w:id="8" w:name="_Toc495868427"/>
      <w:bookmarkStart w:id="9" w:name="_Toc497896914"/>
      <w:r>
        <w:t>PROCESSING BEFORE THE COMMISSION</w:t>
      </w:r>
      <w:bookmarkEnd w:id="9"/>
      <w:r>
        <w:t xml:space="preserve"> </w:t>
      </w:r>
      <w:bookmarkEnd w:id="5"/>
      <w:bookmarkEnd w:id="6"/>
      <w:bookmarkEnd w:id="7"/>
      <w:bookmarkEnd w:id="8"/>
    </w:p>
    <w:p w14:paraId="104626FF"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lang w:val="en-US"/>
        </w:rPr>
      </w:pPr>
    </w:p>
    <w:p w14:paraId="6E52B989" w14:textId="74083B5E" w:rsidR="00F474A4" w:rsidRPr="00A83E9D" w:rsidRDefault="00727FB4"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C61771">
        <w:rPr>
          <w:rFonts w:ascii="Cambria" w:hAnsi="Cambria"/>
          <w:sz w:val="20"/>
          <w:szCs w:val="20"/>
          <w:lang w:val="en-US"/>
        </w:rPr>
        <w:t>The processing of the two petitions</w:t>
      </w:r>
      <w:r w:rsidR="006D6049" w:rsidRPr="00C61771">
        <w:rPr>
          <w:rFonts w:ascii="Cambria" w:hAnsi="Cambria"/>
          <w:sz w:val="20"/>
          <w:szCs w:val="20"/>
          <w:lang w:val="en-US"/>
        </w:rPr>
        <w:t xml:space="preserve"> </w:t>
      </w:r>
      <w:r w:rsidR="006D6049" w:rsidRPr="00581210">
        <w:rPr>
          <w:rFonts w:ascii="Cambria" w:hAnsi="Cambria"/>
          <w:sz w:val="20"/>
          <w:szCs w:val="20"/>
          <w:lang w:val="en-US"/>
        </w:rPr>
        <w:t>– which were joined given the similarity of the facts –</w:t>
      </w:r>
      <w:r>
        <w:rPr>
          <w:rFonts w:ascii="Cambria" w:hAnsi="Cambria"/>
          <w:sz w:val="20"/>
          <w:szCs w:val="20"/>
          <w:lang w:val="en-US"/>
        </w:rPr>
        <w:t xml:space="preserve"> up to the issuance of the admissibility report is described in Report </w:t>
      </w:r>
      <w:r w:rsidR="00F474A4" w:rsidRPr="00A83E9D">
        <w:rPr>
          <w:rFonts w:ascii="Cambria" w:hAnsi="Cambria"/>
          <w:sz w:val="20"/>
          <w:szCs w:val="20"/>
          <w:lang w:val="en-US"/>
        </w:rPr>
        <w:t xml:space="preserve">No. 5/12 </w:t>
      </w:r>
      <w:r>
        <w:rPr>
          <w:rFonts w:ascii="Cambria" w:hAnsi="Cambria"/>
          <w:sz w:val="20"/>
          <w:szCs w:val="20"/>
          <w:lang w:val="en-US"/>
        </w:rPr>
        <w:t xml:space="preserve">of March </w:t>
      </w:r>
      <w:r w:rsidR="00F474A4" w:rsidRPr="00A83E9D">
        <w:rPr>
          <w:rFonts w:ascii="Cambria" w:hAnsi="Cambria"/>
          <w:sz w:val="20"/>
          <w:szCs w:val="20"/>
          <w:lang w:val="en-US"/>
        </w:rPr>
        <w:t>19</w:t>
      </w:r>
      <w:r>
        <w:rPr>
          <w:rFonts w:ascii="Cambria" w:hAnsi="Cambria"/>
          <w:sz w:val="20"/>
          <w:szCs w:val="20"/>
          <w:lang w:val="en-US"/>
        </w:rPr>
        <w:t>,</w:t>
      </w:r>
      <w:r w:rsidR="00F474A4" w:rsidRPr="00A83E9D">
        <w:rPr>
          <w:rFonts w:ascii="Cambria" w:hAnsi="Cambria"/>
          <w:sz w:val="20"/>
          <w:szCs w:val="20"/>
          <w:lang w:val="en-US"/>
        </w:rPr>
        <w:t xml:space="preserve"> 2012</w:t>
      </w:r>
      <w:r>
        <w:rPr>
          <w:rFonts w:ascii="Cambria" w:hAnsi="Cambria"/>
          <w:sz w:val="20"/>
          <w:szCs w:val="20"/>
          <w:lang w:val="en-US"/>
        </w:rPr>
        <w:t>.</w:t>
      </w:r>
      <w:r w:rsidR="00F474A4" w:rsidRPr="00A83E9D">
        <w:rPr>
          <w:rStyle w:val="FootnoteReference"/>
          <w:rFonts w:ascii="Cambria" w:hAnsi="Cambria"/>
          <w:sz w:val="20"/>
          <w:szCs w:val="20"/>
          <w:lang w:val="en-US"/>
        </w:rPr>
        <w:footnoteReference w:id="2"/>
      </w:r>
      <w:r w:rsidR="00F474A4" w:rsidRPr="00A83E9D">
        <w:rPr>
          <w:rFonts w:ascii="Cambria" w:hAnsi="Cambria"/>
          <w:sz w:val="20"/>
          <w:szCs w:val="20"/>
          <w:lang w:val="en-US"/>
        </w:rPr>
        <w:t xml:space="preserve"> </w:t>
      </w:r>
      <w:r>
        <w:rPr>
          <w:rFonts w:ascii="Cambria" w:hAnsi="Cambria"/>
          <w:sz w:val="20"/>
          <w:szCs w:val="20"/>
          <w:lang w:val="en-US"/>
        </w:rPr>
        <w:t xml:space="preserve">On April </w:t>
      </w:r>
      <w:r w:rsidR="00F474A4" w:rsidRPr="00A83E9D">
        <w:rPr>
          <w:rFonts w:ascii="Cambria" w:hAnsi="Cambria"/>
          <w:sz w:val="20"/>
          <w:szCs w:val="20"/>
          <w:lang w:val="en-US"/>
        </w:rPr>
        <w:t>11</w:t>
      </w:r>
      <w:r>
        <w:rPr>
          <w:rFonts w:ascii="Cambria" w:hAnsi="Cambria"/>
          <w:sz w:val="20"/>
          <w:szCs w:val="20"/>
          <w:lang w:val="en-US"/>
        </w:rPr>
        <w:t>,</w:t>
      </w:r>
      <w:r w:rsidR="00F474A4" w:rsidRPr="00A83E9D">
        <w:rPr>
          <w:rFonts w:ascii="Cambria" w:hAnsi="Cambria"/>
          <w:sz w:val="20"/>
          <w:szCs w:val="20"/>
          <w:lang w:val="en-US"/>
        </w:rPr>
        <w:t xml:space="preserve"> </w:t>
      </w:r>
      <w:r>
        <w:rPr>
          <w:rFonts w:ascii="Cambria" w:hAnsi="Cambria"/>
          <w:sz w:val="20"/>
          <w:szCs w:val="20"/>
          <w:lang w:val="en-US"/>
        </w:rPr>
        <w:t xml:space="preserve">2012, the Commission notified the parties of that report and placed itself at the disposal of the parties to pursue a friendly settlement. On July </w:t>
      </w:r>
      <w:r w:rsidR="00F474A4" w:rsidRPr="00A83E9D">
        <w:rPr>
          <w:rFonts w:ascii="Cambria" w:hAnsi="Cambria"/>
          <w:sz w:val="20"/>
          <w:szCs w:val="20"/>
          <w:lang w:val="en-US"/>
        </w:rPr>
        <w:t>24</w:t>
      </w:r>
      <w:r>
        <w:rPr>
          <w:rFonts w:ascii="Cambria" w:hAnsi="Cambria"/>
          <w:sz w:val="20"/>
          <w:szCs w:val="20"/>
          <w:lang w:val="en-US"/>
        </w:rPr>
        <w:t>,</w:t>
      </w:r>
      <w:r w:rsidR="00F474A4" w:rsidRPr="00A83E9D">
        <w:rPr>
          <w:rFonts w:ascii="Cambria" w:hAnsi="Cambria"/>
          <w:sz w:val="20"/>
          <w:szCs w:val="20"/>
          <w:lang w:val="en-US"/>
        </w:rPr>
        <w:t xml:space="preserve"> </w:t>
      </w:r>
      <w:r>
        <w:rPr>
          <w:rFonts w:ascii="Cambria" w:hAnsi="Cambria"/>
          <w:sz w:val="20"/>
          <w:szCs w:val="20"/>
          <w:lang w:val="en-US"/>
        </w:rPr>
        <w:t xml:space="preserve">2012, the petitioner presented its observations on the merits. On August </w:t>
      </w:r>
      <w:r w:rsidR="00F474A4" w:rsidRPr="00A83E9D">
        <w:rPr>
          <w:rFonts w:ascii="Cambria" w:hAnsi="Cambria"/>
          <w:sz w:val="20"/>
          <w:szCs w:val="20"/>
          <w:lang w:val="en-US"/>
        </w:rPr>
        <w:t>8</w:t>
      </w:r>
      <w:r>
        <w:rPr>
          <w:rFonts w:ascii="Cambria" w:hAnsi="Cambria"/>
          <w:sz w:val="20"/>
          <w:szCs w:val="20"/>
          <w:lang w:val="en-US"/>
        </w:rPr>
        <w:t>,</w:t>
      </w:r>
      <w:r w:rsidR="00F474A4" w:rsidRPr="00A83E9D">
        <w:rPr>
          <w:rFonts w:ascii="Cambria" w:hAnsi="Cambria"/>
          <w:sz w:val="20"/>
          <w:szCs w:val="20"/>
          <w:lang w:val="en-US"/>
        </w:rPr>
        <w:t xml:space="preserve"> 2012</w:t>
      </w:r>
      <w:r>
        <w:rPr>
          <w:rFonts w:ascii="Cambria" w:hAnsi="Cambria"/>
          <w:sz w:val="20"/>
          <w:szCs w:val="20"/>
          <w:lang w:val="en-US"/>
        </w:rPr>
        <w:t>, the IACHR</w:t>
      </w:r>
      <w:r w:rsidR="00F474A4" w:rsidRPr="00A83E9D">
        <w:rPr>
          <w:rFonts w:ascii="Cambria" w:hAnsi="Cambria"/>
          <w:sz w:val="20"/>
          <w:szCs w:val="20"/>
          <w:lang w:val="en-US"/>
        </w:rPr>
        <w:t xml:space="preserve"> </w:t>
      </w:r>
      <w:r>
        <w:rPr>
          <w:rFonts w:ascii="Cambria" w:hAnsi="Cambria"/>
          <w:sz w:val="20"/>
          <w:szCs w:val="20"/>
          <w:lang w:val="en-US"/>
        </w:rPr>
        <w:t xml:space="preserve">forwarded those observations to the State and gave it four months as provided in the Rules of Procedure to submit its observations on the merits. To this day the State has not presented those observations. The petitioner has submitted several briefs, which were forwarded to the State. </w:t>
      </w:r>
    </w:p>
    <w:p w14:paraId="76A49FBF" w14:textId="77777777" w:rsidR="00F474A4" w:rsidRPr="00A83E9D" w:rsidRDefault="00F474A4" w:rsidP="00F474A4">
      <w:pPr>
        <w:jc w:val="both"/>
        <w:rPr>
          <w:rFonts w:ascii="Cambria" w:hAnsi="Cambria"/>
          <w:b/>
          <w:sz w:val="20"/>
          <w:szCs w:val="20"/>
        </w:rPr>
      </w:pPr>
    </w:p>
    <w:p w14:paraId="249160A5" w14:textId="77777777" w:rsidR="00F474A4" w:rsidRPr="00A83E9D" w:rsidRDefault="00E63767" w:rsidP="00F474A4">
      <w:pPr>
        <w:pStyle w:val="Heading1"/>
      </w:pPr>
      <w:bookmarkStart w:id="10" w:name="_Toc430268168"/>
      <w:bookmarkStart w:id="11" w:name="_Toc446591742"/>
      <w:bookmarkStart w:id="12" w:name="_Toc480636763"/>
      <w:bookmarkStart w:id="13" w:name="_Toc495868428"/>
      <w:bookmarkStart w:id="14" w:name="_Toc497896915"/>
      <w:r>
        <w:t>POSITIONS OF THE PARTIES</w:t>
      </w:r>
      <w:bookmarkEnd w:id="10"/>
      <w:bookmarkEnd w:id="11"/>
      <w:bookmarkEnd w:id="12"/>
      <w:bookmarkEnd w:id="13"/>
      <w:bookmarkEnd w:id="14"/>
    </w:p>
    <w:p w14:paraId="78354FF6" w14:textId="77777777" w:rsidR="00F474A4" w:rsidRPr="00A83E9D" w:rsidRDefault="00F474A4" w:rsidP="00F474A4">
      <w:pPr>
        <w:pStyle w:val="Heading1"/>
        <w:numPr>
          <w:ilvl w:val="0"/>
          <w:numId w:val="0"/>
        </w:numPr>
        <w:ind w:left="567"/>
      </w:pPr>
    </w:p>
    <w:p w14:paraId="30498F26" w14:textId="77777777" w:rsidR="00F474A4" w:rsidRPr="00A83E9D" w:rsidRDefault="00727FB4" w:rsidP="00F474A4">
      <w:pPr>
        <w:pStyle w:val="Heading2"/>
      </w:pPr>
      <w:bookmarkStart w:id="15" w:name="_Toc430268169"/>
      <w:bookmarkStart w:id="16" w:name="_Toc446591743"/>
      <w:bookmarkStart w:id="17" w:name="_Toc480636764"/>
      <w:bookmarkStart w:id="18" w:name="_Toc495868429"/>
      <w:bookmarkStart w:id="19" w:name="_Toc497896916"/>
      <w:r>
        <w:t>Position of the petitioner</w:t>
      </w:r>
      <w:bookmarkEnd w:id="19"/>
      <w:r>
        <w:t xml:space="preserve"> </w:t>
      </w:r>
      <w:bookmarkEnd w:id="15"/>
      <w:bookmarkEnd w:id="16"/>
      <w:bookmarkEnd w:id="17"/>
      <w:bookmarkEnd w:id="18"/>
    </w:p>
    <w:p w14:paraId="1105652C" w14:textId="77777777" w:rsidR="00F474A4" w:rsidRPr="00A83E9D" w:rsidRDefault="00F474A4" w:rsidP="00F474A4">
      <w:pPr>
        <w:jc w:val="both"/>
        <w:rPr>
          <w:rFonts w:ascii="Cambria" w:hAnsi="Cambria"/>
          <w:sz w:val="20"/>
          <w:szCs w:val="20"/>
        </w:rPr>
      </w:pPr>
    </w:p>
    <w:p w14:paraId="1706FD96" w14:textId="77777777" w:rsidR="00F474A4" w:rsidRPr="00A83E9D" w:rsidRDefault="00727FB4"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petitioner alleged that the Argentine State is responsible internationally for the alleged illegal and arbitrary arrests to the detriment of </w:t>
      </w:r>
      <w:r w:rsidR="00F474A4" w:rsidRPr="00A83E9D">
        <w:rPr>
          <w:rFonts w:ascii="Cambria" w:hAnsi="Cambria"/>
          <w:sz w:val="20"/>
          <w:lang w:val="en-US"/>
        </w:rPr>
        <w:t xml:space="preserve">Carlos Alberto </w:t>
      </w:r>
      <w:proofErr w:type="spellStart"/>
      <w:r w:rsidR="00F474A4" w:rsidRPr="00A83E9D">
        <w:rPr>
          <w:rFonts w:ascii="Cambria" w:hAnsi="Cambria"/>
          <w:sz w:val="20"/>
          <w:lang w:val="en-US"/>
        </w:rPr>
        <w:t>Fernández</w:t>
      </w:r>
      <w:proofErr w:type="spellEnd"/>
      <w:r w:rsidR="00F474A4" w:rsidRPr="00A83E9D">
        <w:rPr>
          <w:rFonts w:ascii="Cambria" w:hAnsi="Cambria"/>
          <w:sz w:val="20"/>
          <w:lang w:val="en-US"/>
        </w:rPr>
        <w:t xml:space="preserve"> Prieto </w:t>
      </w:r>
      <w:r>
        <w:rPr>
          <w:rFonts w:ascii="Cambria" w:hAnsi="Cambria"/>
          <w:sz w:val="20"/>
          <w:lang w:val="en-US"/>
        </w:rPr>
        <w:t xml:space="preserve">and </w:t>
      </w:r>
      <w:r w:rsidR="00F474A4" w:rsidRPr="00A83E9D">
        <w:rPr>
          <w:rFonts w:ascii="Cambria" w:hAnsi="Cambria"/>
          <w:sz w:val="20"/>
          <w:lang w:val="en-US"/>
        </w:rPr>
        <w:t xml:space="preserve">Carlos Alejandro </w:t>
      </w:r>
      <w:proofErr w:type="spellStart"/>
      <w:r w:rsidR="00F474A4" w:rsidRPr="00A83E9D">
        <w:rPr>
          <w:rFonts w:ascii="Cambria" w:hAnsi="Cambria"/>
          <w:sz w:val="20"/>
          <w:lang w:val="en-US"/>
        </w:rPr>
        <w:t>Tumbeiro</w:t>
      </w:r>
      <w:proofErr w:type="spellEnd"/>
      <w:r w:rsidR="00F474A4" w:rsidRPr="00A83E9D">
        <w:rPr>
          <w:rFonts w:ascii="Cambria" w:hAnsi="Cambria"/>
          <w:sz w:val="20"/>
          <w:lang w:val="en-US"/>
        </w:rPr>
        <w:t xml:space="preserve"> </w:t>
      </w:r>
      <w:r>
        <w:rPr>
          <w:rFonts w:ascii="Cambria" w:hAnsi="Cambria"/>
          <w:sz w:val="20"/>
          <w:lang w:val="en-US"/>
        </w:rPr>
        <w:t xml:space="preserve">in May </w:t>
      </w:r>
      <w:r w:rsidR="00F474A4" w:rsidRPr="00A83E9D">
        <w:rPr>
          <w:rFonts w:ascii="Cambria" w:hAnsi="Cambria"/>
          <w:sz w:val="20"/>
          <w:lang w:val="en-US"/>
        </w:rPr>
        <w:t xml:space="preserve">1992 </w:t>
      </w:r>
      <w:r>
        <w:rPr>
          <w:rFonts w:ascii="Cambria" w:hAnsi="Cambria"/>
          <w:sz w:val="20"/>
          <w:lang w:val="en-US"/>
        </w:rPr>
        <w:t xml:space="preserve">and January </w:t>
      </w:r>
      <w:r w:rsidR="00F474A4" w:rsidRPr="00A83E9D">
        <w:rPr>
          <w:rFonts w:ascii="Cambria" w:hAnsi="Cambria"/>
          <w:sz w:val="20"/>
          <w:lang w:val="en-US"/>
        </w:rPr>
        <w:t>1998, respectiv</w:t>
      </w:r>
      <w:r>
        <w:rPr>
          <w:rFonts w:ascii="Cambria" w:hAnsi="Cambria"/>
          <w:sz w:val="20"/>
          <w:lang w:val="en-US"/>
        </w:rPr>
        <w:t xml:space="preserve">ely, by agents of the </w:t>
      </w:r>
      <w:r w:rsidR="00F474A4" w:rsidRPr="00A83E9D">
        <w:rPr>
          <w:rFonts w:ascii="Cambria" w:hAnsi="Cambria"/>
          <w:sz w:val="20"/>
          <w:lang w:val="en-US"/>
        </w:rPr>
        <w:t>Buenos Aires</w:t>
      </w:r>
      <w:r>
        <w:rPr>
          <w:rFonts w:ascii="Cambria" w:hAnsi="Cambria"/>
          <w:sz w:val="20"/>
          <w:lang w:val="en-US"/>
        </w:rPr>
        <w:t xml:space="preserve"> Police</w:t>
      </w:r>
      <w:r w:rsidR="00F474A4" w:rsidRPr="00A83E9D">
        <w:rPr>
          <w:rFonts w:ascii="Cambria" w:hAnsi="Cambria"/>
          <w:sz w:val="20"/>
          <w:szCs w:val="20"/>
          <w:lang w:val="en-US"/>
        </w:rPr>
        <w:t xml:space="preserve">. </w:t>
      </w:r>
      <w:r>
        <w:rPr>
          <w:rFonts w:ascii="Cambria" w:hAnsi="Cambria"/>
          <w:sz w:val="20"/>
          <w:szCs w:val="20"/>
          <w:lang w:val="en-US"/>
        </w:rPr>
        <w:t xml:space="preserve">The petitioner </w:t>
      </w:r>
      <w:r>
        <w:rPr>
          <w:rFonts w:ascii="Cambria" w:hAnsi="Cambria"/>
          <w:sz w:val="20"/>
          <w:szCs w:val="20"/>
          <w:lang w:val="en-US"/>
        </w:rPr>
        <w:lastRenderedPageBreak/>
        <w:t xml:space="preserve">indicated that their detentions were not </w:t>
      </w:r>
      <w:r w:rsidR="00460DFF">
        <w:rPr>
          <w:rFonts w:ascii="Cambria" w:hAnsi="Cambria"/>
          <w:sz w:val="20"/>
          <w:szCs w:val="20"/>
          <w:lang w:val="en-US"/>
        </w:rPr>
        <w:t xml:space="preserve">pursuant to any </w:t>
      </w:r>
      <w:r>
        <w:rPr>
          <w:rFonts w:ascii="Cambria" w:hAnsi="Cambria"/>
          <w:sz w:val="20"/>
          <w:szCs w:val="20"/>
          <w:lang w:val="en-US"/>
        </w:rPr>
        <w:t>judicial order</w:t>
      </w:r>
      <w:r w:rsidR="00460DFF">
        <w:rPr>
          <w:rFonts w:ascii="Cambria" w:hAnsi="Cambria"/>
          <w:sz w:val="20"/>
          <w:szCs w:val="20"/>
          <w:lang w:val="en-US"/>
        </w:rPr>
        <w:t>, nor</w:t>
      </w:r>
      <w:r>
        <w:rPr>
          <w:rFonts w:ascii="Cambria" w:hAnsi="Cambria"/>
          <w:sz w:val="20"/>
          <w:szCs w:val="20"/>
          <w:lang w:val="en-US"/>
        </w:rPr>
        <w:t xml:space="preserve"> did they occur in a situation of flagrancy</w:t>
      </w:r>
      <w:r w:rsidR="00460DFF">
        <w:rPr>
          <w:rFonts w:ascii="Cambria" w:hAnsi="Cambria"/>
          <w:sz w:val="20"/>
          <w:szCs w:val="20"/>
          <w:lang w:val="en-US"/>
        </w:rPr>
        <w:t>,</w:t>
      </w:r>
      <w:r w:rsidR="00F474A4" w:rsidRPr="00A83E9D">
        <w:rPr>
          <w:rFonts w:ascii="Cambria" w:hAnsi="Cambria"/>
          <w:sz w:val="20"/>
          <w:szCs w:val="20"/>
          <w:lang w:val="en-US"/>
        </w:rPr>
        <w:t xml:space="preserve"> </w:t>
      </w:r>
      <w:r>
        <w:rPr>
          <w:rFonts w:ascii="Cambria" w:hAnsi="Cambria"/>
          <w:sz w:val="20"/>
          <w:szCs w:val="20"/>
          <w:lang w:val="en-US"/>
        </w:rPr>
        <w:t xml:space="preserve">but were due exclusively </w:t>
      </w:r>
      <w:r w:rsidR="00460DFF">
        <w:rPr>
          <w:rFonts w:ascii="Cambria" w:hAnsi="Cambria"/>
          <w:sz w:val="20"/>
          <w:szCs w:val="20"/>
          <w:lang w:val="en-US"/>
        </w:rPr>
        <w:t xml:space="preserve">to </w:t>
      </w:r>
      <w:r>
        <w:rPr>
          <w:rFonts w:ascii="Cambria" w:hAnsi="Cambria"/>
          <w:sz w:val="20"/>
          <w:szCs w:val="20"/>
          <w:lang w:val="en-US"/>
        </w:rPr>
        <w:t xml:space="preserve">purported suspicious attitudes on the part of the alleged victims. </w:t>
      </w:r>
    </w:p>
    <w:p w14:paraId="023B2A9A"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32DE17E2" w14:textId="77777777" w:rsidR="00F474A4" w:rsidRPr="00A83E9D" w:rsidRDefault="008C01E9"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petitioner indicated that the situation of Messrs. </w:t>
      </w:r>
      <w:proofErr w:type="spellStart"/>
      <w:r w:rsidR="00F474A4" w:rsidRPr="00A83E9D">
        <w:rPr>
          <w:rFonts w:ascii="Cambria" w:hAnsi="Cambria"/>
          <w:sz w:val="20"/>
          <w:szCs w:val="20"/>
          <w:lang w:val="en-US"/>
        </w:rPr>
        <w:t>Fernández</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and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726F62">
        <w:rPr>
          <w:rFonts w:ascii="Cambria" w:hAnsi="Cambria"/>
          <w:sz w:val="20"/>
          <w:szCs w:val="20"/>
          <w:lang w:val="en-US"/>
        </w:rPr>
        <w:t xml:space="preserve">fits within a context in which police agents in </w:t>
      </w:r>
      <w:r w:rsidR="00F474A4" w:rsidRPr="00A83E9D">
        <w:rPr>
          <w:rFonts w:ascii="Cambria" w:hAnsi="Cambria"/>
          <w:sz w:val="20"/>
          <w:szCs w:val="20"/>
          <w:lang w:val="en-US"/>
        </w:rPr>
        <w:t xml:space="preserve">Argentina, </w:t>
      </w:r>
      <w:r w:rsidR="00726F62">
        <w:rPr>
          <w:rFonts w:ascii="Cambria" w:hAnsi="Cambria"/>
          <w:sz w:val="20"/>
          <w:szCs w:val="20"/>
          <w:lang w:val="en-US"/>
        </w:rPr>
        <w:t xml:space="preserve">based on the argument of “suspicious attitude,” arrest persons who have a similar profile:  youths </w:t>
      </w:r>
      <w:r w:rsidR="00460DFF">
        <w:rPr>
          <w:rFonts w:ascii="Cambria" w:hAnsi="Cambria"/>
          <w:sz w:val="20"/>
          <w:szCs w:val="20"/>
          <w:lang w:val="en-US"/>
        </w:rPr>
        <w:t xml:space="preserve">from poor families, </w:t>
      </w:r>
      <w:r w:rsidR="00167461">
        <w:rPr>
          <w:rFonts w:ascii="Cambria" w:hAnsi="Cambria"/>
          <w:sz w:val="20"/>
          <w:szCs w:val="20"/>
          <w:lang w:val="en-US"/>
        </w:rPr>
        <w:t xml:space="preserve">street vendors, immigrants, and beggars. </w:t>
      </w:r>
      <w:r w:rsidR="007B42A5">
        <w:rPr>
          <w:rFonts w:ascii="Cambria" w:hAnsi="Cambria"/>
          <w:sz w:val="20"/>
          <w:szCs w:val="20"/>
          <w:lang w:val="en-US"/>
        </w:rPr>
        <w:t>The petitioner alleged that such practices make it clear that there are persons from certain social sectors</w:t>
      </w:r>
      <w:r w:rsidR="00F474A4" w:rsidRPr="00A83E9D">
        <w:rPr>
          <w:rFonts w:ascii="Cambria" w:hAnsi="Cambria" w:cs="Arial"/>
          <w:sz w:val="20"/>
          <w:szCs w:val="20"/>
          <w:lang w:val="en-US"/>
        </w:rPr>
        <w:t>, o</w:t>
      </w:r>
      <w:r w:rsidR="007B42A5">
        <w:rPr>
          <w:rFonts w:ascii="Cambria" w:hAnsi="Cambria" w:cs="Arial"/>
          <w:sz w:val="20"/>
          <w:szCs w:val="20"/>
          <w:lang w:val="en-US"/>
        </w:rPr>
        <w:t xml:space="preserve">r </w:t>
      </w:r>
      <w:r w:rsidR="00460DFF">
        <w:rPr>
          <w:rFonts w:ascii="Cambria" w:hAnsi="Cambria" w:cs="Arial"/>
          <w:sz w:val="20"/>
          <w:szCs w:val="20"/>
          <w:lang w:val="en-US"/>
        </w:rPr>
        <w:t xml:space="preserve">who </w:t>
      </w:r>
      <w:r w:rsidR="007B42A5">
        <w:rPr>
          <w:rFonts w:ascii="Cambria" w:hAnsi="Cambria" w:cs="Arial"/>
          <w:sz w:val="20"/>
          <w:szCs w:val="20"/>
          <w:lang w:val="en-US"/>
        </w:rPr>
        <w:t xml:space="preserve">due to their physical appearance, are more exposed to being detained by the police, which is a clear sign of the selective nature of the criminal justice system and mainly of the current police apparatus. </w:t>
      </w:r>
    </w:p>
    <w:p w14:paraId="0D470CF4"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9C89A92" w14:textId="77777777" w:rsidR="00F474A4" w:rsidRPr="00A83E9D" w:rsidRDefault="00460DF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Regarding </w:t>
      </w:r>
      <w:r w:rsidR="007B42A5">
        <w:rPr>
          <w:rFonts w:ascii="Cambria" w:hAnsi="Cambria"/>
          <w:sz w:val="20"/>
          <w:szCs w:val="20"/>
          <w:lang w:val="en-US"/>
        </w:rPr>
        <w:t xml:space="preserve">the alleged violation of the </w:t>
      </w:r>
      <w:r w:rsidR="007B42A5">
        <w:rPr>
          <w:rFonts w:ascii="Cambria" w:hAnsi="Cambria"/>
          <w:b/>
          <w:sz w:val="20"/>
          <w:szCs w:val="20"/>
          <w:lang w:val="en-US"/>
        </w:rPr>
        <w:t xml:space="preserve">right to </w:t>
      </w:r>
      <w:r w:rsidR="00F474A4" w:rsidRPr="00A83E9D">
        <w:rPr>
          <w:rFonts w:ascii="Cambria" w:hAnsi="Cambria"/>
          <w:b/>
          <w:sz w:val="20"/>
          <w:szCs w:val="20"/>
          <w:lang w:val="en-US"/>
        </w:rPr>
        <w:t>personal</w:t>
      </w:r>
      <w:r w:rsidR="007B42A5">
        <w:rPr>
          <w:rFonts w:ascii="Cambria" w:hAnsi="Cambria"/>
          <w:b/>
          <w:sz w:val="20"/>
          <w:szCs w:val="20"/>
          <w:lang w:val="en-US"/>
        </w:rPr>
        <w:t xml:space="preserve"> liberty</w:t>
      </w:r>
      <w:r w:rsidR="007B42A5">
        <w:rPr>
          <w:rFonts w:ascii="Cambria" w:hAnsi="Cambria"/>
          <w:sz w:val="20"/>
          <w:szCs w:val="20"/>
          <w:lang w:val="en-US"/>
        </w:rPr>
        <w:t>, the petitioner indicated that the detentions of Messrs</w:t>
      </w:r>
      <w:r>
        <w:rPr>
          <w:rFonts w:ascii="Cambria" w:hAnsi="Cambria"/>
          <w:sz w:val="20"/>
          <w:szCs w:val="20"/>
          <w:lang w:val="en-US"/>
        </w:rPr>
        <w:t>.</w:t>
      </w:r>
      <w:r w:rsidR="007B42A5">
        <w:rPr>
          <w:rFonts w:ascii="Cambria" w:hAnsi="Cambria"/>
          <w:sz w:val="20"/>
          <w:szCs w:val="20"/>
          <w:lang w:val="en-US"/>
        </w:rPr>
        <w:t xml:space="preserve"> </w:t>
      </w:r>
      <w:proofErr w:type="spellStart"/>
      <w:r w:rsidR="00F474A4" w:rsidRPr="00A83E9D">
        <w:rPr>
          <w:rFonts w:ascii="Cambria" w:hAnsi="Cambria"/>
          <w:sz w:val="20"/>
          <w:szCs w:val="20"/>
          <w:lang w:val="en-US"/>
        </w:rPr>
        <w:t>Fernández</w:t>
      </w:r>
      <w:proofErr w:type="spellEnd"/>
      <w:r w:rsidR="00F474A4" w:rsidRPr="00A83E9D">
        <w:rPr>
          <w:rFonts w:ascii="Cambria" w:hAnsi="Cambria"/>
          <w:sz w:val="20"/>
          <w:szCs w:val="20"/>
          <w:lang w:val="en-US"/>
        </w:rPr>
        <w:t xml:space="preserve"> </w:t>
      </w:r>
      <w:r w:rsidR="007B42A5">
        <w:rPr>
          <w:rFonts w:ascii="Cambria" w:hAnsi="Cambria"/>
          <w:sz w:val="20"/>
          <w:szCs w:val="20"/>
          <w:lang w:val="en-US"/>
        </w:rPr>
        <w:t xml:space="preserve">and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7B42A5">
        <w:rPr>
          <w:rFonts w:ascii="Cambria" w:hAnsi="Cambria"/>
          <w:sz w:val="20"/>
          <w:szCs w:val="20"/>
          <w:lang w:val="en-US"/>
        </w:rPr>
        <w:t xml:space="preserve">were illegal and arbitrary and, as indicated, were not based on a judicial warrant or a situation of flagrancy. </w:t>
      </w:r>
      <w:r w:rsidR="00CF2CA4">
        <w:rPr>
          <w:rFonts w:ascii="Cambria" w:hAnsi="Cambria"/>
          <w:sz w:val="20"/>
          <w:szCs w:val="20"/>
          <w:lang w:val="en-US"/>
        </w:rPr>
        <w:t xml:space="preserve">It added that the criterion </w:t>
      </w:r>
      <w:r>
        <w:rPr>
          <w:rFonts w:ascii="Cambria" w:hAnsi="Cambria"/>
          <w:sz w:val="20"/>
          <w:szCs w:val="20"/>
          <w:lang w:val="en-US"/>
        </w:rPr>
        <w:t xml:space="preserve">put forward </w:t>
      </w:r>
      <w:r w:rsidR="00CF2CA4">
        <w:rPr>
          <w:rFonts w:ascii="Cambria" w:hAnsi="Cambria"/>
          <w:sz w:val="20"/>
          <w:szCs w:val="20"/>
          <w:lang w:val="en-US"/>
        </w:rPr>
        <w:t>by the State</w:t>
      </w:r>
      <w:r>
        <w:rPr>
          <w:rFonts w:ascii="Cambria" w:hAnsi="Cambria"/>
          <w:sz w:val="20"/>
          <w:szCs w:val="20"/>
          <w:lang w:val="en-US"/>
        </w:rPr>
        <w:t>,</w:t>
      </w:r>
      <w:r w:rsidR="00CF2CA4">
        <w:rPr>
          <w:rFonts w:ascii="Cambria" w:hAnsi="Cambria"/>
          <w:sz w:val="20"/>
          <w:szCs w:val="20"/>
          <w:lang w:val="en-US"/>
        </w:rPr>
        <w:t xml:space="preserve"> a “suspicious attitude</w:t>
      </w:r>
      <w:r>
        <w:rPr>
          <w:rFonts w:ascii="Cambria" w:hAnsi="Cambria"/>
          <w:sz w:val="20"/>
          <w:szCs w:val="20"/>
          <w:lang w:val="en-US"/>
        </w:rPr>
        <w:t>,</w:t>
      </w:r>
      <w:r w:rsidR="00CF2CA4">
        <w:rPr>
          <w:rFonts w:ascii="Cambria" w:hAnsi="Cambria"/>
          <w:sz w:val="20"/>
          <w:szCs w:val="20"/>
          <w:lang w:val="en-US"/>
        </w:rPr>
        <w:t>” is not established in Argentine legislation. It also noted that this practice leaves a wide margin of police discretion for making arrests.</w:t>
      </w:r>
    </w:p>
    <w:p w14:paraId="1FDEBA25"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E97CE85" w14:textId="77777777" w:rsidR="00F474A4" w:rsidRPr="00A83E9D" w:rsidRDefault="00CF2CA4"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With respect to the alleged violation of the </w:t>
      </w:r>
      <w:r>
        <w:rPr>
          <w:rFonts w:ascii="Cambria" w:hAnsi="Cambria"/>
          <w:b/>
          <w:sz w:val="20"/>
          <w:szCs w:val="20"/>
          <w:lang w:val="en-US"/>
        </w:rPr>
        <w:t>rights to judicial guarantees and judicial protection</w:t>
      </w:r>
      <w:r>
        <w:rPr>
          <w:rFonts w:ascii="Cambria" w:hAnsi="Cambria"/>
          <w:sz w:val="20"/>
          <w:szCs w:val="20"/>
          <w:lang w:val="en-US"/>
        </w:rPr>
        <w:t xml:space="preserve">, the petitioner alleged that the judicial authorities did not offer the alleged victims an effective remedy for reviewing the illegality and arbitrariness of the arrests. It added that this led to the </w:t>
      </w:r>
      <w:r w:rsidR="00014FCE">
        <w:rPr>
          <w:rFonts w:ascii="Cambria" w:hAnsi="Cambria"/>
          <w:sz w:val="20"/>
          <w:szCs w:val="20"/>
          <w:lang w:val="en-US"/>
        </w:rPr>
        <w:t xml:space="preserve">institution </w:t>
      </w:r>
      <w:r>
        <w:rPr>
          <w:rFonts w:ascii="Cambria" w:hAnsi="Cambria"/>
          <w:sz w:val="20"/>
          <w:szCs w:val="20"/>
          <w:lang w:val="en-US"/>
        </w:rPr>
        <w:t>of criminal proceedings</w:t>
      </w:r>
      <w:r w:rsidR="00014FCE">
        <w:rPr>
          <w:rFonts w:ascii="Cambria" w:hAnsi="Cambria"/>
          <w:sz w:val="20"/>
          <w:szCs w:val="20"/>
          <w:lang w:val="en-US"/>
        </w:rPr>
        <w:t xml:space="preserve"> which</w:t>
      </w:r>
      <w:r>
        <w:rPr>
          <w:rFonts w:ascii="Cambria" w:hAnsi="Cambria"/>
          <w:sz w:val="20"/>
          <w:szCs w:val="20"/>
          <w:lang w:val="en-US"/>
        </w:rPr>
        <w:t>, in each case, culminated in convictions.</w:t>
      </w:r>
    </w:p>
    <w:p w14:paraId="60DA9D2E" w14:textId="77777777" w:rsidR="00F474A4" w:rsidRPr="00A83E9D" w:rsidRDefault="00F474A4" w:rsidP="00F474A4">
      <w:pPr>
        <w:jc w:val="both"/>
        <w:rPr>
          <w:rFonts w:ascii="Cambria" w:hAnsi="Cambria"/>
          <w:b/>
          <w:sz w:val="20"/>
          <w:szCs w:val="20"/>
        </w:rPr>
      </w:pPr>
    </w:p>
    <w:p w14:paraId="3DCCD7E3" w14:textId="77777777" w:rsidR="00F474A4" w:rsidRPr="00014FCE" w:rsidRDefault="00CF2CA4" w:rsidP="00F474A4">
      <w:pPr>
        <w:pStyle w:val="Heading2"/>
        <w:rPr>
          <w:rStyle w:val="Heading2Char"/>
          <w:rFonts w:eastAsia="MS Gothic"/>
          <w:b/>
        </w:rPr>
      </w:pPr>
      <w:bookmarkStart w:id="20" w:name="_Toc430268170"/>
      <w:bookmarkStart w:id="21" w:name="_Toc446591744"/>
      <w:bookmarkStart w:id="22" w:name="_Toc480636765"/>
      <w:bookmarkStart w:id="23" w:name="_Toc495868430"/>
      <w:bookmarkStart w:id="24" w:name="_Toc497896917"/>
      <w:r w:rsidRPr="00014FCE">
        <w:rPr>
          <w:rStyle w:val="Heading2Char"/>
          <w:rFonts w:eastAsia="MS Gothic"/>
          <w:b/>
        </w:rPr>
        <w:t>Position of the State</w:t>
      </w:r>
      <w:bookmarkEnd w:id="20"/>
      <w:bookmarkEnd w:id="21"/>
      <w:bookmarkEnd w:id="22"/>
      <w:bookmarkEnd w:id="23"/>
      <w:bookmarkEnd w:id="24"/>
    </w:p>
    <w:p w14:paraId="7682E1B3" w14:textId="77777777" w:rsidR="00F474A4" w:rsidRPr="00A83E9D" w:rsidRDefault="00F474A4" w:rsidP="00F474A4">
      <w:pPr>
        <w:rPr>
          <w:rFonts w:ascii="Cambria" w:hAnsi="Cambria"/>
          <w:sz w:val="20"/>
          <w:szCs w:val="20"/>
        </w:rPr>
      </w:pPr>
    </w:p>
    <w:p w14:paraId="16197FC0" w14:textId="77777777" w:rsidR="00F474A4" w:rsidRPr="00A83E9D" w:rsidRDefault="00CF2CA4"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State has not submitted its observations on the merits</w:t>
      </w:r>
      <w:r w:rsidR="00F474A4" w:rsidRPr="00A83E9D">
        <w:rPr>
          <w:rFonts w:ascii="Cambria" w:hAnsi="Cambria"/>
          <w:sz w:val="20"/>
          <w:szCs w:val="20"/>
          <w:lang w:val="en-US"/>
        </w:rPr>
        <w:t xml:space="preserve">. </w:t>
      </w:r>
      <w:r>
        <w:rPr>
          <w:rFonts w:ascii="Cambria" w:hAnsi="Cambria"/>
          <w:sz w:val="20"/>
          <w:szCs w:val="20"/>
          <w:lang w:val="en-US"/>
        </w:rPr>
        <w:t xml:space="preserve">The IACHR recapitulates the arguments presented during the admissibility phase to the extent relevant for the analysis on the merits. </w:t>
      </w:r>
    </w:p>
    <w:p w14:paraId="6B4695A1"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DE73A20" w14:textId="77777777" w:rsidR="00F474A4" w:rsidRPr="00A83E9D" w:rsidRDefault="00CF2CA4"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n-US"/>
        </w:rPr>
      </w:pPr>
      <w:r>
        <w:rPr>
          <w:rFonts w:ascii="Cambria" w:hAnsi="Cambria"/>
          <w:sz w:val="20"/>
          <w:szCs w:val="20"/>
          <w:lang w:val="en-US"/>
        </w:rPr>
        <w:t>The Argentine State argued that it is not internationally responsible insofar as the arrests of the alleged victims were legal and in keeping with the American Convention</w:t>
      </w:r>
      <w:r w:rsidR="00F474A4" w:rsidRPr="00A83E9D">
        <w:rPr>
          <w:rFonts w:ascii="Cambria" w:hAnsi="Cambria"/>
          <w:sz w:val="20"/>
          <w:szCs w:val="20"/>
          <w:lang w:val="en-US"/>
        </w:rPr>
        <w:t>.</w:t>
      </w:r>
      <w:r>
        <w:rPr>
          <w:rFonts w:ascii="Cambria" w:hAnsi="Cambria"/>
          <w:sz w:val="20"/>
          <w:szCs w:val="20"/>
          <w:lang w:val="en-US"/>
        </w:rPr>
        <w:t xml:space="preserve"> The State argued that the decision of the police agents to intercept the vehicles in which Messrs. </w:t>
      </w:r>
      <w:proofErr w:type="spellStart"/>
      <w:r w:rsidR="00F474A4" w:rsidRPr="00A83E9D">
        <w:rPr>
          <w:rFonts w:ascii="Cambria" w:hAnsi="Cambria"/>
          <w:sz w:val="20"/>
          <w:szCs w:val="20"/>
          <w:lang w:val="en-US"/>
        </w:rPr>
        <w:t>Fernández</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and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were </w:t>
      </w:r>
      <w:r w:rsidR="00014FCE">
        <w:rPr>
          <w:rFonts w:ascii="Cambria" w:hAnsi="Cambria"/>
          <w:sz w:val="20"/>
          <w:szCs w:val="20"/>
          <w:lang w:val="en-US"/>
        </w:rPr>
        <w:t xml:space="preserve">traveling </w:t>
      </w:r>
      <w:r>
        <w:rPr>
          <w:rFonts w:ascii="Cambria" w:hAnsi="Cambria"/>
          <w:sz w:val="20"/>
          <w:szCs w:val="20"/>
          <w:lang w:val="en-US"/>
        </w:rPr>
        <w:t xml:space="preserve">was due to their “suspicious attitude.” It added that the police agents had </w:t>
      </w:r>
      <w:r w:rsidR="00B1047B">
        <w:rPr>
          <w:rFonts w:ascii="Cambria" w:hAnsi="Cambria"/>
          <w:sz w:val="20"/>
          <w:szCs w:val="20"/>
          <w:lang w:val="en-US"/>
        </w:rPr>
        <w:t xml:space="preserve">the </w:t>
      </w:r>
      <w:r>
        <w:rPr>
          <w:rFonts w:ascii="Cambria" w:hAnsi="Cambria"/>
          <w:sz w:val="20"/>
          <w:szCs w:val="20"/>
          <w:lang w:val="en-US"/>
        </w:rPr>
        <w:t xml:space="preserve">experience </w:t>
      </w:r>
      <w:r w:rsidR="00B1047B">
        <w:rPr>
          <w:rFonts w:ascii="Cambria" w:hAnsi="Cambria"/>
          <w:sz w:val="20"/>
          <w:szCs w:val="20"/>
          <w:lang w:val="en-US"/>
        </w:rPr>
        <w:t xml:space="preserve">for </w:t>
      </w:r>
      <w:r>
        <w:rPr>
          <w:rFonts w:ascii="Cambria" w:hAnsi="Cambria"/>
          <w:sz w:val="20"/>
          <w:szCs w:val="20"/>
          <w:lang w:val="en-US"/>
        </w:rPr>
        <w:t xml:space="preserve">identifying irregular </w:t>
      </w:r>
      <w:r w:rsidR="00B1047B">
        <w:rPr>
          <w:rFonts w:ascii="Cambria" w:hAnsi="Cambria"/>
          <w:sz w:val="20"/>
          <w:szCs w:val="20"/>
          <w:lang w:val="en-US"/>
        </w:rPr>
        <w:t>activities based on persons’ conduct</w:t>
      </w:r>
      <w:r w:rsidR="00B1047B">
        <w:rPr>
          <w:rFonts w:ascii="Cambria" w:hAnsi="Cambria" w:cs="Arial"/>
          <w:sz w:val="20"/>
          <w:szCs w:val="20"/>
          <w:lang w:val="en-US"/>
        </w:rPr>
        <w:t>, information received</w:t>
      </w:r>
      <w:r w:rsidR="00014FCE">
        <w:rPr>
          <w:rFonts w:ascii="Cambria" w:hAnsi="Cambria" w:cs="Arial"/>
          <w:sz w:val="20"/>
          <w:szCs w:val="20"/>
          <w:lang w:val="en-US"/>
        </w:rPr>
        <w:t>,</w:t>
      </w:r>
      <w:r w:rsidR="00B1047B">
        <w:rPr>
          <w:rFonts w:ascii="Cambria" w:hAnsi="Cambria" w:cs="Arial"/>
          <w:sz w:val="20"/>
          <w:szCs w:val="20"/>
          <w:lang w:val="en-US"/>
        </w:rPr>
        <w:t xml:space="preserve"> or complaints, thus the alleged victims’ identification was requested, and their automobiles</w:t>
      </w:r>
      <w:r w:rsidR="00014FCE">
        <w:rPr>
          <w:rFonts w:ascii="Cambria" w:hAnsi="Cambria" w:cs="Arial"/>
          <w:sz w:val="20"/>
          <w:szCs w:val="20"/>
          <w:lang w:val="en-US"/>
        </w:rPr>
        <w:t xml:space="preserve"> were searched</w:t>
      </w:r>
      <w:r w:rsidR="00B1047B">
        <w:rPr>
          <w:rFonts w:ascii="Cambria" w:hAnsi="Cambria" w:cs="Arial"/>
          <w:sz w:val="20"/>
          <w:szCs w:val="20"/>
          <w:lang w:val="en-US"/>
        </w:rPr>
        <w:t xml:space="preserve">. </w:t>
      </w:r>
    </w:p>
    <w:p w14:paraId="7AADA22E"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n-US"/>
        </w:rPr>
      </w:pPr>
    </w:p>
    <w:p w14:paraId="7233C6A1" w14:textId="77777777" w:rsidR="00F474A4" w:rsidRPr="00A83E9D" w:rsidRDefault="00014FCE"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State </w:t>
      </w:r>
      <w:r w:rsidR="002F2C86">
        <w:rPr>
          <w:rFonts w:ascii="Cambria" w:hAnsi="Cambria"/>
          <w:sz w:val="20"/>
          <w:szCs w:val="20"/>
          <w:lang w:val="en-US"/>
        </w:rPr>
        <w:t>argued that the arrest and subsequent institution of criminal proceedings against the alleged victims was due to the seizure of drugs and weapons that were in their vehicles. It argued that this was on record in a report and that the alleged victims were informed of the reasons for their arrest.</w:t>
      </w:r>
      <w:r w:rsidR="00F474A4" w:rsidRPr="00A83E9D">
        <w:rPr>
          <w:rFonts w:ascii="Cambria" w:hAnsi="Cambria"/>
          <w:sz w:val="20"/>
          <w:szCs w:val="20"/>
          <w:lang w:val="en-US"/>
        </w:rPr>
        <w:t xml:space="preserve"> </w:t>
      </w:r>
    </w:p>
    <w:p w14:paraId="4757FB82"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5588F28" w14:textId="77777777" w:rsidR="00F474A4" w:rsidRPr="00A83E9D" w:rsidRDefault="002F2C8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State also said that the criminal proceedings and consequent convictions all took place respecting due process guarantees. It indicated that the IACHR cannot rule on the judgments handed down in those proceedings, for in that case it </w:t>
      </w:r>
      <w:r w:rsidR="00014FCE">
        <w:rPr>
          <w:rFonts w:ascii="Cambria" w:hAnsi="Cambria"/>
          <w:sz w:val="20"/>
          <w:szCs w:val="20"/>
          <w:lang w:val="en-US"/>
        </w:rPr>
        <w:t>w</w:t>
      </w:r>
      <w:r>
        <w:rPr>
          <w:rFonts w:ascii="Cambria" w:hAnsi="Cambria"/>
          <w:sz w:val="20"/>
          <w:szCs w:val="20"/>
          <w:lang w:val="en-US"/>
        </w:rPr>
        <w:t xml:space="preserve">ould be sitting as a court of fourth instance. </w:t>
      </w:r>
    </w:p>
    <w:p w14:paraId="0178BEB6"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039030B" w14:textId="77777777" w:rsidR="00F474A4" w:rsidRPr="00A83E9D" w:rsidRDefault="002F2C86" w:rsidP="00F474A4">
      <w:pPr>
        <w:pStyle w:val="Heading1"/>
      </w:pPr>
      <w:bookmarkStart w:id="25" w:name="_Toc480636766"/>
      <w:bookmarkStart w:id="26" w:name="_Toc495868431"/>
      <w:bookmarkStart w:id="27" w:name="_Toc497896918"/>
      <w:r>
        <w:t>FACTS PROVEN</w:t>
      </w:r>
      <w:bookmarkEnd w:id="27"/>
      <w:r>
        <w:t xml:space="preserve"> </w:t>
      </w:r>
      <w:bookmarkEnd w:id="25"/>
      <w:bookmarkEnd w:id="26"/>
    </w:p>
    <w:p w14:paraId="763675F1" w14:textId="77777777" w:rsidR="00F474A4" w:rsidRPr="00A83E9D" w:rsidRDefault="00F474A4" w:rsidP="00F474A4">
      <w:pPr>
        <w:suppressAutoHyphens/>
        <w:jc w:val="both"/>
        <w:rPr>
          <w:rFonts w:ascii="Cambria" w:hAnsi="Cambria"/>
          <w:sz w:val="20"/>
          <w:szCs w:val="20"/>
        </w:rPr>
      </w:pPr>
    </w:p>
    <w:p w14:paraId="225785B1" w14:textId="77777777" w:rsidR="00F474A4" w:rsidRPr="00A83E9D" w:rsidRDefault="002F2C86" w:rsidP="00F474A4">
      <w:pPr>
        <w:pStyle w:val="Heading2"/>
        <w:numPr>
          <w:ilvl w:val="0"/>
          <w:numId w:val="106"/>
        </w:numPr>
        <w:ind w:left="1440" w:hanging="720"/>
      </w:pPr>
      <w:bookmarkStart w:id="28" w:name="_Toc495868432"/>
      <w:bookmarkStart w:id="29" w:name="_Toc497896919"/>
      <w:r>
        <w:t>Relevant law</w:t>
      </w:r>
      <w:bookmarkEnd w:id="29"/>
      <w:r>
        <w:t xml:space="preserve"> </w:t>
      </w:r>
      <w:bookmarkEnd w:id="28"/>
    </w:p>
    <w:p w14:paraId="12B09F29" w14:textId="77777777" w:rsidR="00F474A4" w:rsidRPr="00A83E9D" w:rsidRDefault="00F474A4" w:rsidP="00F474A4">
      <w:pPr>
        <w:suppressAutoHyphens/>
        <w:ind w:left="720"/>
        <w:jc w:val="both"/>
        <w:rPr>
          <w:rFonts w:ascii="Cambria" w:hAnsi="Cambria"/>
          <w:sz w:val="20"/>
          <w:szCs w:val="20"/>
        </w:rPr>
      </w:pPr>
    </w:p>
    <w:p w14:paraId="1CD6A2CA" w14:textId="77777777" w:rsidR="00F474A4" w:rsidRPr="00A83E9D" w:rsidRDefault="002F2C8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eastAsia="SimSun" w:hAnsi="Cambria"/>
          <w:sz w:val="20"/>
          <w:szCs w:val="20"/>
          <w:lang w:val="en-US"/>
        </w:rPr>
        <w:t xml:space="preserve">Article </w:t>
      </w:r>
      <w:r w:rsidR="00F474A4" w:rsidRPr="00A83E9D">
        <w:rPr>
          <w:rFonts w:ascii="Cambria" w:eastAsia="SimSun" w:hAnsi="Cambria"/>
          <w:sz w:val="20"/>
          <w:szCs w:val="20"/>
          <w:lang w:val="en-US"/>
        </w:rPr>
        <w:t xml:space="preserve">18 </w:t>
      </w:r>
      <w:r>
        <w:rPr>
          <w:rFonts w:ascii="Cambria" w:eastAsia="SimSun" w:hAnsi="Cambria"/>
          <w:sz w:val="20"/>
          <w:szCs w:val="20"/>
          <w:lang w:val="en-US"/>
        </w:rPr>
        <w:t>of the Constitution of Argentina provides</w:t>
      </w:r>
      <w:r w:rsidR="00F474A4" w:rsidRPr="00A83E9D">
        <w:rPr>
          <w:rFonts w:ascii="Cambria" w:eastAsia="SimSun" w:hAnsi="Cambria"/>
          <w:sz w:val="20"/>
          <w:szCs w:val="20"/>
          <w:lang w:val="en-US"/>
        </w:rPr>
        <w:t>:</w:t>
      </w:r>
    </w:p>
    <w:p w14:paraId="712FF061" w14:textId="77777777" w:rsidR="00F474A4" w:rsidRPr="00A83E9D" w:rsidRDefault="00F474A4" w:rsidP="00F474A4">
      <w:pPr>
        <w:pStyle w:val="NormalWeb"/>
        <w:shd w:val="clear" w:color="auto" w:fill="FFFFFF"/>
        <w:spacing w:before="0" w:beforeAutospacing="0" w:after="0" w:afterAutospacing="0"/>
        <w:ind w:left="720" w:right="720"/>
        <w:jc w:val="both"/>
        <w:rPr>
          <w:rFonts w:ascii="Cambria" w:hAnsi="Cambria"/>
          <w:sz w:val="20"/>
          <w:szCs w:val="20"/>
          <w:lang w:val="en-US"/>
        </w:rPr>
      </w:pPr>
    </w:p>
    <w:p w14:paraId="5725A0A3" w14:textId="3C94BD13" w:rsidR="00F474A4" w:rsidRPr="00A83E9D" w:rsidRDefault="00FE161D" w:rsidP="00F474A4">
      <w:pPr>
        <w:pStyle w:val="NormalWeb"/>
        <w:shd w:val="clear" w:color="auto" w:fill="FFFFFF"/>
        <w:spacing w:before="0" w:beforeAutospacing="0" w:after="0" w:afterAutospacing="0"/>
        <w:ind w:left="720" w:right="720"/>
        <w:jc w:val="both"/>
        <w:rPr>
          <w:rFonts w:ascii="Cambria" w:hAnsi="Cambria" w:cs="Arial"/>
          <w:sz w:val="20"/>
          <w:szCs w:val="20"/>
          <w:lang w:val="en-US"/>
        </w:rPr>
      </w:pPr>
      <w:r w:rsidRPr="00FE161D">
        <w:rPr>
          <w:rFonts w:ascii="Cambria" w:hAnsi="Cambria"/>
          <w:sz w:val="20"/>
          <w:szCs w:val="20"/>
          <w:lang w:val="en-US"/>
        </w:rPr>
        <w:t xml:space="preserve">No inhabitant of the Nation may be punished without previous trial based on a law enacted before the act that gives rise to the process, nor tried by special committees, nor removed from the judges appointed by law before the act for which he is tried. Nobody may be compelled to testify against himself, nor be arrested except </w:t>
      </w:r>
      <w:r w:rsidR="006121BB" w:rsidRPr="00FE161D">
        <w:rPr>
          <w:rFonts w:ascii="Cambria" w:hAnsi="Cambria"/>
          <w:sz w:val="20"/>
          <w:szCs w:val="20"/>
          <w:lang w:val="en-US"/>
        </w:rPr>
        <w:t>by</w:t>
      </w:r>
      <w:r w:rsidRPr="00FE161D">
        <w:rPr>
          <w:rFonts w:ascii="Cambria" w:hAnsi="Cambria"/>
          <w:sz w:val="20"/>
          <w:szCs w:val="20"/>
          <w:lang w:val="en-US"/>
        </w:rPr>
        <w:t xml:space="preserve"> a written warrant issued by a competent authority. The defense by trial of persons and rights may not be violated. The domicile may not be violated, as well as the written correspondence and private papers; and a law shall determine in which cases and for what reasons their search and occupation shall </w:t>
      </w:r>
      <w:r w:rsidRPr="00FE161D">
        <w:rPr>
          <w:rFonts w:ascii="Cambria" w:hAnsi="Cambria"/>
          <w:sz w:val="20"/>
          <w:szCs w:val="20"/>
          <w:lang w:val="en-US"/>
        </w:rPr>
        <w:lastRenderedPageBreak/>
        <w:t xml:space="preserve">be allowed. Death penalty for political causes, any kind of tortures and whipping, are forever abolished. </w:t>
      </w:r>
      <w:r w:rsidR="00C61771">
        <w:rPr>
          <w:rFonts w:ascii="Cambria" w:hAnsi="Cambria"/>
          <w:sz w:val="20"/>
          <w:szCs w:val="20"/>
          <w:lang w:val="en-US"/>
        </w:rPr>
        <w:t>(…)</w:t>
      </w:r>
      <w:r w:rsidRPr="00FE161D">
        <w:rPr>
          <w:rFonts w:ascii="Cambria" w:hAnsi="Cambria"/>
          <w:sz w:val="20"/>
          <w:szCs w:val="20"/>
          <w:lang w:val="en-US"/>
        </w:rPr>
        <w:t>.</w:t>
      </w:r>
      <w:r w:rsidR="00F474A4" w:rsidRPr="00A83E9D">
        <w:rPr>
          <w:rStyle w:val="FootnoteReference"/>
          <w:rFonts w:ascii="Cambria" w:hAnsi="Cambria"/>
          <w:sz w:val="20"/>
          <w:szCs w:val="20"/>
          <w:lang w:val="en-US"/>
        </w:rPr>
        <w:footnoteReference w:id="3"/>
      </w:r>
    </w:p>
    <w:p w14:paraId="59908087" w14:textId="77777777" w:rsidR="00F474A4" w:rsidRPr="00A83E9D" w:rsidRDefault="00F474A4" w:rsidP="00F474A4">
      <w:pPr>
        <w:ind w:left="720"/>
        <w:jc w:val="both"/>
        <w:rPr>
          <w:rFonts w:ascii="Cambria" w:hAnsi="Cambria"/>
          <w:sz w:val="20"/>
          <w:szCs w:val="20"/>
        </w:rPr>
      </w:pPr>
    </w:p>
    <w:p w14:paraId="179FA9CA" w14:textId="77777777" w:rsidR="00F474A4" w:rsidRPr="00A83E9D" w:rsidRDefault="00FE161D"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eastAsia="SimSun" w:hAnsi="Cambria"/>
          <w:sz w:val="20"/>
          <w:szCs w:val="20"/>
          <w:lang w:val="en-US"/>
        </w:rPr>
        <w:t xml:space="preserve">As of </w:t>
      </w:r>
      <w:r w:rsidR="00F474A4" w:rsidRPr="00A83E9D">
        <w:rPr>
          <w:rFonts w:ascii="Cambria" w:eastAsia="SimSun" w:hAnsi="Cambria"/>
          <w:sz w:val="20"/>
          <w:szCs w:val="20"/>
          <w:lang w:val="en-US"/>
        </w:rPr>
        <w:t xml:space="preserve">1992, </w:t>
      </w:r>
      <w:r>
        <w:rPr>
          <w:rFonts w:ascii="Cambria" w:eastAsia="SimSun" w:hAnsi="Cambria"/>
          <w:sz w:val="20"/>
          <w:szCs w:val="20"/>
          <w:lang w:val="en-US"/>
        </w:rPr>
        <w:t xml:space="preserve">when Mr. </w:t>
      </w:r>
      <w:proofErr w:type="spellStart"/>
      <w:r w:rsidR="00F474A4" w:rsidRPr="00A83E9D">
        <w:rPr>
          <w:rFonts w:ascii="Cambria" w:eastAsia="SimSun" w:hAnsi="Cambria"/>
          <w:sz w:val="20"/>
          <w:szCs w:val="20"/>
          <w:lang w:val="en-US"/>
        </w:rPr>
        <w:t>Fernández</w:t>
      </w:r>
      <w:proofErr w:type="spellEnd"/>
      <w:r>
        <w:rPr>
          <w:rFonts w:ascii="Cambria" w:eastAsia="SimSun" w:hAnsi="Cambria"/>
          <w:sz w:val="20"/>
          <w:szCs w:val="20"/>
          <w:lang w:val="en-US"/>
        </w:rPr>
        <w:t xml:space="preserve"> was arrested</w:t>
      </w:r>
      <w:r w:rsidR="00F474A4" w:rsidRPr="00A83E9D">
        <w:rPr>
          <w:rFonts w:ascii="Cambria" w:eastAsia="SimSun" w:hAnsi="Cambria"/>
          <w:sz w:val="20"/>
          <w:szCs w:val="20"/>
          <w:lang w:val="en-US"/>
        </w:rPr>
        <w:t xml:space="preserve">, </w:t>
      </w:r>
      <w:r w:rsidR="00014FCE">
        <w:rPr>
          <w:rFonts w:ascii="Cambria" w:eastAsia="SimSun" w:hAnsi="Cambria"/>
          <w:sz w:val="20"/>
          <w:szCs w:val="20"/>
          <w:lang w:val="en-US"/>
        </w:rPr>
        <w:t xml:space="preserve">Law 2372, </w:t>
      </w:r>
      <w:r>
        <w:rPr>
          <w:rFonts w:ascii="Cambria" w:eastAsia="SimSun" w:hAnsi="Cambria"/>
          <w:sz w:val="20"/>
          <w:szCs w:val="20"/>
          <w:lang w:val="en-US"/>
        </w:rPr>
        <w:t xml:space="preserve">Code of Criminal Procedure, regulated detentions without a judicial warrant </w:t>
      </w:r>
      <w:r w:rsidR="00DC2F36">
        <w:rPr>
          <w:rFonts w:ascii="Cambria" w:eastAsia="SimSun" w:hAnsi="Cambria"/>
          <w:sz w:val="20"/>
          <w:szCs w:val="20"/>
          <w:lang w:val="en-US"/>
        </w:rPr>
        <w:t>in the federal jurisdiction in the following terms</w:t>
      </w:r>
      <w:r w:rsidR="00F474A4" w:rsidRPr="00A83E9D">
        <w:rPr>
          <w:rFonts w:ascii="Cambria" w:hAnsi="Cambria"/>
          <w:sz w:val="20"/>
          <w:szCs w:val="20"/>
          <w:lang w:val="en-US"/>
        </w:rPr>
        <w:t xml:space="preserve">: </w:t>
      </w:r>
    </w:p>
    <w:p w14:paraId="63416FB1"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6066B3D0"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n-US"/>
        </w:rPr>
      </w:pPr>
      <w:r w:rsidRPr="00A83E9D">
        <w:rPr>
          <w:rFonts w:ascii="Cambria" w:eastAsia="SimSun" w:hAnsi="Cambria"/>
          <w:sz w:val="20"/>
          <w:szCs w:val="20"/>
          <w:lang w:val="en-US"/>
        </w:rPr>
        <w:t>Art</w:t>
      </w:r>
      <w:r w:rsidR="00DC2F36">
        <w:rPr>
          <w:rFonts w:ascii="Cambria" w:eastAsia="SimSun" w:hAnsi="Cambria"/>
          <w:sz w:val="20"/>
          <w:szCs w:val="20"/>
          <w:lang w:val="en-US"/>
        </w:rPr>
        <w:t xml:space="preserve">icle </w:t>
      </w:r>
      <w:r w:rsidRPr="00A83E9D">
        <w:rPr>
          <w:rFonts w:ascii="Cambria" w:eastAsia="SimSun" w:hAnsi="Cambria"/>
          <w:sz w:val="20"/>
          <w:szCs w:val="20"/>
          <w:lang w:val="en-US"/>
        </w:rPr>
        <w:t xml:space="preserve">4: </w:t>
      </w:r>
      <w:r w:rsidR="00DC2F36">
        <w:rPr>
          <w:rFonts w:ascii="Cambria" w:eastAsia="SimSun" w:hAnsi="Cambria"/>
          <w:sz w:val="20"/>
          <w:szCs w:val="20"/>
          <w:lang w:val="en-US"/>
        </w:rPr>
        <w:t xml:space="preserve">The chief of the Police of the Capital and his agents have the duty to arrest persons who they catch </w:t>
      </w:r>
      <w:r w:rsidR="00014FCE">
        <w:rPr>
          <w:rFonts w:ascii="Cambria" w:eastAsia="SimSun" w:hAnsi="Cambria"/>
          <w:i/>
          <w:sz w:val="20"/>
          <w:szCs w:val="20"/>
          <w:lang w:val="en-US"/>
        </w:rPr>
        <w:t>in fl</w:t>
      </w:r>
      <w:r w:rsidRPr="00A83E9D">
        <w:rPr>
          <w:rFonts w:ascii="Cambria" w:eastAsia="SimSun" w:hAnsi="Cambria"/>
          <w:i/>
          <w:sz w:val="20"/>
          <w:szCs w:val="20"/>
          <w:lang w:val="en-US"/>
        </w:rPr>
        <w:t>ag</w:t>
      </w:r>
      <w:r w:rsidR="00014FCE">
        <w:rPr>
          <w:rFonts w:ascii="Cambria" w:eastAsia="SimSun" w:hAnsi="Cambria"/>
          <w:i/>
          <w:sz w:val="20"/>
          <w:szCs w:val="20"/>
          <w:lang w:val="en-US"/>
        </w:rPr>
        <w:t>r</w:t>
      </w:r>
      <w:r w:rsidRPr="00A83E9D">
        <w:rPr>
          <w:rFonts w:ascii="Cambria" w:eastAsia="SimSun" w:hAnsi="Cambria"/>
          <w:i/>
          <w:sz w:val="20"/>
          <w:szCs w:val="20"/>
          <w:lang w:val="en-US"/>
        </w:rPr>
        <w:t>ant</w:t>
      </w:r>
      <w:r w:rsidR="00DC2F36">
        <w:rPr>
          <w:rFonts w:ascii="Cambria" w:eastAsia="SimSun" w:hAnsi="Cambria"/>
          <w:i/>
          <w:sz w:val="20"/>
          <w:szCs w:val="20"/>
          <w:lang w:val="en-US"/>
        </w:rPr>
        <w:t xml:space="preserve">e delicto </w:t>
      </w:r>
      <w:r w:rsidR="00DC2F36">
        <w:rPr>
          <w:rFonts w:ascii="Cambria" w:eastAsia="SimSun" w:hAnsi="Cambria"/>
          <w:sz w:val="20"/>
          <w:szCs w:val="20"/>
          <w:lang w:val="en-US"/>
        </w:rPr>
        <w:t xml:space="preserve">and those against whom </w:t>
      </w:r>
      <w:r w:rsidR="00B83B17">
        <w:rPr>
          <w:rFonts w:ascii="Cambria" w:eastAsia="SimSun" w:hAnsi="Cambria"/>
          <w:sz w:val="20"/>
          <w:szCs w:val="20"/>
          <w:lang w:val="en-US"/>
        </w:rPr>
        <w:t xml:space="preserve">are </w:t>
      </w:r>
      <w:r w:rsidR="00DC2F36">
        <w:rPr>
          <w:rFonts w:ascii="Cambria" w:eastAsia="SimSun" w:hAnsi="Cambria"/>
          <w:sz w:val="20"/>
          <w:szCs w:val="20"/>
          <w:lang w:val="en-US"/>
        </w:rPr>
        <w:t xml:space="preserve">vehement indicia or </w:t>
      </w:r>
      <w:r w:rsidR="00F80403" w:rsidRPr="00F80403">
        <w:rPr>
          <w:rFonts w:ascii="Cambria" w:eastAsia="SimSun" w:hAnsi="Cambria"/>
          <w:i/>
          <w:sz w:val="20"/>
          <w:szCs w:val="20"/>
          <w:lang w:val="en-US"/>
        </w:rPr>
        <w:t>prima facie</w:t>
      </w:r>
      <w:r w:rsidR="00F80403">
        <w:rPr>
          <w:rFonts w:ascii="Cambria" w:eastAsia="SimSun" w:hAnsi="Cambria"/>
          <w:sz w:val="20"/>
          <w:szCs w:val="20"/>
          <w:lang w:val="en-US"/>
        </w:rPr>
        <w:t xml:space="preserve"> conclusive evidence </w:t>
      </w:r>
      <w:r w:rsidR="00DC2F36">
        <w:rPr>
          <w:rFonts w:ascii="Cambria" w:eastAsia="SimSun" w:hAnsi="Cambria"/>
          <w:sz w:val="20"/>
          <w:szCs w:val="20"/>
          <w:lang w:val="en-US"/>
        </w:rPr>
        <w:t>of guilt</w:t>
      </w:r>
      <w:r w:rsidR="00B83B17">
        <w:rPr>
          <w:rFonts w:ascii="Cambria" w:eastAsia="SimSun" w:hAnsi="Cambria"/>
          <w:sz w:val="20"/>
          <w:szCs w:val="20"/>
          <w:lang w:val="en-US"/>
        </w:rPr>
        <w:t xml:space="preserve">, </w:t>
      </w:r>
      <w:r w:rsidR="00DC2F36">
        <w:rPr>
          <w:rFonts w:ascii="Cambria" w:eastAsia="SimSun" w:hAnsi="Cambria"/>
          <w:sz w:val="20"/>
          <w:szCs w:val="20"/>
          <w:lang w:val="en-US"/>
        </w:rPr>
        <w:t xml:space="preserve">and should immediately bring them before a competent judge. </w:t>
      </w:r>
    </w:p>
    <w:p w14:paraId="5F0D1C96" w14:textId="77777777" w:rsidR="00DC2F36"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n-US"/>
        </w:rPr>
      </w:pPr>
      <w:r w:rsidRPr="00A83E9D">
        <w:rPr>
          <w:rFonts w:ascii="Cambria" w:eastAsia="SimSun" w:hAnsi="Cambria"/>
          <w:sz w:val="20"/>
          <w:szCs w:val="20"/>
          <w:lang w:val="en-US"/>
        </w:rPr>
        <w:t>…</w:t>
      </w:r>
    </w:p>
    <w:p w14:paraId="150E8129"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n-US"/>
        </w:rPr>
      </w:pPr>
      <w:r w:rsidRPr="00A83E9D">
        <w:rPr>
          <w:rFonts w:ascii="Cambria" w:eastAsia="SimSun" w:hAnsi="Cambria"/>
          <w:sz w:val="20"/>
          <w:szCs w:val="20"/>
          <w:lang w:val="en-US"/>
        </w:rPr>
        <w:t>Art</w:t>
      </w:r>
      <w:r w:rsidR="00DC2F36">
        <w:rPr>
          <w:rFonts w:ascii="Cambria" w:eastAsia="SimSun" w:hAnsi="Cambria"/>
          <w:sz w:val="20"/>
          <w:szCs w:val="20"/>
          <w:lang w:val="en-US"/>
        </w:rPr>
        <w:t>icle 184.4: …</w:t>
      </w:r>
      <w:r w:rsidRPr="00A83E9D">
        <w:rPr>
          <w:rFonts w:ascii="Cambria" w:eastAsia="SimSun" w:hAnsi="Cambria"/>
          <w:sz w:val="20"/>
          <w:szCs w:val="20"/>
          <w:lang w:val="en-US"/>
        </w:rPr>
        <w:t xml:space="preserve"> </w:t>
      </w:r>
      <w:r w:rsidR="00DC2F36">
        <w:rPr>
          <w:rFonts w:ascii="Cambria" w:eastAsia="SimSun" w:hAnsi="Cambria"/>
          <w:sz w:val="20"/>
          <w:szCs w:val="20"/>
          <w:lang w:val="en-US"/>
        </w:rPr>
        <w:t>in public offenses, the officers shall have the following obligations and powers: To proceed to the arrest of the purportedly guilty person in the cases mentioned in Article 4.</w:t>
      </w:r>
      <w:r w:rsidRPr="00A83E9D">
        <w:rPr>
          <w:rStyle w:val="FootnoteReference"/>
          <w:rFonts w:ascii="Cambria" w:hAnsi="Cambria"/>
          <w:sz w:val="20"/>
          <w:szCs w:val="20"/>
          <w:lang w:val="en-US"/>
        </w:rPr>
        <w:footnoteReference w:id="4"/>
      </w:r>
    </w:p>
    <w:p w14:paraId="687DAD20" w14:textId="77777777" w:rsidR="00F474A4" w:rsidRPr="00A83E9D" w:rsidRDefault="00F474A4" w:rsidP="00F474A4">
      <w:pPr>
        <w:ind w:left="720"/>
        <w:jc w:val="both"/>
        <w:rPr>
          <w:rFonts w:ascii="Cambria" w:hAnsi="Cambria"/>
          <w:sz w:val="20"/>
          <w:szCs w:val="20"/>
        </w:rPr>
      </w:pPr>
    </w:p>
    <w:p w14:paraId="38679D69" w14:textId="77777777" w:rsidR="00F474A4" w:rsidRPr="00A83E9D" w:rsidRDefault="00DC2F3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eastAsia="SimSun" w:hAnsi="Cambria"/>
          <w:sz w:val="20"/>
          <w:szCs w:val="20"/>
          <w:lang w:val="en-US"/>
        </w:rPr>
        <w:t xml:space="preserve">Law </w:t>
      </w:r>
      <w:r w:rsidR="00F474A4" w:rsidRPr="00A83E9D">
        <w:rPr>
          <w:rFonts w:ascii="Cambria" w:eastAsia="SimSun" w:hAnsi="Cambria"/>
          <w:sz w:val="20"/>
          <w:szCs w:val="20"/>
          <w:lang w:val="en-US"/>
        </w:rPr>
        <w:t>23</w:t>
      </w:r>
      <w:r>
        <w:rPr>
          <w:rFonts w:ascii="Cambria" w:eastAsia="SimSun" w:hAnsi="Cambria"/>
          <w:sz w:val="20"/>
          <w:szCs w:val="20"/>
          <w:lang w:val="en-US"/>
        </w:rPr>
        <w:t xml:space="preserve">,950 of 1991 – Limitation of police authority – amended the Statute of the Federal Police and indicated as follows: </w:t>
      </w:r>
    </w:p>
    <w:p w14:paraId="7A0E977D"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1CD68827" w14:textId="77777777" w:rsidR="00F474A4" w:rsidRPr="00A83E9D" w:rsidRDefault="00F474A4" w:rsidP="00F474A4">
      <w:pPr>
        <w:ind w:left="720" w:right="720"/>
        <w:jc w:val="both"/>
        <w:rPr>
          <w:rFonts w:ascii="Cambria" w:hAnsi="Cambria"/>
          <w:sz w:val="20"/>
          <w:szCs w:val="20"/>
        </w:rPr>
      </w:pPr>
      <w:r w:rsidRPr="00A83E9D">
        <w:rPr>
          <w:rFonts w:ascii="Cambria" w:eastAsia="SimSun" w:hAnsi="Cambria"/>
          <w:sz w:val="20"/>
          <w:szCs w:val="20"/>
        </w:rPr>
        <w:t>Art</w:t>
      </w:r>
      <w:r w:rsidR="00DC2F36">
        <w:rPr>
          <w:rFonts w:ascii="Cambria" w:eastAsia="SimSun" w:hAnsi="Cambria"/>
          <w:sz w:val="20"/>
          <w:szCs w:val="20"/>
        </w:rPr>
        <w:t xml:space="preserve">icle </w:t>
      </w:r>
      <w:r w:rsidRPr="00A83E9D">
        <w:rPr>
          <w:rFonts w:ascii="Cambria" w:eastAsia="SimSun" w:hAnsi="Cambria"/>
          <w:sz w:val="20"/>
          <w:szCs w:val="20"/>
        </w:rPr>
        <w:t xml:space="preserve">1: </w:t>
      </w:r>
      <w:r w:rsidR="00DC2F36">
        <w:rPr>
          <w:rFonts w:ascii="Cambria" w:eastAsia="SimSun" w:hAnsi="Cambria"/>
          <w:sz w:val="20"/>
          <w:szCs w:val="20"/>
        </w:rPr>
        <w:t xml:space="preserve">Apart from the cases established in the Code of Criminal Procedure, persons may not be arrested without the order of a competent judge. Nonetheless, if there are duly founded circumstances that make one presume that someone has committed or may commit a criminal act or a breach and does not show clearly his or her identity, he or she may be taken to the corresponding police station </w:t>
      </w:r>
      <w:r w:rsidR="005724D1">
        <w:rPr>
          <w:rFonts w:ascii="Cambria" w:eastAsia="SimSun" w:hAnsi="Cambria"/>
          <w:sz w:val="20"/>
          <w:szCs w:val="20"/>
        </w:rPr>
        <w:t xml:space="preserve">with notice </w:t>
      </w:r>
      <w:r w:rsidR="00014FCE">
        <w:rPr>
          <w:rFonts w:ascii="Cambria" w:eastAsia="SimSun" w:hAnsi="Cambria"/>
          <w:sz w:val="20"/>
          <w:szCs w:val="20"/>
        </w:rPr>
        <w:t xml:space="preserve">to </w:t>
      </w:r>
      <w:r w:rsidR="005724D1">
        <w:rPr>
          <w:rFonts w:ascii="Cambria" w:eastAsia="SimSun" w:hAnsi="Cambria"/>
          <w:sz w:val="20"/>
          <w:szCs w:val="20"/>
        </w:rPr>
        <w:t>the judge with jurisdiction over criminal matters on duty and kept for the minimum time necessary for establishing his or her identity, which in no case may exceed ten hours.</w:t>
      </w:r>
      <w:r w:rsidRPr="00A83E9D">
        <w:rPr>
          <w:rStyle w:val="FootnoteReference"/>
          <w:rFonts w:ascii="Cambria" w:hAnsi="Cambria"/>
          <w:sz w:val="20"/>
          <w:szCs w:val="20"/>
        </w:rPr>
        <w:footnoteReference w:id="5"/>
      </w:r>
    </w:p>
    <w:p w14:paraId="6D320FD0"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495A1FD" w14:textId="77777777" w:rsidR="00F474A4" w:rsidRPr="00A83E9D" w:rsidRDefault="005724D1"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eastAsia="SimSun" w:hAnsi="Cambria"/>
          <w:sz w:val="20"/>
          <w:szCs w:val="20"/>
          <w:lang w:val="en-US"/>
        </w:rPr>
        <w:t xml:space="preserve">In addition, after </w:t>
      </w:r>
      <w:r w:rsidR="00F474A4" w:rsidRPr="00A83E9D">
        <w:rPr>
          <w:rFonts w:ascii="Cambria" w:eastAsia="SimSun" w:hAnsi="Cambria"/>
          <w:sz w:val="20"/>
          <w:szCs w:val="20"/>
          <w:lang w:val="en-US"/>
        </w:rPr>
        <w:t xml:space="preserve">1992 </w:t>
      </w:r>
      <w:r>
        <w:rPr>
          <w:rFonts w:ascii="Cambria" w:eastAsia="SimSun" w:hAnsi="Cambria"/>
          <w:sz w:val="20"/>
          <w:szCs w:val="20"/>
          <w:lang w:val="en-US"/>
        </w:rPr>
        <w:t>the Federal Code of Criminal Procedure was amended</w:t>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Article </w:t>
      </w:r>
      <w:r w:rsidR="00F474A4" w:rsidRPr="00A83E9D">
        <w:rPr>
          <w:rFonts w:ascii="Cambria" w:eastAsia="SimSun" w:hAnsi="Cambria"/>
          <w:sz w:val="20"/>
          <w:szCs w:val="20"/>
          <w:lang w:val="en-US"/>
        </w:rPr>
        <w:t xml:space="preserve">284 </w:t>
      </w:r>
      <w:r>
        <w:rPr>
          <w:rFonts w:ascii="Cambria" w:eastAsia="SimSun" w:hAnsi="Cambria"/>
          <w:sz w:val="20"/>
          <w:szCs w:val="20"/>
          <w:lang w:val="en-US"/>
        </w:rPr>
        <w:t>of that law establishes as follows</w:t>
      </w:r>
      <w:r w:rsidR="00F474A4" w:rsidRPr="00A83E9D">
        <w:rPr>
          <w:rFonts w:ascii="Cambria" w:eastAsia="SimSun" w:hAnsi="Cambria"/>
          <w:sz w:val="20"/>
          <w:szCs w:val="20"/>
          <w:lang w:val="en-US"/>
        </w:rPr>
        <w:t xml:space="preserve">: </w:t>
      </w:r>
    </w:p>
    <w:p w14:paraId="6B743176" w14:textId="77777777" w:rsidR="00F474A4" w:rsidRPr="00A83E9D" w:rsidRDefault="00F474A4" w:rsidP="00F474A4">
      <w:pPr>
        <w:tabs>
          <w:tab w:val="left" w:pos="8640"/>
        </w:tabs>
        <w:ind w:left="720" w:right="720"/>
        <w:jc w:val="both"/>
        <w:rPr>
          <w:rFonts w:ascii="Cambria" w:eastAsia="Times New Roman" w:hAnsi="Cambria"/>
          <w:sz w:val="20"/>
          <w:szCs w:val="20"/>
        </w:rPr>
      </w:pPr>
    </w:p>
    <w:p w14:paraId="639A71CD" w14:textId="77777777" w:rsidR="00F474A4" w:rsidRPr="00A83E9D" w:rsidRDefault="005724D1" w:rsidP="00F474A4">
      <w:pPr>
        <w:tabs>
          <w:tab w:val="left" w:pos="8640"/>
        </w:tabs>
        <w:ind w:left="720" w:right="720"/>
        <w:jc w:val="both"/>
        <w:rPr>
          <w:rFonts w:ascii="Cambria" w:eastAsia="Times New Roman" w:hAnsi="Cambria"/>
          <w:sz w:val="20"/>
          <w:szCs w:val="20"/>
        </w:rPr>
      </w:pPr>
      <w:r>
        <w:rPr>
          <w:rFonts w:ascii="Cambria" w:eastAsia="Times New Roman" w:hAnsi="Cambria"/>
          <w:sz w:val="20"/>
          <w:szCs w:val="20"/>
        </w:rPr>
        <w:t>…</w:t>
      </w:r>
      <w:r w:rsidR="0090301B">
        <w:rPr>
          <w:rFonts w:ascii="Cambria" w:eastAsia="Times New Roman" w:hAnsi="Cambria"/>
          <w:sz w:val="20"/>
          <w:szCs w:val="20"/>
        </w:rPr>
        <w:t xml:space="preserve"> police officers and </w:t>
      </w:r>
      <w:r w:rsidR="00F474A4" w:rsidRPr="00A83E9D">
        <w:rPr>
          <w:rFonts w:ascii="Cambria" w:eastAsia="Times New Roman" w:hAnsi="Cambria"/>
          <w:sz w:val="20"/>
          <w:szCs w:val="20"/>
        </w:rPr>
        <w:t>auxiliar</w:t>
      </w:r>
      <w:r w:rsidR="0090301B">
        <w:rPr>
          <w:rFonts w:ascii="Cambria" w:eastAsia="Times New Roman" w:hAnsi="Cambria"/>
          <w:sz w:val="20"/>
          <w:szCs w:val="20"/>
        </w:rPr>
        <w:t>i</w:t>
      </w:r>
      <w:r w:rsidR="00F474A4" w:rsidRPr="00A83E9D">
        <w:rPr>
          <w:rFonts w:ascii="Cambria" w:eastAsia="Times New Roman" w:hAnsi="Cambria"/>
          <w:sz w:val="20"/>
          <w:szCs w:val="20"/>
        </w:rPr>
        <w:t xml:space="preserve">es </w:t>
      </w:r>
      <w:r w:rsidR="0090301B">
        <w:rPr>
          <w:rFonts w:ascii="Cambria" w:eastAsia="Times New Roman" w:hAnsi="Cambria"/>
          <w:sz w:val="20"/>
          <w:szCs w:val="20"/>
        </w:rPr>
        <w:t xml:space="preserve">have the duty to arrest, even without judicial warrant: </w:t>
      </w:r>
      <w:r w:rsidR="00F474A4" w:rsidRPr="00A83E9D">
        <w:rPr>
          <w:rFonts w:ascii="Cambria" w:eastAsia="Times New Roman" w:hAnsi="Cambria"/>
          <w:sz w:val="20"/>
          <w:szCs w:val="20"/>
        </w:rPr>
        <w:t xml:space="preserve">1. </w:t>
      </w:r>
      <w:r w:rsidR="0090301B">
        <w:rPr>
          <w:rFonts w:ascii="Cambria" w:eastAsia="Times New Roman" w:hAnsi="Cambria"/>
          <w:sz w:val="20"/>
          <w:szCs w:val="20"/>
        </w:rPr>
        <w:t xml:space="preserve">One who attempts to carry out a crime prosecutable at the initiative of the authorities that is punished by a penalty of deprivation of liberty at the moment of preparing to commit it. </w:t>
      </w:r>
    </w:p>
    <w:p w14:paraId="370CC214" w14:textId="77777777" w:rsidR="00F474A4" w:rsidRPr="00A83E9D" w:rsidRDefault="00F474A4" w:rsidP="00F474A4">
      <w:pPr>
        <w:tabs>
          <w:tab w:val="left" w:pos="8640"/>
        </w:tabs>
        <w:ind w:left="720" w:right="720"/>
        <w:jc w:val="both"/>
        <w:rPr>
          <w:rFonts w:ascii="Cambria" w:eastAsia="Times New Roman" w:hAnsi="Cambria"/>
          <w:sz w:val="20"/>
          <w:szCs w:val="20"/>
        </w:rPr>
      </w:pPr>
      <w:r w:rsidRPr="00A83E9D">
        <w:rPr>
          <w:rFonts w:ascii="Cambria" w:eastAsia="Times New Roman" w:hAnsi="Cambria"/>
          <w:sz w:val="20"/>
          <w:szCs w:val="20"/>
        </w:rPr>
        <w:t xml:space="preserve">2. </w:t>
      </w:r>
      <w:r w:rsidR="0090301B">
        <w:rPr>
          <w:rFonts w:ascii="Cambria" w:eastAsia="Times New Roman" w:hAnsi="Cambria"/>
          <w:sz w:val="20"/>
          <w:szCs w:val="20"/>
        </w:rPr>
        <w:t xml:space="preserve">One who flees, being legally under arrest. </w:t>
      </w:r>
    </w:p>
    <w:p w14:paraId="7F7E55B9" w14:textId="77777777" w:rsidR="00F474A4" w:rsidRPr="00A83E9D" w:rsidRDefault="00F474A4" w:rsidP="00F474A4">
      <w:pPr>
        <w:tabs>
          <w:tab w:val="left" w:pos="8640"/>
        </w:tabs>
        <w:ind w:left="720" w:right="720"/>
        <w:jc w:val="both"/>
        <w:rPr>
          <w:rFonts w:ascii="Cambria" w:eastAsia="Times New Roman" w:hAnsi="Cambria"/>
          <w:sz w:val="20"/>
          <w:szCs w:val="20"/>
        </w:rPr>
      </w:pPr>
      <w:r w:rsidRPr="00A83E9D">
        <w:rPr>
          <w:rFonts w:ascii="Cambria" w:eastAsia="Times New Roman" w:hAnsi="Cambria"/>
          <w:sz w:val="20"/>
          <w:szCs w:val="20"/>
        </w:rPr>
        <w:t xml:space="preserve">3. </w:t>
      </w:r>
      <w:r w:rsidR="0090301B">
        <w:rPr>
          <w:rFonts w:ascii="Cambria" w:eastAsia="Times New Roman" w:hAnsi="Cambria"/>
          <w:sz w:val="20"/>
          <w:szCs w:val="20"/>
        </w:rPr>
        <w:t xml:space="preserve">On an exceptional basis the person against whom there are vehement indicia of guilt, and </w:t>
      </w:r>
      <w:r w:rsidR="00014FCE">
        <w:rPr>
          <w:rFonts w:ascii="Cambria" w:eastAsia="Times New Roman" w:hAnsi="Cambria"/>
          <w:sz w:val="20"/>
          <w:szCs w:val="20"/>
        </w:rPr>
        <w:t xml:space="preserve">when </w:t>
      </w:r>
      <w:r w:rsidR="0090301B">
        <w:rPr>
          <w:rFonts w:ascii="Cambria" w:eastAsia="Times New Roman" w:hAnsi="Cambria"/>
          <w:sz w:val="20"/>
          <w:szCs w:val="20"/>
        </w:rPr>
        <w:t>there is imminent danger of flight or of a serious thwarting of the investigation and for the sole purpose of bring</w:t>
      </w:r>
      <w:r w:rsidR="00014FCE">
        <w:rPr>
          <w:rFonts w:ascii="Cambria" w:eastAsia="Times New Roman" w:hAnsi="Cambria"/>
          <w:sz w:val="20"/>
          <w:szCs w:val="20"/>
        </w:rPr>
        <w:t>ing</w:t>
      </w:r>
      <w:r w:rsidR="0090301B">
        <w:rPr>
          <w:rFonts w:ascii="Cambria" w:eastAsia="Times New Roman" w:hAnsi="Cambria"/>
          <w:sz w:val="20"/>
          <w:szCs w:val="20"/>
        </w:rPr>
        <w:t xml:space="preserve"> him or her before the competent judge immediately to resolve his or her arrest. </w:t>
      </w:r>
    </w:p>
    <w:p w14:paraId="2CAB9FF5" w14:textId="77777777" w:rsidR="00F474A4" w:rsidRPr="00A83E9D" w:rsidRDefault="00F474A4" w:rsidP="00F474A4">
      <w:pPr>
        <w:tabs>
          <w:tab w:val="left" w:pos="8640"/>
        </w:tabs>
        <w:ind w:left="720" w:right="720"/>
        <w:jc w:val="both"/>
        <w:rPr>
          <w:rFonts w:ascii="Cambria" w:eastAsia="Times New Roman" w:hAnsi="Cambria"/>
          <w:sz w:val="20"/>
          <w:szCs w:val="20"/>
        </w:rPr>
      </w:pPr>
      <w:r w:rsidRPr="00A83E9D">
        <w:rPr>
          <w:rFonts w:ascii="Cambria" w:eastAsia="Times New Roman" w:hAnsi="Cambria"/>
          <w:sz w:val="20"/>
          <w:szCs w:val="20"/>
        </w:rPr>
        <w:t xml:space="preserve">4. </w:t>
      </w:r>
      <w:r w:rsidR="0090301B">
        <w:rPr>
          <w:rFonts w:ascii="Cambria" w:eastAsia="Times New Roman" w:hAnsi="Cambria"/>
          <w:sz w:val="20"/>
          <w:szCs w:val="20"/>
        </w:rPr>
        <w:t>One who is caught in flagrancy committing a crime prosecutable at the initiative of the authorities that is punished by a penalty of deprivation of liberty.</w:t>
      </w:r>
      <w:r w:rsidRPr="00A83E9D">
        <w:rPr>
          <w:rStyle w:val="FootnoteReference"/>
          <w:rFonts w:ascii="Cambria" w:hAnsi="Cambria"/>
          <w:sz w:val="20"/>
          <w:szCs w:val="20"/>
        </w:rPr>
        <w:footnoteReference w:id="6"/>
      </w:r>
    </w:p>
    <w:p w14:paraId="4F243652" w14:textId="77777777" w:rsidR="00F474A4" w:rsidRPr="00A83E9D" w:rsidRDefault="00F474A4" w:rsidP="00F474A4">
      <w:pPr>
        <w:jc w:val="both"/>
        <w:rPr>
          <w:rFonts w:ascii="Cambria" w:hAnsi="Cambria"/>
          <w:sz w:val="20"/>
          <w:szCs w:val="20"/>
        </w:rPr>
      </w:pPr>
    </w:p>
    <w:p w14:paraId="3B44CA18" w14:textId="77777777" w:rsidR="00F474A4" w:rsidRPr="00A83E9D" w:rsidRDefault="0090301B" w:rsidP="00F474A4">
      <w:pPr>
        <w:pStyle w:val="Heading2"/>
        <w:numPr>
          <w:ilvl w:val="0"/>
          <w:numId w:val="106"/>
        </w:numPr>
      </w:pPr>
      <w:bookmarkStart w:id="30" w:name="_Toc495868433"/>
      <w:bookmarkStart w:id="31" w:name="_Toc480636768"/>
      <w:bookmarkStart w:id="32" w:name="_Toc497896920"/>
      <w:r>
        <w:t xml:space="preserve">Context on arrests without judicial warrant or situation of flagrancy in </w:t>
      </w:r>
      <w:r w:rsidR="00F474A4" w:rsidRPr="00A83E9D">
        <w:t>Argentina</w:t>
      </w:r>
      <w:bookmarkEnd w:id="30"/>
      <w:bookmarkEnd w:id="32"/>
    </w:p>
    <w:p w14:paraId="5909E08C"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Style w:val="FootnoteReference"/>
          <w:rFonts w:ascii="Cambria" w:hAnsi="Cambria"/>
          <w:sz w:val="20"/>
          <w:szCs w:val="20"/>
          <w:lang w:val="en-US"/>
        </w:rPr>
      </w:pPr>
    </w:p>
    <w:p w14:paraId="6AF82EED" w14:textId="77777777" w:rsidR="00F474A4" w:rsidRPr="00A83E9D" w:rsidRDefault="0090301B"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IACHR takes not</w:t>
      </w:r>
      <w:r w:rsidR="00014FCE">
        <w:rPr>
          <w:rFonts w:ascii="Cambria" w:hAnsi="Cambria"/>
          <w:sz w:val="20"/>
          <w:szCs w:val="20"/>
          <w:lang w:val="en-US"/>
        </w:rPr>
        <w:t>e</w:t>
      </w:r>
      <w:r>
        <w:rPr>
          <w:rFonts w:ascii="Cambria" w:hAnsi="Cambria"/>
          <w:sz w:val="20"/>
          <w:szCs w:val="20"/>
          <w:lang w:val="en-US"/>
        </w:rPr>
        <w:t xml:space="preserve"> that several mechanisms of the universal human rights system have issued pronouncements on arrests in Argentina without judicial order or a situation of flagrancy</w:t>
      </w:r>
      <w:r w:rsidR="00F474A4" w:rsidRPr="00A83E9D">
        <w:rPr>
          <w:rFonts w:ascii="Cambria" w:hAnsi="Cambria"/>
          <w:sz w:val="20"/>
          <w:szCs w:val="20"/>
          <w:lang w:val="en-US"/>
        </w:rPr>
        <w:t xml:space="preserve">. </w:t>
      </w:r>
      <w:r>
        <w:rPr>
          <w:rFonts w:ascii="Cambria" w:hAnsi="Cambria"/>
          <w:sz w:val="20"/>
          <w:szCs w:val="20"/>
          <w:lang w:val="en-US"/>
        </w:rPr>
        <w:t>In this respect, the United Nations Worki</w:t>
      </w:r>
      <w:r w:rsidR="00014FCE">
        <w:rPr>
          <w:rFonts w:ascii="Cambria" w:hAnsi="Cambria"/>
          <w:sz w:val="20"/>
          <w:szCs w:val="20"/>
          <w:lang w:val="en-US"/>
        </w:rPr>
        <w:t>ng Group on Arbitrary Detention</w:t>
      </w:r>
      <w:r>
        <w:rPr>
          <w:rFonts w:ascii="Cambria" w:hAnsi="Cambria"/>
          <w:sz w:val="20"/>
          <w:szCs w:val="20"/>
          <w:lang w:val="en-US"/>
        </w:rPr>
        <w:t xml:space="preserve"> made a visit to Argentina in </w:t>
      </w:r>
      <w:r w:rsidR="00F474A4" w:rsidRPr="00A83E9D">
        <w:rPr>
          <w:rFonts w:ascii="Cambria" w:hAnsi="Cambria"/>
          <w:sz w:val="20"/>
          <w:szCs w:val="20"/>
          <w:lang w:val="en-US"/>
        </w:rPr>
        <w:t xml:space="preserve">2003 </w:t>
      </w:r>
      <w:r>
        <w:rPr>
          <w:rFonts w:ascii="Cambria" w:hAnsi="Cambria"/>
          <w:sz w:val="20"/>
          <w:szCs w:val="20"/>
          <w:lang w:val="en-US"/>
        </w:rPr>
        <w:t>and noted as follows</w:t>
      </w:r>
      <w:r w:rsidR="00F474A4" w:rsidRPr="00A83E9D">
        <w:rPr>
          <w:rFonts w:ascii="Cambria" w:hAnsi="Cambria"/>
          <w:sz w:val="20"/>
          <w:szCs w:val="20"/>
          <w:lang w:val="en-US"/>
        </w:rPr>
        <w:t>:</w:t>
      </w:r>
    </w:p>
    <w:p w14:paraId="4E2D32A8"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36FD3AE9" w14:textId="77777777" w:rsidR="00F474A4" w:rsidRPr="00A83E9D" w:rsidRDefault="0075374F"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75374F">
        <w:rPr>
          <w:rFonts w:ascii="Cambria" w:hAnsi="Cambria"/>
          <w:sz w:val="20"/>
          <w:szCs w:val="20"/>
          <w:lang w:val="en-US"/>
        </w:rPr>
        <w:t>Article 18 of the National Constitution stipulates that “no one may be arrested without a written order from the competent authorities</w:t>
      </w:r>
      <w:r w:rsidR="00014FCE">
        <w:rPr>
          <w:rFonts w:ascii="Cambria" w:hAnsi="Cambria"/>
          <w:sz w:val="20"/>
          <w:szCs w:val="20"/>
          <w:lang w:val="en-US"/>
        </w:rPr>
        <w:t>.</w:t>
      </w:r>
      <w:r w:rsidRPr="0075374F">
        <w:rPr>
          <w:rFonts w:ascii="Cambria" w:hAnsi="Cambria"/>
          <w:sz w:val="20"/>
          <w:szCs w:val="20"/>
          <w:lang w:val="en-US"/>
        </w:rPr>
        <w:t xml:space="preserve">” However, in some provinces, such as Buenos </w:t>
      </w:r>
      <w:r w:rsidRPr="0075374F">
        <w:rPr>
          <w:rFonts w:ascii="Cambria" w:hAnsi="Cambria"/>
          <w:sz w:val="20"/>
          <w:szCs w:val="20"/>
          <w:lang w:val="en-US"/>
        </w:rPr>
        <w:lastRenderedPageBreak/>
        <w:t>Aires and Salta, police officers have the authority to arrest or apprehend individuals whom they believe are intending to commit an offence</w:t>
      </w:r>
      <w:r>
        <w:rPr>
          <w:rFonts w:ascii="Cambria" w:hAnsi="Cambria"/>
          <w:sz w:val="20"/>
          <w:szCs w:val="20"/>
          <w:lang w:val="en-US"/>
        </w:rPr>
        <w:t>…</w:t>
      </w:r>
      <w:r w:rsidR="00F474A4" w:rsidRPr="00A83E9D">
        <w:rPr>
          <w:rFonts w:ascii="Cambria" w:hAnsi="Cambria"/>
          <w:sz w:val="20"/>
          <w:szCs w:val="20"/>
          <w:lang w:val="en-US"/>
        </w:rPr>
        <w:t xml:space="preserve">. </w:t>
      </w:r>
      <w:r w:rsidRPr="0075374F">
        <w:rPr>
          <w:rFonts w:ascii="Cambria" w:hAnsi="Cambria"/>
          <w:sz w:val="20"/>
          <w:szCs w:val="20"/>
          <w:lang w:val="en-US"/>
        </w:rPr>
        <w:t xml:space="preserve">Provincial legislation on criminal procedure set out the grounds and conditions for this kind of arrest. There must be reasonable suspicion or probable cause with regard </w:t>
      </w:r>
      <w:r>
        <w:rPr>
          <w:rFonts w:ascii="Cambria" w:hAnsi="Cambria"/>
          <w:sz w:val="20"/>
          <w:szCs w:val="20"/>
          <w:lang w:val="en-US"/>
        </w:rPr>
        <w:t>to the commission of an offence.…</w:t>
      </w:r>
    </w:p>
    <w:p w14:paraId="2BC9DB5B"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79F0FC4F" w14:textId="77777777" w:rsidR="00F474A4" w:rsidRPr="00A83E9D" w:rsidRDefault="0063380C"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63380C">
        <w:rPr>
          <w:rFonts w:ascii="Cambria" w:hAnsi="Cambria"/>
          <w:sz w:val="20"/>
          <w:szCs w:val="20"/>
          <w:lang w:val="en-US"/>
        </w:rPr>
        <w:t>A number of NGOs complained … that police officers tended to abuse this power of detention. Act No. 23.950 of 1991 gives police officers broad discretion to detain individuals. However, this authority is contingent on the police officer’s ability to demonstrate that there is a reasonable degree of suspicion. In practice, many individuals are arrested simply for loitering, or because they cannot give a good reason for being in a particular place or because they have no money in their pockets. The most common cases involve identity checks…</w:t>
      </w:r>
      <w:r>
        <w:rPr>
          <w:rFonts w:ascii="Cambria" w:hAnsi="Cambria"/>
          <w:sz w:val="20"/>
          <w:szCs w:val="20"/>
          <w:lang w:val="en-US"/>
        </w:rPr>
        <w:t>.</w:t>
      </w:r>
    </w:p>
    <w:p w14:paraId="2D0C6321"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4F43A95A" w14:textId="77777777" w:rsidR="00F474A4" w:rsidRPr="00A83E9D" w:rsidRDefault="0063380C"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63380C">
        <w:rPr>
          <w:rFonts w:ascii="Cambria" w:hAnsi="Cambria"/>
          <w:sz w:val="20"/>
          <w:szCs w:val="20"/>
          <w:lang w:val="en-US"/>
        </w:rPr>
        <w:t>According to the representatives of various social groups, this kind of police action has the effect of intimidating average citizens. It is alleged that the police stop and search vehicles and make the passengers get out of public transport vehicles in order to check their identities and search their belongings…</w:t>
      </w:r>
      <w:r>
        <w:rPr>
          <w:rFonts w:ascii="Cambria" w:hAnsi="Cambria"/>
          <w:sz w:val="20"/>
          <w:szCs w:val="20"/>
          <w:lang w:val="en-US"/>
        </w:rPr>
        <w:t>.</w:t>
      </w:r>
    </w:p>
    <w:p w14:paraId="71C4BCA8"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23866681" w14:textId="77777777" w:rsidR="00F474A4" w:rsidRPr="00A83E9D" w:rsidRDefault="0063380C"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63380C">
        <w:rPr>
          <w:rFonts w:ascii="Cambria" w:hAnsi="Cambria"/>
          <w:sz w:val="20"/>
          <w:szCs w:val="20"/>
          <w:lang w:val="en-US"/>
        </w:rPr>
        <w:t>… [There are] many cases involving police officers who, eager to demonstrate their effectiveness in combating the crime wave, had invented and fabricated cases by detaining innocent individuals after reporting the successful prosecution of an offence…. The ability of the victims of such situations to defend themselves is virtually non-existent, since most of them are from the most vulnerable groups on the fringes of society: the unemployed, beggars, illegal immigrants or individuals with a police record. The pattern in these cases is to take the individuals to a particular place, “plant” evidence, accuse them of theft, and so on</w:t>
      </w:r>
      <w:r>
        <w:rPr>
          <w:rFonts w:ascii="Cambria" w:hAnsi="Cambria"/>
          <w:sz w:val="20"/>
          <w:szCs w:val="20"/>
          <w:lang w:val="en-US"/>
        </w:rPr>
        <w:t>….</w:t>
      </w:r>
      <w:r w:rsidR="00F474A4" w:rsidRPr="00A83E9D">
        <w:rPr>
          <w:rStyle w:val="FootnoteReference"/>
          <w:rFonts w:ascii="Cambria" w:hAnsi="Cambria"/>
          <w:sz w:val="20"/>
          <w:szCs w:val="20"/>
          <w:lang w:val="en-US"/>
        </w:rPr>
        <w:footnoteReference w:id="7"/>
      </w:r>
      <w:r w:rsidR="0090301B">
        <w:rPr>
          <w:rFonts w:ascii="Cambria" w:hAnsi="Cambria"/>
          <w:sz w:val="20"/>
          <w:szCs w:val="20"/>
          <w:lang w:val="en-US"/>
        </w:rPr>
        <w:t xml:space="preserve"> </w:t>
      </w:r>
    </w:p>
    <w:p w14:paraId="761724DF"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70EE802F" w14:textId="77777777" w:rsidR="00F474A4" w:rsidRPr="00A83E9D" w:rsidRDefault="0090301B"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Based on this information received, the Working Group recommended to the Argentine State</w:t>
      </w:r>
      <w:r w:rsidR="00F474A4" w:rsidRPr="00A83E9D">
        <w:rPr>
          <w:rFonts w:ascii="Cambria" w:hAnsi="Cambria"/>
          <w:sz w:val="20"/>
          <w:szCs w:val="20"/>
          <w:lang w:val="en-US"/>
        </w:rPr>
        <w:t>:</w:t>
      </w:r>
    </w:p>
    <w:p w14:paraId="08B890FA"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2B9E6AB6" w14:textId="77777777" w:rsidR="00F474A4" w:rsidRPr="00A83E9D" w:rsidRDefault="0063380C"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w:t>
      </w:r>
      <w:r w:rsidR="00F474A4" w:rsidRPr="00A83E9D">
        <w:rPr>
          <w:rFonts w:ascii="Cambria" w:hAnsi="Cambria"/>
          <w:sz w:val="20"/>
          <w:szCs w:val="20"/>
          <w:lang w:val="en-US"/>
        </w:rPr>
        <w:t xml:space="preserve"> </w:t>
      </w:r>
      <w:r w:rsidRPr="0063380C">
        <w:rPr>
          <w:rFonts w:ascii="Cambria" w:hAnsi="Cambria"/>
          <w:sz w:val="20"/>
          <w:szCs w:val="20"/>
          <w:lang w:val="en-US"/>
        </w:rPr>
        <w:t xml:space="preserve">to monitor closely the </w:t>
      </w:r>
      <w:proofErr w:type="spellStart"/>
      <w:r w:rsidRPr="0063380C">
        <w:rPr>
          <w:rFonts w:ascii="Cambria" w:hAnsi="Cambria"/>
          <w:sz w:val="20"/>
          <w:szCs w:val="20"/>
          <w:lang w:val="en-US"/>
        </w:rPr>
        <w:t>behaviour</w:t>
      </w:r>
      <w:proofErr w:type="spellEnd"/>
      <w:r w:rsidRPr="0063380C">
        <w:rPr>
          <w:rFonts w:ascii="Cambria" w:hAnsi="Cambria"/>
          <w:sz w:val="20"/>
          <w:szCs w:val="20"/>
          <w:lang w:val="en-US"/>
        </w:rPr>
        <w:t xml:space="preserve"> of senior and junior police officers, particularly with regard to their powers of arrest and detention. Particular attention should be paid to the criminal practice of falsifying procedures with the aim of improving the police’s public image at the cost of sending innocent civilians to prison. The efforts of officials of the Public Prosecutor’s Office to deal with this problem should be encouraged and supported. In addition, any manifestation of racist, xenophobic, homophobic or other </w:t>
      </w:r>
      <w:proofErr w:type="spellStart"/>
      <w:r w:rsidRPr="0063380C">
        <w:rPr>
          <w:rFonts w:ascii="Cambria" w:hAnsi="Cambria"/>
          <w:sz w:val="20"/>
          <w:szCs w:val="20"/>
          <w:lang w:val="en-US"/>
        </w:rPr>
        <w:t>behaviour</w:t>
      </w:r>
      <w:proofErr w:type="spellEnd"/>
      <w:r w:rsidRPr="0063380C">
        <w:rPr>
          <w:rFonts w:ascii="Cambria" w:hAnsi="Cambria"/>
          <w:sz w:val="20"/>
          <w:szCs w:val="20"/>
          <w:lang w:val="en-US"/>
        </w:rPr>
        <w:t xml:space="preserve"> that is incompatible with the full observance of human rights - which the police are expected to enforce - should be punished</w:t>
      </w:r>
      <w:r>
        <w:rPr>
          <w:rFonts w:ascii="Cambria" w:hAnsi="Cambria"/>
          <w:sz w:val="20"/>
          <w:szCs w:val="20"/>
          <w:lang w:val="en-US"/>
        </w:rPr>
        <w:t>.</w:t>
      </w:r>
      <w:r w:rsidR="00F474A4" w:rsidRPr="00A83E9D">
        <w:rPr>
          <w:rStyle w:val="FootnoteReference"/>
          <w:rFonts w:ascii="Cambria" w:hAnsi="Cambria"/>
          <w:sz w:val="20"/>
          <w:szCs w:val="20"/>
          <w:lang w:val="en-US"/>
        </w:rPr>
        <w:footnoteReference w:id="8"/>
      </w:r>
      <w:r w:rsidR="0090301B">
        <w:rPr>
          <w:rFonts w:ascii="Cambria" w:hAnsi="Cambria"/>
          <w:sz w:val="20"/>
          <w:szCs w:val="20"/>
          <w:lang w:val="en-US"/>
        </w:rPr>
        <w:t xml:space="preserve"> </w:t>
      </w:r>
    </w:p>
    <w:p w14:paraId="7770A22E"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370AA54A" w14:textId="04DA1020" w:rsidR="00F474A4" w:rsidRDefault="0090301B"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addition, the Human Rights Committee, in its Concluding Observations on Argentina in </w:t>
      </w:r>
      <w:r w:rsidR="00F474A4" w:rsidRPr="00A83E9D">
        <w:rPr>
          <w:rFonts w:ascii="Cambria" w:hAnsi="Cambria"/>
          <w:sz w:val="20"/>
          <w:szCs w:val="20"/>
          <w:lang w:val="en-US"/>
        </w:rPr>
        <w:t>2010</w:t>
      </w:r>
      <w:r>
        <w:rPr>
          <w:rFonts w:ascii="Cambria" w:hAnsi="Cambria"/>
          <w:sz w:val="20"/>
          <w:szCs w:val="20"/>
          <w:lang w:val="en-US"/>
        </w:rPr>
        <w:t xml:space="preserve">, </w:t>
      </w:r>
      <w:r w:rsidR="00325937">
        <w:rPr>
          <w:rFonts w:ascii="Cambria" w:hAnsi="Cambria"/>
          <w:sz w:val="20"/>
          <w:szCs w:val="20"/>
          <w:lang w:val="en-US"/>
        </w:rPr>
        <w:t>informed regarding the persistence of the situation</w:t>
      </w:r>
      <w:r w:rsidR="00F474A4" w:rsidRPr="00A83E9D">
        <w:rPr>
          <w:rFonts w:ascii="Cambria" w:hAnsi="Cambria"/>
          <w:sz w:val="20"/>
          <w:szCs w:val="20"/>
          <w:lang w:val="en-US"/>
        </w:rPr>
        <w:t>:</w:t>
      </w:r>
    </w:p>
    <w:p w14:paraId="2E73D4FC" w14:textId="77777777" w:rsidR="00C35188" w:rsidRPr="00A83E9D" w:rsidRDefault="00C35188" w:rsidP="00C3518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2CBE9DDE" w14:textId="77777777" w:rsidR="00F474A4" w:rsidRPr="00A83E9D" w:rsidRDefault="00C35188" w:rsidP="00C3518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C35188">
        <w:rPr>
          <w:rFonts w:ascii="Cambria" w:hAnsi="Cambria"/>
          <w:sz w:val="20"/>
          <w:szCs w:val="20"/>
          <w:lang w:val="en-US"/>
        </w:rPr>
        <w:t xml:space="preserve">The Committee reiterates its concern at the subsistence of legislation giving the police the power to detain persons … without a warrant or subsequent judicial review, for the sole stated purpose of verifying their identity, in violation of, </w:t>
      </w:r>
      <w:r w:rsidRPr="00954FA3">
        <w:rPr>
          <w:rFonts w:ascii="Cambria" w:hAnsi="Cambria"/>
          <w:i/>
          <w:sz w:val="20"/>
          <w:szCs w:val="20"/>
          <w:lang w:val="en-US"/>
        </w:rPr>
        <w:t>inter alia</w:t>
      </w:r>
      <w:r w:rsidRPr="00C35188">
        <w:rPr>
          <w:rFonts w:ascii="Cambria" w:hAnsi="Cambria"/>
          <w:sz w:val="20"/>
          <w:szCs w:val="20"/>
          <w:lang w:val="en-US"/>
        </w:rPr>
        <w:t>, the principle of the presumption of innocence…. The State party should take measures to withdraw the power of the police to detain persons when their detention is not related to the commission of an offence and is in violation of the principles set out in article 9 of the [International] Covenant [on Civil and Political Rights, which enshrines</w:t>
      </w:r>
      <w:r>
        <w:rPr>
          <w:rFonts w:ascii="Cambria" w:hAnsi="Cambria"/>
          <w:sz w:val="20"/>
          <w:szCs w:val="20"/>
          <w:lang w:val="en-US"/>
        </w:rPr>
        <w:t xml:space="preserve"> the right to personal liberty</w:t>
      </w:r>
      <w:r w:rsidR="00F474A4" w:rsidRPr="00A83E9D">
        <w:rPr>
          <w:rFonts w:ascii="Cambria" w:hAnsi="Cambria"/>
          <w:sz w:val="20"/>
          <w:szCs w:val="20"/>
          <w:lang w:val="en-US"/>
        </w:rPr>
        <w:t>]</w:t>
      </w:r>
      <w:r>
        <w:rPr>
          <w:rFonts w:ascii="Cambria" w:hAnsi="Cambria"/>
          <w:sz w:val="20"/>
          <w:szCs w:val="20"/>
          <w:lang w:val="en-US"/>
        </w:rPr>
        <w:t>.</w:t>
      </w:r>
      <w:r w:rsidR="00F474A4" w:rsidRPr="00A83E9D">
        <w:rPr>
          <w:rStyle w:val="FootnoteReference"/>
          <w:rFonts w:ascii="Cambria" w:hAnsi="Cambria"/>
          <w:sz w:val="20"/>
          <w:szCs w:val="20"/>
          <w:lang w:val="en-US"/>
        </w:rPr>
        <w:footnoteReference w:id="9"/>
      </w:r>
      <w:r w:rsidR="0090301B">
        <w:rPr>
          <w:rFonts w:ascii="Cambria" w:hAnsi="Cambria"/>
          <w:sz w:val="20"/>
          <w:szCs w:val="20"/>
          <w:lang w:val="en-US"/>
        </w:rPr>
        <w:t xml:space="preserve"> </w:t>
      </w:r>
    </w:p>
    <w:p w14:paraId="27BB0AB8"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D96E9BE" w14:textId="77777777" w:rsidR="00F474A4" w:rsidRPr="00A83E9D" w:rsidRDefault="0090301B"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lastRenderedPageBreak/>
        <w:t>Subsequently, in its Concluding Observatio</w:t>
      </w:r>
      <w:r w:rsidR="00C35188">
        <w:rPr>
          <w:rFonts w:ascii="Cambria" w:hAnsi="Cambria"/>
          <w:sz w:val="20"/>
          <w:szCs w:val="20"/>
          <w:lang w:val="en-US"/>
        </w:rPr>
        <w:t>n</w:t>
      </w:r>
      <w:r>
        <w:rPr>
          <w:rFonts w:ascii="Cambria" w:hAnsi="Cambria"/>
          <w:sz w:val="20"/>
          <w:szCs w:val="20"/>
          <w:lang w:val="en-US"/>
        </w:rPr>
        <w:t xml:space="preserve">s on Argentina in </w:t>
      </w:r>
      <w:r w:rsidR="00F474A4" w:rsidRPr="00A83E9D">
        <w:rPr>
          <w:rFonts w:ascii="Cambria" w:hAnsi="Cambria"/>
          <w:sz w:val="20"/>
          <w:szCs w:val="20"/>
          <w:lang w:val="en-US"/>
        </w:rPr>
        <w:t xml:space="preserve">2016, </w:t>
      </w:r>
      <w:r>
        <w:rPr>
          <w:rFonts w:ascii="Cambria" w:hAnsi="Cambria"/>
          <w:sz w:val="20"/>
          <w:szCs w:val="20"/>
          <w:lang w:val="en-US"/>
        </w:rPr>
        <w:t xml:space="preserve">the Committee indicated as follows: </w:t>
      </w:r>
    </w:p>
    <w:p w14:paraId="31920101"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93D5B2E" w14:textId="77777777" w:rsidR="00F474A4" w:rsidRPr="00A83E9D" w:rsidRDefault="00C35188"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C35188">
        <w:rPr>
          <w:rFonts w:ascii="Cambria" w:hAnsi="Cambria"/>
          <w:sz w:val="20"/>
          <w:szCs w:val="20"/>
          <w:lang w:val="en-US"/>
        </w:rPr>
        <w:t>The Committee reiterates its concern about the police practice, and the regulation under which it is permitted, of taking people into custody without a warrant in order to verify their identity and then detaining them for lengthy periods of time… The State party should take all necessary steps, including the adoption of legislative measures, to put an end to the practice of detaining persons when such detention is not related to the commission of an offence….</w:t>
      </w:r>
      <w:r w:rsidR="00F474A4" w:rsidRPr="00A83E9D">
        <w:rPr>
          <w:rStyle w:val="FootnoteReference"/>
          <w:rFonts w:ascii="Cambria" w:hAnsi="Cambria"/>
          <w:sz w:val="20"/>
          <w:szCs w:val="20"/>
          <w:lang w:val="en-US"/>
        </w:rPr>
        <w:footnoteReference w:id="10"/>
      </w:r>
      <w:r w:rsidR="0090301B">
        <w:rPr>
          <w:rFonts w:ascii="Cambria" w:hAnsi="Cambria"/>
          <w:sz w:val="20"/>
          <w:szCs w:val="20"/>
          <w:lang w:val="en-US"/>
        </w:rPr>
        <w:t xml:space="preserve"> </w:t>
      </w:r>
    </w:p>
    <w:p w14:paraId="51DFC90E"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1130F3A8" w14:textId="77777777" w:rsidR="00F474A4" w:rsidRPr="00A83E9D" w:rsidRDefault="0090301B"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Commission also takes note that in the inter-American system, the Inter-American Court indicated in the </w:t>
      </w:r>
      <w:r w:rsidRPr="00E40093">
        <w:rPr>
          <w:rFonts w:ascii="Cambria" w:hAnsi="Cambria"/>
          <w:i/>
          <w:sz w:val="20"/>
          <w:szCs w:val="20"/>
          <w:lang w:val="en-US"/>
        </w:rPr>
        <w:t xml:space="preserve">Case of </w:t>
      </w:r>
      <w:proofErr w:type="spellStart"/>
      <w:r w:rsidR="00F474A4" w:rsidRPr="00E40093">
        <w:rPr>
          <w:rFonts w:ascii="Cambria" w:hAnsi="Cambria"/>
          <w:i/>
          <w:sz w:val="20"/>
          <w:szCs w:val="20"/>
          <w:lang w:val="en-US"/>
        </w:rPr>
        <w:t>Bulacio</w:t>
      </w:r>
      <w:proofErr w:type="spellEnd"/>
      <w:r w:rsidR="00F474A4" w:rsidRPr="00E40093">
        <w:rPr>
          <w:rFonts w:ascii="Cambria" w:hAnsi="Cambria"/>
          <w:i/>
          <w:sz w:val="20"/>
          <w:szCs w:val="20"/>
          <w:lang w:val="en-US"/>
        </w:rPr>
        <w:t xml:space="preserve"> v. Argentina</w:t>
      </w:r>
      <w:r w:rsidR="00F474A4" w:rsidRPr="00A83E9D">
        <w:rPr>
          <w:rFonts w:ascii="Cambria" w:hAnsi="Cambria"/>
          <w:sz w:val="20"/>
          <w:szCs w:val="20"/>
          <w:lang w:val="en-US"/>
        </w:rPr>
        <w:t>:</w:t>
      </w:r>
    </w:p>
    <w:p w14:paraId="1E003825"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09769B31" w14:textId="77777777" w:rsidR="00F474A4" w:rsidRPr="00A83E9D" w:rsidRDefault="00C45DD1"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 xml:space="preserve">… </w:t>
      </w:r>
      <w:r w:rsidRPr="00C45DD1">
        <w:rPr>
          <w:rFonts w:ascii="Cambria" w:hAnsi="Cambria"/>
          <w:sz w:val="20"/>
          <w:szCs w:val="20"/>
          <w:lang w:val="en-US"/>
        </w:rPr>
        <w:t>at the time of the facts</w:t>
      </w:r>
      <w:r>
        <w:rPr>
          <w:rFonts w:ascii="Cambria" w:hAnsi="Cambria"/>
          <w:sz w:val="20"/>
          <w:szCs w:val="20"/>
          <w:lang w:val="en-US"/>
        </w:rPr>
        <w:t xml:space="preserve"> [1991]</w:t>
      </w:r>
      <w:r w:rsidRPr="00C45DD1">
        <w:rPr>
          <w:rFonts w:ascii="Cambria" w:hAnsi="Cambria"/>
          <w:sz w:val="20"/>
          <w:szCs w:val="20"/>
          <w:lang w:val="en-US"/>
        </w:rPr>
        <w:t xml:space="preserve">, there were indiscriminate police detention practices, including the so-called </w:t>
      </w:r>
      <w:proofErr w:type="spellStart"/>
      <w:r w:rsidRPr="00E40093">
        <w:rPr>
          <w:rFonts w:ascii="Cambria" w:hAnsi="Cambria"/>
          <w:i/>
          <w:sz w:val="20"/>
          <w:szCs w:val="20"/>
          <w:lang w:val="en-US"/>
        </w:rPr>
        <w:t>razzias</w:t>
      </w:r>
      <w:proofErr w:type="spellEnd"/>
      <w:r w:rsidRPr="00C45DD1">
        <w:rPr>
          <w:rFonts w:ascii="Cambria" w:hAnsi="Cambria"/>
          <w:sz w:val="20"/>
          <w:szCs w:val="20"/>
          <w:lang w:val="en-US"/>
        </w:rPr>
        <w:t>, detentions to establish identity and detentions in accordance with police edicts on misdemeanors.</w:t>
      </w:r>
      <w:r w:rsidR="00F474A4" w:rsidRPr="00A83E9D">
        <w:rPr>
          <w:rStyle w:val="FootnoteReference"/>
          <w:rFonts w:ascii="Cambria" w:hAnsi="Cambria"/>
          <w:sz w:val="20"/>
          <w:szCs w:val="20"/>
          <w:lang w:val="en-US"/>
        </w:rPr>
        <w:footnoteReference w:id="11"/>
      </w:r>
      <w:r w:rsidR="00F474A4" w:rsidRPr="00A83E9D">
        <w:rPr>
          <w:rFonts w:ascii="Cambria" w:hAnsi="Cambria"/>
          <w:sz w:val="20"/>
          <w:szCs w:val="20"/>
          <w:lang w:val="en-US"/>
        </w:rPr>
        <w:t xml:space="preserve"> </w:t>
      </w:r>
      <w:r w:rsidR="0090301B">
        <w:rPr>
          <w:rFonts w:ascii="Cambria" w:hAnsi="Cambria"/>
          <w:sz w:val="20"/>
          <w:szCs w:val="20"/>
          <w:lang w:val="en-US"/>
        </w:rPr>
        <w:t xml:space="preserve"> </w:t>
      </w:r>
    </w:p>
    <w:p w14:paraId="262C5FAC"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0F5F1E28" w14:textId="77777777" w:rsidR="00F474A4" w:rsidRPr="00A83E9D" w:rsidRDefault="0090301B"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IACHR takes note that several civil society organizations, both Argentine and internat</w:t>
      </w:r>
      <w:r w:rsidR="00F474A4" w:rsidRPr="00A83E9D">
        <w:rPr>
          <w:rFonts w:ascii="Cambria" w:hAnsi="Cambria"/>
          <w:sz w:val="20"/>
          <w:szCs w:val="20"/>
          <w:lang w:val="en-US"/>
        </w:rPr>
        <w:t xml:space="preserve">ional, </w:t>
      </w:r>
      <w:r>
        <w:rPr>
          <w:rFonts w:ascii="Cambria" w:hAnsi="Cambria"/>
          <w:sz w:val="20"/>
          <w:szCs w:val="20"/>
          <w:lang w:val="en-US"/>
        </w:rPr>
        <w:t xml:space="preserve">have also expressed their concern over the practices described above. In this </w:t>
      </w:r>
      <w:r w:rsidR="00F474A4" w:rsidRPr="00A83E9D">
        <w:rPr>
          <w:rFonts w:ascii="Cambria" w:hAnsi="Cambria"/>
          <w:sz w:val="20"/>
          <w:szCs w:val="20"/>
          <w:lang w:val="en-US"/>
        </w:rPr>
        <w:t xml:space="preserve">respect, </w:t>
      </w:r>
      <w:r>
        <w:rPr>
          <w:rFonts w:ascii="Cambria" w:hAnsi="Cambria"/>
          <w:sz w:val="20"/>
          <w:szCs w:val="20"/>
          <w:lang w:val="en-US"/>
        </w:rPr>
        <w:t xml:space="preserve">the </w:t>
      </w:r>
      <w:r w:rsidR="00F474A4" w:rsidRPr="00A83E9D">
        <w:rPr>
          <w:rFonts w:ascii="Cambria" w:hAnsi="Cambria"/>
          <w:sz w:val="20"/>
          <w:szCs w:val="20"/>
          <w:lang w:val="en-US"/>
        </w:rPr>
        <w:t xml:space="preserve">Centro de </w:t>
      </w:r>
      <w:proofErr w:type="spellStart"/>
      <w:r w:rsidR="00F474A4" w:rsidRPr="00A83E9D">
        <w:rPr>
          <w:rFonts w:ascii="Cambria" w:hAnsi="Cambria"/>
          <w:sz w:val="20"/>
          <w:szCs w:val="20"/>
          <w:lang w:val="en-US"/>
        </w:rPr>
        <w:t>Estudios</w:t>
      </w:r>
      <w:proofErr w:type="spellEnd"/>
      <w:r w:rsidR="00F474A4" w:rsidRPr="00A83E9D">
        <w:rPr>
          <w:rFonts w:ascii="Cambria" w:hAnsi="Cambria"/>
          <w:sz w:val="20"/>
          <w:szCs w:val="20"/>
          <w:lang w:val="en-US"/>
        </w:rPr>
        <w:t xml:space="preserve"> </w:t>
      </w:r>
      <w:proofErr w:type="spellStart"/>
      <w:r w:rsidR="00F474A4" w:rsidRPr="00A83E9D">
        <w:rPr>
          <w:rFonts w:ascii="Cambria" w:hAnsi="Cambria"/>
          <w:sz w:val="20"/>
          <w:szCs w:val="20"/>
          <w:lang w:val="en-US"/>
        </w:rPr>
        <w:t>Legales</w:t>
      </w:r>
      <w:proofErr w:type="spellEnd"/>
      <w:r w:rsidR="00F474A4" w:rsidRPr="00A83E9D">
        <w:rPr>
          <w:rFonts w:ascii="Cambria" w:hAnsi="Cambria"/>
          <w:sz w:val="20"/>
          <w:szCs w:val="20"/>
          <w:lang w:val="en-US"/>
        </w:rPr>
        <w:t xml:space="preserve"> (CELS) </w:t>
      </w:r>
      <w:r>
        <w:rPr>
          <w:rFonts w:ascii="Cambria" w:hAnsi="Cambria"/>
          <w:sz w:val="20"/>
          <w:szCs w:val="20"/>
          <w:lang w:val="en-US"/>
        </w:rPr>
        <w:t xml:space="preserve">and </w:t>
      </w:r>
      <w:r w:rsidR="00F474A4" w:rsidRPr="00A83E9D">
        <w:rPr>
          <w:rFonts w:ascii="Cambria" w:hAnsi="Cambria"/>
          <w:i/>
          <w:sz w:val="20"/>
          <w:szCs w:val="20"/>
          <w:lang w:val="en-US"/>
        </w:rPr>
        <w:t>Human Rights Watch</w:t>
      </w:r>
      <w:r>
        <w:rPr>
          <w:rFonts w:ascii="Cambria" w:hAnsi="Cambria"/>
          <w:sz w:val="20"/>
          <w:szCs w:val="20"/>
          <w:lang w:val="en-US"/>
        </w:rPr>
        <w:t xml:space="preserve"> indicated the following in their 1998 joint report on police insecurity</w:t>
      </w:r>
      <w:r w:rsidR="00F474A4" w:rsidRPr="00A83E9D">
        <w:rPr>
          <w:rFonts w:ascii="Cambria" w:hAnsi="Cambria"/>
          <w:sz w:val="20"/>
          <w:szCs w:val="20"/>
          <w:lang w:val="en-US"/>
        </w:rPr>
        <w:t>:</w:t>
      </w:r>
    </w:p>
    <w:p w14:paraId="4F14A1BF" w14:textId="77777777" w:rsidR="00F474A4" w:rsidRPr="00A83E9D" w:rsidRDefault="00F474A4" w:rsidP="00F474A4">
      <w:pPr>
        <w:pStyle w:val="ListParagraph"/>
        <w:ind w:left="706"/>
        <w:rPr>
          <w:rFonts w:eastAsia="Times New Roman"/>
          <w:sz w:val="20"/>
          <w:szCs w:val="20"/>
        </w:rPr>
      </w:pPr>
    </w:p>
    <w:p w14:paraId="658E0596" w14:textId="77777777" w:rsidR="00F474A4" w:rsidRPr="00A83E9D" w:rsidRDefault="00B83B17" w:rsidP="00F474A4">
      <w:pPr>
        <w:pStyle w:val="ListParagraph"/>
        <w:ind w:left="706" w:right="720"/>
        <w:jc w:val="both"/>
        <w:rPr>
          <w:rFonts w:eastAsia="Times New Roman"/>
          <w:sz w:val="20"/>
          <w:szCs w:val="20"/>
        </w:rPr>
      </w:pPr>
      <w:r>
        <w:rPr>
          <w:rFonts w:eastAsia="Times New Roman"/>
          <w:sz w:val="20"/>
          <w:szCs w:val="20"/>
        </w:rPr>
        <w:t xml:space="preserve">The police have … powers that </w:t>
      </w:r>
      <w:r w:rsidR="002329C7">
        <w:rPr>
          <w:rFonts w:eastAsia="Times New Roman"/>
          <w:sz w:val="20"/>
          <w:szCs w:val="20"/>
        </w:rPr>
        <w:t xml:space="preserve">give them discretion </w:t>
      </w:r>
      <w:r>
        <w:rPr>
          <w:rFonts w:eastAsia="Times New Roman"/>
          <w:sz w:val="20"/>
          <w:szCs w:val="20"/>
        </w:rPr>
        <w:t>to detain persons</w:t>
      </w:r>
      <w:r w:rsidR="009E064C">
        <w:rPr>
          <w:rFonts w:eastAsia="Times New Roman"/>
          <w:sz w:val="20"/>
          <w:szCs w:val="20"/>
        </w:rPr>
        <w:t xml:space="preserve">, by judging </w:t>
      </w:r>
      <w:r>
        <w:rPr>
          <w:rFonts w:eastAsia="Times New Roman"/>
          <w:sz w:val="20"/>
          <w:szCs w:val="20"/>
        </w:rPr>
        <w:t>misdemeanors and the power to detain to conduct an identity or background check. These powers are based on the presumption of a pre-criminal state in broad sectors of society and on the assumption that the police have the capacity to assess and intervene in the situation. As a result</w:t>
      </w:r>
      <w:r w:rsidR="002329C7">
        <w:rPr>
          <w:rFonts w:eastAsia="Times New Roman"/>
          <w:sz w:val="20"/>
          <w:szCs w:val="20"/>
        </w:rPr>
        <w:t>,</w:t>
      </w:r>
      <w:r>
        <w:rPr>
          <w:rFonts w:eastAsia="Times New Roman"/>
          <w:sz w:val="20"/>
          <w:szCs w:val="20"/>
        </w:rPr>
        <w:t xml:space="preserve"> this police function of security ends up “contaminating</w:t>
      </w:r>
      <w:r w:rsidR="00F474A4" w:rsidRPr="00A83E9D">
        <w:rPr>
          <w:rFonts w:eastAsia="Times New Roman"/>
          <w:sz w:val="20"/>
          <w:szCs w:val="20"/>
        </w:rPr>
        <w:t xml:space="preserve">” </w:t>
      </w:r>
      <w:r>
        <w:rPr>
          <w:rFonts w:eastAsia="Times New Roman"/>
          <w:sz w:val="20"/>
          <w:szCs w:val="20"/>
        </w:rPr>
        <w:t>the judicial investigation tasks, apply</w:t>
      </w:r>
      <w:r w:rsidR="002329C7">
        <w:rPr>
          <w:rFonts w:eastAsia="Times New Roman"/>
          <w:sz w:val="20"/>
          <w:szCs w:val="20"/>
        </w:rPr>
        <w:t>ing</w:t>
      </w:r>
      <w:r>
        <w:rPr>
          <w:rFonts w:eastAsia="Times New Roman"/>
          <w:sz w:val="20"/>
          <w:szCs w:val="20"/>
        </w:rPr>
        <w:t xml:space="preserve"> the arbitrariness of the criteria used to stop and hold persons stereotyped as </w:t>
      </w:r>
      <w:r w:rsidR="00F474A4" w:rsidRPr="00A83E9D">
        <w:rPr>
          <w:rFonts w:eastAsia="Times New Roman"/>
          <w:sz w:val="20"/>
          <w:szCs w:val="20"/>
        </w:rPr>
        <w:t>“</w:t>
      </w:r>
      <w:r>
        <w:rPr>
          <w:rFonts w:eastAsia="Times New Roman"/>
          <w:sz w:val="20"/>
          <w:szCs w:val="20"/>
        </w:rPr>
        <w:t>suspicious.</w:t>
      </w:r>
      <w:r w:rsidR="00F474A4" w:rsidRPr="00A83E9D">
        <w:rPr>
          <w:rFonts w:eastAsia="Times New Roman"/>
          <w:sz w:val="20"/>
          <w:szCs w:val="20"/>
        </w:rPr>
        <w:t>”</w:t>
      </w:r>
      <w:r w:rsidR="00F474A4" w:rsidRPr="00A83E9D">
        <w:rPr>
          <w:rStyle w:val="FootnoteReference"/>
          <w:rFonts w:cs="Arial"/>
          <w:sz w:val="20"/>
          <w:szCs w:val="20"/>
        </w:rPr>
        <w:footnoteReference w:id="12"/>
      </w:r>
      <w:r w:rsidR="00F474A4" w:rsidRPr="00A83E9D">
        <w:rPr>
          <w:rFonts w:eastAsia="Times New Roman"/>
          <w:sz w:val="20"/>
          <w:szCs w:val="20"/>
        </w:rPr>
        <w:t xml:space="preserve"> </w:t>
      </w:r>
    </w:p>
    <w:p w14:paraId="1479263C" w14:textId="77777777" w:rsidR="00F474A4" w:rsidRPr="00A83E9D" w:rsidRDefault="00F474A4" w:rsidP="00F474A4">
      <w:pPr>
        <w:pStyle w:val="ListParagraph"/>
        <w:ind w:left="706" w:right="720"/>
        <w:jc w:val="both"/>
        <w:rPr>
          <w:rFonts w:eastAsia="Times New Roman"/>
          <w:sz w:val="20"/>
          <w:szCs w:val="20"/>
        </w:rPr>
      </w:pPr>
      <w:r w:rsidRPr="00A83E9D">
        <w:rPr>
          <w:rFonts w:eastAsia="Times New Roman"/>
          <w:sz w:val="20"/>
          <w:szCs w:val="20"/>
        </w:rPr>
        <w:t>…</w:t>
      </w:r>
    </w:p>
    <w:p w14:paraId="06BC7E01" w14:textId="77777777" w:rsidR="00F474A4" w:rsidRPr="00A83E9D" w:rsidRDefault="00B83B17" w:rsidP="00F474A4">
      <w:pPr>
        <w:pStyle w:val="ListParagraph"/>
        <w:ind w:left="706" w:right="720"/>
        <w:jc w:val="both"/>
        <w:rPr>
          <w:rFonts w:eastAsia="Times New Roman"/>
          <w:sz w:val="20"/>
          <w:szCs w:val="20"/>
        </w:rPr>
      </w:pPr>
      <w:r>
        <w:rPr>
          <w:rFonts w:eastAsia="Times New Roman"/>
          <w:sz w:val="20"/>
          <w:szCs w:val="20"/>
        </w:rPr>
        <w:t xml:space="preserve">The detentions by personnel at police stations are in the vast majority of cases </w:t>
      </w:r>
      <w:r w:rsidR="006121BB">
        <w:rPr>
          <w:rFonts w:eastAsia="Times New Roman"/>
          <w:sz w:val="20"/>
          <w:szCs w:val="20"/>
        </w:rPr>
        <w:t xml:space="preserve">are explained by </w:t>
      </w:r>
      <w:r>
        <w:rPr>
          <w:rFonts w:eastAsia="Times New Roman"/>
          <w:sz w:val="20"/>
          <w:szCs w:val="20"/>
        </w:rPr>
        <w:t xml:space="preserve">adducing that the person “does not justify his or her </w:t>
      </w:r>
      <w:r w:rsidR="002329C7">
        <w:rPr>
          <w:rFonts w:eastAsia="Times New Roman"/>
          <w:sz w:val="20"/>
          <w:szCs w:val="20"/>
        </w:rPr>
        <w:t xml:space="preserve">being </w:t>
      </w:r>
      <w:r>
        <w:rPr>
          <w:rFonts w:eastAsia="Times New Roman"/>
          <w:sz w:val="20"/>
          <w:szCs w:val="20"/>
        </w:rPr>
        <w:t xml:space="preserve">in the place” or that he or she is </w:t>
      </w:r>
      <w:r w:rsidR="00F474A4" w:rsidRPr="00A83E9D">
        <w:rPr>
          <w:rFonts w:eastAsia="Times New Roman"/>
          <w:sz w:val="20"/>
          <w:szCs w:val="20"/>
        </w:rPr>
        <w:t>“</w:t>
      </w:r>
      <w:r>
        <w:rPr>
          <w:rFonts w:eastAsia="Times New Roman"/>
          <w:sz w:val="20"/>
          <w:szCs w:val="20"/>
        </w:rPr>
        <w:t xml:space="preserve">prowling about </w:t>
      </w:r>
      <w:r w:rsidR="002329C7">
        <w:rPr>
          <w:rFonts w:eastAsia="Times New Roman"/>
          <w:sz w:val="20"/>
          <w:szCs w:val="20"/>
        </w:rPr>
        <w:t xml:space="preserve">with </w:t>
      </w:r>
      <w:r>
        <w:rPr>
          <w:rFonts w:eastAsia="Times New Roman"/>
          <w:sz w:val="20"/>
          <w:szCs w:val="20"/>
        </w:rPr>
        <w:t>a suspicious attitude” or that “cannot show his identity,” or else that “displays attitudes of nervousness/unease</w:t>
      </w:r>
      <w:r w:rsidR="00F474A4" w:rsidRPr="00A83E9D">
        <w:rPr>
          <w:rFonts w:eastAsia="Times New Roman"/>
          <w:sz w:val="20"/>
          <w:szCs w:val="20"/>
        </w:rPr>
        <w:t xml:space="preserve">, </w:t>
      </w:r>
      <w:r>
        <w:rPr>
          <w:rFonts w:eastAsia="Times New Roman"/>
          <w:sz w:val="20"/>
          <w:szCs w:val="20"/>
        </w:rPr>
        <w:t xml:space="preserve">attempting to go unnoticed in the presence of the police,” as appears in the courts’ books. </w:t>
      </w:r>
      <w:r w:rsidR="002329C7">
        <w:rPr>
          <w:rFonts w:eastAsia="Times New Roman"/>
          <w:sz w:val="20"/>
          <w:szCs w:val="20"/>
        </w:rPr>
        <w:t xml:space="preserve">These are </w:t>
      </w:r>
      <w:r>
        <w:rPr>
          <w:rFonts w:eastAsia="Times New Roman"/>
          <w:sz w:val="20"/>
          <w:szCs w:val="20"/>
        </w:rPr>
        <w:t xml:space="preserve">all cases </w:t>
      </w:r>
      <w:r w:rsidR="002329C7">
        <w:rPr>
          <w:rFonts w:eastAsia="Times New Roman"/>
          <w:sz w:val="20"/>
          <w:szCs w:val="20"/>
        </w:rPr>
        <w:t xml:space="preserve">of </w:t>
      </w:r>
      <w:r>
        <w:rPr>
          <w:rFonts w:eastAsia="Times New Roman"/>
          <w:sz w:val="20"/>
          <w:szCs w:val="20"/>
        </w:rPr>
        <w:t xml:space="preserve">young men who gather at corners with their friends…, </w:t>
      </w:r>
      <w:r w:rsidR="002329C7">
        <w:rPr>
          <w:rFonts w:eastAsia="Times New Roman"/>
          <w:sz w:val="20"/>
          <w:szCs w:val="20"/>
        </w:rPr>
        <w:t xml:space="preserve">in pairs </w:t>
      </w:r>
      <w:r>
        <w:rPr>
          <w:rFonts w:eastAsia="Times New Roman"/>
          <w:sz w:val="20"/>
          <w:szCs w:val="20"/>
        </w:rPr>
        <w:t xml:space="preserve">in plazas, poor persons waiting for busses, etc., that is, situations that </w:t>
      </w:r>
      <w:r w:rsidR="002329C7">
        <w:rPr>
          <w:rFonts w:eastAsia="Times New Roman"/>
          <w:sz w:val="20"/>
          <w:szCs w:val="20"/>
        </w:rPr>
        <w:t xml:space="preserve">in the </w:t>
      </w:r>
      <w:r>
        <w:rPr>
          <w:rFonts w:eastAsia="Times New Roman"/>
          <w:sz w:val="20"/>
          <w:szCs w:val="20"/>
        </w:rPr>
        <w:t>police</w:t>
      </w:r>
      <w:r w:rsidR="002329C7">
        <w:rPr>
          <w:rFonts w:eastAsia="Times New Roman"/>
          <w:sz w:val="20"/>
          <w:szCs w:val="20"/>
        </w:rPr>
        <w:t xml:space="preserve"> vocabulary generally can be classified</w:t>
      </w:r>
      <w:r>
        <w:rPr>
          <w:rFonts w:eastAsia="Times New Roman"/>
          <w:sz w:val="20"/>
          <w:szCs w:val="20"/>
        </w:rPr>
        <w:t xml:space="preserve"> as “pre-criminal state” or “suspicious state.”</w:t>
      </w:r>
      <w:r w:rsidR="00F474A4" w:rsidRPr="00A83E9D">
        <w:rPr>
          <w:rStyle w:val="FootnoteReference"/>
          <w:rFonts w:cs="Arial"/>
          <w:sz w:val="20"/>
          <w:szCs w:val="20"/>
        </w:rPr>
        <w:footnoteReference w:id="13"/>
      </w:r>
      <w:r>
        <w:rPr>
          <w:rFonts w:eastAsia="Times New Roman"/>
          <w:sz w:val="20"/>
          <w:szCs w:val="20"/>
        </w:rPr>
        <w:t xml:space="preserve"> </w:t>
      </w:r>
    </w:p>
    <w:p w14:paraId="083A944E" w14:textId="77777777" w:rsidR="00F474A4" w:rsidRPr="00A83E9D" w:rsidRDefault="00F474A4" w:rsidP="00F474A4">
      <w:pPr>
        <w:pStyle w:val="ListParagraph"/>
        <w:ind w:left="706"/>
        <w:rPr>
          <w:rFonts w:eastAsia="Times New Roman"/>
          <w:sz w:val="20"/>
          <w:szCs w:val="20"/>
        </w:rPr>
      </w:pPr>
    </w:p>
    <w:p w14:paraId="4A5820B1" w14:textId="77777777" w:rsidR="00F474A4" w:rsidRPr="00A83E9D" w:rsidRDefault="00EC207A"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IACHR also notes that Argentine institutions have issued pronouncements regarding this situation. </w:t>
      </w:r>
      <w:r w:rsidR="00D713D7">
        <w:rPr>
          <w:rFonts w:ascii="Cambria" w:hAnsi="Cambria"/>
          <w:sz w:val="20"/>
          <w:szCs w:val="20"/>
          <w:lang w:val="en-US"/>
        </w:rPr>
        <w:t>For example, the Office of the Human Rights Ombudsperson (</w:t>
      </w:r>
      <w:proofErr w:type="spellStart"/>
      <w:r w:rsidR="00F474A4" w:rsidRPr="00A83E9D">
        <w:rPr>
          <w:rFonts w:ascii="Cambria" w:hAnsi="Cambria"/>
          <w:sz w:val="20"/>
          <w:szCs w:val="20"/>
          <w:lang w:val="en-US"/>
        </w:rPr>
        <w:t>Defensoría</w:t>
      </w:r>
      <w:proofErr w:type="spellEnd"/>
      <w:r w:rsidR="00F474A4" w:rsidRPr="00A83E9D">
        <w:rPr>
          <w:rFonts w:ascii="Cambria" w:hAnsi="Cambria"/>
          <w:sz w:val="20"/>
          <w:szCs w:val="20"/>
          <w:lang w:val="en-US"/>
        </w:rPr>
        <w:t xml:space="preserve"> del Pueblo</w:t>
      </w:r>
      <w:r w:rsidR="00D713D7">
        <w:rPr>
          <w:rFonts w:ascii="Cambria" w:hAnsi="Cambria"/>
          <w:sz w:val="20"/>
          <w:szCs w:val="20"/>
          <w:lang w:val="en-US"/>
        </w:rPr>
        <w:t xml:space="preserve">) of the city of Buenos Aires issued a resolution in </w:t>
      </w:r>
      <w:r w:rsidR="00F474A4" w:rsidRPr="00A83E9D">
        <w:rPr>
          <w:rFonts w:ascii="Cambria" w:hAnsi="Cambria"/>
          <w:sz w:val="20"/>
          <w:szCs w:val="20"/>
          <w:lang w:val="en-US"/>
        </w:rPr>
        <w:t xml:space="preserve">2012 </w:t>
      </w:r>
      <w:r w:rsidR="00D713D7">
        <w:rPr>
          <w:rFonts w:ascii="Cambria" w:hAnsi="Cambria"/>
          <w:sz w:val="20"/>
          <w:szCs w:val="20"/>
          <w:lang w:val="en-US"/>
        </w:rPr>
        <w:t xml:space="preserve">in which it indicated as follows: </w:t>
      </w:r>
    </w:p>
    <w:p w14:paraId="31EB1485"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227F1393" w14:textId="77777777" w:rsidR="00F474A4" w:rsidRPr="00A83E9D" w:rsidRDefault="00F474A4" w:rsidP="00F474A4">
      <w:pPr>
        <w:suppressAutoHyphens/>
        <w:ind w:left="720" w:right="720"/>
        <w:jc w:val="both"/>
        <w:rPr>
          <w:rFonts w:ascii="Cambria" w:hAnsi="Cambria"/>
          <w:sz w:val="20"/>
          <w:szCs w:val="20"/>
        </w:rPr>
      </w:pPr>
      <w:r w:rsidRPr="00A83E9D">
        <w:rPr>
          <w:rFonts w:ascii="Cambria" w:hAnsi="Cambria"/>
          <w:sz w:val="20"/>
          <w:szCs w:val="20"/>
        </w:rPr>
        <w:t xml:space="preserve">… </w:t>
      </w:r>
      <w:r w:rsidR="00D713D7">
        <w:rPr>
          <w:rFonts w:ascii="Cambria" w:hAnsi="Cambria"/>
          <w:sz w:val="20"/>
          <w:szCs w:val="20"/>
        </w:rPr>
        <w:t xml:space="preserve">in most of the cases analyzed the use of this power (conferred by federal law </w:t>
      </w:r>
      <w:r w:rsidRPr="00A83E9D">
        <w:rPr>
          <w:rFonts w:ascii="Cambria" w:hAnsi="Cambria"/>
          <w:sz w:val="20"/>
          <w:szCs w:val="20"/>
        </w:rPr>
        <w:t>23</w:t>
      </w:r>
      <w:r w:rsidR="00D713D7">
        <w:rPr>
          <w:rFonts w:ascii="Cambria" w:hAnsi="Cambria"/>
          <w:sz w:val="20"/>
          <w:szCs w:val="20"/>
        </w:rPr>
        <w:t>,</w:t>
      </w:r>
      <w:r w:rsidRPr="00A83E9D">
        <w:rPr>
          <w:rFonts w:ascii="Cambria" w:hAnsi="Cambria"/>
          <w:sz w:val="20"/>
          <w:szCs w:val="20"/>
        </w:rPr>
        <w:t xml:space="preserve">950, </w:t>
      </w:r>
      <w:r w:rsidR="00D713D7">
        <w:rPr>
          <w:rFonts w:ascii="Cambria" w:hAnsi="Cambria"/>
          <w:sz w:val="20"/>
          <w:szCs w:val="20"/>
        </w:rPr>
        <w:t xml:space="preserve">called </w:t>
      </w:r>
      <w:r w:rsidRPr="00A83E9D">
        <w:rPr>
          <w:rFonts w:ascii="Cambria" w:hAnsi="Cambria"/>
          <w:sz w:val="20"/>
          <w:szCs w:val="20"/>
        </w:rPr>
        <w:t>“</w:t>
      </w:r>
      <w:r w:rsidR="00D713D7">
        <w:rPr>
          <w:rFonts w:ascii="Cambria" w:hAnsi="Cambria"/>
          <w:sz w:val="20"/>
          <w:szCs w:val="20"/>
        </w:rPr>
        <w:t xml:space="preserve">arrest to </w:t>
      </w:r>
      <w:r w:rsidR="00B83B17">
        <w:rPr>
          <w:rFonts w:ascii="Cambria" w:hAnsi="Cambria"/>
          <w:sz w:val="20"/>
          <w:szCs w:val="20"/>
        </w:rPr>
        <w:t xml:space="preserve">check </w:t>
      </w:r>
      <w:r w:rsidR="00D713D7">
        <w:rPr>
          <w:rFonts w:ascii="Cambria" w:hAnsi="Cambria"/>
          <w:sz w:val="20"/>
          <w:szCs w:val="20"/>
        </w:rPr>
        <w:t>identity”) is automatic</w:t>
      </w:r>
      <w:r w:rsidRPr="00A83E9D">
        <w:rPr>
          <w:rFonts w:ascii="Cambria" w:hAnsi="Cambria"/>
          <w:sz w:val="20"/>
          <w:szCs w:val="20"/>
        </w:rPr>
        <w:t xml:space="preserve">. </w:t>
      </w:r>
      <w:r w:rsidR="00D713D7">
        <w:rPr>
          <w:rFonts w:ascii="Cambria" w:hAnsi="Cambria"/>
          <w:sz w:val="20"/>
          <w:szCs w:val="20"/>
        </w:rPr>
        <w:t xml:space="preserve">The persons identified were not committing, nor it is understood that </w:t>
      </w:r>
      <w:r w:rsidR="00960824">
        <w:rPr>
          <w:rFonts w:ascii="Cambria" w:hAnsi="Cambria"/>
          <w:sz w:val="20"/>
          <w:szCs w:val="20"/>
        </w:rPr>
        <w:t>they could commit, a crime or misdemeanor</w:t>
      </w:r>
      <w:r w:rsidR="00D713D7">
        <w:rPr>
          <w:rFonts w:ascii="Cambria" w:hAnsi="Cambria"/>
          <w:sz w:val="20"/>
          <w:szCs w:val="20"/>
        </w:rPr>
        <w:t>, thus there was no reason to require identification, they were just poor persons living on the street and it would appear that said status, in the fa</w:t>
      </w:r>
      <w:r w:rsidR="005F0386">
        <w:rPr>
          <w:rFonts w:ascii="Cambria" w:hAnsi="Cambria"/>
          <w:sz w:val="20"/>
          <w:szCs w:val="20"/>
        </w:rPr>
        <w:t>c</w:t>
      </w:r>
      <w:r w:rsidR="00D713D7">
        <w:rPr>
          <w:rFonts w:ascii="Cambria" w:hAnsi="Cambria"/>
          <w:sz w:val="20"/>
          <w:szCs w:val="20"/>
        </w:rPr>
        <w:t>ts, authorized the police officers to act.</w:t>
      </w:r>
      <w:r w:rsidRPr="00A83E9D">
        <w:rPr>
          <w:rStyle w:val="FootnoteReference"/>
          <w:rFonts w:ascii="Cambria" w:hAnsi="Cambria"/>
          <w:sz w:val="20"/>
          <w:szCs w:val="20"/>
        </w:rPr>
        <w:footnoteReference w:id="14"/>
      </w:r>
    </w:p>
    <w:p w14:paraId="001EBF67" w14:textId="77777777" w:rsidR="00F474A4" w:rsidRPr="00A83E9D" w:rsidRDefault="00F474A4" w:rsidP="00F474A4">
      <w:pPr>
        <w:suppressAutoHyphens/>
        <w:ind w:left="720"/>
        <w:jc w:val="both"/>
        <w:rPr>
          <w:sz w:val="20"/>
          <w:szCs w:val="20"/>
        </w:rPr>
      </w:pPr>
    </w:p>
    <w:p w14:paraId="36A19375" w14:textId="77777777" w:rsidR="00F474A4" w:rsidRPr="00A83E9D" w:rsidRDefault="00F474A4" w:rsidP="00F474A4">
      <w:pPr>
        <w:pStyle w:val="Heading2"/>
        <w:numPr>
          <w:ilvl w:val="0"/>
          <w:numId w:val="106"/>
        </w:numPr>
      </w:pPr>
      <w:bookmarkStart w:id="33" w:name="_Toc495868434"/>
      <w:bookmarkStart w:id="34" w:name="_Toc497896921"/>
      <w:bookmarkEnd w:id="31"/>
      <w:r w:rsidRPr="00A83E9D">
        <w:t xml:space="preserve">Carlos Alberto </w:t>
      </w:r>
      <w:proofErr w:type="spellStart"/>
      <w:r w:rsidRPr="00A83E9D">
        <w:t>Fernández</w:t>
      </w:r>
      <w:proofErr w:type="spellEnd"/>
      <w:r w:rsidRPr="00A83E9D">
        <w:t xml:space="preserve"> Prieto</w:t>
      </w:r>
      <w:bookmarkEnd w:id="33"/>
      <w:bookmarkEnd w:id="34"/>
    </w:p>
    <w:p w14:paraId="6FA2BC74" w14:textId="77777777" w:rsidR="00F474A4" w:rsidRPr="00A83E9D" w:rsidRDefault="00F474A4" w:rsidP="00F474A4">
      <w:pPr>
        <w:suppressAutoHyphens/>
        <w:ind w:left="720"/>
        <w:jc w:val="both"/>
        <w:rPr>
          <w:rFonts w:ascii="Cambria" w:hAnsi="Cambria"/>
          <w:sz w:val="20"/>
          <w:szCs w:val="20"/>
        </w:rPr>
      </w:pPr>
    </w:p>
    <w:p w14:paraId="5124AB45" w14:textId="77777777" w:rsidR="00F474A4" w:rsidRPr="00A83E9D" w:rsidRDefault="00F474A4" w:rsidP="00F474A4">
      <w:pPr>
        <w:ind w:firstLine="720"/>
        <w:jc w:val="both"/>
        <w:rPr>
          <w:rFonts w:ascii="Cambria" w:eastAsia="SimSun" w:hAnsi="Cambria"/>
          <w:b/>
          <w:sz w:val="20"/>
          <w:szCs w:val="20"/>
        </w:rPr>
      </w:pPr>
      <w:r w:rsidRPr="00A83E9D">
        <w:rPr>
          <w:rFonts w:ascii="Cambria" w:eastAsia="SimSun" w:hAnsi="Cambria"/>
          <w:b/>
          <w:sz w:val="20"/>
          <w:szCs w:val="20"/>
        </w:rPr>
        <w:t xml:space="preserve">1. </w:t>
      </w:r>
      <w:r w:rsidRPr="00A83E9D">
        <w:rPr>
          <w:rFonts w:ascii="Cambria" w:eastAsia="SimSun" w:hAnsi="Cambria"/>
          <w:b/>
          <w:sz w:val="20"/>
          <w:szCs w:val="20"/>
        </w:rPr>
        <w:tab/>
      </w:r>
      <w:r w:rsidR="005F0386">
        <w:rPr>
          <w:rFonts w:ascii="Cambria" w:eastAsia="SimSun" w:hAnsi="Cambria"/>
          <w:b/>
          <w:sz w:val="20"/>
          <w:szCs w:val="20"/>
        </w:rPr>
        <w:t xml:space="preserve">The events of May 26, </w:t>
      </w:r>
      <w:r w:rsidRPr="00A83E9D">
        <w:rPr>
          <w:rFonts w:ascii="Cambria" w:eastAsia="SimSun" w:hAnsi="Cambria"/>
          <w:b/>
          <w:sz w:val="20"/>
          <w:szCs w:val="20"/>
        </w:rPr>
        <w:t>1992</w:t>
      </w:r>
    </w:p>
    <w:p w14:paraId="06CB5D19" w14:textId="77777777" w:rsidR="00F474A4" w:rsidRPr="00A83E9D" w:rsidRDefault="00F474A4" w:rsidP="00F474A4">
      <w:pPr>
        <w:jc w:val="both"/>
        <w:rPr>
          <w:rFonts w:ascii="Cambria" w:eastAsia="SimSun" w:hAnsi="Cambria"/>
          <w:sz w:val="20"/>
          <w:szCs w:val="20"/>
        </w:rPr>
      </w:pPr>
    </w:p>
    <w:p w14:paraId="42BF3231" w14:textId="26BE5E40" w:rsidR="00F474A4" w:rsidRPr="00A83E9D" w:rsidRDefault="005F038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At approximately </w:t>
      </w:r>
      <w:r w:rsidR="00F474A4" w:rsidRPr="00A83E9D">
        <w:rPr>
          <w:rFonts w:ascii="Cambria" w:eastAsia="SimSun" w:hAnsi="Cambria"/>
          <w:sz w:val="20"/>
          <w:szCs w:val="20"/>
          <w:lang w:val="en-US"/>
        </w:rPr>
        <w:t xml:space="preserve">7:00 pm </w:t>
      </w:r>
      <w:r>
        <w:rPr>
          <w:rFonts w:ascii="Cambria" w:eastAsia="SimSun" w:hAnsi="Cambria"/>
          <w:sz w:val="20"/>
          <w:szCs w:val="20"/>
          <w:lang w:val="en-US"/>
        </w:rPr>
        <w:t xml:space="preserve">on May </w:t>
      </w:r>
      <w:r w:rsidR="00F474A4" w:rsidRPr="00A83E9D">
        <w:rPr>
          <w:rFonts w:ascii="Cambria" w:eastAsia="SimSun" w:hAnsi="Cambria"/>
          <w:sz w:val="20"/>
          <w:szCs w:val="20"/>
          <w:lang w:val="en-US"/>
        </w:rPr>
        <w:t>26</w:t>
      </w:r>
      <w:r>
        <w:rPr>
          <w:rFonts w:ascii="Cambria" w:eastAsia="SimSun" w:hAnsi="Cambria"/>
          <w:sz w:val="20"/>
          <w:szCs w:val="20"/>
          <w:lang w:val="en-US"/>
        </w:rPr>
        <w:t>,</w:t>
      </w:r>
      <w:r w:rsidR="00F474A4" w:rsidRPr="00A83E9D">
        <w:rPr>
          <w:rFonts w:ascii="Cambria" w:eastAsia="SimSun" w:hAnsi="Cambria"/>
          <w:sz w:val="20"/>
          <w:szCs w:val="20"/>
          <w:lang w:val="en-US"/>
        </w:rPr>
        <w:t xml:space="preserve"> 1992 </w:t>
      </w:r>
      <w:r>
        <w:rPr>
          <w:rFonts w:ascii="Cambria" w:eastAsia="SimSun" w:hAnsi="Cambria"/>
          <w:sz w:val="20"/>
          <w:szCs w:val="20"/>
          <w:lang w:val="en-US"/>
        </w:rPr>
        <w:t>police officer Inspector and First Sergeant</w:t>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were circulating in their jurisdiction in an unpopulated area between the Federal Capital and Mar del Plata when they identified a vehicle </w:t>
      </w:r>
      <w:r w:rsidR="00E40093">
        <w:rPr>
          <w:rFonts w:ascii="Cambria" w:eastAsia="SimSun" w:hAnsi="Cambria"/>
          <w:sz w:val="20"/>
          <w:szCs w:val="20"/>
          <w:lang w:val="en-US"/>
        </w:rPr>
        <w:t xml:space="preserve">in which </w:t>
      </w:r>
      <w:r>
        <w:rPr>
          <w:rFonts w:ascii="Cambria" w:eastAsia="SimSun" w:hAnsi="Cambria"/>
          <w:sz w:val="20"/>
          <w:szCs w:val="20"/>
          <w:lang w:val="en-US"/>
        </w:rPr>
        <w:t xml:space="preserve">Mr. </w:t>
      </w:r>
      <w:proofErr w:type="spellStart"/>
      <w:r w:rsidR="00F474A4" w:rsidRPr="00A83E9D">
        <w:rPr>
          <w:rFonts w:ascii="Cambria" w:eastAsia="SimSun" w:hAnsi="Cambria"/>
          <w:sz w:val="20"/>
          <w:szCs w:val="20"/>
          <w:lang w:val="en-US"/>
        </w:rPr>
        <w:t>Fernández</w:t>
      </w:r>
      <w:proofErr w:type="spellEnd"/>
      <w:r w:rsidR="007978E7">
        <w:rPr>
          <w:rFonts w:ascii="Cambria" w:eastAsia="SimSun" w:hAnsi="Cambria"/>
          <w:sz w:val="20"/>
          <w:szCs w:val="20"/>
          <w:lang w:val="en-US"/>
        </w:rPr>
        <w:t xml:space="preserve"> – then 52 years old – </w:t>
      </w:r>
      <w:r w:rsidR="00E40093">
        <w:rPr>
          <w:rFonts w:ascii="Cambria" w:eastAsia="SimSun" w:hAnsi="Cambria"/>
          <w:sz w:val="20"/>
          <w:szCs w:val="20"/>
          <w:lang w:val="en-US"/>
        </w:rPr>
        <w:t xml:space="preserve">was traveling with </w:t>
      </w:r>
      <w:r>
        <w:rPr>
          <w:rFonts w:ascii="Cambria" w:eastAsia="SimSun" w:hAnsi="Cambria"/>
          <w:sz w:val="20"/>
          <w:szCs w:val="20"/>
          <w:lang w:val="en-US"/>
        </w:rPr>
        <w:t>two other persons.</w:t>
      </w:r>
      <w:r w:rsidR="00F474A4" w:rsidRPr="00A83E9D">
        <w:rPr>
          <w:rStyle w:val="FootnoteReference"/>
          <w:rFonts w:ascii="Calibri" w:eastAsia="Batang" w:hAnsi="Calibri"/>
          <w:sz w:val="20"/>
          <w:szCs w:val="20"/>
          <w:bdr w:val="none" w:sz="0" w:space="0" w:color="auto"/>
          <w:lang w:val="en-US"/>
        </w:rPr>
        <w:footnoteReference w:id="15"/>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According to the arrest report the police agents decided to intercept that vehicle </w:t>
      </w:r>
      <w:r w:rsidR="00E40093">
        <w:rPr>
          <w:rFonts w:ascii="Cambria" w:eastAsia="SimSun" w:hAnsi="Cambria"/>
          <w:sz w:val="20"/>
          <w:szCs w:val="20"/>
          <w:lang w:val="en-US"/>
        </w:rPr>
        <w:t xml:space="preserve">as they considered </w:t>
      </w:r>
      <w:r>
        <w:rPr>
          <w:rFonts w:ascii="Cambria" w:eastAsia="SimSun" w:hAnsi="Cambria"/>
          <w:sz w:val="20"/>
          <w:szCs w:val="20"/>
          <w:lang w:val="en-US"/>
        </w:rPr>
        <w:t>that the passengers had a “suspicious attitude.”</w:t>
      </w:r>
      <w:r w:rsidR="00F474A4" w:rsidRPr="00A83E9D">
        <w:rPr>
          <w:rStyle w:val="FootnoteReference"/>
          <w:rFonts w:ascii="Cambria" w:eastAsia="Batang" w:hAnsi="Cambria"/>
          <w:sz w:val="20"/>
          <w:szCs w:val="20"/>
          <w:bdr w:val="none" w:sz="0" w:space="0" w:color="auto"/>
          <w:lang w:val="en-US"/>
        </w:rPr>
        <w:footnoteReference w:id="16"/>
      </w:r>
      <w:r w:rsidR="00F474A4" w:rsidRPr="00A83E9D">
        <w:rPr>
          <w:rFonts w:ascii="Cambria" w:eastAsia="SimSun" w:hAnsi="Cambria"/>
          <w:sz w:val="20"/>
          <w:szCs w:val="20"/>
          <w:lang w:val="en-US"/>
        </w:rPr>
        <w:t xml:space="preserve"> </w:t>
      </w:r>
    </w:p>
    <w:p w14:paraId="3BF55ECA"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n-US"/>
        </w:rPr>
      </w:pPr>
    </w:p>
    <w:p w14:paraId="4F422ED1" w14:textId="77777777" w:rsidR="00F474A4" w:rsidRPr="00A83E9D" w:rsidRDefault="005F038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The police agents asked Mr. </w:t>
      </w:r>
      <w:proofErr w:type="spellStart"/>
      <w:r>
        <w:rPr>
          <w:rFonts w:ascii="Cambria" w:eastAsia="SimSun" w:hAnsi="Cambria"/>
          <w:sz w:val="20"/>
          <w:szCs w:val="20"/>
          <w:lang w:val="en-US"/>
        </w:rPr>
        <w:t>Fernández</w:t>
      </w:r>
      <w:proofErr w:type="spellEnd"/>
      <w:r>
        <w:rPr>
          <w:rFonts w:ascii="Cambria" w:eastAsia="SimSun" w:hAnsi="Cambria"/>
          <w:sz w:val="20"/>
          <w:szCs w:val="20"/>
          <w:lang w:val="en-US"/>
        </w:rPr>
        <w:t xml:space="preserve"> and the other two per</w:t>
      </w:r>
      <w:r w:rsidR="00E40093">
        <w:rPr>
          <w:rFonts w:ascii="Cambria" w:eastAsia="SimSun" w:hAnsi="Cambria"/>
          <w:sz w:val="20"/>
          <w:szCs w:val="20"/>
          <w:lang w:val="en-US"/>
        </w:rPr>
        <w:t>sons to step out of the vehicle</w:t>
      </w:r>
      <w:r>
        <w:rPr>
          <w:rFonts w:ascii="Cambria" w:eastAsia="SimSun" w:hAnsi="Cambria"/>
          <w:sz w:val="20"/>
          <w:szCs w:val="20"/>
          <w:lang w:val="en-US"/>
        </w:rPr>
        <w:t xml:space="preserve"> and proceeded to search it.</w:t>
      </w:r>
      <w:r w:rsidR="00F474A4" w:rsidRPr="00A83E9D">
        <w:rPr>
          <w:rStyle w:val="FootnoteReference"/>
          <w:rFonts w:ascii="Cambria" w:eastAsia="Batang" w:hAnsi="Cambria"/>
          <w:sz w:val="20"/>
          <w:szCs w:val="20"/>
          <w:bdr w:val="none" w:sz="0" w:space="0" w:color="auto"/>
          <w:lang w:val="en-US"/>
        </w:rPr>
        <w:footnoteReference w:id="17"/>
      </w:r>
      <w:r w:rsidR="00F474A4" w:rsidRPr="00A83E9D">
        <w:rPr>
          <w:rFonts w:ascii="Cambria" w:eastAsia="SimSun" w:hAnsi="Cambria"/>
          <w:sz w:val="20"/>
          <w:szCs w:val="20"/>
          <w:lang w:val="en-US"/>
        </w:rPr>
        <w:t xml:space="preserve"> </w:t>
      </w:r>
      <w:r>
        <w:rPr>
          <w:rFonts w:ascii="Cambria" w:eastAsia="SimSun" w:hAnsi="Cambria"/>
          <w:sz w:val="20"/>
          <w:szCs w:val="20"/>
          <w:lang w:val="en-US"/>
        </w:rPr>
        <w:t>According to the arrest report, several packages were found “which, based on the aroma and the characteristics … might be … marijuana.”</w:t>
      </w:r>
      <w:r w:rsidR="00F474A4" w:rsidRPr="00A83E9D">
        <w:rPr>
          <w:rStyle w:val="FootnoteReference"/>
          <w:rFonts w:ascii="Cambria" w:eastAsia="Batang" w:hAnsi="Cambria"/>
          <w:sz w:val="20"/>
          <w:szCs w:val="20"/>
          <w:bdr w:val="none" w:sz="0" w:space="0" w:color="auto"/>
          <w:lang w:val="en-US"/>
        </w:rPr>
        <w:footnoteReference w:id="18"/>
      </w:r>
      <w:r w:rsidR="00F474A4" w:rsidRPr="00A83E9D">
        <w:rPr>
          <w:rFonts w:ascii="Cambria" w:eastAsia="SimSun" w:hAnsi="Cambria"/>
          <w:sz w:val="20"/>
          <w:szCs w:val="20"/>
          <w:lang w:val="en-US"/>
        </w:rPr>
        <w:t xml:space="preserve"> </w:t>
      </w:r>
      <w:r>
        <w:rPr>
          <w:rFonts w:ascii="Cambria" w:eastAsia="SimSun" w:hAnsi="Cambria"/>
          <w:sz w:val="20"/>
          <w:szCs w:val="20"/>
          <w:lang w:val="en-US"/>
        </w:rPr>
        <w:t>A revolver and dozens of projectiles were also found.</w:t>
      </w:r>
      <w:r w:rsidR="00F474A4" w:rsidRPr="00A83E9D">
        <w:rPr>
          <w:rStyle w:val="FootnoteReference"/>
          <w:rFonts w:ascii="Cambria" w:eastAsia="Batang" w:hAnsi="Cambria"/>
          <w:sz w:val="20"/>
          <w:szCs w:val="20"/>
          <w:bdr w:val="none" w:sz="0" w:space="0" w:color="auto"/>
          <w:lang w:val="en-US"/>
        </w:rPr>
        <w:footnoteReference w:id="19"/>
      </w:r>
    </w:p>
    <w:p w14:paraId="390AF40C"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n-US"/>
        </w:rPr>
      </w:pPr>
    </w:p>
    <w:p w14:paraId="74414E51" w14:textId="0F657190" w:rsidR="00F474A4" w:rsidRPr="00A83E9D" w:rsidRDefault="005F038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sidR="00EB38AC">
        <w:rPr>
          <w:rFonts w:ascii="Cambria" w:eastAsia="SimSun" w:hAnsi="Cambria"/>
          <w:sz w:val="20"/>
          <w:szCs w:val="20"/>
          <w:lang w:val="en-US"/>
        </w:rPr>
        <w:t>and the other two persons were taken to the closest police station.</w:t>
      </w:r>
      <w:r w:rsidR="00F474A4" w:rsidRPr="00A83E9D">
        <w:rPr>
          <w:rStyle w:val="FootnoteReference"/>
          <w:rFonts w:ascii="Cambria" w:hAnsi="Cambria"/>
          <w:sz w:val="20"/>
          <w:szCs w:val="20"/>
          <w:lang w:val="en-US"/>
        </w:rPr>
        <w:footnoteReference w:id="20"/>
      </w:r>
      <w:r w:rsidR="00F474A4" w:rsidRPr="00A83E9D">
        <w:rPr>
          <w:rFonts w:ascii="Cambria" w:eastAsia="SimSun" w:hAnsi="Cambria"/>
          <w:sz w:val="20"/>
          <w:szCs w:val="20"/>
          <w:lang w:val="en-US"/>
        </w:rPr>
        <w:t xml:space="preserve"> </w:t>
      </w:r>
      <w:r w:rsidR="00EB38AC">
        <w:rPr>
          <w:rFonts w:ascii="Cambria" w:eastAsia="SimSun" w:hAnsi="Cambria"/>
          <w:sz w:val="20"/>
          <w:szCs w:val="20"/>
          <w:lang w:val="en-US"/>
        </w:rPr>
        <w:t xml:space="preserve">Police agent stated that Mr. </w:t>
      </w:r>
      <w:proofErr w:type="spellStart"/>
      <w:r w:rsidR="00EB38AC">
        <w:rPr>
          <w:rFonts w:ascii="Cambria" w:eastAsia="SimSun" w:hAnsi="Cambria"/>
          <w:sz w:val="20"/>
          <w:szCs w:val="20"/>
          <w:lang w:val="en-US"/>
        </w:rPr>
        <w:t>Fernández</w:t>
      </w:r>
      <w:proofErr w:type="spellEnd"/>
      <w:r w:rsidR="00EB38AC">
        <w:rPr>
          <w:rFonts w:ascii="Cambria" w:eastAsia="SimSun" w:hAnsi="Cambria"/>
          <w:sz w:val="20"/>
          <w:szCs w:val="20"/>
          <w:lang w:val="en-US"/>
        </w:rPr>
        <w:t xml:space="preserve"> accepted responsibility</w:t>
      </w:r>
      <w:r w:rsidR="00F474A4" w:rsidRPr="00A83E9D">
        <w:rPr>
          <w:rFonts w:ascii="Cambria" w:eastAsia="SimSun" w:hAnsi="Cambria"/>
          <w:sz w:val="20"/>
          <w:szCs w:val="20"/>
          <w:lang w:val="en-US"/>
        </w:rPr>
        <w:t xml:space="preserve"> </w:t>
      </w:r>
      <w:r w:rsidR="00EB38AC">
        <w:rPr>
          <w:rFonts w:ascii="Cambria" w:eastAsia="SimSun" w:hAnsi="Cambria"/>
          <w:sz w:val="20"/>
          <w:szCs w:val="20"/>
          <w:lang w:val="en-US"/>
        </w:rPr>
        <w:t>for the packages that he was carrying.</w:t>
      </w:r>
      <w:r w:rsidR="00F474A4" w:rsidRPr="00A83E9D">
        <w:rPr>
          <w:rStyle w:val="FootnoteReference"/>
          <w:rFonts w:ascii="Cambria" w:hAnsi="Cambria"/>
          <w:sz w:val="20"/>
          <w:szCs w:val="20"/>
          <w:lang w:val="en-US"/>
        </w:rPr>
        <w:footnoteReference w:id="21"/>
      </w:r>
      <w:r w:rsidR="00F474A4" w:rsidRPr="00A83E9D">
        <w:rPr>
          <w:rFonts w:ascii="Cambria" w:eastAsia="SimSun" w:hAnsi="Cambria"/>
          <w:sz w:val="20"/>
          <w:szCs w:val="20"/>
          <w:lang w:val="en-US"/>
        </w:rPr>
        <w:t xml:space="preserve"> </w:t>
      </w:r>
      <w:r w:rsidR="00EB38AC">
        <w:rPr>
          <w:rFonts w:ascii="Cambria" w:eastAsia="SimSun" w:hAnsi="Cambria"/>
          <w:sz w:val="20"/>
          <w:szCs w:val="20"/>
          <w:lang w:val="en-US"/>
        </w:rPr>
        <w:t xml:space="preserve">Officer </w:t>
      </w:r>
      <w:r w:rsidR="00F474A4" w:rsidRPr="00A83E9D">
        <w:rPr>
          <w:rFonts w:ascii="Cambria" w:eastAsia="SimSun" w:hAnsi="Cambria"/>
          <w:sz w:val="20"/>
          <w:szCs w:val="20"/>
          <w:lang w:val="en-US"/>
        </w:rPr>
        <w:t xml:space="preserve">Norberto </w:t>
      </w:r>
      <w:r w:rsidR="00EB38AC">
        <w:rPr>
          <w:rFonts w:ascii="Cambria" w:eastAsia="SimSun" w:hAnsi="Cambria"/>
          <w:sz w:val="20"/>
          <w:szCs w:val="20"/>
          <w:lang w:val="en-US"/>
        </w:rPr>
        <w:t xml:space="preserve">stated that after the packages were found in the car Mr. </w:t>
      </w:r>
      <w:proofErr w:type="spellStart"/>
      <w:r w:rsidR="00F474A4" w:rsidRPr="00A83E9D">
        <w:rPr>
          <w:rFonts w:ascii="Cambria" w:eastAsia="SimSun" w:hAnsi="Cambria"/>
          <w:sz w:val="20"/>
          <w:szCs w:val="20"/>
          <w:lang w:val="en-US"/>
        </w:rPr>
        <w:t>Fernández</w:t>
      </w:r>
      <w:proofErr w:type="spellEnd"/>
      <w:r w:rsidR="00EB38AC">
        <w:rPr>
          <w:rFonts w:ascii="Cambria" w:eastAsia="SimSun" w:hAnsi="Cambria"/>
          <w:sz w:val="20"/>
          <w:szCs w:val="20"/>
          <w:lang w:val="en-US"/>
        </w:rPr>
        <w:t xml:space="preserve">, in a clear state of “nervousness and </w:t>
      </w:r>
      <w:r w:rsidR="00E40093">
        <w:rPr>
          <w:rFonts w:ascii="Cambria" w:eastAsia="SimSun" w:hAnsi="Cambria"/>
          <w:sz w:val="20"/>
          <w:szCs w:val="20"/>
          <w:lang w:val="en-US"/>
        </w:rPr>
        <w:t>startled, stated aloud, as i</w:t>
      </w:r>
      <w:r w:rsidR="00D47833">
        <w:rPr>
          <w:rFonts w:ascii="Cambria" w:eastAsia="SimSun" w:hAnsi="Cambria"/>
          <w:sz w:val="20"/>
          <w:szCs w:val="20"/>
          <w:lang w:val="en-US"/>
        </w:rPr>
        <w:t>f justifying his action, that he was to deliver the drug</w:t>
      </w:r>
      <w:r w:rsidR="00E40093">
        <w:rPr>
          <w:rFonts w:ascii="Cambria" w:eastAsia="SimSun" w:hAnsi="Cambria"/>
          <w:sz w:val="20"/>
          <w:szCs w:val="20"/>
          <w:lang w:val="en-US"/>
        </w:rPr>
        <w:t>s</w:t>
      </w:r>
      <w:r w:rsidR="00D47833">
        <w:rPr>
          <w:rFonts w:ascii="Cambria" w:eastAsia="SimSun" w:hAnsi="Cambria"/>
          <w:sz w:val="20"/>
          <w:szCs w:val="20"/>
          <w:lang w:val="en-US"/>
        </w:rPr>
        <w:t xml:space="preserve"> to a certain Guillermo …</w:t>
      </w:r>
      <w:r w:rsidR="00F474A4" w:rsidRPr="00A83E9D">
        <w:rPr>
          <w:rFonts w:ascii="Cambria" w:eastAsia="SimSun" w:hAnsi="Cambria"/>
          <w:sz w:val="20"/>
          <w:szCs w:val="20"/>
          <w:lang w:val="en-US"/>
        </w:rPr>
        <w:t xml:space="preserve">, </w:t>
      </w:r>
      <w:r w:rsidR="00D47833">
        <w:rPr>
          <w:rFonts w:ascii="Cambria" w:eastAsia="SimSun" w:hAnsi="Cambria"/>
          <w:sz w:val="20"/>
          <w:szCs w:val="20"/>
          <w:lang w:val="en-US"/>
        </w:rPr>
        <w:t>and that said person would pay him in cash, then and there, for the merchandise.”</w:t>
      </w:r>
      <w:r w:rsidR="00F474A4" w:rsidRPr="00A83E9D">
        <w:rPr>
          <w:rStyle w:val="FootnoteReference"/>
          <w:sz w:val="20"/>
          <w:szCs w:val="20"/>
          <w:lang w:val="en-US"/>
        </w:rPr>
        <w:footnoteReference w:id="22"/>
      </w:r>
    </w:p>
    <w:p w14:paraId="08667117"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n-US"/>
        </w:rPr>
      </w:pPr>
    </w:p>
    <w:p w14:paraId="5D0D35FA" w14:textId="77777777" w:rsidR="00F474A4" w:rsidRPr="00A83E9D" w:rsidRDefault="00D47833"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One of the persons accompanying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stated that the two weapons seized were his property, and that he had the respective permit.</w:t>
      </w:r>
      <w:r w:rsidR="00F474A4" w:rsidRPr="00A83E9D">
        <w:rPr>
          <w:rStyle w:val="FootnoteReference"/>
          <w:sz w:val="20"/>
          <w:szCs w:val="20"/>
          <w:lang w:val="en-US"/>
        </w:rPr>
        <w:footnoteReference w:id="23"/>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He said that he was unaware of the contents of the packages seized since they belonged to Mr. </w:t>
      </w:r>
      <w:proofErr w:type="spellStart"/>
      <w:r w:rsidR="00F474A4" w:rsidRPr="00A83E9D">
        <w:rPr>
          <w:rFonts w:ascii="Cambria" w:eastAsia="SimSun" w:hAnsi="Cambria"/>
          <w:sz w:val="20"/>
          <w:szCs w:val="20"/>
          <w:lang w:val="en-US"/>
        </w:rPr>
        <w:t>Fernández</w:t>
      </w:r>
      <w:proofErr w:type="spellEnd"/>
      <w:r>
        <w:rPr>
          <w:rFonts w:ascii="Cambria" w:eastAsia="SimSun" w:hAnsi="Cambria"/>
          <w:sz w:val="20"/>
          <w:szCs w:val="20"/>
          <w:lang w:val="en-US"/>
        </w:rPr>
        <w:t>.</w:t>
      </w:r>
      <w:r w:rsidR="00F474A4" w:rsidRPr="00A83E9D">
        <w:rPr>
          <w:rStyle w:val="FootnoteReference"/>
          <w:sz w:val="20"/>
          <w:szCs w:val="20"/>
          <w:lang w:val="en-US"/>
        </w:rPr>
        <w:footnoteReference w:id="24"/>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stated that </w:t>
      </w:r>
      <w:r w:rsidR="00C1283F">
        <w:rPr>
          <w:rFonts w:ascii="Cambria" w:eastAsia="SimSun" w:hAnsi="Cambria"/>
          <w:sz w:val="20"/>
          <w:szCs w:val="20"/>
          <w:lang w:val="en-US"/>
        </w:rPr>
        <w:t>a</w:t>
      </w:r>
      <w:r>
        <w:rPr>
          <w:rFonts w:ascii="Cambria" w:eastAsia="SimSun" w:hAnsi="Cambria"/>
          <w:sz w:val="20"/>
          <w:szCs w:val="20"/>
          <w:lang w:val="en-US"/>
        </w:rPr>
        <w:t xml:space="preserve"> person </w:t>
      </w:r>
      <w:r w:rsidR="00C1283F">
        <w:rPr>
          <w:rFonts w:ascii="Cambria" w:eastAsia="SimSun" w:hAnsi="Cambria"/>
          <w:sz w:val="20"/>
          <w:szCs w:val="20"/>
          <w:lang w:val="en-US"/>
        </w:rPr>
        <w:t xml:space="preserve">with the </w:t>
      </w:r>
      <w:r>
        <w:rPr>
          <w:rFonts w:ascii="Cambria" w:eastAsia="SimSun" w:hAnsi="Cambria"/>
          <w:sz w:val="20"/>
          <w:szCs w:val="20"/>
          <w:lang w:val="en-US"/>
        </w:rPr>
        <w:t xml:space="preserve">alias </w:t>
      </w:r>
      <w:r w:rsidR="00F474A4" w:rsidRPr="00A83E9D">
        <w:rPr>
          <w:rFonts w:ascii="Cambria" w:eastAsia="SimSun" w:hAnsi="Cambria"/>
          <w:sz w:val="20"/>
          <w:szCs w:val="20"/>
          <w:lang w:val="en-US"/>
        </w:rPr>
        <w:t>“</w:t>
      </w:r>
      <w:proofErr w:type="spellStart"/>
      <w:r>
        <w:rPr>
          <w:rFonts w:ascii="Cambria" w:eastAsia="SimSun" w:hAnsi="Cambria"/>
          <w:sz w:val="20"/>
          <w:szCs w:val="20"/>
          <w:lang w:val="en-US"/>
        </w:rPr>
        <w:t>P</w:t>
      </w:r>
      <w:r w:rsidR="00F474A4" w:rsidRPr="00A83E9D">
        <w:rPr>
          <w:rFonts w:ascii="Cambria" w:eastAsia="SimSun" w:hAnsi="Cambria"/>
          <w:sz w:val="20"/>
          <w:szCs w:val="20"/>
          <w:lang w:val="en-US"/>
        </w:rPr>
        <w:t>antera</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called him to offer him the possibility of earning </w:t>
      </w:r>
      <w:r w:rsidR="00F474A4" w:rsidRPr="00A83E9D">
        <w:rPr>
          <w:rFonts w:ascii="Cambria" w:eastAsia="SimSun" w:hAnsi="Cambria"/>
          <w:sz w:val="20"/>
          <w:szCs w:val="20"/>
          <w:lang w:val="en-US"/>
        </w:rPr>
        <w:t xml:space="preserve">500 </w:t>
      </w:r>
      <w:r>
        <w:rPr>
          <w:rFonts w:ascii="Cambria" w:eastAsia="SimSun" w:hAnsi="Cambria"/>
          <w:sz w:val="20"/>
          <w:szCs w:val="20"/>
          <w:lang w:val="en-US"/>
        </w:rPr>
        <w:t xml:space="preserve">dollars if he transported some merchandise to </w:t>
      </w:r>
      <w:r w:rsidR="00F474A4" w:rsidRPr="00A83E9D">
        <w:rPr>
          <w:rFonts w:ascii="Cambria" w:eastAsia="SimSun" w:hAnsi="Cambria"/>
          <w:sz w:val="20"/>
          <w:szCs w:val="20"/>
          <w:lang w:val="en-US"/>
        </w:rPr>
        <w:t>Mar del Plata</w:t>
      </w:r>
      <w:r>
        <w:rPr>
          <w:rFonts w:ascii="Cambria" w:eastAsia="SimSun" w:hAnsi="Cambria"/>
          <w:sz w:val="20"/>
          <w:szCs w:val="20"/>
          <w:lang w:val="en-US"/>
        </w:rPr>
        <w:t>.</w:t>
      </w:r>
      <w:r w:rsidR="00F474A4" w:rsidRPr="00A83E9D">
        <w:rPr>
          <w:rStyle w:val="FootnoteReference"/>
          <w:sz w:val="20"/>
          <w:szCs w:val="20"/>
          <w:lang w:val="en-US"/>
        </w:rPr>
        <w:footnoteReference w:id="25"/>
      </w:r>
      <w:r w:rsidR="00F474A4" w:rsidRPr="00A83E9D">
        <w:rPr>
          <w:rFonts w:ascii="Cambria" w:eastAsia="SimSun" w:hAnsi="Cambria"/>
          <w:sz w:val="20"/>
          <w:szCs w:val="20"/>
          <w:lang w:val="en-US"/>
        </w:rPr>
        <w:t xml:space="preserve"> </w:t>
      </w:r>
      <w:r w:rsidR="00C1283F">
        <w:rPr>
          <w:rFonts w:ascii="Cambria" w:eastAsia="SimSun" w:hAnsi="Cambria"/>
          <w:sz w:val="20"/>
          <w:szCs w:val="20"/>
          <w:lang w:val="en-US"/>
        </w:rPr>
        <w:t>He said that the two persons accompanying him were not aware of that situation.</w:t>
      </w:r>
      <w:r w:rsidR="00F474A4" w:rsidRPr="00A83E9D">
        <w:rPr>
          <w:rStyle w:val="FootnoteReference"/>
          <w:sz w:val="20"/>
          <w:szCs w:val="20"/>
          <w:lang w:val="en-US"/>
        </w:rPr>
        <w:footnoteReference w:id="26"/>
      </w:r>
    </w:p>
    <w:p w14:paraId="5EDCA19E"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n-US"/>
        </w:rPr>
      </w:pPr>
    </w:p>
    <w:p w14:paraId="51311685" w14:textId="77777777" w:rsidR="00F474A4" w:rsidRPr="00A83E9D" w:rsidRDefault="00C1283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clarified that the material seized was not in the trunk, and that therefore there was an error in the arrest report.</w:t>
      </w:r>
      <w:r w:rsidR="00F474A4" w:rsidRPr="00A83E9D">
        <w:rPr>
          <w:rStyle w:val="FootnoteReference"/>
          <w:sz w:val="20"/>
          <w:szCs w:val="20"/>
          <w:lang w:val="en-US"/>
        </w:rPr>
        <w:footnoteReference w:id="27"/>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He clarified that he signed the arrest report in </w:t>
      </w:r>
      <w:r w:rsidR="00F474A4" w:rsidRPr="00A83E9D">
        <w:rPr>
          <w:rFonts w:ascii="Cambria" w:eastAsia="SimSun" w:hAnsi="Cambria"/>
          <w:sz w:val="20"/>
          <w:szCs w:val="20"/>
          <w:lang w:val="en-US"/>
        </w:rPr>
        <w:t>“</w:t>
      </w:r>
      <w:r>
        <w:rPr>
          <w:rFonts w:ascii="Cambria" w:eastAsia="SimSun" w:hAnsi="Cambria"/>
          <w:sz w:val="20"/>
          <w:szCs w:val="20"/>
          <w:lang w:val="en-US"/>
        </w:rPr>
        <w:t>good faith because one could not see anything that night.</w:t>
      </w:r>
      <w:r w:rsidR="00F474A4" w:rsidRPr="00A83E9D">
        <w:rPr>
          <w:rFonts w:ascii="Cambria" w:eastAsia="SimSun" w:hAnsi="Cambria"/>
          <w:sz w:val="20"/>
          <w:szCs w:val="20"/>
          <w:lang w:val="en-US"/>
        </w:rPr>
        <w:t>”</w:t>
      </w:r>
      <w:r w:rsidR="00F474A4" w:rsidRPr="00A83E9D">
        <w:rPr>
          <w:rStyle w:val="FootnoteReference"/>
          <w:sz w:val="20"/>
          <w:szCs w:val="20"/>
          <w:lang w:val="en-US"/>
        </w:rPr>
        <w:footnoteReference w:id="28"/>
      </w:r>
    </w:p>
    <w:p w14:paraId="6339CA46" w14:textId="77777777" w:rsidR="00F474A4" w:rsidRPr="00A83E9D" w:rsidRDefault="00F474A4" w:rsidP="00F474A4">
      <w:pPr>
        <w:ind w:left="1440"/>
        <w:jc w:val="both"/>
        <w:rPr>
          <w:rFonts w:ascii="Cambria" w:eastAsia="SimSun" w:hAnsi="Cambria"/>
          <w:sz w:val="20"/>
          <w:szCs w:val="20"/>
        </w:rPr>
      </w:pPr>
    </w:p>
    <w:p w14:paraId="3B11D717" w14:textId="77777777" w:rsidR="00F474A4" w:rsidRPr="00A83E9D" w:rsidRDefault="00C1283F" w:rsidP="00F474A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SimSun"/>
          <w:sz w:val="20"/>
          <w:szCs w:val="20"/>
        </w:rPr>
      </w:pPr>
      <w:r>
        <w:rPr>
          <w:rFonts w:eastAsia="SimSun"/>
          <w:b/>
          <w:sz w:val="20"/>
          <w:szCs w:val="20"/>
        </w:rPr>
        <w:t xml:space="preserve">The criminal proceeding against Mr. </w:t>
      </w:r>
      <w:proofErr w:type="spellStart"/>
      <w:r w:rsidR="00F474A4" w:rsidRPr="00A83E9D">
        <w:rPr>
          <w:rFonts w:eastAsia="SimSun"/>
          <w:b/>
          <w:sz w:val="20"/>
          <w:szCs w:val="20"/>
        </w:rPr>
        <w:t>Fernández</w:t>
      </w:r>
      <w:proofErr w:type="spellEnd"/>
      <w:r w:rsidR="00F474A4" w:rsidRPr="00A83E9D">
        <w:rPr>
          <w:rFonts w:eastAsia="SimSun"/>
          <w:sz w:val="20"/>
          <w:szCs w:val="20"/>
        </w:rPr>
        <w:t xml:space="preserve"> </w:t>
      </w:r>
    </w:p>
    <w:p w14:paraId="36756A44" w14:textId="77777777" w:rsidR="00F474A4" w:rsidRPr="00A83E9D" w:rsidRDefault="00F474A4" w:rsidP="00F474A4">
      <w:pPr>
        <w:jc w:val="both"/>
        <w:rPr>
          <w:rFonts w:ascii="Cambria" w:eastAsia="SimSun" w:hAnsi="Cambria"/>
          <w:sz w:val="20"/>
          <w:szCs w:val="20"/>
        </w:rPr>
      </w:pPr>
    </w:p>
    <w:p w14:paraId="517A9588" w14:textId="77777777" w:rsidR="00F474A4" w:rsidRDefault="00C1283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June </w:t>
      </w:r>
      <w:r w:rsidR="00F474A4" w:rsidRPr="00A83E9D">
        <w:rPr>
          <w:rFonts w:ascii="Cambria" w:eastAsia="SimSun" w:hAnsi="Cambria"/>
          <w:sz w:val="20"/>
          <w:szCs w:val="20"/>
          <w:lang w:val="en-US"/>
        </w:rPr>
        <w:t>16</w:t>
      </w:r>
      <w:r>
        <w:rPr>
          <w:rFonts w:ascii="Cambria" w:eastAsia="SimSun" w:hAnsi="Cambria"/>
          <w:sz w:val="20"/>
          <w:szCs w:val="20"/>
          <w:lang w:val="en-US"/>
        </w:rPr>
        <w:t>,</w:t>
      </w:r>
      <w:r w:rsidR="00F474A4" w:rsidRPr="00A83E9D">
        <w:rPr>
          <w:rFonts w:ascii="Cambria" w:eastAsia="SimSun" w:hAnsi="Cambria"/>
          <w:sz w:val="20"/>
          <w:szCs w:val="20"/>
          <w:lang w:val="en-US"/>
        </w:rPr>
        <w:t xml:space="preserve"> 1992 </w:t>
      </w:r>
      <w:r>
        <w:rPr>
          <w:rFonts w:ascii="Cambria" w:eastAsia="SimSun" w:hAnsi="Cambria"/>
          <w:sz w:val="20"/>
          <w:szCs w:val="20"/>
          <w:lang w:val="en-US"/>
        </w:rPr>
        <w:t xml:space="preserve">the federal judge ordered that Mr. </w:t>
      </w:r>
      <w:proofErr w:type="spellStart"/>
      <w:r w:rsidR="00F474A4" w:rsidRPr="00A83E9D">
        <w:rPr>
          <w:rFonts w:ascii="Cambria" w:eastAsia="SimSun" w:hAnsi="Cambria"/>
          <w:sz w:val="20"/>
          <w:szCs w:val="20"/>
          <w:lang w:val="en-US"/>
        </w:rPr>
        <w:t>Fernández</w:t>
      </w:r>
      <w:proofErr w:type="spellEnd"/>
      <w:r>
        <w:rPr>
          <w:rFonts w:ascii="Cambria" w:eastAsia="SimSun" w:hAnsi="Cambria"/>
          <w:sz w:val="20"/>
          <w:szCs w:val="20"/>
          <w:lang w:val="en-US"/>
        </w:rPr>
        <w:t xml:space="preserve"> be held in pretrial detention.</w:t>
      </w:r>
      <w:r w:rsidR="00F474A4" w:rsidRPr="00A83E9D">
        <w:rPr>
          <w:rStyle w:val="FootnoteReference"/>
          <w:sz w:val="20"/>
          <w:szCs w:val="20"/>
          <w:lang w:val="en-US"/>
        </w:rPr>
        <w:footnoteReference w:id="29"/>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The judge stated that he </w:t>
      </w:r>
      <w:r w:rsidR="006121BB">
        <w:rPr>
          <w:rFonts w:ascii="Cambria" w:eastAsia="SimSun" w:hAnsi="Cambria"/>
          <w:sz w:val="20"/>
          <w:szCs w:val="20"/>
          <w:lang w:val="en-US"/>
        </w:rPr>
        <w:t>considered</w:t>
      </w:r>
      <w:r w:rsidR="00E40093">
        <w:rPr>
          <w:rFonts w:ascii="Cambria" w:eastAsia="SimSun" w:hAnsi="Cambria"/>
          <w:sz w:val="20"/>
          <w:szCs w:val="20"/>
          <w:lang w:val="en-US"/>
        </w:rPr>
        <w:t xml:space="preserve"> the evidence, and the place</w:t>
      </w:r>
      <w:r>
        <w:rPr>
          <w:rFonts w:ascii="Cambria" w:eastAsia="SimSun" w:hAnsi="Cambria"/>
          <w:sz w:val="20"/>
          <w:szCs w:val="20"/>
          <w:lang w:val="en-US"/>
        </w:rPr>
        <w:t xml:space="preserve"> and the manner in which the narcotics were found, thus there are elements to characterize the act as the crime of transporting narcotics.</w:t>
      </w:r>
      <w:r w:rsidR="00F474A4" w:rsidRPr="00A83E9D">
        <w:rPr>
          <w:rStyle w:val="FootnoteReference"/>
          <w:sz w:val="20"/>
          <w:szCs w:val="20"/>
          <w:lang w:val="en-US"/>
        </w:rPr>
        <w:footnoteReference w:id="30"/>
      </w:r>
      <w:r w:rsidR="00F474A4" w:rsidRPr="00A83E9D">
        <w:rPr>
          <w:rFonts w:ascii="Cambria" w:eastAsia="SimSun" w:hAnsi="Cambria"/>
          <w:sz w:val="20"/>
          <w:szCs w:val="20"/>
          <w:lang w:val="en-US"/>
        </w:rPr>
        <w:t xml:space="preserve"> </w:t>
      </w:r>
    </w:p>
    <w:p w14:paraId="66C772A6" w14:textId="77777777" w:rsidR="00D750A6" w:rsidRPr="00D750A6" w:rsidRDefault="00D750A6" w:rsidP="00D750A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0C8627E5" w14:textId="77777777" w:rsidR="00F474A4" w:rsidRPr="00A83E9D" w:rsidRDefault="00C1283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November </w:t>
      </w:r>
      <w:r w:rsidR="00F474A4" w:rsidRPr="00A83E9D">
        <w:rPr>
          <w:rFonts w:ascii="Cambria" w:eastAsia="SimSun" w:hAnsi="Cambria"/>
          <w:sz w:val="20"/>
          <w:szCs w:val="20"/>
          <w:lang w:val="en-US"/>
        </w:rPr>
        <w:t>8</w:t>
      </w:r>
      <w:r>
        <w:rPr>
          <w:rFonts w:ascii="Cambria" w:eastAsia="SimSun" w:hAnsi="Cambria"/>
          <w:sz w:val="20"/>
          <w:szCs w:val="20"/>
          <w:lang w:val="en-US"/>
        </w:rPr>
        <w:t>,</w:t>
      </w:r>
      <w:r w:rsidR="00F474A4" w:rsidRPr="00A83E9D">
        <w:rPr>
          <w:rFonts w:ascii="Cambria" w:eastAsia="SimSun" w:hAnsi="Cambria"/>
          <w:sz w:val="20"/>
          <w:szCs w:val="20"/>
          <w:lang w:val="en-US"/>
        </w:rPr>
        <w:t xml:space="preserve"> 1995</w:t>
      </w:r>
      <w:r>
        <w:rPr>
          <w:rFonts w:ascii="Cambria" w:eastAsia="SimSun" w:hAnsi="Cambria"/>
          <w:sz w:val="20"/>
          <w:szCs w:val="20"/>
          <w:lang w:val="en-US"/>
        </w:rPr>
        <w:t xml:space="preserve">, the </w:t>
      </w:r>
      <w:r w:rsidR="00E40093">
        <w:rPr>
          <w:rFonts w:ascii="Cambria" w:eastAsia="SimSun" w:hAnsi="Cambria"/>
          <w:sz w:val="20"/>
          <w:szCs w:val="20"/>
          <w:lang w:val="en-US"/>
        </w:rPr>
        <w:t xml:space="preserve">subrogating </w:t>
      </w:r>
      <w:r>
        <w:rPr>
          <w:rFonts w:ascii="Cambria" w:eastAsia="SimSun" w:hAnsi="Cambria"/>
          <w:sz w:val="20"/>
          <w:szCs w:val="20"/>
          <w:lang w:val="en-US"/>
        </w:rPr>
        <w:t>federal prosecutor (</w:t>
      </w:r>
      <w:proofErr w:type="spellStart"/>
      <w:r w:rsidR="006121BB">
        <w:rPr>
          <w:rFonts w:ascii="Cambria" w:eastAsia="SimSun" w:hAnsi="Cambria"/>
          <w:i/>
          <w:sz w:val="20"/>
          <w:szCs w:val="20"/>
          <w:lang w:val="en-US"/>
        </w:rPr>
        <w:t>procurad</w:t>
      </w:r>
      <w:r w:rsidR="006121BB" w:rsidRPr="00E40093">
        <w:rPr>
          <w:rFonts w:ascii="Cambria" w:eastAsia="SimSun" w:hAnsi="Cambria"/>
          <w:i/>
          <w:sz w:val="20"/>
          <w:szCs w:val="20"/>
          <w:lang w:val="en-US"/>
        </w:rPr>
        <w:t>or</w:t>
      </w:r>
      <w:proofErr w:type="spellEnd"/>
      <w:r w:rsidR="00F474A4" w:rsidRPr="00E40093">
        <w:rPr>
          <w:rFonts w:ascii="Cambria" w:eastAsia="SimSun" w:hAnsi="Cambria"/>
          <w:i/>
          <w:sz w:val="20"/>
          <w:szCs w:val="20"/>
          <w:lang w:val="en-US"/>
        </w:rPr>
        <w:t xml:space="preserve"> </w:t>
      </w:r>
      <w:r w:rsidRPr="00E40093">
        <w:rPr>
          <w:rFonts w:ascii="Cambria" w:eastAsia="SimSun" w:hAnsi="Cambria"/>
          <w:i/>
          <w:sz w:val="20"/>
          <w:szCs w:val="20"/>
          <w:lang w:val="en-US"/>
        </w:rPr>
        <w:t>f</w:t>
      </w:r>
      <w:r w:rsidR="00F474A4" w:rsidRPr="00E40093">
        <w:rPr>
          <w:rFonts w:ascii="Cambria" w:eastAsia="SimSun" w:hAnsi="Cambria"/>
          <w:i/>
          <w:sz w:val="20"/>
          <w:szCs w:val="20"/>
          <w:lang w:val="en-US"/>
        </w:rPr>
        <w:t xml:space="preserve">iscal </w:t>
      </w:r>
      <w:r w:rsidRPr="00E40093">
        <w:rPr>
          <w:rFonts w:ascii="Cambria" w:eastAsia="SimSun" w:hAnsi="Cambria"/>
          <w:i/>
          <w:sz w:val="20"/>
          <w:szCs w:val="20"/>
          <w:lang w:val="en-US"/>
        </w:rPr>
        <w:t>f</w:t>
      </w:r>
      <w:r w:rsidR="00F474A4" w:rsidRPr="00E40093">
        <w:rPr>
          <w:rFonts w:ascii="Cambria" w:eastAsia="SimSun" w:hAnsi="Cambria"/>
          <w:i/>
          <w:sz w:val="20"/>
          <w:szCs w:val="20"/>
          <w:lang w:val="en-US"/>
        </w:rPr>
        <w:t xml:space="preserve">ederal </w:t>
      </w:r>
      <w:proofErr w:type="spellStart"/>
      <w:r w:rsidRPr="00E40093">
        <w:rPr>
          <w:rFonts w:ascii="Cambria" w:eastAsia="SimSun" w:hAnsi="Cambria"/>
          <w:i/>
          <w:sz w:val="20"/>
          <w:szCs w:val="20"/>
          <w:lang w:val="en-US"/>
        </w:rPr>
        <w:t>s</w:t>
      </w:r>
      <w:r w:rsidR="00F474A4" w:rsidRPr="00E40093">
        <w:rPr>
          <w:rFonts w:ascii="Cambria" w:eastAsia="SimSun" w:hAnsi="Cambria"/>
          <w:i/>
          <w:sz w:val="20"/>
          <w:szCs w:val="20"/>
          <w:lang w:val="en-US"/>
        </w:rPr>
        <w:t>ubrogante</w:t>
      </w:r>
      <w:proofErr w:type="spellEnd"/>
      <w:r>
        <w:rPr>
          <w:rFonts w:ascii="Cambria" w:eastAsia="SimSun" w:hAnsi="Cambria"/>
          <w:sz w:val="20"/>
          <w:szCs w:val="20"/>
          <w:lang w:val="en-US"/>
        </w:rPr>
        <w:t>)</w:t>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filed charges against Mr. </w:t>
      </w:r>
      <w:proofErr w:type="spellStart"/>
      <w:r w:rsidR="00F474A4" w:rsidRPr="00A83E9D">
        <w:rPr>
          <w:rFonts w:ascii="Cambria" w:eastAsia="SimSun" w:hAnsi="Cambria"/>
          <w:sz w:val="20"/>
          <w:szCs w:val="20"/>
          <w:lang w:val="en-US"/>
        </w:rPr>
        <w:t>Fernández</w:t>
      </w:r>
      <w:proofErr w:type="spellEnd"/>
      <w:r>
        <w:rPr>
          <w:rFonts w:ascii="Cambria" w:eastAsia="SimSun" w:hAnsi="Cambria"/>
          <w:sz w:val="20"/>
          <w:szCs w:val="20"/>
          <w:lang w:val="en-US"/>
        </w:rPr>
        <w:t xml:space="preserve">, which he characterized as the perpetrator criminally responsible for the crime of transporting </w:t>
      </w:r>
      <w:r w:rsidR="00F474A4" w:rsidRPr="00A83E9D">
        <w:rPr>
          <w:rFonts w:ascii="Cambria" w:eastAsia="SimSun" w:hAnsi="Cambria"/>
          <w:sz w:val="20"/>
          <w:szCs w:val="20"/>
          <w:lang w:val="en-US"/>
        </w:rPr>
        <w:t>2</w:t>
      </w:r>
      <w:r>
        <w:rPr>
          <w:rFonts w:ascii="Cambria" w:eastAsia="SimSun" w:hAnsi="Cambria"/>
          <w:sz w:val="20"/>
          <w:szCs w:val="20"/>
          <w:lang w:val="en-US"/>
        </w:rPr>
        <w:t xml:space="preserve">,370 grams of </w:t>
      </w:r>
      <w:r w:rsidR="00E40093">
        <w:rPr>
          <w:rFonts w:ascii="Cambria" w:eastAsia="SimSun" w:hAnsi="Cambria"/>
          <w:sz w:val="20"/>
          <w:szCs w:val="20"/>
          <w:lang w:val="en-US"/>
        </w:rPr>
        <w:t xml:space="preserve">cut </w:t>
      </w:r>
      <w:r>
        <w:rPr>
          <w:rFonts w:ascii="Cambria" w:eastAsia="SimSun" w:hAnsi="Cambria"/>
          <w:sz w:val="20"/>
          <w:szCs w:val="20"/>
          <w:lang w:val="en-US"/>
        </w:rPr>
        <w:t>marijuana distributed in six “loaves”</w:t>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that he was </w:t>
      </w:r>
      <w:r>
        <w:rPr>
          <w:rFonts w:ascii="Cambria" w:eastAsia="SimSun" w:hAnsi="Cambria"/>
          <w:sz w:val="20"/>
          <w:szCs w:val="20"/>
          <w:lang w:val="en-US"/>
        </w:rPr>
        <w:lastRenderedPageBreak/>
        <w:t xml:space="preserve">taking from the Federal Capital to </w:t>
      </w:r>
      <w:r w:rsidR="00F474A4" w:rsidRPr="00A83E9D">
        <w:rPr>
          <w:rFonts w:ascii="Cambria" w:eastAsia="SimSun" w:hAnsi="Cambria"/>
          <w:sz w:val="20"/>
          <w:szCs w:val="20"/>
          <w:lang w:val="en-US"/>
        </w:rPr>
        <w:t>Mar de Plata</w:t>
      </w:r>
      <w:r>
        <w:rPr>
          <w:rFonts w:ascii="Cambria" w:eastAsia="SimSun" w:hAnsi="Cambria"/>
          <w:sz w:val="20"/>
          <w:szCs w:val="20"/>
          <w:lang w:val="en-US"/>
        </w:rPr>
        <w:t>.</w:t>
      </w:r>
      <w:r w:rsidR="00F474A4" w:rsidRPr="00A83E9D">
        <w:rPr>
          <w:rStyle w:val="FootnoteReference"/>
          <w:sz w:val="20"/>
          <w:szCs w:val="20"/>
          <w:lang w:val="en-US"/>
        </w:rPr>
        <w:footnoteReference w:id="31"/>
      </w:r>
      <w:r>
        <w:rPr>
          <w:rFonts w:ascii="Cambria" w:eastAsia="SimSun" w:hAnsi="Cambria"/>
          <w:sz w:val="20"/>
          <w:szCs w:val="20"/>
          <w:lang w:val="en-US"/>
        </w:rPr>
        <w:t xml:space="preserve"> It was argued that where exactly the packages were situated was irrelevant, given that Mr. </w:t>
      </w:r>
      <w:proofErr w:type="spellStart"/>
      <w:r>
        <w:rPr>
          <w:rFonts w:ascii="Cambria" w:eastAsia="SimSun" w:hAnsi="Cambria"/>
          <w:sz w:val="20"/>
          <w:szCs w:val="20"/>
          <w:lang w:val="en-US"/>
        </w:rPr>
        <w:t>Fernández</w:t>
      </w:r>
      <w:proofErr w:type="spellEnd"/>
      <w:r>
        <w:rPr>
          <w:rFonts w:ascii="Cambria" w:eastAsia="SimSun" w:hAnsi="Cambria"/>
          <w:sz w:val="20"/>
          <w:szCs w:val="20"/>
          <w:lang w:val="en-US"/>
        </w:rPr>
        <w:t xml:space="preserve"> had </w:t>
      </w:r>
      <w:r w:rsidR="00F474A4" w:rsidRPr="00A83E9D">
        <w:rPr>
          <w:rFonts w:ascii="Cambria" w:eastAsia="SimSun" w:hAnsi="Cambria"/>
          <w:sz w:val="20"/>
          <w:szCs w:val="20"/>
          <w:lang w:val="en-US"/>
        </w:rPr>
        <w:t>as</w:t>
      </w:r>
      <w:r>
        <w:rPr>
          <w:rFonts w:ascii="Cambria" w:eastAsia="SimSun" w:hAnsi="Cambria"/>
          <w:sz w:val="20"/>
          <w:szCs w:val="20"/>
          <w:lang w:val="en-US"/>
        </w:rPr>
        <w:t>s</w:t>
      </w:r>
      <w:r w:rsidR="00F474A4" w:rsidRPr="00A83E9D">
        <w:rPr>
          <w:rFonts w:ascii="Cambria" w:eastAsia="SimSun" w:hAnsi="Cambria"/>
          <w:sz w:val="20"/>
          <w:szCs w:val="20"/>
          <w:lang w:val="en-US"/>
        </w:rPr>
        <w:t>um</w:t>
      </w:r>
      <w:r>
        <w:rPr>
          <w:rFonts w:ascii="Cambria" w:eastAsia="SimSun" w:hAnsi="Cambria"/>
          <w:sz w:val="20"/>
          <w:szCs w:val="20"/>
          <w:lang w:val="en-US"/>
        </w:rPr>
        <w:t>e</w:t>
      </w:r>
      <w:r w:rsidR="00F474A4" w:rsidRPr="00A83E9D">
        <w:rPr>
          <w:rFonts w:ascii="Cambria" w:eastAsia="SimSun" w:hAnsi="Cambria"/>
          <w:sz w:val="20"/>
          <w:szCs w:val="20"/>
          <w:lang w:val="en-US"/>
        </w:rPr>
        <w:t xml:space="preserve">d </w:t>
      </w:r>
      <w:r>
        <w:rPr>
          <w:rFonts w:ascii="Cambria" w:eastAsia="SimSun" w:hAnsi="Cambria"/>
          <w:sz w:val="20"/>
          <w:szCs w:val="20"/>
          <w:lang w:val="en-US"/>
        </w:rPr>
        <w:t>full responsibility for the custody of the items taken.</w:t>
      </w:r>
      <w:r w:rsidR="00F474A4" w:rsidRPr="00A83E9D">
        <w:rPr>
          <w:rStyle w:val="FootnoteReference"/>
          <w:sz w:val="20"/>
          <w:szCs w:val="20"/>
          <w:lang w:val="en-US"/>
        </w:rPr>
        <w:footnoteReference w:id="32"/>
      </w:r>
      <w:r w:rsidR="00F474A4" w:rsidRPr="00A83E9D">
        <w:rPr>
          <w:rFonts w:ascii="Cambria" w:eastAsia="SimSun" w:hAnsi="Cambria"/>
          <w:sz w:val="20"/>
          <w:szCs w:val="20"/>
          <w:lang w:val="en-US"/>
        </w:rPr>
        <w:t xml:space="preserve"> </w:t>
      </w:r>
      <w:r w:rsidR="00B56221">
        <w:rPr>
          <w:rFonts w:ascii="Cambria" w:eastAsia="SimSun" w:hAnsi="Cambria"/>
          <w:sz w:val="20"/>
          <w:szCs w:val="20"/>
          <w:lang w:val="en-US"/>
        </w:rPr>
        <w:t xml:space="preserve"> </w:t>
      </w:r>
    </w:p>
    <w:p w14:paraId="11B52AA6"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6E31ED75" w14:textId="77777777" w:rsidR="00F474A4" w:rsidRPr="00A83E9D" w:rsidRDefault="00AB4E37"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May </w:t>
      </w:r>
      <w:r w:rsidR="00F474A4" w:rsidRPr="00A83E9D">
        <w:rPr>
          <w:rFonts w:ascii="Cambria" w:eastAsia="SimSun" w:hAnsi="Cambria"/>
          <w:sz w:val="20"/>
          <w:szCs w:val="20"/>
          <w:lang w:val="en-US"/>
        </w:rPr>
        <w:t>26</w:t>
      </w:r>
      <w:r>
        <w:rPr>
          <w:rFonts w:ascii="Cambria" w:eastAsia="SimSun" w:hAnsi="Cambria"/>
          <w:sz w:val="20"/>
          <w:szCs w:val="20"/>
          <w:lang w:val="en-US"/>
        </w:rPr>
        <w:t>,</w:t>
      </w:r>
      <w:r w:rsidR="00F474A4" w:rsidRPr="00A83E9D">
        <w:rPr>
          <w:rFonts w:ascii="Cambria" w:eastAsia="SimSun" w:hAnsi="Cambria"/>
          <w:sz w:val="20"/>
          <w:szCs w:val="20"/>
          <w:lang w:val="en-US"/>
        </w:rPr>
        <w:t xml:space="preserve"> 1996 </w:t>
      </w:r>
      <w:r>
        <w:rPr>
          <w:rFonts w:ascii="Cambria" w:eastAsia="SimSun" w:hAnsi="Cambria"/>
          <w:sz w:val="20"/>
          <w:szCs w:val="20"/>
          <w:lang w:val="en-US"/>
        </w:rPr>
        <w:t>the defense asked that its client be acquitted and that the proceeding be declared null.</w:t>
      </w:r>
      <w:r w:rsidR="00F474A4" w:rsidRPr="00A83E9D">
        <w:rPr>
          <w:rStyle w:val="FootnoteReference"/>
          <w:sz w:val="20"/>
          <w:szCs w:val="20"/>
          <w:lang w:val="en-US"/>
        </w:rPr>
        <w:footnoteReference w:id="33"/>
      </w:r>
      <w:r w:rsidR="00F474A4" w:rsidRPr="00A83E9D">
        <w:rPr>
          <w:rFonts w:ascii="Cambria" w:eastAsia="SimSun" w:hAnsi="Cambria"/>
          <w:sz w:val="20"/>
          <w:szCs w:val="20"/>
          <w:lang w:val="en-US"/>
        </w:rPr>
        <w:t xml:space="preserve"> </w:t>
      </w:r>
      <w:r>
        <w:rPr>
          <w:rFonts w:ascii="Cambria" w:eastAsia="SimSun" w:hAnsi="Cambria"/>
          <w:sz w:val="20"/>
          <w:szCs w:val="20"/>
          <w:lang w:val="en-US"/>
        </w:rPr>
        <w:t>The defense argued that the stop and search were conducted arbitrarily, violating constitutional guarantees.</w:t>
      </w:r>
      <w:r w:rsidR="00F474A4" w:rsidRPr="00A83E9D">
        <w:rPr>
          <w:rStyle w:val="FootnoteReference"/>
          <w:sz w:val="20"/>
          <w:szCs w:val="20"/>
          <w:lang w:val="en-US"/>
        </w:rPr>
        <w:footnoteReference w:id="34"/>
      </w:r>
      <w:r w:rsidR="00F474A4" w:rsidRPr="00A83E9D">
        <w:rPr>
          <w:rFonts w:ascii="Cambria" w:eastAsia="SimSun" w:hAnsi="Cambria"/>
          <w:sz w:val="20"/>
          <w:szCs w:val="20"/>
          <w:lang w:val="en-US"/>
        </w:rPr>
        <w:t xml:space="preserve"> </w:t>
      </w:r>
      <w:r>
        <w:rPr>
          <w:rFonts w:ascii="Cambria" w:eastAsia="SimSun" w:hAnsi="Cambria"/>
          <w:sz w:val="20"/>
          <w:szCs w:val="20"/>
          <w:lang w:val="en-US"/>
        </w:rPr>
        <w:t>It explained that mere suspicion is not grounds for authorizing the actions carried out by the police.</w:t>
      </w:r>
      <w:r w:rsidR="00F474A4" w:rsidRPr="00A83E9D">
        <w:rPr>
          <w:rStyle w:val="FootnoteReference"/>
          <w:sz w:val="20"/>
          <w:szCs w:val="20"/>
          <w:lang w:val="en-US"/>
        </w:rPr>
        <w:footnoteReference w:id="35"/>
      </w:r>
    </w:p>
    <w:p w14:paraId="0C6F8277"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2CECC482" w14:textId="77777777" w:rsidR="00F474A4" w:rsidRPr="00A83E9D" w:rsidRDefault="007C13A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July </w:t>
      </w:r>
      <w:r w:rsidR="00F474A4" w:rsidRPr="00A83E9D">
        <w:rPr>
          <w:rFonts w:ascii="Cambria" w:eastAsia="SimSun" w:hAnsi="Cambria"/>
          <w:sz w:val="20"/>
          <w:szCs w:val="20"/>
          <w:lang w:val="en-US"/>
        </w:rPr>
        <w:t>19</w:t>
      </w:r>
      <w:r>
        <w:rPr>
          <w:rFonts w:ascii="Cambria" w:eastAsia="SimSun" w:hAnsi="Cambria"/>
          <w:sz w:val="20"/>
          <w:szCs w:val="20"/>
          <w:lang w:val="en-US"/>
        </w:rPr>
        <w:t>,</w:t>
      </w:r>
      <w:r w:rsidR="00F474A4" w:rsidRPr="00A83E9D">
        <w:rPr>
          <w:rFonts w:ascii="Cambria" w:eastAsia="SimSun" w:hAnsi="Cambria"/>
          <w:sz w:val="20"/>
          <w:szCs w:val="20"/>
          <w:lang w:val="en-US"/>
        </w:rPr>
        <w:t xml:space="preserve"> 1996</w:t>
      </w:r>
      <w:r>
        <w:rPr>
          <w:rFonts w:ascii="Cambria" w:eastAsia="SimSun" w:hAnsi="Cambria"/>
          <w:sz w:val="20"/>
          <w:szCs w:val="20"/>
          <w:lang w:val="en-US"/>
        </w:rPr>
        <w:t xml:space="preserve">, the federal judge issued a judgment against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and sentenced him to five years in prison as the perpetrator criminally liable for the crime of transporting narcotics.</w:t>
      </w:r>
      <w:r w:rsidR="00F474A4" w:rsidRPr="00A83E9D">
        <w:rPr>
          <w:rStyle w:val="FootnoteReference"/>
          <w:sz w:val="20"/>
          <w:szCs w:val="20"/>
          <w:lang w:val="en-US"/>
        </w:rPr>
        <w:footnoteReference w:id="36"/>
      </w:r>
      <w:r w:rsidR="00F474A4" w:rsidRPr="00A83E9D">
        <w:rPr>
          <w:rFonts w:ascii="Cambria" w:eastAsia="SimSun" w:hAnsi="Cambria"/>
          <w:sz w:val="20"/>
          <w:szCs w:val="20"/>
          <w:lang w:val="en-US"/>
        </w:rPr>
        <w:t xml:space="preserve"> </w:t>
      </w:r>
      <w:r>
        <w:rPr>
          <w:rFonts w:ascii="Cambria" w:eastAsia="SimSun" w:hAnsi="Cambria"/>
          <w:sz w:val="20"/>
          <w:szCs w:val="20"/>
          <w:lang w:val="en-US"/>
        </w:rPr>
        <w:t>The judgment took into account: (</w:t>
      </w:r>
      <w:proofErr w:type="spellStart"/>
      <w:r w:rsidR="00F474A4" w:rsidRPr="00A83E9D">
        <w:rPr>
          <w:rFonts w:ascii="Cambria" w:eastAsia="SimSun" w:hAnsi="Cambria"/>
          <w:sz w:val="20"/>
          <w:szCs w:val="20"/>
          <w:lang w:val="en-US"/>
        </w:rPr>
        <w:t>i</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the statements by officers </w:t>
      </w:r>
      <w:r w:rsidR="00F474A4" w:rsidRPr="00A83E9D">
        <w:rPr>
          <w:rFonts w:ascii="Cambria" w:eastAsia="SimSun" w:hAnsi="Cambria"/>
          <w:sz w:val="20"/>
          <w:szCs w:val="20"/>
          <w:lang w:val="en-US"/>
        </w:rPr>
        <w:t xml:space="preserve">Carranza </w:t>
      </w:r>
      <w:r>
        <w:rPr>
          <w:rFonts w:ascii="Cambria" w:eastAsia="SimSun" w:hAnsi="Cambria"/>
          <w:sz w:val="20"/>
          <w:szCs w:val="20"/>
          <w:lang w:val="en-US"/>
        </w:rPr>
        <w:t xml:space="preserve">and </w:t>
      </w:r>
      <w:r w:rsidR="00F474A4" w:rsidRPr="00A83E9D">
        <w:rPr>
          <w:rFonts w:ascii="Cambria" w:eastAsia="SimSun" w:hAnsi="Cambria"/>
          <w:sz w:val="20"/>
          <w:szCs w:val="20"/>
          <w:lang w:val="en-US"/>
        </w:rPr>
        <w:t xml:space="preserve">Norberto, </w:t>
      </w:r>
      <w:r>
        <w:rPr>
          <w:rFonts w:ascii="Cambria" w:eastAsia="SimSun" w:hAnsi="Cambria"/>
          <w:sz w:val="20"/>
          <w:szCs w:val="20"/>
          <w:lang w:val="en-US"/>
        </w:rPr>
        <w:t xml:space="preserve">and </w:t>
      </w:r>
      <w:r w:rsidR="00E40093">
        <w:rPr>
          <w:rFonts w:ascii="Cambria" w:eastAsia="SimSun" w:hAnsi="Cambria"/>
          <w:sz w:val="20"/>
          <w:szCs w:val="20"/>
          <w:lang w:val="en-US"/>
        </w:rPr>
        <w:t xml:space="preserve">by </w:t>
      </w:r>
      <w:r>
        <w:rPr>
          <w:rFonts w:ascii="Cambria" w:eastAsia="SimSun" w:hAnsi="Cambria"/>
          <w:sz w:val="20"/>
          <w:szCs w:val="20"/>
          <w:lang w:val="en-US"/>
        </w:rPr>
        <w:t xml:space="preserve">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and the other occupants of the vehicle; and (</w:t>
      </w:r>
      <w:r w:rsidR="00F474A4" w:rsidRPr="00A83E9D">
        <w:rPr>
          <w:rFonts w:ascii="Cambria" w:eastAsia="SimSun" w:hAnsi="Cambria"/>
          <w:sz w:val="20"/>
          <w:szCs w:val="20"/>
          <w:lang w:val="en-US"/>
        </w:rPr>
        <w:t xml:space="preserve">ii) </w:t>
      </w:r>
      <w:r>
        <w:rPr>
          <w:rFonts w:ascii="Cambria" w:eastAsia="SimSun" w:hAnsi="Cambria"/>
          <w:sz w:val="20"/>
          <w:szCs w:val="20"/>
          <w:lang w:val="en-US"/>
        </w:rPr>
        <w:t>that the Provincial Police of Buenos Aires (</w:t>
      </w:r>
      <w:r w:rsidR="00E40093">
        <w:rPr>
          <w:rFonts w:ascii="Cambria" w:eastAsia="SimSun" w:hAnsi="Cambria"/>
          <w:sz w:val="20"/>
          <w:szCs w:val="20"/>
          <w:lang w:val="en-US"/>
        </w:rPr>
        <w:t xml:space="preserve">Technical Records Investigations </w:t>
      </w:r>
      <w:r w:rsidR="00454403">
        <w:rPr>
          <w:rFonts w:ascii="Cambria" w:eastAsia="SimSun" w:hAnsi="Cambria"/>
          <w:sz w:val="20"/>
          <w:szCs w:val="20"/>
          <w:lang w:val="en-US"/>
        </w:rPr>
        <w:t>Office</w:t>
      </w:r>
      <w:r>
        <w:rPr>
          <w:rFonts w:ascii="Cambria" w:eastAsia="SimSun" w:hAnsi="Cambria"/>
          <w:sz w:val="20"/>
          <w:szCs w:val="20"/>
          <w:lang w:val="en-US"/>
        </w:rPr>
        <w:t>)</w:t>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identified the packages obtained as </w:t>
      </w:r>
      <w:r w:rsidR="00F474A4" w:rsidRPr="00A83E9D">
        <w:rPr>
          <w:rFonts w:ascii="Cambria" w:eastAsia="SimSun" w:hAnsi="Cambria"/>
          <w:sz w:val="20"/>
          <w:szCs w:val="20"/>
          <w:lang w:val="en-US"/>
        </w:rPr>
        <w:t>“Cannabis Sativa</w:t>
      </w:r>
      <w:r>
        <w:rPr>
          <w:rFonts w:ascii="Cambria" w:eastAsia="SimSun" w:hAnsi="Cambria"/>
          <w:sz w:val="20"/>
          <w:szCs w:val="20"/>
          <w:lang w:val="en-US"/>
        </w:rPr>
        <w:t>.</w:t>
      </w:r>
      <w:r w:rsidR="00F474A4" w:rsidRPr="00A83E9D">
        <w:rPr>
          <w:rFonts w:ascii="Cambria" w:eastAsia="SimSun" w:hAnsi="Cambria"/>
          <w:sz w:val="20"/>
          <w:szCs w:val="20"/>
          <w:lang w:val="en-US"/>
        </w:rPr>
        <w:t>”</w:t>
      </w:r>
      <w:r w:rsidR="00F474A4" w:rsidRPr="00A83E9D">
        <w:rPr>
          <w:rStyle w:val="FootnoteReference"/>
          <w:sz w:val="20"/>
          <w:szCs w:val="20"/>
          <w:lang w:val="en-US"/>
        </w:rPr>
        <w:footnoteReference w:id="37"/>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In addition, it was indicated that the place where the packages attributed to Mr. </w:t>
      </w:r>
      <w:proofErr w:type="spellStart"/>
      <w:r w:rsidR="00F474A4" w:rsidRPr="00A83E9D">
        <w:rPr>
          <w:rFonts w:ascii="Cambria" w:eastAsia="SimSun" w:hAnsi="Cambria"/>
          <w:sz w:val="20"/>
          <w:szCs w:val="20"/>
          <w:lang w:val="en-US"/>
        </w:rPr>
        <w:t>Fernández</w:t>
      </w:r>
      <w:proofErr w:type="spellEnd"/>
      <w:r w:rsidR="00454403">
        <w:rPr>
          <w:rFonts w:ascii="Cambria" w:eastAsia="SimSun" w:hAnsi="Cambria"/>
          <w:sz w:val="20"/>
          <w:szCs w:val="20"/>
          <w:lang w:val="en-US"/>
        </w:rPr>
        <w:t xml:space="preserve"> were </w:t>
      </w:r>
      <w:r>
        <w:rPr>
          <w:rFonts w:ascii="Cambria" w:eastAsia="SimSun" w:hAnsi="Cambria"/>
          <w:sz w:val="20"/>
          <w:szCs w:val="20"/>
          <w:lang w:val="en-US"/>
        </w:rPr>
        <w:t>found does not change the quality of the confession in his initial statement to the authorities.</w:t>
      </w:r>
      <w:r w:rsidR="00F474A4" w:rsidRPr="00A83E9D">
        <w:rPr>
          <w:rStyle w:val="FootnoteReference"/>
          <w:rFonts w:ascii="Cambria" w:hAnsi="Cambria"/>
          <w:sz w:val="20"/>
          <w:szCs w:val="20"/>
          <w:lang w:val="en-US"/>
        </w:rPr>
        <w:footnoteReference w:id="38"/>
      </w:r>
    </w:p>
    <w:p w14:paraId="123B6853"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0C1DFB5E" w14:textId="77777777" w:rsidR="00F474A4" w:rsidRPr="00A83E9D" w:rsidRDefault="007C13A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Defense counsel for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filed a</w:t>
      </w:r>
      <w:r w:rsidR="00415C04">
        <w:rPr>
          <w:rFonts w:ascii="Cambria" w:eastAsia="SimSun" w:hAnsi="Cambria"/>
          <w:sz w:val="20"/>
          <w:szCs w:val="20"/>
          <w:lang w:val="en-US"/>
        </w:rPr>
        <w:t xml:space="preserve">n appellate brief </w:t>
      </w:r>
      <w:r>
        <w:rPr>
          <w:rFonts w:ascii="Cambria" w:eastAsia="SimSun" w:hAnsi="Cambria"/>
          <w:sz w:val="20"/>
          <w:szCs w:val="20"/>
          <w:lang w:val="en-US"/>
        </w:rPr>
        <w:t>against the conviction.</w:t>
      </w:r>
      <w:r w:rsidR="00F474A4" w:rsidRPr="00A83E9D">
        <w:rPr>
          <w:rStyle w:val="FootnoteReference"/>
          <w:rFonts w:ascii="Cambria" w:hAnsi="Cambria"/>
          <w:sz w:val="20"/>
          <w:szCs w:val="20"/>
          <w:lang w:val="en-US"/>
        </w:rPr>
        <w:footnoteReference w:id="39"/>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The validity of the evidence obtained was called into question insofar as the search of the car in which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was traveling was carried out without a judicial warrant.</w:t>
      </w:r>
      <w:r w:rsidR="00F474A4" w:rsidRPr="00A83E9D">
        <w:rPr>
          <w:rStyle w:val="FootnoteReference"/>
          <w:rFonts w:ascii="Cambria" w:hAnsi="Cambria"/>
          <w:sz w:val="20"/>
          <w:szCs w:val="20"/>
          <w:lang w:val="en-US"/>
        </w:rPr>
        <w:footnoteReference w:id="40"/>
      </w:r>
      <w:r w:rsidR="00F474A4" w:rsidRPr="00A83E9D">
        <w:rPr>
          <w:rFonts w:ascii="Cambria" w:eastAsia="SimSun" w:hAnsi="Cambria"/>
          <w:sz w:val="20"/>
          <w:szCs w:val="20"/>
          <w:lang w:val="en-US"/>
        </w:rPr>
        <w:t xml:space="preserve"> </w:t>
      </w:r>
      <w:r>
        <w:rPr>
          <w:rFonts w:ascii="Cambria" w:eastAsia="SimSun" w:hAnsi="Cambria"/>
          <w:sz w:val="20"/>
          <w:szCs w:val="20"/>
          <w:lang w:val="en-US"/>
        </w:rPr>
        <w:t>It was argued once again that mere suspicion on the part of the police agents does not suffice to  arrest a person and proceed to search his vehicle.</w:t>
      </w:r>
      <w:r w:rsidR="00F474A4" w:rsidRPr="00A83E9D">
        <w:rPr>
          <w:rStyle w:val="FootnoteReference"/>
          <w:rFonts w:ascii="Cambria" w:hAnsi="Cambria"/>
          <w:sz w:val="20"/>
          <w:szCs w:val="20"/>
          <w:lang w:val="en-US"/>
        </w:rPr>
        <w:footnoteReference w:id="41"/>
      </w:r>
      <w:r w:rsidR="00F474A4" w:rsidRPr="00A83E9D">
        <w:rPr>
          <w:rFonts w:ascii="Cambria" w:eastAsia="SimSun" w:hAnsi="Cambria"/>
          <w:sz w:val="20"/>
          <w:szCs w:val="20"/>
          <w:lang w:val="en-US"/>
        </w:rPr>
        <w:t xml:space="preserve"> </w:t>
      </w:r>
      <w:r>
        <w:rPr>
          <w:rFonts w:ascii="Cambria" w:eastAsia="SimSun" w:hAnsi="Cambria"/>
          <w:sz w:val="20"/>
          <w:szCs w:val="20"/>
          <w:lang w:val="en-US"/>
        </w:rPr>
        <w:t>Defense counsel noted that the record does not include indicators to support the concept of “suspiciousness” (</w:t>
      </w:r>
      <w:r w:rsidR="00F474A4" w:rsidRPr="00A83E9D">
        <w:rPr>
          <w:rFonts w:ascii="Cambria" w:eastAsia="SimSun" w:hAnsi="Cambria"/>
          <w:sz w:val="20"/>
          <w:szCs w:val="20"/>
          <w:lang w:val="en-US"/>
        </w:rPr>
        <w:t>“</w:t>
      </w:r>
      <w:proofErr w:type="spellStart"/>
      <w:r w:rsidR="00F474A4" w:rsidRPr="002E54F4">
        <w:rPr>
          <w:rFonts w:ascii="Cambria" w:eastAsia="SimSun" w:hAnsi="Cambria"/>
          <w:i/>
          <w:sz w:val="20"/>
          <w:szCs w:val="20"/>
          <w:lang w:val="en-US"/>
        </w:rPr>
        <w:t>estado</w:t>
      </w:r>
      <w:proofErr w:type="spellEnd"/>
      <w:r w:rsidR="00F474A4" w:rsidRPr="002E54F4">
        <w:rPr>
          <w:rFonts w:ascii="Cambria" w:eastAsia="SimSun" w:hAnsi="Cambria"/>
          <w:i/>
          <w:sz w:val="20"/>
          <w:szCs w:val="20"/>
          <w:lang w:val="en-US"/>
        </w:rPr>
        <w:t xml:space="preserve"> de </w:t>
      </w:r>
      <w:proofErr w:type="spellStart"/>
      <w:r w:rsidR="00F474A4" w:rsidRPr="002E54F4">
        <w:rPr>
          <w:rFonts w:ascii="Cambria" w:eastAsia="SimSun" w:hAnsi="Cambria"/>
          <w:i/>
          <w:sz w:val="20"/>
          <w:szCs w:val="20"/>
          <w:lang w:val="en-US"/>
        </w:rPr>
        <w:t>sospecha</w:t>
      </w:r>
      <w:proofErr w:type="spellEnd"/>
      <w:r w:rsidR="00F474A4" w:rsidRPr="00A83E9D">
        <w:rPr>
          <w:rFonts w:ascii="Cambria" w:eastAsia="SimSun" w:hAnsi="Cambria"/>
          <w:sz w:val="20"/>
          <w:szCs w:val="20"/>
          <w:lang w:val="en-US"/>
        </w:rPr>
        <w:t>”</w:t>
      </w:r>
      <w:r>
        <w:rPr>
          <w:rFonts w:ascii="Cambria" w:eastAsia="SimSun" w:hAnsi="Cambria"/>
          <w:sz w:val="20"/>
          <w:szCs w:val="20"/>
          <w:lang w:val="en-US"/>
        </w:rPr>
        <w:t>)</w:t>
      </w:r>
      <w:r w:rsidR="00D750A6">
        <w:rPr>
          <w:rFonts w:ascii="Cambria" w:eastAsia="SimSun" w:hAnsi="Cambria"/>
          <w:sz w:val="20"/>
          <w:szCs w:val="20"/>
          <w:lang w:val="en-US"/>
        </w:rPr>
        <w:t xml:space="preserve"> nor its glosses</w:t>
      </w:r>
      <w:r>
        <w:rPr>
          <w:rFonts w:ascii="Cambria" w:eastAsia="SimSun" w:hAnsi="Cambria"/>
          <w:sz w:val="20"/>
          <w:szCs w:val="20"/>
          <w:lang w:val="en-US"/>
        </w:rPr>
        <w:t>.</w:t>
      </w:r>
      <w:r w:rsidR="00F474A4" w:rsidRPr="00A83E9D">
        <w:rPr>
          <w:rStyle w:val="FootnoteReference"/>
          <w:rFonts w:ascii="Cambria" w:hAnsi="Cambria"/>
          <w:sz w:val="20"/>
          <w:szCs w:val="20"/>
          <w:lang w:val="en-US"/>
        </w:rPr>
        <w:footnoteReference w:id="42"/>
      </w:r>
      <w:r w:rsidR="00F474A4" w:rsidRPr="00A83E9D">
        <w:rPr>
          <w:rFonts w:ascii="Cambria" w:eastAsia="SimSun" w:hAnsi="Cambria"/>
          <w:sz w:val="20"/>
          <w:szCs w:val="20"/>
          <w:lang w:val="en-US"/>
        </w:rPr>
        <w:t xml:space="preserve"> </w:t>
      </w:r>
    </w:p>
    <w:p w14:paraId="7540F600"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582A4852" w14:textId="77777777" w:rsidR="00F474A4" w:rsidRPr="00A83E9D" w:rsidRDefault="002E54F4"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November </w:t>
      </w:r>
      <w:r w:rsidR="00F474A4" w:rsidRPr="00A83E9D">
        <w:rPr>
          <w:rFonts w:ascii="Cambria" w:eastAsia="SimSun" w:hAnsi="Cambria"/>
          <w:sz w:val="20"/>
          <w:szCs w:val="20"/>
          <w:lang w:val="en-US"/>
        </w:rPr>
        <w:t>23</w:t>
      </w:r>
      <w:r>
        <w:rPr>
          <w:rFonts w:ascii="Cambria" w:eastAsia="SimSun" w:hAnsi="Cambria"/>
          <w:sz w:val="20"/>
          <w:szCs w:val="20"/>
          <w:lang w:val="en-US"/>
        </w:rPr>
        <w:t>,</w:t>
      </w:r>
      <w:r w:rsidR="00F474A4" w:rsidRPr="00A83E9D">
        <w:rPr>
          <w:rFonts w:ascii="Cambria" w:eastAsia="SimSun" w:hAnsi="Cambria"/>
          <w:sz w:val="20"/>
          <w:szCs w:val="20"/>
          <w:lang w:val="en-US"/>
        </w:rPr>
        <w:t xml:space="preserve"> 1996</w:t>
      </w:r>
      <w:r>
        <w:rPr>
          <w:rFonts w:ascii="Cambria" w:eastAsia="SimSun" w:hAnsi="Cambria"/>
          <w:sz w:val="20"/>
          <w:szCs w:val="20"/>
          <w:lang w:val="en-US"/>
        </w:rPr>
        <w:t>, the Federal Court of Appeals dismissed the motion and affirmed the conviction.</w:t>
      </w:r>
      <w:r w:rsidR="00F474A4" w:rsidRPr="00A83E9D">
        <w:rPr>
          <w:rStyle w:val="FootnoteReference"/>
          <w:rFonts w:ascii="Cambria" w:hAnsi="Cambria"/>
          <w:sz w:val="20"/>
          <w:szCs w:val="20"/>
          <w:lang w:val="en-US"/>
        </w:rPr>
        <w:footnoteReference w:id="43"/>
      </w:r>
      <w:r w:rsidR="00F474A4" w:rsidRPr="00A83E9D">
        <w:rPr>
          <w:rFonts w:ascii="Cambria" w:eastAsia="SimSun" w:hAnsi="Cambria"/>
          <w:sz w:val="20"/>
          <w:szCs w:val="20"/>
          <w:lang w:val="en-US"/>
        </w:rPr>
        <w:t xml:space="preserve"> </w:t>
      </w:r>
      <w:r>
        <w:rPr>
          <w:rFonts w:ascii="Cambria" w:eastAsia="SimSun" w:hAnsi="Cambria"/>
          <w:sz w:val="20"/>
          <w:szCs w:val="20"/>
          <w:lang w:val="en-US"/>
        </w:rPr>
        <w:t>The Court indicated that the search was legal due to the “prior suspiciousness</w:t>
      </w:r>
      <w:r w:rsidR="00415C04">
        <w:rPr>
          <w:rFonts w:ascii="Cambria" w:eastAsia="SimSun" w:hAnsi="Cambria"/>
          <w:sz w:val="20"/>
          <w:szCs w:val="20"/>
          <w:lang w:val="en-US"/>
        </w:rPr>
        <w:t>”</w:t>
      </w:r>
      <w:r>
        <w:rPr>
          <w:rFonts w:ascii="Cambria" w:eastAsia="SimSun" w:hAnsi="Cambria"/>
          <w:sz w:val="20"/>
          <w:szCs w:val="20"/>
          <w:lang w:val="en-US"/>
        </w:rPr>
        <w:t xml:space="preserve"> (</w:t>
      </w:r>
      <w:r w:rsidR="00F474A4" w:rsidRPr="00A83E9D">
        <w:rPr>
          <w:rFonts w:ascii="Cambria" w:eastAsia="SimSun" w:hAnsi="Cambria"/>
          <w:sz w:val="20"/>
          <w:szCs w:val="20"/>
          <w:lang w:val="en-US"/>
        </w:rPr>
        <w:t>“</w:t>
      </w:r>
      <w:proofErr w:type="spellStart"/>
      <w:r w:rsidR="00F474A4" w:rsidRPr="002E54F4">
        <w:rPr>
          <w:rFonts w:ascii="Cambria" w:eastAsia="SimSun" w:hAnsi="Cambria"/>
          <w:i/>
          <w:sz w:val="20"/>
          <w:szCs w:val="20"/>
          <w:lang w:val="en-US"/>
        </w:rPr>
        <w:t>estado</w:t>
      </w:r>
      <w:proofErr w:type="spellEnd"/>
      <w:r w:rsidR="00F474A4" w:rsidRPr="002E54F4">
        <w:rPr>
          <w:rFonts w:ascii="Cambria" w:eastAsia="SimSun" w:hAnsi="Cambria"/>
          <w:i/>
          <w:sz w:val="20"/>
          <w:szCs w:val="20"/>
          <w:lang w:val="en-US"/>
        </w:rPr>
        <w:t xml:space="preserve"> de </w:t>
      </w:r>
      <w:proofErr w:type="spellStart"/>
      <w:r w:rsidR="00F474A4" w:rsidRPr="002E54F4">
        <w:rPr>
          <w:rFonts w:ascii="Cambria" w:eastAsia="SimSun" w:hAnsi="Cambria"/>
          <w:i/>
          <w:sz w:val="20"/>
          <w:szCs w:val="20"/>
          <w:lang w:val="en-US"/>
        </w:rPr>
        <w:t>sospecha</w:t>
      </w:r>
      <w:proofErr w:type="spellEnd"/>
      <w:r w:rsidR="00F474A4" w:rsidRPr="002E54F4">
        <w:rPr>
          <w:rFonts w:ascii="Cambria" w:eastAsia="SimSun" w:hAnsi="Cambria"/>
          <w:i/>
          <w:sz w:val="20"/>
          <w:szCs w:val="20"/>
          <w:lang w:val="en-US"/>
        </w:rPr>
        <w:t xml:space="preserve"> </w:t>
      </w:r>
      <w:proofErr w:type="spellStart"/>
      <w:r w:rsidR="00F474A4" w:rsidRPr="002E54F4">
        <w:rPr>
          <w:rFonts w:ascii="Cambria" w:eastAsia="SimSun" w:hAnsi="Cambria"/>
          <w:i/>
          <w:sz w:val="20"/>
          <w:szCs w:val="20"/>
          <w:lang w:val="en-US"/>
        </w:rPr>
        <w:t>previa</w:t>
      </w:r>
      <w:proofErr w:type="spellEnd"/>
      <w:r w:rsidR="00F474A4" w:rsidRPr="00A83E9D">
        <w:rPr>
          <w:rFonts w:ascii="Cambria" w:eastAsia="SimSun" w:hAnsi="Cambria"/>
          <w:sz w:val="20"/>
          <w:szCs w:val="20"/>
          <w:lang w:val="en-US"/>
        </w:rPr>
        <w:t>”</w:t>
      </w:r>
      <w:r>
        <w:rPr>
          <w:rFonts w:ascii="Cambria" w:eastAsia="SimSun" w:hAnsi="Cambria"/>
          <w:sz w:val="20"/>
          <w:szCs w:val="20"/>
          <w:lang w:val="en-US"/>
        </w:rPr>
        <w:t>)</w:t>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that led the police officers to stop the vehicle in which Mr. </w:t>
      </w:r>
      <w:proofErr w:type="spellStart"/>
      <w:r w:rsidR="00F474A4" w:rsidRPr="00A83E9D">
        <w:rPr>
          <w:rFonts w:ascii="Cambria" w:eastAsia="SimSun" w:hAnsi="Cambria"/>
          <w:sz w:val="20"/>
          <w:szCs w:val="20"/>
          <w:lang w:val="en-US"/>
        </w:rPr>
        <w:t>Fernández</w:t>
      </w:r>
      <w:proofErr w:type="spellEnd"/>
      <w:r>
        <w:rPr>
          <w:rFonts w:ascii="Cambria" w:eastAsia="SimSun" w:hAnsi="Cambria"/>
          <w:sz w:val="20"/>
          <w:szCs w:val="20"/>
          <w:lang w:val="en-US"/>
        </w:rPr>
        <w:t xml:space="preserve"> was traveling.</w:t>
      </w:r>
      <w:r w:rsidR="00F474A4" w:rsidRPr="00A83E9D">
        <w:rPr>
          <w:rStyle w:val="FootnoteReference"/>
          <w:rFonts w:ascii="Cambria" w:hAnsi="Cambria"/>
          <w:sz w:val="20"/>
          <w:szCs w:val="20"/>
          <w:lang w:val="en-US"/>
        </w:rPr>
        <w:footnoteReference w:id="44"/>
      </w:r>
      <w:r w:rsidR="00F474A4" w:rsidRPr="00A83E9D">
        <w:rPr>
          <w:rFonts w:ascii="Cambria" w:eastAsia="SimSun" w:hAnsi="Cambria"/>
          <w:sz w:val="20"/>
          <w:szCs w:val="20"/>
          <w:lang w:val="en-US"/>
        </w:rPr>
        <w:t xml:space="preserve"> </w:t>
      </w:r>
      <w:r w:rsidR="000246E7">
        <w:rPr>
          <w:rFonts w:ascii="Cambria" w:eastAsia="SimSun" w:hAnsi="Cambria"/>
          <w:sz w:val="20"/>
          <w:szCs w:val="20"/>
          <w:lang w:val="en-US"/>
        </w:rPr>
        <w:t xml:space="preserve">It held that </w:t>
      </w:r>
      <w:r w:rsidR="007A1614">
        <w:rPr>
          <w:rFonts w:ascii="Cambria" w:eastAsia="SimSun" w:hAnsi="Cambria"/>
          <w:sz w:val="20"/>
          <w:szCs w:val="20"/>
          <w:lang w:val="en-US"/>
        </w:rPr>
        <w:t>ruling favorably on the arguments of the defense would impede the crime prevention work of police agents.</w:t>
      </w:r>
      <w:r w:rsidR="00F474A4" w:rsidRPr="00A83E9D">
        <w:rPr>
          <w:rStyle w:val="FootnoteReference"/>
          <w:rFonts w:ascii="Cambria" w:hAnsi="Cambria"/>
          <w:sz w:val="20"/>
          <w:szCs w:val="20"/>
          <w:lang w:val="en-US"/>
        </w:rPr>
        <w:footnoteReference w:id="45"/>
      </w:r>
    </w:p>
    <w:p w14:paraId="69256866" w14:textId="77777777" w:rsidR="00F474A4" w:rsidRPr="00581210"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5B22FF7F" w14:textId="77777777" w:rsidR="00F474A4" w:rsidRPr="00A83E9D" w:rsidRDefault="00D64759"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December </w:t>
      </w:r>
      <w:r w:rsidR="00F474A4" w:rsidRPr="00A83E9D">
        <w:rPr>
          <w:rFonts w:ascii="Cambria" w:eastAsia="SimSun" w:hAnsi="Cambria"/>
          <w:sz w:val="20"/>
          <w:szCs w:val="20"/>
          <w:lang w:val="en-US"/>
        </w:rPr>
        <w:t>12</w:t>
      </w:r>
      <w:r>
        <w:rPr>
          <w:rFonts w:ascii="Cambria" w:eastAsia="SimSun" w:hAnsi="Cambria"/>
          <w:sz w:val="20"/>
          <w:szCs w:val="20"/>
          <w:lang w:val="en-US"/>
        </w:rPr>
        <w:t>,</w:t>
      </w:r>
      <w:r w:rsidR="00F474A4" w:rsidRPr="00A83E9D">
        <w:rPr>
          <w:rFonts w:ascii="Cambria" w:eastAsia="SimSun" w:hAnsi="Cambria"/>
          <w:sz w:val="20"/>
          <w:szCs w:val="20"/>
          <w:lang w:val="en-US"/>
        </w:rPr>
        <w:t xml:space="preserve"> 1996</w:t>
      </w:r>
      <w:r>
        <w:rPr>
          <w:rFonts w:ascii="Cambria" w:eastAsia="SimSun" w:hAnsi="Cambria"/>
          <w:sz w:val="20"/>
          <w:szCs w:val="20"/>
          <w:lang w:val="en-US"/>
        </w:rPr>
        <w:t xml:space="preserve">, defense counsel for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filed a</w:t>
      </w:r>
      <w:r w:rsidR="006755D3">
        <w:rPr>
          <w:rFonts w:ascii="Cambria" w:eastAsia="SimSun" w:hAnsi="Cambria"/>
          <w:sz w:val="20"/>
          <w:szCs w:val="20"/>
          <w:lang w:val="en-US"/>
        </w:rPr>
        <w:t xml:space="preserve"> </w:t>
      </w:r>
      <w:r w:rsidR="00415C04">
        <w:rPr>
          <w:rFonts w:ascii="Cambria" w:eastAsia="SimSun" w:hAnsi="Cambria"/>
          <w:sz w:val="20"/>
          <w:szCs w:val="20"/>
          <w:lang w:val="en-US"/>
        </w:rPr>
        <w:t xml:space="preserve">federal extraordinary appeal </w:t>
      </w:r>
      <w:r w:rsidR="006755D3">
        <w:rPr>
          <w:rFonts w:ascii="Cambria" w:eastAsia="SimSun" w:hAnsi="Cambria"/>
          <w:sz w:val="20"/>
          <w:szCs w:val="20"/>
          <w:lang w:val="en-US"/>
        </w:rPr>
        <w:t>against the judgment of the Federal Court of Appeals.</w:t>
      </w:r>
      <w:r w:rsidR="00F474A4" w:rsidRPr="00A83E9D">
        <w:rPr>
          <w:rStyle w:val="FootnoteReference"/>
          <w:rFonts w:ascii="Cambria" w:hAnsi="Cambria"/>
          <w:sz w:val="20"/>
          <w:szCs w:val="20"/>
          <w:lang w:val="en-US"/>
        </w:rPr>
        <w:footnoteReference w:id="46"/>
      </w:r>
      <w:r w:rsidR="00F474A4" w:rsidRPr="00A83E9D">
        <w:rPr>
          <w:rFonts w:ascii="Cambria" w:eastAsia="SimSun" w:hAnsi="Cambria"/>
          <w:sz w:val="20"/>
          <w:szCs w:val="20"/>
          <w:lang w:val="en-US"/>
        </w:rPr>
        <w:t xml:space="preserve"> </w:t>
      </w:r>
      <w:r w:rsidR="006755D3">
        <w:rPr>
          <w:rFonts w:ascii="Cambria" w:eastAsia="SimSun" w:hAnsi="Cambria"/>
          <w:sz w:val="20"/>
          <w:szCs w:val="20"/>
          <w:lang w:val="en-US"/>
        </w:rPr>
        <w:t xml:space="preserve">It was alleged that there was no prior suspiciousness for the police officers to stop and search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sidR="00E8332D">
        <w:rPr>
          <w:rFonts w:ascii="Cambria" w:eastAsia="SimSun" w:hAnsi="Cambria"/>
          <w:sz w:val="20"/>
          <w:szCs w:val="20"/>
          <w:lang w:val="en-US"/>
        </w:rPr>
        <w:t>and the arrest report does not indicate the components of the purported suspicious attitude of the citizens.</w:t>
      </w:r>
      <w:r w:rsidR="00F474A4" w:rsidRPr="00A83E9D">
        <w:rPr>
          <w:rStyle w:val="FootnoteReference"/>
          <w:rFonts w:ascii="Cambria" w:hAnsi="Cambria"/>
          <w:sz w:val="20"/>
          <w:szCs w:val="20"/>
          <w:lang w:val="en-US"/>
        </w:rPr>
        <w:footnoteReference w:id="47"/>
      </w:r>
      <w:r w:rsidR="00F474A4" w:rsidRPr="00A83E9D">
        <w:rPr>
          <w:rFonts w:ascii="Cambria" w:eastAsia="SimSun" w:hAnsi="Cambria"/>
          <w:sz w:val="20"/>
          <w:szCs w:val="20"/>
          <w:lang w:val="en-US"/>
        </w:rPr>
        <w:t xml:space="preserve"> </w:t>
      </w:r>
      <w:r w:rsidR="00ED40A9">
        <w:rPr>
          <w:rFonts w:ascii="Cambria" w:eastAsia="SimSun" w:hAnsi="Cambria"/>
          <w:sz w:val="20"/>
          <w:szCs w:val="20"/>
          <w:lang w:val="en-US"/>
        </w:rPr>
        <w:t xml:space="preserve">He added that the search was based on </w:t>
      </w:r>
      <w:r w:rsidR="00F474A4" w:rsidRPr="00A83E9D">
        <w:rPr>
          <w:rFonts w:ascii="Cambria" w:eastAsia="SimSun" w:hAnsi="Cambria"/>
          <w:sz w:val="20"/>
          <w:szCs w:val="20"/>
          <w:lang w:val="en-US"/>
        </w:rPr>
        <w:t>“</w:t>
      </w:r>
      <w:r w:rsidR="00ED40A9">
        <w:rPr>
          <w:rFonts w:ascii="Cambria" w:eastAsia="SimSun" w:hAnsi="Cambria"/>
          <w:sz w:val="20"/>
          <w:szCs w:val="20"/>
          <w:lang w:val="en-US"/>
        </w:rPr>
        <w:t xml:space="preserve">spurious or ideological criteria that did not correspond </w:t>
      </w:r>
      <w:r w:rsidR="00415C04">
        <w:rPr>
          <w:rFonts w:ascii="Cambria" w:eastAsia="SimSun" w:hAnsi="Cambria"/>
          <w:sz w:val="20"/>
          <w:szCs w:val="20"/>
          <w:lang w:val="en-US"/>
        </w:rPr>
        <w:t xml:space="preserve">to </w:t>
      </w:r>
      <w:r w:rsidR="00ED40A9">
        <w:rPr>
          <w:rFonts w:ascii="Cambria" w:eastAsia="SimSun" w:hAnsi="Cambria"/>
          <w:sz w:val="20"/>
          <w:szCs w:val="20"/>
          <w:lang w:val="en-US"/>
        </w:rPr>
        <w:t>the rule of law.</w:t>
      </w:r>
      <w:r w:rsidR="00F474A4" w:rsidRPr="00A83E9D">
        <w:rPr>
          <w:rFonts w:ascii="Cambria" w:eastAsia="SimSun" w:hAnsi="Cambria"/>
          <w:sz w:val="20"/>
          <w:szCs w:val="20"/>
          <w:lang w:val="en-US"/>
        </w:rPr>
        <w:t>”</w:t>
      </w:r>
      <w:r w:rsidR="00F474A4" w:rsidRPr="00A83E9D">
        <w:rPr>
          <w:rStyle w:val="FootnoteReference"/>
          <w:rFonts w:ascii="Cambria" w:hAnsi="Cambria"/>
          <w:sz w:val="20"/>
          <w:szCs w:val="20"/>
          <w:lang w:val="en-US"/>
        </w:rPr>
        <w:footnoteReference w:id="48"/>
      </w:r>
    </w:p>
    <w:p w14:paraId="68B0A14C"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5B28CB9B" w14:textId="77777777" w:rsidR="00F474A4" w:rsidRPr="00A83E9D" w:rsidRDefault="00ED40A9"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February </w:t>
      </w:r>
      <w:r w:rsidR="00F474A4" w:rsidRPr="00A83E9D">
        <w:rPr>
          <w:rFonts w:ascii="Cambria" w:eastAsia="SimSun" w:hAnsi="Cambria"/>
          <w:sz w:val="20"/>
          <w:szCs w:val="20"/>
          <w:lang w:val="en-US"/>
        </w:rPr>
        <w:t>14</w:t>
      </w:r>
      <w:r>
        <w:rPr>
          <w:rFonts w:ascii="Cambria" w:eastAsia="SimSun" w:hAnsi="Cambria"/>
          <w:sz w:val="20"/>
          <w:szCs w:val="20"/>
          <w:lang w:val="en-US"/>
        </w:rPr>
        <w:t>,</w:t>
      </w:r>
      <w:r w:rsidR="00F474A4" w:rsidRPr="00A83E9D">
        <w:rPr>
          <w:rFonts w:ascii="Cambria" w:eastAsia="SimSun" w:hAnsi="Cambria"/>
          <w:sz w:val="20"/>
          <w:szCs w:val="20"/>
          <w:lang w:val="en-US"/>
        </w:rPr>
        <w:t xml:space="preserve"> 1997</w:t>
      </w:r>
      <w:r>
        <w:rPr>
          <w:rFonts w:ascii="Cambria" w:eastAsia="SimSun" w:hAnsi="Cambria"/>
          <w:sz w:val="20"/>
          <w:szCs w:val="20"/>
          <w:lang w:val="en-US"/>
        </w:rPr>
        <w:t xml:space="preserve">, the Federal Court of Appeals of </w:t>
      </w:r>
      <w:r w:rsidR="00F474A4" w:rsidRPr="00A83E9D">
        <w:rPr>
          <w:rFonts w:ascii="Cambria" w:hAnsi="Cambria"/>
          <w:sz w:val="20"/>
          <w:szCs w:val="20"/>
          <w:lang w:val="en-US"/>
        </w:rPr>
        <w:t xml:space="preserve">Mar de Plata </w:t>
      </w:r>
      <w:r>
        <w:rPr>
          <w:rFonts w:ascii="Cambria" w:hAnsi="Cambria"/>
          <w:sz w:val="20"/>
          <w:szCs w:val="20"/>
          <w:lang w:val="en-US"/>
        </w:rPr>
        <w:t>rejected the argument presented.</w:t>
      </w:r>
      <w:r w:rsidR="00F474A4" w:rsidRPr="00A83E9D">
        <w:rPr>
          <w:rStyle w:val="FootnoteReference"/>
          <w:rFonts w:ascii="Cambria" w:hAnsi="Cambria"/>
          <w:sz w:val="20"/>
          <w:szCs w:val="20"/>
          <w:lang w:val="en-US"/>
        </w:rPr>
        <w:footnoteReference w:id="49"/>
      </w:r>
      <w:r>
        <w:rPr>
          <w:rFonts w:ascii="Cambria" w:hAnsi="Cambria"/>
          <w:sz w:val="20"/>
          <w:szCs w:val="20"/>
          <w:lang w:val="en-US"/>
        </w:rPr>
        <w:t xml:space="preserve"> The Court indicated as follows: </w:t>
      </w:r>
    </w:p>
    <w:p w14:paraId="4717E1D5"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7A3F9120" w14:textId="77777777" w:rsidR="00F474A4" w:rsidRPr="00A83E9D" w:rsidRDefault="0027283B"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n-US"/>
        </w:rPr>
      </w:pPr>
      <w:r>
        <w:rPr>
          <w:rFonts w:ascii="Cambria" w:eastAsia="SimSun" w:hAnsi="Cambria"/>
          <w:sz w:val="20"/>
          <w:szCs w:val="20"/>
          <w:lang w:val="en-US"/>
        </w:rPr>
        <w:lastRenderedPageBreak/>
        <w:t>…</w:t>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having analyzed </w:t>
      </w:r>
      <w:r w:rsidR="00D750A6">
        <w:rPr>
          <w:rFonts w:ascii="Cambria" w:eastAsia="SimSun" w:hAnsi="Cambria"/>
          <w:sz w:val="20"/>
          <w:szCs w:val="20"/>
          <w:lang w:val="en-US"/>
        </w:rPr>
        <w:t>t</w:t>
      </w:r>
      <w:r>
        <w:rPr>
          <w:rFonts w:ascii="Cambria" w:eastAsia="SimSun" w:hAnsi="Cambria"/>
          <w:sz w:val="20"/>
          <w:szCs w:val="20"/>
          <w:lang w:val="en-US"/>
        </w:rPr>
        <w:t>he grounds for being able to proceed set forth by the appellant, no issue of constitutional seriousness was noted that would allow for a favorable ruling, nor that the ruling on appeal does not result in a reasoned derivation of current law and entails a violation of constitutional guarantees and substantive laws….</w:t>
      </w:r>
      <w:r w:rsidR="00F474A4" w:rsidRPr="00A83E9D">
        <w:rPr>
          <w:rStyle w:val="FootnoteReference"/>
          <w:rFonts w:ascii="Cambria" w:hAnsi="Cambria"/>
          <w:sz w:val="20"/>
          <w:szCs w:val="20"/>
          <w:lang w:val="en-US"/>
        </w:rPr>
        <w:footnoteReference w:id="50"/>
      </w:r>
      <w:r>
        <w:rPr>
          <w:rFonts w:ascii="Cambria" w:eastAsia="SimSun" w:hAnsi="Cambria"/>
          <w:sz w:val="20"/>
          <w:szCs w:val="20"/>
          <w:lang w:val="en-US"/>
        </w:rPr>
        <w:t xml:space="preserve"> </w:t>
      </w:r>
    </w:p>
    <w:p w14:paraId="73AF7647"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n-US"/>
        </w:rPr>
      </w:pPr>
    </w:p>
    <w:p w14:paraId="2D597329" w14:textId="77777777" w:rsidR="00F474A4" w:rsidRPr="00A83E9D" w:rsidRDefault="00ED40A9"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February </w:t>
      </w:r>
      <w:r w:rsidR="00F474A4" w:rsidRPr="00A83E9D">
        <w:rPr>
          <w:rFonts w:ascii="Cambria" w:eastAsia="SimSun" w:hAnsi="Cambria"/>
          <w:sz w:val="20"/>
          <w:szCs w:val="20"/>
          <w:lang w:val="en-US"/>
        </w:rPr>
        <w:t>28</w:t>
      </w:r>
      <w:r>
        <w:rPr>
          <w:rFonts w:ascii="Cambria" w:eastAsia="SimSun" w:hAnsi="Cambria"/>
          <w:sz w:val="20"/>
          <w:szCs w:val="20"/>
          <w:lang w:val="en-US"/>
        </w:rPr>
        <w:t>,</w:t>
      </w:r>
      <w:r w:rsidR="00F474A4" w:rsidRPr="00A83E9D">
        <w:rPr>
          <w:rFonts w:ascii="Cambria" w:eastAsia="SimSun" w:hAnsi="Cambria"/>
          <w:sz w:val="20"/>
          <w:szCs w:val="20"/>
          <w:lang w:val="en-US"/>
        </w:rPr>
        <w:t xml:space="preserve"> 1997</w:t>
      </w:r>
      <w:r>
        <w:rPr>
          <w:rFonts w:ascii="Cambria" w:eastAsia="SimSun" w:hAnsi="Cambria"/>
          <w:sz w:val="20"/>
          <w:szCs w:val="20"/>
          <w:lang w:val="en-US"/>
        </w:rPr>
        <w:t xml:space="preserve">, defense counsel for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filed a complaint appeal (</w:t>
      </w:r>
      <w:proofErr w:type="spellStart"/>
      <w:r w:rsidR="00F474A4" w:rsidRPr="00ED40A9">
        <w:rPr>
          <w:rFonts w:ascii="Cambria" w:eastAsia="SimSun" w:hAnsi="Cambria"/>
          <w:i/>
          <w:sz w:val="20"/>
          <w:szCs w:val="20"/>
          <w:lang w:val="en-US"/>
        </w:rPr>
        <w:t>recurso</w:t>
      </w:r>
      <w:proofErr w:type="spellEnd"/>
      <w:r w:rsidR="00F474A4" w:rsidRPr="00ED40A9">
        <w:rPr>
          <w:rFonts w:ascii="Cambria" w:eastAsia="SimSun" w:hAnsi="Cambria"/>
          <w:i/>
          <w:sz w:val="20"/>
          <w:szCs w:val="20"/>
          <w:lang w:val="en-US"/>
        </w:rPr>
        <w:t xml:space="preserve"> de </w:t>
      </w:r>
      <w:proofErr w:type="spellStart"/>
      <w:r w:rsidR="00F474A4" w:rsidRPr="00ED40A9">
        <w:rPr>
          <w:rFonts w:ascii="Cambria" w:eastAsia="SimSun" w:hAnsi="Cambria"/>
          <w:i/>
          <w:sz w:val="20"/>
          <w:szCs w:val="20"/>
          <w:lang w:val="en-US"/>
        </w:rPr>
        <w:t>queja</w:t>
      </w:r>
      <w:proofErr w:type="spellEnd"/>
      <w:r>
        <w:rPr>
          <w:rFonts w:ascii="Cambria" w:eastAsia="SimSun" w:hAnsi="Cambria"/>
          <w:sz w:val="20"/>
          <w:szCs w:val="20"/>
          <w:lang w:val="en-US"/>
        </w:rPr>
        <w:t xml:space="preserve">) against the ruling of the Federal Court of Appeals of </w:t>
      </w:r>
      <w:r w:rsidR="00F474A4" w:rsidRPr="00A83E9D">
        <w:rPr>
          <w:rFonts w:ascii="Cambria" w:hAnsi="Cambria"/>
          <w:sz w:val="20"/>
          <w:szCs w:val="20"/>
          <w:lang w:val="en-US"/>
        </w:rPr>
        <w:t>Mar de Plata</w:t>
      </w:r>
      <w:r>
        <w:rPr>
          <w:rFonts w:ascii="Cambria" w:hAnsi="Cambria"/>
          <w:sz w:val="20"/>
          <w:szCs w:val="20"/>
          <w:lang w:val="en-US"/>
        </w:rPr>
        <w:t>.</w:t>
      </w:r>
      <w:r w:rsidR="00F474A4" w:rsidRPr="00A83E9D">
        <w:rPr>
          <w:rStyle w:val="FootnoteReference"/>
          <w:sz w:val="20"/>
          <w:szCs w:val="20"/>
          <w:lang w:val="en-US"/>
        </w:rPr>
        <w:footnoteReference w:id="51"/>
      </w:r>
      <w:r w:rsidR="00F474A4" w:rsidRPr="00A83E9D">
        <w:rPr>
          <w:rFonts w:ascii="Cambria" w:hAnsi="Cambria"/>
          <w:sz w:val="20"/>
          <w:szCs w:val="20"/>
          <w:lang w:val="en-US"/>
        </w:rPr>
        <w:t xml:space="preserve"> </w:t>
      </w:r>
      <w:r>
        <w:rPr>
          <w:rFonts w:ascii="Cambria" w:hAnsi="Cambria"/>
          <w:sz w:val="20"/>
          <w:szCs w:val="20"/>
          <w:lang w:val="en-US"/>
        </w:rPr>
        <w:t>It was indicated that the appeal filed with the Court did satisfy the admissibility requirements established in the domestic legal system.</w:t>
      </w:r>
      <w:r w:rsidR="00F474A4" w:rsidRPr="00A83E9D">
        <w:rPr>
          <w:rStyle w:val="FootnoteReference"/>
          <w:sz w:val="20"/>
          <w:szCs w:val="20"/>
          <w:lang w:val="en-US"/>
        </w:rPr>
        <w:footnoteReference w:id="52"/>
      </w:r>
    </w:p>
    <w:p w14:paraId="5BA3BEFD"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n-US"/>
        </w:rPr>
      </w:pPr>
    </w:p>
    <w:p w14:paraId="33E2DA9C" w14:textId="77777777" w:rsidR="00F474A4" w:rsidRPr="00A83E9D" w:rsidRDefault="00D449DD"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 xml:space="preserve">On November </w:t>
      </w:r>
      <w:r w:rsidR="00F474A4" w:rsidRPr="00A83E9D">
        <w:rPr>
          <w:rFonts w:ascii="Cambria" w:eastAsia="SimSun" w:hAnsi="Cambria"/>
          <w:sz w:val="20"/>
          <w:szCs w:val="20"/>
          <w:lang w:val="en-US"/>
        </w:rPr>
        <w:t>12</w:t>
      </w:r>
      <w:r>
        <w:rPr>
          <w:rFonts w:ascii="Cambria" w:eastAsia="SimSun" w:hAnsi="Cambria"/>
          <w:sz w:val="20"/>
          <w:szCs w:val="20"/>
          <w:lang w:val="en-US"/>
        </w:rPr>
        <w:t>,</w:t>
      </w:r>
      <w:r w:rsidR="00F474A4" w:rsidRPr="00A83E9D">
        <w:rPr>
          <w:rFonts w:ascii="Cambria" w:eastAsia="SimSun" w:hAnsi="Cambria"/>
          <w:sz w:val="20"/>
          <w:szCs w:val="20"/>
          <w:lang w:val="en-US"/>
        </w:rPr>
        <w:t xml:space="preserve"> 1998</w:t>
      </w:r>
      <w:r>
        <w:rPr>
          <w:rFonts w:ascii="Cambria" w:eastAsia="SimSun" w:hAnsi="Cambria"/>
          <w:sz w:val="20"/>
          <w:szCs w:val="20"/>
          <w:lang w:val="en-US"/>
        </w:rPr>
        <w:t>, the Supreme Court of Justice of the Nation rejected the appeal filed and upheld the conviction.</w:t>
      </w:r>
      <w:r w:rsidR="00F474A4" w:rsidRPr="00A83E9D">
        <w:rPr>
          <w:rStyle w:val="FootnoteReference"/>
          <w:sz w:val="20"/>
          <w:szCs w:val="20"/>
          <w:lang w:val="en-US"/>
        </w:rPr>
        <w:footnoteReference w:id="53"/>
      </w:r>
      <w:r w:rsidR="00F474A4" w:rsidRPr="00A83E9D">
        <w:rPr>
          <w:rFonts w:ascii="Cambria" w:eastAsia="SimSun" w:hAnsi="Cambria"/>
          <w:sz w:val="20"/>
          <w:szCs w:val="20"/>
          <w:lang w:val="en-US"/>
        </w:rPr>
        <w:t xml:space="preserve"> </w:t>
      </w:r>
      <w:r>
        <w:rPr>
          <w:rFonts w:ascii="Cambria" w:eastAsia="SimSun" w:hAnsi="Cambria"/>
          <w:sz w:val="20"/>
          <w:szCs w:val="20"/>
          <w:lang w:val="en-US"/>
        </w:rPr>
        <w:t xml:space="preserve">The Supreme Court considered that the police agents who stopped the car in which Mr. </w:t>
      </w:r>
      <w:proofErr w:type="spellStart"/>
      <w:r w:rsidR="00F474A4" w:rsidRPr="00A83E9D">
        <w:rPr>
          <w:rFonts w:ascii="Cambria" w:eastAsia="SimSun" w:hAnsi="Cambria"/>
          <w:sz w:val="20"/>
          <w:szCs w:val="20"/>
          <w:lang w:val="en-US"/>
        </w:rPr>
        <w:t>Fernández</w:t>
      </w:r>
      <w:proofErr w:type="spellEnd"/>
      <w:r w:rsidR="00F474A4" w:rsidRPr="00A83E9D">
        <w:rPr>
          <w:rFonts w:ascii="Cambria" w:eastAsia="SimSun" w:hAnsi="Cambria"/>
          <w:sz w:val="20"/>
          <w:szCs w:val="20"/>
          <w:lang w:val="en-US"/>
        </w:rPr>
        <w:t xml:space="preserve"> </w:t>
      </w:r>
      <w:r>
        <w:rPr>
          <w:rFonts w:ascii="Cambria" w:eastAsia="SimSun" w:hAnsi="Cambria"/>
          <w:sz w:val="20"/>
          <w:szCs w:val="20"/>
          <w:lang w:val="en-US"/>
        </w:rPr>
        <w:t>was traveling were commissioned to cover the radius of a given jurisdiction with the task of preventing any crime.</w:t>
      </w:r>
      <w:r w:rsidR="00F474A4" w:rsidRPr="00A83E9D">
        <w:rPr>
          <w:rStyle w:val="FootnoteReference"/>
          <w:sz w:val="20"/>
          <w:szCs w:val="20"/>
          <w:lang w:val="en-US"/>
        </w:rPr>
        <w:footnoteReference w:id="54"/>
      </w:r>
      <w:r w:rsidR="00F474A4" w:rsidRPr="00A83E9D">
        <w:rPr>
          <w:rFonts w:ascii="Cambria" w:eastAsia="SimSun" w:hAnsi="Cambria"/>
          <w:sz w:val="20"/>
          <w:szCs w:val="20"/>
          <w:lang w:val="en-US"/>
        </w:rPr>
        <w:t xml:space="preserve"> </w:t>
      </w:r>
      <w:r>
        <w:rPr>
          <w:rFonts w:ascii="Cambria" w:eastAsia="SimSun" w:hAnsi="Cambria"/>
          <w:sz w:val="20"/>
          <w:szCs w:val="20"/>
          <w:lang w:val="en-US"/>
        </w:rPr>
        <w:t>It added that in that context they intercepted the automobile on not</w:t>
      </w:r>
      <w:r w:rsidR="00D84B0F">
        <w:rPr>
          <w:rFonts w:ascii="Cambria" w:eastAsia="SimSun" w:hAnsi="Cambria"/>
          <w:sz w:val="20"/>
          <w:szCs w:val="20"/>
          <w:lang w:val="en-US"/>
        </w:rPr>
        <w:t>ing that the persons inside had a suspicious attitude suggesting the commission of a crime.</w:t>
      </w:r>
      <w:r w:rsidR="00F474A4" w:rsidRPr="00A83E9D">
        <w:rPr>
          <w:rStyle w:val="FootnoteReference"/>
          <w:sz w:val="20"/>
          <w:szCs w:val="20"/>
          <w:lang w:val="en-US"/>
        </w:rPr>
        <w:footnoteReference w:id="55"/>
      </w:r>
      <w:r w:rsidR="00F474A4" w:rsidRPr="00A83E9D">
        <w:rPr>
          <w:rFonts w:ascii="Cambria" w:eastAsia="SimSun" w:hAnsi="Cambria"/>
          <w:sz w:val="20"/>
          <w:szCs w:val="20"/>
          <w:lang w:val="en-US"/>
        </w:rPr>
        <w:t xml:space="preserve"> </w:t>
      </w:r>
      <w:r w:rsidR="00D84B0F">
        <w:rPr>
          <w:rFonts w:ascii="Cambria" w:eastAsia="SimSun" w:hAnsi="Cambria"/>
          <w:sz w:val="20"/>
          <w:szCs w:val="20"/>
          <w:lang w:val="en-US"/>
        </w:rPr>
        <w:t>It added that said suspicion was corroborated once effects related to narcotics trafficking were found.</w:t>
      </w:r>
      <w:r w:rsidR="00F474A4" w:rsidRPr="00A83E9D">
        <w:rPr>
          <w:rStyle w:val="FootnoteReference"/>
          <w:sz w:val="20"/>
          <w:szCs w:val="20"/>
          <w:lang w:val="en-US"/>
        </w:rPr>
        <w:footnoteReference w:id="56"/>
      </w:r>
      <w:r w:rsidR="00F474A4" w:rsidRPr="00A83E9D">
        <w:rPr>
          <w:rFonts w:ascii="Cambria" w:eastAsia="SimSun" w:hAnsi="Cambria"/>
          <w:sz w:val="20"/>
          <w:szCs w:val="20"/>
          <w:lang w:val="en-US"/>
        </w:rPr>
        <w:t xml:space="preserve"> </w:t>
      </w:r>
    </w:p>
    <w:p w14:paraId="20E95F53" w14:textId="77777777" w:rsidR="00F474A4" w:rsidRPr="00A83E9D" w:rsidRDefault="00F474A4" w:rsidP="00F474A4">
      <w:pPr>
        <w:rPr>
          <w:rFonts w:ascii="Cambria" w:eastAsia="SimSun" w:hAnsi="Cambria"/>
          <w:sz w:val="20"/>
          <w:szCs w:val="20"/>
        </w:rPr>
      </w:pPr>
    </w:p>
    <w:p w14:paraId="33FAC606" w14:textId="77777777" w:rsidR="00F474A4" w:rsidRPr="00A83E9D" w:rsidRDefault="00D84B0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n-US"/>
        </w:rPr>
      </w:pPr>
      <w:r>
        <w:rPr>
          <w:rFonts w:ascii="Cambria" w:eastAsia="SimSun" w:hAnsi="Cambria"/>
          <w:sz w:val="20"/>
          <w:szCs w:val="20"/>
          <w:lang w:val="en-US"/>
        </w:rPr>
        <w:t>The Supreme Court also concluded that the arrest occurred in the context of prudent and reasonable action by the police personnel in the performance of their functions in urgent circumstances.</w:t>
      </w:r>
      <w:r w:rsidR="00F474A4" w:rsidRPr="00A83E9D">
        <w:rPr>
          <w:rStyle w:val="FootnoteReference"/>
          <w:sz w:val="20"/>
          <w:szCs w:val="20"/>
          <w:lang w:val="en-US"/>
        </w:rPr>
        <w:footnoteReference w:id="57"/>
      </w:r>
      <w:r w:rsidR="00F474A4" w:rsidRPr="00A83E9D">
        <w:rPr>
          <w:rFonts w:ascii="Cambria" w:eastAsia="SimSun" w:hAnsi="Cambria"/>
          <w:sz w:val="20"/>
          <w:szCs w:val="20"/>
          <w:lang w:val="en-US"/>
        </w:rPr>
        <w:t xml:space="preserve"> </w:t>
      </w:r>
      <w:r>
        <w:rPr>
          <w:rFonts w:ascii="Cambria" w:eastAsia="SimSun" w:hAnsi="Cambria"/>
          <w:sz w:val="20"/>
          <w:szCs w:val="20"/>
          <w:lang w:val="en-US"/>
        </w:rPr>
        <w:t>The</w:t>
      </w:r>
      <w:r w:rsidR="00F474A4" w:rsidRPr="00A83E9D">
        <w:rPr>
          <w:rFonts w:ascii="Cambria" w:eastAsia="SimSun" w:hAnsi="Cambria"/>
          <w:sz w:val="20"/>
          <w:szCs w:val="20"/>
          <w:lang w:val="en-US"/>
        </w:rPr>
        <w:t xml:space="preserve"> </w:t>
      </w:r>
      <w:r w:rsidR="00D750A6">
        <w:rPr>
          <w:rFonts w:ascii="Cambria" w:eastAsia="SimSun" w:hAnsi="Cambria"/>
          <w:sz w:val="20"/>
          <w:szCs w:val="20"/>
          <w:lang w:val="en-US"/>
        </w:rPr>
        <w:t xml:space="preserve">Court </w:t>
      </w:r>
      <w:r>
        <w:rPr>
          <w:rFonts w:ascii="Cambria" w:eastAsia="SimSun" w:hAnsi="Cambria"/>
          <w:sz w:val="20"/>
          <w:szCs w:val="20"/>
          <w:lang w:val="en-US"/>
        </w:rPr>
        <w:t>added the following</w:t>
      </w:r>
      <w:r w:rsidR="00F474A4" w:rsidRPr="00A83E9D">
        <w:rPr>
          <w:rFonts w:ascii="Cambria" w:eastAsia="SimSun" w:hAnsi="Cambria"/>
          <w:sz w:val="20"/>
          <w:szCs w:val="20"/>
          <w:lang w:val="en-US"/>
        </w:rPr>
        <w:t>:</w:t>
      </w:r>
    </w:p>
    <w:p w14:paraId="368BA9F9"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n-US"/>
        </w:rPr>
      </w:pPr>
    </w:p>
    <w:p w14:paraId="27048E79" w14:textId="77777777" w:rsidR="00F474A4" w:rsidRPr="00A83E9D" w:rsidRDefault="00D84B0F" w:rsidP="00F474A4">
      <w:pPr>
        <w:ind w:left="720" w:right="720"/>
        <w:jc w:val="both"/>
        <w:rPr>
          <w:rFonts w:ascii="Cambria" w:eastAsia="SimSun" w:hAnsi="Cambria"/>
          <w:sz w:val="20"/>
          <w:szCs w:val="20"/>
        </w:rPr>
      </w:pPr>
      <w:r>
        <w:rPr>
          <w:rFonts w:ascii="Cambria" w:eastAsia="SimSun" w:hAnsi="Cambria"/>
          <w:sz w:val="20"/>
          <w:szCs w:val="20"/>
        </w:rPr>
        <w:t>…</w:t>
      </w:r>
      <w:r w:rsidR="00F474A4" w:rsidRPr="00A83E9D">
        <w:rPr>
          <w:rFonts w:ascii="Cambria" w:eastAsia="SimSun" w:hAnsi="Cambria"/>
          <w:sz w:val="20"/>
          <w:szCs w:val="20"/>
        </w:rPr>
        <w:t xml:space="preserve"> </w:t>
      </w:r>
      <w:r>
        <w:rPr>
          <w:rFonts w:ascii="Cambria" w:eastAsia="SimSun" w:hAnsi="Cambria"/>
          <w:sz w:val="20"/>
          <w:szCs w:val="20"/>
        </w:rPr>
        <w:t xml:space="preserve">a different solution would not imply </w:t>
      </w:r>
      <w:r w:rsidR="0027283B">
        <w:rPr>
          <w:rFonts w:ascii="Cambria" w:eastAsia="SimSun" w:hAnsi="Cambria"/>
          <w:sz w:val="20"/>
          <w:szCs w:val="20"/>
        </w:rPr>
        <w:t xml:space="preserve">an assurance for </w:t>
      </w:r>
      <w:r>
        <w:rPr>
          <w:rFonts w:ascii="Cambria" w:eastAsia="SimSun" w:hAnsi="Cambria"/>
          <w:sz w:val="20"/>
          <w:szCs w:val="20"/>
        </w:rPr>
        <w:t xml:space="preserve">the defense at trial, but rather would have been tantamount to ignoring the material truth revealed in the proceeding, as the evidence is not at all tainted, especially if one </w:t>
      </w:r>
      <w:r w:rsidR="006121BB">
        <w:rPr>
          <w:rFonts w:ascii="Cambria" w:eastAsia="SimSun" w:hAnsi="Cambria"/>
          <w:sz w:val="20"/>
          <w:szCs w:val="20"/>
        </w:rPr>
        <w:t>considers</w:t>
      </w:r>
      <w:r>
        <w:rPr>
          <w:rFonts w:ascii="Cambria" w:eastAsia="SimSun" w:hAnsi="Cambria"/>
          <w:sz w:val="20"/>
          <w:szCs w:val="20"/>
        </w:rPr>
        <w:t xml:space="preserve"> that the defendant, in his initial statement, recognized that when </w:t>
      </w:r>
      <w:r w:rsidR="0027283B">
        <w:rPr>
          <w:rFonts w:ascii="Cambria" w:eastAsia="SimSun" w:hAnsi="Cambria"/>
          <w:sz w:val="20"/>
          <w:szCs w:val="20"/>
        </w:rPr>
        <w:t xml:space="preserve">he was </w:t>
      </w:r>
      <w:r>
        <w:rPr>
          <w:rFonts w:ascii="Cambria" w:eastAsia="SimSun" w:hAnsi="Cambria"/>
          <w:sz w:val="20"/>
          <w:szCs w:val="20"/>
        </w:rPr>
        <w:t>stopped he was transporting narcotics.</w:t>
      </w:r>
      <w:r w:rsidR="00F474A4" w:rsidRPr="00A83E9D">
        <w:rPr>
          <w:rStyle w:val="FootnoteReference"/>
          <w:sz w:val="20"/>
          <w:szCs w:val="20"/>
        </w:rPr>
        <w:footnoteReference w:id="58"/>
      </w:r>
      <w:r w:rsidR="00F474A4" w:rsidRPr="00A83E9D">
        <w:rPr>
          <w:rFonts w:ascii="Cambria" w:eastAsia="SimSun" w:hAnsi="Cambria"/>
          <w:sz w:val="20"/>
          <w:szCs w:val="20"/>
        </w:rPr>
        <w:t xml:space="preserve"> </w:t>
      </w:r>
    </w:p>
    <w:p w14:paraId="74DA89B3" w14:textId="77777777" w:rsidR="00F474A4" w:rsidRPr="00A83E9D" w:rsidRDefault="00F474A4" w:rsidP="00F474A4">
      <w:pPr>
        <w:suppressAutoHyphens/>
        <w:jc w:val="both"/>
        <w:rPr>
          <w:rFonts w:ascii="Cambria" w:hAnsi="Cambria"/>
          <w:sz w:val="20"/>
          <w:szCs w:val="20"/>
        </w:rPr>
      </w:pPr>
    </w:p>
    <w:p w14:paraId="7EE19EBF" w14:textId="77777777" w:rsidR="00F474A4" w:rsidRPr="00A83E9D" w:rsidRDefault="00F474A4" w:rsidP="00F474A4">
      <w:pPr>
        <w:rPr>
          <w:rFonts w:ascii="Cambria" w:hAnsi="Cambria"/>
          <w:b/>
          <w:sz w:val="20"/>
          <w:szCs w:val="20"/>
        </w:rPr>
      </w:pPr>
      <w:bookmarkStart w:id="36" w:name="_Toc480636769"/>
      <w:bookmarkStart w:id="37" w:name="_Toc495868435"/>
      <w:r w:rsidRPr="00A83E9D">
        <w:br w:type="page"/>
      </w:r>
    </w:p>
    <w:p w14:paraId="3093F601" w14:textId="77777777" w:rsidR="00F474A4" w:rsidRPr="00A83E9D" w:rsidRDefault="00F474A4" w:rsidP="00F474A4">
      <w:pPr>
        <w:pStyle w:val="Heading2"/>
        <w:numPr>
          <w:ilvl w:val="0"/>
          <w:numId w:val="106"/>
        </w:numPr>
      </w:pPr>
      <w:bookmarkStart w:id="38" w:name="_Toc497896922"/>
      <w:bookmarkEnd w:id="36"/>
      <w:r w:rsidRPr="00A83E9D">
        <w:lastRenderedPageBreak/>
        <w:t xml:space="preserve">Carlos Alejandro </w:t>
      </w:r>
      <w:proofErr w:type="spellStart"/>
      <w:r w:rsidRPr="00A83E9D">
        <w:t>Tumbeiro</w:t>
      </w:r>
      <w:bookmarkEnd w:id="37"/>
      <w:bookmarkEnd w:id="38"/>
      <w:proofErr w:type="spellEnd"/>
    </w:p>
    <w:p w14:paraId="37515E81" w14:textId="77777777" w:rsidR="00F474A4" w:rsidRPr="00A83E9D" w:rsidRDefault="00F474A4" w:rsidP="00F474A4">
      <w:pPr>
        <w:suppressAutoHyphens/>
        <w:ind w:left="720"/>
        <w:jc w:val="both"/>
        <w:rPr>
          <w:rFonts w:ascii="Cambria" w:hAnsi="Cambria"/>
          <w:sz w:val="20"/>
          <w:szCs w:val="20"/>
        </w:rPr>
      </w:pPr>
    </w:p>
    <w:p w14:paraId="47A3420C" w14:textId="77777777" w:rsidR="00F474A4" w:rsidRPr="00A83E9D" w:rsidRDefault="00D84B0F" w:rsidP="00F474A4">
      <w:pPr>
        <w:pStyle w:val="ListParagraph"/>
        <w:numPr>
          <w:ilvl w:val="3"/>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eastAsia="Times New Roman"/>
          <w:b/>
          <w:sz w:val="20"/>
          <w:szCs w:val="20"/>
        </w:rPr>
      </w:pPr>
      <w:r>
        <w:rPr>
          <w:rFonts w:eastAsia="Times New Roman"/>
          <w:b/>
          <w:sz w:val="20"/>
          <w:szCs w:val="20"/>
        </w:rPr>
        <w:t xml:space="preserve">What happened on January </w:t>
      </w:r>
      <w:r w:rsidR="00F474A4" w:rsidRPr="00A83E9D">
        <w:rPr>
          <w:rFonts w:eastAsia="Times New Roman"/>
          <w:b/>
          <w:sz w:val="20"/>
          <w:szCs w:val="20"/>
        </w:rPr>
        <w:t>15</w:t>
      </w:r>
      <w:r>
        <w:rPr>
          <w:rFonts w:eastAsia="Times New Roman"/>
          <w:b/>
          <w:sz w:val="20"/>
          <w:szCs w:val="20"/>
        </w:rPr>
        <w:t>,</w:t>
      </w:r>
      <w:r w:rsidR="00F474A4" w:rsidRPr="00A83E9D">
        <w:rPr>
          <w:rFonts w:eastAsia="Times New Roman"/>
          <w:b/>
          <w:sz w:val="20"/>
          <w:szCs w:val="20"/>
        </w:rPr>
        <w:t xml:space="preserve"> </w:t>
      </w:r>
      <w:r>
        <w:rPr>
          <w:rFonts w:eastAsia="Times New Roman"/>
          <w:b/>
          <w:sz w:val="20"/>
          <w:szCs w:val="20"/>
        </w:rPr>
        <w:t>1998</w:t>
      </w:r>
    </w:p>
    <w:p w14:paraId="5D298F43" w14:textId="77777777" w:rsidR="00F474A4" w:rsidRPr="00A83E9D" w:rsidRDefault="00F474A4" w:rsidP="00F474A4">
      <w:pPr>
        <w:suppressAutoHyphens/>
        <w:jc w:val="both"/>
        <w:rPr>
          <w:rFonts w:ascii="Cambria" w:eastAsia="Times New Roman" w:hAnsi="Cambria"/>
          <w:color w:val="000000"/>
          <w:sz w:val="20"/>
          <w:szCs w:val="20"/>
          <w:u w:color="000000"/>
          <w:lang w:eastAsia="es-ES"/>
        </w:rPr>
      </w:pPr>
    </w:p>
    <w:p w14:paraId="1E69F36E" w14:textId="77777777" w:rsidR="00F474A4" w:rsidRPr="00A83E9D" w:rsidRDefault="00D84B0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January </w:t>
      </w:r>
      <w:r w:rsidR="00F474A4" w:rsidRPr="00A83E9D">
        <w:rPr>
          <w:rFonts w:ascii="Cambria" w:hAnsi="Cambria"/>
          <w:sz w:val="20"/>
          <w:szCs w:val="20"/>
          <w:lang w:val="en-US"/>
        </w:rPr>
        <w:t>15</w:t>
      </w:r>
      <w:r>
        <w:rPr>
          <w:rFonts w:ascii="Cambria" w:hAnsi="Cambria"/>
          <w:sz w:val="20"/>
          <w:szCs w:val="20"/>
          <w:lang w:val="en-US"/>
        </w:rPr>
        <w:t>,</w:t>
      </w:r>
      <w:r w:rsidR="00F474A4" w:rsidRPr="00A83E9D">
        <w:rPr>
          <w:rFonts w:ascii="Cambria" w:hAnsi="Cambria"/>
          <w:sz w:val="20"/>
          <w:szCs w:val="20"/>
          <w:lang w:val="en-US"/>
        </w:rPr>
        <w:t xml:space="preserve"> </w:t>
      </w:r>
      <w:r>
        <w:rPr>
          <w:rFonts w:ascii="Cambria" w:hAnsi="Cambria"/>
          <w:sz w:val="20"/>
          <w:szCs w:val="20"/>
          <w:lang w:val="en-US"/>
        </w:rPr>
        <w:t xml:space="preserve">1998, at midday,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was walking along a street in the city of </w:t>
      </w:r>
      <w:r w:rsidR="00F474A4" w:rsidRPr="00A83E9D">
        <w:rPr>
          <w:rFonts w:ascii="Cambria" w:hAnsi="Cambria"/>
          <w:sz w:val="20"/>
          <w:szCs w:val="20"/>
          <w:lang w:val="en-US"/>
        </w:rPr>
        <w:t>Buenos Aires</w:t>
      </w:r>
      <w:r>
        <w:rPr>
          <w:rFonts w:ascii="Cambria" w:hAnsi="Cambria"/>
          <w:sz w:val="20"/>
          <w:szCs w:val="20"/>
          <w:lang w:val="en-US"/>
        </w:rPr>
        <w:t>.</w:t>
      </w:r>
      <w:r w:rsidR="00F474A4" w:rsidRPr="00A83E9D">
        <w:rPr>
          <w:rStyle w:val="FootnoteReference"/>
          <w:sz w:val="20"/>
          <w:szCs w:val="20"/>
          <w:lang w:val="en-US"/>
        </w:rPr>
        <w:footnoteReference w:id="59"/>
      </w:r>
      <w:r w:rsidR="00F474A4" w:rsidRPr="00A83E9D">
        <w:rPr>
          <w:rFonts w:ascii="Cambria" w:hAnsi="Cambria"/>
          <w:sz w:val="20"/>
          <w:szCs w:val="20"/>
          <w:lang w:val="en-US"/>
        </w:rPr>
        <w:t xml:space="preserve"> </w:t>
      </w:r>
      <w:r>
        <w:rPr>
          <w:rFonts w:ascii="Cambria" w:hAnsi="Cambria"/>
          <w:sz w:val="20"/>
          <w:szCs w:val="20"/>
          <w:lang w:val="en-US"/>
        </w:rPr>
        <w:t xml:space="preserve">According to the </w:t>
      </w:r>
      <w:r w:rsidR="00D750A6">
        <w:rPr>
          <w:rFonts w:ascii="Cambria" w:hAnsi="Cambria"/>
          <w:sz w:val="20"/>
          <w:szCs w:val="20"/>
          <w:lang w:val="en-US"/>
        </w:rPr>
        <w:t xml:space="preserve">petitioner’s </w:t>
      </w:r>
      <w:r>
        <w:rPr>
          <w:rFonts w:ascii="Cambria" w:hAnsi="Cambria"/>
          <w:sz w:val="20"/>
          <w:szCs w:val="20"/>
          <w:lang w:val="en-US"/>
        </w:rPr>
        <w:t>narrative, Federal Police agents intercepted him and asked what he was doing in the area.</w:t>
      </w:r>
      <w:r w:rsidR="00F474A4" w:rsidRPr="00A83E9D">
        <w:rPr>
          <w:rStyle w:val="FootnoteReference"/>
          <w:sz w:val="20"/>
          <w:szCs w:val="20"/>
          <w:lang w:val="en-US"/>
        </w:rPr>
        <w:footnoteReference w:id="60"/>
      </w:r>
      <w:r w:rsidR="00F474A4" w:rsidRPr="00A83E9D">
        <w:rPr>
          <w:rFonts w:ascii="Cambria" w:hAnsi="Cambria"/>
          <w:sz w:val="20"/>
          <w:szCs w:val="20"/>
          <w:lang w:val="en-US"/>
        </w:rPr>
        <w:t xml:space="preserve"> </w:t>
      </w:r>
      <w:r>
        <w:rPr>
          <w:rFonts w:ascii="Cambria" w:hAnsi="Cambria"/>
          <w:sz w:val="20"/>
          <w:szCs w:val="20"/>
          <w:lang w:val="en-US"/>
        </w:rPr>
        <w:t xml:space="preserve">It indicated that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answered that he was looking for electronic material for </w:t>
      </w:r>
      <w:r w:rsidR="0027283B">
        <w:rPr>
          <w:rFonts w:ascii="Cambria" w:hAnsi="Cambria"/>
          <w:sz w:val="20"/>
          <w:szCs w:val="20"/>
          <w:lang w:val="en-US"/>
        </w:rPr>
        <w:t xml:space="preserve">replacement </w:t>
      </w:r>
      <w:r>
        <w:rPr>
          <w:rFonts w:ascii="Cambria" w:hAnsi="Cambria"/>
          <w:sz w:val="20"/>
          <w:szCs w:val="20"/>
          <w:lang w:val="en-US"/>
        </w:rPr>
        <w:t>parts.</w:t>
      </w:r>
      <w:r w:rsidR="00F474A4" w:rsidRPr="00A83E9D">
        <w:rPr>
          <w:rStyle w:val="FootnoteReference"/>
          <w:sz w:val="20"/>
          <w:szCs w:val="20"/>
          <w:lang w:val="en-US"/>
        </w:rPr>
        <w:footnoteReference w:id="61"/>
      </w:r>
      <w:r>
        <w:rPr>
          <w:rFonts w:ascii="Cambria" w:hAnsi="Cambria"/>
          <w:sz w:val="20"/>
          <w:szCs w:val="20"/>
          <w:lang w:val="en-US"/>
        </w:rPr>
        <w:t xml:space="preserve"> The police agents stated that they saw </w:t>
      </w:r>
      <w:r w:rsidR="00D750A6">
        <w:rPr>
          <w:rFonts w:ascii="Cambria" w:hAnsi="Cambria"/>
          <w:sz w:val="20"/>
          <w:szCs w:val="20"/>
          <w:lang w:val="en-US"/>
        </w:rPr>
        <w:t xml:space="preserve">that </w:t>
      </w:r>
      <w:r>
        <w:rPr>
          <w:rFonts w:ascii="Cambria" w:hAnsi="Cambria"/>
          <w:sz w:val="20"/>
          <w:szCs w:val="20"/>
          <w:lang w:val="en-US"/>
        </w:rPr>
        <w:t xml:space="preserve">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D750A6">
        <w:rPr>
          <w:rFonts w:ascii="Cambria" w:hAnsi="Cambria"/>
          <w:sz w:val="20"/>
          <w:szCs w:val="20"/>
          <w:lang w:val="en-US"/>
        </w:rPr>
        <w:t xml:space="preserve">was </w:t>
      </w:r>
      <w:r>
        <w:rPr>
          <w:rFonts w:ascii="Cambria" w:hAnsi="Cambria"/>
          <w:sz w:val="20"/>
          <w:szCs w:val="20"/>
          <w:lang w:val="en-US"/>
        </w:rPr>
        <w:t xml:space="preserve">nervous, especially because the electronic material alluded to was totally foreign to what one might </w:t>
      </w:r>
      <w:r w:rsidR="0027283B">
        <w:rPr>
          <w:rFonts w:ascii="Cambria" w:hAnsi="Cambria"/>
          <w:sz w:val="20"/>
          <w:szCs w:val="20"/>
          <w:lang w:val="en-US"/>
        </w:rPr>
        <w:t xml:space="preserve">find </w:t>
      </w:r>
      <w:r>
        <w:rPr>
          <w:rFonts w:ascii="Cambria" w:hAnsi="Cambria"/>
          <w:sz w:val="20"/>
          <w:szCs w:val="20"/>
          <w:lang w:val="en-US"/>
        </w:rPr>
        <w:t>in the commercial establishments in the zone.</w:t>
      </w:r>
      <w:r w:rsidR="00F474A4" w:rsidRPr="00A83E9D">
        <w:rPr>
          <w:rStyle w:val="FootnoteReference"/>
          <w:sz w:val="20"/>
          <w:szCs w:val="20"/>
          <w:lang w:val="en-US"/>
        </w:rPr>
        <w:footnoteReference w:id="62"/>
      </w:r>
      <w:r w:rsidR="00F474A4" w:rsidRPr="00A83E9D">
        <w:rPr>
          <w:rFonts w:ascii="Cambria" w:eastAsia="SimSun" w:hAnsi="Cambria"/>
          <w:sz w:val="20"/>
          <w:szCs w:val="20"/>
          <w:lang w:val="en-US"/>
        </w:rPr>
        <w:t xml:space="preserve"> </w:t>
      </w:r>
    </w:p>
    <w:p w14:paraId="61AC80A0"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31CF66C6" w14:textId="3355C213" w:rsidR="00F474A4" w:rsidRPr="00A83E9D" w:rsidRDefault="00D84B0F"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lang w:val="en-US"/>
        </w:rPr>
      </w:pPr>
      <w:r>
        <w:rPr>
          <w:rFonts w:ascii="Cambria" w:hAnsi="Cambria"/>
          <w:sz w:val="20"/>
          <w:szCs w:val="20"/>
          <w:lang w:val="en-US"/>
        </w:rPr>
        <w:t xml:space="preserve">The police agents </w:t>
      </w:r>
      <w:r w:rsidR="001C38D9">
        <w:rPr>
          <w:rFonts w:ascii="Cambria" w:hAnsi="Cambria"/>
          <w:sz w:val="20"/>
          <w:szCs w:val="20"/>
          <w:lang w:val="en-US"/>
        </w:rPr>
        <w:t xml:space="preserve">declared </w:t>
      </w:r>
      <w:r>
        <w:rPr>
          <w:rFonts w:ascii="Cambria" w:hAnsi="Cambria"/>
          <w:sz w:val="20"/>
          <w:szCs w:val="20"/>
          <w:lang w:val="en-US"/>
        </w:rPr>
        <w:t xml:space="preserve">that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had a </w:t>
      </w:r>
      <w:r w:rsidR="00D750A6">
        <w:rPr>
          <w:rFonts w:ascii="Cambria" w:hAnsi="Cambria"/>
          <w:sz w:val="20"/>
          <w:szCs w:val="20"/>
          <w:lang w:val="en-US"/>
        </w:rPr>
        <w:t xml:space="preserve">newspaper </w:t>
      </w:r>
      <w:r>
        <w:rPr>
          <w:rFonts w:ascii="Cambria" w:hAnsi="Cambria"/>
          <w:sz w:val="20"/>
          <w:szCs w:val="20"/>
          <w:lang w:val="en-US"/>
        </w:rPr>
        <w:t>with him in which they found a transparent bag that contained a white substance similar to cocaine hydrochloride.</w:t>
      </w:r>
      <w:r w:rsidR="00F474A4" w:rsidRPr="00A83E9D">
        <w:rPr>
          <w:rStyle w:val="FootnoteReference"/>
          <w:sz w:val="20"/>
          <w:szCs w:val="20"/>
          <w:lang w:val="en-US"/>
        </w:rPr>
        <w:footnoteReference w:id="63"/>
      </w:r>
      <w:r w:rsidR="00F474A4" w:rsidRPr="00A83E9D">
        <w:rPr>
          <w:rFonts w:ascii="Cambria" w:eastAsia="SimSun" w:hAnsi="Cambria"/>
          <w:sz w:val="20"/>
          <w:szCs w:val="20"/>
          <w:lang w:val="en-US"/>
        </w:rPr>
        <w:t xml:space="preserve"> </w:t>
      </w:r>
      <w:r w:rsidR="00FA5938">
        <w:rPr>
          <w:rFonts w:ascii="Cambria" w:eastAsia="SimSun" w:hAnsi="Cambria"/>
          <w:sz w:val="20"/>
          <w:szCs w:val="20"/>
          <w:lang w:val="en-US"/>
        </w:rPr>
        <w:t>They added that in response</w:t>
      </w:r>
      <w:r w:rsidR="0027283B">
        <w:rPr>
          <w:rFonts w:ascii="Cambria" w:eastAsia="SimSun" w:hAnsi="Cambria"/>
          <w:sz w:val="20"/>
          <w:szCs w:val="20"/>
          <w:lang w:val="en-US"/>
        </w:rPr>
        <w:t>,</w:t>
      </w:r>
      <w:r w:rsidR="00FA5938">
        <w:rPr>
          <w:rFonts w:ascii="Cambria" w:eastAsia="SimSun" w:hAnsi="Cambria"/>
          <w:sz w:val="20"/>
          <w:szCs w:val="20"/>
          <w:lang w:val="en-US"/>
        </w:rPr>
        <w:t xml:space="preserve"> </w:t>
      </w:r>
      <w:r w:rsidR="0027283B">
        <w:rPr>
          <w:rFonts w:ascii="Cambria" w:eastAsia="SimSun" w:hAnsi="Cambria"/>
          <w:sz w:val="20"/>
          <w:szCs w:val="20"/>
          <w:lang w:val="en-US"/>
        </w:rPr>
        <w:t xml:space="preserve">it was asked that </w:t>
      </w:r>
      <w:r w:rsidR="00FA5938">
        <w:rPr>
          <w:rFonts w:ascii="Cambria" w:eastAsia="SimSun" w:hAnsi="Cambria"/>
          <w:sz w:val="20"/>
          <w:szCs w:val="20"/>
          <w:lang w:val="en-US"/>
        </w:rPr>
        <w:t xml:space="preserve">witnesses </w:t>
      </w:r>
      <w:r w:rsidR="0027283B">
        <w:rPr>
          <w:rFonts w:ascii="Cambria" w:eastAsia="SimSun" w:hAnsi="Cambria"/>
          <w:sz w:val="20"/>
          <w:szCs w:val="20"/>
          <w:lang w:val="en-US"/>
        </w:rPr>
        <w:t xml:space="preserve">be present </w:t>
      </w:r>
      <w:r w:rsidR="00FA5938">
        <w:rPr>
          <w:rFonts w:ascii="Cambria" w:eastAsia="SimSun" w:hAnsi="Cambria"/>
          <w:sz w:val="20"/>
          <w:szCs w:val="20"/>
          <w:lang w:val="en-US"/>
        </w:rPr>
        <w:t xml:space="preserve">for the purpose of arresting Mr. </w:t>
      </w:r>
      <w:proofErr w:type="spellStart"/>
      <w:r w:rsidR="00F474A4" w:rsidRPr="00A83E9D">
        <w:rPr>
          <w:rFonts w:ascii="Cambria" w:eastAsia="SimSun" w:hAnsi="Cambria"/>
          <w:sz w:val="20"/>
          <w:szCs w:val="20"/>
          <w:lang w:val="en-US"/>
        </w:rPr>
        <w:t>Tumbeiro</w:t>
      </w:r>
      <w:proofErr w:type="spellEnd"/>
      <w:r w:rsidR="0005506D">
        <w:rPr>
          <w:rFonts w:ascii="Cambria" w:eastAsia="SimSun" w:hAnsi="Cambria"/>
          <w:sz w:val="20"/>
          <w:szCs w:val="20"/>
          <w:lang w:val="en-US"/>
        </w:rPr>
        <w:t>.</w:t>
      </w:r>
      <w:r w:rsidR="00F474A4" w:rsidRPr="00A83E9D">
        <w:rPr>
          <w:rStyle w:val="FootnoteReference"/>
          <w:sz w:val="20"/>
          <w:szCs w:val="20"/>
          <w:lang w:val="en-US"/>
        </w:rPr>
        <w:footnoteReference w:id="64"/>
      </w:r>
      <w:r w:rsidR="00F474A4" w:rsidRPr="00A83E9D">
        <w:rPr>
          <w:rFonts w:ascii="Cambria" w:eastAsia="SimSun" w:hAnsi="Cambria"/>
          <w:sz w:val="20"/>
          <w:szCs w:val="20"/>
          <w:lang w:val="en-US"/>
        </w:rPr>
        <w:t xml:space="preserve"> </w:t>
      </w:r>
      <w:r w:rsidR="00D750A6">
        <w:rPr>
          <w:rFonts w:ascii="Cambria" w:eastAsia="SimSun" w:hAnsi="Cambria"/>
          <w:sz w:val="20"/>
          <w:szCs w:val="20"/>
          <w:lang w:val="en-US"/>
        </w:rPr>
        <w:t>T</w:t>
      </w:r>
      <w:r w:rsidR="00FA5938">
        <w:rPr>
          <w:rFonts w:ascii="Cambria" w:eastAsia="SimSun" w:hAnsi="Cambria"/>
          <w:sz w:val="20"/>
          <w:szCs w:val="20"/>
          <w:lang w:val="en-US"/>
        </w:rPr>
        <w:t xml:space="preserve">he petitioner said that the police agents accompanied Mr. </w:t>
      </w:r>
      <w:proofErr w:type="spellStart"/>
      <w:r w:rsidR="00F474A4" w:rsidRPr="00A83E9D">
        <w:rPr>
          <w:rFonts w:ascii="Cambria" w:eastAsia="SimSun" w:hAnsi="Cambria"/>
          <w:sz w:val="20"/>
          <w:szCs w:val="20"/>
          <w:lang w:val="en-US"/>
        </w:rPr>
        <w:t>Tumbeiro</w:t>
      </w:r>
      <w:proofErr w:type="spellEnd"/>
      <w:r w:rsidR="00F474A4" w:rsidRPr="00A83E9D">
        <w:rPr>
          <w:rFonts w:ascii="Cambria" w:eastAsia="SimSun" w:hAnsi="Cambria"/>
          <w:sz w:val="20"/>
          <w:szCs w:val="20"/>
          <w:lang w:val="en-US"/>
        </w:rPr>
        <w:t xml:space="preserve"> </w:t>
      </w:r>
      <w:r w:rsidR="00FA5938">
        <w:rPr>
          <w:rFonts w:ascii="Cambria" w:eastAsia="SimSun" w:hAnsi="Cambria"/>
          <w:sz w:val="20"/>
          <w:szCs w:val="20"/>
          <w:lang w:val="en-US"/>
        </w:rPr>
        <w:t>to their official vehicle</w:t>
      </w:r>
      <w:r w:rsidR="00F474A4" w:rsidRPr="00A83E9D">
        <w:rPr>
          <w:rFonts w:ascii="Cambria" w:eastAsia="SimSun" w:hAnsi="Cambria"/>
          <w:sz w:val="20"/>
          <w:szCs w:val="20"/>
          <w:lang w:val="en-US"/>
        </w:rPr>
        <w:t xml:space="preserve">, </w:t>
      </w:r>
      <w:r w:rsidR="00FA5938">
        <w:rPr>
          <w:rFonts w:ascii="Cambria" w:eastAsia="SimSun" w:hAnsi="Cambria"/>
          <w:sz w:val="20"/>
          <w:szCs w:val="20"/>
          <w:lang w:val="en-US"/>
        </w:rPr>
        <w:t>and they proceeded to lower his pants and underwear</w:t>
      </w:r>
      <w:r w:rsidR="0005506D">
        <w:rPr>
          <w:rFonts w:ascii="Cambria" w:eastAsia="SimSun" w:hAnsi="Cambria"/>
          <w:sz w:val="20"/>
          <w:szCs w:val="20"/>
          <w:lang w:val="en-US"/>
        </w:rPr>
        <w:t>.</w:t>
      </w:r>
      <w:r w:rsidR="00F474A4" w:rsidRPr="00A83E9D">
        <w:rPr>
          <w:rStyle w:val="FootnoteReference"/>
          <w:rFonts w:ascii="Cambria" w:hAnsi="Cambria"/>
          <w:sz w:val="20"/>
          <w:szCs w:val="20"/>
          <w:lang w:val="en-US"/>
        </w:rPr>
        <w:footnoteReference w:id="65"/>
      </w:r>
      <w:r w:rsidR="00F474A4" w:rsidRPr="00A83E9D">
        <w:rPr>
          <w:rFonts w:ascii="Cambria" w:eastAsia="SimSun" w:hAnsi="Cambria"/>
          <w:sz w:val="20"/>
          <w:szCs w:val="20"/>
          <w:lang w:val="en-US"/>
        </w:rPr>
        <w:t xml:space="preserve"> </w:t>
      </w:r>
      <w:r w:rsidR="00FA5938">
        <w:rPr>
          <w:rFonts w:ascii="Cambria" w:eastAsia="SimSun" w:hAnsi="Cambria"/>
          <w:sz w:val="20"/>
          <w:szCs w:val="20"/>
          <w:lang w:val="en-US"/>
        </w:rPr>
        <w:t xml:space="preserve">It indicated that afterwards they called two witnesses and indicated to them that drugs were found in a newspaper that Mr. </w:t>
      </w:r>
      <w:proofErr w:type="spellStart"/>
      <w:r w:rsidR="00F474A4" w:rsidRPr="00A83E9D">
        <w:rPr>
          <w:rFonts w:ascii="Cambria" w:eastAsia="SimSun" w:hAnsi="Cambria"/>
          <w:sz w:val="20"/>
          <w:szCs w:val="20"/>
          <w:lang w:val="en-US"/>
        </w:rPr>
        <w:t>Tumbeiro</w:t>
      </w:r>
      <w:proofErr w:type="spellEnd"/>
      <w:r w:rsidR="00F474A4" w:rsidRPr="00A83E9D">
        <w:rPr>
          <w:rFonts w:ascii="Cambria" w:eastAsia="SimSun" w:hAnsi="Cambria"/>
          <w:sz w:val="20"/>
          <w:szCs w:val="20"/>
          <w:lang w:val="en-US"/>
        </w:rPr>
        <w:t xml:space="preserve"> </w:t>
      </w:r>
      <w:r w:rsidR="00FA5938">
        <w:rPr>
          <w:rFonts w:ascii="Cambria" w:eastAsia="SimSun" w:hAnsi="Cambria"/>
          <w:sz w:val="20"/>
          <w:szCs w:val="20"/>
          <w:lang w:val="en-US"/>
        </w:rPr>
        <w:t>was carrying. The petitioner stated that said newspaper was in the back seat of the police car</w:t>
      </w:r>
      <w:r w:rsidR="00A8067B">
        <w:rPr>
          <w:rFonts w:ascii="Cambria" w:eastAsia="SimSun" w:hAnsi="Cambria"/>
          <w:sz w:val="20"/>
          <w:szCs w:val="20"/>
          <w:lang w:val="en-US"/>
        </w:rPr>
        <w:t xml:space="preserve">, and added that the police agents justified the search of Mr. </w:t>
      </w:r>
      <w:proofErr w:type="spellStart"/>
      <w:r w:rsidR="00F474A4" w:rsidRPr="00A83E9D">
        <w:rPr>
          <w:rFonts w:ascii="Cambria" w:eastAsia="SimSun" w:hAnsi="Cambria"/>
          <w:sz w:val="20"/>
          <w:szCs w:val="20"/>
          <w:lang w:val="en-US"/>
        </w:rPr>
        <w:t>Tumbeiro</w:t>
      </w:r>
      <w:proofErr w:type="spellEnd"/>
      <w:r w:rsidR="00F474A4" w:rsidRPr="00A83E9D">
        <w:rPr>
          <w:rFonts w:ascii="Cambria" w:eastAsia="SimSun" w:hAnsi="Cambria"/>
          <w:sz w:val="20"/>
          <w:szCs w:val="20"/>
          <w:lang w:val="en-US"/>
        </w:rPr>
        <w:t xml:space="preserve"> “</w:t>
      </w:r>
      <w:r w:rsidR="00A8067B">
        <w:rPr>
          <w:rFonts w:ascii="Cambria" w:eastAsia="SimSun" w:hAnsi="Cambria"/>
          <w:sz w:val="20"/>
          <w:szCs w:val="20"/>
          <w:lang w:val="en-US"/>
        </w:rPr>
        <w:t xml:space="preserve">because he was nervous and </w:t>
      </w:r>
      <w:r w:rsidR="0027283B">
        <w:rPr>
          <w:rFonts w:ascii="Cambria" w:eastAsia="SimSun" w:hAnsi="Cambria"/>
          <w:sz w:val="20"/>
          <w:szCs w:val="20"/>
          <w:lang w:val="en-US"/>
        </w:rPr>
        <w:t xml:space="preserve">hesitant </w:t>
      </w:r>
      <w:r w:rsidR="00A8067B">
        <w:rPr>
          <w:rFonts w:ascii="Cambria" w:eastAsia="SimSun" w:hAnsi="Cambria"/>
          <w:sz w:val="20"/>
          <w:szCs w:val="20"/>
          <w:lang w:val="en-US"/>
        </w:rPr>
        <w:t xml:space="preserve">in their presence </w:t>
      </w:r>
      <w:r w:rsidR="00A8067B">
        <w:rPr>
          <w:rFonts w:ascii="Cambria" w:hAnsi="Cambria"/>
          <w:sz w:val="20"/>
          <w:szCs w:val="20"/>
          <w:lang w:val="en-US"/>
        </w:rPr>
        <w:t xml:space="preserve">and because of the way he was </w:t>
      </w:r>
      <w:r w:rsidR="0027283B">
        <w:rPr>
          <w:rFonts w:ascii="Cambria" w:hAnsi="Cambria"/>
          <w:sz w:val="20"/>
          <w:szCs w:val="20"/>
          <w:lang w:val="en-US"/>
        </w:rPr>
        <w:t xml:space="preserve">dressed, which </w:t>
      </w:r>
      <w:r w:rsidR="00D750A6">
        <w:rPr>
          <w:rFonts w:ascii="Cambria" w:hAnsi="Cambria"/>
          <w:sz w:val="20"/>
          <w:szCs w:val="20"/>
          <w:lang w:val="en-US"/>
        </w:rPr>
        <w:t>was not consistent with</w:t>
      </w:r>
      <w:r w:rsidR="0027283B">
        <w:rPr>
          <w:rFonts w:ascii="Cambria" w:hAnsi="Cambria"/>
          <w:sz w:val="20"/>
          <w:szCs w:val="20"/>
          <w:lang w:val="en-US"/>
        </w:rPr>
        <w:t xml:space="preserve"> </w:t>
      </w:r>
      <w:r w:rsidR="00A8067B">
        <w:rPr>
          <w:rFonts w:ascii="Cambria" w:hAnsi="Cambria"/>
          <w:sz w:val="20"/>
          <w:szCs w:val="20"/>
          <w:lang w:val="en-US"/>
        </w:rPr>
        <w:t>the apparel of the people in that place</w:t>
      </w:r>
      <w:r w:rsidR="0005506D">
        <w:rPr>
          <w:rFonts w:ascii="Cambria" w:hAnsi="Cambria"/>
          <w:sz w:val="20"/>
          <w:szCs w:val="20"/>
          <w:lang w:val="en-US"/>
        </w:rPr>
        <w:t>.</w:t>
      </w:r>
      <w:r w:rsidR="00F474A4" w:rsidRPr="00A83E9D">
        <w:rPr>
          <w:rFonts w:ascii="Cambria" w:hAnsi="Cambria"/>
          <w:sz w:val="20"/>
          <w:szCs w:val="20"/>
          <w:lang w:val="en-US"/>
        </w:rPr>
        <w:t>”</w:t>
      </w:r>
      <w:r w:rsidR="00F474A4" w:rsidRPr="00A83E9D">
        <w:rPr>
          <w:rStyle w:val="FootnoteReference"/>
          <w:rFonts w:ascii="Cambria" w:hAnsi="Cambria"/>
          <w:sz w:val="20"/>
          <w:szCs w:val="20"/>
          <w:lang w:val="en-US"/>
        </w:rPr>
        <w:footnoteReference w:id="66"/>
      </w:r>
      <w:r w:rsidR="00F474A4" w:rsidRPr="00A83E9D">
        <w:rPr>
          <w:rFonts w:ascii="Cambria" w:hAnsi="Cambria"/>
          <w:sz w:val="20"/>
          <w:szCs w:val="20"/>
          <w:lang w:val="en-US"/>
        </w:rPr>
        <w:t xml:space="preserve"> </w:t>
      </w:r>
      <w:r w:rsidR="00A8067B">
        <w:rPr>
          <w:rFonts w:ascii="Cambria" w:hAnsi="Cambria"/>
          <w:sz w:val="20"/>
          <w:szCs w:val="20"/>
          <w:lang w:val="en-US"/>
        </w:rPr>
        <w:t>The State did not dispute this narrative put forth by the petitioner.</w:t>
      </w:r>
    </w:p>
    <w:p w14:paraId="7CA67BF0"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19EDA75E" w14:textId="77777777" w:rsidR="00F474A4" w:rsidRPr="00A83E9D" w:rsidRDefault="00A51D60" w:rsidP="00F474A4">
      <w:pPr>
        <w:pStyle w:val="ListParagraph"/>
        <w:numPr>
          <w:ilvl w:val="3"/>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630"/>
        <w:jc w:val="both"/>
        <w:rPr>
          <w:rFonts w:eastAsia="SimSun"/>
          <w:sz w:val="20"/>
          <w:szCs w:val="20"/>
        </w:rPr>
      </w:pPr>
      <w:r>
        <w:rPr>
          <w:rFonts w:eastAsia="SimSun"/>
          <w:b/>
          <w:sz w:val="20"/>
          <w:szCs w:val="20"/>
        </w:rPr>
        <w:t xml:space="preserve">The criminal proceeding against Mr. </w:t>
      </w:r>
      <w:proofErr w:type="spellStart"/>
      <w:r w:rsidR="00F474A4" w:rsidRPr="00A83E9D">
        <w:rPr>
          <w:rFonts w:eastAsia="SimSun"/>
          <w:b/>
          <w:sz w:val="20"/>
          <w:szCs w:val="20"/>
        </w:rPr>
        <w:t>Tumbeiro</w:t>
      </w:r>
      <w:proofErr w:type="spellEnd"/>
    </w:p>
    <w:p w14:paraId="4D3A7A51" w14:textId="77777777" w:rsidR="00F474A4" w:rsidRPr="00A83E9D" w:rsidRDefault="00F474A4" w:rsidP="00F474A4">
      <w:pPr>
        <w:suppressAutoHyphens/>
        <w:jc w:val="both"/>
        <w:rPr>
          <w:rFonts w:ascii="Cambria" w:hAnsi="Cambria"/>
          <w:sz w:val="20"/>
          <w:szCs w:val="20"/>
        </w:rPr>
      </w:pPr>
    </w:p>
    <w:p w14:paraId="577365F8" w14:textId="77777777" w:rsidR="00F474A4" w:rsidRPr="00A83E9D" w:rsidRDefault="00A51D60"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August </w:t>
      </w:r>
      <w:r w:rsidR="00F474A4" w:rsidRPr="00A83E9D">
        <w:rPr>
          <w:rFonts w:ascii="Cambria" w:hAnsi="Cambria"/>
          <w:sz w:val="20"/>
          <w:szCs w:val="20"/>
          <w:lang w:val="en-US"/>
        </w:rPr>
        <w:t>26</w:t>
      </w:r>
      <w:r>
        <w:rPr>
          <w:rFonts w:ascii="Cambria" w:hAnsi="Cambria"/>
          <w:sz w:val="20"/>
          <w:szCs w:val="20"/>
          <w:lang w:val="en-US"/>
        </w:rPr>
        <w:t>,</w:t>
      </w:r>
      <w:r w:rsidR="00F474A4" w:rsidRPr="00A83E9D">
        <w:rPr>
          <w:rFonts w:ascii="Cambria" w:hAnsi="Cambria"/>
          <w:sz w:val="20"/>
          <w:szCs w:val="20"/>
          <w:lang w:val="en-US"/>
        </w:rPr>
        <w:t xml:space="preserve"> 1998</w:t>
      </w:r>
      <w:r>
        <w:rPr>
          <w:rFonts w:ascii="Cambria" w:hAnsi="Cambria"/>
          <w:sz w:val="20"/>
          <w:szCs w:val="20"/>
          <w:lang w:val="en-US"/>
        </w:rPr>
        <w:t xml:space="preserve">, Oral Court for Federal Criminal Matters No. </w:t>
      </w:r>
      <w:r w:rsidR="00F474A4" w:rsidRPr="00A83E9D">
        <w:rPr>
          <w:rFonts w:ascii="Cambria" w:hAnsi="Cambria"/>
          <w:sz w:val="20"/>
          <w:szCs w:val="20"/>
          <w:lang w:val="en-US"/>
        </w:rPr>
        <w:t xml:space="preserve">1 </w:t>
      </w:r>
      <w:r>
        <w:rPr>
          <w:rFonts w:ascii="Cambria" w:hAnsi="Cambria"/>
          <w:sz w:val="20"/>
          <w:szCs w:val="20"/>
          <w:lang w:val="en-US"/>
        </w:rPr>
        <w:t xml:space="preserve">of the Federal </w:t>
      </w:r>
      <w:r w:rsidR="00F474A4" w:rsidRPr="00A83E9D">
        <w:rPr>
          <w:rFonts w:ascii="Cambria" w:hAnsi="Cambria"/>
          <w:sz w:val="20"/>
          <w:szCs w:val="20"/>
          <w:lang w:val="en-US"/>
        </w:rPr>
        <w:t>Capital con</w:t>
      </w:r>
      <w:r>
        <w:rPr>
          <w:rFonts w:ascii="Cambria" w:hAnsi="Cambria"/>
          <w:sz w:val="20"/>
          <w:szCs w:val="20"/>
          <w:lang w:val="en-US"/>
        </w:rPr>
        <w:t xml:space="preserve">victed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27283B">
        <w:rPr>
          <w:rFonts w:ascii="Cambria" w:hAnsi="Cambria"/>
          <w:sz w:val="20"/>
          <w:szCs w:val="20"/>
          <w:lang w:val="en-US"/>
        </w:rPr>
        <w:t xml:space="preserve">and sentenced him </w:t>
      </w:r>
      <w:r w:rsidR="00D750A6">
        <w:rPr>
          <w:rFonts w:ascii="Cambria" w:hAnsi="Cambria"/>
          <w:sz w:val="20"/>
          <w:szCs w:val="20"/>
          <w:lang w:val="en-US"/>
        </w:rPr>
        <w:t>to one year and six months in</w:t>
      </w:r>
      <w:r>
        <w:rPr>
          <w:rFonts w:ascii="Cambria" w:hAnsi="Cambria"/>
          <w:sz w:val="20"/>
          <w:szCs w:val="20"/>
          <w:lang w:val="en-US"/>
        </w:rPr>
        <w:t xml:space="preserve"> prison for the crime of possession of narcotics.</w:t>
      </w:r>
      <w:r w:rsidR="00F474A4" w:rsidRPr="00A83E9D">
        <w:rPr>
          <w:rStyle w:val="FootnoteReference"/>
          <w:rFonts w:ascii="Cambria" w:hAnsi="Cambria"/>
          <w:sz w:val="20"/>
          <w:szCs w:val="20"/>
          <w:lang w:val="en-US"/>
        </w:rPr>
        <w:footnoteReference w:id="67"/>
      </w:r>
      <w:r w:rsidR="00F474A4" w:rsidRPr="00A83E9D">
        <w:rPr>
          <w:rFonts w:ascii="Cambria" w:hAnsi="Cambria"/>
          <w:sz w:val="20"/>
          <w:szCs w:val="20"/>
          <w:lang w:val="en-US"/>
        </w:rPr>
        <w:t xml:space="preserve"> </w:t>
      </w:r>
    </w:p>
    <w:p w14:paraId="011BAE32"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1DF65223" w14:textId="77777777" w:rsidR="00F474A4" w:rsidRPr="00A83E9D" w:rsidRDefault="00D750A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D</w:t>
      </w:r>
      <w:r w:rsidR="00A51D60">
        <w:rPr>
          <w:rFonts w:ascii="Cambria" w:hAnsi="Cambria"/>
          <w:sz w:val="20"/>
          <w:szCs w:val="20"/>
          <w:lang w:val="en-US"/>
        </w:rPr>
        <w:t xml:space="preserve">efense counsel for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DB7590">
        <w:rPr>
          <w:rFonts w:ascii="Cambria" w:hAnsi="Cambria"/>
          <w:sz w:val="20"/>
          <w:szCs w:val="20"/>
          <w:lang w:val="en-US"/>
        </w:rPr>
        <w:t xml:space="preserve">filed a motion for cassation against that judgment alleging that the arrest of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DB7590">
        <w:rPr>
          <w:rFonts w:ascii="Cambria" w:hAnsi="Cambria"/>
          <w:sz w:val="20"/>
          <w:szCs w:val="20"/>
          <w:lang w:val="en-US"/>
        </w:rPr>
        <w:t>could not be justified by “mere subjective assessments by the police agents.” It was argued that the way he dressed or purported expressions of nervousness are not sufficient indicia to allow police agents to search and arrest a person.</w:t>
      </w:r>
      <w:r w:rsidR="00F474A4" w:rsidRPr="00A83E9D">
        <w:rPr>
          <w:rStyle w:val="FootnoteReference"/>
          <w:rFonts w:ascii="Cambria" w:hAnsi="Cambria"/>
          <w:sz w:val="20"/>
          <w:szCs w:val="20"/>
          <w:lang w:val="en-US"/>
        </w:rPr>
        <w:footnoteReference w:id="68"/>
      </w:r>
    </w:p>
    <w:p w14:paraId="0DB9D55F" w14:textId="77777777" w:rsidR="00F474A4" w:rsidRPr="00A83E9D" w:rsidRDefault="00F474A4" w:rsidP="00F474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2D3B5586" w14:textId="77777777" w:rsidR="00F474A4" w:rsidRPr="00A83E9D" w:rsidRDefault="00DB7590"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March </w:t>
      </w:r>
      <w:r w:rsidR="00F474A4" w:rsidRPr="00A83E9D">
        <w:rPr>
          <w:rFonts w:ascii="Cambria" w:hAnsi="Cambria"/>
          <w:sz w:val="20"/>
          <w:szCs w:val="20"/>
          <w:lang w:val="en-US"/>
        </w:rPr>
        <w:t>15</w:t>
      </w:r>
      <w:r>
        <w:rPr>
          <w:rFonts w:ascii="Cambria" w:hAnsi="Cambria"/>
          <w:sz w:val="20"/>
          <w:szCs w:val="20"/>
          <w:lang w:val="en-US"/>
        </w:rPr>
        <w:t>,</w:t>
      </w:r>
      <w:r w:rsidR="00F474A4" w:rsidRPr="00A83E9D">
        <w:rPr>
          <w:rFonts w:ascii="Cambria" w:hAnsi="Cambria"/>
          <w:sz w:val="20"/>
          <w:szCs w:val="20"/>
          <w:lang w:val="en-US"/>
        </w:rPr>
        <w:t xml:space="preserve"> 1999</w:t>
      </w:r>
      <w:r>
        <w:rPr>
          <w:rFonts w:ascii="Cambria" w:hAnsi="Cambria"/>
          <w:sz w:val="20"/>
          <w:szCs w:val="20"/>
          <w:lang w:val="en-US"/>
        </w:rPr>
        <w:t>,</w:t>
      </w:r>
      <w:r w:rsidR="00F474A4" w:rsidRPr="00A83E9D">
        <w:rPr>
          <w:rFonts w:ascii="Cambria" w:hAnsi="Cambria"/>
          <w:sz w:val="20"/>
          <w:szCs w:val="20"/>
          <w:lang w:val="en-US"/>
        </w:rPr>
        <w:t xml:space="preserve"> </w:t>
      </w:r>
      <w:r w:rsidR="00121B46">
        <w:rPr>
          <w:rFonts w:ascii="Cambria" w:hAnsi="Cambria"/>
          <w:sz w:val="20"/>
          <w:szCs w:val="20"/>
          <w:lang w:val="en-US"/>
        </w:rPr>
        <w:t xml:space="preserve">the First Chamber of the Federal Court of Appeals for Criminal Cassation handed down a judgment acquitting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sidR="00121B46">
        <w:rPr>
          <w:rFonts w:ascii="Cambria" w:hAnsi="Cambria"/>
          <w:sz w:val="20"/>
          <w:szCs w:val="20"/>
          <w:lang w:val="en-US"/>
        </w:rPr>
        <w:t>of the crime of possession of narcotics.</w:t>
      </w:r>
      <w:r w:rsidR="00F474A4" w:rsidRPr="00A83E9D">
        <w:rPr>
          <w:rStyle w:val="FootnoteReference"/>
          <w:sz w:val="20"/>
          <w:szCs w:val="20"/>
          <w:lang w:val="en-US"/>
        </w:rPr>
        <w:footnoteReference w:id="69"/>
      </w:r>
      <w:r w:rsidR="00F474A4" w:rsidRPr="00A83E9D">
        <w:rPr>
          <w:rFonts w:ascii="Cambria" w:hAnsi="Cambria"/>
          <w:sz w:val="20"/>
          <w:szCs w:val="20"/>
          <w:lang w:val="en-US"/>
        </w:rPr>
        <w:t xml:space="preserve"> </w:t>
      </w:r>
      <w:r w:rsidR="00121B46">
        <w:rPr>
          <w:rFonts w:ascii="Cambria" w:hAnsi="Cambria"/>
          <w:sz w:val="20"/>
          <w:szCs w:val="20"/>
          <w:lang w:val="en-US"/>
        </w:rPr>
        <w:t>The Chamber considered that</w:t>
      </w:r>
      <w:r w:rsidR="0027283B">
        <w:rPr>
          <w:rFonts w:ascii="Cambria" w:hAnsi="Cambria"/>
          <w:sz w:val="20"/>
          <w:szCs w:val="20"/>
          <w:lang w:val="en-US"/>
        </w:rPr>
        <w:t xml:space="preserve"> intercepting </w:t>
      </w:r>
      <w:r w:rsidR="00121B46">
        <w:rPr>
          <w:rFonts w:ascii="Cambria" w:hAnsi="Cambria"/>
          <w:sz w:val="20"/>
          <w:szCs w:val="20"/>
          <w:lang w:val="en-US"/>
        </w:rPr>
        <w:t xml:space="preserve">a person in a public place </w:t>
      </w:r>
      <w:r w:rsidR="0027283B">
        <w:rPr>
          <w:rFonts w:ascii="Cambria" w:hAnsi="Cambria"/>
          <w:sz w:val="20"/>
          <w:szCs w:val="20"/>
          <w:lang w:val="en-US"/>
        </w:rPr>
        <w:t xml:space="preserve">to check his identity </w:t>
      </w:r>
      <w:r w:rsidR="00121B46">
        <w:rPr>
          <w:rFonts w:ascii="Cambria" w:hAnsi="Cambria"/>
          <w:sz w:val="20"/>
          <w:szCs w:val="20"/>
          <w:lang w:val="en-US"/>
        </w:rPr>
        <w:t xml:space="preserve">and subsequently placing him in a police vehicle while waiting for the results of a criminal background check was a detention not regulated in </w:t>
      </w:r>
      <w:r w:rsidR="00121B46">
        <w:rPr>
          <w:rFonts w:ascii="Cambria" w:hAnsi="Cambria"/>
          <w:sz w:val="20"/>
          <w:szCs w:val="20"/>
          <w:lang w:val="en-US"/>
        </w:rPr>
        <w:lastRenderedPageBreak/>
        <w:t>the domestic legislation.</w:t>
      </w:r>
      <w:r w:rsidR="00F474A4" w:rsidRPr="00A83E9D">
        <w:rPr>
          <w:rStyle w:val="FootnoteReference"/>
          <w:sz w:val="20"/>
          <w:szCs w:val="20"/>
          <w:lang w:val="en-US"/>
        </w:rPr>
        <w:footnoteReference w:id="70"/>
      </w:r>
      <w:r w:rsidR="00F474A4" w:rsidRPr="00A83E9D">
        <w:rPr>
          <w:rFonts w:ascii="Cambria" w:hAnsi="Cambria"/>
          <w:sz w:val="20"/>
          <w:szCs w:val="20"/>
          <w:lang w:val="en-US"/>
        </w:rPr>
        <w:t xml:space="preserve"> </w:t>
      </w:r>
      <w:r w:rsidR="00121B46">
        <w:rPr>
          <w:rFonts w:ascii="Cambria" w:hAnsi="Cambria"/>
          <w:sz w:val="20"/>
          <w:szCs w:val="20"/>
          <w:lang w:val="en-US"/>
        </w:rPr>
        <w:t>The Chamber added that the detention to run a criminal background check was not justified i</w:t>
      </w:r>
      <w:r w:rsidR="00D750A6">
        <w:rPr>
          <w:rFonts w:ascii="Cambria" w:hAnsi="Cambria"/>
          <w:sz w:val="20"/>
          <w:szCs w:val="20"/>
          <w:lang w:val="en-US"/>
        </w:rPr>
        <w:t>n this case, in which there was no duly justified circumstance</w:t>
      </w:r>
      <w:r w:rsidR="00121B46">
        <w:rPr>
          <w:rFonts w:ascii="Cambria" w:hAnsi="Cambria"/>
          <w:sz w:val="20"/>
          <w:szCs w:val="20"/>
          <w:lang w:val="en-US"/>
        </w:rPr>
        <w:t xml:space="preserve"> to lead one to presume that someone had committed a </w:t>
      </w:r>
      <w:r w:rsidR="0020633F">
        <w:rPr>
          <w:rFonts w:ascii="Cambria" w:hAnsi="Cambria"/>
          <w:sz w:val="20"/>
          <w:szCs w:val="20"/>
          <w:lang w:val="en-US"/>
        </w:rPr>
        <w:t>crime or misdemeanor</w:t>
      </w:r>
      <w:r w:rsidR="00121B46">
        <w:rPr>
          <w:rFonts w:ascii="Cambria" w:hAnsi="Cambria"/>
          <w:sz w:val="20"/>
          <w:szCs w:val="20"/>
          <w:lang w:val="en-US"/>
        </w:rPr>
        <w:t>.</w:t>
      </w:r>
      <w:r w:rsidR="00F474A4" w:rsidRPr="00A83E9D">
        <w:rPr>
          <w:rStyle w:val="FootnoteReference"/>
          <w:sz w:val="20"/>
          <w:szCs w:val="20"/>
          <w:lang w:val="en-US"/>
        </w:rPr>
        <w:footnoteReference w:id="71"/>
      </w:r>
      <w:r w:rsidR="00121B46">
        <w:rPr>
          <w:rFonts w:ascii="Cambria" w:hAnsi="Cambria"/>
          <w:sz w:val="20"/>
          <w:szCs w:val="20"/>
          <w:lang w:val="en-US"/>
        </w:rPr>
        <w:t xml:space="preserve"> </w:t>
      </w:r>
    </w:p>
    <w:p w14:paraId="584CB3C2" w14:textId="77777777" w:rsidR="00F474A4" w:rsidRPr="00A83E9D" w:rsidRDefault="00F474A4" w:rsidP="00F474A4">
      <w:pPr>
        <w:ind w:left="720"/>
        <w:jc w:val="both"/>
        <w:rPr>
          <w:rFonts w:ascii="Cambria" w:hAnsi="Cambria"/>
          <w:color w:val="000000"/>
          <w:sz w:val="20"/>
          <w:szCs w:val="20"/>
        </w:rPr>
      </w:pPr>
    </w:p>
    <w:p w14:paraId="1198F2E8" w14:textId="77777777" w:rsidR="00F474A4" w:rsidRPr="00A83E9D" w:rsidRDefault="00121B46"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Attorney General filed a</w:t>
      </w:r>
      <w:r w:rsidR="00855EE4">
        <w:rPr>
          <w:rFonts w:ascii="Cambria" w:hAnsi="Cambria"/>
          <w:sz w:val="20"/>
          <w:szCs w:val="20"/>
          <w:lang w:val="en-US"/>
        </w:rPr>
        <w:t>n extraordinary</w:t>
      </w:r>
      <w:r>
        <w:rPr>
          <w:rFonts w:ascii="Cambria" w:hAnsi="Cambria"/>
          <w:sz w:val="20"/>
          <w:szCs w:val="20"/>
          <w:lang w:val="en-US"/>
        </w:rPr>
        <w:t xml:space="preserve"> appeal against this judgment, arguing that the decision of the Federal Court of Appeals fo</w:t>
      </w:r>
      <w:r w:rsidR="00560D6C">
        <w:rPr>
          <w:rFonts w:ascii="Cambria" w:hAnsi="Cambria"/>
          <w:sz w:val="20"/>
          <w:szCs w:val="20"/>
          <w:lang w:val="en-US"/>
        </w:rPr>
        <w:t>r Criminal Cassation annulled a crime prevention</w:t>
      </w:r>
      <w:r>
        <w:rPr>
          <w:rFonts w:ascii="Cambria" w:hAnsi="Cambria"/>
          <w:sz w:val="20"/>
          <w:szCs w:val="20"/>
          <w:lang w:val="en-US"/>
        </w:rPr>
        <w:t xml:space="preserve"> initiative that enjoyed legal support.</w:t>
      </w:r>
      <w:r w:rsidR="00F474A4" w:rsidRPr="00A83E9D">
        <w:rPr>
          <w:rStyle w:val="FootnoteReference"/>
          <w:rFonts w:ascii="Cambria" w:hAnsi="Cambria"/>
          <w:sz w:val="20"/>
          <w:szCs w:val="20"/>
          <w:lang w:val="en-US"/>
        </w:rPr>
        <w:footnoteReference w:id="72"/>
      </w:r>
      <w:r w:rsidR="00F474A4" w:rsidRPr="00A83E9D">
        <w:rPr>
          <w:rFonts w:ascii="Cambria" w:hAnsi="Cambria"/>
          <w:sz w:val="20"/>
          <w:szCs w:val="20"/>
          <w:lang w:val="en-US"/>
        </w:rPr>
        <w:t xml:space="preserve"> </w:t>
      </w:r>
      <w:r>
        <w:rPr>
          <w:rFonts w:ascii="Cambria" w:hAnsi="Cambria"/>
          <w:sz w:val="20"/>
          <w:szCs w:val="20"/>
          <w:lang w:val="en-US"/>
        </w:rPr>
        <w:t>He argued that the evidence obtained in that search was valid insofar as the police agents identified the following</w:t>
      </w:r>
      <w:r w:rsidR="00F474A4" w:rsidRPr="00A83E9D">
        <w:rPr>
          <w:rFonts w:ascii="Cambria" w:hAnsi="Cambria"/>
          <w:sz w:val="20"/>
          <w:szCs w:val="20"/>
          <w:lang w:val="en-US"/>
        </w:rPr>
        <w:t xml:space="preserve">: </w:t>
      </w:r>
      <w:r>
        <w:rPr>
          <w:rFonts w:ascii="Cambria" w:hAnsi="Cambria"/>
          <w:sz w:val="20"/>
          <w:szCs w:val="20"/>
          <w:lang w:val="en-US"/>
        </w:rPr>
        <w:t>(</w:t>
      </w:r>
      <w:proofErr w:type="spellStart"/>
      <w:r w:rsidR="00F474A4" w:rsidRPr="00A83E9D">
        <w:rPr>
          <w:rFonts w:ascii="Cambria" w:hAnsi="Cambria"/>
          <w:sz w:val="20"/>
          <w:szCs w:val="20"/>
          <w:lang w:val="en-US"/>
        </w:rPr>
        <w:t>i</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based on his behavior and apparel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Pr>
          <w:rFonts w:ascii="Cambria" w:hAnsi="Cambria"/>
          <w:sz w:val="20"/>
          <w:szCs w:val="20"/>
          <w:lang w:val="en-US"/>
        </w:rPr>
        <w:t>did not appear to be from the area; and (</w:t>
      </w:r>
      <w:r w:rsidR="00F474A4" w:rsidRPr="00A83E9D">
        <w:rPr>
          <w:rFonts w:ascii="Cambria" w:hAnsi="Cambria"/>
          <w:sz w:val="20"/>
          <w:szCs w:val="20"/>
          <w:lang w:val="en-US"/>
        </w:rPr>
        <w:t xml:space="preserve">ii) </w:t>
      </w:r>
      <w:r>
        <w:rPr>
          <w:rFonts w:ascii="Cambria" w:hAnsi="Cambria"/>
          <w:sz w:val="20"/>
          <w:szCs w:val="20"/>
          <w:lang w:val="en-US"/>
        </w:rPr>
        <w:t xml:space="preserve">when asked what he was doing in the area, he made reference to looking for </w:t>
      </w:r>
      <w:r w:rsidR="00755218">
        <w:rPr>
          <w:rFonts w:ascii="Cambria" w:hAnsi="Cambria"/>
          <w:sz w:val="20"/>
          <w:szCs w:val="20"/>
          <w:lang w:val="en-US"/>
        </w:rPr>
        <w:t>some replacement electronics</w:t>
      </w:r>
      <w:r w:rsidR="00F474A4" w:rsidRPr="00A83E9D">
        <w:rPr>
          <w:rFonts w:ascii="Cambria" w:hAnsi="Cambria"/>
          <w:sz w:val="20"/>
          <w:szCs w:val="20"/>
          <w:lang w:val="en-US"/>
        </w:rPr>
        <w:t xml:space="preserve">, </w:t>
      </w:r>
      <w:r w:rsidR="00755218">
        <w:rPr>
          <w:rFonts w:ascii="Cambria" w:hAnsi="Cambria"/>
          <w:sz w:val="20"/>
          <w:szCs w:val="20"/>
          <w:lang w:val="en-US"/>
        </w:rPr>
        <w:t>not</w:t>
      </w:r>
      <w:r w:rsidR="00884101">
        <w:rPr>
          <w:rFonts w:ascii="Cambria" w:hAnsi="Cambria"/>
          <w:sz w:val="20"/>
          <w:szCs w:val="20"/>
          <w:lang w:val="en-US"/>
        </w:rPr>
        <w:t xml:space="preserve"> something</w:t>
      </w:r>
      <w:r w:rsidR="00755218">
        <w:rPr>
          <w:rFonts w:ascii="Cambria" w:hAnsi="Cambria"/>
          <w:sz w:val="20"/>
          <w:szCs w:val="20"/>
          <w:lang w:val="en-US"/>
        </w:rPr>
        <w:t xml:space="preserve"> one might obtain in the </w:t>
      </w:r>
      <w:r w:rsidR="00560D6C">
        <w:rPr>
          <w:rFonts w:ascii="Cambria" w:hAnsi="Cambria"/>
          <w:sz w:val="20"/>
          <w:szCs w:val="20"/>
          <w:lang w:val="en-US"/>
        </w:rPr>
        <w:t xml:space="preserve">neighboring </w:t>
      </w:r>
      <w:r w:rsidR="00755218">
        <w:rPr>
          <w:rFonts w:ascii="Cambria" w:hAnsi="Cambria"/>
          <w:sz w:val="20"/>
          <w:szCs w:val="20"/>
          <w:lang w:val="en-US"/>
        </w:rPr>
        <w:t>commercial establishments, for it was a</w:t>
      </w:r>
      <w:r w:rsidR="00560D6C">
        <w:rPr>
          <w:rFonts w:ascii="Cambria" w:hAnsi="Cambria"/>
          <w:sz w:val="20"/>
          <w:szCs w:val="20"/>
          <w:lang w:val="en-US"/>
        </w:rPr>
        <w:t xml:space="preserve"> poor area</w:t>
      </w:r>
      <w:r w:rsidR="00755218">
        <w:rPr>
          <w:rFonts w:ascii="Cambria" w:hAnsi="Cambria"/>
          <w:sz w:val="20"/>
          <w:szCs w:val="20"/>
          <w:lang w:val="en-US"/>
        </w:rPr>
        <w:t>.</w:t>
      </w:r>
      <w:r w:rsidR="00F474A4" w:rsidRPr="00A83E9D">
        <w:rPr>
          <w:rStyle w:val="FootnoteReference"/>
          <w:rFonts w:ascii="Cambria" w:hAnsi="Cambria"/>
          <w:sz w:val="20"/>
          <w:szCs w:val="20"/>
          <w:lang w:val="en-US"/>
        </w:rPr>
        <w:footnoteReference w:id="73"/>
      </w:r>
      <w:r w:rsidR="00F474A4" w:rsidRPr="00A83E9D">
        <w:rPr>
          <w:rFonts w:ascii="Cambria" w:hAnsi="Cambria"/>
          <w:sz w:val="20"/>
          <w:szCs w:val="20"/>
          <w:lang w:val="en-US"/>
        </w:rPr>
        <w:t xml:space="preserve"> </w:t>
      </w:r>
    </w:p>
    <w:p w14:paraId="33AB6CC6" w14:textId="77777777" w:rsidR="00F474A4" w:rsidRPr="00A83E9D" w:rsidRDefault="00F474A4" w:rsidP="00F474A4">
      <w:pPr>
        <w:ind w:left="720"/>
        <w:jc w:val="both"/>
        <w:rPr>
          <w:rFonts w:ascii="Cambria" w:hAnsi="Cambria"/>
          <w:sz w:val="20"/>
          <w:szCs w:val="20"/>
        </w:rPr>
      </w:pPr>
    </w:p>
    <w:p w14:paraId="5278AE23" w14:textId="77777777" w:rsidR="00F474A4" w:rsidRPr="00A83E9D" w:rsidRDefault="00755218" w:rsidP="00F474A4">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October </w:t>
      </w:r>
      <w:r w:rsidR="00F474A4" w:rsidRPr="00A83E9D">
        <w:rPr>
          <w:rFonts w:ascii="Cambria" w:hAnsi="Cambria"/>
          <w:sz w:val="20"/>
          <w:szCs w:val="20"/>
          <w:lang w:val="en-US"/>
        </w:rPr>
        <w:t>3</w:t>
      </w:r>
      <w:r>
        <w:rPr>
          <w:rFonts w:ascii="Cambria" w:hAnsi="Cambria"/>
          <w:sz w:val="20"/>
          <w:szCs w:val="20"/>
          <w:lang w:val="en-US"/>
        </w:rPr>
        <w:t>,</w:t>
      </w:r>
      <w:r w:rsidR="00F474A4" w:rsidRPr="00A83E9D">
        <w:rPr>
          <w:rFonts w:ascii="Cambria" w:hAnsi="Cambria"/>
          <w:sz w:val="20"/>
          <w:szCs w:val="20"/>
          <w:lang w:val="en-US"/>
        </w:rPr>
        <w:t xml:space="preserve"> 2002</w:t>
      </w:r>
      <w:r>
        <w:rPr>
          <w:rFonts w:ascii="Cambria" w:hAnsi="Cambria"/>
          <w:sz w:val="20"/>
          <w:szCs w:val="20"/>
          <w:lang w:val="en-US"/>
        </w:rPr>
        <w:t>, the Supreme Court of Justice of the Nation overturned the judgment of the Federal Court of Appeals for Criminal Cassation.</w:t>
      </w:r>
      <w:r w:rsidR="00F474A4" w:rsidRPr="00A83E9D">
        <w:rPr>
          <w:rStyle w:val="FootnoteReference"/>
          <w:rFonts w:ascii="Cambria" w:hAnsi="Cambria"/>
          <w:sz w:val="20"/>
          <w:szCs w:val="20"/>
          <w:lang w:val="en-US"/>
        </w:rPr>
        <w:footnoteReference w:id="74"/>
      </w:r>
      <w:r w:rsidR="00F474A4" w:rsidRPr="00A83E9D">
        <w:rPr>
          <w:rFonts w:ascii="Cambria" w:hAnsi="Cambria"/>
          <w:sz w:val="20"/>
          <w:szCs w:val="20"/>
          <w:lang w:val="en-US"/>
        </w:rPr>
        <w:t xml:space="preserve"> </w:t>
      </w:r>
      <w:r>
        <w:rPr>
          <w:rFonts w:ascii="Cambria" w:hAnsi="Cambria"/>
          <w:sz w:val="20"/>
          <w:szCs w:val="20"/>
          <w:lang w:val="en-US"/>
        </w:rPr>
        <w:t xml:space="preserve">The Supreme Court considered that the concepts of </w:t>
      </w:r>
      <w:r w:rsidR="00F474A4" w:rsidRPr="00A83E9D">
        <w:rPr>
          <w:rFonts w:ascii="Cambria" w:hAnsi="Cambria"/>
          <w:sz w:val="20"/>
          <w:szCs w:val="20"/>
          <w:lang w:val="en-US"/>
        </w:rPr>
        <w:t>“probable</w:t>
      </w:r>
      <w:r>
        <w:rPr>
          <w:rFonts w:ascii="Cambria" w:hAnsi="Cambria"/>
          <w:sz w:val="20"/>
          <w:szCs w:val="20"/>
          <w:lang w:val="en-US"/>
        </w:rPr>
        <w:t xml:space="preserve"> cause</w:t>
      </w:r>
      <w:r w:rsidR="00F474A4" w:rsidRPr="00A83E9D">
        <w:rPr>
          <w:rFonts w:ascii="Cambria" w:hAnsi="Cambria"/>
          <w:sz w:val="20"/>
          <w:szCs w:val="20"/>
          <w:lang w:val="en-US"/>
        </w:rPr>
        <w:t xml:space="preserve">” </w:t>
      </w:r>
      <w:r>
        <w:rPr>
          <w:rFonts w:ascii="Cambria" w:hAnsi="Cambria"/>
          <w:sz w:val="20"/>
          <w:szCs w:val="20"/>
          <w:lang w:val="en-US"/>
        </w:rPr>
        <w:t xml:space="preserve">and </w:t>
      </w:r>
      <w:r w:rsidR="00F474A4" w:rsidRPr="00A83E9D">
        <w:rPr>
          <w:rFonts w:ascii="Cambria" w:hAnsi="Cambria"/>
          <w:sz w:val="20"/>
          <w:szCs w:val="20"/>
          <w:lang w:val="en-US"/>
        </w:rPr>
        <w:t>“</w:t>
      </w:r>
      <w:r>
        <w:rPr>
          <w:rFonts w:ascii="Cambria" w:hAnsi="Cambria"/>
          <w:sz w:val="20"/>
          <w:szCs w:val="20"/>
          <w:lang w:val="en-US"/>
        </w:rPr>
        <w:t>reasonable suspicion</w:t>
      </w:r>
      <w:r w:rsidR="00F474A4" w:rsidRPr="00A83E9D">
        <w:rPr>
          <w:rFonts w:ascii="Cambria" w:hAnsi="Cambria"/>
          <w:sz w:val="20"/>
          <w:szCs w:val="20"/>
          <w:lang w:val="en-US"/>
        </w:rPr>
        <w:t xml:space="preserve">” </w:t>
      </w:r>
      <w:r>
        <w:rPr>
          <w:rFonts w:ascii="Cambria" w:hAnsi="Cambria"/>
          <w:sz w:val="20"/>
          <w:szCs w:val="20"/>
          <w:lang w:val="en-US"/>
        </w:rPr>
        <w:t xml:space="preserve">used by the Supreme Court of the United States </w:t>
      </w:r>
      <w:r w:rsidR="00560D6C">
        <w:rPr>
          <w:rFonts w:ascii="Cambria" w:hAnsi="Cambria"/>
          <w:sz w:val="20"/>
          <w:szCs w:val="20"/>
          <w:lang w:val="en-US"/>
        </w:rPr>
        <w:t>apply</w:t>
      </w:r>
      <w:r>
        <w:rPr>
          <w:rFonts w:ascii="Cambria" w:hAnsi="Cambria"/>
          <w:sz w:val="20"/>
          <w:szCs w:val="20"/>
          <w:lang w:val="en-US"/>
        </w:rPr>
        <w:t xml:space="preserve"> to this matte</w:t>
      </w:r>
      <w:r w:rsidR="00884101">
        <w:rPr>
          <w:rFonts w:ascii="Cambria" w:hAnsi="Cambria"/>
          <w:sz w:val="20"/>
          <w:szCs w:val="20"/>
          <w:lang w:val="en-US"/>
        </w:rPr>
        <w:t>r, insofar as the identity check</w:t>
      </w:r>
      <w:r>
        <w:rPr>
          <w:rFonts w:ascii="Cambria" w:hAnsi="Cambria"/>
          <w:sz w:val="20"/>
          <w:szCs w:val="20"/>
          <w:lang w:val="en-US"/>
        </w:rPr>
        <w:t xml:space="preserve"> procedure performed by the police officers was legitimate, as they had been commissioned to perform the function of preventing crime in the radius of their jurisdiction.</w:t>
      </w:r>
      <w:r w:rsidR="00F474A4" w:rsidRPr="00A83E9D">
        <w:rPr>
          <w:rStyle w:val="FootnoteReference"/>
          <w:rFonts w:ascii="Cambria" w:hAnsi="Cambria"/>
          <w:sz w:val="20"/>
          <w:szCs w:val="20"/>
          <w:lang w:val="en-US"/>
        </w:rPr>
        <w:footnoteReference w:id="75"/>
      </w:r>
      <w:r w:rsidR="00F474A4" w:rsidRPr="00A83E9D">
        <w:rPr>
          <w:rFonts w:ascii="Cambria" w:hAnsi="Cambria"/>
          <w:sz w:val="20"/>
          <w:szCs w:val="20"/>
          <w:lang w:val="en-US"/>
        </w:rPr>
        <w:t xml:space="preserve"> </w:t>
      </w:r>
      <w:r>
        <w:rPr>
          <w:rFonts w:ascii="Cambria" w:hAnsi="Cambria"/>
          <w:sz w:val="20"/>
          <w:szCs w:val="20"/>
          <w:lang w:val="en-US"/>
        </w:rPr>
        <w:t xml:space="preserve">The Supreme Court considered that it was in the performance of these functions that Mr. </w:t>
      </w:r>
      <w:proofErr w:type="spellStart"/>
      <w:r w:rsidR="00F474A4" w:rsidRPr="00A83E9D">
        <w:rPr>
          <w:rFonts w:ascii="Cambria" w:hAnsi="Cambria"/>
          <w:sz w:val="20"/>
          <w:szCs w:val="20"/>
          <w:lang w:val="en-US"/>
        </w:rPr>
        <w:t>Tumbeiro</w:t>
      </w:r>
      <w:proofErr w:type="spellEnd"/>
      <w:r w:rsidR="00F474A4" w:rsidRPr="00A83E9D">
        <w:rPr>
          <w:rFonts w:ascii="Cambria" w:hAnsi="Cambria"/>
          <w:sz w:val="20"/>
          <w:szCs w:val="20"/>
          <w:lang w:val="en-US"/>
        </w:rPr>
        <w:t xml:space="preserve"> </w:t>
      </w:r>
      <w:r>
        <w:rPr>
          <w:rFonts w:ascii="Cambria" w:hAnsi="Cambria"/>
          <w:sz w:val="20"/>
          <w:szCs w:val="20"/>
          <w:lang w:val="en-US"/>
        </w:rPr>
        <w:t xml:space="preserve">was intercepted due to his suspicious attitude, which was corroborated </w:t>
      </w:r>
      <w:r w:rsidR="00560D6C">
        <w:rPr>
          <w:rFonts w:ascii="Cambria" w:hAnsi="Cambria"/>
          <w:sz w:val="20"/>
          <w:szCs w:val="20"/>
          <w:lang w:val="en-US"/>
        </w:rPr>
        <w:t xml:space="preserve">when </w:t>
      </w:r>
      <w:r>
        <w:rPr>
          <w:rFonts w:ascii="Cambria" w:hAnsi="Cambria"/>
          <w:sz w:val="20"/>
          <w:szCs w:val="20"/>
          <w:lang w:val="en-US"/>
        </w:rPr>
        <w:t>narcotics were found on his person.</w:t>
      </w:r>
      <w:r w:rsidR="00F474A4" w:rsidRPr="00A83E9D">
        <w:rPr>
          <w:rStyle w:val="FootnoteReference"/>
          <w:rFonts w:ascii="Cambria" w:hAnsi="Cambria"/>
          <w:sz w:val="20"/>
          <w:szCs w:val="20"/>
          <w:lang w:val="en-US"/>
        </w:rPr>
        <w:footnoteReference w:id="76"/>
      </w:r>
    </w:p>
    <w:p w14:paraId="7ABD561E" w14:textId="77777777" w:rsidR="00DE02AA" w:rsidRPr="00A83E9D" w:rsidRDefault="00DE02AA" w:rsidP="00F474A4"/>
    <w:p w14:paraId="4C9DC232" w14:textId="77777777" w:rsidR="00DE02AA" w:rsidRPr="001D1232" w:rsidRDefault="00DE02AA" w:rsidP="00DE02AA">
      <w:pPr>
        <w:pStyle w:val="Heading1"/>
      </w:pPr>
      <w:bookmarkStart w:id="39" w:name="_Toc480636772"/>
      <w:bookmarkStart w:id="40" w:name="_Toc496359086"/>
      <w:bookmarkStart w:id="41" w:name="_Toc497896923"/>
      <w:r>
        <w:t>LEGAL ANALYSIS</w:t>
      </w:r>
      <w:bookmarkEnd w:id="41"/>
      <w:r>
        <w:t xml:space="preserve"> </w:t>
      </w:r>
      <w:bookmarkEnd w:id="39"/>
      <w:bookmarkEnd w:id="40"/>
    </w:p>
    <w:p w14:paraId="5B2FD766" w14:textId="77777777" w:rsidR="00DE02AA" w:rsidRPr="001D1232" w:rsidRDefault="00DE02AA" w:rsidP="00DE02AA">
      <w:pPr>
        <w:rPr>
          <w:rFonts w:ascii="Cambria" w:hAnsi="Cambria"/>
          <w:b/>
          <w:sz w:val="20"/>
          <w:szCs w:val="20"/>
        </w:rPr>
      </w:pPr>
      <w:bookmarkStart w:id="42" w:name="_Toc413687836"/>
    </w:p>
    <w:p w14:paraId="556738B9" w14:textId="77777777" w:rsidR="00DE02AA" w:rsidRPr="001D1232" w:rsidRDefault="00DE02AA" w:rsidP="00DE02AA">
      <w:pPr>
        <w:pStyle w:val="Heading2"/>
        <w:keepNext/>
        <w:numPr>
          <w:ilvl w:val="0"/>
          <w:numId w:val="108"/>
        </w:numPr>
      </w:pPr>
      <w:bookmarkStart w:id="43" w:name="_Toc346449091"/>
      <w:bookmarkStart w:id="44" w:name="_Toc474398498"/>
      <w:bookmarkStart w:id="45" w:name="_Toc480636774"/>
      <w:bookmarkStart w:id="46" w:name="_Toc496359087"/>
      <w:bookmarkStart w:id="47" w:name="_Toc497896924"/>
      <w:r>
        <w:t>Rights to personal liberty, privacy</w:t>
      </w:r>
      <w:bookmarkEnd w:id="43"/>
      <w:bookmarkEnd w:id="44"/>
      <w:bookmarkEnd w:id="45"/>
      <w:r w:rsidRPr="001D1232">
        <w:rPr>
          <w:rStyle w:val="FootnoteReference"/>
        </w:rPr>
        <w:footnoteReference w:id="77"/>
      </w:r>
      <w:r w:rsidRPr="001D1232">
        <w:t xml:space="preserve">, </w:t>
      </w:r>
      <w:r>
        <w:t xml:space="preserve">judicial guarantees, and judicial protection </w:t>
      </w:r>
      <w:r w:rsidRPr="001D1232">
        <w:t>(</w:t>
      </w:r>
      <w:r>
        <w:t xml:space="preserve">Articles </w:t>
      </w:r>
      <w:r w:rsidRPr="001D1232">
        <w:t>7</w:t>
      </w:r>
      <w:r w:rsidRPr="001D1232">
        <w:rPr>
          <w:rStyle w:val="FootnoteReference"/>
        </w:rPr>
        <w:footnoteReference w:id="78"/>
      </w:r>
      <w:r>
        <w:t>, 8(</w:t>
      </w:r>
      <w:r w:rsidRPr="001D1232">
        <w:t>1</w:t>
      </w:r>
      <w:r>
        <w:t>)</w:t>
      </w:r>
      <w:r w:rsidRPr="001D1232">
        <w:rPr>
          <w:rStyle w:val="FootnoteReference"/>
        </w:rPr>
        <w:footnoteReference w:id="79"/>
      </w:r>
      <w:r>
        <w:t xml:space="preserve">, 11, and </w:t>
      </w:r>
      <w:r w:rsidRPr="001D1232">
        <w:t>25</w:t>
      </w:r>
      <w:r w:rsidRPr="001D1232">
        <w:rPr>
          <w:rStyle w:val="FootnoteReference"/>
          <w:b w:val="0"/>
        </w:rPr>
        <w:footnoteReference w:id="80"/>
      </w:r>
      <w:r w:rsidRPr="001D1232">
        <w:t xml:space="preserve"> </w:t>
      </w:r>
      <w:r>
        <w:t>of the American Convention in relation to Articles 1(</w:t>
      </w:r>
      <w:r w:rsidRPr="001D1232">
        <w:t>1</w:t>
      </w:r>
      <w:r>
        <w:t>) and 2 of the same instrument</w:t>
      </w:r>
      <w:r w:rsidRPr="001D1232">
        <w:t>)</w:t>
      </w:r>
      <w:bookmarkEnd w:id="42"/>
      <w:bookmarkEnd w:id="46"/>
      <w:bookmarkEnd w:id="47"/>
    </w:p>
    <w:p w14:paraId="73F7F4C9" w14:textId="77777777" w:rsidR="00DE02AA" w:rsidRPr="001D1232" w:rsidRDefault="00DE02AA" w:rsidP="00DE02AA">
      <w:pPr>
        <w:ind w:left="720"/>
        <w:jc w:val="both"/>
        <w:rPr>
          <w:rFonts w:ascii="Cambria" w:hAnsi="Cambria"/>
          <w:sz w:val="20"/>
          <w:szCs w:val="20"/>
        </w:rPr>
      </w:pPr>
    </w:p>
    <w:p w14:paraId="0A76AC39"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cs="Arial"/>
          <w:sz w:val="20"/>
          <w:szCs w:val="20"/>
          <w:lang w:val="en-US"/>
        </w:rPr>
        <w:lastRenderedPageBreak/>
        <w:t>Regarding the right to not be deprived of liberty illegally, established at Article 7(</w:t>
      </w:r>
      <w:r w:rsidRPr="001D1232">
        <w:rPr>
          <w:rFonts w:ascii="Cambria" w:hAnsi="Cambria" w:cs="Arial"/>
          <w:sz w:val="20"/>
          <w:szCs w:val="20"/>
          <w:lang w:val="en-US"/>
        </w:rPr>
        <w:t>2</w:t>
      </w:r>
      <w:r>
        <w:rPr>
          <w:rFonts w:ascii="Cambria" w:hAnsi="Cambria" w:cs="Arial"/>
          <w:sz w:val="20"/>
          <w:szCs w:val="20"/>
          <w:lang w:val="en-US"/>
        </w:rPr>
        <w:t xml:space="preserve">) of the Convention, the Inter-American Court has indicated that it </w:t>
      </w:r>
      <w:r w:rsidRPr="001D1232">
        <w:rPr>
          <w:rFonts w:ascii="Cambria" w:hAnsi="Cambria" w:cs="Arial"/>
          <w:sz w:val="20"/>
          <w:szCs w:val="20"/>
          <w:lang w:val="en-US"/>
        </w:rPr>
        <w:t>“</w:t>
      </w:r>
      <w:r w:rsidRPr="006A62AC">
        <w:rPr>
          <w:rFonts w:ascii="Cambria" w:hAnsi="Cambria" w:cs="Arial"/>
          <w:sz w:val="20"/>
          <w:szCs w:val="20"/>
          <w:lang w:val="en-US"/>
        </w:rPr>
        <w:t>recognizes the main guarantee of the right to physical liberty: the legal exception, according to which the right to personal liberty can only be affected by a law</w:t>
      </w:r>
      <w:r>
        <w:rPr>
          <w:rFonts w:ascii="Cambria" w:hAnsi="Cambria"/>
          <w:sz w:val="20"/>
          <w:szCs w:val="20"/>
          <w:lang w:val="en-US"/>
        </w:rPr>
        <w:t>.</w:t>
      </w:r>
      <w:r w:rsidRPr="001D1232">
        <w:rPr>
          <w:rFonts w:ascii="Cambria" w:hAnsi="Cambria"/>
          <w:sz w:val="20"/>
          <w:szCs w:val="20"/>
          <w:lang w:val="en-US"/>
        </w:rPr>
        <w:t>”</w:t>
      </w:r>
      <w:r w:rsidRPr="001D1232">
        <w:rPr>
          <w:rStyle w:val="FootnoteReference"/>
          <w:rFonts w:ascii="Cambria" w:eastAsia="MS Mincho" w:hAnsi="Cambria"/>
          <w:sz w:val="20"/>
          <w:szCs w:val="20"/>
          <w:lang w:val="en-US"/>
        </w:rPr>
        <w:footnoteReference w:id="81"/>
      </w:r>
      <w:r>
        <w:rPr>
          <w:rFonts w:ascii="Cambria" w:hAnsi="Cambria"/>
          <w:sz w:val="20"/>
          <w:szCs w:val="20"/>
          <w:lang w:val="en-US"/>
        </w:rPr>
        <w:t xml:space="preserve"> The legal exception that is required to affect the right to personal liberty as per Article 7(</w:t>
      </w:r>
      <w:r w:rsidRPr="001D1232">
        <w:rPr>
          <w:rFonts w:ascii="Cambria" w:hAnsi="Cambria"/>
          <w:sz w:val="20"/>
          <w:szCs w:val="20"/>
          <w:lang w:val="en-US"/>
        </w:rPr>
        <w:t>2</w:t>
      </w:r>
      <w:r>
        <w:rPr>
          <w:rFonts w:ascii="Cambria" w:hAnsi="Cambria"/>
          <w:sz w:val="20"/>
          <w:szCs w:val="20"/>
          <w:lang w:val="en-US"/>
        </w:rPr>
        <w:t>) of the Convention is that it must necessarily be accompanied by the principle that only legally defined conduct be punished</w:t>
      </w:r>
      <w:r w:rsidRPr="001D1232">
        <w:rPr>
          <w:rFonts w:ascii="Cambria" w:hAnsi="Cambria"/>
          <w:sz w:val="20"/>
          <w:szCs w:val="20"/>
          <w:lang w:val="en-US"/>
        </w:rPr>
        <w:t xml:space="preserve">, </w:t>
      </w:r>
      <w:r>
        <w:rPr>
          <w:rFonts w:ascii="Cambria" w:hAnsi="Cambria"/>
          <w:sz w:val="20"/>
          <w:szCs w:val="20"/>
          <w:lang w:val="en-US"/>
        </w:rPr>
        <w:t>which requires states to establish, as concretely as possible, and “beforehand,” the “causes” and “conditions” of the deprivation of physical liberty. Accordingly, any requirement established in domestic law that does not meet with compliance on depriving a person of his or her liberty will result in that deprivation being illegal and at odds with the American Convention.</w:t>
      </w:r>
      <w:r w:rsidRPr="001D1232">
        <w:rPr>
          <w:rStyle w:val="FootnoteReference"/>
          <w:rFonts w:ascii="Cambria" w:eastAsia="MS Mincho" w:hAnsi="Cambria"/>
          <w:sz w:val="20"/>
          <w:szCs w:val="20"/>
          <w:lang w:val="en-US"/>
        </w:rPr>
        <w:footnoteReference w:id="82"/>
      </w:r>
    </w:p>
    <w:p w14:paraId="05B9BB16" w14:textId="77777777" w:rsidR="00DE02AA" w:rsidRPr="001D1232" w:rsidRDefault="00DE02AA" w:rsidP="00DE02AA">
      <w:pPr>
        <w:suppressAutoHyphens/>
        <w:jc w:val="both"/>
        <w:rPr>
          <w:rFonts w:ascii="Cambria" w:hAnsi="Cambria"/>
          <w:sz w:val="20"/>
          <w:szCs w:val="20"/>
        </w:rPr>
      </w:pPr>
    </w:p>
    <w:p w14:paraId="414AED32"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IACHR emphasizes that incorrect procedures by the police forces is one of the main threats to individual liberty and security.</w:t>
      </w:r>
      <w:r w:rsidRPr="001D1232">
        <w:rPr>
          <w:rStyle w:val="FootnoteReference"/>
          <w:rFonts w:ascii="Cambria" w:eastAsia="Trebuchet MS" w:hAnsi="Cambria"/>
          <w:sz w:val="20"/>
          <w:szCs w:val="20"/>
          <w:lang w:val="en-US"/>
        </w:rPr>
        <w:footnoteReference w:id="83"/>
      </w:r>
      <w:r w:rsidRPr="001D1232">
        <w:rPr>
          <w:rFonts w:ascii="Cambria" w:hAnsi="Cambria"/>
          <w:sz w:val="20"/>
          <w:szCs w:val="20"/>
          <w:lang w:val="en-US"/>
        </w:rPr>
        <w:t xml:space="preserve"> </w:t>
      </w:r>
      <w:r>
        <w:rPr>
          <w:rFonts w:ascii="Cambria" w:hAnsi="Cambria"/>
          <w:sz w:val="20"/>
          <w:szCs w:val="20"/>
          <w:lang w:val="en-US"/>
        </w:rPr>
        <w:t>For this reason states must adopt measures aimed at ensuring that the police agents perform their functions in a manner that guarantees human rights, and in particular that arrests are carried out in keeping with the domestic legislation</w:t>
      </w:r>
      <w:r w:rsidRPr="001D1232">
        <w:rPr>
          <w:rFonts w:ascii="Cambria" w:hAnsi="Cambria"/>
          <w:sz w:val="20"/>
          <w:szCs w:val="20"/>
          <w:lang w:val="en-US"/>
        </w:rPr>
        <w:t xml:space="preserve">. </w:t>
      </w:r>
      <w:r>
        <w:rPr>
          <w:rFonts w:ascii="Cambria" w:hAnsi="Cambria"/>
          <w:sz w:val="20"/>
          <w:szCs w:val="20"/>
          <w:lang w:val="en-US"/>
        </w:rPr>
        <w:t>The Commission recalls that this does not mean limiting police activity legitimately aimed at protecting citizen security as an expression of the common good in a democratic society.</w:t>
      </w:r>
      <w:r w:rsidRPr="001D1232">
        <w:rPr>
          <w:rStyle w:val="FootnoteReference"/>
          <w:rFonts w:ascii="Cambria" w:eastAsia="Trebuchet MS" w:hAnsi="Cambria"/>
          <w:sz w:val="20"/>
          <w:szCs w:val="20"/>
          <w:lang w:val="en-US"/>
        </w:rPr>
        <w:footnoteReference w:id="84"/>
      </w:r>
    </w:p>
    <w:p w14:paraId="727A6576" w14:textId="77777777" w:rsidR="00DE02AA" w:rsidRPr="001D1232" w:rsidRDefault="00DE02AA" w:rsidP="00DE02AA">
      <w:pPr>
        <w:jc w:val="both"/>
        <w:rPr>
          <w:rFonts w:ascii="Cambria" w:hAnsi="Cambria"/>
          <w:sz w:val="20"/>
          <w:szCs w:val="20"/>
        </w:rPr>
      </w:pPr>
    </w:p>
    <w:p w14:paraId="5C9358F3"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Calibri" w:hAnsi="Cambria"/>
          <w:sz w:val="20"/>
          <w:szCs w:val="20"/>
          <w:lang w:val="en-US"/>
        </w:rPr>
      </w:pPr>
      <w:r>
        <w:rPr>
          <w:rFonts w:ascii="Cambria" w:hAnsi="Cambria"/>
          <w:sz w:val="20"/>
          <w:szCs w:val="20"/>
          <w:lang w:val="en-US"/>
        </w:rPr>
        <w:t xml:space="preserve">The European Court of Human Rights </w:t>
      </w:r>
      <w:r w:rsidRPr="001D1232">
        <w:rPr>
          <w:rFonts w:ascii="Cambria" w:hAnsi="Cambria" w:cs="TimesNewRomanPSMT"/>
          <w:sz w:val="20"/>
          <w:szCs w:val="20"/>
          <w:lang w:val="en-US"/>
        </w:rPr>
        <w:t>(</w:t>
      </w:r>
      <w:r>
        <w:rPr>
          <w:rFonts w:ascii="Cambria" w:hAnsi="Cambria" w:cs="TimesNewRomanPSMT"/>
          <w:sz w:val="20"/>
          <w:szCs w:val="20"/>
          <w:lang w:val="en-US"/>
        </w:rPr>
        <w:t xml:space="preserve">hereinafter </w:t>
      </w:r>
      <w:r w:rsidRPr="001D1232">
        <w:rPr>
          <w:rFonts w:ascii="Cambria" w:hAnsi="Cambria" w:cs="TimesNewRomanPSMT"/>
          <w:sz w:val="20"/>
          <w:szCs w:val="20"/>
          <w:lang w:val="en-US"/>
        </w:rPr>
        <w:t>“</w:t>
      </w:r>
      <w:r>
        <w:rPr>
          <w:rFonts w:ascii="Cambria" w:hAnsi="Cambria" w:cs="TimesNewRomanPSMT"/>
          <w:sz w:val="20"/>
          <w:szCs w:val="20"/>
          <w:lang w:val="en-US"/>
        </w:rPr>
        <w:t>the European Court</w:t>
      </w:r>
      <w:r w:rsidRPr="001D1232">
        <w:rPr>
          <w:rFonts w:ascii="Cambria" w:hAnsi="Cambria" w:cs="TimesNewRomanPSMT"/>
          <w:sz w:val="20"/>
          <w:szCs w:val="20"/>
          <w:lang w:val="en-US"/>
        </w:rPr>
        <w:t>”) ha</w:t>
      </w:r>
      <w:r>
        <w:rPr>
          <w:rFonts w:ascii="Cambria" w:hAnsi="Cambria" w:cs="TimesNewRomanPSMT"/>
          <w:sz w:val="20"/>
          <w:szCs w:val="20"/>
          <w:lang w:val="en-US"/>
        </w:rPr>
        <w:t>s</w:t>
      </w:r>
      <w:r w:rsidRPr="001D1232">
        <w:rPr>
          <w:rFonts w:ascii="Cambria" w:hAnsi="Cambria" w:cs="TimesNewRomanPSMT"/>
          <w:sz w:val="20"/>
          <w:szCs w:val="20"/>
          <w:lang w:val="en-US"/>
        </w:rPr>
        <w:t xml:space="preserve"> indica</w:t>
      </w:r>
      <w:r>
        <w:rPr>
          <w:rFonts w:ascii="Cambria" w:hAnsi="Cambria" w:cs="TimesNewRomanPSMT"/>
          <w:sz w:val="20"/>
          <w:szCs w:val="20"/>
          <w:lang w:val="en-US"/>
        </w:rPr>
        <w:t>ted that in relation to the deprivation of liberty, it is particularly important to heed the general principle of juridical security, which implies that the conditions that uphold the deprivation of liberty under domestic law should be clearly defined and that the application of the legislation itself should be foreseeable. According to the same Court, the standard of legality of the European Convention requires that the legislation be sufficiently precise so as to enable the person to foresee the consequences that a specific act may imply to a degree that is reasonable in the circumstances.</w:t>
      </w:r>
      <w:r w:rsidRPr="001D1232">
        <w:rPr>
          <w:rStyle w:val="FootnoteReference"/>
          <w:rFonts w:ascii="Cambria" w:eastAsia="Batang" w:hAnsi="Cambria" w:cs="TimesNewRomanPSMT"/>
          <w:sz w:val="20"/>
          <w:szCs w:val="20"/>
          <w:lang w:val="en-US"/>
        </w:rPr>
        <w:footnoteReference w:id="85"/>
      </w:r>
    </w:p>
    <w:p w14:paraId="1BC85080" w14:textId="77777777" w:rsidR="00DE02AA" w:rsidRPr="001D1232" w:rsidRDefault="00DE02AA" w:rsidP="00DE02AA">
      <w:pPr>
        <w:jc w:val="both"/>
        <w:rPr>
          <w:rFonts w:ascii="Cambria" w:eastAsia="Calibri" w:hAnsi="Cambria"/>
          <w:sz w:val="20"/>
          <w:szCs w:val="20"/>
        </w:rPr>
      </w:pPr>
    </w:p>
    <w:p w14:paraId="6EC4F964"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cs="Arial"/>
          <w:sz w:val="20"/>
          <w:szCs w:val="20"/>
          <w:lang w:val="en-US"/>
        </w:rPr>
        <w:t>As regards Article 7(</w:t>
      </w:r>
      <w:r w:rsidRPr="001D1232">
        <w:rPr>
          <w:rFonts w:ascii="Cambria" w:hAnsi="Cambria" w:cs="Arial"/>
          <w:sz w:val="20"/>
          <w:szCs w:val="20"/>
          <w:lang w:val="en-US"/>
        </w:rPr>
        <w:t>3</w:t>
      </w:r>
      <w:r>
        <w:rPr>
          <w:rFonts w:ascii="Cambria" w:hAnsi="Cambria" w:cs="Arial"/>
          <w:sz w:val="20"/>
          <w:szCs w:val="20"/>
          <w:lang w:val="en-US"/>
        </w:rPr>
        <w:t>)</w:t>
      </w:r>
      <w:r w:rsidRPr="001D1232">
        <w:rPr>
          <w:rFonts w:ascii="Cambria" w:hAnsi="Cambria" w:cs="Arial"/>
          <w:sz w:val="20"/>
          <w:szCs w:val="20"/>
          <w:lang w:val="en-US"/>
        </w:rPr>
        <w:t xml:space="preserve"> </w:t>
      </w:r>
      <w:r>
        <w:rPr>
          <w:rFonts w:ascii="Cambria" w:hAnsi="Cambria" w:cs="Arial"/>
          <w:sz w:val="20"/>
          <w:szCs w:val="20"/>
          <w:lang w:val="en-US"/>
        </w:rPr>
        <w:t xml:space="preserve">of the American Convention, the Court has held that </w:t>
      </w:r>
      <w:r w:rsidRPr="001D1232">
        <w:rPr>
          <w:rFonts w:ascii="Cambria" w:hAnsi="Cambria"/>
          <w:sz w:val="20"/>
          <w:szCs w:val="20"/>
          <w:lang w:val="en-US"/>
        </w:rPr>
        <w:t>“</w:t>
      </w:r>
      <w:r w:rsidRPr="00AC0B35">
        <w:rPr>
          <w:rFonts w:ascii="Cambria" w:hAnsi="Cambria"/>
          <w:sz w:val="20"/>
          <w:szCs w:val="20"/>
          <w:lang w:val="en-US"/>
        </w:rPr>
        <w:t>no one may be subjected to arrest or imprisonment for reasons and by methods which, although classified as legal, could be deemed to be incompatible with the respect for the fundamental rights of the individual because, among other things, they are unreasonable, unforeseeable or lacking in proportionality</w:t>
      </w:r>
      <w:r>
        <w:rPr>
          <w:rFonts w:ascii="Cambria" w:hAnsi="Cambria"/>
          <w:sz w:val="20"/>
          <w:szCs w:val="20"/>
          <w:lang w:val="en-US"/>
        </w:rPr>
        <w:t>.</w:t>
      </w:r>
      <w:r w:rsidRPr="001D1232">
        <w:rPr>
          <w:rFonts w:ascii="Cambria" w:hAnsi="Cambria"/>
          <w:sz w:val="20"/>
          <w:szCs w:val="20"/>
          <w:lang w:val="en-US"/>
        </w:rPr>
        <w:t>”</w:t>
      </w:r>
      <w:r w:rsidRPr="001D1232">
        <w:rPr>
          <w:rStyle w:val="FootnoteReference"/>
          <w:rFonts w:ascii="Cambria" w:eastAsia="Trebuchet MS" w:hAnsi="Cambria"/>
          <w:sz w:val="20"/>
          <w:szCs w:val="20"/>
          <w:lang w:val="en-US"/>
        </w:rPr>
        <w:footnoteReference w:id="86"/>
      </w:r>
      <w:r w:rsidRPr="001D1232">
        <w:rPr>
          <w:rFonts w:ascii="Cambria" w:hAnsi="Cambria"/>
          <w:sz w:val="20"/>
          <w:szCs w:val="20"/>
          <w:lang w:val="en-US"/>
        </w:rPr>
        <w:t xml:space="preserve"> </w:t>
      </w:r>
      <w:r>
        <w:rPr>
          <w:rFonts w:ascii="Cambria" w:hAnsi="Cambria"/>
          <w:sz w:val="20"/>
          <w:szCs w:val="20"/>
          <w:lang w:val="en-US"/>
        </w:rPr>
        <w:t xml:space="preserve">On referring to the arbitrary nature of the detention, the Court has established that </w:t>
      </w:r>
      <w:r w:rsidRPr="001D1232">
        <w:rPr>
          <w:rFonts w:ascii="Cambria" w:hAnsi="Cambria"/>
          <w:sz w:val="20"/>
          <w:szCs w:val="20"/>
          <w:lang w:val="en-US"/>
        </w:rPr>
        <w:t>“</w:t>
      </w:r>
      <w:r>
        <w:rPr>
          <w:rFonts w:ascii="Cambria" w:hAnsi="Cambria"/>
          <w:sz w:val="20"/>
          <w:szCs w:val="20"/>
          <w:lang w:val="en-US"/>
        </w:rPr>
        <w:t>’a</w:t>
      </w:r>
      <w:r w:rsidRPr="00AC0B35">
        <w:rPr>
          <w:rFonts w:ascii="Cambria" w:hAnsi="Cambria"/>
          <w:sz w:val="20"/>
          <w:szCs w:val="20"/>
          <w:lang w:val="en-US"/>
        </w:rPr>
        <w:t>rbit</w:t>
      </w:r>
      <w:r>
        <w:rPr>
          <w:rFonts w:ascii="Cambria" w:hAnsi="Cambria"/>
          <w:sz w:val="20"/>
          <w:szCs w:val="20"/>
          <w:lang w:val="en-US"/>
        </w:rPr>
        <w:t>rariness’ is not to be equated with ‘</w:t>
      </w:r>
      <w:r w:rsidRPr="00AC0B35">
        <w:rPr>
          <w:rFonts w:ascii="Cambria" w:hAnsi="Cambria"/>
          <w:sz w:val="20"/>
          <w:szCs w:val="20"/>
          <w:lang w:val="en-US"/>
        </w:rPr>
        <w:t>against the law</w:t>
      </w:r>
      <w:r>
        <w:rPr>
          <w:rFonts w:ascii="Cambria" w:hAnsi="Cambria"/>
          <w:sz w:val="20"/>
          <w:szCs w:val="20"/>
          <w:lang w:val="en-US"/>
        </w:rPr>
        <w:t>,’</w:t>
      </w:r>
      <w:r w:rsidRPr="00AC0B35">
        <w:rPr>
          <w:rFonts w:ascii="Cambria" w:hAnsi="Cambria"/>
          <w:sz w:val="20"/>
          <w:szCs w:val="20"/>
          <w:lang w:val="en-US"/>
        </w:rPr>
        <w:t xml:space="preserve"> but must be interpreted more broadly to include elements of inappropriateness, injustice, lack of predictability and due process of law.</w:t>
      </w:r>
      <w:r w:rsidRPr="001D1232">
        <w:rPr>
          <w:rFonts w:ascii="Cambria" w:hAnsi="Cambria"/>
          <w:sz w:val="20"/>
          <w:szCs w:val="20"/>
          <w:lang w:val="en-US"/>
        </w:rPr>
        <w:t>”</w:t>
      </w:r>
      <w:r w:rsidRPr="001D1232">
        <w:rPr>
          <w:rStyle w:val="FootnoteReference"/>
          <w:rFonts w:ascii="Cambria" w:eastAsia="Trebuchet MS" w:hAnsi="Cambria"/>
          <w:sz w:val="20"/>
          <w:szCs w:val="20"/>
          <w:lang w:val="en-US"/>
        </w:rPr>
        <w:footnoteReference w:id="87"/>
      </w:r>
      <w:r w:rsidRPr="001D1232">
        <w:rPr>
          <w:rFonts w:ascii="Cambria" w:hAnsi="Cambria"/>
          <w:sz w:val="20"/>
          <w:szCs w:val="20"/>
          <w:lang w:val="en-US"/>
        </w:rPr>
        <w:t xml:space="preserve"> </w:t>
      </w:r>
      <w:r>
        <w:rPr>
          <w:rFonts w:ascii="Cambria" w:hAnsi="Cambria"/>
          <w:sz w:val="20"/>
          <w:szCs w:val="20"/>
          <w:lang w:val="en-US"/>
        </w:rPr>
        <w:t xml:space="preserve">Therefore, any arrest must be carried out not only in keeping with the provisions of domestic law, but moreover it is necessary that </w:t>
      </w:r>
      <w:r w:rsidRPr="001D1232">
        <w:rPr>
          <w:rFonts w:ascii="Cambria" w:hAnsi="Cambria"/>
          <w:sz w:val="20"/>
          <w:szCs w:val="20"/>
          <w:lang w:val="en-US"/>
        </w:rPr>
        <w:t>“</w:t>
      </w:r>
      <w:r w:rsidRPr="00046EA7">
        <w:rPr>
          <w:rFonts w:ascii="Cambria" w:hAnsi="Cambria"/>
          <w:sz w:val="20"/>
          <w:szCs w:val="20"/>
          <w:lang w:val="en-US"/>
        </w:rPr>
        <w:t>domestic law, the applicable procedure, and the corresponding general explicit or tacit principles are, in themselves, compatible with the Convention</w:t>
      </w:r>
      <w:r>
        <w:rPr>
          <w:rFonts w:ascii="Cambria" w:hAnsi="Cambria"/>
          <w:sz w:val="20"/>
          <w:szCs w:val="20"/>
          <w:lang w:val="en-US"/>
        </w:rPr>
        <w:t>.</w:t>
      </w:r>
      <w:r w:rsidRPr="001D1232">
        <w:rPr>
          <w:rFonts w:ascii="Cambria" w:hAnsi="Cambria"/>
          <w:sz w:val="20"/>
          <w:szCs w:val="20"/>
          <w:lang w:val="en-US"/>
        </w:rPr>
        <w:t>”</w:t>
      </w:r>
      <w:r w:rsidRPr="001D1232">
        <w:rPr>
          <w:rStyle w:val="FootnoteReference"/>
          <w:rFonts w:ascii="Cambria" w:eastAsia="Trebuchet MS" w:hAnsi="Cambria"/>
          <w:sz w:val="20"/>
          <w:szCs w:val="20"/>
          <w:lang w:val="en-US"/>
        </w:rPr>
        <w:footnoteReference w:id="88"/>
      </w:r>
      <w:r w:rsidRPr="001D1232">
        <w:rPr>
          <w:rFonts w:ascii="Cambria" w:hAnsi="Cambria"/>
          <w:sz w:val="20"/>
          <w:szCs w:val="20"/>
          <w:lang w:val="en-US"/>
        </w:rPr>
        <w:t xml:space="preserve"> </w:t>
      </w:r>
    </w:p>
    <w:p w14:paraId="15A068B1" w14:textId="77777777" w:rsidR="00DE02AA" w:rsidRPr="001D1232" w:rsidRDefault="00DE02AA" w:rsidP="00DE02AA">
      <w:pPr>
        <w:jc w:val="both"/>
        <w:rPr>
          <w:rFonts w:ascii="Cambria" w:hAnsi="Cambria"/>
          <w:sz w:val="20"/>
          <w:szCs w:val="20"/>
        </w:rPr>
      </w:pPr>
    </w:p>
    <w:p w14:paraId="45DD0F6A"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Specifically on the phrase </w:t>
      </w:r>
      <w:r w:rsidRPr="001D1232">
        <w:rPr>
          <w:rFonts w:ascii="Cambria" w:hAnsi="Cambria"/>
          <w:sz w:val="20"/>
          <w:szCs w:val="20"/>
          <w:lang w:val="en-US"/>
        </w:rPr>
        <w:t>“</w:t>
      </w:r>
      <w:r>
        <w:rPr>
          <w:rFonts w:ascii="Cambria" w:hAnsi="Cambria"/>
          <w:sz w:val="20"/>
          <w:szCs w:val="20"/>
          <w:lang w:val="en-US"/>
        </w:rPr>
        <w:t xml:space="preserve">reasonable suspicion,” which, in the case of the European Convention is expressly provided for in Article 5 related to the right to personal liberty, the European Court has stated that </w:t>
      </w:r>
      <w:r w:rsidRPr="001D1232">
        <w:rPr>
          <w:rFonts w:ascii="Cambria" w:hAnsi="Cambria"/>
          <w:sz w:val="20"/>
          <w:szCs w:val="20"/>
          <w:lang w:val="en-US"/>
        </w:rPr>
        <w:t>“</w:t>
      </w:r>
      <w:r>
        <w:rPr>
          <w:rFonts w:ascii="Cambria" w:hAnsi="Cambria"/>
          <w:sz w:val="20"/>
          <w:szCs w:val="20"/>
          <w:lang w:val="en-US"/>
        </w:rPr>
        <w:t xml:space="preserve">reasonable suspicion” that a crime has been committed means </w:t>
      </w:r>
      <w:r w:rsidRPr="001D1232">
        <w:rPr>
          <w:rFonts w:ascii="Cambria" w:hAnsi="Cambria"/>
          <w:sz w:val="20"/>
          <w:szCs w:val="20"/>
          <w:lang w:val="en-US"/>
        </w:rPr>
        <w:t>“</w:t>
      </w:r>
      <w:r>
        <w:rPr>
          <w:rFonts w:ascii="Cambria" w:hAnsi="Cambria"/>
          <w:sz w:val="20"/>
          <w:szCs w:val="20"/>
          <w:lang w:val="en-US"/>
        </w:rPr>
        <w:t xml:space="preserve">the existence of facts or information which would satisfy an objective observer that the person concerned may have committed the </w:t>
      </w:r>
      <w:r>
        <w:rPr>
          <w:rFonts w:ascii="Cambria" w:hAnsi="Cambria"/>
          <w:sz w:val="20"/>
          <w:szCs w:val="20"/>
          <w:lang w:val="en-US"/>
        </w:rPr>
        <w:lastRenderedPageBreak/>
        <w:t>offence.</w:t>
      </w:r>
      <w:r w:rsidRPr="001D1232">
        <w:rPr>
          <w:rFonts w:ascii="Cambria" w:hAnsi="Cambria"/>
          <w:sz w:val="20"/>
          <w:szCs w:val="20"/>
          <w:lang w:val="en-US"/>
        </w:rPr>
        <w:t>”</w:t>
      </w:r>
      <w:r w:rsidRPr="001D1232">
        <w:rPr>
          <w:rStyle w:val="FootnoteReference"/>
          <w:rFonts w:ascii="Cambria" w:eastAsia="Batang" w:hAnsi="Cambria"/>
          <w:sz w:val="20"/>
          <w:szCs w:val="20"/>
          <w:lang w:val="en-US"/>
        </w:rPr>
        <w:footnoteReference w:id="89"/>
      </w:r>
      <w:r w:rsidRPr="001D1232">
        <w:rPr>
          <w:rFonts w:ascii="Cambria" w:hAnsi="Cambria"/>
          <w:sz w:val="20"/>
          <w:szCs w:val="20"/>
          <w:lang w:val="en-US"/>
        </w:rPr>
        <w:t xml:space="preserve"> </w:t>
      </w:r>
      <w:r>
        <w:rPr>
          <w:rFonts w:ascii="Cambria" w:hAnsi="Cambria"/>
          <w:sz w:val="20"/>
          <w:szCs w:val="20"/>
          <w:lang w:val="en-US"/>
        </w:rPr>
        <w:t xml:space="preserve">In this context of arrest based on </w:t>
      </w:r>
      <w:r w:rsidRPr="001D1232">
        <w:rPr>
          <w:rFonts w:ascii="Cambria" w:hAnsi="Cambria"/>
          <w:sz w:val="20"/>
          <w:szCs w:val="20"/>
          <w:lang w:val="en-US"/>
        </w:rPr>
        <w:t>“</w:t>
      </w:r>
      <w:r>
        <w:rPr>
          <w:rFonts w:ascii="Cambria" w:hAnsi="Cambria"/>
          <w:sz w:val="20"/>
          <w:szCs w:val="20"/>
          <w:lang w:val="en-US"/>
        </w:rPr>
        <w:t xml:space="preserve">reasonable suspicion,” the European Court added that </w:t>
      </w:r>
      <w:r w:rsidRPr="001D1232">
        <w:rPr>
          <w:rFonts w:ascii="Cambria" w:hAnsi="Cambria"/>
          <w:sz w:val="20"/>
          <w:szCs w:val="20"/>
          <w:lang w:val="en-US"/>
        </w:rPr>
        <w:t>“</w:t>
      </w:r>
      <w:r w:rsidRPr="009C7738">
        <w:rPr>
          <w:rFonts w:ascii="Cambria" w:hAnsi="Cambria"/>
          <w:sz w:val="20"/>
          <w:szCs w:val="20"/>
          <w:lang w:val="en-US"/>
        </w:rPr>
        <w:t>the prosecutor's failure to make a genuine inquiry into the basic facts</w:t>
      </w:r>
      <w:r w:rsidRPr="001D1232">
        <w:rPr>
          <w:rFonts w:ascii="Cambria" w:hAnsi="Cambria"/>
          <w:sz w:val="20"/>
          <w:szCs w:val="20"/>
          <w:lang w:val="en-US"/>
        </w:rPr>
        <w:t xml:space="preserve">” </w:t>
      </w:r>
      <w:r>
        <w:rPr>
          <w:rFonts w:ascii="Cambria" w:hAnsi="Cambria"/>
          <w:sz w:val="20"/>
          <w:szCs w:val="20"/>
          <w:lang w:val="en-US"/>
        </w:rPr>
        <w:t>in order to verify whether there was a violation of the right to personal liberty triggers their responsibility.</w:t>
      </w:r>
      <w:r w:rsidRPr="001D1232">
        <w:rPr>
          <w:rStyle w:val="FootnoteReference"/>
          <w:rFonts w:ascii="Cambria" w:eastAsia="Batang" w:hAnsi="Cambria"/>
          <w:sz w:val="20"/>
          <w:szCs w:val="20"/>
          <w:lang w:val="en-US"/>
        </w:rPr>
        <w:footnoteReference w:id="90"/>
      </w:r>
      <w:r w:rsidRPr="001D1232">
        <w:rPr>
          <w:rFonts w:ascii="Cambria" w:hAnsi="Cambria"/>
          <w:sz w:val="20"/>
          <w:szCs w:val="20"/>
          <w:lang w:val="en-US"/>
        </w:rPr>
        <w:t xml:space="preserve"> </w:t>
      </w:r>
      <w:r>
        <w:rPr>
          <w:rFonts w:ascii="Cambria" w:hAnsi="Cambria"/>
          <w:sz w:val="20"/>
          <w:szCs w:val="20"/>
          <w:lang w:val="en-US"/>
        </w:rPr>
        <w:t xml:space="preserve">It added that the requirement that </w:t>
      </w:r>
    </w:p>
    <w:p w14:paraId="4CA5296D" w14:textId="77777777" w:rsidR="00DE02AA" w:rsidRPr="001D1232" w:rsidRDefault="00DE02AA" w:rsidP="00DE02AA">
      <w:pPr>
        <w:suppressAutoHyphens/>
        <w:jc w:val="both"/>
        <w:rPr>
          <w:rFonts w:ascii="Cambria" w:hAnsi="Cambria"/>
          <w:sz w:val="20"/>
          <w:szCs w:val="20"/>
        </w:rPr>
      </w:pPr>
    </w:p>
    <w:p w14:paraId="77332538" w14:textId="77777777" w:rsidR="00DE02AA" w:rsidRPr="001D1232" w:rsidRDefault="00DE02AA" w:rsidP="00DE02AA">
      <w:pPr>
        <w:suppressAutoHyphens/>
        <w:ind w:left="720" w:right="720"/>
        <w:rPr>
          <w:rFonts w:ascii="Cambria" w:hAnsi="Cambria"/>
          <w:sz w:val="20"/>
          <w:szCs w:val="20"/>
        </w:rPr>
      </w:pPr>
      <w:r>
        <w:rPr>
          <w:rFonts w:ascii="Cambria" w:hAnsi="Cambria"/>
          <w:sz w:val="20"/>
          <w:szCs w:val="20"/>
        </w:rPr>
        <w:t xml:space="preserve">… </w:t>
      </w:r>
      <w:r w:rsidRPr="00046EA7">
        <w:rPr>
          <w:rFonts w:ascii="Cambria" w:hAnsi="Cambria"/>
          <w:sz w:val="20"/>
          <w:szCs w:val="20"/>
        </w:rPr>
        <w:t>the suspicion must be based on</w:t>
      </w:r>
      <w:r>
        <w:rPr>
          <w:rFonts w:ascii="Cambria" w:hAnsi="Cambria"/>
          <w:sz w:val="20"/>
          <w:szCs w:val="20"/>
        </w:rPr>
        <w:t xml:space="preserve"> </w:t>
      </w:r>
      <w:r w:rsidRPr="00046EA7">
        <w:rPr>
          <w:rFonts w:ascii="Cambria" w:hAnsi="Cambria"/>
          <w:sz w:val="20"/>
          <w:szCs w:val="20"/>
        </w:rPr>
        <w:t>reasonable grounds forms an essential part of the safeguard against arbitrary</w:t>
      </w:r>
      <w:r>
        <w:rPr>
          <w:rFonts w:ascii="Cambria" w:hAnsi="Cambria"/>
          <w:sz w:val="20"/>
          <w:szCs w:val="20"/>
        </w:rPr>
        <w:t xml:space="preserve"> </w:t>
      </w:r>
      <w:r w:rsidRPr="00046EA7">
        <w:rPr>
          <w:rFonts w:ascii="Cambria" w:hAnsi="Cambria"/>
          <w:sz w:val="20"/>
          <w:szCs w:val="20"/>
        </w:rPr>
        <w:t>arrest and detention. The fact that a suspicion is held in good faith is</w:t>
      </w:r>
      <w:r>
        <w:rPr>
          <w:rFonts w:ascii="Cambria" w:hAnsi="Cambria"/>
          <w:sz w:val="20"/>
          <w:szCs w:val="20"/>
        </w:rPr>
        <w:t xml:space="preserve"> </w:t>
      </w:r>
      <w:r w:rsidRPr="00046EA7">
        <w:rPr>
          <w:rFonts w:ascii="Cambria" w:hAnsi="Cambria"/>
          <w:sz w:val="20"/>
          <w:szCs w:val="20"/>
        </w:rPr>
        <w:t>insufficient</w:t>
      </w:r>
      <w:r>
        <w:rPr>
          <w:rFonts w:ascii="Cambria" w:hAnsi="Cambria"/>
          <w:sz w:val="20"/>
          <w:szCs w:val="20"/>
        </w:rPr>
        <w:t>….</w:t>
      </w:r>
      <w:r w:rsidRPr="00046EA7">
        <w:rPr>
          <w:rFonts w:ascii="Cambria" w:hAnsi="Cambria"/>
          <w:sz w:val="20"/>
          <w:szCs w:val="20"/>
        </w:rPr>
        <w:t xml:space="preserve"> </w:t>
      </w:r>
    </w:p>
    <w:p w14:paraId="0027C165" w14:textId="77777777" w:rsidR="00DE02AA" w:rsidRPr="001D1232" w:rsidRDefault="00DE02AA" w:rsidP="00DE02AA">
      <w:pPr>
        <w:suppressAutoHyphens/>
        <w:ind w:left="720" w:right="720"/>
        <w:jc w:val="both"/>
        <w:rPr>
          <w:rFonts w:ascii="Cambria" w:eastAsia="Calibri" w:hAnsi="Cambria"/>
          <w:sz w:val="20"/>
          <w:szCs w:val="20"/>
        </w:rPr>
      </w:pPr>
    </w:p>
    <w:p w14:paraId="1032F079" w14:textId="77777777" w:rsidR="00DE02AA" w:rsidRPr="001D1232" w:rsidRDefault="00DE02AA" w:rsidP="00DE02AA">
      <w:pPr>
        <w:ind w:left="720" w:right="720"/>
        <w:rPr>
          <w:rFonts w:ascii="Cambria" w:eastAsia="Times New Roman" w:hAnsi="Cambria"/>
          <w:sz w:val="20"/>
          <w:szCs w:val="20"/>
        </w:rPr>
      </w:pPr>
      <w:r w:rsidRPr="00046EA7">
        <w:rPr>
          <w:rFonts w:ascii="Cambria" w:eastAsia="Times New Roman" w:hAnsi="Cambria" w:cs="Arial"/>
          <w:color w:val="000000"/>
          <w:sz w:val="20"/>
          <w:szCs w:val="20"/>
          <w:shd w:val="clear" w:color="auto" w:fill="FFFFFF"/>
        </w:rPr>
        <w:t>When assessing the “reasonableness” of the suspicion, the Court</w:t>
      </w:r>
      <w:r>
        <w:rPr>
          <w:rFonts w:ascii="Cambria" w:eastAsia="Times New Roman" w:hAnsi="Cambria" w:cs="Arial"/>
          <w:color w:val="000000"/>
          <w:sz w:val="20"/>
          <w:szCs w:val="20"/>
          <w:shd w:val="clear" w:color="auto" w:fill="FFFFFF"/>
        </w:rPr>
        <w:t xml:space="preserve"> </w:t>
      </w:r>
      <w:r w:rsidRPr="00046EA7">
        <w:rPr>
          <w:rFonts w:ascii="Cambria" w:eastAsia="Times New Roman" w:hAnsi="Cambria" w:cs="Arial"/>
          <w:color w:val="000000"/>
          <w:sz w:val="20"/>
          <w:szCs w:val="20"/>
          <w:shd w:val="clear" w:color="auto" w:fill="FFFFFF"/>
        </w:rPr>
        <w:t>must be enabled to ascertain whether the essence of the safeguard afforded</w:t>
      </w:r>
      <w:r>
        <w:rPr>
          <w:rFonts w:ascii="Cambria" w:eastAsia="Times New Roman" w:hAnsi="Cambria" w:cs="Arial"/>
          <w:color w:val="000000"/>
          <w:sz w:val="20"/>
          <w:szCs w:val="20"/>
          <w:shd w:val="clear" w:color="auto" w:fill="FFFFFF"/>
        </w:rPr>
        <w:t xml:space="preserve"> </w:t>
      </w:r>
      <w:r w:rsidRPr="00046EA7">
        <w:rPr>
          <w:rFonts w:ascii="Cambria" w:eastAsia="Times New Roman" w:hAnsi="Cambria" w:cs="Arial"/>
          <w:color w:val="000000"/>
          <w:sz w:val="20"/>
          <w:szCs w:val="20"/>
          <w:shd w:val="clear" w:color="auto" w:fill="FFFFFF"/>
        </w:rPr>
        <w:t>by Article 5 § 1 (c) has been secured. Consequently, the respondent</w:t>
      </w:r>
      <w:r>
        <w:rPr>
          <w:rFonts w:ascii="Cambria" w:eastAsia="Times New Roman" w:hAnsi="Cambria" w:cs="Arial"/>
          <w:color w:val="000000"/>
          <w:sz w:val="20"/>
          <w:szCs w:val="20"/>
          <w:shd w:val="clear" w:color="auto" w:fill="FFFFFF"/>
        </w:rPr>
        <w:t xml:space="preserve"> </w:t>
      </w:r>
      <w:r w:rsidRPr="00046EA7">
        <w:rPr>
          <w:rFonts w:ascii="Cambria" w:eastAsia="Times New Roman" w:hAnsi="Cambria" w:cs="Arial"/>
          <w:color w:val="000000"/>
          <w:sz w:val="20"/>
          <w:szCs w:val="20"/>
          <w:shd w:val="clear" w:color="auto" w:fill="FFFFFF"/>
        </w:rPr>
        <w:t>Government have to furnish at least some facts or information capable of</w:t>
      </w:r>
      <w:r>
        <w:rPr>
          <w:rFonts w:ascii="Cambria" w:eastAsia="Times New Roman" w:hAnsi="Cambria" w:cs="Arial"/>
          <w:color w:val="000000"/>
          <w:sz w:val="20"/>
          <w:szCs w:val="20"/>
          <w:shd w:val="clear" w:color="auto" w:fill="FFFFFF"/>
        </w:rPr>
        <w:t xml:space="preserve"> </w:t>
      </w:r>
      <w:r w:rsidRPr="00046EA7">
        <w:rPr>
          <w:rFonts w:ascii="Cambria" w:eastAsia="Times New Roman" w:hAnsi="Cambria" w:cs="Arial"/>
          <w:color w:val="000000"/>
          <w:sz w:val="20"/>
          <w:szCs w:val="20"/>
          <w:shd w:val="clear" w:color="auto" w:fill="FFFFFF"/>
        </w:rPr>
        <w:t>satisfying the Court that the arrested person was reasonably suspected of</w:t>
      </w:r>
      <w:r>
        <w:rPr>
          <w:rFonts w:ascii="Cambria" w:eastAsia="Times New Roman" w:hAnsi="Cambria" w:cs="Arial"/>
          <w:color w:val="000000"/>
          <w:sz w:val="20"/>
          <w:szCs w:val="20"/>
          <w:shd w:val="clear" w:color="auto" w:fill="FFFFFF"/>
        </w:rPr>
        <w:t xml:space="preserve"> </w:t>
      </w:r>
      <w:r w:rsidRPr="00046EA7">
        <w:rPr>
          <w:rFonts w:ascii="Cambria" w:eastAsia="Times New Roman" w:hAnsi="Cambria" w:cs="Arial"/>
          <w:color w:val="000000"/>
          <w:sz w:val="20"/>
          <w:szCs w:val="20"/>
          <w:shd w:val="clear" w:color="auto" w:fill="FFFFFF"/>
        </w:rPr>
        <w:t>having committed the alleged offence</w:t>
      </w:r>
      <w:r>
        <w:rPr>
          <w:rFonts w:ascii="Cambria" w:eastAsia="Times New Roman" w:hAnsi="Cambria" w:cs="Arial"/>
          <w:color w:val="000000"/>
          <w:sz w:val="20"/>
          <w:szCs w:val="20"/>
          <w:shd w:val="clear" w:color="auto" w:fill="FFFFFF"/>
        </w:rPr>
        <w:t>.</w:t>
      </w:r>
      <w:r w:rsidRPr="001D1232">
        <w:rPr>
          <w:rStyle w:val="FootnoteReference"/>
          <w:rFonts w:ascii="Cambria" w:hAnsi="Cambria"/>
          <w:sz w:val="20"/>
          <w:szCs w:val="20"/>
        </w:rPr>
        <w:footnoteReference w:id="91"/>
      </w:r>
    </w:p>
    <w:p w14:paraId="0D400EF4" w14:textId="77777777" w:rsidR="00DE02AA" w:rsidRPr="001D1232" w:rsidRDefault="00DE02AA" w:rsidP="00DE02AA">
      <w:pPr>
        <w:ind w:left="720" w:right="720"/>
        <w:jc w:val="both"/>
        <w:rPr>
          <w:rFonts w:ascii="Cambria" w:eastAsia="Times New Roman" w:hAnsi="Cambria"/>
          <w:sz w:val="20"/>
          <w:szCs w:val="20"/>
        </w:rPr>
      </w:pPr>
    </w:p>
    <w:p w14:paraId="6D8A62F0"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Specifically, in the case of </w:t>
      </w:r>
      <w:proofErr w:type="spellStart"/>
      <w:r w:rsidRPr="001D1232">
        <w:rPr>
          <w:rFonts w:ascii="Cambria" w:hAnsi="Cambria"/>
          <w:i/>
          <w:spacing w:val="-2"/>
          <w:sz w:val="20"/>
          <w:szCs w:val="20"/>
          <w:lang w:val="en-US"/>
        </w:rPr>
        <w:t>Gillan</w:t>
      </w:r>
      <w:proofErr w:type="spellEnd"/>
      <w:r w:rsidRPr="001D1232">
        <w:rPr>
          <w:rFonts w:ascii="Cambria" w:hAnsi="Cambria"/>
          <w:i/>
          <w:spacing w:val="-2"/>
          <w:sz w:val="20"/>
          <w:szCs w:val="20"/>
          <w:lang w:val="en-US"/>
        </w:rPr>
        <w:t xml:space="preserve"> </w:t>
      </w:r>
      <w:r>
        <w:rPr>
          <w:rFonts w:ascii="Cambria" w:hAnsi="Cambria"/>
          <w:i/>
          <w:spacing w:val="-2"/>
          <w:sz w:val="20"/>
          <w:szCs w:val="20"/>
          <w:lang w:val="en-US"/>
        </w:rPr>
        <w:t xml:space="preserve">and </w:t>
      </w:r>
      <w:r w:rsidRPr="001D1232">
        <w:rPr>
          <w:rFonts w:ascii="Cambria" w:hAnsi="Cambria"/>
          <w:i/>
          <w:spacing w:val="-2"/>
          <w:sz w:val="20"/>
          <w:szCs w:val="20"/>
          <w:lang w:val="en-US"/>
        </w:rPr>
        <w:t xml:space="preserve">Quinton v. </w:t>
      </w:r>
      <w:r>
        <w:rPr>
          <w:rFonts w:ascii="Cambria" w:hAnsi="Cambria"/>
          <w:i/>
          <w:spacing w:val="-2"/>
          <w:sz w:val="20"/>
          <w:szCs w:val="20"/>
          <w:lang w:val="en-US"/>
        </w:rPr>
        <w:t>United Kingdom</w:t>
      </w:r>
      <w:r w:rsidRPr="001D1232">
        <w:rPr>
          <w:rFonts w:ascii="Cambria" w:hAnsi="Cambria"/>
          <w:i/>
          <w:spacing w:val="-2"/>
          <w:sz w:val="20"/>
          <w:szCs w:val="20"/>
          <w:lang w:val="en-US"/>
        </w:rPr>
        <w:t xml:space="preserve">, </w:t>
      </w:r>
      <w:r>
        <w:rPr>
          <w:rFonts w:ascii="Cambria" w:hAnsi="Cambria"/>
          <w:spacing w:val="-2"/>
          <w:sz w:val="20"/>
          <w:szCs w:val="20"/>
          <w:lang w:val="en-US"/>
        </w:rPr>
        <w:t xml:space="preserve">the European Court ruled on the legal authority of state security forces to </w:t>
      </w:r>
      <w:r w:rsidRPr="001D1232">
        <w:rPr>
          <w:rFonts w:ascii="Cambria" w:hAnsi="Cambria"/>
          <w:spacing w:val="-2"/>
          <w:sz w:val="20"/>
          <w:szCs w:val="20"/>
          <w:lang w:val="en-US"/>
        </w:rPr>
        <w:t>“stop and search</w:t>
      </w:r>
      <w:r>
        <w:rPr>
          <w:rFonts w:ascii="Cambria" w:hAnsi="Cambria"/>
          <w:spacing w:val="-2"/>
          <w:sz w:val="20"/>
          <w:szCs w:val="20"/>
          <w:lang w:val="en-US"/>
        </w:rPr>
        <w:t>.</w:t>
      </w:r>
      <w:r w:rsidRPr="001D1232">
        <w:rPr>
          <w:rFonts w:ascii="Cambria" w:hAnsi="Cambria"/>
          <w:spacing w:val="-2"/>
          <w:sz w:val="20"/>
          <w:szCs w:val="20"/>
          <w:lang w:val="en-US"/>
        </w:rPr>
        <w:t xml:space="preserve">” </w:t>
      </w:r>
      <w:r>
        <w:rPr>
          <w:rFonts w:ascii="Cambria" w:hAnsi="Cambria"/>
          <w:spacing w:val="-2"/>
          <w:sz w:val="20"/>
          <w:szCs w:val="20"/>
          <w:lang w:val="en-US"/>
        </w:rPr>
        <w:t xml:space="preserve">In that case, the Court indicated that these situations may be understood within the concept of deprivation of liberty established at Article </w:t>
      </w:r>
      <w:r w:rsidRPr="001D1232">
        <w:rPr>
          <w:rFonts w:ascii="Cambria" w:hAnsi="Cambria"/>
          <w:spacing w:val="-2"/>
          <w:sz w:val="20"/>
          <w:szCs w:val="20"/>
          <w:lang w:val="en-US"/>
        </w:rPr>
        <w:t xml:space="preserve">5 </w:t>
      </w:r>
      <w:r>
        <w:rPr>
          <w:rFonts w:ascii="Cambria" w:hAnsi="Cambria"/>
          <w:spacing w:val="-2"/>
          <w:sz w:val="20"/>
          <w:szCs w:val="20"/>
          <w:lang w:val="en-US"/>
        </w:rPr>
        <w:t>of the European Convention, even when in that case the procedure did not last more than 30 minutes. The determination was based on the persons in question being entirely deprived of their freedom of movement, were forced to stay where they were and undergo searches, which incorporates the element of coercion that is relevant for applying that provision.</w:t>
      </w:r>
      <w:r w:rsidRPr="001D1232">
        <w:rPr>
          <w:rStyle w:val="FootnoteReference"/>
          <w:rFonts w:ascii="Cambria" w:eastAsia="Trebuchet MS" w:hAnsi="Cambria"/>
          <w:spacing w:val="-2"/>
          <w:sz w:val="20"/>
          <w:szCs w:val="20"/>
          <w:lang w:val="en-US"/>
        </w:rPr>
        <w:footnoteReference w:id="92"/>
      </w:r>
      <w:r w:rsidRPr="001D1232">
        <w:rPr>
          <w:rFonts w:ascii="Cambria" w:hAnsi="Cambria"/>
          <w:spacing w:val="-2"/>
          <w:sz w:val="20"/>
          <w:szCs w:val="20"/>
          <w:lang w:val="en-US"/>
        </w:rPr>
        <w:t xml:space="preserve"> </w:t>
      </w:r>
    </w:p>
    <w:p w14:paraId="71027B57" w14:textId="77777777" w:rsidR="00DE02AA" w:rsidRPr="001D1232" w:rsidRDefault="00DE02AA" w:rsidP="00DE02AA">
      <w:pPr>
        <w:tabs>
          <w:tab w:val="num" w:pos="1429"/>
        </w:tabs>
        <w:jc w:val="both"/>
        <w:rPr>
          <w:rFonts w:ascii="Cambria" w:hAnsi="Cambria"/>
          <w:spacing w:val="-2"/>
          <w:sz w:val="20"/>
          <w:szCs w:val="20"/>
        </w:rPr>
      </w:pPr>
    </w:p>
    <w:p w14:paraId="0742A914"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pacing w:val="-2"/>
          <w:sz w:val="20"/>
          <w:szCs w:val="20"/>
          <w:lang w:val="en-US"/>
        </w:rPr>
        <w:t xml:space="preserve">In the same case the European Court considered it relevant to apply the right to privacy, indicating that </w:t>
      </w:r>
      <w:r w:rsidRPr="001D1232">
        <w:rPr>
          <w:rFonts w:ascii="Cambria" w:hAnsi="Cambria"/>
          <w:spacing w:val="-2"/>
          <w:sz w:val="20"/>
          <w:szCs w:val="20"/>
          <w:lang w:val="en-US"/>
        </w:rPr>
        <w:t>“</w:t>
      </w:r>
      <w:r w:rsidRPr="00307F02">
        <w:rPr>
          <w:rFonts w:ascii="Cambria" w:hAnsi="Cambria"/>
          <w:spacing w:val="-2"/>
          <w:sz w:val="20"/>
          <w:szCs w:val="20"/>
          <w:lang w:val="en-US"/>
        </w:rPr>
        <w:t>the use of the coercive powers conferred by the legislation to require an individual to submit to a detailed search of his person, his clothing and his personal belongings amounts to a clear interference with the ri</w:t>
      </w:r>
      <w:r>
        <w:rPr>
          <w:rFonts w:ascii="Cambria" w:hAnsi="Cambria"/>
          <w:spacing w:val="-2"/>
          <w:sz w:val="20"/>
          <w:szCs w:val="20"/>
          <w:lang w:val="en-US"/>
        </w:rPr>
        <w:t xml:space="preserve">ght to respect for private life,” which is </w:t>
      </w:r>
      <w:r w:rsidRPr="001D1232">
        <w:rPr>
          <w:rFonts w:ascii="Cambria" w:hAnsi="Cambria"/>
          <w:spacing w:val="-2"/>
          <w:sz w:val="20"/>
          <w:szCs w:val="20"/>
          <w:lang w:val="en-US"/>
        </w:rPr>
        <w:t>ap</w:t>
      </w:r>
      <w:r>
        <w:rPr>
          <w:rFonts w:ascii="Cambria" w:hAnsi="Cambria"/>
          <w:spacing w:val="-2"/>
          <w:sz w:val="20"/>
          <w:szCs w:val="20"/>
          <w:lang w:val="en-US"/>
        </w:rPr>
        <w:t>pl</w:t>
      </w:r>
      <w:r w:rsidRPr="001D1232">
        <w:rPr>
          <w:rFonts w:ascii="Cambria" w:hAnsi="Cambria"/>
          <w:spacing w:val="-2"/>
          <w:sz w:val="20"/>
          <w:szCs w:val="20"/>
          <w:lang w:val="en-US"/>
        </w:rPr>
        <w:t xml:space="preserve">icable </w:t>
      </w:r>
      <w:r>
        <w:rPr>
          <w:rFonts w:ascii="Cambria" w:hAnsi="Cambria"/>
          <w:spacing w:val="-2"/>
          <w:sz w:val="20"/>
          <w:szCs w:val="20"/>
          <w:lang w:val="en-US"/>
        </w:rPr>
        <w:t>even if the search takes place in public</w:t>
      </w:r>
      <w:r w:rsidRPr="001D1232">
        <w:rPr>
          <w:rFonts w:ascii="Cambria" w:hAnsi="Cambria"/>
          <w:spacing w:val="-2"/>
          <w:sz w:val="20"/>
          <w:szCs w:val="20"/>
          <w:lang w:val="en-US"/>
        </w:rPr>
        <w:t xml:space="preserve">. </w:t>
      </w:r>
      <w:r>
        <w:rPr>
          <w:rFonts w:ascii="Cambria" w:hAnsi="Cambria"/>
          <w:spacing w:val="-2"/>
          <w:sz w:val="20"/>
          <w:szCs w:val="20"/>
          <w:lang w:val="en-US"/>
        </w:rPr>
        <w:t xml:space="preserve">It added that to the contrary, in certain cases </w:t>
      </w:r>
      <w:r w:rsidRPr="001D1232">
        <w:rPr>
          <w:rFonts w:ascii="Cambria" w:hAnsi="Cambria"/>
          <w:spacing w:val="-2"/>
          <w:sz w:val="20"/>
          <w:szCs w:val="20"/>
          <w:lang w:val="en-US"/>
        </w:rPr>
        <w:t>“</w:t>
      </w:r>
      <w:r w:rsidRPr="004D4F33">
        <w:rPr>
          <w:rFonts w:ascii="Cambria" w:hAnsi="Cambria"/>
          <w:spacing w:val="-2"/>
          <w:sz w:val="20"/>
          <w:szCs w:val="20"/>
          <w:lang w:val="en-US"/>
        </w:rPr>
        <w:t>the public nature of the search may, in certain cases, compound the seriousness of the interference because of an element o</w:t>
      </w:r>
      <w:bookmarkStart w:id="49" w:name="para63"/>
      <w:r>
        <w:rPr>
          <w:rFonts w:ascii="Cambria" w:hAnsi="Cambria"/>
          <w:spacing w:val="-2"/>
          <w:sz w:val="20"/>
          <w:szCs w:val="20"/>
          <w:lang w:val="en-US"/>
        </w:rPr>
        <w:t>f humiliation and embarrassment.</w:t>
      </w:r>
      <w:r w:rsidRPr="001D1232">
        <w:rPr>
          <w:rFonts w:ascii="Cambria" w:hAnsi="Cambria"/>
          <w:spacing w:val="-2"/>
          <w:sz w:val="20"/>
          <w:szCs w:val="20"/>
          <w:lang w:val="en-US"/>
        </w:rPr>
        <w:t>”</w:t>
      </w:r>
      <w:r>
        <w:rPr>
          <w:rFonts w:ascii="Cambria" w:hAnsi="Cambria"/>
          <w:spacing w:val="-2"/>
          <w:sz w:val="20"/>
          <w:szCs w:val="20"/>
          <w:lang w:val="en-US"/>
        </w:rPr>
        <w:t xml:space="preserve"> The European Court indicated</w:t>
      </w:r>
      <w:r w:rsidRPr="001D1232">
        <w:rPr>
          <w:rFonts w:ascii="Cambria" w:hAnsi="Cambria"/>
          <w:spacing w:val="-2"/>
          <w:sz w:val="20"/>
          <w:szCs w:val="20"/>
          <w:lang w:val="en-US"/>
        </w:rPr>
        <w:t xml:space="preserve"> </w:t>
      </w:r>
      <w:r>
        <w:rPr>
          <w:rFonts w:ascii="Cambria" w:hAnsi="Cambria"/>
          <w:spacing w:val="-2"/>
          <w:sz w:val="20"/>
          <w:szCs w:val="20"/>
          <w:lang w:val="en-US"/>
        </w:rPr>
        <w:t xml:space="preserve">that the legislation that gives this sort of authority should indicate, with </w:t>
      </w:r>
      <w:bookmarkStart w:id="50" w:name="para77"/>
      <w:bookmarkEnd w:id="49"/>
      <w:r w:rsidRPr="001D1232">
        <w:rPr>
          <w:rFonts w:ascii="Cambria" w:hAnsi="Cambria"/>
          <w:spacing w:val="-2"/>
          <w:sz w:val="20"/>
          <w:szCs w:val="20"/>
          <w:lang w:val="en-US"/>
        </w:rPr>
        <w:t>“</w:t>
      </w:r>
      <w:r w:rsidRPr="004D4F33">
        <w:rPr>
          <w:rFonts w:ascii="Cambria" w:hAnsi="Cambria"/>
          <w:spacing w:val="-2"/>
          <w:sz w:val="20"/>
          <w:szCs w:val="20"/>
          <w:lang w:val="en-US"/>
        </w:rPr>
        <w:t>with sufficient clarity the scope of any such discretion conferred on the competent authorities and the manner of its exercise</w:t>
      </w:r>
      <w:r>
        <w:rPr>
          <w:rFonts w:ascii="Cambria" w:hAnsi="Cambria"/>
          <w:spacing w:val="-2"/>
          <w:sz w:val="20"/>
          <w:szCs w:val="20"/>
          <w:lang w:val="en-US"/>
        </w:rPr>
        <w:t>.</w:t>
      </w:r>
      <w:r w:rsidRPr="001D1232">
        <w:rPr>
          <w:rFonts w:ascii="Cambria" w:hAnsi="Cambria"/>
          <w:spacing w:val="-2"/>
          <w:sz w:val="20"/>
          <w:szCs w:val="20"/>
          <w:lang w:val="en-US"/>
        </w:rPr>
        <w:t>”</w:t>
      </w:r>
      <w:r w:rsidRPr="001D1232">
        <w:rPr>
          <w:rStyle w:val="FootnoteReference"/>
          <w:rFonts w:ascii="Cambria" w:eastAsia="Trebuchet MS" w:hAnsi="Cambria"/>
          <w:spacing w:val="-2"/>
          <w:sz w:val="20"/>
          <w:szCs w:val="20"/>
          <w:lang w:val="en-US"/>
        </w:rPr>
        <w:footnoteReference w:id="93"/>
      </w:r>
      <w:r w:rsidRPr="001D1232">
        <w:rPr>
          <w:rFonts w:ascii="Cambria" w:hAnsi="Cambria"/>
          <w:spacing w:val="-2"/>
          <w:sz w:val="20"/>
          <w:szCs w:val="20"/>
          <w:lang w:val="en-US"/>
        </w:rPr>
        <w:t xml:space="preserve"> </w:t>
      </w:r>
      <w:bookmarkEnd w:id="50"/>
    </w:p>
    <w:p w14:paraId="235D0A1B" w14:textId="77777777" w:rsidR="00DE02AA" w:rsidRPr="001D1232" w:rsidRDefault="00DE02AA" w:rsidP="00DE02AA">
      <w:pPr>
        <w:jc w:val="both"/>
        <w:rPr>
          <w:rFonts w:ascii="Cambria" w:eastAsia="Times New Roman" w:hAnsi="Cambria"/>
          <w:sz w:val="20"/>
          <w:szCs w:val="20"/>
        </w:rPr>
      </w:pPr>
    </w:p>
    <w:p w14:paraId="43597D3C"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applying these standards to the specific case, the European Court noted that expressions such as that the authority may be used when it is beneficial or useful for preventing acts of terrorism, in the absence of a requirement of “necessity,” could require a determination of proportionality of the measure in each case. It noted that due to this breadth, it is difficult to show, before an oversight body, that the public servant acted beyond the authority granted or engaged in an abuse of authority. It emphasized the fact that the domestic regulation referred to the way in which the procedure should be carried out, but it did not establish </w:t>
      </w:r>
      <w:r w:rsidRPr="001D1232">
        <w:rPr>
          <w:rFonts w:ascii="Cambria" w:hAnsi="Cambria"/>
          <w:sz w:val="20"/>
          <w:szCs w:val="20"/>
          <w:lang w:val="en-US"/>
        </w:rPr>
        <w:t>“</w:t>
      </w:r>
      <w:r>
        <w:rPr>
          <w:rFonts w:ascii="Cambria" w:hAnsi="Cambria"/>
          <w:sz w:val="20"/>
          <w:szCs w:val="20"/>
          <w:lang w:val="en-US"/>
        </w:rPr>
        <w:t xml:space="preserve">any restriction on the officer’s decision to </w:t>
      </w:r>
      <w:r w:rsidRPr="001D1232">
        <w:rPr>
          <w:rFonts w:ascii="Cambria" w:hAnsi="Cambria"/>
          <w:sz w:val="20"/>
          <w:szCs w:val="20"/>
          <w:lang w:val="en-US"/>
        </w:rPr>
        <w:t xml:space="preserve">stop </w:t>
      </w:r>
      <w:r>
        <w:rPr>
          <w:rFonts w:ascii="Cambria" w:hAnsi="Cambria"/>
          <w:sz w:val="20"/>
          <w:szCs w:val="20"/>
          <w:lang w:val="en-US"/>
        </w:rPr>
        <w:t xml:space="preserve">and search.” In response to the State’s argument that the authority is exercised based on “professional intuition,” </w:t>
      </w:r>
      <w:bookmarkStart w:id="51" w:name="para83"/>
      <w:r>
        <w:rPr>
          <w:rFonts w:ascii="Cambria" w:hAnsi="Cambria"/>
          <w:sz w:val="20"/>
          <w:szCs w:val="20"/>
          <w:lang w:val="en-US"/>
        </w:rPr>
        <w:t>the European Court indicated as problematic that, under this regulation, it is not necessary for the officer to show the existence of a reasonable suspicion, regulating only the purpose, i.e. to prevent terrorism.</w:t>
      </w:r>
      <w:r w:rsidRPr="001D1232">
        <w:rPr>
          <w:rStyle w:val="FootnoteReference"/>
          <w:rFonts w:ascii="Cambria" w:eastAsia="Trebuchet MS" w:hAnsi="Cambria"/>
          <w:spacing w:val="-2"/>
          <w:sz w:val="20"/>
          <w:szCs w:val="20"/>
          <w:lang w:val="en-US"/>
        </w:rPr>
        <w:footnoteReference w:id="94"/>
      </w:r>
      <w:r w:rsidRPr="001D1232">
        <w:rPr>
          <w:rFonts w:ascii="Cambria" w:hAnsi="Cambria"/>
          <w:sz w:val="20"/>
          <w:szCs w:val="20"/>
          <w:lang w:val="en-US"/>
        </w:rPr>
        <w:t xml:space="preserve"> </w:t>
      </w:r>
    </w:p>
    <w:bookmarkEnd w:id="51"/>
    <w:p w14:paraId="5B262EF4" w14:textId="77777777" w:rsidR="00DE02AA" w:rsidRPr="001D1232" w:rsidRDefault="00DE02AA" w:rsidP="00DE02AA">
      <w:pPr>
        <w:jc w:val="both"/>
        <w:rPr>
          <w:rFonts w:ascii="Cambria" w:eastAsia="Times New Roman" w:hAnsi="Cambria"/>
          <w:sz w:val="20"/>
          <w:szCs w:val="20"/>
        </w:rPr>
      </w:pPr>
    </w:p>
    <w:p w14:paraId="62E41D68"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Court also indicated that there is a clear risk of arbitrariness and discrimination in the granting of such broad powers to a police officer, </w:t>
      </w:r>
      <w:bookmarkStart w:id="52" w:name="para85"/>
      <w:r>
        <w:rPr>
          <w:rFonts w:ascii="Cambria" w:hAnsi="Cambria"/>
          <w:sz w:val="20"/>
          <w:szCs w:val="20"/>
          <w:lang w:val="en-US"/>
        </w:rPr>
        <w:t>finding that there are differential impacts with respect to certain groups affected by their exercise.</w:t>
      </w:r>
      <w:r w:rsidRPr="001D1232">
        <w:rPr>
          <w:rStyle w:val="FootnoteReference"/>
          <w:rFonts w:ascii="Cambria" w:eastAsia="Trebuchet MS" w:hAnsi="Cambria"/>
          <w:spacing w:val="-2"/>
          <w:sz w:val="20"/>
          <w:szCs w:val="20"/>
          <w:lang w:val="en-US"/>
        </w:rPr>
        <w:footnoteReference w:id="95"/>
      </w:r>
      <w:r w:rsidRPr="001D1232">
        <w:rPr>
          <w:rFonts w:ascii="Cambria" w:hAnsi="Cambria"/>
          <w:sz w:val="20"/>
          <w:szCs w:val="20"/>
          <w:lang w:val="en-US"/>
        </w:rPr>
        <w:t xml:space="preserve"> </w:t>
      </w:r>
    </w:p>
    <w:p w14:paraId="644905A8" w14:textId="77777777" w:rsidR="00DE02AA" w:rsidRPr="001D1232" w:rsidRDefault="00DE02AA" w:rsidP="00DE02AA">
      <w:pPr>
        <w:jc w:val="both"/>
        <w:rPr>
          <w:rFonts w:ascii="Cambria" w:eastAsia="Times New Roman" w:hAnsi="Cambria"/>
          <w:sz w:val="20"/>
          <w:szCs w:val="20"/>
        </w:rPr>
      </w:pPr>
      <w:r w:rsidRPr="001D1232">
        <w:rPr>
          <w:rFonts w:ascii="Cambria" w:eastAsia="Times New Roman" w:hAnsi="Cambria"/>
          <w:sz w:val="20"/>
          <w:szCs w:val="20"/>
        </w:rPr>
        <w:t xml:space="preserve"> </w:t>
      </w:r>
      <w:bookmarkEnd w:id="52"/>
    </w:p>
    <w:p w14:paraId="606AE6EE"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lastRenderedPageBreak/>
        <w:t>For his part, the Rapporteur on Torture, referring to the pursuit of terrorism</w:t>
      </w:r>
      <w:r w:rsidRPr="001D1232">
        <w:rPr>
          <w:rFonts w:ascii="Cambria" w:hAnsi="Cambria"/>
          <w:sz w:val="20"/>
          <w:szCs w:val="20"/>
          <w:lang w:val="en-US"/>
        </w:rPr>
        <w:t xml:space="preserve">, </w:t>
      </w:r>
      <w:r>
        <w:rPr>
          <w:rFonts w:ascii="Cambria" w:hAnsi="Cambria"/>
          <w:sz w:val="20"/>
          <w:szCs w:val="20"/>
          <w:lang w:val="en-US"/>
        </w:rPr>
        <w:t xml:space="preserve">has underscored that </w:t>
      </w:r>
      <w:r w:rsidRPr="001D1232">
        <w:rPr>
          <w:rFonts w:ascii="Cambria" w:hAnsi="Cambria"/>
          <w:sz w:val="20"/>
          <w:szCs w:val="20"/>
          <w:lang w:val="en-US"/>
        </w:rPr>
        <w:t>“</w:t>
      </w:r>
      <w:r w:rsidRPr="007F708A">
        <w:rPr>
          <w:rFonts w:ascii="Cambria" w:hAnsi="Cambria"/>
          <w:sz w:val="20"/>
          <w:szCs w:val="20"/>
          <w:lang w:val="en-US"/>
        </w:rPr>
        <w:t xml:space="preserve">the exigencies of dealing with terrorist criminal activities cannot justify </w:t>
      </w:r>
      <w:r>
        <w:rPr>
          <w:rFonts w:ascii="Cambria" w:hAnsi="Cambria"/>
          <w:sz w:val="20"/>
          <w:szCs w:val="20"/>
          <w:lang w:val="en-US"/>
        </w:rPr>
        <w:t>interpreting the notion of the ‘reasonableness’</w:t>
      </w:r>
      <w:r w:rsidRPr="007F708A">
        <w:rPr>
          <w:rFonts w:ascii="Cambria" w:hAnsi="Cambria"/>
          <w:sz w:val="20"/>
          <w:szCs w:val="20"/>
          <w:lang w:val="en-US"/>
        </w:rPr>
        <w:t xml:space="preserve"> of the suspicion on which an arrest and then a detention may be based, to the point of impairing its very meaning.</w:t>
      </w:r>
      <w:r w:rsidRPr="001D1232">
        <w:rPr>
          <w:rFonts w:ascii="Cambria" w:hAnsi="Cambria"/>
          <w:sz w:val="20"/>
          <w:szCs w:val="20"/>
          <w:lang w:val="en-US"/>
        </w:rPr>
        <w:t>”</w:t>
      </w:r>
      <w:r w:rsidRPr="001D1232">
        <w:rPr>
          <w:rStyle w:val="FootnoteReference"/>
          <w:rFonts w:eastAsia="Batang"/>
          <w:lang w:val="en-US"/>
        </w:rPr>
        <w:footnoteReference w:id="96"/>
      </w:r>
      <w:r w:rsidRPr="001D1232">
        <w:rPr>
          <w:rFonts w:ascii="Cambria" w:hAnsi="Cambria"/>
          <w:sz w:val="20"/>
          <w:szCs w:val="20"/>
          <w:lang w:val="en-US"/>
        </w:rPr>
        <w:t xml:space="preserve"> </w:t>
      </w:r>
    </w:p>
    <w:p w14:paraId="002A1DB1"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AC1D1FC"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z w:val="20"/>
          <w:szCs w:val="20"/>
          <w:lang w:val="en-US"/>
        </w:rPr>
        <w:t xml:space="preserve">Along the same lines, the current United Nations Special Rapporteur on contemporary forms of </w:t>
      </w:r>
      <w:r>
        <w:rPr>
          <w:rFonts w:ascii="Cambria" w:hAnsi="Cambria" w:cs="Arial"/>
          <w:sz w:val="20"/>
          <w:szCs w:val="20"/>
          <w:lang w:val="en-US"/>
        </w:rPr>
        <w:t>racism</w:t>
      </w:r>
      <w:r w:rsidRPr="001D1232">
        <w:rPr>
          <w:rFonts w:ascii="Cambria" w:hAnsi="Cambria" w:cs="Arial"/>
          <w:sz w:val="20"/>
          <w:szCs w:val="20"/>
          <w:lang w:val="en-US"/>
        </w:rPr>
        <w:t>, racial</w:t>
      </w:r>
      <w:r>
        <w:rPr>
          <w:rFonts w:ascii="Cambria" w:hAnsi="Cambria" w:cs="Arial"/>
          <w:sz w:val="20"/>
          <w:szCs w:val="20"/>
          <w:lang w:val="en-US"/>
        </w:rPr>
        <w:t xml:space="preserve"> discrimination</w:t>
      </w:r>
      <w:r w:rsidRPr="001D1232">
        <w:rPr>
          <w:rFonts w:ascii="Cambria" w:hAnsi="Cambria" w:cs="Arial"/>
          <w:sz w:val="20"/>
          <w:szCs w:val="20"/>
          <w:lang w:val="en-US"/>
        </w:rPr>
        <w:t>, xeno</w:t>
      </w:r>
      <w:r>
        <w:rPr>
          <w:rFonts w:ascii="Cambria" w:hAnsi="Cambria" w:cs="Arial"/>
          <w:sz w:val="20"/>
          <w:szCs w:val="20"/>
          <w:lang w:val="en-US"/>
        </w:rPr>
        <w:t>ph</w:t>
      </w:r>
      <w:r w:rsidRPr="001D1232">
        <w:rPr>
          <w:rFonts w:ascii="Cambria" w:hAnsi="Cambria" w:cs="Arial"/>
          <w:sz w:val="20"/>
          <w:szCs w:val="20"/>
          <w:lang w:val="en-US"/>
        </w:rPr>
        <w:t>obia</w:t>
      </w:r>
      <w:r>
        <w:rPr>
          <w:rFonts w:ascii="Cambria" w:hAnsi="Cambria" w:cs="Arial"/>
          <w:sz w:val="20"/>
          <w:szCs w:val="20"/>
          <w:lang w:val="en-US"/>
        </w:rPr>
        <w:t xml:space="preserve"> and related intolerance </w:t>
      </w:r>
      <w:r w:rsidRPr="001D1232">
        <w:rPr>
          <w:rFonts w:ascii="Cambria" w:hAnsi="Cambria" w:cs="Arial"/>
          <w:sz w:val="20"/>
          <w:szCs w:val="20"/>
          <w:lang w:val="en-US"/>
        </w:rPr>
        <w:t>ha</w:t>
      </w:r>
      <w:r>
        <w:rPr>
          <w:rFonts w:ascii="Cambria" w:hAnsi="Cambria" w:cs="Arial"/>
          <w:sz w:val="20"/>
          <w:szCs w:val="20"/>
          <w:lang w:val="en-US"/>
        </w:rPr>
        <w:t>s</w:t>
      </w:r>
      <w:r w:rsidRPr="001D1232">
        <w:rPr>
          <w:rFonts w:ascii="Cambria" w:hAnsi="Cambria" w:cs="Arial"/>
          <w:sz w:val="20"/>
          <w:szCs w:val="20"/>
          <w:lang w:val="en-US"/>
        </w:rPr>
        <w:t xml:space="preserve"> consider</w:t>
      </w:r>
      <w:r>
        <w:rPr>
          <w:rFonts w:ascii="Cambria" w:hAnsi="Cambria" w:cs="Arial"/>
          <w:sz w:val="20"/>
          <w:szCs w:val="20"/>
          <w:lang w:val="en-US"/>
        </w:rPr>
        <w:t>ed that arrests based on racial and ethnic profiles are contrary to international standards due to their discriminatory nature.</w:t>
      </w:r>
      <w:r w:rsidRPr="001D1232">
        <w:rPr>
          <w:rStyle w:val="FootnoteReference"/>
          <w:rFonts w:ascii="Cambria" w:eastAsia="Trebuchet MS" w:hAnsi="Cambria"/>
          <w:sz w:val="20"/>
          <w:szCs w:val="20"/>
          <w:lang w:val="en-US"/>
        </w:rPr>
        <w:footnoteReference w:id="97"/>
      </w:r>
    </w:p>
    <w:p w14:paraId="28A1A3B7"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5C126C4F"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The United Nations Working Group on Arbitrary Detention has indicated that if there are reasonable indicia of a violation of the international requirements then the state bears the burden of proof.</w:t>
      </w:r>
      <w:r w:rsidRPr="001D1232">
        <w:rPr>
          <w:rStyle w:val="FootnoteReference"/>
          <w:rFonts w:ascii="Cambria" w:eastAsia="Trebuchet MS" w:hAnsi="Cambria"/>
          <w:sz w:val="20"/>
          <w:szCs w:val="20"/>
          <w:lang w:val="en-US"/>
        </w:rPr>
        <w:footnoteReference w:id="98"/>
      </w:r>
    </w:p>
    <w:p w14:paraId="49D201D1" w14:textId="77777777" w:rsidR="00DE02AA" w:rsidRPr="001D1232" w:rsidRDefault="00DE02AA" w:rsidP="00DE02AA">
      <w:pPr>
        <w:ind w:right="720"/>
        <w:jc w:val="both"/>
        <w:rPr>
          <w:rFonts w:ascii="Cambria" w:eastAsia="Times New Roman" w:hAnsi="Cambria"/>
          <w:sz w:val="20"/>
          <w:szCs w:val="20"/>
        </w:rPr>
      </w:pPr>
    </w:p>
    <w:p w14:paraId="189C9714"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Calibri"/>
          <w:sz w:val="20"/>
          <w:szCs w:val="20"/>
          <w:lang w:val="en-US"/>
        </w:rPr>
      </w:pPr>
      <w:r>
        <w:rPr>
          <w:rFonts w:ascii="Cambria" w:hAnsi="Cambria"/>
          <w:sz w:val="20"/>
          <w:szCs w:val="20"/>
          <w:lang w:val="en-US"/>
        </w:rPr>
        <w:t>Finally</w:t>
      </w:r>
      <w:r w:rsidRPr="001D1232">
        <w:rPr>
          <w:rFonts w:ascii="Cambria" w:hAnsi="Cambria"/>
          <w:sz w:val="20"/>
          <w:szCs w:val="20"/>
          <w:lang w:val="en-US"/>
        </w:rPr>
        <w:t xml:space="preserve">, </w:t>
      </w:r>
      <w:r>
        <w:rPr>
          <w:rFonts w:ascii="Cambria" w:hAnsi="Cambria"/>
          <w:sz w:val="20"/>
          <w:szCs w:val="20"/>
          <w:lang w:val="en-US"/>
        </w:rPr>
        <w:t xml:space="preserve">as per the repeated case-law of the Inter-American Court, Article </w:t>
      </w:r>
      <w:r w:rsidRPr="001D1232">
        <w:rPr>
          <w:rFonts w:ascii="Cambria" w:hAnsi="Cambria" w:cs="Calibri"/>
          <w:sz w:val="20"/>
          <w:szCs w:val="20"/>
          <w:lang w:val="en-US"/>
        </w:rPr>
        <w:t>25</w:t>
      </w:r>
      <w:r>
        <w:rPr>
          <w:rFonts w:ascii="Cambria" w:hAnsi="Cambria" w:cs="Calibri"/>
          <w:sz w:val="20"/>
          <w:szCs w:val="20"/>
          <w:lang w:val="en-US"/>
        </w:rPr>
        <w:t>(</w:t>
      </w:r>
      <w:r w:rsidRPr="001D1232">
        <w:rPr>
          <w:rFonts w:ascii="Cambria" w:hAnsi="Cambria" w:cs="Calibri"/>
          <w:sz w:val="20"/>
          <w:szCs w:val="20"/>
          <w:lang w:val="en-US"/>
        </w:rPr>
        <w:t>1</w:t>
      </w:r>
      <w:r>
        <w:rPr>
          <w:rFonts w:ascii="Cambria" w:hAnsi="Cambria" w:cs="Calibri"/>
          <w:sz w:val="20"/>
          <w:szCs w:val="20"/>
          <w:lang w:val="en-US"/>
        </w:rPr>
        <w:t>) of the Convention</w:t>
      </w:r>
    </w:p>
    <w:p w14:paraId="4A5CA02C" w14:textId="77777777" w:rsidR="00DE02AA" w:rsidRPr="001D1232" w:rsidRDefault="00DE02AA" w:rsidP="00DE02AA">
      <w:pPr>
        <w:ind w:left="720"/>
        <w:jc w:val="both"/>
        <w:rPr>
          <w:rFonts w:ascii="Cambria" w:hAnsi="Cambria" w:cs="Calibri"/>
          <w:sz w:val="20"/>
          <w:szCs w:val="20"/>
        </w:rPr>
      </w:pPr>
    </w:p>
    <w:p w14:paraId="5E79A3E1" w14:textId="77777777" w:rsidR="00DE02AA" w:rsidRPr="001D1232" w:rsidRDefault="00DE02AA" w:rsidP="00DE02AA">
      <w:pPr>
        <w:widowControl w:val="0"/>
        <w:autoSpaceDE w:val="0"/>
        <w:autoSpaceDN w:val="0"/>
        <w:adjustRightInd w:val="0"/>
        <w:ind w:left="720" w:right="720"/>
        <w:jc w:val="both"/>
        <w:rPr>
          <w:rFonts w:ascii="Cambria" w:hAnsi="Cambria"/>
          <w:b/>
          <w:sz w:val="20"/>
          <w:szCs w:val="20"/>
        </w:rPr>
      </w:pPr>
      <w:r>
        <w:rPr>
          <w:rFonts w:ascii="Cambria" w:hAnsi="Cambria"/>
          <w:sz w:val="20"/>
          <w:szCs w:val="20"/>
        </w:rPr>
        <w:t>…</w:t>
      </w:r>
      <w:r w:rsidRPr="001D1232">
        <w:rPr>
          <w:rFonts w:ascii="Cambria" w:hAnsi="Cambria"/>
          <w:sz w:val="20"/>
          <w:szCs w:val="20"/>
        </w:rPr>
        <w:t xml:space="preserve"> </w:t>
      </w:r>
      <w:r w:rsidRPr="00800EDE">
        <w:rPr>
          <w:rFonts w:ascii="Cambria" w:hAnsi="Cambria"/>
          <w:sz w:val="20"/>
          <w:szCs w:val="20"/>
        </w:rPr>
        <w:t>includes an obligation for States Party to guarantee all persons under its jurisdiction access to an effective judicial remedy against acts that violate their fundamental rights.  This effectiveness supposes that in addition to the formal existence of the remedies, they get results or responses to the violations of the rights contemplated in the Convention, in the Constitution or in laws</w:t>
      </w:r>
      <w:r>
        <w:rPr>
          <w:rFonts w:ascii="Cambria" w:hAnsi="Cambria"/>
          <w:sz w:val="20"/>
          <w:szCs w:val="20"/>
        </w:rPr>
        <w:t xml:space="preserve">.… </w:t>
      </w:r>
      <w:r w:rsidRPr="00800EDE">
        <w:rPr>
          <w:rFonts w:ascii="Cambria" w:hAnsi="Cambria"/>
          <w:sz w:val="20"/>
          <w:szCs w:val="20"/>
        </w:rPr>
        <w:t>Thus the proceeding must tend toward the materialization of the protection of the right recognized in the judicial ruling through the suitable application of that ruling</w:t>
      </w:r>
      <w:r>
        <w:rPr>
          <w:rFonts w:ascii="Cambria" w:hAnsi="Cambria"/>
          <w:sz w:val="20"/>
          <w:szCs w:val="20"/>
        </w:rPr>
        <w:t>.</w:t>
      </w:r>
      <w:r w:rsidRPr="001D1232">
        <w:rPr>
          <w:rStyle w:val="FootnoteReference"/>
          <w:rFonts w:ascii="Cambria" w:hAnsi="Cambria"/>
          <w:sz w:val="20"/>
          <w:szCs w:val="20"/>
        </w:rPr>
        <w:footnoteReference w:id="99"/>
      </w:r>
      <w:r>
        <w:rPr>
          <w:rFonts w:ascii="Cambria" w:hAnsi="Cambria"/>
          <w:sz w:val="20"/>
          <w:szCs w:val="20"/>
        </w:rPr>
        <w:t xml:space="preserve"> </w:t>
      </w:r>
    </w:p>
    <w:p w14:paraId="7B90DE27" w14:textId="77777777" w:rsidR="00DE02AA" w:rsidRPr="001D1232" w:rsidRDefault="00DE02AA" w:rsidP="00DE02AA">
      <w:pPr>
        <w:jc w:val="both"/>
        <w:rPr>
          <w:rFonts w:ascii="Cambria" w:hAnsi="Cambria"/>
          <w:sz w:val="20"/>
          <w:szCs w:val="20"/>
        </w:rPr>
      </w:pPr>
    </w:p>
    <w:p w14:paraId="7FA78230"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Accordingly, for there to be an effective remedy it does not suffice that it is provided for in a provision, or that it is formally admissible, but rather it must be genuinely suitable for establishing whether there has been a human rights violation and provide as necessary to remedy it.</w:t>
      </w:r>
      <w:r w:rsidRPr="001D1232">
        <w:rPr>
          <w:rFonts w:ascii="Cambria" w:hAnsi="Cambria"/>
          <w:sz w:val="20"/>
          <w:szCs w:val="20"/>
          <w:vertAlign w:val="superscript"/>
          <w:lang w:val="en-US"/>
        </w:rPr>
        <w:footnoteReference w:id="100"/>
      </w:r>
    </w:p>
    <w:p w14:paraId="583A6DBD"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5490C0B4"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Constitution in force at the time of the facts establishes at Article 18 that “no one may be … arrested other than by written order of a competent authority.” The IACHR recalls that said provision </w:t>
      </w:r>
      <w:r w:rsidRPr="001D1232">
        <w:rPr>
          <w:rFonts w:ascii="Cambria" w:hAnsi="Cambria"/>
          <w:sz w:val="20"/>
          <w:szCs w:val="20"/>
          <w:lang w:val="en-US"/>
        </w:rPr>
        <w:t>“</w:t>
      </w:r>
      <w:r>
        <w:rPr>
          <w:rFonts w:ascii="Cambria" w:hAnsi="Cambria"/>
          <w:sz w:val="20"/>
          <w:szCs w:val="20"/>
          <w:lang w:val="en-US"/>
        </w:rPr>
        <w:t>does not set beforehand any cause or condition for detention.</w:t>
      </w:r>
      <w:r w:rsidRPr="001D1232">
        <w:rPr>
          <w:rFonts w:ascii="Cambria" w:hAnsi="Cambria"/>
          <w:sz w:val="20"/>
          <w:szCs w:val="20"/>
          <w:lang w:val="en-US"/>
        </w:rPr>
        <w:t>”</w:t>
      </w:r>
      <w:r w:rsidRPr="001D1232">
        <w:rPr>
          <w:rStyle w:val="FootnoteReference"/>
          <w:rFonts w:ascii="Cambria" w:eastAsia="Trebuchet MS" w:hAnsi="Cambria"/>
          <w:sz w:val="20"/>
          <w:szCs w:val="20"/>
          <w:lang w:val="en-US"/>
        </w:rPr>
        <w:footnoteReference w:id="101"/>
      </w:r>
      <w:r>
        <w:rPr>
          <w:rFonts w:ascii="Cambria" w:hAnsi="Cambria"/>
          <w:sz w:val="20"/>
          <w:szCs w:val="20"/>
          <w:lang w:val="en-US"/>
        </w:rPr>
        <w:t xml:space="preserve"> On referring to the “competent authority” the Constitution does not expressly regulate in whom such competence vests.</w:t>
      </w:r>
      <w:r w:rsidRPr="001D1232">
        <w:rPr>
          <w:rStyle w:val="FootnoteReference"/>
          <w:rFonts w:ascii="Cambria" w:eastAsia="Trebuchet MS" w:hAnsi="Cambria"/>
          <w:sz w:val="20"/>
          <w:szCs w:val="20"/>
          <w:lang w:val="en-US"/>
        </w:rPr>
        <w:footnoteReference w:id="102"/>
      </w:r>
      <w:r w:rsidRPr="001D1232">
        <w:rPr>
          <w:rFonts w:ascii="Cambria" w:hAnsi="Cambria"/>
          <w:sz w:val="20"/>
          <w:szCs w:val="20"/>
          <w:lang w:val="en-US"/>
        </w:rPr>
        <w:t xml:space="preserve"> </w:t>
      </w:r>
      <w:r>
        <w:rPr>
          <w:rFonts w:ascii="Cambria" w:hAnsi="Cambria"/>
          <w:sz w:val="20"/>
          <w:szCs w:val="20"/>
          <w:lang w:val="en-US"/>
        </w:rPr>
        <w:t xml:space="preserve">Accordingly, the Commission must turn to other areas of the legal system, mindful of the specific circumstances in each case and the parties’ arguments. </w:t>
      </w:r>
    </w:p>
    <w:p w14:paraId="503D9973" w14:textId="77777777" w:rsidR="00DE02AA" w:rsidRPr="001D1232" w:rsidRDefault="00DE02AA" w:rsidP="00DE02AA">
      <w:pPr>
        <w:ind w:left="720"/>
        <w:jc w:val="both"/>
        <w:rPr>
          <w:rFonts w:ascii="Cambria" w:hAnsi="Cambria"/>
          <w:sz w:val="20"/>
          <w:szCs w:val="20"/>
        </w:rPr>
      </w:pPr>
    </w:p>
    <w:p w14:paraId="6634A55F"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As indicated in the section on facts proven, the Code of Criminal Procedure, in 1992, allowed for the detention </w:t>
      </w:r>
      <w:r w:rsidRPr="001D1232">
        <w:rPr>
          <w:rFonts w:ascii="Cambria" w:hAnsi="Cambria"/>
          <w:sz w:val="20"/>
          <w:szCs w:val="20"/>
          <w:lang w:val="en-US"/>
        </w:rPr>
        <w:t>“</w:t>
      </w:r>
      <w:r>
        <w:rPr>
          <w:rFonts w:ascii="Cambria" w:hAnsi="Cambria"/>
          <w:sz w:val="20"/>
          <w:szCs w:val="20"/>
          <w:lang w:val="en-US"/>
        </w:rPr>
        <w:t xml:space="preserve">of those against whom there are vehement indicia or </w:t>
      </w:r>
      <w:r w:rsidRPr="00F80403">
        <w:rPr>
          <w:rFonts w:ascii="Cambria" w:eastAsia="SimSun" w:hAnsi="Cambria"/>
          <w:i/>
          <w:sz w:val="20"/>
          <w:szCs w:val="20"/>
          <w:lang w:val="en-US"/>
        </w:rPr>
        <w:t>prima facie</w:t>
      </w:r>
      <w:r>
        <w:rPr>
          <w:rFonts w:ascii="Cambria" w:eastAsia="SimSun" w:hAnsi="Cambria"/>
          <w:sz w:val="20"/>
          <w:szCs w:val="20"/>
          <w:lang w:val="en-US"/>
        </w:rPr>
        <w:t xml:space="preserve"> conclusive evidence</w:t>
      </w:r>
      <w:r>
        <w:rPr>
          <w:rFonts w:ascii="Cambria" w:hAnsi="Cambria"/>
          <w:sz w:val="20"/>
          <w:szCs w:val="20"/>
          <w:lang w:val="en-US"/>
        </w:rPr>
        <w:t xml:space="preserve"> guilt.” Law </w:t>
      </w:r>
      <w:r w:rsidRPr="001D1232">
        <w:rPr>
          <w:rFonts w:ascii="Cambria" w:hAnsi="Cambria"/>
          <w:sz w:val="20"/>
          <w:szCs w:val="20"/>
          <w:lang w:val="en-US"/>
        </w:rPr>
        <w:t>23</w:t>
      </w:r>
      <w:r>
        <w:rPr>
          <w:rFonts w:ascii="Cambria" w:hAnsi="Cambria"/>
          <w:sz w:val="20"/>
          <w:szCs w:val="20"/>
          <w:lang w:val="en-US"/>
        </w:rPr>
        <w:t>,</w:t>
      </w:r>
      <w:r w:rsidRPr="001D1232">
        <w:rPr>
          <w:rFonts w:ascii="Cambria" w:hAnsi="Cambria"/>
          <w:sz w:val="20"/>
          <w:szCs w:val="20"/>
          <w:lang w:val="en-US"/>
        </w:rPr>
        <w:t xml:space="preserve">950 </w:t>
      </w:r>
      <w:r>
        <w:rPr>
          <w:rFonts w:ascii="Cambria" w:hAnsi="Cambria"/>
          <w:sz w:val="20"/>
          <w:szCs w:val="20"/>
          <w:lang w:val="en-US"/>
        </w:rPr>
        <w:t xml:space="preserve">of 1991 established that a person should be held “if there are duly founded circumstances that allow one to presume that someone has committed or may commit a criminal act.” In addition, the reform to the Code of Criminal Procedure </w:t>
      </w:r>
      <w:r w:rsidRPr="001D1232">
        <w:rPr>
          <w:rFonts w:ascii="Cambria" w:hAnsi="Cambria"/>
          <w:sz w:val="20"/>
          <w:szCs w:val="20"/>
          <w:lang w:val="en-US"/>
        </w:rPr>
        <w:t>indica</w:t>
      </w:r>
      <w:r>
        <w:rPr>
          <w:rFonts w:ascii="Cambria" w:hAnsi="Cambria"/>
          <w:sz w:val="20"/>
          <w:szCs w:val="20"/>
          <w:lang w:val="en-US"/>
        </w:rPr>
        <w:t xml:space="preserve">tes that the police agents should detain someone, even without judicial order, if “there are vehement indicia of guilt and there is an imminent danger of flight or serious impairment” of the proceedings. </w:t>
      </w:r>
    </w:p>
    <w:p w14:paraId="0CB90A20"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1C63495"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lastRenderedPageBreak/>
        <w:t xml:space="preserve">The IACHR notes that the analysis for determining the legality and non-arbitrary nature of the detention is focused on the moment when the police agents decided to hold, question, and search Messrs. </w:t>
      </w:r>
      <w:proofErr w:type="spellStart"/>
      <w:r w:rsidRPr="001D1232">
        <w:rPr>
          <w:rFonts w:ascii="Cambria" w:hAnsi="Cambria"/>
          <w:spacing w:val="-2"/>
          <w:sz w:val="20"/>
          <w:szCs w:val="20"/>
          <w:lang w:val="en-US"/>
        </w:rPr>
        <w:t>Fernández</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 xml:space="preserve">and </w:t>
      </w:r>
      <w:proofErr w:type="spellStart"/>
      <w:r>
        <w:rPr>
          <w:rFonts w:ascii="Cambria" w:hAnsi="Cambria"/>
          <w:spacing w:val="-2"/>
          <w:sz w:val="20"/>
          <w:szCs w:val="20"/>
          <w:lang w:val="en-US"/>
        </w:rPr>
        <w:t>Tumbeiro</w:t>
      </w:r>
      <w:proofErr w:type="spellEnd"/>
      <w:r>
        <w:rPr>
          <w:rFonts w:ascii="Cambria" w:hAnsi="Cambria"/>
          <w:spacing w:val="-2"/>
          <w:sz w:val="20"/>
          <w:szCs w:val="20"/>
          <w:lang w:val="en-US"/>
        </w:rPr>
        <w:t>, situations which, as indicated, the European Court has considered to be included in the right not to be unlawfully and arbitrarily deprived of liberty</w:t>
      </w:r>
      <w:r w:rsidRPr="001D1232">
        <w:rPr>
          <w:rFonts w:ascii="Cambria" w:hAnsi="Cambria"/>
          <w:spacing w:val="-2"/>
          <w:sz w:val="20"/>
          <w:szCs w:val="20"/>
          <w:lang w:val="en-US"/>
        </w:rPr>
        <w:t xml:space="preserve">. </w:t>
      </w:r>
      <w:r>
        <w:rPr>
          <w:rFonts w:ascii="Cambria" w:hAnsi="Cambria"/>
          <w:spacing w:val="-2"/>
          <w:sz w:val="20"/>
          <w:szCs w:val="20"/>
          <w:lang w:val="en-US"/>
        </w:rPr>
        <w:t xml:space="preserve">The analysis of the state action at that first moment in light of the safeguards in Articles </w:t>
      </w:r>
      <w:r w:rsidRPr="001D1232">
        <w:rPr>
          <w:rFonts w:ascii="Cambria" w:hAnsi="Cambria"/>
          <w:spacing w:val="-2"/>
          <w:sz w:val="20"/>
          <w:szCs w:val="20"/>
          <w:lang w:val="en-US"/>
        </w:rPr>
        <w:t xml:space="preserve">7 </w:t>
      </w:r>
      <w:r>
        <w:rPr>
          <w:rFonts w:ascii="Cambria" w:hAnsi="Cambria"/>
          <w:spacing w:val="-2"/>
          <w:sz w:val="20"/>
          <w:szCs w:val="20"/>
          <w:lang w:val="en-US"/>
        </w:rPr>
        <w:t xml:space="preserve">and </w:t>
      </w:r>
      <w:r w:rsidRPr="001D1232">
        <w:rPr>
          <w:rFonts w:ascii="Cambria" w:hAnsi="Cambria"/>
          <w:spacing w:val="-2"/>
          <w:sz w:val="20"/>
          <w:szCs w:val="20"/>
          <w:lang w:val="en-US"/>
        </w:rPr>
        <w:t xml:space="preserve">11 </w:t>
      </w:r>
      <w:r>
        <w:rPr>
          <w:rFonts w:ascii="Cambria" w:hAnsi="Cambria"/>
          <w:spacing w:val="-2"/>
          <w:sz w:val="20"/>
          <w:szCs w:val="20"/>
          <w:lang w:val="en-US"/>
        </w:rPr>
        <w:t>of the Convention is independent</w:t>
      </w:r>
      <w:r w:rsidRPr="001D1232">
        <w:rPr>
          <w:rFonts w:ascii="Cambria" w:hAnsi="Cambria"/>
          <w:spacing w:val="-2"/>
          <w:sz w:val="20"/>
          <w:szCs w:val="20"/>
          <w:lang w:val="en-US"/>
        </w:rPr>
        <w:t xml:space="preserve"> </w:t>
      </w:r>
      <w:r>
        <w:rPr>
          <w:rFonts w:ascii="Cambria" w:hAnsi="Cambria"/>
          <w:spacing w:val="-2"/>
          <w:sz w:val="20"/>
          <w:szCs w:val="20"/>
          <w:lang w:val="en-US"/>
        </w:rPr>
        <w:t xml:space="preserve">of the fact that after the search and even throughout the criminal proceeding it was found that the alleged victims in effect had committed a crime, which is outside of the scope of this analysis. </w:t>
      </w:r>
    </w:p>
    <w:p w14:paraId="1BDC127F" w14:textId="77777777" w:rsidR="00DE02AA" w:rsidRPr="001D1232" w:rsidRDefault="00DE02AA" w:rsidP="00DE02AA">
      <w:pPr>
        <w:ind w:left="720"/>
        <w:jc w:val="both"/>
        <w:rPr>
          <w:rFonts w:ascii="Cambria" w:hAnsi="Cambria"/>
          <w:spacing w:val="-2"/>
          <w:sz w:val="20"/>
          <w:szCs w:val="20"/>
        </w:rPr>
      </w:pPr>
    </w:p>
    <w:p w14:paraId="64BE47DC"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In the instant case it is not disputed that Messrs. </w:t>
      </w:r>
      <w:proofErr w:type="spellStart"/>
      <w:r w:rsidRPr="001D1232">
        <w:rPr>
          <w:rFonts w:ascii="Cambria" w:hAnsi="Cambria"/>
          <w:spacing w:val="-2"/>
          <w:sz w:val="20"/>
          <w:szCs w:val="20"/>
          <w:lang w:val="en-US"/>
        </w:rPr>
        <w:t>Fernández</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 xml:space="preserve">and </w:t>
      </w:r>
      <w:proofErr w:type="spellStart"/>
      <w:r w:rsidRPr="001D1232">
        <w:rPr>
          <w:rFonts w:ascii="Cambria" w:hAnsi="Cambria"/>
          <w:spacing w:val="-2"/>
          <w:sz w:val="20"/>
          <w:szCs w:val="20"/>
          <w:lang w:val="en-US"/>
        </w:rPr>
        <w:t>Tumbeiro</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 xml:space="preserve">were stopped and searched by police agents without a court order. Nor was it possible to perceive any situation of flagrancy at the moment the police agents decided to stop and search them. Accordingly, it is clear that the reasons that led to the stops and searches, whose findings led, in turn, to the arrest, were not based on these criteria, but on the police power to stop a person for suspicion in the terms regulated in the legislation. </w:t>
      </w:r>
    </w:p>
    <w:p w14:paraId="72D7A5D3"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560186DD"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The Commission considers that the states may and should regulate, in their provisions, the reasons, circumstances, and procedures that justify a deprivation of liberty and conducting a search</w:t>
      </w:r>
      <w:r w:rsidRPr="001D1232">
        <w:rPr>
          <w:rFonts w:ascii="Cambria" w:hAnsi="Cambria"/>
          <w:spacing w:val="-2"/>
          <w:sz w:val="20"/>
          <w:szCs w:val="20"/>
          <w:lang w:val="en-US"/>
        </w:rPr>
        <w:t xml:space="preserve">. </w:t>
      </w:r>
      <w:r>
        <w:rPr>
          <w:rFonts w:ascii="Cambria" w:hAnsi="Cambria"/>
          <w:spacing w:val="-2"/>
          <w:sz w:val="20"/>
          <w:szCs w:val="20"/>
          <w:lang w:val="en-US"/>
        </w:rPr>
        <w:t xml:space="preserve">Nonetheless, in keeping with the standards described, Article 7(2) of the Convention requires not only the existence of such a regulation, but that it be as clear and detailed as possible and in keeping with the foreseeability that underlies the principle of juridical security. More specifically, the Commission considers it acceptable, in principle, for the states to grant police officers powers for crime prevention. Nonetheless, these powers should be accompanied by safeguards both in the legislation and in the institution, through adequate trainings, as well as by establishing serious mechanisms to ensure the accountability of police action. The existence of these safeguards is aimed at preventing arbitrary detentions in the terms of Article </w:t>
      </w:r>
      <w:r w:rsidRPr="001D1232">
        <w:rPr>
          <w:rFonts w:ascii="Cambria" w:hAnsi="Cambria"/>
          <w:spacing w:val="-2"/>
          <w:sz w:val="20"/>
          <w:szCs w:val="20"/>
          <w:lang w:val="en-US"/>
        </w:rPr>
        <w:t>7</w:t>
      </w:r>
      <w:r>
        <w:rPr>
          <w:rFonts w:ascii="Cambria" w:hAnsi="Cambria"/>
          <w:spacing w:val="-2"/>
          <w:sz w:val="20"/>
          <w:szCs w:val="20"/>
          <w:lang w:val="en-US"/>
        </w:rPr>
        <w:t>(</w:t>
      </w:r>
      <w:r w:rsidRPr="001D1232">
        <w:rPr>
          <w:rFonts w:ascii="Cambria" w:hAnsi="Cambria"/>
          <w:spacing w:val="-2"/>
          <w:sz w:val="20"/>
          <w:szCs w:val="20"/>
          <w:lang w:val="en-US"/>
        </w:rPr>
        <w:t>3</w:t>
      </w:r>
      <w:r>
        <w:rPr>
          <w:rFonts w:ascii="Cambria" w:hAnsi="Cambria"/>
          <w:spacing w:val="-2"/>
          <w:sz w:val="20"/>
          <w:szCs w:val="20"/>
          <w:lang w:val="en-US"/>
        </w:rPr>
        <w:t xml:space="preserve">) of the Convention, even in the legitimate context of preventing crime. </w:t>
      </w:r>
    </w:p>
    <w:p w14:paraId="139FA5D4"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6EA96BD0"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The Commission observes that the regulation that granted the authority applied in the case is extremely vague and does not include specific references to objective reasons or parameters that could potentially justify the suspicion. In addition, the legislation does not include any requirement that the police authorities be accountable, in writing and to their superiors, for the detail of the reasons that led to the arrest and search. In addition, from the context described in the section of facts proven, it appears that the incidents in this case are not isolated but that these provisions and their application in practice have resulted in abusive actions by the police. </w:t>
      </w:r>
    </w:p>
    <w:p w14:paraId="7499F46F"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5143397D"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In the case of Mr. </w:t>
      </w:r>
      <w:proofErr w:type="spellStart"/>
      <w:r w:rsidRPr="001D1232">
        <w:rPr>
          <w:rFonts w:ascii="Cambria" w:hAnsi="Cambria"/>
          <w:spacing w:val="-2"/>
          <w:sz w:val="20"/>
          <w:szCs w:val="20"/>
          <w:lang w:val="en-US"/>
        </w:rPr>
        <w:t>Fernández</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 xml:space="preserve">the arrest report only indicates that he had a “suspicious attitude.” The IACHR takes note that said report does not explain what “suspicious attitude” means when applied to the circumstances of time, manner, and place of Mr. </w:t>
      </w:r>
      <w:proofErr w:type="spellStart"/>
      <w:r w:rsidRPr="001D1232">
        <w:rPr>
          <w:rFonts w:ascii="Cambria" w:hAnsi="Cambria"/>
          <w:spacing w:val="-2"/>
          <w:sz w:val="20"/>
          <w:szCs w:val="20"/>
          <w:lang w:val="en-US"/>
        </w:rPr>
        <w:t>Fernández</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 xml:space="preserve">nor does it mention other reasons for searching him and the vehicle in which he was traveling. </w:t>
      </w:r>
    </w:p>
    <w:p w14:paraId="1B01514C"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1C987EC5"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In the case of Mr. </w:t>
      </w:r>
      <w:proofErr w:type="spellStart"/>
      <w:r w:rsidRPr="001D1232">
        <w:rPr>
          <w:rFonts w:ascii="Cambria" w:hAnsi="Cambria"/>
          <w:spacing w:val="-2"/>
          <w:sz w:val="20"/>
          <w:szCs w:val="20"/>
          <w:lang w:val="en-US"/>
        </w:rPr>
        <w:t>Tumbeiro</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from the information submitted by the parties it appears that the initial detention was based on (</w:t>
      </w:r>
      <w:proofErr w:type="spellStart"/>
      <w:r w:rsidRPr="001D1232">
        <w:rPr>
          <w:rFonts w:ascii="Cambria" w:hAnsi="Cambria"/>
          <w:spacing w:val="-2"/>
          <w:sz w:val="20"/>
          <w:szCs w:val="20"/>
          <w:lang w:val="en-US"/>
        </w:rPr>
        <w:t>i</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 xml:space="preserve">a supposed </w:t>
      </w:r>
      <w:r w:rsidRPr="001D1232">
        <w:rPr>
          <w:rFonts w:ascii="Cambria" w:hAnsi="Cambria"/>
          <w:spacing w:val="-2"/>
          <w:sz w:val="20"/>
          <w:szCs w:val="20"/>
          <w:lang w:val="en-US"/>
        </w:rPr>
        <w:t>“</w:t>
      </w:r>
      <w:r>
        <w:rPr>
          <w:rFonts w:ascii="Cambria" w:hAnsi="Cambria"/>
          <w:spacing w:val="-2"/>
          <w:sz w:val="20"/>
          <w:szCs w:val="20"/>
          <w:lang w:val="en-US"/>
        </w:rPr>
        <w:t>state of nervousness</w:t>
      </w:r>
      <w:r w:rsidRPr="001D1232">
        <w:rPr>
          <w:rFonts w:ascii="Cambria" w:hAnsi="Cambria"/>
          <w:spacing w:val="-2"/>
          <w:sz w:val="20"/>
          <w:szCs w:val="20"/>
          <w:lang w:val="en-US"/>
        </w:rPr>
        <w:t xml:space="preserve">”; </w:t>
      </w:r>
      <w:r>
        <w:rPr>
          <w:rFonts w:ascii="Cambria" w:hAnsi="Cambria"/>
          <w:spacing w:val="-2"/>
          <w:sz w:val="20"/>
          <w:szCs w:val="20"/>
          <w:lang w:val="en-US"/>
        </w:rPr>
        <w:t>(</w:t>
      </w:r>
      <w:r w:rsidRPr="001D1232">
        <w:rPr>
          <w:rFonts w:ascii="Cambria" w:hAnsi="Cambria"/>
          <w:spacing w:val="-2"/>
          <w:sz w:val="20"/>
          <w:szCs w:val="20"/>
          <w:lang w:val="en-US"/>
        </w:rPr>
        <w:t xml:space="preserve">ii) </w:t>
      </w:r>
      <w:r>
        <w:rPr>
          <w:rFonts w:ascii="Cambria" w:hAnsi="Cambria"/>
          <w:spacing w:val="-2"/>
          <w:sz w:val="20"/>
          <w:szCs w:val="20"/>
          <w:lang w:val="en-US"/>
        </w:rPr>
        <w:t xml:space="preserve">that his attire </w:t>
      </w:r>
      <w:r w:rsidRPr="001D1232">
        <w:rPr>
          <w:rFonts w:ascii="Cambria" w:hAnsi="Cambria"/>
          <w:spacing w:val="-2"/>
          <w:sz w:val="20"/>
          <w:szCs w:val="20"/>
          <w:lang w:val="en-US"/>
        </w:rPr>
        <w:t>“</w:t>
      </w:r>
      <w:r>
        <w:rPr>
          <w:rFonts w:ascii="Cambria" w:hAnsi="Cambria"/>
          <w:spacing w:val="-2"/>
          <w:sz w:val="20"/>
          <w:szCs w:val="20"/>
          <w:lang w:val="en-US"/>
        </w:rPr>
        <w:t>was not similar to what one sees in the zone</w:t>
      </w:r>
      <w:r w:rsidRPr="001D1232">
        <w:rPr>
          <w:rFonts w:ascii="Cambria" w:hAnsi="Cambria"/>
          <w:spacing w:val="-2"/>
          <w:sz w:val="20"/>
          <w:szCs w:val="20"/>
          <w:lang w:val="en-US"/>
        </w:rPr>
        <w:t xml:space="preserve">”; </w:t>
      </w:r>
      <w:r>
        <w:rPr>
          <w:rFonts w:ascii="Cambria" w:hAnsi="Cambria"/>
          <w:spacing w:val="-2"/>
          <w:sz w:val="20"/>
          <w:szCs w:val="20"/>
          <w:lang w:val="en-US"/>
        </w:rPr>
        <w:t xml:space="preserve">and (iii) that he indicated that he was in the zone to purchase electronic products when such products are not sold there. </w:t>
      </w:r>
    </w:p>
    <w:p w14:paraId="2143FAD9"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47FB21E9"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The State confirmed the foregoing on noting that the police action, before verifying the supposed possession of narcotics, was based on the “reasonable suspicion” identified by the respective agents. </w:t>
      </w:r>
    </w:p>
    <w:p w14:paraId="0850C1A3"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1D214376"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Accordingly, the Commission observes that in neither of the two arrests were the objective elements that led to a degree of reasonable suspicion that a crime was being committed established in any detail, in the respective police documentation. In the case of Mr. </w:t>
      </w:r>
      <w:r w:rsidRPr="001D1232">
        <w:rPr>
          <w:rFonts w:ascii="Cambria" w:hAnsi="Cambria"/>
          <w:spacing w:val="-2"/>
          <w:sz w:val="20"/>
          <w:szCs w:val="20"/>
          <w:lang w:val="en-US"/>
        </w:rPr>
        <w:t xml:space="preserve">Prieto, </w:t>
      </w:r>
      <w:r>
        <w:rPr>
          <w:rFonts w:ascii="Cambria" w:hAnsi="Cambria"/>
          <w:spacing w:val="-2"/>
          <w:sz w:val="20"/>
          <w:szCs w:val="20"/>
          <w:lang w:val="en-US"/>
        </w:rPr>
        <w:t xml:space="preserve">that lack of explanation was absolute. In the case of Mr. </w:t>
      </w:r>
      <w:proofErr w:type="spellStart"/>
      <w:r w:rsidRPr="001D1232">
        <w:rPr>
          <w:rFonts w:ascii="Cambria" w:hAnsi="Cambria"/>
          <w:spacing w:val="-2"/>
          <w:sz w:val="20"/>
          <w:szCs w:val="20"/>
          <w:lang w:val="en-US"/>
        </w:rPr>
        <w:t>Tumbeiro</w:t>
      </w:r>
      <w:proofErr w:type="spellEnd"/>
      <w:r w:rsidRPr="001D1232">
        <w:rPr>
          <w:rFonts w:ascii="Cambria" w:hAnsi="Cambria"/>
          <w:spacing w:val="-2"/>
          <w:sz w:val="20"/>
          <w:szCs w:val="20"/>
          <w:lang w:val="en-US"/>
        </w:rPr>
        <w:t xml:space="preserve">, </w:t>
      </w:r>
      <w:r>
        <w:rPr>
          <w:rFonts w:ascii="Cambria" w:hAnsi="Cambria"/>
          <w:spacing w:val="-2"/>
          <w:sz w:val="20"/>
          <w:szCs w:val="20"/>
          <w:lang w:val="en-US"/>
        </w:rPr>
        <w:t xml:space="preserve">that the explanation related to “state of nervousness” and inconsistency between the attire and his reason for being in that place is not only insufficient to justify, in the eyes of a reasonable spectator, a suspicion of crime, but moreover may reveal a certain discrimination based on appearance and the prejudices about that appearance in relation to the respective zone. As indicated, powers of this nature that are not accompanied by additional safeguards create a risk of discriminatory actions based on profiles associated with stereotypes. </w:t>
      </w:r>
    </w:p>
    <w:p w14:paraId="2025D704"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66B6836D"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 xml:space="preserve">In that regard, it is possible to establish that the stops and searches in the instant case not only failed to meet the standard of lawful and non-arbitrary, but are in the context already indicated in the section on Facts Proven and identified domestically and internationally. </w:t>
      </w:r>
    </w:p>
    <w:p w14:paraId="02DCD7AD"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6D4AAA9D"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In the face of this situation of lack of objective justification for the police action in the specific cases, the judicial authorities who heard the respective appeals did not offer effective remedies, for not only did they continue with the State’s failure to require objective reasons for the exercise of the legal power to stop persons based on suspicion, but they validated, as lawful, the reasons given by the police officers, which</w:t>
      </w:r>
      <w:r w:rsidRPr="001D1232">
        <w:rPr>
          <w:rFonts w:ascii="Cambria" w:hAnsi="Cambria"/>
          <w:spacing w:val="-2"/>
          <w:sz w:val="20"/>
          <w:szCs w:val="20"/>
          <w:lang w:val="en-US"/>
        </w:rPr>
        <w:t xml:space="preserve">, </w:t>
      </w:r>
      <w:r>
        <w:rPr>
          <w:rFonts w:ascii="Cambria" w:hAnsi="Cambria"/>
          <w:spacing w:val="-2"/>
          <w:sz w:val="20"/>
          <w:szCs w:val="20"/>
          <w:lang w:val="en-US"/>
        </w:rPr>
        <w:t xml:space="preserve">as indicated, in the view of the Commission are entirely insufficient to justify a deprivation of liberty associated with the suspicion of criminal conduct. To the contrary, based on the respective motivations, it would appear that an effort is made to justify the suspicion at the moment of the stops and searches based on the subsequent corroboration that they had in fact engaged in criminal conduct. </w:t>
      </w:r>
    </w:p>
    <w:p w14:paraId="64802DAA"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2464C16E"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i/>
          <w:spacing w:val="-2"/>
          <w:sz w:val="20"/>
          <w:szCs w:val="20"/>
          <w:lang w:val="en-US"/>
        </w:rPr>
      </w:pPr>
      <w:r>
        <w:rPr>
          <w:rFonts w:ascii="Cambria" w:hAnsi="Cambria"/>
          <w:spacing w:val="-2"/>
          <w:sz w:val="20"/>
          <w:szCs w:val="20"/>
          <w:lang w:val="en-US"/>
        </w:rPr>
        <w:t xml:space="preserve">The European Court addressed this situation of subsequent corroboration in the case of </w:t>
      </w:r>
      <w:r w:rsidRPr="001D1232">
        <w:rPr>
          <w:rFonts w:ascii="Cambria" w:hAnsi="Cambria"/>
          <w:i/>
          <w:spacing w:val="-2"/>
          <w:sz w:val="20"/>
          <w:szCs w:val="20"/>
          <w:lang w:val="en-US"/>
        </w:rPr>
        <w:t>Ilgar</w:t>
      </w:r>
      <w:r w:rsidRPr="001D1232">
        <w:rPr>
          <w:rFonts w:ascii="Cambria" w:hAnsi="Cambria"/>
          <w:iCs/>
          <w:sz w:val="20"/>
          <w:szCs w:val="20"/>
          <w:lang w:val="en-US"/>
        </w:rPr>
        <w:t xml:space="preserve"> </w:t>
      </w:r>
      <w:r w:rsidRPr="001D1232">
        <w:rPr>
          <w:rFonts w:ascii="Cambria" w:hAnsi="Cambria"/>
          <w:i/>
          <w:iCs/>
          <w:sz w:val="20"/>
          <w:szCs w:val="20"/>
          <w:lang w:val="en-US"/>
        </w:rPr>
        <w:t>Mammadov v. Azerbaijan</w:t>
      </w:r>
      <w:r>
        <w:rPr>
          <w:rFonts w:ascii="Cambria" w:hAnsi="Cambria"/>
          <w:iCs/>
          <w:sz w:val="20"/>
          <w:szCs w:val="20"/>
          <w:lang w:val="en-US"/>
        </w:rPr>
        <w:t>, indicating: “</w:t>
      </w:r>
      <w:r w:rsidRPr="00365F80">
        <w:rPr>
          <w:rFonts w:ascii="Cambria" w:hAnsi="Cambria"/>
          <w:iCs/>
          <w:sz w:val="20"/>
          <w:szCs w:val="20"/>
          <w:lang w:val="en-US"/>
        </w:rPr>
        <w:t>The Court is mindful of the fact that the applicant’s case has been taken to trial…. That, however, does not affect the Court’s findings in connection with the present complaint, in which it is called upon to examine whether the deprivation of the applicant’s liberty during the pre-trial period was justified on the basis of information or facts</w:t>
      </w:r>
      <w:r>
        <w:rPr>
          <w:rFonts w:ascii="Cambria" w:hAnsi="Cambria"/>
          <w:iCs/>
          <w:sz w:val="20"/>
          <w:szCs w:val="20"/>
          <w:lang w:val="en-US"/>
        </w:rPr>
        <w:t xml:space="preserve"> available at the relevant time.</w:t>
      </w:r>
      <w:r w:rsidRPr="001D1232">
        <w:rPr>
          <w:rFonts w:ascii="Cambria" w:hAnsi="Cambria"/>
          <w:iCs/>
          <w:sz w:val="20"/>
          <w:szCs w:val="20"/>
          <w:lang w:val="en-US"/>
        </w:rPr>
        <w:t>”</w:t>
      </w:r>
      <w:r w:rsidRPr="001D1232">
        <w:rPr>
          <w:rStyle w:val="FootnoteReference"/>
          <w:rFonts w:ascii="Cambria" w:eastAsia="Batang" w:hAnsi="Cambria"/>
          <w:sz w:val="20"/>
          <w:szCs w:val="20"/>
          <w:lang w:val="en-US"/>
        </w:rPr>
        <w:footnoteReference w:id="103"/>
      </w:r>
      <w:r>
        <w:rPr>
          <w:rFonts w:ascii="Cambria" w:hAnsi="Cambria"/>
          <w:iCs/>
          <w:sz w:val="20"/>
          <w:szCs w:val="20"/>
          <w:lang w:val="en-US"/>
        </w:rPr>
        <w:t xml:space="preserve"> </w:t>
      </w:r>
    </w:p>
    <w:p w14:paraId="485D574D"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0"/>
        <w:jc w:val="both"/>
        <w:rPr>
          <w:rFonts w:ascii="Cambria" w:hAnsi="Cambria"/>
          <w:i/>
          <w:spacing w:val="-2"/>
          <w:sz w:val="20"/>
          <w:szCs w:val="20"/>
          <w:lang w:val="en-US"/>
        </w:rPr>
      </w:pPr>
    </w:p>
    <w:p w14:paraId="3FEB039B"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i/>
          <w:spacing w:val="-2"/>
          <w:sz w:val="20"/>
          <w:szCs w:val="20"/>
          <w:lang w:val="en-US"/>
        </w:rPr>
      </w:pPr>
      <w:r>
        <w:rPr>
          <w:rFonts w:ascii="Cambria" w:hAnsi="Cambria"/>
          <w:iCs/>
          <w:sz w:val="20"/>
          <w:szCs w:val="20"/>
          <w:lang w:val="en-US"/>
        </w:rPr>
        <w:t xml:space="preserve">In this regard, the Commission is of the view that the subsequent corroboration that the persons affected may indeed have been engaged in criminal conduct is irrelevant for the purposes of establishing the violations stemming from the stop, search, and arrest. Moreover, the Commission considers that the inconsistency of those procedures with the requirements of the American Convention should have led the domestic authorities to exclude any evidence obtained from the use of procedures in violation of the alleged victims’ rights. This exclusion should have operated as the result of serious police and judicial review of the actions by the police officers, which did not happen in this case. To the contrary, as explained, the reasons given by the officers for the purported suspicion were validated judicially. The Commission </w:t>
      </w:r>
      <w:r w:rsidRPr="001D1232">
        <w:rPr>
          <w:rFonts w:ascii="Cambria" w:hAnsi="Cambria"/>
          <w:iCs/>
          <w:sz w:val="20"/>
          <w:szCs w:val="20"/>
          <w:lang w:val="en-US"/>
        </w:rPr>
        <w:t>reitera</w:t>
      </w:r>
      <w:r>
        <w:rPr>
          <w:rFonts w:ascii="Cambria" w:hAnsi="Cambria"/>
          <w:iCs/>
          <w:sz w:val="20"/>
          <w:szCs w:val="20"/>
          <w:lang w:val="en-US"/>
        </w:rPr>
        <w:t>tes that the evidence obtained in the context of these procedures should be excluded; on not having done so, the domestic authorities allowed both the pretrial detention and the criminal trial and conviction to become arbitrary as well</w:t>
      </w:r>
      <w:r w:rsidRPr="001D1232">
        <w:rPr>
          <w:rFonts w:ascii="Cambria" w:hAnsi="Cambria"/>
          <w:iCs/>
          <w:sz w:val="20"/>
          <w:szCs w:val="20"/>
          <w:lang w:val="en-US"/>
        </w:rPr>
        <w:t xml:space="preserve">. </w:t>
      </w:r>
      <w:r>
        <w:rPr>
          <w:rFonts w:ascii="Cambria" w:hAnsi="Cambria"/>
          <w:iCs/>
          <w:sz w:val="20"/>
          <w:szCs w:val="20"/>
          <w:lang w:val="en-US"/>
        </w:rPr>
        <w:t xml:space="preserve">With respect to pretrial detentions, the Commission also observes that they extended for the unreasonable time of six years in the case of Mr. </w:t>
      </w:r>
      <w:proofErr w:type="spellStart"/>
      <w:r w:rsidRPr="001D1232">
        <w:rPr>
          <w:rFonts w:ascii="Cambria" w:hAnsi="Cambria"/>
          <w:iCs/>
          <w:sz w:val="20"/>
          <w:szCs w:val="20"/>
          <w:lang w:val="en-US"/>
        </w:rPr>
        <w:t>Fernández</w:t>
      </w:r>
      <w:proofErr w:type="spellEnd"/>
      <w:r w:rsidRPr="001D1232">
        <w:rPr>
          <w:rFonts w:ascii="Cambria" w:hAnsi="Cambria"/>
          <w:iCs/>
          <w:sz w:val="20"/>
          <w:szCs w:val="20"/>
          <w:lang w:val="en-US"/>
        </w:rPr>
        <w:t xml:space="preserve"> </w:t>
      </w:r>
      <w:r>
        <w:rPr>
          <w:rFonts w:ascii="Cambria" w:hAnsi="Cambria"/>
          <w:iCs/>
          <w:sz w:val="20"/>
          <w:szCs w:val="20"/>
          <w:lang w:val="en-US"/>
        </w:rPr>
        <w:t xml:space="preserve">and four years in the case of Mr. </w:t>
      </w:r>
      <w:proofErr w:type="spellStart"/>
      <w:r w:rsidRPr="001D1232">
        <w:rPr>
          <w:rFonts w:ascii="Cambria" w:hAnsi="Cambria"/>
          <w:iCs/>
          <w:sz w:val="20"/>
          <w:szCs w:val="20"/>
          <w:lang w:val="en-US"/>
        </w:rPr>
        <w:t>Tumbeiro</w:t>
      </w:r>
      <w:proofErr w:type="spellEnd"/>
      <w:r w:rsidRPr="001D1232">
        <w:rPr>
          <w:rFonts w:ascii="Cambria" w:hAnsi="Cambria"/>
          <w:iCs/>
          <w:sz w:val="20"/>
          <w:szCs w:val="20"/>
          <w:lang w:val="en-US"/>
        </w:rPr>
        <w:t xml:space="preserve">, </w:t>
      </w:r>
      <w:r>
        <w:rPr>
          <w:rFonts w:ascii="Cambria" w:hAnsi="Cambria"/>
          <w:iCs/>
          <w:sz w:val="20"/>
          <w:szCs w:val="20"/>
          <w:lang w:val="en-US"/>
        </w:rPr>
        <w:t xml:space="preserve">from the deprivation of liberty to the convictions becoming final. </w:t>
      </w:r>
    </w:p>
    <w:p w14:paraId="35F63AF5"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n-US"/>
        </w:rPr>
      </w:pPr>
    </w:p>
    <w:p w14:paraId="4240A730"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n-US"/>
        </w:rPr>
      </w:pPr>
      <w:r>
        <w:rPr>
          <w:rFonts w:ascii="Cambria" w:hAnsi="Cambria"/>
          <w:spacing w:val="-2"/>
          <w:sz w:val="20"/>
          <w:szCs w:val="20"/>
          <w:lang w:val="en-US"/>
        </w:rPr>
        <w:t>In view of the foregoing, the Commission concludes that the State of Argentina is responsible for violating the rights established at Articles 7(</w:t>
      </w:r>
      <w:r w:rsidRPr="001D1232">
        <w:rPr>
          <w:rFonts w:ascii="Cambria" w:hAnsi="Cambria"/>
          <w:spacing w:val="-2"/>
          <w:sz w:val="20"/>
          <w:szCs w:val="20"/>
          <w:lang w:val="en-US"/>
        </w:rPr>
        <w:t>1</w:t>
      </w:r>
      <w:r>
        <w:rPr>
          <w:rFonts w:ascii="Cambria" w:hAnsi="Cambria"/>
          <w:spacing w:val="-2"/>
          <w:sz w:val="20"/>
          <w:szCs w:val="20"/>
          <w:lang w:val="en-US"/>
        </w:rPr>
        <w:t>), 7(</w:t>
      </w:r>
      <w:r w:rsidRPr="001D1232">
        <w:rPr>
          <w:rFonts w:ascii="Cambria" w:hAnsi="Cambria"/>
          <w:spacing w:val="-2"/>
          <w:sz w:val="20"/>
          <w:szCs w:val="20"/>
          <w:lang w:val="en-US"/>
        </w:rPr>
        <w:t>2</w:t>
      </w:r>
      <w:r>
        <w:rPr>
          <w:rFonts w:ascii="Cambria" w:hAnsi="Cambria"/>
          <w:spacing w:val="-2"/>
          <w:sz w:val="20"/>
          <w:szCs w:val="20"/>
          <w:lang w:val="en-US"/>
        </w:rPr>
        <w:t>), 7(</w:t>
      </w:r>
      <w:r w:rsidRPr="001D1232">
        <w:rPr>
          <w:rFonts w:ascii="Cambria" w:hAnsi="Cambria"/>
          <w:spacing w:val="-2"/>
          <w:sz w:val="20"/>
          <w:szCs w:val="20"/>
          <w:lang w:val="en-US"/>
        </w:rPr>
        <w:t>3</w:t>
      </w:r>
      <w:r>
        <w:rPr>
          <w:rFonts w:ascii="Cambria" w:hAnsi="Cambria"/>
          <w:spacing w:val="-2"/>
          <w:sz w:val="20"/>
          <w:szCs w:val="20"/>
          <w:lang w:val="en-US"/>
        </w:rPr>
        <w:t>)</w:t>
      </w:r>
      <w:r w:rsidRPr="001D1232">
        <w:rPr>
          <w:rFonts w:ascii="Cambria" w:hAnsi="Cambria"/>
          <w:spacing w:val="-2"/>
          <w:sz w:val="20"/>
          <w:szCs w:val="20"/>
          <w:lang w:val="en-US"/>
        </w:rPr>
        <w:t>,</w:t>
      </w:r>
      <w:r>
        <w:rPr>
          <w:rFonts w:ascii="Cambria" w:hAnsi="Cambria"/>
          <w:spacing w:val="-2"/>
          <w:sz w:val="20"/>
          <w:szCs w:val="20"/>
          <w:lang w:val="en-US"/>
        </w:rPr>
        <w:t xml:space="preserve"> 7(</w:t>
      </w:r>
      <w:r w:rsidRPr="001D1232">
        <w:rPr>
          <w:rFonts w:ascii="Cambria" w:hAnsi="Cambria"/>
          <w:spacing w:val="-2"/>
          <w:sz w:val="20"/>
          <w:szCs w:val="20"/>
          <w:lang w:val="en-US"/>
        </w:rPr>
        <w:t>5</w:t>
      </w:r>
      <w:r>
        <w:rPr>
          <w:rFonts w:ascii="Cambria" w:hAnsi="Cambria"/>
          <w:spacing w:val="-2"/>
          <w:sz w:val="20"/>
          <w:szCs w:val="20"/>
          <w:lang w:val="en-US"/>
        </w:rPr>
        <w:t>), 8(</w:t>
      </w:r>
      <w:r w:rsidRPr="001D1232">
        <w:rPr>
          <w:rFonts w:ascii="Cambria" w:hAnsi="Cambria"/>
          <w:spacing w:val="-2"/>
          <w:sz w:val="20"/>
          <w:szCs w:val="20"/>
          <w:lang w:val="en-US"/>
        </w:rPr>
        <w:t>1</w:t>
      </w:r>
      <w:r>
        <w:rPr>
          <w:rFonts w:ascii="Cambria" w:hAnsi="Cambria"/>
          <w:spacing w:val="-2"/>
          <w:sz w:val="20"/>
          <w:szCs w:val="20"/>
          <w:lang w:val="en-US"/>
        </w:rPr>
        <w:t>)</w:t>
      </w:r>
      <w:r w:rsidRPr="001D1232">
        <w:rPr>
          <w:rFonts w:ascii="Cambria" w:hAnsi="Cambria"/>
          <w:spacing w:val="-2"/>
          <w:sz w:val="20"/>
          <w:szCs w:val="20"/>
          <w:lang w:val="en-US"/>
        </w:rPr>
        <w:t>,</w:t>
      </w:r>
      <w:r>
        <w:rPr>
          <w:rFonts w:ascii="Cambria" w:hAnsi="Cambria"/>
          <w:spacing w:val="-2"/>
          <w:sz w:val="20"/>
          <w:szCs w:val="20"/>
          <w:lang w:val="en-US"/>
        </w:rPr>
        <w:t xml:space="preserve"> 11(</w:t>
      </w:r>
      <w:r w:rsidRPr="001D1232">
        <w:rPr>
          <w:rFonts w:ascii="Cambria" w:hAnsi="Cambria"/>
          <w:spacing w:val="-2"/>
          <w:sz w:val="20"/>
          <w:szCs w:val="20"/>
          <w:lang w:val="en-US"/>
        </w:rPr>
        <w:t>2</w:t>
      </w:r>
      <w:r>
        <w:rPr>
          <w:rFonts w:ascii="Cambria" w:hAnsi="Cambria"/>
          <w:spacing w:val="-2"/>
          <w:sz w:val="20"/>
          <w:szCs w:val="20"/>
          <w:lang w:val="en-US"/>
        </w:rPr>
        <w:t>), and 25(</w:t>
      </w:r>
      <w:r w:rsidRPr="001D1232">
        <w:rPr>
          <w:rFonts w:ascii="Cambria" w:hAnsi="Cambria"/>
          <w:spacing w:val="-2"/>
          <w:sz w:val="20"/>
          <w:szCs w:val="20"/>
          <w:lang w:val="en-US"/>
        </w:rPr>
        <w:t>1</w:t>
      </w:r>
      <w:r>
        <w:rPr>
          <w:rFonts w:ascii="Cambria" w:hAnsi="Cambria"/>
          <w:spacing w:val="-2"/>
          <w:sz w:val="20"/>
          <w:szCs w:val="20"/>
          <w:lang w:val="en-US"/>
        </w:rPr>
        <w:t>) of the American Convention in relation to Articles 1(</w:t>
      </w:r>
      <w:r w:rsidRPr="001D1232">
        <w:rPr>
          <w:rFonts w:ascii="Cambria" w:hAnsi="Cambria"/>
          <w:spacing w:val="-2"/>
          <w:sz w:val="20"/>
          <w:szCs w:val="20"/>
          <w:lang w:val="en-US"/>
        </w:rPr>
        <w:t>1</w:t>
      </w:r>
      <w:r>
        <w:rPr>
          <w:rFonts w:ascii="Cambria" w:hAnsi="Cambria"/>
          <w:spacing w:val="-2"/>
          <w:sz w:val="20"/>
          <w:szCs w:val="20"/>
          <w:lang w:val="en-US"/>
        </w:rPr>
        <w:t xml:space="preserve">) and </w:t>
      </w:r>
      <w:r w:rsidRPr="001D1232">
        <w:rPr>
          <w:rFonts w:ascii="Cambria" w:hAnsi="Cambria"/>
          <w:spacing w:val="-2"/>
          <w:sz w:val="20"/>
          <w:szCs w:val="20"/>
          <w:lang w:val="en-US"/>
        </w:rPr>
        <w:t xml:space="preserve">2 </w:t>
      </w:r>
      <w:r>
        <w:rPr>
          <w:rFonts w:ascii="Cambria" w:hAnsi="Cambria"/>
          <w:spacing w:val="-2"/>
          <w:sz w:val="20"/>
          <w:szCs w:val="20"/>
          <w:lang w:val="en-US"/>
        </w:rPr>
        <w:t>of the same instrument</w:t>
      </w:r>
      <w:r w:rsidRPr="001D1232">
        <w:rPr>
          <w:rFonts w:ascii="Cambria" w:hAnsi="Cambria"/>
          <w:spacing w:val="-2"/>
          <w:sz w:val="20"/>
          <w:szCs w:val="20"/>
          <w:lang w:val="en-US"/>
        </w:rPr>
        <w:t xml:space="preserve">, </w:t>
      </w:r>
      <w:r>
        <w:rPr>
          <w:rFonts w:ascii="Cambria" w:hAnsi="Cambria"/>
          <w:spacing w:val="-2"/>
          <w:sz w:val="20"/>
          <w:szCs w:val="20"/>
          <w:lang w:val="en-US"/>
        </w:rPr>
        <w:t xml:space="preserve">to the detriment of </w:t>
      </w:r>
      <w:r w:rsidRPr="001D1232">
        <w:rPr>
          <w:rFonts w:ascii="Cambria" w:hAnsi="Cambria"/>
          <w:spacing w:val="-2"/>
          <w:sz w:val="20"/>
          <w:szCs w:val="20"/>
          <w:lang w:val="en-US"/>
        </w:rPr>
        <w:t>C</w:t>
      </w:r>
      <w:r>
        <w:rPr>
          <w:rFonts w:ascii="Cambria" w:hAnsi="Cambria"/>
          <w:spacing w:val="-2"/>
          <w:sz w:val="20"/>
          <w:szCs w:val="20"/>
          <w:lang w:val="en-US"/>
        </w:rPr>
        <w:t xml:space="preserve">arlos Alberto </w:t>
      </w:r>
      <w:proofErr w:type="spellStart"/>
      <w:r>
        <w:rPr>
          <w:rFonts w:ascii="Cambria" w:hAnsi="Cambria"/>
          <w:spacing w:val="-2"/>
          <w:sz w:val="20"/>
          <w:szCs w:val="20"/>
          <w:lang w:val="en-US"/>
        </w:rPr>
        <w:t>Fernández</w:t>
      </w:r>
      <w:proofErr w:type="spellEnd"/>
      <w:r>
        <w:rPr>
          <w:rFonts w:ascii="Cambria" w:hAnsi="Cambria"/>
          <w:spacing w:val="-2"/>
          <w:sz w:val="20"/>
          <w:szCs w:val="20"/>
          <w:lang w:val="en-US"/>
        </w:rPr>
        <w:t xml:space="preserve"> Prieto and</w:t>
      </w:r>
      <w:r w:rsidRPr="001D1232">
        <w:rPr>
          <w:rFonts w:ascii="Cambria" w:hAnsi="Cambria"/>
          <w:spacing w:val="-2"/>
          <w:sz w:val="20"/>
          <w:szCs w:val="20"/>
          <w:lang w:val="en-US"/>
        </w:rPr>
        <w:t xml:space="preserve"> Carlos Alejandro </w:t>
      </w:r>
      <w:proofErr w:type="spellStart"/>
      <w:r w:rsidRPr="001D1232">
        <w:rPr>
          <w:rFonts w:ascii="Cambria" w:hAnsi="Cambria"/>
          <w:spacing w:val="-2"/>
          <w:sz w:val="20"/>
          <w:szCs w:val="20"/>
          <w:lang w:val="en-US"/>
        </w:rPr>
        <w:t>Tumbeiro</w:t>
      </w:r>
      <w:proofErr w:type="spellEnd"/>
      <w:r w:rsidRPr="001D1232">
        <w:rPr>
          <w:rFonts w:ascii="Cambria" w:hAnsi="Cambria"/>
          <w:spacing w:val="-2"/>
          <w:sz w:val="20"/>
          <w:szCs w:val="20"/>
          <w:lang w:val="en-US"/>
        </w:rPr>
        <w:t>.</w:t>
      </w:r>
    </w:p>
    <w:p w14:paraId="455AC2A4" w14:textId="77777777" w:rsidR="00DE02AA" w:rsidRPr="001D1232" w:rsidRDefault="00DE02AA" w:rsidP="00DE02AA">
      <w:pPr>
        <w:jc w:val="both"/>
        <w:rPr>
          <w:rFonts w:ascii="Cambria" w:hAnsi="Cambria"/>
          <w:sz w:val="20"/>
          <w:szCs w:val="20"/>
        </w:rPr>
      </w:pPr>
    </w:p>
    <w:p w14:paraId="45E9DE20" w14:textId="77777777" w:rsidR="00DE02AA" w:rsidRPr="001D1232" w:rsidRDefault="00DE02AA" w:rsidP="00DE02AA">
      <w:pPr>
        <w:pStyle w:val="Heading1"/>
        <w:tabs>
          <w:tab w:val="left" w:pos="1440"/>
        </w:tabs>
        <w:ind w:left="720" w:firstLine="0"/>
        <w:jc w:val="both"/>
      </w:pPr>
      <w:bookmarkStart w:id="53" w:name="_Toc480636780"/>
      <w:bookmarkStart w:id="54" w:name="_Toc496359088"/>
      <w:bookmarkStart w:id="55" w:name="_Toc497896925"/>
      <w:r>
        <w:t>CONCLUSION</w:t>
      </w:r>
      <w:r w:rsidRPr="001D1232">
        <w:t>S</w:t>
      </w:r>
      <w:bookmarkEnd w:id="53"/>
      <w:bookmarkEnd w:id="54"/>
      <w:bookmarkEnd w:id="55"/>
    </w:p>
    <w:p w14:paraId="37FB5595" w14:textId="77777777" w:rsidR="00DE02AA" w:rsidRPr="001D1232" w:rsidRDefault="00DE02AA" w:rsidP="00DE02AA">
      <w:pPr>
        <w:jc w:val="both"/>
        <w:rPr>
          <w:rFonts w:ascii="Cambria" w:hAnsi="Cambria"/>
          <w:sz w:val="20"/>
          <w:szCs w:val="20"/>
        </w:rPr>
      </w:pPr>
    </w:p>
    <w:p w14:paraId="400EF472"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Based on the considerations of fact and law set forth throughout this report on the merits, the Inter-American Commission concludes that the Argentine State is responsible for violating the rights to personal liberty, judicial guarantees, and </w:t>
      </w:r>
      <w:r w:rsidRPr="001D1232">
        <w:rPr>
          <w:rFonts w:ascii="Cambria" w:hAnsi="Cambria"/>
          <w:sz w:val="20"/>
          <w:szCs w:val="20"/>
          <w:lang w:val="en-US"/>
        </w:rPr>
        <w:t>judicial</w:t>
      </w:r>
      <w:r>
        <w:rPr>
          <w:rFonts w:ascii="Cambria" w:hAnsi="Cambria"/>
          <w:sz w:val="20"/>
          <w:szCs w:val="20"/>
          <w:lang w:val="en-US"/>
        </w:rPr>
        <w:t xml:space="preserve"> protection, established at Articles 7(</w:t>
      </w:r>
      <w:r w:rsidRPr="001D1232">
        <w:rPr>
          <w:rFonts w:ascii="Cambria" w:hAnsi="Cambria"/>
          <w:sz w:val="20"/>
          <w:szCs w:val="20"/>
          <w:lang w:val="en-US"/>
        </w:rPr>
        <w:t>1</w:t>
      </w:r>
      <w:r>
        <w:rPr>
          <w:rFonts w:ascii="Cambria" w:hAnsi="Cambria"/>
          <w:sz w:val="20"/>
          <w:szCs w:val="20"/>
          <w:lang w:val="en-US"/>
        </w:rPr>
        <w:t>), 7(</w:t>
      </w:r>
      <w:r w:rsidRPr="001D1232">
        <w:rPr>
          <w:rFonts w:ascii="Cambria" w:hAnsi="Cambria"/>
          <w:sz w:val="20"/>
          <w:szCs w:val="20"/>
          <w:lang w:val="en-US"/>
        </w:rPr>
        <w:t>2</w:t>
      </w:r>
      <w:r>
        <w:rPr>
          <w:rFonts w:ascii="Cambria" w:hAnsi="Cambria"/>
          <w:sz w:val="20"/>
          <w:szCs w:val="20"/>
          <w:lang w:val="en-US"/>
        </w:rPr>
        <w:t>)</w:t>
      </w:r>
      <w:r w:rsidRPr="001D1232">
        <w:rPr>
          <w:rFonts w:ascii="Cambria" w:hAnsi="Cambria"/>
          <w:sz w:val="20"/>
          <w:szCs w:val="20"/>
          <w:lang w:val="en-US"/>
        </w:rPr>
        <w:t>,</w:t>
      </w:r>
      <w:r>
        <w:rPr>
          <w:rFonts w:ascii="Cambria" w:hAnsi="Cambria"/>
          <w:sz w:val="20"/>
          <w:szCs w:val="20"/>
          <w:lang w:val="en-US"/>
        </w:rPr>
        <w:t xml:space="preserve"> 7(</w:t>
      </w:r>
      <w:r w:rsidRPr="001D1232">
        <w:rPr>
          <w:rFonts w:ascii="Cambria" w:hAnsi="Cambria"/>
          <w:sz w:val="20"/>
          <w:szCs w:val="20"/>
          <w:lang w:val="en-US"/>
        </w:rPr>
        <w:t>3</w:t>
      </w:r>
      <w:r>
        <w:rPr>
          <w:rFonts w:ascii="Cambria" w:hAnsi="Cambria"/>
          <w:sz w:val="20"/>
          <w:szCs w:val="20"/>
          <w:lang w:val="en-US"/>
        </w:rPr>
        <w:t>), 7(</w:t>
      </w:r>
      <w:r w:rsidRPr="001D1232">
        <w:rPr>
          <w:rFonts w:ascii="Cambria" w:hAnsi="Cambria"/>
          <w:sz w:val="20"/>
          <w:szCs w:val="20"/>
          <w:lang w:val="en-US"/>
        </w:rPr>
        <w:t>5</w:t>
      </w:r>
      <w:r>
        <w:rPr>
          <w:rFonts w:ascii="Cambria" w:hAnsi="Cambria"/>
          <w:sz w:val="20"/>
          <w:szCs w:val="20"/>
          <w:lang w:val="en-US"/>
        </w:rPr>
        <w:t>), 8(</w:t>
      </w:r>
      <w:r w:rsidRPr="001D1232">
        <w:rPr>
          <w:rFonts w:ascii="Cambria" w:hAnsi="Cambria"/>
          <w:sz w:val="20"/>
          <w:szCs w:val="20"/>
          <w:lang w:val="en-US"/>
        </w:rPr>
        <w:t>1</w:t>
      </w:r>
      <w:r>
        <w:rPr>
          <w:rFonts w:ascii="Cambria" w:hAnsi="Cambria"/>
          <w:sz w:val="20"/>
          <w:szCs w:val="20"/>
          <w:lang w:val="en-US"/>
        </w:rPr>
        <w:t>)</w:t>
      </w:r>
      <w:r w:rsidRPr="001D1232">
        <w:rPr>
          <w:rFonts w:ascii="Cambria" w:hAnsi="Cambria"/>
          <w:sz w:val="20"/>
          <w:szCs w:val="20"/>
          <w:lang w:val="en-US"/>
        </w:rPr>
        <w:t>, 11</w:t>
      </w:r>
      <w:r>
        <w:rPr>
          <w:rFonts w:ascii="Cambria" w:hAnsi="Cambria"/>
          <w:sz w:val="20"/>
          <w:szCs w:val="20"/>
          <w:lang w:val="en-US"/>
        </w:rPr>
        <w:t>(</w:t>
      </w:r>
      <w:r w:rsidRPr="001D1232">
        <w:rPr>
          <w:rFonts w:ascii="Cambria" w:hAnsi="Cambria"/>
          <w:sz w:val="20"/>
          <w:szCs w:val="20"/>
          <w:lang w:val="en-US"/>
        </w:rPr>
        <w:t>2</w:t>
      </w:r>
      <w:r>
        <w:rPr>
          <w:rFonts w:ascii="Cambria" w:hAnsi="Cambria"/>
          <w:sz w:val="20"/>
          <w:szCs w:val="20"/>
          <w:lang w:val="en-US"/>
        </w:rPr>
        <w:t>), and 25(</w:t>
      </w:r>
      <w:r w:rsidRPr="001D1232">
        <w:rPr>
          <w:rFonts w:ascii="Cambria" w:hAnsi="Cambria"/>
          <w:sz w:val="20"/>
          <w:szCs w:val="20"/>
          <w:lang w:val="en-US"/>
        </w:rPr>
        <w:t>1</w:t>
      </w:r>
      <w:r>
        <w:rPr>
          <w:rFonts w:ascii="Cambria" w:hAnsi="Cambria"/>
          <w:sz w:val="20"/>
          <w:szCs w:val="20"/>
          <w:lang w:val="en-US"/>
        </w:rPr>
        <w:t>) of the American Convention</w:t>
      </w:r>
      <w:r w:rsidRPr="001D1232">
        <w:rPr>
          <w:rFonts w:ascii="Cambria" w:hAnsi="Cambria"/>
          <w:sz w:val="20"/>
          <w:szCs w:val="20"/>
          <w:lang w:val="en-US"/>
        </w:rPr>
        <w:t xml:space="preserve">, </w:t>
      </w:r>
      <w:r>
        <w:rPr>
          <w:rFonts w:ascii="Cambria" w:hAnsi="Cambria"/>
          <w:sz w:val="20"/>
          <w:szCs w:val="20"/>
          <w:lang w:val="en-US"/>
        </w:rPr>
        <w:t>in relation to the obligations established at Articles 1(</w:t>
      </w:r>
      <w:r w:rsidRPr="001D1232">
        <w:rPr>
          <w:rFonts w:ascii="Cambria" w:hAnsi="Cambria"/>
          <w:sz w:val="20"/>
          <w:szCs w:val="20"/>
          <w:lang w:val="en-US"/>
        </w:rPr>
        <w:t>1</w:t>
      </w:r>
      <w:r>
        <w:rPr>
          <w:rFonts w:ascii="Cambria" w:hAnsi="Cambria"/>
          <w:sz w:val="20"/>
          <w:szCs w:val="20"/>
          <w:lang w:val="en-US"/>
        </w:rPr>
        <w:t xml:space="preserve">) and </w:t>
      </w:r>
      <w:r w:rsidRPr="001D1232">
        <w:rPr>
          <w:rFonts w:ascii="Cambria" w:hAnsi="Cambria"/>
          <w:sz w:val="20"/>
          <w:szCs w:val="20"/>
          <w:lang w:val="en-US"/>
        </w:rPr>
        <w:t xml:space="preserve">2 </w:t>
      </w:r>
      <w:r>
        <w:rPr>
          <w:rFonts w:ascii="Cambria" w:hAnsi="Cambria"/>
          <w:sz w:val="20"/>
          <w:szCs w:val="20"/>
          <w:lang w:val="en-US"/>
        </w:rPr>
        <w:t xml:space="preserve">of the same instrument, to the detriment of </w:t>
      </w:r>
      <w:r w:rsidRPr="001D1232">
        <w:rPr>
          <w:rFonts w:ascii="Cambria" w:hAnsi="Cambria"/>
          <w:sz w:val="20"/>
          <w:szCs w:val="20"/>
          <w:lang w:val="en-US"/>
        </w:rPr>
        <w:t xml:space="preserve">Carlos Alberto </w:t>
      </w:r>
      <w:proofErr w:type="spellStart"/>
      <w:r w:rsidRPr="001D1232">
        <w:rPr>
          <w:rFonts w:ascii="Cambria" w:hAnsi="Cambria"/>
          <w:sz w:val="20"/>
          <w:szCs w:val="20"/>
          <w:lang w:val="en-US"/>
        </w:rPr>
        <w:t>Fernández</w:t>
      </w:r>
      <w:proofErr w:type="spellEnd"/>
      <w:r w:rsidRPr="001D1232">
        <w:rPr>
          <w:rFonts w:ascii="Cambria" w:hAnsi="Cambria"/>
          <w:sz w:val="20"/>
          <w:szCs w:val="20"/>
          <w:lang w:val="en-US"/>
        </w:rPr>
        <w:t xml:space="preserve"> </w:t>
      </w:r>
      <w:r>
        <w:rPr>
          <w:rFonts w:ascii="Cambria" w:hAnsi="Cambria"/>
          <w:sz w:val="20"/>
          <w:szCs w:val="20"/>
          <w:lang w:val="en-US"/>
        </w:rPr>
        <w:t>Prieto and</w:t>
      </w:r>
      <w:r w:rsidRPr="001D1232">
        <w:rPr>
          <w:rFonts w:ascii="Cambria" w:hAnsi="Cambria"/>
          <w:sz w:val="20"/>
          <w:szCs w:val="20"/>
          <w:lang w:val="en-US"/>
        </w:rPr>
        <w:t xml:space="preserve"> Carlos Alejandro </w:t>
      </w:r>
      <w:proofErr w:type="spellStart"/>
      <w:r w:rsidRPr="001D1232">
        <w:rPr>
          <w:rFonts w:ascii="Cambria" w:hAnsi="Cambria"/>
          <w:sz w:val="20"/>
          <w:szCs w:val="20"/>
          <w:lang w:val="en-US"/>
        </w:rPr>
        <w:t>Tumbeiro</w:t>
      </w:r>
      <w:proofErr w:type="spellEnd"/>
      <w:r w:rsidRPr="001D1232">
        <w:rPr>
          <w:rFonts w:ascii="Cambria" w:hAnsi="Cambria"/>
          <w:sz w:val="20"/>
          <w:szCs w:val="20"/>
          <w:lang w:val="en-US"/>
        </w:rPr>
        <w:t xml:space="preserve">.  </w:t>
      </w:r>
    </w:p>
    <w:p w14:paraId="18C47F8D"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55DF84C" w14:textId="77777777" w:rsidR="00DE02AA" w:rsidRPr="001D1232" w:rsidRDefault="00DE02AA" w:rsidP="00DE02AA">
      <w:pPr>
        <w:pStyle w:val="Heading1"/>
        <w:tabs>
          <w:tab w:val="left" w:pos="1440"/>
        </w:tabs>
        <w:ind w:left="720" w:firstLine="0"/>
        <w:jc w:val="both"/>
      </w:pPr>
      <w:bookmarkStart w:id="56" w:name="_Toc496359089"/>
      <w:bookmarkStart w:id="57" w:name="_Toc497896926"/>
      <w:r w:rsidRPr="001D1232">
        <w:t>RECO</w:t>
      </w:r>
      <w:r>
        <w:t>MMENDATION</w:t>
      </w:r>
      <w:r w:rsidRPr="001D1232">
        <w:t>S</w:t>
      </w:r>
      <w:bookmarkEnd w:id="56"/>
      <w:bookmarkEnd w:id="57"/>
    </w:p>
    <w:p w14:paraId="410B5EAA" w14:textId="77777777" w:rsidR="00DE02AA" w:rsidRPr="001D1232" w:rsidRDefault="00DE02AA" w:rsidP="00DE02AA">
      <w:pPr>
        <w:ind w:left="720"/>
        <w:jc w:val="both"/>
        <w:rPr>
          <w:rFonts w:ascii="Cambria" w:eastAsia="Times New Roman" w:hAnsi="Cambria"/>
          <w:sz w:val="20"/>
          <w:szCs w:val="20"/>
        </w:rPr>
      </w:pPr>
    </w:p>
    <w:p w14:paraId="6C3B7E8A" w14:textId="77777777" w:rsidR="00DE02AA" w:rsidRPr="001D1232" w:rsidRDefault="00DE02AA" w:rsidP="00DE02AA">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In light of the foregoing conclusions,</w:t>
      </w:r>
      <w:r w:rsidRPr="001D1232">
        <w:rPr>
          <w:rFonts w:ascii="Cambria" w:hAnsi="Cambria"/>
          <w:sz w:val="20"/>
          <w:szCs w:val="20"/>
          <w:lang w:val="en-US"/>
        </w:rPr>
        <w:t xml:space="preserve"> </w:t>
      </w:r>
    </w:p>
    <w:p w14:paraId="41726BB8"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14:paraId="5D9B47C9" w14:textId="77777777" w:rsidR="00DE02AA" w:rsidRPr="001D1232" w:rsidRDefault="00DE02AA" w:rsidP="00DE02AA">
      <w:pPr>
        <w:jc w:val="center"/>
        <w:rPr>
          <w:rFonts w:ascii="Cambria" w:eastAsia="Times New Roman" w:hAnsi="Cambria"/>
          <w:b/>
          <w:sz w:val="20"/>
          <w:szCs w:val="20"/>
        </w:rPr>
      </w:pPr>
      <w:r>
        <w:rPr>
          <w:rFonts w:ascii="Cambria" w:eastAsia="Times New Roman" w:hAnsi="Cambria"/>
          <w:b/>
          <w:sz w:val="20"/>
          <w:szCs w:val="20"/>
        </w:rPr>
        <w:t xml:space="preserve">THE INTER-AMERICAN COMMISSION ON HUMAN RIGHTS </w:t>
      </w:r>
    </w:p>
    <w:p w14:paraId="291DD0F9" w14:textId="77777777" w:rsidR="00DE02AA" w:rsidRPr="001D1232" w:rsidRDefault="00DE02AA" w:rsidP="00DE02AA">
      <w:pPr>
        <w:jc w:val="center"/>
        <w:rPr>
          <w:rFonts w:ascii="Cambria" w:eastAsia="Times New Roman" w:hAnsi="Cambria"/>
          <w:sz w:val="20"/>
          <w:szCs w:val="20"/>
        </w:rPr>
      </w:pPr>
      <w:r>
        <w:rPr>
          <w:rFonts w:ascii="Cambria" w:eastAsia="Times New Roman" w:hAnsi="Cambria"/>
          <w:b/>
          <w:sz w:val="20"/>
          <w:szCs w:val="20"/>
        </w:rPr>
        <w:lastRenderedPageBreak/>
        <w:t xml:space="preserve">RECOMMENDS TO THE STATE OF </w:t>
      </w:r>
      <w:r w:rsidRPr="001D1232">
        <w:rPr>
          <w:rFonts w:ascii="Cambria" w:eastAsia="Times New Roman" w:hAnsi="Cambria"/>
          <w:b/>
          <w:sz w:val="20"/>
          <w:szCs w:val="20"/>
        </w:rPr>
        <w:t>ARGENTINA,</w:t>
      </w:r>
    </w:p>
    <w:p w14:paraId="77E6A9F5"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67132379" w14:textId="77777777" w:rsidR="00DE02AA" w:rsidRPr="001D1232" w:rsidRDefault="00DE02AA" w:rsidP="00DE02AA">
      <w:pPr>
        <w:pStyle w:val="BodyTextInden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hAnsi="Cambria"/>
          <w:sz w:val="20"/>
          <w:szCs w:val="20"/>
          <w:lang w:val="en-US"/>
        </w:rPr>
      </w:pPr>
      <w:r>
        <w:rPr>
          <w:rFonts w:ascii="Cambria" w:hAnsi="Cambria"/>
          <w:sz w:val="20"/>
          <w:szCs w:val="20"/>
          <w:lang w:val="en-US"/>
        </w:rPr>
        <w:t xml:space="preserve">That it make full reparation for the human rights violations found in this report in both the material and moral aspects to the detriment of </w:t>
      </w:r>
      <w:r w:rsidRPr="001D1232">
        <w:rPr>
          <w:rFonts w:ascii="Cambria" w:hAnsi="Cambria"/>
          <w:sz w:val="20"/>
          <w:szCs w:val="20"/>
          <w:lang w:val="en-US"/>
        </w:rPr>
        <w:t xml:space="preserve">Carlos Alberto </w:t>
      </w:r>
      <w:proofErr w:type="spellStart"/>
      <w:r w:rsidRPr="001D1232">
        <w:rPr>
          <w:rFonts w:ascii="Cambria" w:hAnsi="Cambria"/>
          <w:sz w:val="20"/>
          <w:szCs w:val="20"/>
          <w:lang w:val="en-US"/>
        </w:rPr>
        <w:t>Fernández</w:t>
      </w:r>
      <w:proofErr w:type="spellEnd"/>
      <w:r w:rsidRPr="001D1232">
        <w:rPr>
          <w:rFonts w:ascii="Cambria" w:hAnsi="Cambria"/>
          <w:sz w:val="20"/>
          <w:szCs w:val="20"/>
          <w:lang w:val="en-US"/>
        </w:rPr>
        <w:t xml:space="preserve"> Prieto </w:t>
      </w:r>
      <w:r>
        <w:rPr>
          <w:rFonts w:ascii="Cambria" w:hAnsi="Cambria"/>
          <w:sz w:val="20"/>
          <w:szCs w:val="20"/>
          <w:lang w:val="en-US"/>
        </w:rPr>
        <w:t xml:space="preserve">and </w:t>
      </w:r>
      <w:r w:rsidRPr="001D1232">
        <w:rPr>
          <w:rFonts w:ascii="Cambria" w:hAnsi="Cambria"/>
          <w:sz w:val="20"/>
          <w:szCs w:val="20"/>
          <w:lang w:val="en-US"/>
        </w:rPr>
        <w:t xml:space="preserve">Carlos Alejandro </w:t>
      </w:r>
      <w:proofErr w:type="spellStart"/>
      <w:r w:rsidRPr="001D1232">
        <w:rPr>
          <w:rFonts w:ascii="Cambria" w:hAnsi="Cambria"/>
          <w:sz w:val="20"/>
          <w:szCs w:val="20"/>
          <w:lang w:val="en-US"/>
        </w:rPr>
        <w:t>Tumbeiro</w:t>
      </w:r>
      <w:proofErr w:type="spellEnd"/>
      <w:r w:rsidRPr="001D1232">
        <w:rPr>
          <w:rFonts w:ascii="Cambria" w:hAnsi="Cambria"/>
          <w:sz w:val="20"/>
          <w:szCs w:val="20"/>
          <w:lang w:val="en-US"/>
        </w:rPr>
        <w:t xml:space="preserve">. </w:t>
      </w:r>
      <w:r>
        <w:rPr>
          <w:rFonts w:ascii="Cambria" w:hAnsi="Cambria"/>
          <w:sz w:val="20"/>
          <w:szCs w:val="20"/>
          <w:lang w:val="en-US"/>
        </w:rPr>
        <w:t xml:space="preserve">This reparation should take into account both that the initial stop and search were not in keeping with the requirements of the American Convention, and the proceedings, pretrial detention, and criminal conviction that took place based on the findings of the initial stop and search, in the terms established in this report. </w:t>
      </w:r>
    </w:p>
    <w:p w14:paraId="6444C261" w14:textId="77777777" w:rsidR="00DE02AA" w:rsidRPr="001D1232" w:rsidRDefault="00DE02AA" w:rsidP="00DE02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3CE1F2E2" w14:textId="77777777" w:rsidR="00DE02AA" w:rsidRPr="001D1232" w:rsidRDefault="00DE02AA" w:rsidP="00DE02AA">
      <w:pPr>
        <w:pStyle w:val="BodyTextInden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hAnsi="Cambria"/>
          <w:sz w:val="20"/>
          <w:szCs w:val="20"/>
          <w:lang w:val="en-US"/>
        </w:rPr>
      </w:pPr>
      <w:r>
        <w:rPr>
          <w:rFonts w:ascii="Cambria" w:hAnsi="Cambria"/>
          <w:sz w:val="20"/>
          <w:szCs w:val="20"/>
          <w:lang w:val="en-US"/>
        </w:rPr>
        <w:t xml:space="preserve">That it adopt legislative, administrative, or other measures to prevent the repetition of the human rights violations found in this report. In </w:t>
      </w:r>
      <w:r w:rsidRPr="001D1232">
        <w:rPr>
          <w:rFonts w:ascii="Cambria" w:hAnsi="Cambria"/>
          <w:sz w:val="20"/>
          <w:szCs w:val="20"/>
          <w:lang w:val="en-US"/>
        </w:rPr>
        <w:t xml:space="preserve">particular: </w:t>
      </w:r>
      <w:r>
        <w:rPr>
          <w:rFonts w:ascii="Cambria" w:hAnsi="Cambria"/>
          <w:sz w:val="20"/>
          <w:szCs w:val="20"/>
          <w:lang w:val="en-US"/>
        </w:rPr>
        <w:t>(</w:t>
      </w:r>
      <w:proofErr w:type="spellStart"/>
      <w:r w:rsidRPr="001D1232">
        <w:rPr>
          <w:rFonts w:ascii="Cambria" w:hAnsi="Cambria"/>
          <w:sz w:val="20"/>
          <w:szCs w:val="20"/>
          <w:lang w:val="en-US"/>
        </w:rPr>
        <w:t>i</w:t>
      </w:r>
      <w:proofErr w:type="spellEnd"/>
      <w:r w:rsidRPr="001D1232">
        <w:rPr>
          <w:rFonts w:ascii="Cambria" w:hAnsi="Cambria"/>
          <w:sz w:val="20"/>
          <w:szCs w:val="20"/>
          <w:lang w:val="en-US"/>
        </w:rPr>
        <w:t xml:space="preserve">) </w:t>
      </w:r>
      <w:r>
        <w:rPr>
          <w:rFonts w:ascii="Cambria" w:hAnsi="Cambria"/>
          <w:sz w:val="20"/>
          <w:szCs w:val="20"/>
          <w:lang w:val="en-US"/>
        </w:rPr>
        <w:t>the State should ensure that the legislation that regulates the power to stop and search persons in public places on the basis of suspicion that they might be committing a crime is based on objective reasons and includes requirements to justify those reasons in each case</w:t>
      </w:r>
      <w:r w:rsidRPr="001D1232">
        <w:rPr>
          <w:rFonts w:ascii="Cambria" w:hAnsi="Cambria"/>
          <w:sz w:val="20"/>
          <w:szCs w:val="20"/>
          <w:lang w:val="en-US"/>
        </w:rPr>
        <w:t xml:space="preserve">; </w:t>
      </w:r>
      <w:r>
        <w:rPr>
          <w:rFonts w:ascii="Cambria" w:hAnsi="Cambria"/>
          <w:sz w:val="20"/>
          <w:szCs w:val="20"/>
          <w:lang w:val="en-US"/>
        </w:rPr>
        <w:t>(</w:t>
      </w:r>
      <w:r w:rsidRPr="001D1232">
        <w:rPr>
          <w:rFonts w:ascii="Cambria" w:hAnsi="Cambria"/>
          <w:sz w:val="20"/>
          <w:szCs w:val="20"/>
          <w:lang w:val="en-US"/>
        </w:rPr>
        <w:t xml:space="preserve">ii) </w:t>
      </w:r>
      <w:r>
        <w:rPr>
          <w:rFonts w:ascii="Cambria" w:hAnsi="Cambria"/>
          <w:sz w:val="20"/>
          <w:szCs w:val="20"/>
          <w:lang w:val="en-US"/>
        </w:rPr>
        <w:t>the State should adopt measures to properly train police personnel so as to avoid abuses in the exercise of that power, including trainings on the prohibition on exercising it in a discriminatory manner based on profiles associated with stereotypes; and</w:t>
      </w:r>
      <w:r w:rsidRPr="001D1232">
        <w:rPr>
          <w:rFonts w:ascii="Cambria" w:hAnsi="Cambria"/>
          <w:sz w:val="20"/>
          <w:szCs w:val="20"/>
          <w:lang w:val="en-US"/>
        </w:rPr>
        <w:t xml:space="preserve"> </w:t>
      </w:r>
      <w:r>
        <w:rPr>
          <w:rFonts w:ascii="Cambria" w:hAnsi="Cambria"/>
          <w:sz w:val="20"/>
          <w:szCs w:val="20"/>
          <w:lang w:val="en-US"/>
        </w:rPr>
        <w:t>(</w:t>
      </w:r>
      <w:r w:rsidRPr="001D1232">
        <w:rPr>
          <w:rFonts w:ascii="Cambria" w:hAnsi="Cambria"/>
          <w:sz w:val="20"/>
          <w:szCs w:val="20"/>
          <w:lang w:val="en-US"/>
        </w:rPr>
        <w:t xml:space="preserve">iii) </w:t>
      </w:r>
      <w:r>
        <w:rPr>
          <w:rFonts w:ascii="Cambria" w:hAnsi="Cambria"/>
          <w:sz w:val="20"/>
          <w:szCs w:val="20"/>
          <w:lang w:val="en-US"/>
        </w:rPr>
        <w:t xml:space="preserve">the State should ensure the existence and implementation of judicial remedies to address reports of public abuses in the context of the exercise of that power. </w:t>
      </w:r>
    </w:p>
    <w:p w14:paraId="432F944E" w14:textId="77777777" w:rsidR="00DE02AA" w:rsidRPr="001D1232" w:rsidRDefault="00DE02AA" w:rsidP="00DE02AA"/>
    <w:p w14:paraId="135943C3" w14:textId="77777777" w:rsidR="00C55560" w:rsidRPr="00A83E9D" w:rsidRDefault="000768F2" w:rsidP="00F474A4">
      <w:pPr>
        <w:tabs>
          <w:tab w:val="center" w:pos="5400"/>
        </w:tabs>
        <w:suppressAutoHyphens/>
        <w:spacing w:line="276" w:lineRule="auto"/>
        <w:jc w:val="center"/>
        <w:rPr>
          <w:rFonts w:asciiTheme="majorHAnsi" w:hAnsiTheme="majorHAnsi"/>
          <w:sz w:val="20"/>
          <w:szCs w:val="20"/>
        </w:rPr>
      </w:pPr>
      <w:r>
        <w:rPr>
          <w:rFonts w:asciiTheme="majorHAnsi" w:hAnsiTheme="majorHAnsi"/>
          <w:sz w:val="20"/>
          <w:szCs w:val="20"/>
        </w:rPr>
        <w:t xml:space="preserve"> </w:t>
      </w:r>
    </w:p>
    <w:sectPr w:rsidR="00C55560" w:rsidRPr="00A83E9D" w:rsidSect="00EF1C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8BA13" w14:textId="77777777" w:rsidR="00581210" w:rsidRDefault="00581210" w:rsidP="00036A8A">
      <w:r>
        <w:separator/>
      </w:r>
    </w:p>
  </w:endnote>
  <w:endnote w:type="continuationSeparator" w:id="0">
    <w:p w14:paraId="33A4A993" w14:textId="77777777" w:rsidR="00581210" w:rsidRDefault="0058121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1557C9F4" w14:textId="77777777" w:rsidR="00581210" w:rsidRPr="006311DA" w:rsidRDefault="0058121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2760E">
          <w:rPr>
            <w:noProof/>
            <w:sz w:val="16"/>
          </w:rPr>
          <w:t>14</w:t>
        </w:r>
        <w:r w:rsidRPr="006311DA">
          <w:rPr>
            <w:noProof/>
            <w:sz w:val="16"/>
          </w:rPr>
          <w:fldChar w:fldCharType="end"/>
        </w:r>
      </w:p>
    </w:sdtContent>
  </w:sdt>
  <w:p w14:paraId="63EB51BB" w14:textId="77777777" w:rsidR="00581210" w:rsidRDefault="00581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ACDB" w14:textId="77777777" w:rsidR="00581210" w:rsidRDefault="00581210">
    <w:pPr>
      <w:pStyle w:val="Footer"/>
      <w:jc w:val="center"/>
    </w:pPr>
  </w:p>
  <w:p w14:paraId="41E72081" w14:textId="77777777" w:rsidR="00581210" w:rsidRDefault="00581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A591F" w14:textId="77777777" w:rsidR="00581210" w:rsidRPr="00036A8A" w:rsidRDefault="0058121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D3C8D6D" w14:textId="77777777" w:rsidR="00581210" w:rsidRPr="00036A8A" w:rsidRDefault="00581210" w:rsidP="00036A8A">
      <w:pPr>
        <w:rPr>
          <w:rFonts w:asciiTheme="majorHAnsi" w:hAnsiTheme="majorHAnsi"/>
          <w:sz w:val="16"/>
          <w:szCs w:val="16"/>
        </w:rPr>
      </w:pPr>
      <w:r w:rsidRPr="00036A8A">
        <w:rPr>
          <w:rFonts w:asciiTheme="majorHAnsi" w:hAnsiTheme="majorHAnsi"/>
          <w:sz w:val="16"/>
          <w:szCs w:val="16"/>
        </w:rPr>
        <w:separator/>
      </w:r>
    </w:p>
    <w:p w14:paraId="370A5FE5" w14:textId="77777777" w:rsidR="00581210" w:rsidRPr="00036A8A" w:rsidRDefault="0058121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3C501547" w14:textId="77777777" w:rsidR="00581210" w:rsidRPr="0093441A" w:rsidRDefault="0058121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FF1B2FE" w14:textId="77777777" w:rsidR="00581210" w:rsidRPr="00581210" w:rsidRDefault="00581210" w:rsidP="00581210">
      <w:pPr>
        <w:pStyle w:val="FootnoteText"/>
        <w:ind w:firstLine="720"/>
        <w:jc w:val="both"/>
        <w:rPr>
          <w:rFonts w:ascii="Cambria" w:hAnsi="Cambria"/>
          <w:color w:val="auto"/>
          <w:sz w:val="16"/>
          <w:szCs w:val="16"/>
          <w:lang w:val="pt-BR"/>
        </w:rPr>
      </w:pPr>
      <w:r w:rsidRPr="006121BB">
        <w:rPr>
          <w:rStyle w:val="FootnoteReference"/>
          <w:rFonts w:ascii="Cambria" w:hAnsi="Cambria"/>
          <w:color w:val="auto"/>
          <w:sz w:val="16"/>
          <w:szCs w:val="16"/>
        </w:rPr>
        <w:footnoteRef/>
      </w:r>
      <w:r w:rsidRPr="00581210">
        <w:rPr>
          <w:rFonts w:ascii="Cambria" w:hAnsi="Cambria"/>
          <w:color w:val="auto"/>
          <w:sz w:val="16"/>
          <w:szCs w:val="16"/>
          <w:lang w:val="pt-BR"/>
        </w:rPr>
        <w:t xml:space="preserve"> IACHR, Report </w:t>
      </w:r>
      <w:r>
        <w:fldChar w:fldCharType="begin"/>
      </w:r>
      <w:r w:rsidRPr="00581210">
        <w:rPr>
          <w:lang w:val="pt-BR"/>
        </w:rPr>
        <w:instrText xml:space="preserve"> HYPERLINK "http://www.oas.org/es/cidh/decisiones/2012/ARAD12315ES.doc" </w:instrText>
      </w:r>
      <w:r>
        <w:fldChar w:fldCharType="separate"/>
      </w:r>
      <w:r w:rsidRPr="00581210">
        <w:rPr>
          <w:rFonts w:ascii="Cambria" w:hAnsi="Cambria"/>
          <w:color w:val="auto"/>
          <w:sz w:val="16"/>
          <w:szCs w:val="16"/>
          <w:lang w:val="pt-BR"/>
        </w:rPr>
        <w:t>No. 5/12</w:t>
      </w:r>
      <w:r>
        <w:rPr>
          <w:rFonts w:ascii="Cambria" w:hAnsi="Cambria"/>
          <w:color w:val="auto"/>
          <w:sz w:val="16"/>
          <w:szCs w:val="16"/>
        </w:rPr>
        <w:fldChar w:fldCharType="end"/>
      </w:r>
      <w:r w:rsidRPr="00581210">
        <w:rPr>
          <w:rFonts w:ascii="Cambria" w:hAnsi="Cambria"/>
          <w:color w:val="auto"/>
          <w:sz w:val="16"/>
          <w:szCs w:val="16"/>
          <w:lang w:val="pt-BR"/>
        </w:rPr>
        <w:t xml:space="preserve">, Case 12,315, Admissibility, Carlos Alberto Fernández Prieto and Carlos Alejandro Tumbeiro, Argentina, March 19, 2012. </w:t>
      </w:r>
    </w:p>
  </w:footnote>
  <w:footnote w:id="3">
    <w:p w14:paraId="266CBDD9"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Senate of Argentina. National Constitution, First Part, recovered from http://www.senado.gov.ar/Constitucion/capitulo1.</w:t>
      </w:r>
    </w:p>
  </w:footnote>
  <w:footnote w:id="4">
    <w:p w14:paraId="34BC062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Federal Judicial Branch, Criminal Clerk No. 2, Pretrial detention </w:t>
      </w:r>
      <w:proofErr w:type="gramStart"/>
      <w:r w:rsidRPr="006121BB">
        <w:rPr>
          <w:rFonts w:ascii="Cambria" w:hAnsi="Cambria"/>
          <w:color w:val="auto"/>
          <w:sz w:val="16"/>
          <w:szCs w:val="16"/>
        </w:rPr>
        <w:t>order</w:t>
      </w:r>
      <w:proofErr w:type="gramEnd"/>
      <w:r w:rsidRPr="006121BB">
        <w:rPr>
          <w:rFonts w:ascii="Cambria" w:hAnsi="Cambria"/>
          <w:color w:val="auto"/>
          <w:sz w:val="16"/>
          <w:szCs w:val="16"/>
        </w:rPr>
        <w:t xml:space="preserve">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June 16, 1992 (Attached to the initial petition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July 12, 1999).</w:t>
      </w:r>
    </w:p>
  </w:footnote>
  <w:footnote w:id="5">
    <w:p w14:paraId="2C45A5BF"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Amendment of the Organic Law of the Federal Police, published in official bulletin November 11, 1991.</w:t>
      </w:r>
    </w:p>
  </w:footnote>
  <w:footnote w:id="6">
    <w:p w14:paraId="06F4491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Brief of Petitioners’ observations on the merits of the case, July 24, 2012.</w:t>
      </w:r>
    </w:p>
  </w:footnote>
  <w:footnote w:id="7">
    <w:p w14:paraId="64A57DE7"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United Nations, Working Group on Arbitrary Detention, Report on visit to Argentina, December 23, 2003, paras. 42-47.</w:t>
      </w:r>
    </w:p>
  </w:footnote>
  <w:footnote w:id="8">
    <w:p w14:paraId="3BDBF2BE"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United Nations, Working Group on Arbitrary Detention, Report on visit to Argentina, December 23, 2003, para. 71.</w:t>
      </w:r>
    </w:p>
  </w:footnote>
  <w:footnote w:id="9">
    <w:p w14:paraId="7FFC251B"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United Nations, Human Rights Committee, Concluding Observations on Argentina, March 31, 2010, para. 15.</w:t>
      </w:r>
    </w:p>
  </w:footnote>
  <w:footnote w:id="10">
    <w:p w14:paraId="072884F5"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United Nations, Human Rights Committee, Concluding Observations on Argentina, August 10, 2016, paras. 17-18.</w:t>
      </w:r>
    </w:p>
  </w:footnote>
  <w:footnote w:id="11">
    <w:p w14:paraId="38816021" w14:textId="77777777" w:rsidR="00581210" w:rsidRPr="00581210" w:rsidRDefault="00581210" w:rsidP="00581210">
      <w:pPr>
        <w:pStyle w:val="FootnoteText"/>
        <w:ind w:firstLine="720"/>
        <w:jc w:val="both"/>
        <w:rPr>
          <w:rFonts w:ascii="Cambria" w:hAnsi="Cambria"/>
          <w:color w:val="auto"/>
          <w:sz w:val="16"/>
          <w:szCs w:val="16"/>
          <w:lang w:val="es-ES"/>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I/A Court HR. </w:t>
      </w:r>
      <w:r w:rsidRPr="006121BB">
        <w:rPr>
          <w:rStyle w:val="Strong"/>
          <w:rFonts w:ascii="Cambria" w:hAnsi="Cambria"/>
          <w:b w:val="0"/>
          <w:i/>
          <w:color w:val="auto"/>
          <w:sz w:val="16"/>
          <w:szCs w:val="16"/>
          <w:shd w:val="clear" w:color="auto" w:fill="FFFFFF"/>
        </w:rPr>
        <w:t xml:space="preserve">Case of </w:t>
      </w:r>
      <w:proofErr w:type="spellStart"/>
      <w:r w:rsidRPr="006121BB">
        <w:rPr>
          <w:rStyle w:val="Strong"/>
          <w:rFonts w:ascii="Cambria" w:hAnsi="Cambria"/>
          <w:b w:val="0"/>
          <w:i/>
          <w:color w:val="auto"/>
          <w:sz w:val="16"/>
          <w:szCs w:val="16"/>
          <w:shd w:val="clear" w:color="auto" w:fill="FFFFFF"/>
        </w:rPr>
        <w:t>Bulacio</w:t>
      </w:r>
      <w:proofErr w:type="spellEnd"/>
      <w:r w:rsidRPr="006121BB">
        <w:rPr>
          <w:rStyle w:val="Strong"/>
          <w:rFonts w:ascii="Cambria" w:hAnsi="Cambria"/>
          <w:b w:val="0"/>
          <w:i/>
          <w:color w:val="auto"/>
          <w:sz w:val="16"/>
          <w:szCs w:val="16"/>
          <w:shd w:val="clear" w:color="auto" w:fill="FFFFFF"/>
        </w:rPr>
        <w:t xml:space="preserve"> v. Argentina</w:t>
      </w:r>
      <w:r w:rsidRPr="006121BB">
        <w:rPr>
          <w:rStyle w:val="Strong"/>
          <w:rFonts w:ascii="Cambria" w:hAnsi="Cambria"/>
          <w:b w:val="0"/>
          <w:color w:val="auto"/>
          <w:sz w:val="16"/>
          <w:szCs w:val="16"/>
          <w:shd w:val="clear" w:color="auto" w:fill="FFFFFF"/>
        </w:rPr>
        <w:t xml:space="preserve">. Merits, Reparations and Costs. Judgment of September 18, 2003. </w:t>
      </w:r>
      <w:r w:rsidRPr="00581210">
        <w:rPr>
          <w:rStyle w:val="Strong"/>
          <w:rFonts w:ascii="Cambria" w:hAnsi="Cambria"/>
          <w:b w:val="0"/>
          <w:color w:val="auto"/>
          <w:sz w:val="16"/>
          <w:szCs w:val="16"/>
          <w:shd w:val="clear" w:color="auto" w:fill="FFFFFF"/>
          <w:lang w:val="es-ES"/>
        </w:rPr>
        <w:t>Series C No. 100, para. 69.</w:t>
      </w:r>
    </w:p>
  </w:footnote>
  <w:footnote w:id="12">
    <w:p w14:paraId="5651A382" w14:textId="77777777" w:rsidR="00581210" w:rsidRPr="00581210" w:rsidRDefault="00581210" w:rsidP="00581210">
      <w:pPr>
        <w:pStyle w:val="FootnoteText"/>
        <w:ind w:firstLine="720"/>
        <w:jc w:val="both"/>
        <w:rPr>
          <w:rFonts w:ascii="Cambria" w:hAnsi="Cambria"/>
          <w:color w:val="auto"/>
          <w:sz w:val="16"/>
          <w:szCs w:val="16"/>
          <w:lang w:val="es-ES"/>
        </w:rPr>
      </w:pPr>
      <w:r w:rsidRPr="006121BB">
        <w:rPr>
          <w:rStyle w:val="FootnoteReference"/>
          <w:rFonts w:ascii="Cambria" w:hAnsi="Cambria"/>
          <w:color w:val="auto"/>
          <w:sz w:val="16"/>
          <w:szCs w:val="16"/>
        </w:rPr>
        <w:footnoteRef/>
      </w:r>
      <w:r w:rsidRPr="00581210">
        <w:rPr>
          <w:rFonts w:ascii="Cambria" w:hAnsi="Cambria"/>
          <w:color w:val="auto"/>
          <w:sz w:val="16"/>
          <w:szCs w:val="16"/>
          <w:lang w:val="es-ES"/>
        </w:rPr>
        <w:t xml:space="preserve"> CELS and </w:t>
      </w:r>
      <w:r w:rsidRPr="00581210">
        <w:rPr>
          <w:rFonts w:ascii="Cambria" w:hAnsi="Cambria"/>
          <w:i/>
          <w:color w:val="auto"/>
          <w:sz w:val="16"/>
          <w:szCs w:val="16"/>
          <w:lang w:val="es-ES"/>
        </w:rPr>
        <w:t>Human Rights Watch</w:t>
      </w:r>
      <w:r w:rsidRPr="00581210">
        <w:rPr>
          <w:rFonts w:ascii="Cambria" w:hAnsi="Cambria"/>
          <w:color w:val="auto"/>
          <w:sz w:val="16"/>
          <w:szCs w:val="16"/>
          <w:lang w:val="es-ES"/>
        </w:rPr>
        <w:t>, La inseguridad policial: Violencia de las fuerzas de seguridad en la Argentina, 1998, p. 45.</w:t>
      </w:r>
    </w:p>
  </w:footnote>
  <w:footnote w:id="13">
    <w:p w14:paraId="14FAA40C" w14:textId="77777777" w:rsidR="00581210" w:rsidRPr="00581210" w:rsidRDefault="00581210" w:rsidP="00581210">
      <w:pPr>
        <w:pStyle w:val="FootnoteText"/>
        <w:ind w:firstLine="720"/>
        <w:jc w:val="both"/>
        <w:rPr>
          <w:rFonts w:ascii="Cambria" w:hAnsi="Cambria"/>
          <w:color w:val="auto"/>
          <w:sz w:val="16"/>
          <w:szCs w:val="16"/>
          <w:lang w:val="es-ES"/>
        </w:rPr>
      </w:pPr>
      <w:r w:rsidRPr="006121BB">
        <w:rPr>
          <w:rStyle w:val="FootnoteReference"/>
          <w:rFonts w:ascii="Cambria" w:hAnsi="Cambria"/>
          <w:color w:val="auto"/>
          <w:sz w:val="16"/>
          <w:szCs w:val="16"/>
        </w:rPr>
        <w:footnoteRef/>
      </w:r>
      <w:r w:rsidRPr="00581210">
        <w:rPr>
          <w:rFonts w:ascii="Cambria" w:hAnsi="Cambria"/>
          <w:color w:val="auto"/>
          <w:sz w:val="16"/>
          <w:szCs w:val="16"/>
          <w:lang w:val="es-ES"/>
        </w:rPr>
        <w:t xml:space="preserve"> CELS and </w:t>
      </w:r>
      <w:r w:rsidRPr="00581210">
        <w:rPr>
          <w:rFonts w:ascii="Cambria" w:hAnsi="Cambria"/>
          <w:i/>
          <w:color w:val="auto"/>
          <w:sz w:val="16"/>
          <w:szCs w:val="16"/>
          <w:lang w:val="es-ES"/>
        </w:rPr>
        <w:t>Human Rights Watch</w:t>
      </w:r>
      <w:r w:rsidRPr="00581210">
        <w:rPr>
          <w:rFonts w:ascii="Cambria" w:hAnsi="Cambria"/>
          <w:color w:val="auto"/>
          <w:sz w:val="16"/>
          <w:szCs w:val="16"/>
          <w:lang w:val="es-ES"/>
        </w:rPr>
        <w:t>, La inseguridad policial: Violencia de las fuerzas de seguridad en la Argentina, 1998, p. 49.</w:t>
      </w:r>
    </w:p>
  </w:footnote>
  <w:footnote w:id="14">
    <w:p w14:paraId="6E741076"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Office of the Human Rights Ombudsperson for the City of Buenos Aires, Resolution 1135/2012.</w:t>
      </w:r>
    </w:p>
  </w:footnote>
  <w:footnote w:id="15">
    <w:p w14:paraId="75A8703B"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Arrest report, Carlos Alberto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May 26, 1992 (Annex to the initial petition of July 30, 1999).</w:t>
      </w:r>
    </w:p>
  </w:footnote>
  <w:footnote w:id="16">
    <w:p w14:paraId="59E680E4"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Arrest report, Carlos Alberto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May 26, 1992 (Annex to the initial petition of July 30, 1999).</w:t>
      </w:r>
    </w:p>
  </w:footnote>
  <w:footnote w:id="17">
    <w:p w14:paraId="7AEB9599"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Arrest report, Carlos Alberto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May 26, 1992 (Annex to the initial petition of July 30, 1999).</w:t>
      </w:r>
    </w:p>
  </w:footnote>
  <w:footnote w:id="18">
    <w:p w14:paraId="3AD70891"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Arrest report, Carlos Alberto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May 26, 1992 (Annex to the initial petition of July 30, 1999).</w:t>
      </w:r>
    </w:p>
  </w:footnote>
  <w:footnote w:id="19">
    <w:p w14:paraId="6670716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Arrest report, Carlos Alberto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May 26, 1992 (Annex to the initial petition of July 30, 1999).</w:t>
      </w:r>
    </w:p>
  </w:footnote>
  <w:footnote w:id="20">
    <w:p w14:paraId="02BC38C5"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Arrest report, Carlos Alberto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May 26, 1992 (Annex to the initial petition of July 30, 1999).</w:t>
      </w:r>
    </w:p>
  </w:footnote>
  <w:footnote w:id="21">
    <w:p w14:paraId="09DA8CB3"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Statement by Fabián </w:t>
      </w:r>
      <w:proofErr w:type="spellStart"/>
      <w:r w:rsidRPr="006121BB">
        <w:rPr>
          <w:rFonts w:ascii="Cambria" w:hAnsi="Cambria"/>
          <w:color w:val="auto"/>
          <w:sz w:val="16"/>
          <w:szCs w:val="16"/>
        </w:rPr>
        <w:t>Raúl</w:t>
      </w:r>
      <w:proofErr w:type="spellEnd"/>
      <w:r w:rsidRPr="006121BB">
        <w:rPr>
          <w:rFonts w:ascii="Cambria" w:hAnsi="Cambria"/>
          <w:color w:val="auto"/>
          <w:sz w:val="16"/>
          <w:szCs w:val="16"/>
        </w:rPr>
        <w:t xml:space="preserve"> Casanova, June 16, 1992 (Annex to the initial petition of July 30, 1999).</w:t>
      </w:r>
    </w:p>
  </w:footnote>
  <w:footnote w:id="22">
    <w:p w14:paraId="20546C2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Statement by Juan Carlos Norberto, June 16, 1992 (Annex to the initial petition of July 30, 1999).</w:t>
      </w:r>
    </w:p>
  </w:footnote>
  <w:footnote w:id="23">
    <w:p w14:paraId="61C6A6D8"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Signed Statement, Alberto José Julián </w:t>
      </w:r>
      <w:proofErr w:type="spellStart"/>
      <w:r w:rsidRPr="006121BB">
        <w:rPr>
          <w:rFonts w:ascii="Cambria" w:hAnsi="Cambria"/>
          <w:color w:val="auto"/>
          <w:sz w:val="16"/>
          <w:szCs w:val="16"/>
        </w:rPr>
        <w:t>Argente</w:t>
      </w:r>
      <w:proofErr w:type="spellEnd"/>
      <w:r w:rsidRPr="006121BB">
        <w:rPr>
          <w:rFonts w:ascii="Cambria" w:hAnsi="Cambria"/>
          <w:color w:val="auto"/>
          <w:sz w:val="16"/>
          <w:szCs w:val="16"/>
        </w:rPr>
        <w:t>, May 27, 1992 (Annex to the initial petition of July 30, 1999).</w:t>
      </w:r>
    </w:p>
  </w:footnote>
  <w:footnote w:id="24">
    <w:p w14:paraId="1CFB9961"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Signed Statement, Alberto José Julián </w:t>
      </w:r>
      <w:proofErr w:type="spellStart"/>
      <w:r w:rsidRPr="006121BB">
        <w:rPr>
          <w:rFonts w:ascii="Cambria" w:hAnsi="Cambria"/>
          <w:color w:val="auto"/>
          <w:sz w:val="16"/>
          <w:szCs w:val="16"/>
        </w:rPr>
        <w:t>Argente</w:t>
      </w:r>
      <w:proofErr w:type="spellEnd"/>
      <w:r w:rsidRPr="006121BB">
        <w:rPr>
          <w:rFonts w:ascii="Cambria" w:hAnsi="Cambria"/>
          <w:color w:val="auto"/>
          <w:sz w:val="16"/>
          <w:szCs w:val="16"/>
        </w:rPr>
        <w:t>, May 27, 1992 (Annex to the initial petition of July 30, 1999).</w:t>
      </w:r>
    </w:p>
  </w:footnote>
  <w:footnote w:id="25">
    <w:p w14:paraId="7B37E56B"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Signed Statement, Alberto José Julián </w:t>
      </w:r>
      <w:proofErr w:type="spellStart"/>
      <w:r w:rsidRPr="006121BB">
        <w:rPr>
          <w:rFonts w:ascii="Cambria" w:hAnsi="Cambria"/>
          <w:color w:val="auto"/>
          <w:sz w:val="16"/>
          <w:szCs w:val="16"/>
        </w:rPr>
        <w:t>Argente</w:t>
      </w:r>
      <w:proofErr w:type="spellEnd"/>
      <w:r w:rsidRPr="006121BB">
        <w:rPr>
          <w:rFonts w:ascii="Cambria" w:hAnsi="Cambria"/>
          <w:color w:val="auto"/>
          <w:sz w:val="16"/>
          <w:szCs w:val="16"/>
        </w:rPr>
        <w:t>, May 27, 1992 (Annex to the initial petition of July 30, 1999).</w:t>
      </w:r>
    </w:p>
  </w:footnote>
  <w:footnote w:id="26">
    <w:p w14:paraId="2A692924"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Signed Statement, Alberto José Julián </w:t>
      </w:r>
      <w:proofErr w:type="spellStart"/>
      <w:r w:rsidRPr="006121BB">
        <w:rPr>
          <w:rFonts w:ascii="Cambria" w:hAnsi="Cambria"/>
          <w:color w:val="auto"/>
          <w:sz w:val="16"/>
          <w:szCs w:val="16"/>
        </w:rPr>
        <w:t>Argente</w:t>
      </w:r>
      <w:proofErr w:type="spellEnd"/>
      <w:r w:rsidRPr="006121BB">
        <w:rPr>
          <w:rFonts w:ascii="Cambria" w:hAnsi="Cambria"/>
          <w:color w:val="auto"/>
          <w:sz w:val="16"/>
          <w:szCs w:val="16"/>
        </w:rPr>
        <w:t>, May 27, 1992 (Annex to the initial petition of July 30, 1999).</w:t>
      </w:r>
    </w:p>
  </w:footnote>
  <w:footnote w:id="27">
    <w:p w14:paraId="1F5C19E1"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Signed Statement, Alberto José Julián </w:t>
      </w:r>
      <w:proofErr w:type="spellStart"/>
      <w:r w:rsidRPr="006121BB">
        <w:rPr>
          <w:rFonts w:ascii="Cambria" w:hAnsi="Cambria"/>
          <w:color w:val="auto"/>
          <w:sz w:val="16"/>
          <w:szCs w:val="16"/>
        </w:rPr>
        <w:t>Argente</w:t>
      </w:r>
      <w:proofErr w:type="spellEnd"/>
      <w:r w:rsidRPr="006121BB">
        <w:rPr>
          <w:rFonts w:ascii="Cambria" w:hAnsi="Cambria"/>
          <w:color w:val="auto"/>
          <w:sz w:val="16"/>
          <w:szCs w:val="16"/>
        </w:rPr>
        <w:t>, May 27, 1992 (Annex to the initial petition of July 30, 1999).</w:t>
      </w:r>
    </w:p>
  </w:footnote>
  <w:footnote w:id="28">
    <w:p w14:paraId="2B599160"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Signed Statement, Alberto José Julián </w:t>
      </w:r>
      <w:proofErr w:type="spellStart"/>
      <w:r w:rsidRPr="006121BB">
        <w:rPr>
          <w:rFonts w:ascii="Cambria" w:hAnsi="Cambria"/>
          <w:color w:val="auto"/>
          <w:sz w:val="16"/>
          <w:szCs w:val="16"/>
        </w:rPr>
        <w:t>Argente</w:t>
      </w:r>
      <w:proofErr w:type="spellEnd"/>
      <w:r w:rsidRPr="006121BB">
        <w:rPr>
          <w:rFonts w:ascii="Cambria" w:hAnsi="Cambria"/>
          <w:color w:val="auto"/>
          <w:sz w:val="16"/>
          <w:szCs w:val="16"/>
        </w:rPr>
        <w:t>, May 27, 1992 (Annex to the initial petition of July 30, 1999).</w:t>
      </w:r>
    </w:p>
  </w:footnote>
  <w:footnote w:id="29">
    <w:p w14:paraId="262AD20A"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Resolution 93/95, Pretrial detention order,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June 16, 1992 (Annex to the initial petition of July 30, 1999).</w:t>
      </w:r>
    </w:p>
  </w:footnote>
  <w:footnote w:id="30">
    <w:p w14:paraId="53C88C05"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Resolution 93/95, Pretrial detention order,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June 16, 1992 (Annex to the initial petition of July 30, 1999).</w:t>
      </w:r>
    </w:p>
  </w:footnote>
  <w:footnote w:id="31">
    <w:p w14:paraId="4FB0731B"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Bill of indictment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of December 14, 1995 (Annex to the initial petition of July 30, 1999).</w:t>
      </w:r>
    </w:p>
  </w:footnote>
  <w:footnote w:id="32">
    <w:p w14:paraId="3F3CC41A"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Bill of indictment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of December 14, 1995 (Annex to the initial petition of July 30, 1999).</w:t>
      </w:r>
    </w:p>
  </w:footnote>
  <w:footnote w:id="33">
    <w:p w14:paraId="193BE580"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Defense brief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of May 26, 1996 (Annex to the initial petition of July 30, 1999).</w:t>
      </w:r>
    </w:p>
  </w:footnote>
  <w:footnote w:id="34">
    <w:p w14:paraId="29E020FD"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Defense brief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of May 26, 1996 (Annex to the initial petition of July 30, 1999).</w:t>
      </w:r>
    </w:p>
  </w:footnote>
  <w:footnote w:id="35">
    <w:p w14:paraId="165E5A50"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Defense brief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of May 26, 1996 (Annex to the initial petition of July 30, 1999).</w:t>
      </w:r>
    </w:p>
  </w:footnote>
  <w:footnote w:id="36">
    <w:p w14:paraId="3CBB5EB8"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w:t>
      </w:r>
      <w:bookmarkStart w:id="35" w:name="_Hlk496097827"/>
      <w:r w:rsidRPr="006121BB">
        <w:rPr>
          <w:rFonts w:ascii="Cambria" w:hAnsi="Cambria"/>
          <w:color w:val="auto"/>
          <w:sz w:val="16"/>
          <w:szCs w:val="16"/>
        </w:rPr>
        <w:t xml:space="preserve">Judgment convicting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July 19, 1996</w:t>
      </w:r>
      <w:bookmarkEnd w:id="35"/>
      <w:r w:rsidRPr="006121BB">
        <w:rPr>
          <w:rFonts w:ascii="Cambria" w:hAnsi="Cambria"/>
          <w:color w:val="auto"/>
          <w:sz w:val="16"/>
          <w:szCs w:val="16"/>
        </w:rPr>
        <w:t xml:space="preserve"> (Annex to the initial petition of July 30, 1999).</w:t>
      </w:r>
    </w:p>
  </w:footnote>
  <w:footnote w:id="37">
    <w:p w14:paraId="7B2D8066"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Judgment convicting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July 19, 1996 (Annex to the initial petition of July 30, 1999).</w:t>
      </w:r>
    </w:p>
  </w:footnote>
  <w:footnote w:id="38">
    <w:p w14:paraId="1BA3B4CE"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Judgment convicting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July 19, 1996 (Annex to the initial petition of July 30, 1999).</w:t>
      </w:r>
    </w:p>
  </w:footnote>
  <w:footnote w:id="39">
    <w:p w14:paraId="725BFE1A"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Appellate brief against the judgment of first instance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(Annex to the initial petition of July 30, 1999).</w:t>
      </w:r>
    </w:p>
  </w:footnote>
  <w:footnote w:id="40">
    <w:p w14:paraId="4E301F49"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Appellate brief against the judgment of first instance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(Annex to the initial petition of July 30, 1999).</w:t>
      </w:r>
    </w:p>
  </w:footnote>
  <w:footnote w:id="41">
    <w:p w14:paraId="272D0678"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Appellate brief against the judgment of first instance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(Annex to the initial petition of July 30, 1999).</w:t>
      </w:r>
    </w:p>
  </w:footnote>
  <w:footnote w:id="42">
    <w:p w14:paraId="055DDFFF"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Appellate brief against the judgment of first instance of </w:t>
      </w:r>
      <w:proofErr w:type="spellStart"/>
      <w:r w:rsidRPr="006121BB">
        <w:rPr>
          <w:rFonts w:ascii="Cambria" w:hAnsi="Cambria"/>
          <w:color w:val="auto"/>
          <w:sz w:val="16"/>
          <w:szCs w:val="16"/>
        </w:rPr>
        <w:t>Fernández</w:t>
      </w:r>
      <w:proofErr w:type="spellEnd"/>
      <w:r w:rsidRPr="006121BB">
        <w:rPr>
          <w:rFonts w:ascii="Cambria" w:hAnsi="Cambria"/>
          <w:color w:val="auto"/>
          <w:sz w:val="16"/>
          <w:szCs w:val="16"/>
        </w:rPr>
        <w:t xml:space="preserve"> Prieto (Annex to the initial petition of July 30, 1999).</w:t>
      </w:r>
    </w:p>
  </w:footnote>
  <w:footnote w:id="43">
    <w:p w14:paraId="7D66E82A"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Judgment of the Federal Court of Appeals, November 23, 1996 (Annex to the initial petition of July 30, 1999).</w:t>
      </w:r>
    </w:p>
  </w:footnote>
  <w:footnote w:id="44">
    <w:p w14:paraId="6FE58BBD"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Judgment of the Federal Court of Appeals, November 23, 1996 (Annex to the initial petition of July 30, 1999).</w:t>
      </w:r>
    </w:p>
  </w:footnote>
  <w:footnote w:id="45">
    <w:p w14:paraId="542ED4D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Judgment of the Federal Court of Appeals, November 23, 1996 (Annex to the initial petition of July 30, 1999).</w:t>
      </w:r>
    </w:p>
  </w:footnote>
  <w:footnote w:id="46">
    <w:p w14:paraId="23A8D7D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Federal Extraordinary Appeal of December 12, 1996 (Annex to the initial petition of July 30, 1999).</w:t>
      </w:r>
    </w:p>
  </w:footnote>
  <w:footnote w:id="47">
    <w:p w14:paraId="1F6DE7E5"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Federal Extraordinary Appeal of December 12, 1996 (Annex to the initial petition of July 30, 1999).</w:t>
      </w:r>
    </w:p>
  </w:footnote>
  <w:footnote w:id="48">
    <w:p w14:paraId="5665EEEB"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Federal Extraordinary Appeal of December 12, 1996 (Annex to the initial petition of July 30, 1999).</w:t>
      </w:r>
    </w:p>
  </w:footnote>
  <w:footnote w:id="49">
    <w:p w14:paraId="1F8B8617"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Order of the Federal Court of Appeals of Mar de Plata of February 14, 1997 (Annex to the initial petition of July 30, 1999).</w:t>
      </w:r>
    </w:p>
  </w:footnote>
  <w:footnote w:id="50">
    <w:p w14:paraId="46A3D63B"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Order of the Federal Court of Appeals of Mar de Plata of February 14, 1997 (Annex to the initial petition of July 30, 1999).</w:t>
      </w:r>
    </w:p>
  </w:footnote>
  <w:footnote w:id="51">
    <w:p w14:paraId="165E5FEA"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Extraordinary Complaint Appeal of February 28, 1997 (Annex to the initial petition of July 30, 1999).</w:t>
      </w:r>
    </w:p>
  </w:footnote>
  <w:footnote w:id="52">
    <w:p w14:paraId="3D925C9D"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Extraordinary Complaint Appeal of February 28, 1997 (Annex to the initial petition of July 30, 1999).</w:t>
      </w:r>
    </w:p>
  </w:footnote>
  <w:footnote w:id="53">
    <w:p w14:paraId="32F7CD40"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Supreme Court of Justice of the Nation, November 12, 1998 (Annex to the initial petition of July 30, 1999).</w:t>
      </w:r>
    </w:p>
  </w:footnote>
  <w:footnote w:id="54">
    <w:p w14:paraId="6789DE66"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Supreme Court of Justice of the Nation, November 12, 1998 (Annex to the initial petition of July 30, 1999).</w:t>
      </w:r>
    </w:p>
  </w:footnote>
  <w:footnote w:id="55">
    <w:p w14:paraId="2F25DA34"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Supreme Court of Justice of the Nation, November 12, 1998 (Annex to the initial petition of July 30, 1999).</w:t>
      </w:r>
    </w:p>
  </w:footnote>
  <w:footnote w:id="56">
    <w:p w14:paraId="5A30CCFD"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Supreme Court of Justice of the Nation, November 12, 1998 (Annex to the initial petition of July 30, 1999).</w:t>
      </w:r>
    </w:p>
  </w:footnote>
  <w:footnote w:id="57">
    <w:p w14:paraId="1D34E66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Supreme Court of Justice of the Nation, Judgment of November 12, 1998 (Annex to the initial petition of July 30, 1999).</w:t>
      </w:r>
    </w:p>
  </w:footnote>
  <w:footnote w:id="58">
    <w:p w14:paraId="11786EEA"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Supreme Court of Justice of the Nation, Judgment of November 12, 1998 (Annex to the initial petition of July 30, 1999).</w:t>
      </w:r>
    </w:p>
  </w:footnote>
  <w:footnote w:id="59">
    <w:p w14:paraId="5443CAE4"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Style w:val="FootnoteReference"/>
          <w:rFonts w:ascii="Cambria" w:hAnsi="Cambria"/>
          <w:sz w:val="16"/>
          <w:szCs w:val="16"/>
        </w:rPr>
        <w:t xml:space="preserve"> </w:t>
      </w: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p>
  </w:footnote>
  <w:footnote w:id="60">
    <w:p w14:paraId="47CB7C65"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Style w:val="FootnoteReference"/>
          <w:rFonts w:ascii="Cambria" w:hAnsi="Cambria"/>
          <w:sz w:val="16"/>
          <w:szCs w:val="16"/>
        </w:rPr>
        <w:t xml:space="preserve"> </w:t>
      </w: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p>
  </w:footnote>
  <w:footnote w:id="61">
    <w:p w14:paraId="64701A49"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Style w:val="FootnoteReference"/>
          <w:rFonts w:ascii="Cambria" w:hAnsi="Cambria"/>
          <w:sz w:val="16"/>
          <w:szCs w:val="16"/>
        </w:rPr>
        <w:t xml:space="preserve"> </w:t>
      </w: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p>
  </w:footnote>
  <w:footnote w:id="62">
    <w:p w14:paraId="3BAD5C6E"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Style w:val="FootnoteReference"/>
          <w:rFonts w:ascii="Cambria" w:hAnsi="Cambria"/>
          <w:sz w:val="16"/>
          <w:szCs w:val="16"/>
        </w:rPr>
        <w:t xml:space="preserve"> </w:t>
      </w: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p>
  </w:footnote>
  <w:footnote w:id="63">
    <w:p w14:paraId="04BFAFBF" w14:textId="77777777" w:rsidR="00581210" w:rsidRPr="006121BB" w:rsidRDefault="00581210" w:rsidP="00581210">
      <w:pPr>
        <w:ind w:firstLine="720"/>
        <w:jc w:val="both"/>
        <w:rPr>
          <w:rFonts w:ascii="Cambria" w:hAnsi="Cambria"/>
          <w:sz w:val="16"/>
          <w:szCs w:val="16"/>
        </w:rPr>
      </w:pP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p>
  </w:footnote>
  <w:footnote w:id="64">
    <w:p w14:paraId="48C5E650"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Style w:val="FootnoteReference"/>
          <w:rFonts w:ascii="Cambria" w:hAnsi="Cambria"/>
          <w:sz w:val="16"/>
          <w:szCs w:val="16"/>
        </w:rPr>
        <w:t xml:space="preserve"> </w:t>
      </w: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p>
  </w:footnote>
  <w:footnote w:id="65">
    <w:p w14:paraId="6B21602E"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Petition of Carlos Alejandro </w:t>
      </w:r>
      <w:proofErr w:type="spellStart"/>
      <w:r w:rsidRPr="006121BB">
        <w:rPr>
          <w:rFonts w:ascii="Cambria" w:hAnsi="Cambria"/>
          <w:color w:val="auto"/>
          <w:sz w:val="16"/>
          <w:szCs w:val="16"/>
        </w:rPr>
        <w:t>Tumbeiro</w:t>
      </w:r>
      <w:proofErr w:type="spellEnd"/>
      <w:r w:rsidRPr="006121BB">
        <w:rPr>
          <w:rFonts w:ascii="Cambria" w:hAnsi="Cambria"/>
          <w:color w:val="auto"/>
          <w:sz w:val="16"/>
          <w:szCs w:val="16"/>
        </w:rPr>
        <w:t>, P.1181/2003.</w:t>
      </w:r>
    </w:p>
  </w:footnote>
  <w:footnote w:id="66">
    <w:p w14:paraId="7A73ABBC"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Fonts w:ascii="Cambria" w:hAnsi="Cambria"/>
          <w:color w:val="auto"/>
          <w:sz w:val="16"/>
          <w:szCs w:val="16"/>
        </w:rPr>
        <w:t xml:space="preserve"> Petition of Carlos Alejandro </w:t>
      </w:r>
      <w:proofErr w:type="spellStart"/>
      <w:r w:rsidRPr="006121BB">
        <w:rPr>
          <w:rFonts w:ascii="Cambria" w:hAnsi="Cambria"/>
          <w:color w:val="auto"/>
          <w:sz w:val="16"/>
          <w:szCs w:val="16"/>
        </w:rPr>
        <w:t>Tumbeiro</w:t>
      </w:r>
      <w:proofErr w:type="spellEnd"/>
      <w:r w:rsidRPr="006121BB">
        <w:rPr>
          <w:rFonts w:ascii="Cambria" w:hAnsi="Cambria"/>
          <w:color w:val="auto"/>
          <w:sz w:val="16"/>
          <w:szCs w:val="16"/>
        </w:rPr>
        <w:t>, P.1181/2003.</w:t>
      </w:r>
    </w:p>
  </w:footnote>
  <w:footnote w:id="67">
    <w:p w14:paraId="42904235"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Style w:val="FootnoteReference"/>
          <w:rFonts w:ascii="Cambria" w:hAnsi="Cambria"/>
          <w:color w:val="auto"/>
          <w:sz w:val="16"/>
          <w:szCs w:val="16"/>
        </w:rPr>
        <w:t xml:space="preserve"> </w:t>
      </w: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p>
  </w:footnote>
  <w:footnote w:id="68">
    <w:p w14:paraId="3348CF49" w14:textId="77777777" w:rsidR="00581210" w:rsidRPr="006121BB" w:rsidRDefault="00581210" w:rsidP="00581210">
      <w:pPr>
        <w:pStyle w:val="FootnoteText"/>
        <w:ind w:firstLine="720"/>
        <w:jc w:val="both"/>
        <w:rPr>
          <w:rFonts w:ascii="Cambria" w:hAnsi="Cambria"/>
          <w:color w:val="auto"/>
          <w:sz w:val="16"/>
          <w:szCs w:val="16"/>
        </w:rPr>
      </w:pPr>
      <w:r w:rsidRPr="006121BB">
        <w:rPr>
          <w:rStyle w:val="FootnoteReference"/>
          <w:rFonts w:ascii="Cambria" w:hAnsi="Cambria"/>
          <w:color w:val="auto"/>
          <w:sz w:val="16"/>
          <w:szCs w:val="16"/>
        </w:rPr>
        <w:footnoteRef/>
      </w:r>
      <w:r w:rsidRPr="006121BB">
        <w:rPr>
          <w:rStyle w:val="FootnoteReference"/>
          <w:rFonts w:ascii="Cambria" w:hAnsi="Cambria"/>
          <w:color w:val="auto"/>
          <w:sz w:val="16"/>
          <w:szCs w:val="16"/>
        </w:rPr>
        <w:t xml:space="preserve"> </w:t>
      </w:r>
      <w:r w:rsidRPr="006121BB">
        <w:rPr>
          <w:rFonts w:ascii="Cambria" w:hAnsi="Cambria"/>
          <w:sz w:val="16"/>
          <w:szCs w:val="16"/>
        </w:rPr>
        <w:t xml:space="preserve">Motion for Extraordinary Appeal, Case No. 2100, First Chamber,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re:/motion for cassation of March 30, 1999, Annex to the petitioners’ brief of observations of October 6, 2006</w:t>
      </w:r>
      <w:r w:rsidRPr="006121BB">
        <w:rPr>
          <w:rFonts w:ascii="Cambria" w:hAnsi="Cambria"/>
          <w:color w:val="auto"/>
          <w:sz w:val="16"/>
          <w:szCs w:val="16"/>
        </w:rPr>
        <w:t>.</w:t>
      </w:r>
    </w:p>
  </w:footnote>
  <w:footnote w:id="69">
    <w:p w14:paraId="0B44E9CE"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re/extraordinary appeal, T135. CCCV of October 3, 2002, Annex to petitioners’ brief of observations of October 16, 2002.</w:t>
      </w:r>
    </w:p>
  </w:footnote>
  <w:footnote w:id="70">
    <w:p w14:paraId="6DCA45D8"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 extraordinary appeal, T135. CCCV of October 3, 2002, Annex to petitioners’ brief of observations of October 16, 2002.</w:t>
      </w:r>
    </w:p>
  </w:footnote>
  <w:footnote w:id="71">
    <w:p w14:paraId="03E670A6"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 extraordinary appeal, T135. CCCV of October 3, 2002, Annex to petitioners’ brief of observations of October 16, 2002.</w:t>
      </w:r>
    </w:p>
  </w:footnote>
  <w:footnote w:id="72">
    <w:p w14:paraId="3A7C497A"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 extraordinary appeal, T135. CCCV of October 3, 2002, Annex to petitioners’ brief of observations of October 16, 2002.</w:t>
      </w:r>
    </w:p>
  </w:footnote>
  <w:footnote w:id="73">
    <w:p w14:paraId="4D1B9780"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 extraordinary appeal, T135. CCCV of October 3, 2002, Annex to petitioners’ brief of observations of October 16, 2002.</w:t>
      </w:r>
    </w:p>
  </w:footnote>
  <w:footnote w:id="74">
    <w:p w14:paraId="368FDC99"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re/extraordinary appeal, T135. CCCV of October 3, 2002, Annex to petitioners’ brief of observations of October 16, 2002.</w:t>
      </w:r>
    </w:p>
  </w:footnote>
  <w:footnote w:id="75">
    <w:p w14:paraId="480E9DEB"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 extraordinary appeal, T135. CCCV of October 3, 2002, Annex to petitioners’ brief of observations of October 16, 2002.</w:t>
      </w:r>
    </w:p>
  </w:footnote>
  <w:footnote w:id="76">
    <w:p w14:paraId="73CD0D05" w14:textId="77777777" w:rsidR="00581210" w:rsidRPr="006121BB" w:rsidRDefault="00581210" w:rsidP="00581210">
      <w:pPr>
        <w:ind w:firstLine="720"/>
        <w:jc w:val="both"/>
        <w:rPr>
          <w:rFonts w:ascii="Cambria" w:hAnsi="Cambria"/>
          <w:sz w:val="16"/>
          <w:szCs w:val="16"/>
        </w:rPr>
      </w:pPr>
      <w:r w:rsidRPr="006121BB">
        <w:rPr>
          <w:rStyle w:val="FootnoteReference"/>
          <w:rFonts w:ascii="Cambria" w:hAnsi="Cambria"/>
          <w:sz w:val="16"/>
          <w:szCs w:val="16"/>
        </w:rPr>
        <w:footnoteRef/>
      </w:r>
      <w:r w:rsidRPr="006121BB">
        <w:rPr>
          <w:rFonts w:ascii="Cambria" w:hAnsi="Cambria"/>
          <w:sz w:val="16"/>
          <w:szCs w:val="16"/>
        </w:rPr>
        <w:t xml:space="preserve"> Judgment of the Supreme Court of Justice of the Nation, </w:t>
      </w:r>
      <w:proofErr w:type="spellStart"/>
      <w:r w:rsidRPr="006121BB">
        <w:rPr>
          <w:rFonts w:ascii="Cambria" w:hAnsi="Cambria"/>
          <w:sz w:val="16"/>
          <w:szCs w:val="16"/>
        </w:rPr>
        <w:t>Tumbeiro</w:t>
      </w:r>
      <w:proofErr w:type="spellEnd"/>
      <w:r w:rsidRPr="006121BB">
        <w:rPr>
          <w:rFonts w:ascii="Cambria" w:hAnsi="Cambria"/>
          <w:sz w:val="16"/>
          <w:szCs w:val="16"/>
        </w:rPr>
        <w:t xml:space="preserve"> Carlos Alejandro re/extraordinary appeal, T135. CCCV of October 3, 2002, Annex to petitioners’ brief of observations of October 16, 2002.</w:t>
      </w:r>
    </w:p>
  </w:footnote>
  <w:footnote w:id="77">
    <w:p w14:paraId="1C79720E" w14:textId="77777777" w:rsidR="00581210" w:rsidRPr="00665E60" w:rsidRDefault="00581210" w:rsidP="00581210">
      <w:pPr>
        <w:ind w:firstLine="720"/>
        <w:jc w:val="both"/>
        <w:rPr>
          <w:rFonts w:ascii="Cambria" w:eastAsia="Times New Roman" w:hAnsi="Cambria" w:cs="Cambria"/>
          <w:sz w:val="16"/>
          <w:szCs w:val="16"/>
          <w:u w:color="000000"/>
          <w:lang w:eastAsia="es-ES"/>
        </w:rPr>
      </w:pPr>
      <w:r w:rsidRPr="00665E60">
        <w:rPr>
          <w:rStyle w:val="FootnoteReference"/>
          <w:sz w:val="16"/>
          <w:szCs w:val="16"/>
        </w:rPr>
        <w:footnoteRef/>
      </w:r>
      <w:r w:rsidRPr="00665E60">
        <w:rPr>
          <w:rFonts w:ascii="Cambria" w:hAnsi="Cambria"/>
          <w:spacing w:val="-3"/>
          <w:sz w:val="16"/>
          <w:szCs w:val="16"/>
        </w:rPr>
        <w:t xml:space="preserve"> </w:t>
      </w:r>
      <w:r>
        <w:rPr>
          <w:rFonts w:ascii="Cambria" w:eastAsia="Times New Roman" w:hAnsi="Cambria" w:cs="Cambria"/>
          <w:sz w:val="16"/>
          <w:szCs w:val="16"/>
          <w:u w:color="000000"/>
          <w:lang w:eastAsia="es-ES"/>
        </w:rPr>
        <w:t xml:space="preserve">Article </w:t>
      </w:r>
      <w:r w:rsidRPr="00665E60">
        <w:rPr>
          <w:rFonts w:ascii="Cambria" w:eastAsia="Times New Roman" w:hAnsi="Cambria" w:cs="Cambria"/>
          <w:sz w:val="16"/>
          <w:szCs w:val="16"/>
          <w:u w:color="000000"/>
          <w:lang w:eastAsia="es-ES"/>
        </w:rPr>
        <w:t xml:space="preserve">11 </w:t>
      </w:r>
      <w:r>
        <w:rPr>
          <w:rFonts w:ascii="Cambria" w:eastAsia="Times New Roman" w:hAnsi="Cambria" w:cs="Cambria"/>
          <w:sz w:val="16"/>
          <w:szCs w:val="16"/>
          <w:u w:color="000000"/>
          <w:lang w:eastAsia="es-ES"/>
        </w:rPr>
        <w:t xml:space="preserve">of the American Convention </w:t>
      </w:r>
      <w:r w:rsidRPr="00665E60">
        <w:rPr>
          <w:rFonts w:ascii="Cambria" w:eastAsia="Times New Roman" w:hAnsi="Cambria" w:cs="Cambria"/>
          <w:sz w:val="16"/>
          <w:szCs w:val="16"/>
          <w:u w:color="000000"/>
          <w:lang w:eastAsia="es-ES"/>
        </w:rPr>
        <w:t>indica</w:t>
      </w:r>
      <w:r>
        <w:rPr>
          <w:rFonts w:ascii="Cambria" w:eastAsia="Times New Roman" w:hAnsi="Cambria" w:cs="Cambria"/>
          <w:sz w:val="16"/>
          <w:szCs w:val="16"/>
          <w:u w:color="000000"/>
          <w:lang w:eastAsia="es-ES"/>
        </w:rPr>
        <w:t>tes</w:t>
      </w:r>
      <w:r w:rsidRPr="00665E60">
        <w:rPr>
          <w:rFonts w:ascii="Cambria" w:eastAsia="Times New Roman" w:hAnsi="Cambria" w:cs="Cambria"/>
          <w:sz w:val="16"/>
          <w:szCs w:val="16"/>
          <w:u w:color="000000"/>
          <w:lang w:eastAsia="es-ES"/>
        </w:rPr>
        <w:t xml:space="preserve">, </w:t>
      </w:r>
      <w:r>
        <w:rPr>
          <w:rFonts w:ascii="Cambria" w:eastAsia="Times New Roman" w:hAnsi="Cambria" w:cs="Cambria"/>
          <w:sz w:val="16"/>
          <w:szCs w:val="16"/>
          <w:u w:color="000000"/>
          <w:lang w:eastAsia="es-ES"/>
        </w:rPr>
        <w:t>at the relevant parts</w:t>
      </w:r>
      <w:r w:rsidRPr="00665E60">
        <w:rPr>
          <w:rFonts w:ascii="Cambria" w:eastAsia="Times New Roman" w:hAnsi="Cambria" w:cs="Cambria"/>
          <w:sz w:val="16"/>
          <w:szCs w:val="16"/>
          <w:u w:color="000000"/>
          <w:lang w:eastAsia="es-ES"/>
        </w:rPr>
        <w:t xml:space="preserve">: </w:t>
      </w:r>
      <w:r>
        <w:rPr>
          <w:rFonts w:ascii="Cambria" w:eastAsia="Times New Roman" w:hAnsi="Cambria" w:cs="Cambria"/>
          <w:sz w:val="16"/>
          <w:szCs w:val="16"/>
          <w:u w:color="000000"/>
          <w:lang w:eastAsia="es-ES"/>
        </w:rPr>
        <w:t>“</w:t>
      </w:r>
      <w:r w:rsidRPr="00665E60">
        <w:rPr>
          <w:rFonts w:ascii="Cambria" w:hAnsi="Cambria"/>
          <w:spacing w:val="-3"/>
          <w:sz w:val="16"/>
          <w:szCs w:val="16"/>
        </w:rPr>
        <w:t xml:space="preserve">1. </w:t>
      </w:r>
      <w:proofErr w:type="gramStart"/>
      <w:r w:rsidRPr="001F7CD3">
        <w:rPr>
          <w:rFonts w:ascii="Cambria" w:hAnsi="Cambria"/>
          <w:spacing w:val="-3"/>
          <w:sz w:val="16"/>
          <w:szCs w:val="16"/>
        </w:rPr>
        <w:t>Everyone</w:t>
      </w:r>
      <w:proofErr w:type="gramEnd"/>
      <w:r w:rsidRPr="001F7CD3">
        <w:rPr>
          <w:rFonts w:ascii="Cambria" w:hAnsi="Cambria"/>
          <w:spacing w:val="-3"/>
          <w:sz w:val="16"/>
          <w:szCs w:val="16"/>
        </w:rPr>
        <w:t xml:space="preserve"> has the right to have his honor respe</w:t>
      </w:r>
      <w:r>
        <w:rPr>
          <w:rFonts w:ascii="Cambria" w:hAnsi="Cambria"/>
          <w:spacing w:val="-3"/>
          <w:sz w:val="16"/>
          <w:szCs w:val="16"/>
        </w:rPr>
        <w:t>cted and his dignity recognized</w:t>
      </w:r>
      <w:r w:rsidRPr="00665E60">
        <w:rPr>
          <w:rFonts w:ascii="Cambria" w:hAnsi="Cambria"/>
          <w:spacing w:val="-3"/>
          <w:sz w:val="16"/>
          <w:szCs w:val="16"/>
        </w:rPr>
        <w:t xml:space="preserve">; 2. </w:t>
      </w:r>
      <w:r w:rsidRPr="001F7CD3">
        <w:rPr>
          <w:rFonts w:ascii="Cambria" w:hAnsi="Cambria"/>
          <w:spacing w:val="-3"/>
          <w:sz w:val="16"/>
          <w:szCs w:val="16"/>
        </w:rPr>
        <w:t>No one may be the object of arbitrary or abusive interference with his private life, his family, his home, or his correspondence, or of unlawful att</w:t>
      </w:r>
      <w:r>
        <w:rPr>
          <w:rFonts w:ascii="Cambria" w:hAnsi="Cambria"/>
          <w:spacing w:val="-3"/>
          <w:sz w:val="16"/>
          <w:szCs w:val="16"/>
        </w:rPr>
        <w:t>acks on his honor or reputation</w:t>
      </w:r>
      <w:r w:rsidRPr="00665E60">
        <w:rPr>
          <w:rFonts w:ascii="Cambria" w:hAnsi="Cambria"/>
          <w:spacing w:val="-3"/>
          <w:sz w:val="16"/>
          <w:szCs w:val="16"/>
        </w:rPr>
        <w:t>.</w:t>
      </w:r>
      <w:r>
        <w:rPr>
          <w:rFonts w:ascii="Cambria" w:hAnsi="Cambria"/>
          <w:spacing w:val="-3"/>
          <w:sz w:val="16"/>
          <w:szCs w:val="16"/>
        </w:rPr>
        <w:t xml:space="preserve">” </w:t>
      </w:r>
    </w:p>
  </w:footnote>
  <w:footnote w:id="78">
    <w:p w14:paraId="7A1932AA" w14:textId="77777777" w:rsidR="00581210" w:rsidRPr="00665E60" w:rsidRDefault="00581210" w:rsidP="00581210">
      <w:pPr>
        <w:tabs>
          <w:tab w:val="left" w:pos="360"/>
          <w:tab w:val="left" w:pos="720"/>
        </w:tabs>
        <w:suppressAutoHyphens/>
        <w:ind w:firstLine="720"/>
        <w:jc w:val="both"/>
        <w:rPr>
          <w:rFonts w:ascii="Cambria" w:hAnsi="Cambria"/>
          <w:spacing w:val="-3"/>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sz w:val="16"/>
          <w:szCs w:val="16"/>
        </w:rPr>
        <w:t xml:space="preserve">Article </w:t>
      </w:r>
      <w:r w:rsidRPr="00665E60">
        <w:rPr>
          <w:rFonts w:ascii="Cambria" w:hAnsi="Cambria"/>
          <w:sz w:val="16"/>
          <w:szCs w:val="16"/>
        </w:rPr>
        <w:t xml:space="preserve">7 </w:t>
      </w:r>
      <w:r>
        <w:rPr>
          <w:rFonts w:ascii="Cambria" w:hAnsi="Cambria"/>
          <w:sz w:val="16"/>
          <w:szCs w:val="16"/>
        </w:rPr>
        <w:t>of the American Convention establishes</w:t>
      </w:r>
      <w:r w:rsidRPr="00665E60">
        <w:rPr>
          <w:rFonts w:ascii="Cambria" w:hAnsi="Cambria"/>
          <w:sz w:val="16"/>
          <w:szCs w:val="16"/>
        </w:rPr>
        <w:t xml:space="preserve">: </w:t>
      </w:r>
      <w:r>
        <w:rPr>
          <w:rFonts w:ascii="Cambria" w:hAnsi="Cambria"/>
          <w:sz w:val="16"/>
          <w:szCs w:val="16"/>
        </w:rPr>
        <w:t>“</w:t>
      </w:r>
      <w:r w:rsidRPr="001F7CD3">
        <w:rPr>
          <w:rFonts w:ascii="Cambria" w:hAnsi="Cambria"/>
          <w:sz w:val="16"/>
          <w:szCs w:val="16"/>
        </w:rPr>
        <w:t xml:space="preserve">1. </w:t>
      </w:r>
      <w:proofErr w:type="gramStart"/>
      <w:r w:rsidRPr="001F7CD3">
        <w:rPr>
          <w:rFonts w:ascii="Cambria" w:hAnsi="Cambria"/>
          <w:sz w:val="16"/>
          <w:szCs w:val="16"/>
        </w:rPr>
        <w:t>Every</w:t>
      </w:r>
      <w:proofErr w:type="gramEnd"/>
      <w:r w:rsidRPr="001F7CD3">
        <w:rPr>
          <w:rFonts w:ascii="Cambria" w:hAnsi="Cambria"/>
          <w:sz w:val="16"/>
          <w:szCs w:val="16"/>
        </w:rPr>
        <w:t xml:space="preserve"> person has the right to personal liberty and security. 2. No one shall be deprived of his physical liberty except for the reasons and under the conditions established beforehand by the constitution of the State Party concerned or by a law established pursuant thereto. 3. No one shall be subject to arbitrary arrest or imprisonment</w:t>
      </w:r>
      <w:r>
        <w:rPr>
          <w:rFonts w:ascii="Cambria" w:hAnsi="Cambria"/>
          <w:sz w:val="16"/>
          <w:szCs w:val="16"/>
        </w:rPr>
        <w:t>…</w:t>
      </w:r>
      <w:r w:rsidRPr="00665E60">
        <w:rPr>
          <w:rFonts w:ascii="Cambria" w:hAnsi="Cambria"/>
          <w:spacing w:val="-3"/>
          <w:sz w:val="16"/>
          <w:szCs w:val="16"/>
        </w:rPr>
        <w:t>;</w:t>
      </w:r>
      <w:r>
        <w:rPr>
          <w:rFonts w:ascii="Cambria" w:hAnsi="Cambria"/>
          <w:spacing w:val="-3"/>
          <w:sz w:val="16"/>
          <w:szCs w:val="16"/>
        </w:rPr>
        <w:t xml:space="preserve"> </w:t>
      </w:r>
      <w:r w:rsidRPr="00665E60">
        <w:rPr>
          <w:rFonts w:ascii="Cambria" w:hAnsi="Cambria"/>
          <w:spacing w:val="-3"/>
          <w:sz w:val="16"/>
          <w:szCs w:val="16"/>
        </w:rPr>
        <w:t>5.</w:t>
      </w:r>
      <w:r w:rsidRPr="00665E60">
        <w:rPr>
          <w:rFonts w:ascii="Cambria" w:hAnsi="Cambria"/>
          <w:b/>
          <w:spacing w:val="-3"/>
          <w:sz w:val="16"/>
          <w:szCs w:val="16"/>
        </w:rPr>
        <w:t xml:space="preserve">  </w:t>
      </w:r>
      <w:r w:rsidRPr="001F7CD3">
        <w:rPr>
          <w:rFonts w:ascii="Cambria" w:hAnsi="Cambria"/>
          <w:spacing w:val="-3"/>
          <w:sz w:val="16"/>
          <w:szCs w:val="16"/>
        </w:rPr>
        <w:t>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r>
        <w:rPr>
          <w:rFonts w:ascii="Cambria" w:hAnsi="Cambria"/>
          <w:spacing w:val="-3"/>
          <w:sz w:val="16"/>
          <w:szCs w:val="16"/>
        </w:rPr>
        <w:t xml:space="preserve">…” </w:t>
      </w:r>
    </w:p>
  </w:footnote>
  <w:footnote w:id="79">
    <w:p w14:paraId="33B98AB6" w14:textId="77777777" w:rsidR="00581210" w:rsidRPr="00665E60" w:rsidRDefault="00581210" w:rsidP="00581210">
      <w:pPr>
        <w:pStyle w:val="FootnoteText"/>
        <w:ind w:firstLine="720"/>
        <w:rPr>
          <w:sz w:val="16"/>
          <w:szCs w:val="16"/>
        </w:rPr>
      </w:pPr>
      <w:r w:rsidRPr="00665E60">
        <w:rPr>
          <w:rStyle w:val="FootnoteReference"/>
          <w:sz w:val="16"/>
          <w:szCs w:val="16"/>
        </w:rPr>
        <w:footnoteRef/>
      </w:r>
      <w:r w:rsidRPr="00665E60">
        <w:rPr>
          <w:sz w:val="16"/>
          <w:szCs w:val="16"/>
        </w:rPr>
        <w:t xml:space="preserve"> </w:t>
      </w:r>
      <w:r>
        <w:rPr>
          <w:rFonts w:ascii="Cambria" w:hAnsi="Cambria"/>
          <w:spacing w:val="-3"/>
          <w:sz w:val="16"/>
          <w:szCs w:val="16"/>
        </w:rPr>
        <w:t xml:space="preserve">Article </w:t>
      </w:r>
      <w:r w:rsidRPr="00665E60">
        <w:rPr>
          <w:rFonts w:ascii="Cambria" w:hAnsi="Cambria"/>
          <w:spacing w:val="-3"/>
          <w:sz w:val="16"/>
          <w:szCs w:val="16"/>
        </w:rPr>
        <w:t xml:space="preserve">8 </w:t>
      </w:r>
      <w:r>
        <w:rPr>
          <w:rFonts w:ascii="Cambria" w:hAnsi="Cambria"/>
          <w:spacing w:val="-3"/>
          <w:sz w:val="16"/>
          <w:szCs w:val="16"/>
        </w:rPr>
        <w:t>of the American Convention states, at the relevant part: “</w:t>
      </w:r>
      <w:r w:rsidRPr="00665E60">
        <w:rPr>
          <w:rFonts w:ascii="Cambria" w:hAnsi="Cambria"/>
          <w:spacing w:val="-3"/>
          <w:sz w:val="16"/>
          <w:szCs w:val="16"/>
        </w:rPr>
        <w:t xml:space="preserve">1. </w:t>
      </w:r>
      <w:r w:rsidRPr="00B27E9F">
        <w:rPr>
          <w:rFonts w:ascii="Cambria" w:hAnsi="Cambria"/>
          <w:spacing w:val="-3"/>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Pr>
          <w:rFonts w:ascii="Cambria" w:hAnsi="Cambria"/>
          <w:spacing w:val="-3"/>
          <w:sz w:val="16"/>
          <w:szCs w:val="16"/>
        </w:rPr>
        <w:t xml:space="preserve">…” </w:t>
      </w:r>
    </w:p>
  </w:footnote>
  <w:footnote w:id="80">
    <w:p w14:paraId="700B31C5" w14:textId="77777777" w:rsidR="00581210" w:rsidRPr="00665E60" w:rsidRDefault="00581210" w:rsidP="00581210">
      <w:pPr>
        <w:pStyle w:val="FootnoteText"/>
        <w:spacing w:after="120"/>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 xml:space="preserve">Article </w:t>
      </w:r>
      <w:r w:rsidRPr="00665E60">
        <w:rPr>
          <w:rFonts w:ascii="Cambria" w:hAnsi="Cambria"/>
          <w:color w:val="auto"/>
          <w:sz w:val="16"/>
          <w:szCs w:val="16"/>
        </w:rPr>
        <w:t xml:space="preserve">25 </w:t>
      </w:r>
      <w:r>
        <w:rPr>
          <w:rFonts w:ascii="Cambria" w:hAnsi="Cambria"/>
          <w:color w:val="auto"/>
          <w:sz w:val="16"/>
          <w:szCs w:val="16"/>
        </w:rPr>
        <w:t>of the American Convention indicates in part: “</w:t>
      </w:r>
      <w:r w:rsidRPr="00665E60">
        <w:rPr>
          <w:rFonts w:ascii="Cambria" w:hAnsi="Cambria" w:cs="Verdana"/>
          <w:color w:val="auto"/>
          <w:sz w:val="16"/>
          <w:szCs w:val="16"/>
          <w:lang w:bidi="en-US"/>
        </w:rPr>
        <w:t xml:space="preserve">1. </w:t>
      </w:r>
      <w:r w:rsidRPr="00B27E9F">
        <w:rPr>
          <w:rFonts w:ascii="Cambria" w:hAnsi="Cambria" w:cs="Verdana"/>
          <w:color w:val="auto"/>
          <w:sz w:val="16"/>
          <w:szCs w:val="16"/>
          <w:lang w:bidi="en-US"/>
        </w:rPr>
        <w:t xml:space="preserve">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w:t>
      </w:r>
      <w:r>
        <w:rPr>
          <w:rFonts w:ascii="Cambria" w:hAnsi="Cambria" w:cs="Verdana"/>
          <w:color w:val="auto"/>
          <w:sz w:val="16"/>
          <w:szCs w:val="16"/>
          <w:lang w:bidi="en-US"/>
        </w:rPr>
        <w:t>course of their official duties</w:t>
      </w:r>
      <w:r w:rsidRPr="00665E60">
        <w:rPr>
          <w:rFonts w:ascii="Cambria" w:hAnsi="Cambria" w:cs="Verdana"/>
          <w:color w:val="auto"/>
          <w:sz w:val="16"/>
          <w:szCs w:val="16"/>
          <w:lang w:bidi="en-US"/>
        </w:rPr>
        <w:t>.</w:t>
      </w:r>
      <w:r>
        <w:rPr>
          <w:rFonts w:ascii="Cambria" w:hAnsi="Cambria" w:cs="Verdana"/>
          <w:color w:val="auto"/>
          <w:sz w:val="16"/>
          <w:szCs w:val="16"/>
          <w:lang w:bidi="en-US"/>
        </w:rPr>
        <w:t>”</w:t>
      </w:r>
    </w:p>
  </w:footnote>
  <w:footnote w:id="81">
    <w:p w14:paraId="7881419B" w14:textId="77777777" w:rsidR="00581210" w:rsidRPr="00665E60" w:rsidRDefault="00581210" w:rsidP="00581210">
      <w:pPr>
        <w:pStyle w:val="FootnoteText"/>
        <w:tabs>
          <w:tab w:val="left" w:pos="720"/>
          <w:tab w:val="left" w:pos="1080"/>
        </w:tabs>
        <w:ind w:firstLine="720"/>
        <w:jc w:val="both"/>
        <w:rPr>
          <w:rFonts w:ascii="Cambria" w:hAnsi="Cambria"/>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sz w:val="16"/>
          <w:szCs w:val="16"/>
        </w:rPr>
        <w:t>I/A Court HR.</w:t>
      </w:r>
      <w:r w:rsidRPr="00665E60">
        <w:rPr>
          <w:rFonts w:ascii="Cambria" w:hAnsi="Cambria"/>
          <w:sz w:val="16"/>
          <w:szCs w:val="16"/>
        </w:rPr>
        <w:t xml:space="preserve"> </w:t>
      </w:r>
      <w:r>
        <w:rPr>
          <w:rFonts w:ascii="Cambria" w:hAnsi="Cambria"/>
          <w:bCs/>
          <w:sz w:val="16"/>
          <w:szCs w:val="16"/>
        </w:rPr>
        <w:t xml:space="preserve">Case of </w:t>
      </w:r>
      <w:proofErr w:type="spellStart"/>
      <w:r>
        <w:rPr>
          <w:rFonts w:ascii="Cambria" w:hAnsi="Cambria"/>
          <w:bCs/>
          <w:sz w:val="16"/>
          <w:szCs w:val="16"/>
        </w:rPr>
        <w:t>Chaparro</w:t>
      </w:r>
      <w:proofErr w:type="spellEnd"/>
      <w:r>
        <w:rPr>
          <w:rFonts w:ascii="Cambria" w:hAnsi="Cambria"/>
          <w:bCs/>
          <w:sz w:val="16"/>
          <w:szCs w:val="16"/>
        </w:rPr>
        <w:t xml:space="preserve"> </w:t>
      </w:r>
      <w:proofErr w:type="spellStart"/>
      <w:r>
        <w:rPr>
          <w:rFonts w:ascii="Cambria" w:hAnsi="Cambria"/>
          <w:bCs/>
          <w:sz w:val="16"/>
          <w:szCs w:val="16"/>
        </w:rPr>
        <w:t>Álvarez</w:t>
      </w:r>
      <w:proofErr w:type="spellEnd"/>
      <w:r>
        <w:rPr>
          <w:rFonts w:ascii="Cambria" w:hAnsi="Cambria"/>
          <w:bCs/>
          <w:sz w:val="16"/>
          <w:szCs w:val="16"/>
        </w:rPr>
        <w:t xml:space="preserve"> and </w:t>
      </w:r>
      <w:proofErr w:type="spellStart"/>
      <w:r>
        <w:rPr>
          <w:rFonts w:ascii="Cambria" w:hAnsi="Cambria"/>
          <w:bCs/>
          <w:sz w:val="16"/>
          <w:szCs w:val="16"/>
        </w:rPr>
        <w:t>Lapo</w:t>
      </w:r>
      <w:proofErr w:type="spellEnd"/>
      <w:r>
        <w:rPr>
          <w:rFonts w:ascii="Cambria" w:hAnsi="Cambria"/>
          <w:bCs/>
          <w:sz w:val="16"/>
          <w:szCs w:val="16"/>
        </w:rPr>
        <w:t xml:space="preserve"> </w:t>
      </w:r>
      <w:proofErr w:type="spellStart"/>
      <w:r>
        <w:rPr>
          <w:rFonts w:ascii="Cambria" w:hAnsi="Cambria"/>
          <w:bCs/>
          <w:sz w:val="16"/>
          <w:szCs w:val="16"/>
        </w:rPr>
        <w:t>Íñiguez</w:t>
      </w:r>
      <w:proofErr w:type="spellEnd"/>
      <w:r>
        <w:rPr>
          <w:rFonts w:ascii="Cambria" w:hAnsi="Cambria"/>
          <w:bCs/>
          <w:sz w:val="16"/>
          <w:szCs w:val="16"/>
        </w:rPr>
        <w:t>. v</w:t>
      </w:r>
      <w:r w:rsidRPr="00665E60">
        <w:rPr>
          <w:rFonts w:ascii="Cambria" w:hAnsi="Cambria"/>
          <w:bCs/>
          <w:sz w:val="16"/>
          <w:szCs w:val="16"/>
        </w:rPr>
        <w:t>. Ecuador.</w:t>
      </w:r>
      <w:r w:rsidRPr="00665E60">
        <w:rPr>
          <w:rFonts w:ascii="Cambria" w:hAnsi="Cambria"/>
          <w:b/>
          <w:bCs/>
          <w:sz w:val="16"/>
          <w:szCs w:val="16"/>
        </w:rPr>
        <w:t xml:space="preserve"> </w:t>
      </w:r>
      <w:r>
        <w:rPr>
          <w:rFonts w:ascii="Cambria" w:hAnsi="Cambria"/>
          <w:sz w:val="16"/>
          <w:szCs w:val="16"/>
        </w:rPr>
        <w:t>Preliminary Objections, Merits, Reparations and Costs</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November </w:t>
      </w:r>
      <w:r w:rsidRPr="00665E60">
        <w:rPr>
          <w:rFonts w:ascii="Cambria" w:hAnsi="Cambria"/>
          <w:sz w:val="16"/>
          <w:szCs w:val="16"/>
        </w:rPr>
        <w:t>21</w:t>
      </w:r>
      <w:r>
        <w:rPr>
          <w:rFonts w:ascii="Cambria" w:hAnsi="Cambria"/>
          <w:sz w:val="16"/>
          <w:szCs w:val="16"/>
        </w:rPr>
        <w:t>,</w:t>
      </w:r>
      <w:r w:rsidRPr="00665E60">
        <w:rPr>
          <w:rFonts w:ascii="Cambria" w:hAnsi="Cambria"/>
          <w:sz w:val="16"/>
          <w:szCs w:val="16"/>
        </w:rPr>
        <w:t xml:space="preserve"> 2007. </w:t>
      </w:r>
      <w:r>
        <w:rPr>
          <w:rFonts w:ascii="Cambria" w:hAnsi="Cambria"/>
          <w:sz w:val="16"/>
          <w:szCs w:val="16"/>
        </w:rPr>
        <w:t>Series C</w:t>
      </w:r>
      <w:r w:rsidRPr="00665E60">
        <w:rPr>
          <w:rFonts w:ascii="Cambria" w:hAnsi="Cambria"/>
          <w:sz w:val="16"/>
          <w:szCs w:val="16"/>
        </w:rPr>
        <w:t xml:space="preserve"> No. 170, </w:t>
      </w:r>
      <w:r>
        <w:rPr>
          <w:rFonts w:ascii="Cambria" w:hAnsi="Cambria"/>
          <w:sz w:val="16"/>
          <w:szCs w:val="16"/>
        </w:rPr>
        <w:t>para</w:t>
      </w:r>
      <w:r w:rsidRPr="00665E60">
        <w:rPr>
          <w:rFonts w:ascii="Cambria" w:hAnsi="Cambria"/>
          <w:sz w:val="16"/>
          <w:szCs w:val="16"/>
        </w:rPr>
        <w:t xml:space="preserve">. 56. </w:t>
      </w:r>
      <w:r>
        <w:rPr>
          <w:rFonts w:ascii="Cambria" w:hAnsi="Cambria"/>
          <w:sz w:val="16"/>
          <w:szCs w:val="16"/>
        </w:rPr>
        <w:t>See also</w:t>
      </w:r>
      <w:r w:rsidRPr="00665E60">
        <w:rPr>
          <w:rFonts w:ascii="Cambria" w:hAnsi="Cambria"/>
          <w:sz w:val="16"/>
          <w:szCs w:val="16"/>
        </w:rPr>
        <w:t xml:space="preserve">: </w:t>
      </w:r>
      <w:r>
        <w:rPr>
          <w:rFonts w:ascii="Cambria" w:hAnsi="Cambria"/>
          <w:sz w:val="16"/>
          <w:szCs w:val="16"/>
        </w:rPr>
        <w:t>IACHR</w:t>
      </w:r>
      <w:r w:rsidRPr="00665E60">
        <w:rPr>
          <w:rFonts w:ascii="Cambria" w:hAnsi="Cambria"/>
          <w:sz w:val="16"/>
          <w:szCs w:val="16"/>
        </w:rPr>
        <w:t xml:space="preserve">. </w:t>
      </w:r>
      <w:r>
        <w:rPr>
          <w:rFonts w:ascii="Cambria" w:hAnsi="Cambria"/>
          <w:sz w:val="16"/>
          <w:szCs w:val="16"/>
        </w:rPr>
        <w:t>Report on Citizen Security and Human Rights</w:t>
      </w:r>
      <w:r w:rsidRPr="00665E60">
        <w:rPr>
          <w:rFonts w:ascii="Cambria" w:hAnsi="Cambria"/>
          <w:sz w:val="16"/>
          <w:szCs w:val="16"/>
        </w:rPr>
        <w:t xml:space="preserve">. </w:t>
      </w:r>
      <w:r>
        <w:rPr>
          <w:rFonts w:ascii="Cambria" w:hAnsi="Cambria"/>
          <w:sz w:val="16"/>
          <w:szCs w:val="16"/>
        </w:rPr>
        <w:t xml:space="preserve">December </w:t>
      </w:r>
      <w:r w:rsidRPr="00665E60">
        <w:rPr>
          <w:rFonts w:ascii="Cambria" w:hAnsi="Cambria"/>
          <w:sz w:val="16"/>
          <w:szCs w:val="16"/>
        </w:rPr>
        <w:t>31</w:t>
      </w:r>
      <w:r>
        <w:rPr>
          <w:rFonts w:ascii="Cambria" w:hAnsi="Cambria"/>
          <w:sz w:val="16"/>
          <w:szCs w:val="16"/>
        </w:rPr>
        <w:t>,</w:t>
      </w:r>
      <w:r w:rsidRPr="00665E60">
        <w:rPr>
          <w:rFonts w:ascii="Cambria" w:hAnsi="Cambria"/>
          <w:sz w:val="16"/>
          <w:szCs w:val="16"/>
        </w:rPr>
        <w:t xml:space="preserve"> 2009, </w:t>
      </w:r>
      <w:r>
        <w:rPr>
          <w:rFonts w:ascii="Cambria" w:hAnsi="Cambria"/>
          <w:sz w:val="16"/>
          <w:szCs w:val="16"/>
        </w:rPr>
        <w:t>paras</w:t>
      </w:r>
      <w:r w:rsidRPr="00665E60">
        <w:rPr>
          <w:rFonts w:ascii="Cambria" w:hAnsi="Cambria"/>
          <w:sz w:val="16"/>
          <w:szCs w:val="16"/>
        </w:rPr>
        <w:t>. 144-146.</w:t>
      </w:r>
    </w:p>
  </w:footnote>
  <w:footnote w:id="82">
    <w:p w14:paraId="11BEDF02" w14:textId="77777777" w:rsidR="00581210" w:rsidRPr="00665E60" w:rsidRDefault="00581210" w:rsidP="00581210">
      <w:pPr>
        <w:ind w:firstLine="720"/>
        <w:jc w:val="both"/>
        <w:rPr>
          <w:rFonts w:ascii="Cambria" w:hAnsi="Cambria"/>
          <w:color w:val="000000"/>
          <w:sz w:val="16"/>
          <w:szCs w:val="16"/>
        </w:rPr>
      </w:pPr>
      <w:r w:rsidRPr="00665E60">
        <w:rPr>
          <w:rStyle w:val="FootnoteReference"/>
          <w:rFonts w:ascii="Cambria" w:hAnsi="Cambria"/>
          <w:sz w:val="16"/>
          <w:szCs w:val="16"/>
        </w:rPr>
        <w:footnoteRef/>
      </w:r>
      <w:r w:rsidRPr="00665E60">
        <w:rPr>
          <w:rFonts w:ascii="Cambria" w:hAnsi="Cambria"/>
          <w:color w:val="000000"/>
          <w:sz w:val="16"/>
          <w:szCs w:val="16"/>
        </w:rPr>
        <w:t xml:space="preserve"> </w:t>
      </w:r>
      <w:r>
        <w:rPr>
          <w:rFonts w:ascii="Cambria" w:hAnsi="Cambria" w:cs="Arial"/>
          <w:color w:val="000000"/>
          <w:sz w:val="16"/>
          <w:szCs w:val="16"/>
          <w:shd w:val="clear" w:color="auto" w:fill="FFFFFF"/>
        </w:rPr>
        <w:t>I/A Court HR</w:t>
      </w:r>
      <w:r w:rsidRPr="00665E60">
        <w:rPr>
          <w:rFonts w:ascii="Cambria" w:hAnsi="Cambria" w:cs="Arial"/>
          <w:color w:val="000000"/>
          <w:sz w:val="16"/>
          <w:szCs w:val="16"/>
          <w:shd w:val="clear" w:color="auto" w:fill="FFFFFF"/>
        </w:rPr>
        <w:t xml:space="preserve">. </w:t>
      </w:r>
      <w:r>
        <w:rPr>
          <w:rFonts w:ascii="Cambria" w:hAnsi="Cambria" w:cs="Arial"/>
          <w:color w:val="000000"/>
          <w:sz w:val="16"/>
          <w:szCs w:val="16"/>
          <w:shd w:val="clear" w:color="auto" w:fill="FFFFFF"/>
        </w:rPr>
        <w:t xml:space="preserve">Case of </w:t>
      </w:r>
      <w:proofErr w:type="spellStart"/>
      <w:r>
        <w:rPr>
          <w:rFonts w:ascii="Cambria" w:hAnsi="Cambria" w:cs="Arial"/>
          <w:color w:val="000000"/>
          <w:sz w:val="16"/>
          <w:szCs w:val="16"/>
          <w:shd w:val="clear" w:color="auto" w:fill="FFFFFF"/>
        </w:rPr>
        <w:t>Chaparro</w:t>
      </w:r>
      <w:proofErr w:type="spellEnd"/>
      <w:r>
        <w:rPr>
          <w:rFonts w:ascii="Cambria" w:hAnsi="Cambria" w:cs="Arial"/>
          <w:color w:val="000000"/>
          <w:sz w:val="16"/>
          <w:szCs w:val="16"/>
          <w:shd w:val="clear" w:color="auto" w:fill="FFFFFF"/>
        </w:rPr>
        <w:t xml:space="preserve"> </w:t>
      </w:r>
      <w:proofErr w:type="spellStart"/>
      <w:r>
        <w:rPr>
          <w:rFonts w:ascii="Cambria" w:hAnsi="Cambria" w:cs="Arial"/>
          <w:color w:val="000000"/>
          <w:sz w:val="16"/>
          <w:szCs w:val="16"/>
          <w:shd w:val="clear" w:color="auto" w:fill="FFFFFF"/>
        </w:rPr>
        <w:t>Álvarez</w:t>
      </w:r>
      <w:proofErr w:type="spellEnd"/>
      <w:r>
        <w:rPr>
          <w:rFonts w:ascii="Cambria" w:hAnsi="Cambria" w:cs="Arial"/>
          <w:color w:val="000000"/>
          <w:sz w:val="16"/>
          <w:szCs w:val="16"/>
          <w:shd w:val="clear" w:color="auto" w:fill="FFFFFF"/>
        </w:rPr>
        <w:t xml:space="preserve"> and </w:t>
      </w:r>
      <w:proofErr w:type="spellStart"/>
      <w:r>
        <w:rPr>
          <w:rFonts w:ascii="Cambria" w:hAnsi="Cambria" w:cs="Arial"/>
          <w:color w:val="000000"/>
          <w:sz w:val="16"/>
          <w:szCs w:val="16"/>
          <w:shd w:val="clear" w:color="auto" w:fill="FFFFFF"/>
        </w:rPr>
        <w:t>Lapo</w:t>
      </w:r>
      <w:proofErr w:type="spellEnd"/>
      <w:r>
        <w:rPr>
          <w:rFonts w:ascii="Cambria" w:hAnsi="Cambria" w:cs="Arial"/>
          <w:color w:val="000000"/>
          <w:sz w:val="16"/>
          <w:szCs w:val="16"/>
          <w:shd w:val="clear" w:color="auto" w:fill="FFFFFF"/>
        </w:rPr>
        <w:t xml:space="preserve"> </w:t>
      </w:r>
      <w:proofErr w:type="spellStart"/>
      <w:r>
        <w:rPr>
          <w:rFonts w:ascii="Cambria" w:hAnsi="Cambria" w:cs="Arial"/>
          <w:color w:val="000000"/>
          <w:sz w:val="16"/>
          <w:szCs w:val="16"/>
          <w:shd w:val="clear" w:color="auto" w:fill="FFFFFF"/>
        </w:rPr>
        <w:t>Íñiguez</w:t>
      </w:r>
      <w:proofErr w:type="spellEnd"/>
      <w:r>
        <w:rPr>
          <w:rFonts w:ascii="Cambria" w:hAnsi="Cambria" w:cs="Arial"/>
          <w:color w:val="000000"/>
          <w:sz w:val="16"/>
          <w:szCs w:val="16"/>
          <w:shd w:val="clear" w:color="auto" w:fill="FFFFFF"/>
        </w:rPr>
        <w:t>. v</w:t>
      </w:r>
      <w:r w:rsidRPr="00665E60">
        <w:rPr>
          <w:rFonts w:ascii="Cambria" w:hAnsi="Cambria" w:cs="Arial"/>
          <w:color w:val="000000"/>
          <w:sz w:val="16"/>
          <w:szCs w:val="16"/>
          <w:shd w:val="clear" w:color="auto" w:fill="FFFFFF"/>
        </w:rPr>
        <w:t xml:space="preserve">. Ecuador. </w:t>
      </w:r>
      <w:r>
        <w:rPr>
          <w:rFonts w:ascii="Cambria" w:hAnsi="Cambria" w:cs="Arial"/>
          <w:color w:val="000000"/>
          <w:sz w:val="16"/>
          <w:szCs w:val="16"/>
          <w:shd w:val="clear" w:color="auto" w:fill="FFFFFF"/>
        </w:rPr>
        <w:t>Preliminary Objections, Merits, Reparations and Costs</w:t>
      </w:r>
      <w:r w:rsidRPr="00665E60">
        <w:rPr>
          <w:rFonts w:ascii="Cambria" w:hAnsi="Cambria" w:cs="Arial"/>
          <w:color w:val="000000"/>
          <w:sz w:val="16"/>
          <w:szCs w:val="16"/>
          <w:shd w:val="clear" w:color="auto" w:fill="FFFFFF"/>
        </w:rPr>
        <w:t xml:space="preserve">. </w:t>
      </w:r>
      <w:r>
        <w:rPr>
          <w:rFonts w:ascii="Cambria" w:hAnsi="Cambria" w:cs="Arial"/>
          <w:color w:val="000000"/>
          <w:sz w:val="16"/>
          <w:szCs w:val="16"/>
          <w:shd w:val="clear" w:color="auto" w:fill="FFFFFF"/>
        </w:rPr>
        <w:t>Judgment of November</w:t>
      </w:r>
      <w:r w:rsidRPr="00665E60">
        <w:rPr>
          <w:rFonts w:ascii="Cambria" w:hAnsi="Cambria" w:cs="Arial"/>
          <w:color w:val="000000"/>
          <w:sz w:val="16"/>
          <w:szCs w:val="16"/>
          <w:shd w:val="clear" w:color="auto" w:fill="FFFFFF"/>
        </w:rPr>
        <w:t xml:space="preserve"> 21</w:t>
      </w:r>
      <w:r>
        <w:rPr>
          <w:rFonts w:ascii="Cambria" w:hAnsi="Cambria" w:cs="Arial"/>
          <w:color w:val="000000"/>
          <w:sz w:val="16"/>
          <w:szCs w:val="16"/>
          <w:shd w:val="clear" w:color="auto" w:fill="FFFFFF"/>
        </w:rPr>
        <w:t>,</w:t>
      </w:r>
      <w:r w:rsidRPr="00665E60">
        <w:rPr>
          <w:rFonts w:ascii="Cambria" w:hAnsi="Cambria" w:cs="Arial"/>
          <w:color w:val="000000"/>
          <w:sz w:val="16"/>
          <w:szCs w:val="16"/>
          <w:shd w:val="clear" w:color="auto" w:fill="FFFFFF"/>
        </w:rPr>
        <w:t xml:space="preserve"> 2007. </w:t>
      </w:r>
      <w:r>
        <w:rPr>
          <w:rFonts w:ascii="Cambria" w:hAnsi="Cambria" w:cs="Arial"/>
          <w:color w:val="000000"/>
          <w:sz w:val="16"/>
          <w:szCs w:val="16"/>
          <w:shd w:val="clear" w:color="auto" w:fill="FFFFFF"/>
        </w:rPr>
        <w:t>Series C</w:t>
      </w:r>
      <w:r w:rsidRPr="00665E60">
        <w:rPr>
          <w:rFonts w:ascii="Cambria" w:hAnsi="Cambria" w:cs="Arial"/>
          <w:color w:val="000000"/>
          <w:sz w:val="16"/>
          <w:szCs w:val="16"/>
          <w:shd w:val="clear" w:color="auto" w:fill="FFFFFF"/>
        </w:rPr>
        <w:t xml:space="preserve"> No. 170</w:t>
      </w:r>
      <w:r w:rsidRPr="00665E60">
        <w:rPr>
          <w:rFonts w:ascii="Cambria" w:hAnsi="Cambria"/>
          <w:color w:val="000000"/>
          <w:sz w:val="16"/>
          <w:szCs w:val="16"/>
        </w:rPr>
        <w:t xml:space="preserve">, </w:t>
      </w:r>
      <w:r>
        <w:rPr>
          <w:rFonts w:ascii="Cambria" w:hAnsi="Cambria"/>
          <w:color w:val="000000"/>
          <w:sz w:val="16"/>
          <w:szCs w:val="16"/>
        </w:rPr>
        <w:t>para</w:t>
      </w:r>
      <w:r w:rsidRPr="00665E60">
        <w:rPr>
          <w:rFonts w:ascii="Cambria" w:hAnsi="Cambria"/>
          <w:color w:val="000000"/>
          <w:sz w:val="16"/>
          <w:szCs w:val="16"/>
        </w:rPr>
        <w:t xml:space="preserve">. 55. </w:t>
      </w:r>
      <w:r>
        <w:rPr>
          <w:rFonts w:ascii="Cambria" w:hAnsi="Cambria"/>
          <w:sz w:val="16"/>
          <w:szCs w:val="16"/>
        </w:rPr>
        <w:t>See also</w:t>
      </w:r>
      <w:r w:rsidRPr="00665E60">
        <w:rPr>
          <w:rFonts w:ascii="Cambria" w:hAnsi="Cambria"/>
          <w:sz w:val="16"/>
          <w:szCs w:val="16"/>
        </w:rPr>
        <w:t xml:space="preserve">: </w:t>
      </w:r>
      <w:r>
        <w:rPr>
          <w:rFonts w:ascii="Cambria" w:hAnsi="Cambria"/>
          <w:sz w:val="16"/>
          <w:szCs w:val="16"/>
        </w:rPr>
        <w:t>IACHR</w:t>
      </w:r>
      <w:r w:rsidRPr="00665E60">
        <w:rPr>
          <w:rFonts w:ascii="Cambria" w:hAnsi="Cambria"/>
          <w:sz w:val="16"/>
          <w:szCs w:val="16"/>
        </w:rPr>
        <w:t xml:space="preserve">. </w:t>
      </w:r>
      <w:r>
        <w:rPr>
          <w:rFonts w:ascii="Cambria" w:hAnsi="Cambria"/>
          <w:sz w:val="16"/>
          <w:szCs w:val="16"/>
        </w:rPr>
        <w:t>Report on Citizen Security and Human Rights</w:t>
      </w:r>
      <w:r w:rsidRPr="00665E60">
        <w:rPr>
          <w:rFonts w:ascii="Cambria" w:hAnsi="Cambria"/>
          <w:sz w:val="16"/>
          <w:szCs w:val="16"/>
        </w:rPr>
        <w:t xml:space="preserve">. </w:t>
      </w:r>
      <w:r>
        <w:rPr>
          <w:rFonts w:ascii="Cambria" w:hAnsi="Cambria"/>
          <w:sz w:val="16"/>
          <w:szCs w:val="16"/>
        </w:rPr>
        <w:t xml:space="preserve">December </w:t>
      </w:r>
      <w:r w:rsidRPr="00665E60">
        <w:rPr>
          <w:rFonts w:ascii="Cambria" w:hAnsi="Cambria"/>
          <w:sz w:val="16"/>
          <w:szCs w:val="16"/>
        </w:rPr>
        <w:t>31</w:t>
      </w:r>
      <w:r>
        <w:rPr>
          <w:rFonts w:ascii="Cambria" w:hAnsi="Cambria"/>
          <w:sz w:val="16"/>
          <w:szCs w:val="16"/>
        </w:rPr>
        <w:t>,</w:t>
      </w:r>
      <w:r w:rsidRPr="00665E60">
        <w:rPr>
          <w:rFonts w:ascii="Cambria" w:hAnsi="Cambria"/>
          <w:sz w:val="16"/>
          <w:szCs w:val="16"/>
        </w:rPr>
        <w:t xml:space="preserve"> 2009, </w:t>
      </w:r>
      <w:r>
        <w:rPr>
          <w:rFonts w:ascii="Cambria" w:hAnsi="Cambria"/>
          <w:sz w:val="16"/>
          <w:szCs w:val="16"/>
        </w:rPr>
        <w:t>paras</w:t>
      </w:r>
      <w:r w:rsidRPr="00665E60">
        <w:rPr>
          <w:rFonts w:ascii="Cambria" w:hAnsi="Cambria"/>
          <w:sz w:val="16"/>
          <w:szCs w:val="16"/>
        </w:rPr>
        <w:t>. 144-146.</w:t>
      </w:r>
    </w:p>
  </w:footnote>
  <w:footnote w:id="83">
    <w:p w14:paraId="627E0167"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IACHR</w:t>
      </w:r>
      <w:r w:rsidRPr="00665E60">
        <w:rPr>
          <w:rFonts w:ascii="Cambria" w:hAnsi="Cambria"/>
          <w:color w:val="auto"/>
          <w:sz w:val="16"/>
          <w:szCs w:val="16"/>
        </w:rPr>
        <w:t xml:space="preserve">, </w:t>
      </w:r>
      <w:r>
        <w:rPr>
          <w:rFonts w:ascii="Cambria" w:hAnsi="Cambria"/>
          <w:color w:val="auto"/>
          <w:sz w:val="16"/>
          <w:szCs w:val="16"/>
        </w:rPr>
        <w:t xml:space="preserve">Application before </w:t>
      </w:r>
      <w:proofErr w:type="gramStart"/>
      <w:r>
        <w:rPr>
          <w:rFonts w:ascii="Cambria" w:hAnsi="Cambria"/>
          <w:color w:val="auto"/>
          <w:sz w:val="16"/>
          <w:szCs w:val="16"/>
        </w:rPr>
        <w:t>the I</w:t>
      </w:r>
      <w:proofErr w:type="gramEnd"/>
      <w:r>
        <w:rPr>
          <w:rFonts w:ascii="Cambria" w:hAnsi="Cambria"/>
          <w:color w:val="auto"/>
          <w:sz w:val="16"/>
          <w:szCs w:val="16"/>
        </w:rPr>
        <w:t>/A Court HR</w:t>
      </w:r>
      <w:r w:rsidRPr="00665E60">
        <w:rPr>
          <w:rFonts w:ascii="Cambria" w:hAnsi="Cambria"/>
          <w:color w:val="auto"/>
          <w:sz w:val="16"/>
          <w:szCs w:val="16"/>
        </w:rPr>
        <w:t xml:space="preserve">, Walter David </w:t>
      </w:r>
      <w:proofErr w:type="spellStart"/>
      <w:r w:rsidRPr="00665E60">
        <w:rPr>
          <w:rFonts w:ascii="Cambria" w:hAnsi="Cambria"/>
          <w:color w:val="auto"/>
          <w:sz w:val="16"/>
          <w:szCs w:val="16"/>
        </w:rPr>
        <w:t>Bulacio</w:t>
      </w:r>
      <w:proofErr w:type="spellEnd"/>
      <w:r w:rsidRPr="00665E60">
        <w:rPr>
          <w:rFonts w:ascii="Cambria" w:hAnsi="Cambria"/>
          <w:color w:val="auto"/>
          <w:sz w:val="16"/>
          <w:szCs w:val="16"/>
        </w:rPr>
        <w:t xml:space="preserve">, Argentina, </w:t>
      </w:r>
      <w:r>
        <w:rPr>
          <w:rFonts w:ascii="Cambria" w:hAnsi="Cambria"/>
          <w:color w:val="auto"/>
          <w:sz w:val="16"/>
          <w:szCs w:val="16"/>
        </w:rPr>
        <w:t xml:space="preserve">January </w:t>
      </w:r>
      <w:r w:rsidRPr="00665E60">
        <w:rPr>
          <w:rFonts w:ascii="Cambria" w:hAnsi="Cambria"/>
          <w:color w:val="auto"/>
          <w:sz w:val="16"/>
          <w:szCs w:val="16"/>
        </w:rPr>
        <w:t>24</w:t>
      </w:r>
      <w:r>
        <w:rPr>
          <w:rFonts w:ascii="Cambria" w:hAnsi="Cambria"/>
          <w:color w:val="auto"/>
          <w:sz w:val="16"/>
          <w:szCs w:val="16"/>
        </w:rPr>
        <w:t>,</w:t>
      </w:r>
      <w:r w:rsidRPr="00665E60">
        <w:rPr>
          <w:rFonts w:ascii="Cambria" w:hAnsi="Cambria"/>
          <w:color w:val="auto"/>
          <w:sz w:val="16"/>
          <w:szCs w:val="16"/>
        </w:rPr>
        <w:t xml:space="preserve"> 2001, </w:t>
      </w:r>
      <w:r>
        <w:rPr>
          <w:rFonts w:ascii="Cambria" w:hAnsi="Cambria"/>
          <w:color w:val="auto"/>
          <w:sz w:val="16"/>
          <w:szCs w:val="16"/>
        </w:rPr>
        <w:t>para</w:t>
      </w:r>
      <w:r w:rsidRPr="00665E60">
        <w:rPr>
          <w:rFonts w:ascii="Cambria" w:hAnsi="Cambria"/>
          <w:color w:val="auto"/>
          <w:sz w:val="16"/>
          <w:szCs w:val="16"/>
        </w:rPr>
        <w:t>. 61.</w:t>
      </w:r>
    </w:p>
  </w:footnote>
  <w:footnote w:id="84">
    <w:p w14:paraId="1708B6AB"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IACHR</w:t>
      </w:r>
      <w:r w:rsidRPr="00665E60">
        <w:rPr>
          <w:rFonts w:ascii="Cambria" w:hAnsi="Cambria"/>
          <w:color w:val="auto"/>
          <w:sz w:val="16"/>
          <w:szCs w:val="16"/>
        </w:rPr>
        <w:t xml:space="preserve">, </w:t>
      </w:r>
      <w:r>
        <w:rPr>
          <w:rFonts w:ascii="Cambria" w:hAnsi="Cambria"/>
          <w:color w:val="auto"/>
          <w:sz w:val="16"/>
          <w:szCs w:val="16"/>
        </w:rPr>
        <w:t xml:space="preserve">Application before </w:t>
      </w:r>
      <w:proofErr w:type="gramStart"/>
      <w:r>
        <w:rPr>
          <w:rFonts w:ascii="Cambria" w:hAnsi="Cambria"/>
          <w:color w:val="auto"/>
          <w:sz w:val="16"/>
          <w:szCs w:val="16"/>
        </w:rPr>
        <w:t>the I</w:t>
      </w:r>
      <w:proofErr w:type="gramEnd"/>
      <w:r>
        <w:rPr>
          <w:rFonts w:ascii="Cambria" w:hAnsi="Cambria"/>
          <w:color w:val="auto"/>
          <w:sz w:val="16"/>
          <w:szCs w:val="16"/>
        </w:rPr>
        <w:t>/A Court HR</w:t>
      </w:r>
      <w:r w:rsidRPr="00665E60">
        <w:rPr>
          <w:rFonts w:ascii="Cambria" w:hAnsi="Cambria"/>
          <w:color w:val="auto"/>
          <w:sz w:val="16"/>
          <w:szCs w:val="16"/>
        </w:rPr>
        <w:t xml:space="preserve">, Walter David </w:t>
      </w:r>
      <w:proofErr w:type="spellStart"/>
      <w:r w:rsidRPr="00665E60">
        <w:rPr>
          <w:rFonts w:ascii="Cambria" w:hAnsi="Cambria"/>
          <w:color w:val="auto"/>
          <w:sz w:val="16"/>
          <w:szCs w:val="16"/>
        </w:rPr>
        <w:t>Bulacio</w:t>
      </w:r>
      <w:proofErr w:type="spellEnd"/>
      <w:r w:rsidRPr="00665E60">
        <w:rPr>
          <w:rFonts w:ascii="Cambria" w:hAnsi="Cambria"/>
          <w:color w:val="auto"/>
          <w:sz w:val="16"/>
          <w:szCs w:val="16"/>
        </w:rPr>
        <w:t xml:space="preserve">, Argentina, </w:t>
      </w:r>
      <w:r>
        <w:rPr>
          <w:rFonts w:ascii="Cambria" w:hAnsi="Cambria"/>
          <w:color w:val="auto"/>
          <w:sz w:val="16"/>
          <w:szCs w:val="16"/>
        </w:rPr>
        <w:t xml:space="preserve">January </w:t>
      </w:r>
      <w:r w:rsidRPr="00665E60">
        <w:rPr>
          <w:rFonts w:ascii="Cambria" w:hAnsi="Cambria"/>
          <w:color w:val="auto"/>
          <w:sz w:val="16"/>
          <w:szCs w:val="16"/>
        </w:rPr>
        <w:t>24</w:t>
      </w:r>
      <w:r>
        <w:rPr>
          <w:rFonts w:ascii="Cambria" w:hAnsi="Cambria"/>
          <w:color w:val="auto"/>
          <w:sz w:val="16"/>
          <w:szCs w:val="16"/>
        </w:rPr>
        <w:t>,</w:t>
      </w:r>
      <w:r w:rsidRPr="00665E60">
        <w:rPr>
          <w:rFonts w:ascii="Cambria" w:hAnsi="Cambria"/>
          <w:color w:val="auto"/>
          <w:sz w:val="16"/>
          <w:szCs w:val="16"/>
        </w:rPr>
        <w:t xml:space="preserve"> 2001, </w:t>
      </w:r>
      <w:r>
        <w:rPr>
          <w:rFonts w:ascii="Cambria" w:hAnsi="Cambria"/>
          <w:color w:val="auto"/>
          <w:sz w:val="16"/>
          <w:szCs w:val="16"/>
        </w:rPr>
        <w:t>para</w:t>
      </w:r>
      <w:r w:rsidRPr="00665E60">
        <w:rPr>
          <w:rFonts w:ascii="Cambria" w:hAnsi="Cambria"/>
          <w:color w:val="auto"/>
          <w:sz w:val="16"/>
          <w:szCs w:val="16"/>
        </w:rPr>
        <w:t>. 62.</w:t>
      </w:r>
    </w:p>
  </w:footnote>
  <w:footnote w:id="85">
    <w:p w14:paraId="44548753" w14:textId="37CEBF0C"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iCs/>
          <w:sz w:val="16"/>
          <w:szCs w:val="16"/>
        </w:rPr>
        <w:t>ECtHR</w:t>
      </w:r>
      <w:r w:rsidRPr="00665E60">
        <w:rPr>
          <w:rFonts w:ascii="Cambria" w:hAnsi="Cambria"/>
          <w:iCs/>
          <w:sz w:val="16"/>
          <w:szCs w:val="16"/>
        </w:rPr>
        <w:t>. Case Del Río Prada v. Spain</w:t>
      </w:r>
      <w:r w:rsidR="0010788D">
        <w:rPr>
          <w:rFonts w:ascii="Cambria" w:hAnsi="Cambria"/>
          <w:iCs/>
          <w:sz w:val="16"/>
          <w:szCs w:val="16"/>
        </w:rPr>
        <w:t xml:space="preserve">, Judgment of October 21, 2013, </w:t>
      </w:r>
      <w:proofErr w:type="gramStart"/>
      <w:r w:rsidR="0010788D">
        <w:rPr>
          <w:rFonts w:ascii="Cambria" w:hAnsi="Cambria"/>
          <w:iCs/>
          <w:sz w:val="16"/>
          <w:szCs w:val="16"/>
        </w:rPr>
        <w:t>para</w:t>
      </w:r>
      <w:proofErr w:type="gramEnd"/>
      <w:r w:rsidR="0010788D">
        <w:rPr>
          <w:rFonts w:ascii="Cambria" w:hAnsi="Cambria"/>
          <w:iCs/>
          <w:sz w:val="16"/>
          <w:szCs w:val="16"/>
        </w:rPr>
        <w:t>.</w:t>
      </w:r>
      <w:r w:rsidRPr="00665E60">
        <w:rPr>
          <w:rFonts w:ascii="Cambria" w:hAnsi="Cambria"/>
          <w:iCs/>
          <w:sz w:val="16"/>
          <w:szCs w:val="16"/>
        </w:rPr>
        <w:t xml:space="preserve"> </w:t>
      </w:r>
      <w:r w:rsidRPr="00665E60">
        <w:rPr>
          <w:rFonts w:ascii="Cambria" w:hAnsi="Cambria" w:cs="TimesNewRomanPSMT"/>
          <w:sz w:val="16"/>
          <w:szCs w:val="16"/>
        </w:rPr>
        <w:t xml:space="preserve">125; Case </w:t>
      </w:r>
      <w:r w:rsidRPr="00665E60">
        <w:rPr>
          <w:rFonts w:ascii="Cambria" w:hAnsi="Cambria"/>
          <w:iCs/>
          <w:sz w:val="16"/>
          <w:szCs w:val="16"/>
        </w:rPr>
        <w:t>Creangă v. Romania</w:t>
      </w:r>
      <w:r w:rsidRPr="00665E60">
        <w:rPr>
          <w:rFonts w:ascii="Cambria" w:hAnsi="Cambria" w:cs="TimesNewRomanPSMT"/>
          <w:sz w:val="16"/>
          <w:szCs w:val="16"/>
        </w:rPr>
        <w:t>,</w:t>
      </w:r>
      <w:r w:rsidR="0010788D">
        <w:rPr>
          <w:rFonts w:ascii="Cambria" w:hAnsi="Cambria" w:cs="TimesNewRomanPSMT"/>
          <w:sz w:val="16"/>
          <w:szCs w:val="16"/>
        </w:rPr>
        <w:t xml:space="preserve"> Judgment of February 23, 2012, para.</w:t>
      </w:r>
      <w:r w:rsidRPr="00665E60">
        <w:rPr>
          <w:rFonts w:ascii="Cambria" w:hAnsi="Cambria" w:cs="TimesNewRomanPSMT"/>
          <w:sz w:val="16"/>
          <w:szCs w:val="16"/>
        </w:rPr>
        <w:t xml:space="preserve"> 120; and Case </w:t>
      </w:r>
      <w:r w:rsidRPr="00665E60">
        <w:rPr>
          <w:rFonts w:ascii="Cambria" w:hAnsi="Cambria"/>
          <w:iCs/>
          <w:sz w:val="16"/>
          <w:szCs w:val="16"/>
        </w:rPr>
        <w:t>Medvedyev and Others v. France</w:t>
      </w:r>
      <w:r w:rsidR="0010788D">
        <w:rPr>
          <w:rFonts w:ascii="Cambria" w:hAnsi="Cambria"/>
          <w:iCs/>
          <w:sz w:val="16"/>
          <w:szCs w:val="16"/>
        </w:rPr>
        <w:t>, Judgment of March 29, 2010,</w:t>
      </w:r>
      <w:r w:rsidRPr="00665E60">
        <w:rPr>
          <w:rFonts w:ascii="Cambria" w:hAnsi="Cambria"/>
          <w:iCs/>
          <w:sz w:val="16"/>
          <w:szCs w:val="16"/>
        </w:rPr>
        <w:t xml:space="preserve"> </w:t>
      </w:r>
      <w:r w:rsidR="0010788D">
        <w:rPr>
          <w:rFonts w:ascii="Cambria" w:hAnsi="Cambria" w:cs="TimesNewRomanPSMT"/>
          <w:sz w:val="16"/>
          <w:szCs w:val="16"/>
        </w:rPr>
        <w:t>para.</w:t>
      </w:r>
      <w:bookmarkStart w:id="48" w:name="_GoBack"/>
      <w:bookmarkEnd w:id="48"/>
      <w:r w:rsidRPr="00665E60">
        <w:rPr>
          <w:rFonts w:ascii="Cambria" w:hAnsi="Cambria" w:cs="TimesNewRomanPSMT"/>
          <w:sz w:val="16"/>
          <w:szCs w:val="16"/>
        </w:rPr>
        <w:t xml:space="preserve"> 80.</w:t>
      </w:r>
    </w:p>
  </w:footnote>
  <w:footnote w:id="86">
    <w:p w14:paraId="79D866BF" w14:textId="77777777" w:rsidR="00581210" w:rsidRPr="00665E60" w:rsidRDefault="00581210" w:rsidP="00581210">
      <w:pPr>
        <w:ind w:firstLine="720"/>
        <w:jc w:val="both"/>
        <w:rPr>
          <w:rFonts w:ascii="Cambria" w:hAnsi="Cambria"/>
          <w:color w:val="000000"/>
          <w:sz w:val="16"/>
          <w:szCs w:val="16"/>
        </w:rPr>
      </w:pPr>
      <w:r w:rsidRPr="00665E60">
        <w:rPr>
          <w:rStyle w:val="FootnoteReference"/>
          <w:rFonts w:ascii="Cambria" w:hAnsi="Cambria"/>
          <w:sz w:val="16"/>
          <w:szCs w:val="16"/>
        </w:rPr>
        <w:footnoteRef/>
      </w:r>
      <w:r w:rsidRPr="00665E60">
        <w:rPr>
          <w:rFonts w:ascii="Cambria" w:hAnsi="Cambria"/>
          <w:color w:val="000000"/>
          <w:sz w:val="16"/>
          <w:szCs w:val="16"/>
        </w:rPr>
        <w:t xml:space="preserve"> </w:t>
      </w:r>
      <w:r>
        <w:rPr>
          <w:rFonts w:ascii="Cambria" w:hAnsi="Cambria"/>
          <w:color w:val="000000"/>
          <w:sz w:val="16"/>
          <w:szCs w:val="16"/>
        </w:rPr>
        <w:t>I/A Court HR. Case of Gangaram Panday v</w:t>
      </w:r>
      <w:r w:rsidRPr="00665E60">
        <w:rPr>
          <w:rFonts w:ascii="Cambria" w:hAnsi="Cambria"/>
          <w:color w:val="000000"/>
          <w:sz w:val="16"/>
          <w:szCs w:val="16"/>
        </w:rPr>
        <w:t>. Surinam</w:t>
      </w:r>
      <w:r>
        <w:rPr>
          <w:rFonts w:ascii="Cambria" w:hAnsi="Cambria"/>
          <w:color w:val="000000"/>
          <w:sz w:val="16"/>
          <w:szCs w:val="16"/>
        </w:rPr>
        <w:t>e</w:t>
      </w:r>
      <w:r w:rsidRPr="00665E60">
        <w:rPr>
          <w:rFonts w:ascii="Cambria" w:hAnsi="Cambria"/>
          <w:color w:val="000000"/>
          <w:sz w:val="16"/>
          <w:szCs w:val="16"/>
        </w:rPr>
        <w:t xml:space="preserve">. </w:t>
      </w:r>
      <w:r>
        <w:rPr>
          <w:rFonts w:ascii="Cambria" w:hAnsi="Cambria"/>
          <w:color w:val="000000"/>
          <w:sz w:val="16"/>
          <w:szCs w:val="16"/>
        </w:rPr>
        <w:t>Judgment of</w:t>
      </w:r>
      <w:r w:rsidRPr="00665E60">
        <w:rPr>
          <w:rFonts w:ascii="Cambria" w:hAnsi="Cambria"/>
          <w:color w:val="000000"/>
          <w:sz w:val="16"/>
          <w:szCs w:val="16"/>
        </w:rPr>
        <w:t xml:space="preserve"> </w:t>
      </w:r>
      <w:r>
        <w:rPr>
          <w:rFonts w:ascii="Cambria" w:hAnsi="Cambria"/>
          <w:color w:val="000000"/>
          <w:sz w:val="16"/>
          <w:szCs w:val="16"/>
        </w:rPr>
        <w:t xml:space="preserve">January </w:t>
      </w:r>
      <w:r w:rsidRPr="00665E60">
        <w:rPr>
          <w:rFonts w:ascii="Cambria" w:hAnsi="Cambria"/>
          <w:color w:val="000000"/>
          <w:sz w:val="16"/>
          <w:szCs w:val="16"/>
        </w:rPr>
        <w:t>21</w:t>
      </w:r>
      <w:r>
        <w:rPr>
          <w:rFonts w:ascii="Cambria" w:hAnsi="Cambria"/>
          <w:color w:val="000000"/>
          <w:sz w:val="16"/>
          <w:szCs w:val="16"/>
        </w:rPr>
        <w:t>,</w:t>
      </w:r>
      <w:r w:rsidRPr="00665E60">
        <w:rPr>
          <w:rFonts w:ascii="Cambria" w:hAnsi="Cambria"/>
          <w:color w:val="000000"/>
          <w:sz w:val="16"/>
          <w:szCs w:val="16"/>
        </w:rPr>
        <w:t xml:space="preserve"> 1994. </w:t>
      </w:r>
      <w:r>
        <w:rPr>
          <w:rFonts w:ascii="Cambria" w:hAnsi="Cambria"/>
          <w:color w:val="000000"/>
          <w:sz w:val="16"/>
          <w:szCs w:val="16"/>
        </w:rPr>
        <w:t>Series C</w:t>
      </w:r>
      <w:r w:rsidRPr="00665E60">
        <w:rPr>
          <w:rFonts w:ascii="Cambria" w:hAnsi="Cambria"/>
          <w:color w:val="000000"/>
          <w:sz w:val="16"/>
          <w:szCs w:val="16"/>
        </w:rPr>
        <w:t xml:space="preserve"> No. 16, </w:t>
      </w:r>
      <w:r>
        <w:rPr>
          <w:rFonts w:ascii="Cambria" w:hAnsi="Cambria"/>
          <w:color w:val="000000"/>
          <w:sz w:val="16"/>
          <w:szCs w:val="16"/>
        </w:rPr>
        <w:t>para</w:t>
      </w:r>
      <w:r w:rsidRPr="00665E60">
        <w:rPr>
          <w:rFonts w:ascii="Cambria" w:hAnsi="Cambria"/>
          <w:color w:val="000000"/>
          <w:sz w:val="16"/>
          <w:szCs w:val="16"/>
        </w:rPr>
        <w:t xml:space="preserve">. 47; </w:t>
      </w:r>
      <w:r>
        <w:rPr>
          <w:rFonts w:ascii="Cambria" w:hAnsi="Cambria"/>
          <w:color w:val="000000"/>
          <w:sz w:val="16"/>
          <w:szCs w:val="16"/>
        </w:rPr>
        <w:t xml:space="preserve">and I/A Court HR. Case of López </w:t>
      </w:r>
      <w:proofErr w:type="spellStart"/>
      <w:r>
        <w:rPr>
          <w:rFonts w:ascii="Cambria" w:hAnsi="Cambria"/>
          <w:color w:val="000000"/>
          <w:sz w:val="16"/>
          <w:szCs w:val="16"/>
        </w:rPr>
        <w:t>Álvarez</w:t>
      </w:r>
      <w:proofErr w:type="spellEnd"/>
      <w:r>
        <w:rPr>
          <w:rFonts w:ascii="Cambria" w:hAnsi="Cambria"/>
          <w:color w:val="000000"/>
          <w:sz w:val="16"/>
          <w:szCs w:val="16"/>
        </w:rPr>
        <w:t xml:space="preserve"> v</w:t>
      </w:r>
      <w:r w:rsidRPr="00665E60">
        <w:rPr>
          <w:rFonts w:ascii="Cambria" w:hAnsi="Cambria"/>
          <w:color w:val="000000"/>
          <w:sz w:val="16"/>
          <w:szCs w:val="16"/>
        </w:rPr>
        <w:t xml:space="preserve">. Honduras. </w:t>
      </w:r>
      <w:r>
        <w:rPr>
          <w:rFonts w:ascii="Cambria" w:hAnsi="Cambria"/>
          <w:color w:val="000000"/>
          <w:sz w:val="16"/>
          <w:szCs w:val="16"/>
        </w:rPr>
        <w:t>Judgment of</w:t>
      </w:r>
      <w:r w:rsidRPr="00665E60">
        <w:rPr>
          <w:rFonts w:ascii="Cambria" w:hAnsi="Cambria"/>
          <w:color w:val="000000"/>
          <w:sz w:val="16"/>
          <w:szCs w:val="16"/>
        </w:rPr>
        <w:t xml:space="preserve"> </w:t>
      </w:r>
      <w:r>
        <w:rPr>
          <w:rFonts w:ascii="Cambria" w:hAnsi="Cambria"/>
          <w:color w:val="000000"/>
          <w:sz w:val="16"/>
          <w:szCs w:val="16"/>
        </w:rPr>
        <w:t xml:space="preserve">February </w:t>
      </w:r>
      <w:r w:rsidRPr="00665E60">
        <w:rPr>
          <w:rFonts w:ascii="Cambria" w:hAnsi="Cambria"/>
          <w:color w:val="000000"/>
          <w:sz w:val="16"/>
          <w:szCs w:val="16"/>
        </w:rPr>
        <w:t>1</w:t>
      </w:r>
      <w:r>
        <w:rPr>
          <w:rFonts w:ascii="Cambria" w:hAnsi="Cambria"/>
          <w:color w:val="000000"/>
          <w:sz w:val="16"/>
          <w:szCs w:val="16"/>
        </w:rPr>
        <w:t>,</w:t>
      </w:r>
      <w:r w:rsidRPr="00665E60">
        <w:rPr>
          <w:rFonts w:ascii="Cambria" w:hAnsi="Cambria"/>
          <w:color w:val="000000"/>
          <w:sz w:val="16"/>
          <w:szCs w:val="16"/>
        </w:rPr>
        <w:t xml:space="preserve"> 2006. </w:t>
      </w:r>
      <w:r>
        <w:rPr>
          <w:rFonts w:ascii="Cambria" w:hAnsi="Cambria"/>
          <w:color w:val="000000"/>
          <w:sz w:val="16"/>
          <w:szCs w:val="16"/>
        </w:rPr>
        <w:t>Series C</w:t>
      </w:r>
      <w:r w:rsidRPr="00665E60">
        <w:rPr>
          <w:rFonts w:ascii="Cambria" w:hAnsi="Cambria"/>
          <w:color w:val="000000"/>
          <w:sz w:val="16"/>
          <w:szCs w:val="16"/>
        </w:rPr>
        <w:t xml:space="preserve"> No. 141, </w:t>
      </w:r>
      <w:r>
        <w:rPr>
          <w:rFonts w:ascii="Cambria" w:hAnsi="Cambria"/>
          <w:color w:val="000000"/>
          <w:sz w:val="16"/>
          <w:szCs w:val="16"/>
        </w:rPr>
        <w:t>para</w:t>
      </w:r>
      <w:r w:rsidRPr="00665E60">
        <w:rPr>
          <w:rFonts w:ascii="Cambria" w:hAnsi="Cambria"/>
          <w:color w:val="000000"/>
          <w:sz w:val="16"/>
          <w:szCs w:val="16"/>
        </w:rPr>
        <w:t>. 66.</w:t>
      </w:r>
    </w:p>
  </w:footnote>
  <w:footnote w:id="87">
    <w:p w14:paraId="7DEAA74B" w14:textId="77777777" w:rsidR="00581210" w:rsidRPr="00665E60" w:rsidRDefault="00581210" w:rsidP="00581210">
      <w:pPr>
        <w:ind w:firstLine="720"/>
        <w:jc w:val="both"/>
        <w:rPr>
          <w:rFonts w:ascii="Cambria" w:hAnsi="Cambria"/>
          <w:color w:val="000000"/>
          <w:sz w:val="16"/>
          <w:szCs w:val="16"/>
        </w:rPr>
      </w:pPr>
      <w:r w:rsidRPr="00665E60">
        <w:rPr>
          <w:rStyle w:val="FootnoteReference"/>
          <w:rFonts w:ascii="Cambria" w:hAnsi="Cambria"/>
          <w:sz w:val="16"/>
          <w:szCs w:val="16"/>
        </w:rPr>
        <w:footnoteRef/>
      </w:r>
      <w:r w:rsidRPr="00665E60">
        <w:rPr>
          <w:rFonts w:ascii="Cambria" w:hAnsi="Cambria"/>
          <w:color w:val="000000"/>
          <w:sz w:val="16"/>
          <w:szCs w:val="16"/>
        </w:rPr>
        <w:t xml:space="preserve"> </w:t>
      </w:r>
      <w:r>
        <w:rPr>
          <w:rFonts w:ascii="Cambria" w:hAnsi="Cambria"/>
          <w:color w:val="000000"/>
          <w:sz w:val="16"/>
          <w:szCs w:val="16"/>
        </w:rPr>
        <w:t>I/A Court HR</w:t>
      </w:r>
      <w:r w:rsidRPr="00665E60">
        <w:rPr>
          <w:rFonts w:ascii="Cambria" w:hAnsi="Cambria"/>
          <w:color w:val="000000"/>
          <w:sz w:val="16"/>
          <w:szCs w:val="16"/>
        </w:rPr>
        <w:t xml:space="preserve">. </w:t>
      </w:r>
      <w:r>
        <w:rPr>
          <w:rFonts w:ascii="Cambria" w:hAnsi="Cambria"/>
          <w:bCs/>
          <w:color w:val="000000"/>
          <w:sz w:val="16"/>
          <w:szCs w:val="16"/>
        </w:rPr>
        <w:t xml:space="preserve">Case of </w:t>
      </w:r>
      <w:proofErr w:type="spellStart"/>
      <w:r>
        <w:rPr>
          <w:rFonts w:ascii="Cambria" w:hAnsi="Cambria"/>
          <w:bCs/>
          <w:color w:val="000000"/>
          <w:sz w:val="16"/>
          <w:szCs w:val="16"/>
        </w:rPr>
        <w:t>Chaparro</w:t>
      </w:r>
      <w:proofErr w:type="spellEnd"/>
      <w:r>
        <w:rPr>
          <w:rFonts w:ascii="Cambria" w:hAnsi="Cambria"/>
          <w:bCs/>
          <w:color w:val="000000"/>
          <w:sz w:val="16"/>
          <w:szCs w:val="16"/>
        </w:rPr>
        <w:t xml:space="preserve"> </w:t>
      </w:r>
      <w:proofErr w:type="spellStart"/>
      <w:r>
        <w:rPr>
          <w:rFonts w:ascii="Cambria" w:hAnsi="Cambria"/>
          <w:bCs/>
          <w:color w:val="000000"/>
          <w:sz w:val="16"/>
          <w:szCs w:val="16"/>
        </w:rPr>
        <w:t>Álvarez</w:t>
      </w:r>
      <w:proofErr w:type="spellEnd"/>
      <w:r>
        <w:rPr>
          <w:rFonts w:ascii="Cambria" w:hAnsi="Cambria"/>
          <w:bCs/>
          <w:color w:val="000000"/>
          <w:sz w:val="16"/>
          <w:szCs w:val="16"/>
        </w:rPr>
        <w:t xml:space="preserve"> and </w:t>
      </w:r>
      <w:proofErr w:type="spellStart"/>
      <w:r>
        <w:rPr>
          <w:rFonts w:ascii="Cambria" w:hAnsi="Cambria"/>
          <w:bCs/>
          <w:color w:val="000000"/>
          <w:sz w:val="16"/>
          <w:szCs w:val="16"/>
        </w:rPr>
        <w:t>Lapo</w:t>
      </w:r>
      <w:proofErr w:type="spellEnd"/>
      <w:r>
        <w:rPr>
          <w:rFonts w:ascii="Cambria" w:hAnsi="Cambria"/>
          <w:bCs/>
          <w:color w:val="000000"/>
          <w:sz w:val="16"/>
          <w:szCs w:val="16"/>
        </w:rPr>
        <w:t xml:space="preserve"> </w:t>
      </w:r>
      <w:proofErr w:type="spellStart"/>
      <w:r>
        <w:rPr>
          <w:rFonts w:ascii="Cambria" w:hAnsi="Cambria"/>
          <w:bCs/>
          <w:color w:val="000000"/>
          <w:sz w:val="16"/>
          <w:szCs w:val="16"/>
        </w:rPr>
        <w:t>Íñiguez</w:t>
      </w:r>
      <w:proofErr w:type="spellEnd"/>
      <w:r>
        <w:rPr>
          <w:rFonts w:ascii="Cambria" w:hAnsi="Cambria"/>
          <w:bCs/>
          <w:color w:val="000000"/>
          <w:sz w:val="16"/>
          <w:szCs w:val="16"/>
        </w:rPr>
        <w:t>. v</w:t>
      </w:r>
      <w:r w:rsidRPr="00665E60">
        <w:rPr>
          <w:rFonts w:ascii="Cambria" w:hAnsi="Cambria"/>
          <w:bCs/>
          <w:color w:val="000000"/>
          <w:sz w:val="16"/>
          <w:szCs w:val="16"/>
        </w:rPr>
        <w:t xml:space="preserve">. Ecuador. </w:t>
      </w:r>
      <w:r>
        <w:rPr>
          <w:rFonts w:ascii="Cambria" w:hAnsi="Cambria"/>
          <w:color w:val="000000"/>
          <w:sz w:val="16"/>
          <w:szCs w:val="16"/>
        </w:rPr>
        <w:t>Preliminary Objections, Merits, Reparations and Costs</w:t>
      </w:r>
      <w:r w:rsidRPr="00665E60">
        <w:rPr>
          <w:rFonts w:ascii="Cambria" w:hAnsi="Cambria"/>
          <w:color w:val="000000"/>
          <w:sz w:val="16"/>
          <w:szCs w:val="16"/>
        </w:rPr>
        <w:t xml:space="preserve">. </w:t>
      </w:r>
      <w:r>
        <w:rPr>
          <w:rFonts w:ascii="Cambria" w:hAnsi="Cambria"/>
          <w:color w:val="000000"/>
          <w:sz w:val="16"/>
          <w:szCs w:val="16"/>
        </w:rPr>
        <w:t>Judgment of</w:t>
      </w:r>
      <w:r w:rsidRPr="00665E60">
        <w:rPr>
          <w:rFonts w:ascii="Cambria" w:hAnsi="Cambria"/>
          <w:color w:val="000000"/>
          <w:sz w:val="16"/>
          <w:szCs w:val="16"/>
        </w:rPr>
        <w:t xml:space="preserve"> </w:t>
      </w:r>
      <w:r>
        <w:rPr>
          <w:rFonts w:ascii="Cambria" w:hAnsi="Cambria"/>
          <w:color w:val="000000"/>
          <w:sz w:val="16"/>
          <w:szCs w:val="16"/>
        </w:rPr>
        <w:t xml:space="preserve">November </w:t>
      </w:r>
      <w:r w:rsidRPr="00665E60">
        <w:rPr>
          <w:rFonts w:ascii="Cambria" w:hAnsi="Cambria"/>
          <w:color w:val="000000"/>
          <w:sz w:val="16"/>
          <w:szCs w:val="16"/>
        </w:rPr>
        <w:t>21</w:t>
      </w:r>
      <w:r>
        <w:rPr>
          <w:rFonts w:ascii="Cambria" w:hAnsi="Cambria"/>
          <w:color w:val="000000"/>
          <w:sz w:val="16"/>
          <w:szCs w:val="16"/>
        </w:rPr>
        <w:t>,</w:t>
      </w:r>
      <w:r w:rsidRPr="00665E60">
        <w:rPr>
          <w:rFonts w:ascii="Cambria" w:hAnsi="Cambria"/>
          <w:color w:val="000000"/>
          <w:sz w:val="16"/>
          <w:szCs w:val="16"/>
        </w:rPr>
        <w:t xml:space="preserve"> 2007. </w:t>
      </w:r>
      <w:r>
        <w:rPr>
          <w:rFonts w:ascii="Cambria" w:hAnsi="Cambria"/>
          <w:color w:val="000000"/>
          <w:sz w:val="16"/>
          <w:szCs w:val="16"/>
        </w:rPr>
        <w:t>Series C</w:t>
      </w:r>
      <w:r w:rsidRPr="00665E60">
        <w:rPr>
          <w:rFonts w:ascii="Cambria" w:hAnsi="Cambria"/>
          <w:color w:val="000000"/>
          <w:sz w:val="16"/>
          <w:szCs w:val="16"/>
        </w:rPr>
        <w:t xml:space="preserve"> No. 170, </w:t>
      </w:r>
      <w:r>
        <w:rPr>
          <w:rFonts w:ascii="Cambria" w:hAnsi="Cambria"/>
          <w:color w:val="000000"/>
          <w:sz w:val="16"/>
          <w:szCs w:val="16"/>
        </w:rPr>
        <w:t>para</w:t>
      </w:r>
      <w:r w:rsidRPr="00665E60">
        <w:rPr>
          <w:rFonts w:ascii="Cambria" w:hAnsi="Cambria"/>
          <w:color w:val="000000"/>
          <w:sz w:val="16"/>
          <w:szCs w:val="16"/>
        </w:rPr>
        <w:t>. 92.</w:t>
      </w:r>
    </w:p>
  </w:footnote>
  <w:footnote w:id="88">
    <w:p w14:paraId="2E20D678"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I/A Court HR</w:t>
      </w:r>
      <w:r w:rsidRPr="00665E60">
        <w:rPr>
          <w:rFonts w:ascii="Cambria" w:hAnsi="Cambria"/>
          <w:color w:val="auto"/>
          <w:sz w:val="16"/>
          <w:szCs w:val="16"/>
        </w:rPr>
        <w:t xml:space="preserve">, </w:t>
      </w:r>
      <w:r>
        <w:rPr>
          <w:rFonts w:ascii="Cambria" w:hAnsi="Cambria"/>
          <w:color w:val="auto"/>
          <w:sz w:val="16"/>
          <w:szCs w:val="16"/>
        </w:rPr>
        <w:t>Case of</w:t>
      </w:r>
      <w:r w:rsidRPr="00665E60">
        <w:rPr>
          <w:rFonts w:ascii="Cambria" w:hAnsi="Cambria"/>
          <w:color w:val="auto"/>
          <w:sz w:val="16"/>
          <w:szCs w:val="16"/>
        </w:rPr>
        <w:t xml:space="preserve"> </w:t>
      </w:r>
      <w:proofErr w:type="spellStart"/>
      <w:r w:rsidRPr="00665E60">
        <w:rPr>
          <w:rFonts w:ascii="Cambria" w:hAnsi="Cambria"/>
          <w:color w:val="auto"/>
          <w:sz w:val="16"/>
          <w:szCs w:val="16"/>
        </w:rPr>
        <w:t>Nadege</w:t>
      </w:r>
      <w:proofErr w:type="spellEnd"/>
      <w:r w:rsidRPr="00665E60">
        <w:rPr>
          <w:rFonts w:ascii="Cambria" w:hAnsi="Cambria"/>
          <w:color w:val="auto"/>
          <w:sz w:val="16"/>
          <w:szCs w:val="16"/>
        </w:rPr>
        <w:t xml:space="preserve"> </w:t>
      </w:r>
      <w:proofErr w:type="spellStart"/>
      <w:r w:rsidRPr="00665E60">
        <w:rPr>
          <w:rFonts w:ascii="Cambria" w:hAnsi="Cambria"/>
          <w:color w:val="auto"/>
          <w:sz w:val="16"/>
          <w:szCs w:val="16"/>
        </w:rPr>
        <w:t>Dorzema</w:t>
      </w:r>
      <w:proofErr w:type="spellEnd"/>
      <w:r w:rsidRPr="00665E60">
        <w:rPr>
          <w:rFonts w:ascii="Cambria" w:hAnsi="Cambria"/>
          <w:color w:val="auto"/>
          <w:sz w:val="16"/>
          <w:szCs w:val="16"/>
        </w:rPr>
        <w:t xml:space="preserve"> </w:t>
      </w:r>
      <w:r>
        <w:rPr>
          <w:rFonts w:ascii="Cambria" w:hAnsi="Cambria"/>
          <w:color w:val="auto"/>
          <w:sz w:val="16"/>
          <w:szCs w:val="16"/>
        </w:rPr>
        <w:t>et al. v. Dominican Republic. Merits, Reparations and Costs. Judgment of</w:t>
      </w:r>
      <w:r w:rsidRPr="00665E60">
        <w:rPr>
          <w:rFonts w:ascii="Cambria" w:hAnsi="Cambria"/>
          <w:color w:val="auto"/>
          <w:sz w:val="16"/>
          <w:szCs w:val="16"/>
        </w:rPr>
        <w:t xml:space="preserve"> </w:t>
      </w:r>
      <w:r>
        <w:rPr>
          <w:rFonts w:ascii="Cambria" w:hAnsi="Cambria"/>
          <w:color w:val="auto"/>
          <w:sz w:val="16"/>
          <w:szCs w:val="16"/>
        </w:rPr>
        <w:t xml:space="preserve">October 24, </w:t>
      </w:r>
      <w:r w:rsidRPr="00665E60">
        <w:rPr>
          <w:rFonts w:ascii="Cambria" w:hAnsi="Cambria"/>
          <w:color w:val="auto"/>
          <w:sz w:val="16"/>
          <w:szCs w:val="16"/>
        </w:rPr>
        <w:t xml:space="preserve">2012. </w:t>
      </w:r>
      <w:r>
        <w:rPr>
          <w:rFonts w:ascii="Cambria" w:hAnsi="Cambria"/>
          <w:color w:val="auto"/>
          <w:sz w:val="16"/>
          <w:szCs w:val="16"/>
        </w:rPr>
        <w:t>Series C, No.</w:t>
      </w:r>
      <w:r w:rsidRPr="00665E60">
        <w:rPr>
          <w:rFonts w:ascii="Cambria" w:hAnsi="Cambria"/>
          <w:color w:val="auto"/>
          <w:sz w:val="16"/>
          <w:szCs w:val="16"/>
        </w:rPr>
        <w:t xml:space="preserve"> 251, </w:t>
      </w:r>
      <w:r>
        <w:rPr>
          <w:rFonts w:ascii="Cambria" w:hAnsi="Cambria"/>
          <w:color w:val="auto"/>
          <w:sz w:val="16"/>
          <w:szCs w:val="16"/>
        </w:rPr>
        <w:t>para</w:t>
      </w:r>
      <w:r w:rsidRPr="00665E60">
        <w:rPr>
          <w:rFonts w:ascii="Cambria" w:hAnsi="Cambria"/>
          <w:color w:val="auto"/>
          <w:sz w:val="16"/>
          <w:szCs w:val="16"/>
        </w:rPr>
        <w:t>. 133.</w:t>
      </w:r>
    </w:p>
  </w:footnote>
  <w:footnote w:id="89">
    <w:p w14:paraId="3CD07490" w14:textId="5CAA0101"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sz w:val="16"/>
          <w:szCs w:val="16"/>
        </w:rPr>
        <w:t>ECtHR</w:t>
      </w:r>
      <w:r w:rsidRPr="00665E60">
        <w:rPr>
          <w:rFonts w:ascii="Cambria" w:hAnsi="Cambria"/>
          <w:sz w:val="16"/>
          <w:szCs w:val="16"/>
        </w:rPr>
        <w:t xml:space="preserve">. Case </w:t>
      </w:r>
      <w:r w:rsidRPr="00665E60">
        <w:rPr>
          <w:rFonts w:ascii="Cambria" w:hAnsi="Cambria"/>
          <w:iCs/>
          <w:sz w:val="16"/>
          <w:szCs w:val="16"/>
        </w:rPr>
        <w:t>Ilgar Mammadov v. Azerbaijan</w:t>
      </w:r>
      <w:r w:rsidRPr="00665E60">
        <w:rPr>
          <w:rFonts w:ascii="Cambria" w:hAnsi="Cambria" w:cs="TimesNewRomanPSMT"/>
          <w:sz w:val="16"/>
          <w:szCs w:val="16"/>
        </w:rPr>
        <w:t xml:space="preserve">, </w:t>
      </w:r>
      <w:r w:rsidR="00E32A76" w:rsidRPr="00E32A76">
        <w:rPr>
          <w:rFonts w:ascii="Cambria" w:hAnsi="Cambria" w:cs="TimesNewRomanPSMT"/>
          <w:sz w:val="16"/>
          <w:szCs w:val="16"/>
        </w:rPr>
        <w:t>Judgm</w:t>
      </w:r>
      <w:r w:rsidR="00E32A76">
        <w:rPr>
          <w:rFonts w:ascii="Cambria" w:hAnsi="Cambria" w:cs="TimesNewRomanPSMT"/>
          <w:sz w:val="16"/>
          <w:szCs w:val="16"/>
        </w:rPr>
        <w:t>ent of October 13, 2014</w:t>
      </w:r>
      <w:r w:rsidR="00E32A76">
        <w:rPr>
          <w:rFonts w:ascii="Cambria" w:hAnsi="Cambria" w:cs="TimesNewRomanPSMT"/>
          <w:sz w:val="16"/>
          <w:szCs w:val="16"/>
        </w:rPr>
        <w:t xml:space="preserve">, </w:t>
      </w:r>
      <w:proofErr w:type="gramStart"/>
      <w:r w:rsidR="00E32A76">
        <w:rPr>
          <w:rFonts w:ascii="Cambria" w:hAnsi="Cambria" w:cs="TimesNewRomanPSMT"/>
          <w:sz w:val="16"/>
          <w:szCs w:val="16"/>
        </w:rPr>
        <w:t>para</w:t>
      </w:r>
      <w:proofErr w:type="gramEnd"/>
      <w:r w:rsidR="00E32A76">
        <w:rPr>
          <w:rFonts w:ascii="Cambria" w:hAnsi="Cambria" w:cs="TimesNewRomanPSMT"/>
          <w:sz w:val="16"/>
          <w:szCs w:val="16"/>
        </w:rPr>
        <w:t xml:space="preserve">. </w:t>
      </w:r>
      <w:r w:rsidRPr="00665E60">
        <w:rPr>
          <w:rFonts w:ascii="Cambria" w:hAnsi="Cambria" w:cs="TimesNewRomanPSMT"/>
          <w:sz w:val="16"/>
          <w:szCs w:val="16"/>
        </w:rPr>
        <w:t xml:space="preserve">88; Case </w:t>
      </w:r>
      <w:proofErr w:type="spellStart"/>
      <w:r w:rsidRPr="00665E60">
        <w:rPr>
          <w:rFonts w:ascii="Cambria" w:hAnsi="Cambria"/>
          <w:iCs/>
          <w:sz w:val="16"/>
          <w:szCs w:val="16"/>
        </w:rPr>
        <w:t>Erdagöz</w:t>
      </w:r>
      <w:proofErr w:type="spellEnd"/>
      <w:r w:rsidRPr="00665E60">
        <w:rPr>
          <w:rFonts w:ascii="Cambria" w:hAnsi="Cambria"/>
          <w:iCs/>
          <w:sz w:val="16"/>
          <w:szCs w:val="16"/>
        </w:rPr>
        <w:t xml:space="preserve"> v. Turkey</w:t>
      </w:r>
      <w:r w:rsidRPr="00665E60">
        <w:rPr>
          <w:rFonts w:ascii="Cambria" w:hAnsi="Cambria" w:cs="TimesNewRomanPSMT"/>
          <w:sz w:val="16"/>
          <w:szCs w:val="16"/>
        </w:rPr>
        <w:t xml:space="preserve">, </w:t>
      </w:r>
      <w:r w:rsidR="00E32A76">
        <w:rPr>
          <w:rFonts w:ascii="Cambria" w:hAnsi="Cambria" w:cs="TimesNewRomanPSMT"/>
          <w:sz w:val="16"/>
          <w:szCs w:val="16"/>
        </w:rPr>
        <w:t xml:space="preserve">Judgment of October 22, 1997, para. </w:t>
      </w:r>
      <w:r w:rsidRPr="00665E60">
        <w:rPr>
          <w:rFonts w:ascii="Cambria" w:hAnsi="Cambria" w:cs="TimesNewRomanPSMT"/>
          <w:sz w:val="16"/>
          <w:szCs w:val="16"/>
        </w:rPr>
        <w:t xml:space="preserve">51; </w:t>
      </w:r>
      <w:r w:rsidR="00E32A76">
        <w:rPr>
          <w:rFonts w:ascii="Cambria" w:hAnsi="Cambria" w:cs="TimesNewRomanPSMT"/>
          <w:sz w:val="16"/>
          <w:szCs w:val="16"/>
        </w:rPr>
        <w:t xml:space="preserve">and </w:t>
      </w:r>
      <w:r w:rsidRPr="00665E60">
        <w:rPr>
          <w:rFonts w:ascii="Cambria" w:hAnsi="Cambria" w:cs="TimesNewRomanPSMT"/>
          <w:sz w:val="16"/>
          <w:szCs w:val="16"/>
        </w:rPr>
        <w:t xml:space="preserve">Case </w:t>
      </w:r>
      <w:r w:rsidRPr="00665E60">
        <w:rPr>
          <w:rFonts w:ascii="Cambria" w:hAnsi="Cambria"/>
          <w:iCs/>
          <w:sz w:val="16"/>
          <w:szCs w:val="16"/>
        </w:rPr>
        <w:t>Fox, Campbell and Hartley v. the United Kingdom</w:t>
      </w:r>
      <w:r w:rsidRPr="00665E60">
        <w:rPr>
          <w:rFonts w:ascii="Cambria" w:hAnsi="Cambria" w:cs="TimesNewRomanPSMT"/>
          <w:sz w:val="16"/>
          <w:szCs w:val="16"/>
        </w:rPr>
        <w:t xml:space="preserve">, </w:t>
      </w:r>
      <w:r w:rsidR="00E32A76">
        <w:rPr>
          <w:rFonts w:ascii="Cambria" w:hAnsi="Cambria" w:cs="TimesNewRomanPSMT"/>
          <w:sz w:val="16"/>
          <w:szCs w:val="16"/>
        </w:rPr>
        <w:t xml:space="preserve">Judgment of August 30, 1990, para. </w:t>
      </w:r>
      <w:r w:rsidRPr="00665E60">
        <w:rPr>
          <w:rFonts w:ascii="Cambria" w:hAnsi="Cambria" w:cs="TimesNewRomanPSMT"/>
          <w:sz w:val="16"/>
          <w:szCs w:val="16"/>
        </w:rPr>
        <w:t>32.</w:t>
      </w:r>
    </w:p>
  </w:footnote>
  <w:footnote w:id="90">
    <w:p w14:paraId="24149048" w14:textId="3BF3A128"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cs="TimesNewRomanPSMT"/>
          <w:sz w:val="16"/>
          <w:szCs w:val="16"/>
        </w:rPr>
        <w:t>ECtHR</w:t>
      </w:r>
      <w:r w:rsidRPr="00665E60">
        <w:rPr>
          <w:rFonts w:ascii="Cambria" w:hAnsi="Cambria" w:cs="TimesNewRomanPSMT"/>
          <w:sz w:val="16"/>
          <w:szCs w:val="16"/>
        </w:rPr>
        <w:t xml:space="preserve">. Case </w:t>
      </w:r>
      <w:r w:rsidRPr="00665E60">
        <w:rPr>
          <w:rFonts w:ascii="Cambria" w:hAnsi="Cambria"/>
          <w:iCs/>
          <w:sz w:val="16"/>
          <w:szCs w:val="16"/>
        </w:rPr>
        <w:t>Stepuleac v. Moldova</w:t>
      </w:r>
      <w:r w:rsidRPr="00665E60">
        <w:rPr>
          <w:rFonts w:ascii="Cambria" w:hAnsi="Cambria" w:cs="TimesNewRomanPSMT"/>
          <w:sz w:val="16"/>
          <w:szCs w:val="16"/>
        </w:rPr>
        <w:t xml:space="preserve">, </w:t>
      </w:r>
      <w:r w:rsidR="00E32A76">
        <w:rPr>
          <w:rFonts w:ascii="Cambria" w:hAnsi="Cambria" w:cs="TimesNewRomanPSMT"/>
          <w:sz w:val="16"/>
          <w:szCs w:val="16"/>
        </w:rPr>
        <w:t xml:space="preserve">Judgment of February 6, 2008, </w:t>
      </w:r>
      <w:proofErr w:type="gramStart"/>
      <w:r w:rsidR="00E32A76">
        <w:rPr>
          <w:rFonts w:ascii="Cambria" w:hAnsi="Cambria" w:cs="TimesNewRomanPSMT"/>
          <w:sz w:val="16"/>
          <w:szCs w:val="16"/>
        </w:rPr>
        <w:t>para</w:t>
      </w:r>
      <w:proofErr w:type="gramEnd"/>
      <w:r w:rsidR="00E32A76">
        <w:rPr>
          <w:rFonts w:ascii="Cambria" w:hAnsi="Cambria" w:cs="TimesNewRomanPSMT"/>
          <w:sz w:val="16"/>
          <w:szCs w:val="16"/>
        </w:rPr>
        <w:t xml:space="preserve">. </w:t>
      </w:r>
      <w:r w:rsidRPr="00665E60">
        <w:rPr>
          <w:rFonts w:ascii="Cambria" w:hAnsi="Cambria" w:cs="TimesNewRomanPSMT"/>
          <w:sz w:val="16"/>
          <w:szCs w:val="16"/>
        </w:rPr>
        <w:t>73.</w:t>
      </w:r>
    </w:p>
  </w:footnote>
  <w:footnote w:id="91">
    <w:p w14:paraId="43EFD713" w14:textId="38C51C5B" w:rsidR="00581210" w:rsidRPr="00E32A76"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sidRPr="00E32A76">
        <w:rPr>
          <w:rFonts w:ascii="Cambria" w:hAnsi="Cambria"/>
          <w:sz w:val="16"/>
          <w:szCs w:val="16"/>
        </w:rPr>
        <w:t xml:space="preserve"> ECtHR. Case </w:t>
      </w:r>
      <w:r w:rsidRPr="00E32A76">
        <w:rPr>
          <w:rFonts w:ascii="Cambria" w:hAnsi="Cambria"/>
          <w:iCs/>
          <w:sz w:val="16"/>
          <w:szCs w:val="16"/>
        </w:rPr>
        <w:t>Ilgar Mammadov v. Azerbaijan</w:t>
      </w:r>
      <w:r w:rsidRPr="00E32A76">
        <w:rPr>
          <w:rFonts w:ascii="Cambria" w:hAnsi="Cambria" w:cs="TimesNewRomanPSMT"/>
          <w:sz w:val="16"/>
          <w:szCs w:val="16"/>
        </w:rPr>
        <w:t xml:space="preserve">, </w:t>
      </w:r>
      <w:r w:rsidR="00E32A76" w:rsidRPr="00E32A76">
        <w:rPr>
          <w:rFonts w:ascii="Cambria" w:hAnsi="Cambria" w:cs="TimesNewRomanPSMT"/>
          <w:sz w:val="16"/>
          <w:szCs w:val="16"/>
        </w:rPr>
        <w:t>Judgm</w:t>
      </w:r>
      <w:r w:rsidR="00E32A76">
        <w:rPr>
          <w:rFonts w:ascii="Cambria" w:hAnsi="Cambria" w:cs="TimesNewRomanPSMT"/>
          <w:sz w:val="16"/>
          <w:szCs w:val="16"/>
        </w:rPr>
        <w:t xml:space="preserve">ent of October 13, 2014, paras. </w:t>
      </w:r>
      <w:r w:rsidRPr="00E32A76">
        <w:rPr>
          <w:rFonts w:ascii="Cambria" w:hAnsi="Cambria" w:cs="TimesNewRomanPSMT"/>
          <w:sz w:val="16"/>
          <w:szCs w:val="16"/>
        </w:rPr>
        <w:t xml:space="preserve">88 y 89. </w:t>
      </w:r>
    </w:p>
  </w:footnote>
  <w:footnote w:id="92">
    <w:p w14:paraId="631AC13A" w14:textId="507191B1"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Pr>
          <w:rFonts w:ascii="Cambria" w:hAnsi="Cambria"/>
          <w:sz w:val="16"/>
          <w:szCs w:val="16"/>
        </w:rPr>
        <w:t xml:space="preserve"> </w:t>
      </w:r>
      <w:r w:rsidRPr="00665E60">
        <w:rPr>
          <w:rFonts w:ascii="Cambria" w:hAnsi="Cambria"/>
          <w:sz w:val="16"/>
          <w:szCs w:val="16"/>
        </w:rPr>
        <w:t>E</w:t>
      </w:r>
      <w:r>
        <w:rPr>
          <w:rFonts w:ascii="Cambria" w:hAnsi="Cambria"/>
          <w:sz w:val="16"/>
          <w:szCs w:val="16"/>
        </w:rPr>
        <w:t>Ct</w:t>
      </w:r>
      <w:r w:rsidRPr="00665E60">
        <w:rPr>
          <w:rFonts w:ascii="Cambria" w:hAnsi="Cambria"/>
          <w:sz w:val="16"/>
          <w:szCs w:val="16"/>
        </w:rPr>
        <w:t>H</w:t>
      </w:r>
      <w:r>
        <w:rPr>
          <w:rFonts w:ascii="Cambria" w:hAnsi="Cambria"/>
          <w:sz w:val="16"/>
          <w:szCs w:val="16"/>
        </w:rPr>
        <w:t>R</w:t>
      </w:r>
      <w:r w:rsidRPr="00665E60">
        <w:rPr>
          <w:rFonts w:ascii="Cambria" w:hAnsi="Cambria"/>
          <w:sz w:val="16"/>
          <w:szCs w:val="16"/>
        </w:rPr>
        <w:t xml:space="preserve">, </w:t>
      </w:r>
      <w:proofErr w:type="spellStart"/>
      <w:r w:rsidRPr="00665E60">
        <w:rPr>
          <w:rFonts w:ascii="Cambria" w:hAnsi="Cambria"/>
          <w:sz w:val="16"/>
          <w:szCs w:val="16"/>
        </w:rPr>
        <w:t>Gillan</w:t>
      </w:r>
      <w:proofErr w:type="spellEnd"/>
      <w:r w:rsidRPr="00665E60">
        <w:rPr>
          <w:rFonts w:ascii="Cambria" w:hAnsi="Cambria"/>
          <w:sz w:val="16"/>
          <w:szCs w:val="16"/>
        </w:rPr>
        <w:t xml:space="preserve"> </w:t>
      </w:r>
      <w:r>
        <w:rPr>
          <w:rFonts w:ascii="Cambria" w:hAnsi="Cambria"/>
          <w:sz w:val="16"/>
          <w:szCs w:val="16"/>
        </w:rPr>
        <w:t xml:space="preserve">and </w:t>
      </w:r>
      <w:r w:rsidRPr="00665E60">
        <w:rPr>
          <w:rFonts w:ascii="Cambria" w:hAnsi="Cambria"/>
          <w:sz w:val="16"/>
          <w:szCs w:val="16"/>
        </w:rPr>
        <w:t xml:space="preserve">Quinton v. </w:t>
      </w:r>
      <w:r>
        <w:rPr>
          <w:rFonts w:ascii="Cambria" w:hAnsi="Cambria"/>
          <w:sz w:val="16"/>
          <w:szCs w:val="16"/>
        </w:rPr>
        <w:t>United Kingdom</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June </w:t>
      </w:r>
      <w:r w:rsidRPr="00665E60">
        <w:rPr>
          <w:rFonts w:ascii="Cambria" w:hAnsi="Cambria"/>
          <w:sz w:val="16"/>
          <w:szCs w:val="16"/>
        </w:rPr>
        <w:t>28</w:t>
      </w:r>
      <w:r>
        <w:rPr>
          <w:rFonts w:ascii="Cambria" w:hAnsi="Cambria"/>
          <w:sz w:val="16"/>
          <w:szCs w:val="16"/>
        </w:rPr>
        <w:t>,</w:t>
      </w:r>
      <w:r w:rsidRPr="00665E60">
        <w:rPr>
          <w:rFonts w:ascii="Cambria" w:hAnsi="Cambria"/>
          <w:sz w:val="16"/>
          <w:szCs w:val="16"/>
        </w:rPr>
        <w:t xml:space="preserve"> 2010</w:t>
      </w:r>
      <w:r w:rsidR="00E32A76">
        <w:rPr>
          <w:rFonts w:ascii="Cambria" w:hAnsi="Cambria"/>
          <w:sz w:val="16"/>
          <w:szCs w:val="16"/>
        </w:rPr>
        <w:t>, paras. 79-81.</w:t>
      </w:r>
    </w:p>
  </w:footnote>
  <w:footnote w:id="93">
    <w:p w14:paraId="1473B94C" w14:textId="1D0F8D3D"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sz w:val="16"/>
          <w:szCs w:val="16"/>
        </w:rPr>
        <w:t>ECtHR</w:t>
      </w:r>
      <w:r w:rsidRPr="00665E60">
        <w:rPr>
          <w:rFonts w:ascii="Cambria" w:hAnsi="Cambria"/>
          <w:sz w:val="16"/>
          <w:szCs w:val="16"/>
        </w:rPr>
        <w:t xml:space="preserve">, </w:t>
      </w:r>
      <w:proofErr w:type="spellStart"/>
      <w:r w:rsidRPr="00665E60">
        <w:rPr>
          <w:rFonts w:ascii="Cambria" w:hAnsi="Cambria"/>
          <w:sz w:val="16"/>
          <w:szCs w:val="16"/>
        </w:rPr>
        <w:t>Gillan</w:t>
      </w:r>
      <w:proofErr w:type="spellEnd"/>
      <w:r w:rsidRPr="00665E60">
        <w:rPr>
          <w:rFonts w:ascii="Cambria" w:hAnsi="Cambria"/>
          <w:sz w:val="16"/>
          <w:szCs w:val="16"/>
        </w:rPr>
        <w:t xml:space="preserve"> </w:t>
      </w:r>
      <w:r>
        <w:rPr>
          <w:rFonts w:ascii="Cambria" w:hAnsi="Cambria"/>
          <w:sz w:val="16"/>
          <w:szCs w:val="16"/>
        </w:rPr>
        <w:t xml:space="preserve">and </w:t>
      </w:r>
      <w:r w:rsidRPr="00665E60">
        <w:rPr>
          <w:rFonts w:ascii="Cambria" w:hAnsi="Cambria"/>
          <w:sz w:val="16"/>
          <w:szCs w:val="16"/>
        </w:rPr>
        <w:t xml:space="preserve">Quinton v. </w:t>
      </w:r>
      <w:r>
        <w:rPr>
          <w:rFonts w:ascii="Cambria" w:hAnsi="Cambria"/>
          <w:sz w:val="16"/>
          <w:szCs w:val="16"/>
        </w:rPr>
        <w:t>United Kingdom</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June </w:t>
      </w:r>
      <w:r w:rsidRPr="00665E60">
        <w:rPr>
          <w:rFonts w:ascii="Cambria" w:hAnsi="Cambria"/>
          <w:sz w:val="16"/>
          <w:szCs w:val="16"/>
        </w:rPr>
        <w:t>28</w:t>
      </w:r>
      <w:r>
        <w:rPr>
          <w:rFonts w:ascii="Cambria" w:hAnsi="Cambria"/>
          <w:sz w:val="16"/>
          <w:szCs w:val="16"/>
        </w:rPr>
        <w:t>,</w:t>
      </w:r>
      <w:r w:rsidR="00E32A76">
        <w:rPr>
          <w:rFonts w:ascii="Cambria" w:hAnsi="Cambria"/>
          <w:sz w:val="16"/>
          <w:szCs w:val="16"/>
        </w:rPr>
        <w:t xml:space="preserve"> 2010, paras. 62-65.</w:t>
      </w:r>
    </w:p>
  </w:footnote>
  <w:footnote w:id="94">
    <w:p w14:paraId="36984950" w14:textId="35F033BC"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Pr>
          <w:rFonts w:ascii="Cambria" w:hAnsi="Cambria"/>
          <w:sz w:val="16"/>
          <w:szCs w:val="16"/>
        </w:rPr>
        <w:t xml:space="preserve"> ECtHR, </w:t>
      </w:r>
      <w:proofErr w:type="spellStart"/>
      <w:r>
        <w:rPr>
          <w:rFonts w:ascii="Cambria" w:hAnsi="Cambria"/>
          <w:sz w:val="16"/>
          <w:szCs w:val="16"/>
        </w:rPr>
        <w:t>Gillan</w:t>
      </w:r>
      <w:proofErr w:type="spellEnd"/>
      <w:r>
        <w:rPr>
          <w:rFonts w:ascii="Cambria" w:hAnsi="Cambria"/>
          <w:sz w:val="16"/>
          <w:szCs w:val="16"/>
        </w:rPr>
        <w:t xml:space="preserve"> and</w:t>
      </w:r>
      <w:r w:rsidRPr="00665E60">
        <w:rPr>
          <w:rFonts w:ascii="Cambria" w:hAnsi="Cambria"/>
          <w:sz w:val="16"/>
          <w:szCs w:val="16"/>
        </w:rPr>
        <w:t xml:space="preserve"> Quinton v. </w:t>
      </w:r>
      <w:r>
        <w:rPr>
          <w:rFonts w:ascii="Cambria" w:hAnsi="Cambria"/>
          <w:sz w:val="16"/>
          <w:szCs w:val="16"/>
        </w:rPr>
        <w:t>United Kingdom</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June </w:t>
      </w:r>
      <w:r w:rsidRPr="00665E60">
        <w:rPr>
          <w:rFonts w:ascii="Cambria" w:hAnsi="Cambria"/>
          <w:sz w:val="16"/>
          <w:szCs w:val="16"/>
        </w:rPr>
        <w:t>28</w:t>
      </w:r>
      <w:r>
        <w:rPr>
          <w:rFonts w:ascii="Cambria" w:hAnsi="Cambria"/>
          <w:sz w:val="16"/>
          <w:szCs w:val="16"/>
        </w:rPr>
        <w:t>,</w:t>
      </w:r>
      <w:r w:rsidR="00E32A76">
        <w:rPr>
          <w:rFonts w:ascii="Cambria" w:hAnsi="Cambria"/>
          <w:sz w:val="16"/>
          <w:szCs w:val="16"/>
        </w:rPr>
        <w:t xml:space="preserve"> 2010, paras. 83-84.</w:t>
      </w:r>
    </w:p>
  </w:footnote>
  <w:footnote w:id="95">
    <w:p w14:paraId="0B415E74" w14:textId="66CC5800"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Pr>
          <w:rFonts w:ascii="Cambria" w:hAnsi="Cambria"/>
          <w:sz w:val="16"/>
          <w:szCs w:val="16"/>
        </w:rPr>
        <w:t xml:space="preserve"> ECtHR, </w:t>
      </w:r>
      <w:proofErr w:type="spellStart"/>
      <w:r>
        <w:rPr>
          <w:rFonts w:ascii="Cambria" w:hAnsi="Cambria"/>
          <w:sz w:val="16"/>
          <w:szCs w:val="16"/>
        </w:rPr>
        <w:t>Gillan</w:t>
      </w:r>
      <w:proofErr w:type="spellEnd"/>
      <w:r>
        <w:rPr>
          <w:rFonts w:ascii="Cambria" w:hAnsi="Cambria"/>
          <w:sz w:val="16"/>
          <w:szCs w:val="16"/>
        </w:rPr>
        <w:t xml:space="preserve"> and</w:t>
      </w:r>
      <w:r w:rsidRPr="00665E60">
        <w:rPr>
          <w:rFonts w:ascii="Cambria" w:hAnsi="Cambria"/>
          <w:sz w:val="16"/>
          <w:szCs w:val="16"/>
        </w:rPr>
        <w:t xml:space="preserve"> Quinton v. </w:t>
      </w:r>
      <w:r>
        <w:rPr>
          <w:rFonts w:ascii="Cambria" w:hAnsi="Cambria"/>
          <w:sz w:val="16"/>
          <w:szCs w:val="16"/>
        </w:rPr>
        <w:t>United Kingdom</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June </w:t>
      </w:r>
      <w:r w:rsidRPr="00665E60">
        <w:rPr>
          <w:rFonts w:ascii="Cambria" w:hAnsi="Cambria"/>
          <w:sz w:val="16"/>
          <w:szCs w:val="16"/>
        </w:rPr>
        <w:t>28</w:t>
      </w:r>
      <w:r>
        <w:rPr>
          <w:rFonts w:ascii="Cambria" w:hAnsi="Cambria"/>
          <w:sz w:val="16"/>
          <w:szCs w:val="16"/>
        </w:rPr>
        <w:t>,</w:t>
      </w:r>
      <w:r w:rsidR="00E32A76">
        <w:rPr>
          <w:rFonts w:ascii="Cambria" w:hAnsi="Cambria"/>
          <w:sz w:val="16"/>
          <w:szCs w:val="16"/>
        </w:rPr>
        <w:t xml:space="preserve"> 2010, para. 85.</w:t>
      </w:r>
    </w:p>
  </w:footnote>
  <w:footnote w:id="96">
    <w:p w14:paraId="65D13A31" w14:textId="77777777" w:rsidR="00581210" w:rsidRPr="00665E60" w:rsidRDefault="00581210" w:rsidP="00581210">
      <w:pPr>
        <w:pStyle w:val="NormalWeb"/>
        <w:spacing w:before="0" w:beforeAutospacing="0" w:after="0" w:afterAutospacing="0"/>
        <w:ind w:firstLine="720"/>
        <w:jc w:val="both"/>
        <w:rPr>
          <w:rFonts w:ascii="Cambria" w:hAnsi="Cambria"/>
          <w:sz w:val="16"/>
          <w:szCs w:val="16"/>
          <w:lang w:val="en-US"/>
        </w:rPr>
      </w:pPr>
      <w:r w:rsidRPr="00665E60">
        <w:rPr>
          <w:rStyle w:val="FootnoteReference"/>
          <w:rFonts w:ascii="Cambria" w:eastAsia="Batang" w:hAnsi="Cambria"/>
          <w:sz w:val="16"/>
          <w:szCs w:val="16"/>
          <w:lang w:val="en-US"/>
        </w:rPr>
        <w:footnoteRef/>
      </w:r>
      <w:r w:rsidRPr="00665E60">
        <w:rPr>
          <w:rFonts w:ascii="Cambria" w:hAnsi="Cambria"/>
          <w:sz w:val="16"/>
          <w:szCs w:val="16"/>
          <w:lang w:val="en-US"/>
        </w:rPr>
        <w:t xml:space="preserve"> </w:t>
      </w:r>
      <w:r>
        <w:rPr>
          <w:rFonts w:ascii="Cambria" w:hAnsi="Cambria"/>
          <w:sz w:val="16"/>
          <w:szCs w:val="16"/>
          <w:lang w:val="en-US"/>
        </w:rPr>
        <w:t xml:space="preserve">United Nations, Special Rapporteur on Torture and other Cruel, Inhuman or Degrading Treatment or Punishment, Provisional Report, A/57/173, published July </w:t>
      </w:r>
      <w:r w:rsidRPr="00665E60">
        <w:rPr>
          <w:rFonts w:ascii="Cambria" w:hAnsi="Cambria"/>
          <w:sz w:val="16"/>
          <w:szCs w:val="16"/>
          <w:lang w:val="en-US"/>
        </w:rPr>
        <w:t>2</w:t>
      </w:r>
      <w:r>
        <w:rPr>
          <w:rFonts w:ascii="Cambria" w:hAnsi="Cambria"/>
          <w:sz w:val="16"/>
          <w:szCs w:val="16"/>
          <w:lang w:val="en-US"/>
        </w:rPr>
        <w:t>,</w:t>
      </w:r>
      <w:r w:rsidRPr="00665E60">
        <w:rPr>
          <w:rFonts w:ascii="Cambria" w:hAnsi="Cambria"/>
          <w:sz w:val="16"/>
          <w:szCs w:val="16"/>
          <w:lang w:val="en-US"/>
        </w:rPr>
        <w:t xml:space="preserve"> </w:t>
      </w:r>
      <w:r>
        <w:rPr>
          <w:rFonts w:ascii="Cambria" w:hAnsi="Cambria"/>
          <w:sz w:val="16"/>
          <w:szCs w:val="16"/>
          <w:lang w:val="en-US"/>
        </w:rPr>
        <w:t>2002, para</w:t>
      </w:r>
      <w:r w:rsidRPr="00665E60">
        <w:rPr>
          <w:rFonts w:ascii="Cambria" w:hAnsi="Cambria"/>
          <w:sz w:val="16"/>
          <w:szCs w:val="16"/>
          <w:lang w:val="en-US"/>
        </w:rPr>
        <w:t xml:space="preserve">. 21. </w:t>
      </w:r>
    </w:p>
  </w:footnote>
  <w:footnote w:id="97">
    <w:p w14:paraId="26B25088"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United Nations</w:t>
      </w:r>
      <w:r w:rsidRPr="00665E60">
        <w:rPr>
          <w:rFonts w:ascii="Cambria" w:hAnsi="Cambria"/>
          <w:color w:val="auto"/>
          <w:sz w:val="16"/>
          <w:szCs w:val="16"/>
        </w:rPr>
        <w:t xml:space="preserve">, </w:t>
      </w:r>
      <w:r>
        <w:rPr>
          <w:rFonts w:ascii="Cambria" w:hAnsi="Cambria"/>
          <w:color w:val="auto"/>
          <w:sz w:val="16"/>
          <w:szCs w:val="16"/>
        </w:rPr>
        <w:t>Sp</w:t>
      </w:r>
      <w:r w:rsidRPr="00665E60">
        <w:rPr>
          <w:rFonts w:ascii="Cambria" w:hAnsi="Cambria"/>
          <w:color w:val="auto"/>
          <w:sz w:val="16"/>
          <w:szCs w:val="16"/>
        </w:rPr>
        <w:t xml:space="preserve">ecial </w:t>
      </w:r>
      <w:r>
        <w:rPr>
          <w:rFonts w:ascii="Cambria" w:hAnsi="Cambria"/>
          <w:color w:val="auto"/>
          <w:sz w:val="16"/>
          <w:szCs w:val="16"/>
        </w:rPr>
        <w:t xml:space="preserve">Rapporteur on contemporary forms of </w:t>
      </w:r>
      <w:r w:rsidRPr="00665E60">
        <w:rPr>
          <w:rFonts w:ascii="Cambria" w:hAnsi="Cambria"/>
          <w:color w:val="auto"/>
          <w:sz w:val="16"/>
          <w:szCs w:val="16"/>
        </w:rPr>
        <w:t>racism, racial</w:t>
      </w:r>
      <w:r>
        <w:rPr>
          <w:rFonts w:ascii="Cambria" w:hAnsi="Cambria"/>
          <w:color w:val="auto"/>
          <w:sz w:val="16"/>
          <w:szCs w:val="16"/>
        </w:rPr>
        <w:t xml:space="preserve"> discrimination, xenophobia and related intolerance</w:t>
      </w:r>
      <w:r w:rsidRPr="00665E60">
        <w:rPr>
          <w:rFonts w:ascii="Cambria" w:hAnsi="Cambria"/>
          <w:color w:val="auto"/>
          <w:sz w:val="16"/>
          <w:szCs w:val="16"/>
        </w:rPr>
        <w:t xml:space="preserve">, </w:t>
      </w:r>
      <w:proofErr w:type="spellStart"/>
      <w:r w:rsidRPr="00E32A76">
        <w:rPr>
          <w:rStyle w:val="Strong"/>
          <w:rFonts w:ascii="Cambria" w:hAnsi="Cambria"/>
          <w:b w:val="0"/>
          <w:color w:val="auto"/>
          <w:sz w:val="16"/>
          <w:szCs w:val="16"/>
          <w:shd w:val="clear" w:color="auto" w:fill="FFFFFF"/>
        </w:rPr>
        <w:t>Mutuma</w:t>
      </w:r>
      <w:proofErr w:type="spellEnd"/>
      <w:r w:rsidRPr="00E32A76">
        <w:rPr>
          <w:rStyle w:val="Strong"/>
          <w:rFonts w:ascii="Cambria" w:hAnsi="Cambria"/>
          <w:b w:val="0"/>
          <w:color w:val="auto"/>
          <w:sz w:val="16"/>
          <w:szCs w:val="16"/>
          <w:shd w:val="clear" w:color="auto" w:fill="FFFFFF"/>
        </w:rPr>
        <w:t xml:space="preserve"> </w:t>
      </w:r>
      <w:proofErr w:type="spellStart"/>
      <w:r w:rsidRPr="00E32A76">
        <w:rPr>
          <w:rStyle w:val="Strong"/>
          <w:rFonts w:ascii="Cambria" w:hAnsi="Cambria"/>
          <w:b w:val="0"/>
          <w:color w:val="auto"/>
          <w:sz w:val="16"/>
          <w:szCs w:val="16"/>
          <w:shd w:val="clear" w:color="auto" w:fill="FFFFFF"/>
        </w:rPr>
        <w:t>Ruteere</w:t>
      </w:r>
      <w:proofErr w:type="spellEnd"/>
      <w:r w:rsidRPr="00665E60">
        <w:rPr>
          <w:rStyle w:val="Strong"/>
          <w:rFonts w:ascii="Cambria" w:hAnsi="Cambria"/>
          <w:color w:val="auto"/>
          <w:sz w:val="16"/>
          <w:szCs w:val="16"/>
          <w:shd w:val="clear" w:color="auto" w:fill="FFFFFF"/>
        </w:rPr>
        <w:t>,</w:t>
      </w:r>
      <w:r w:rsidRPr="00665E60">
        <w:rPr>
          <w:rFonts w:ascii="Cambria" w:hAnsi="Cambria"/>
          <w:color w:val="auto"/>
          <w:sz w:val="16"/>
          <w:szCs w:val="16"/>
        </w:rPr>
        <w:t xml:space="preserve"> </w:t>
      </w:r>
      <w:r>
        <w:rPr>
          <w:rFonts w:ascii="Cambria" w:hAnsi="Cambria"/>
          <w:color w:val="auto"/>
          <w:sz w:val="16"/>
          <w:szCs w:val="16"/>
        </w:rPr>
        <w:t xml:space="preserve">Report on </w:t>
      </w:r>
      <w:r w:rsidRPr="002A70D1">
        <w:rPr>
          <w:rFonts w:ascii="Cambria" w:hAnsi="Cambria"/>
          <w:color w:val="auto"/>
          <w:sz w:val="16"/>
          <w:szCs w:val="16"/>
        </w:rPr>
        <w:t xml:space="preserve">Racism, racial discrimination, xenophobia and related forms of intolerance, follow-up to and implementation of the Durban Declaration and </w:t>
      </w:r>
      <w:proofErr w:type="spellStart"/>
      <w:r w:rsidRPr="002A70D1">
        <w:rPr>
          <w:rFonts w:ascii="Cambria" w:hAnsi="Cambria"/>
          <w:color w:val="auto"/>
          <w:sz w:val="16"/>
          <w:szCs w:val="16"/>
        </w:rPr>
        <w:t>Programme</w:t>
      </w:r>
      <w:proofErr w:type="spellEnd"/>
      <w:r w:rsidRPr="002A70D1">
        <w:rPr>
          <w:rFonts w:ascii="Cambria" w:hAnsi="Cambria"/>
          <w:color w:val="auto"/>
          <w:sz w:val="16"/>
          <w:szCs w:val="16"/>
        </w:rPr>
        <w:t xml:space="preserve"> of Action</w:t>
      </w:r>
      <w:r w:rsidRPr="00665E60">
        <w:rPr>
          <w:rFonts w:ascii="Cambria" w:hAnsi="Cambria"/>
          <w:color w:val="auto"/>
          <w:sz w:val="16"/>
          <w:szCs w:val="16"/>
        </w:rPr>
        <w:t xml:space="preserve">, </w:t>
      </w:r>
      <w:r w:rsidRPr="00665E60">
        <w:rPr>
          <w:rFonts w:ascii="Cambria" w:hAnsi="Cambria"/>
          <w:sz w:val="16"/>
          <w:szCs w:val="16"/>
        </w:rPr>
        <w:t xml:space="preserve">A/HRC/29/46, </w:t>
      </w:r>
      <w:r>
        <w:rPr>
          <w:rFonts w:ascii="Cambria" w:hAnsi="Cambria"/>
          <w:sz w:val="16"/>
          <w:szCs w:val="16"/>
        </w:rPr>
        <w:t xml:space="preserve">April </w:t>
      </w:r>
      <w:r w:rsidRPr="00665E60">
        <w:rPr>
          <w:rFonts w:ascii="Cambria" w:hAnsi="Cambria"/>
          <w:sz w:val="16"/>
          <w:szCs w:val="16"/>
        </w:rPr>
        <w:t>20</w:t>
      </w:r>
      <w:r>
        <w:rPr>
          <w:rFonts w:ascii="Cambria" w:hAnsi="Cambria"/>
          <w:sz w:val="16"/>
          <w:szCs w:val="16"/>
        </w:rPr>
        <w:t>,</w:t>
      </w:r>
      <w:r w:rsidRPr="00665E60">
        <w:rPr>
          <w:rFonts w:ascii="Cambria" w:hAnsi="Cambria"/>
          <w:sz w:val="16"/>
          <w:szCs w:val="16"/>
        </w:rPr>
        <w:t xml:space="preserve"> 2015, </w:t>
      </w:r>
      <w:r>
        <w:rPr>
          <w:rFonts w:ascii="Cambria" w:hAnsi="Cambria"/>
          <w:color w:val="auto"/>
          <w:sz w:val="16"/>
          <w:szCs w:val="16"/>
        </w:rPr>
        <w:t>para</w:t>
      </w:r>
      <w:r w:rsidRPr="00665E60">
        <w:rPr>
          <w:rFonts w:ascii="Cambria" w:hAnsi="Cambria"/>
          <w:color w:val="auto"/>
          <w:sz w:val="16"/>
          <w:szCs w:val="16"/>
        </w:rPr>
        <w:t>. 63.</w:t>
      </w:r>
      <w:r>
        <w:rPr>
          <w:rFonts w:ascii="Cambria" w:hAnsi="Cambria"/>
          <w:color w:val="auto"/>
          <w:sz w:val="16"/>
          <w:szCs w:val="16"/>
        </w:rPr>
        <w:t xml:space="preserve"> </w:t>
      </w:r>
    </w:p>
  </w:footnote>
  <w:footnote w:id="98">
    <w:p w14:paraId="21C82602"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United Nations</w:t>
      </w:r>
      <w:r w:rsidRPr="00665E60">
        <w:rPr>
          <w:rFonts w:ascii="Cambria" w:hAnsi="Cambria"/>
          <w:color w:val="auto"/>
          <w:sz w:val="16"/>
          <w:szCs w:val="16"/>
        </w:rPr>
        <w:t xml:space="preserve">, </w:t>
      </w:r>
      <w:r>
        <w:rPr>
          <w:rFonts w:ascii="Cambria" w:hAnsi="Cambria"/>
          <w:color w:val="auto"/>
          <w:sz w:val="16"/>
          <w:szCs w:val="16"/>
        </w:rPr>
        <w:t xml:space="preserve">Working Group on Arbitrary Detention, Opinion no. </w:t>
      </w:r>
      <w:r w:rsidRPr="00665E60">
        <w:rPr>
          <w:rFonts w:ascii="Cambria" w:hAnsi="Cambria"/>
          <w:color w:val="auto"/>
          <w:sz w:val="16"/>
          <w:szCs w:val="16"/>
        </w:rPr>
        <w:t xml:space="preserve">58/2016 </w:t>
      </w:r>
      <w:r>
        <w:rPr>
          <w:rFonts w:ascii="Cambria" w:hAnsi="Cambria"/>
          <w:color w:val="auto"/>
          <w:sz w:val="16"/>
          <w:szCs w:val="16"/>
        </w:rPr>
        <w:t xml:space="preserve">re: Paulo </w:t>
      </w:r>
      <w:proofErr w:type="spellStart"/>
      <w:r>
        <w:rPr>
          <w:rFonts w:ascii="Cambria" w:hAnsi="Cambria"/>
          <w:color w:val="auto"/>
          <w:sz w:val="16"/>
          <w:szCs w:val="16"/>
        </w:rPr>
        <w:t>Jenaro</w:t>
      </w:r>
      <w:proofErr w:type="spellEnd"/>
      <w:r>
        <w:rPr>
          <w:rFonts w:ascii="Cambria" w:hAnsi="Cambria"/>
          <w:color w:val="auto"/>
          <w:sz w:val="16"/>
          <w:szCs w:val="16"/>
        </w:rPr>
        <w:t xml:space="preserve"> </w:t>
      </w:r>
      <w:proofErr w:type="spellStart"/>
      <w:r>
        <w:rPr>
          <w:rFonts w:ascii="Cambria" w:hAnsi="Cambria"/>
          <w:color w:val="auto"/>
          <w:sz w:val="16"/>
          <w:szCs w:val="16"/>
        </w:rPr>
        <w:t>Díez</w:t>
      </w:r>
      <w:proofErr w:type="spellEnd"/>
      <w:r>
        <w:rPr>
          <w:rFonts w:ascii="Cambria" w:hAnsi="Cambria"/>
          <w:color w:val="auto"/>
          <w:sz w:val="16"/>
          <w:szCs w:val="16"/>
        </w:rPr>
        <w:t xml:space="preserve"> </w:t>
      </w:r>
      <w:proofErr w:type="spellStart"/>
      <w:r>
        <w:rPr>
          <w:rFonts w:ascii="Cambria" w:hAnsi="Cambria"/>
          <w:color w:val="auto"/>
          <w:sz w:val="16"/>
          <w:szCs w:val="16"/>
        </w:rPr>
        <w:t>Gargari</w:t>
      </w:r>
      <w:proofErr w:type="spellEnd"/>
      <w:r>
        <w:rPr>
          <w:rFonts w:ascii="Cambria" w:hAnsi="Cambria"/>
          <w:color w:val="auto"/>
          <w:sz w:val="16"/>
          <w:szCs w:val="16"/>
        </w:rPr>
        <w:t>, Me</w:t>
      </w:r>
      <w:r w:rsidRPr="00665E60">
        <w:rPr>
          <w:rFonts w:ascii="Cambria" w:hAnsi="Cambria"/>
          <w:color w:val="auto"/>
          <w:sz w:val="16"/>
          <w:szCs w:val="16"/>
        </w:rPr>
        <w:t xml:space="preserve">xico, A/HRC/WGAD/2016/58, </w:t>
      </w:r>
      <w:r>
        <w:rPr>
          <w:rFonts w:ascii="Cambria" w:hAnsi="Cambria"/>
          <w:color w:val="auto"/>
          <w:sz w:val="16"/>
          <w:szCs w:val="16"/>
        </w:rPr>
        <w:t xml:space="preserve">January </w:t>
      </w:r>
      <w:r w:rsidRPr="00665E60">
        <w:rPr>
          <w:rFonts w:ascii="Cambria" w:hAnsi="Cambria"/>
          <w:color w:val="auto"/>
          <w:sz w:val="16"/>
          <w:szCs w:val="16"/>
        </w:rPr>
        <w:t>30</w:t>
      </w:r>
      <w:r>
        <w:rPr>
          <w:rFonts w:ascii="Cambria" w:hAnsi="Cambria"/>
          <w:color w:val="auto"/>
          <w:sz w:val="16"/>
          <w:szCs w:val="16"/>
        </w:rPr>
        <w:t>,</w:t>
      </w:r>
      <w:r w:rsidRPr="00665E60">
        <w:rPr>
          <w:rFonts w:ascii="Cambria" w:hAnsi="Cambria"/>
          <w:color w:val="auto"/>
          <w:sz w:val="16"/>
          <w:szCs w:val="16"/>
        </w:rPr>
        <w:t xml:space="preserve"> 2017, </w:t>
      </w:r>
      <w:r>
        <w:rPr>
          <w:rFonts w:ascii="Cambria" w:hAnsi="Cambria"/>
          <w:color w:val="auto"/>
          <w:sz w:val="16"/>
          <w:szCs w:val="16"/>
        </w:rPr>
        <w:t>para</w:t>
      </w:r>
      <w:r w:rsidRPr="00665E60">
        <w:rPr>
          <w:rFonts w:ascii="Cambria" w:hAnsi="Cambria"/>
          <w:color w:val="auto"/>
          <w:sz w:val="16"/>
          <w:szCs w:val="16"/>
        </w:rPr>
        <w:t>. 19.</w:t>
      </w:r>
    </w:p>
  </w:footnote>
  <w:footnote w:id="99">
    <w:p w14:paraId="1666E1D6"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I/A Court HR</w:t>
      </w:r>
      <w:r w:rsidRPr="00665E60">
        <w:rPr>
          <w:rFonts w:ascii="Cambria" w:hAnsi="Cambria"/>
          <w:color w:val="auto"/>
          <w:sz w:val="16"/>
          <w:szCs w:val="16"/>
        </w:rPr>
        <w:t>.</w:t>
      </w:r>
      <w:r w:rsidRPr="00665E60">
        <w:rPr>
          <w:rFonts w:ascii="Cambria" w:hAnsi="Cambria"/>
          <w:i/>
          <w:color w:val="auto"/>
          <w:sz w:val="16"/>
          <w:szCs w:val="16"/>
        </w:rPr>
        <w:t xml:space="preserve"> </w:t>
      </w:r>
      <w:r>
        <w:rPr>
          <w:rFonts w:ascii="Cambria" w:hAnsi="Cambria"/>
          <w:bCs/>
          <w:i/>
          <w:color w:val="auto"/>
          <w:sz w:val="16"/>
          <w:szCs w:val="16"/>
        </w:rPr>
        <w:t>Case of</w:t>
      </w:r>
      <w:r w:rsidRPr="00665E60">
        <w:rPr>
          <w:rFonts w:ascii="Cambria" w:hAnsi="Cambria"/>
          <w:bCs/>
          <w:i/>
          <w:color w:val="auto"/>
          <w:sz w:val="16"/>
          <w:szCs w:val="16"/>
        </w:rPr>
        <w:t xml:space="preserve"> </w:t>
      </w:r>
      <w:proofErr w:type="spellStart"/>
      <w:r w:rsidRPr="00665E60">
        <w:rPr>
          <w:rFonts w:ascii="Cambria" w:hAnsi="Cambria"/>
          <w:bCs/>
          <w:i/>
          <w:color w:val="auto"/>
          <w:sz w:val="16"/>
          <w:szCs w:val="16"/>
        </w:rPr>
        <w:t>Abrill</w:t>
      </w:r>
      <w:proofErr w:type="spellEnd"/>
      <w:r w:rsidRPr="00665E60">
        <w:rPr>
          <w:rFonts w:ascii="Cambria" w:hAnsi="Cambria"/>
          <w:bCs/>
          <w:i/>
          <w:color w:val="auto"/>
          <w:sz w:val="16"/>
          <w:szCs w:val="16"/>
        </w:rPr>
        <w:t xml:space="preserve"> </w:t>
      </w:r>
      <w:proofErr w:type="spellStart"/>
      <w:r w:rsidRPr="00665E60">
        <w:rPr>
          <w:rFonts w:ascii="Cambria" w:hAnsi="Cambria"/>
          <w:bCs/>
          <w:i/>
          <w:color w:val="auto"/>
          <w:sz w:val="16"/>
          <w:szCs w:val="16"/>
        </w:rPr>
        <w:t>Alosilla</w:t>
      </w:r>
      <w:proofErr w:type="spellEnd"/>
      <w:r w:rsidRPr="00665E60">
        <w:rPr>
          <w:rFonts w:ascii="Cambria" w:hAnsi="Cambria"/>
          <w:bCs/>
          <w:i/>
          <w:color w:val="auto"/>
          <w:sz w:val="16"/>
          <w:szCs w:val="16"/>
        </w:rPr>
        <w:t xml:space="preserve"> </w:t>
      </w:r>
      <w:r>
        <w:rPr>
          <w:rFonts w:ascii="Cambria" w:hAnsi="Cambria"/>
          <w:bCs/>
          <w:i/>
          <w:color w:val="auto"/>
          <w:sz w:val="16"/>
          <w:szCs w:val="16"/>
        </w:rPr>
        <w:t>et al. v. Peru</w:t>
      </w:r>
      <w:r w:rsidRPr="00665E60">
        <w:rPr>
          <w:rFonts w:ascii="Cambria" w:hAnsi="Cambria"/>
          <w:bCs/>
          <w:i/>
          <w:color w:val="auto"/>
          <w:sz w:val="16"/>
          <w:szCs w:val="16"/>
        </w:rPr>
        <w:t xml:space="preserve">. </w:t>
      </w:r>
      <w:r>
        <w:rPr>
          <w:rFonts w:ascii="Cambria" w:hAnsi="Cambria"/>
          <w:color w:val="auto"/>
          <w:sz w:val="16"/>
          <w:szCs w:val="16"/>
        </w:rPr>
        <w:t>Interpretatio</w:t>
      </w:r>
      <w:r w:rsidRPr="00665E60">
        <w:rPr>
          <w:rFonts w:ascii="Cambria" w:hAnsi="Cambria"/>
          <w:color w:val="auto"/>
          <w:sz w:val="16"/>
          <w:szCs w:val="16"/>
        </w:rPr>
        <w:t xml:space="preserve">n </w:t>
      </w:r>
      <w:r>
        <w:rPr>
          <w:rFonts w:ascii="Cambria" w:hAnsi="Cambria"/>
          <w:color w:val="auto"/>
          <w:sz w:val="16"/>
          <w:szCs w:val="16"/>
        </w:rPr>
        <w:t>of the Judgment on the Merits, Reparations and Costs. Judgment of</w:t>
      </w:r>
      <w:r w:rsidRPr="00665E60">
        <w:rPr>
          <w:rFonts w:ascii="Cambria" w:hAnsi="Cambria"/>
          <w:color w:val="auto"/>
          <w:sz w:val="16"/>
          <w:szCs w:val="16"/>
        </w:rPr>
        <w:t xml:space="preserve"> </w:t>
      </w:r>
      <w:r>
        <w:rPr>
          <w:rFonts w:ascii="Cambria" w:hAnsi="Cambria"/>
          <w:color w:val="auto"/>
          <w:sz w:val="16"/>
          <w:szCs w:val="16"/>
        </w:rPr>
        <w:t xml:space="preserve">November </w:t>
      </w:r>
      <w:r w:rsidRPr="00665E60">
        <w:rPr>
          <w:rFonts w:ascii="Cambria" w:hAnsi="Cambria"/>
          <w:color w:val="auto"/>
          <w:sz w:val="16"/>
          <w:szCs w:val="16"/>
        </w:rPr>
        <w:t>21</w:t>
      </w:r>
      <w:r>
        <w:rPr>
          <w:rFonts w:ascii="Cambria" w:hAnsi="Cambria"/>
          <w:color w:val="auto"/>
          <w:sz w:val="16"/>
          <w:szCs w:val="16"/>
        </w:rPr>
        <w:t>,</w:t>
      </w:r>
      <w:r w:rsidRPr="00665E60">
        <w:rPr>
          <w:rFonts w:ascii="Cambria" w:hAnsi="Cambria"/>
          <w:color w:val="auto"/>
          <w:sz w:val="16"/>
          <w:szCs w:val="16"/>
        </w:rPr>
        <w:t xml:space="preserve"> 2011. </w:t>
      </w:r>
      <w:r>
        <w:rPr>
          <w:rFonts w:ascii="Cambria" w:hAnsi="Cambria"/>
          <w:color w:val="auto"/>
          <w:sz w:val="16"/>
          <w:szCs w:val="16"/>
        </w:rPr>
        <w:t>Series C</w:t>
      </w:r>
      <w:r w:rsidRPr="00665E60">
        <w:rPr>
          <w:rFonts w:ascii="Cambria" w:hAnsi="Cambria"/>
          <w:color w:val="auto"/>
          <w:sz w:val="16"/>
          <w:szCs w:val="16"/>
        </w:rPr>
        <w:t xml:space="preserve"> No. 235, </w:t>
      </w:r>
      <w:r>
        <w:rPr>
          <w:rFonts w:ascii="Cambria" w:hAnsi="Cambria"/>
          <w:color w:val="auto"/>
          <w:sz w:val="16"/>
          <w:szCs w:val="16"/>
        </w:rPr>
        <w:t>para</w:t>
      </w:r>
      <w:r w:rsidRPr="00665E60">
        <w:rPr>
          <w:rFonts w:ascii="Cambria" w:hAnsi="Cambria"/>
          <w:color w:val="auto"/>
          <w:sz w:val="16"/>
          <w:szCs w:val="16"/>
        </w:rPr>
        <w:t xml:space="preserve">. </w:t>
      </w:r>
      <w:proofErr w:type="gramStart"/>
      <w:r w:rsidRPr="00665E60">
        <w:rPr>
          <w:rFonts w:ascii="Cambria" w:hAnsi="Cambria"/>
          <w:color w:val="auto"/>
          <w:sz w:val="16"/>
          <w:szCs w:val="16"/>
        </w:rPr>
        <w:t xml:space="preserve">75. </w:t>
      </w:r>
      <w:r>
        <w:rPr>
          <w:rFonts w:ascii="Cambria" w:hAnsi="Cambria"/>
          <w:color w:val="auto"/>
          <w:sz w:val="16"/>
          <w:szCs w:val="16"/>
        </w:rPr>
        <w:t>The cites</w:t>
      </w:r>
      <w:proofErr w:type="gramEnd"/>
      <w:r>
        <w:rPr>
          <w:rFonts w:ascii="Cambria" w:hAnsi="Cambria"/>
          <w:color w:val="auto"/>
          <w:sz w:val="16"/>
          <w:szCs w:val="16"/>
        </w:rPr>
        <w:t xml:space="preserve"> within the original text were omitted. </w:t>
      </w:r>
    </w:p>
  </w:footnote>
  <w:footnote w:id="100">
    <w:p w14:paraId="03F290AF" w14:textId="77777777" w:rsidR="00581210" w:rsidRPr="00665E60" w:rsidRDefault="00581210" w:rsidP="00581210">
      <w:pPr>
        <w:ind w:firstLine="720"/>
        <w:jc w:val="both"/>
        <w:rPr>
          <w:rFonts w:ascii="Cambria" w:hAnsi="Cambria"/>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sz w:val="16"/>
          <w:szCs w:val="16"/>
        </w:rPr>
        <w:t>I/A Court HR</w:t>
      </w:r>
      <w:r w:rsidRPr="00665E60">
        <w:rPr>
          <w:rFonts w:ascii="Cambria" w:hAnsi="Cambria"/>
          <w:sz w:val="16"/>
          <w:szCs w:val="16"/>
        </w:rPr>
        <w:t xml:space="preserve">. </w:t>
      </w:r>
      <w:r>
        <w:rPr>
          <w:rFonts w:ascii="Cambria" w:hAnsi="Cambria"/>
          <w:i/>
          <w:sz w:val="16"/>
          <w:szCs w:val="16"/>
        </w:rPr>
        <w:t>Case of</w:t>
      </w:r>
      <w:r w:rsidRPr="00665E60">
        <w:rPr>
          <w:rFonts w:ascii="Cambria" w:hAnsi="Cambria"/>
          <w:i/>
          <w:sz w:val="16"/>
          <w:szCs w:val="16"/>
        </w:rPr>
        <w:t xml:space="preserve"> </w:t>
      </w:r>
      <w:r>
        <w:rPr>
          <w:rFonts w:ascii="Cambria" w:hAnsi="Cambria"/>
          <w:i/>
          <w:sz w:val="16"/>
          <w:szCs w:val="16"/>
        </w:rPr>
        <w:t xml:space="preserve">the </w:t>
      </w:r>
      <w:proofErr w:type="spellStart"/>
      <w:r w:rsidRPr="00665E60">
        <w:rPr>
          <w:rFonts w:ascii="Cambria" w:hAnsi="Cambria"/>
          <w:i/>
          <w:sz w:val="16"/>
          <w:szCs w:val="16"/>
        </w:rPr>
        <w:t>Yakye</w:t>
      </w:r>
      <w:proofErr w:type="spellEnd"/>
      <w:r w:rsidRPr="00665E60">
        <w:rPr>
          <w:rFonts w:ascii="Cambria" w:hAnsi="Cambria"/>
          <w:i/>
          <w:sz w:val="16"/>
          <w:szCs w:val="16"/>
        </w:rPr>
        <w:t xml:space="preserve"> </w:t>
      </w:r>
      <w:proofErr w:type="spellStart"/>
      <w:r w:rsidRPr="00665E60">
        <w:rPr>
          <w:rFonts w:ascii="Cambria" w:hAnsi="Cambria"/>
          <w:i/>
          <w:sz w:val="16"/>
          <w:szCs w:val="16"/>
        </w:rPr>
        <w:t>Axa</w:t>
      </w:r>
      <w:proofErr w:type="spellEnd"/>
      <w:r w:rsidRPr="00665E60">
        <w:rPr>
          <w:rFonts w:ascii="Cambria" w:hAnsi="Cambria"/>
          <w:i/>
          <w:sz w:val="16"/>
          <w:szCs w:val="16"/>
        </w:rPr>
        <w:t xml:space="preserve"> </w:t>
      </w:r>
      <w:r>
        <w:rPr>
          <w:rFonts w:ascii="Cambria" w:hAnsi="Cambria"/>
          <w:i/>
          <w:sz w:val="16"/>
          <w:szCs w:val="16"/>
        </w:rPr>
        <w:t>Indigenous Community v</w:t>
      </w:r>
      <w:r w:rsidRPr="00665E60">
        <w:rPr>
          <w:rFonts w:ascii="Cambria" w:hAnsi="Cambria"/>
          <w:i/>
          <w:sz w:val="16"/>
          <w:szCs w:val="16"/>
        </w:rPr>
        <w:t>. Paraguay</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June </w:t>
      </w:r>
      <w:r w:rsidRPr="00665E60">
        <w:rPr>
          <w:rFonts w:ascii="Cambria" w:hAnsi="Cambria"/>
          <w:sz w:val="16"/>
          <w:szCs w:val="16"/>
        </w:rPr>
        <w:t>17</w:t>
      </w:r>
      <w:r>
        <w:rPr>
          <w:rFonts w:ascii="Cambria" w:hAnsi="Cambria"/>
          <w:sz w:val="16"/>
          <w:szCs w:val="16"/>
        </w:rPr>
        <w:t>,</w:t>
      </w:r>
      <w:r w:rsidRPr="00665E60">
        <w:rPr>
          <w:rFonts w:ascii="Cambria" w:hAnsi="Cambria"/>
          <w:sz w:val="16"/>
          <w:szCs w:val="16"/>
        </w:rPr>
        <w:t xml:space="preserve"> 2005. </w:t>
      </w:r>
      <w:r>
        <w:rPr>
          <w:rFonts w:ascii="Cambria" w:hAnsi="Cambria"/>
          <w:sz w:val="16"/>
          <w:szCs w:val="16"/>
        </w:rPr>
        <w:t>Series C</w:t>
      </w:r>
      <w:r w:rsidRPr="00665E60">
        <w:rPr>
          <w:rFonts w:ascii="Cambria" w:hAnsi="Cambria"/>
          <w:sz w:val="16"/>
          <w:szCs w:val="16"/>
        </w:rPr>
        <w:t xml:space="preserve"> No. 125, </w:t>
      </w:r>
      <w:r>
        <w:rPr>
          <w:rFonts w:ascii="Cambria" w:hAnsi="Cambria"/>
          <w:sz w:val="16"/>
          <w:szCs w:val="16"/>
        </w:rPr>
        <w:t>para</w:t>
      </w:r>
      <w:r w:rsidRPr="00665E60">
        <w:rPr>
          <w:rFonts w:ascii="Cambria" w:hAnsi="Cambria"/>
          <w:sz w:val="16"/>
          <w:szCs w:val="16"/>
        </w:rPr>
        <w:t xml:space="preserve">. 61; </w:t>
      </w:r>
      <w:r>
        <w:rPr>
          <w:rFonts w:ascii="Cambria" w:hAnsi="Cambria"/>
          <w:sz w:val="16"/>
          <w:szCs w:val="16"/>
        </w:rPr>
        <w:t>I/A Court HR</w:t>
      </w:r>
      <w:r w:rsidRPr="00665E60">
        <w:rPr>
          <w:rFonts w:ascii="Cambria" w:hAnsi="Cambria"/>
          <w:sz w:val="16"/>
          <w:szCs w:val="16"/>
        </w:rPr>
        <w:t xml:space="preserve">. </w:t>
      </w:r>
      <w:r>
        <w:rPr>
          <w:rFonts w:ascii="Cambria" w:hAnsi="Cambria"/>
          <w:i/>
          <w:sz w:val="16"/>
          <w:szCs w:val="16"/>
        </w:rPr>
        <w:t>Case of</w:t>
      </w:r>
      <w:r w:rsidRPr="00665E60">
        <w:rPr>
          <w:rFonts w:ascii="Cambria" w:hAnsi="Cambria"/>
          <w:i/>
          <w:sz w:val="16"/>
          <w:szCs w:val="16"/>
        </w:rPr>
        <w:t xml:space="preserve"> “</w:t>
      </w:r>
      <w:r>
        <w:rPr>
          <w:rFonts w:ascii="Cambria" w:hAnsi="Cambria"/>
          <w:i/>
          <w:sz w:val="16"/>
          <w:szCs w:val="16"/>
        </w:rPr>
        <w:t>Five Pensioners” v. Peru</w:t>
      </w:r>
      <w:r w:rsidRPr="00665E60">
        <w:rPr>
          <w:rFonts w:ascii="Cambria" w:hAnsi="Cambria"/>
          <w:i/>
          <w:sz w:val="16"/>
          <w:szCs w:val="16"/>
        </w:rPr>
        <w:t>.</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February </w:t>
      </w:r>
      <w:r w:rsidRPr="00665E60">
        <w:rPr>
          <w:rFonts w:ascii="Cambria" w:hAnsi="Cambria"/>
          <w:sz w:val="16"/>
          <w:szCs w:val="16"/>
        </w:rPr>
        <w:t>28</w:t>
      </w:r>
      <w:r>
        <w:rPr>
          <w:rFonts w:ascii="Cambria" w:hAnsi="Cambria"/>
          <w:sz w:val="16"/>
          <w:szCs w:val="16"/>
        </w:rPr>
        <w:t>,</w:t>
      </w:r>
      <w:r w:rsidRPr="00665E60">
        <w:rPr>
          <w:rFonts w:ascii="Cambria" w:hAnsi="Cambria"/>
          <w:sz w:val="16"/>
          <w:szCs w:val="16"/>
        </w:rPr>
        <w:t xml:space="preserve"> 2003. </w:t>
      </w:r>
      <w:r>
        <w:rPr>
          <w:rFonts w:ascii="Cambria" w:hAnsi="Cambria"/>
          <w:sz w:val="16"/>
          <w:szCs w:val="16"/>
        </w:rPr>
        <w:t>Series C</w:t>
      </w:r>
      <w:r w:rsidRPr="00665E60">
        <w:rPr>
          <w:rFonts w:ascii="Cambria" w:hAnsi="Cambria"/>
          <w:sz w:val="16"/>
          <w:szCs w:val="16"/>
        </w:rPr>
        <w:t xml:space="preserve"> No. 98, </w:t>
      </w:r>
      <w:r>
        <w:rPr>
          <w:rFonts w:ascii="Cambria" w:hAnsi="Cambria"/>
          <w:sz w:val="16"/>
          <w:szCs w:val="16"/>
        </w:rPr>
        <w:t>para. 136, and</w:t>
      </w:r>
      <w:r w:rsidRPr="00665E60">
        <w:rPr>
          <w:rFonts w:ascii="Cambria" w:hAnsi="Cambria"/>
          <w:sz w:val="16"/>
          <w:szCs w:val="16"/>
        </w:rPr>
        <w:t xml:space="preserve"> </w:t>
      </w:r>
      <w:r>
        <w:rPr>
          <w:rFonts w:ascii="Cambria" w:hAnsi="Cambria"/>
          <w:sz w:val="16"/>
          <w:szCs w:val="16"/>
        </w:rPr>
        <w:t>I/A Court HR</w:t>
      </w:r>
      <w:r w:rsidRPr="00665E60">
        <w:rPr>
          <w:rFonts w:ascii="Cambria" w:hAnsi="Cambria"/>
          <w:sz w:val="16"/>
          <w:szCs w:val="16"/>
        </w:rPr>
        <w:t xml:space="preserve">. </w:t>
      </w:r>
      <w:r>
        <w:rPr>
          <w:rFonts w:ascii="Cambria" w:hAnsi="Cambria"/>
          <w:i/>
          <w:sz w:val="16"/>
          <w:szCs w:val="16"/>
        </w:rPr>
        <w:t>Case of</w:t>
      </w:r>
      <w:r w:rsidRPr="00665E60">
        <w:rPr>
          <w:rFonts w:ascii="Cambria" w:hAnsi="Cambria"/>
          <w:i/>
          <w:sz w:val="16"/>
          <w:szCs w:val="16"/>
        </w:rPr>
        <w:t xml:space="preserve"> </w:t>
      </w:r>
      <w:r>
        <w:rPr>
          <w:rFonts w:ascii="Cambria" w:hAnsi="Cambria"/>
          <w:i/>
          <w:sz w:val="16"/>
          <w:szCs w:val="16"/>
        </w:rPr>
        <w:t xml:space="preserve">the </w:t>
      </w:r>
      <w:proofErr w:type="spellStart"/>
      <w:r w:rsidRPr="00665E60">
        <w:rPr>
          <w:rFonts w:ascii="Cambria" w:hAnsi="Cambria"/>
          <w:i/>
          <w:sz w:val="16"/>
          <w:szCs w:val="16"/>
        </w:rPr>
        <w:t>Awas</w:t>
      </w:r>
      <w:proofErr w:type="spellEnd"/>
      <w:r w:rsidRPr="00665E60">
        <w:rPr>
          <w:rFonts w:ascii="Cambria" w:hAnsi="Cambria"/>
          <w:i/>
          <w:sz w:val="16"/>
          <w:szCs w:val="16"/>
        </w:rPr>
        <w:t xml:space="preserve"> </w:t>
      </w:r>
      <w:proofErr w:type="spellStart"/>
      <w:r w:rsidRPr="00665E60">
        <w:rPr>
          <w:rFonts w:ascii="Cambria" w:hAnsi="Cambria"/>
          <w:i/>
          <w:sz w:val="16"/>
          <w:szCs w:val="16"/>
        </w:rPr>
        <w:t>Tingni</w:t>
      </w:r>
      <w:proofErr w:type="spellEnd"/>
      <w:r w:rsidRPr="00665E60">
        <w:rPr>
          <w:rFonts w:ascii="Cambria" w:hAnsi="Cambria"/>
          <w:i/>
          <w:sz w:val="16"/>
          <w:szCs w:val="16"/>
        </w:rPr>
        <w:t xml:space="preserve"> </w:t>
      </w:r>
      <w:proofErr w:type="spellStart"/>
      <w:r w:rsidRPr="00665E60">
        <w:rPr>
          <w:rFonts w:ascii="Cambria" w:hAnsi="Cambria"/>
          <w:i/>
          <w:sz w:val="16"/>
          <w:szCs w:val="16"/>
        </w:rPr>
        <w:t>Mayagna</w:t>
      </w:r>
      <w:proofErr w:type="spellEnd"/>
      <w:r w:rsidRPr="00665E60">
        <w:rPr>
          <w:rFonts w:ascii="Cambria" w:hAnsi="Cambria"/>
          <w:i/>
          <w:sz w:val="16"/>
          <w:szCs w:val="16"/>
        </w:rPr>
        <w:t xml:space="preserve"> (Sumo) </w:t>
      </w:r>
      <w:r>
        <w:rPr>
          <w:rFonts w:ascii="Cambria" w:hAnsi="Cambria"/>
          <w:i/>
          <w:sz w:val="16"/>
          <w:szCs w:val="16"/>
        </w:rPr>
        <w:t>Community v</w:t>
      </w:r>
      <w:r w:rsidRPr="00665E60">
        <w:rPr>
          <w:rFonts w:ascii="Cambria" w:hAnsi="Cambria"/>
          <w:i/>
          <w:sz w:val="16"/>
          <w:szCs w:val="16"/>
        </w:rPr>
        <w:t>. Nicaragua.</w:t>
      </w:r>
      <w:r w:rsidRPr="00665E60">
        <w:rPr>
          <w:rFonts w:ascii="Cambria" w:hAnsi="Cambria"/>
          <w:sz w:val="16"/>
          <w:szCs w:val="16"/>
        </w:rPr>
        <w:t xml:space="preserve"> </w:t>
      </w:r>
      <w:r>
        <w:rPr>
          <w:rFonts w:ascii="Cambria" w:hAnsi="Cambria"/>
          <w:sz w:val="16"/>
          <w:szCs w:val="16"/>
        </w:rPr>
        <w:t>Judgment of</w:t>
      </w:r>
      <w:r w:rsidRPr="00665E60">
        <w:rPr>
          <w:rFonts w:ascii="Cambria" w:hAnsi="Cambria"/>
          <w:sz w:val="16"/>
          <w:szCs w:val="16"/>
        </w:rPr>
        <w:t xml:space="preserve"> </w:t>
      </w:r>
      <w:r>
        <w:rPr>
          <w:rFonts w:ascii="Cambria" w:hAnsi="Cambria"/>
          <w:sz w:val="16"/>
          <w:szCs w:val="16"/>
        </w:rPr>
        <w:t xml:space="preserve">August </w:t>
      </w:r>
      <w:r w:rsidRPr="00665E60">
        <w:rPr>
          <w:rFonts w:ascii="Cambria" w:hAnsi="Cambria"/>
          <w:sz w:val="16"/>
          <w:szCs w:val="16"/>
        </w:rPr>
        <w:t>31</w:t>
      </w:r>
      <w:r>
        <w:rPr>
          <w:rFonts w:ascii="Cambria" w:hAnsi="Cambria"/>
          <w:sz w:val="16"/>
          <w:szCs w:val="16"/>
        </w:rPr>
        <w:t>,</w:t>
      </w:r>
      <w:r w:rsidRPr="00665E60">
        <w:rPr>
          <w:rFonts w:ascii="Cambria" w:hAnsi="Cambria"/>
          <w:sz w:val="16"/>
          <w:szCs w:val="16"/>
        </w:rPr>
        <w:t xml:space="preserve"> 2001. </w:t>
      </w:r>
      <w:r>
        <w:rPr>
          <w:rFonts w:ascii="Cambria" w:hAnsi="Cambria"/>
          <w:sz w:val="16"/>
          <w:szCs w:val="16"/>
        </w:rPr>
        <w:t>Series C</w:t>
      </w:r>
      <w:r w:rsidRPr="00665E60">
        <w:rPr>
          <w:rFonts w:ascii="Cambria" w:hAnsi="Cambria"/>
          <w:sz w:val="16"/>
          <w:szCs w:val="16"/>
        </w:rPr>
        <w:t xml:space="preserve"> No. 79, </w:t>
      </w:r>
      <w:r>
        <w:rPr>
          <w:rFonts w:ascii="Cambria" w:hAnsi="Cambria"/>
          <w:sz w:val="16"/>
          <w:szCs w:val="16"/>
        </w:rPr>
        <w:t>para</w:t>
      </w:r>
      <w:r w:rsidRPr="00665E60">
        <w:rPr>
          <w:rFonts w:ascii="Cambria" w:hAnsi="Cambria"/>
          <w:sz w:val="16"/>
          <w:szCs w:val="16"/>
        </w:rPr>
        <w:t>. 113.</w:t>
      </w:r>
    </w:p>
  </w:footnote>
  <w:footnote w:id="101">
    <w:p w14:paraId="0BA5370F"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IACHR</w:t>
      </w:r>
      <w:r w:rsidRPr="00665E60">
        <w:rPr>
          <w:rFonts w:ascii="Cambria" w:hAnsi="Cambria"/>
          <w:color w:val="auto"/>
          <w:sz w:val="16"/>
          <w:szCs w:val="16"/>
        </w:rPr>
        <w:t xml:space="preserve">, </w:t>
      </w:r>
      <w:r>
        <w:rPr>
          <w:rFonts w:ascii="Cambria" w:hAnsi="Cambria"/>
          <w:color w:val="auto"/>
          <w:sz w:val="16"/>
          <w:szCs w:val="16"/>
        </w:rPr>
        <w:t xml:space="preserve">Application before </w:t>
      </w:r>
      <w:proofErr w:type="gramStart"/>
      <w:r>
        <w:rPr>
          <w:rFonts w:ascii="Cambria" w:hAnsi="Cambria"/>
          <w:color w:val="auto"/>
          <w:sz w:val="16"/>
          <w:szCs w:val="16"/>
        </w:rPr>
        <w:t>the I</w:t>
      </w:r>
      <w:proofErr w:type="gramEnd"/>
      <w:r>
        <w:rPr>
          <w:rFonts w:ascii="Cambria" w:hAnsi="Cambria"/>
          <w:color w:val="auto"/>
          <w:sz w:val="16"/>
          <w:szCs w:val="16"/>
        </w:rPr>
        <w:t>/A Court HR</w:t>
      </w:r>
      <w:r w:rsidRPr="00665E60">
        <w:rPr>
          <w:rFonts w:ascii="Cambria" w:hAnsi="Cambria"/>
          <w:color w:val="auto"/>
          <w:sz w:val="16"/>
          <w:szCs w:val="16"/>
        </w:rPr>
        <w:t xml:space="preserve">, Walter David </w:t>
      </w:r>
      <w:proofErr w:type="spellStart"/>
      <w:r w:rsidRPr="00665E60">
        <w:rPr>
          <w:rFonts w:ascii="Cambria" w:hAnsi="Cambria"/>
          <w:color w:val="auto"/>
          <w:sz w:val="16"/>
          <w:szCs w:val="16"/>
        </w:rPr>
        <w:t>Bulacio</w:t>
      </w:r>
      <w:proofErr w:type="spellEnd"/>
      <w:r w:rsidRPr="00665E60">
        <w:rPr>
          <w:rFonts w:ascii="Cambria" w:hAnsi="Cambria"/>
          <w:color w:val="auto"/>
          <w:sz w:val="16"/>
          <w:szCs w:val="16"/>
        </w:rPr>
        <w:t xml:space="preserve">, Argentina, </w:t>
      </w:r>
      <w:r>
        <w:rPr>
          <w:rFonts w:ascii="Cambria" w:hAnsi="Cambria"/>
          <w:color w:val="auto"/>
          <w:sz w:val="16"/>
          <w:szCs w:val="16"/>
        </w:rPr>
        <w:t xml:space="preserve">January </w:t>
      </w:r>
      <w:r w:rsidRPr="00665E60">
        <w:rPr>
          <w:rFonts w:ascii="Cambria" w:hAnsi="Cambria"/>
          <w:color w:val="auto"/>
          <w:sz w:val="16"/>
          <w:szCs w:val="16"/>
        </w:rPr>
        <w:t>24</w:t>
      </w:r>
      <w:r>
        <w:rPr>
          <w:rFonts w:ascii="Cambria" w:hAnsi="Cambria"/>
          <w:color w:val="auto"/>
          <w:sz w:val="16"/>
          <w:szCs w:val="16"/>
        </w:rPr>
        <w:t>,</w:t>
      </w:r>
      <w:r w:rsidRPr="00665E60">
        <w:rPr>
          <w:rFonts w:ascii="Cambria" w:hAnsi="Cambria"/>
          <w:color w:val="auto"/>
          <w:sz w:val="16"/>
          <w:szCs w:val="16"/>
        </w:rPr>
        <w:t xml:space="preserve"> 2001, </w:t>
      </w:r>
      <w:r>
        <w:rPr>
          <w:rFonts w:ascii="Cambria" w:hAnsi="Cambria"/>
          <w:color w:val="auto"/>
          <w:sz w:val="16"/>
          <w:szCs w:val="16"/>
        </w:rPr>
        <w:t>para</w:t>
      </w:r>
      <w:r w:rsidRPr="00665E60">
        <w:rPr>
          <w:rFonts w:ascii="Cambria" w:hAnsi="Cambria"/>
          <w:color w:val="auto"/>
          <w:sz w:val="16"/>
          <w:szCs w:val="16"/>
        </w:rPr>
        <w:t>. 79.</w:t>
      </w:r>
    </w:p>
  </w:footnote>
  <w:footnote w:id="102">
    <w:p w14:paraId="5C3DF7BD" w14:textId="77777777" w:rsidR="00581210" w:rsidRPr="00665E60" w:rsidRDefault="00581210" w:rsidP="00581210">
      <w:pPr>
        <w:pStyle w:val="FootnoteText"/>
        <w:ind w:firstLine="720"/>
        <w:jc w:val="both"/>
        <w:rPr>
          <w:rFonts w:ascii="Cambria" w:hAnsi="Cambria"/>
          <w:color w:val="auto"/>
          <w:sz w:val="16"/>
          <w:szCs w:val="16"/>
        </w:rPr>
      </w:pPr>
      <w:r w:rsidRPr="00665E60">
        <w:rPr>
          <w:rStyle w:val="FootnoteReference"/>
          <w:rFonts w:ascii="Cambria" w:hAnsi="Cambria"/>
          <w:color w:val="auto"/>
          <w:sz w:val="16"/>
          <w:szCs w:val="16"/>
        </w:rPr>
        <w:footnoteRef/>
      </w:r>
      <w:r w:rsidRPr="00665E60">
        <w:rPr>
          <w:rFonts w:ascii="Cambria" w:hAnsi="Cambria"/>
          <w:color w:val="auto"/>
          <w:sz w:val="16"/>
          <w:szCs w:val="16"/>
        </w:rPr>
        <w:t xml:space="preserve"> </w:t>
      </w:r>
      <w:r>
        <w:rPr>
          <w:rFonts w:ascii="Cambria" w:hAnsi="Cambria"/>
          <w:color w:val="auto"/>
          <w:sz w:val="16"/>
          <w:szCs w:val="16"/>
        </w:rPr>
        <w:t>IACHR</w:t>
      </w:r>
      <w:r w:rsidRPr="00665E60">
        <w:rPr>
          <w:rFonts w:ascii="Cambria" w:hAnsi="Cambria"/>
          <w:color w:val="auto"/>
          <w:sz w:val="16"/>
          <w:szCs w:val="16"/>
        </w:rPr>
        <w:t xml:space="preserve">, </w:t>
      </w:r>
      <w:r>
        <w:rPr>
          <w:rFonts w:ascii="Cambria" w:hAnsi="Cambria"/>
          <w:color w:val="auto"/>
          <w:sz w:val="16"/>
          <w:szCs w:val="16"/>
        </w:rPr>
        <w:t xml:space="preserve">Application before </w:t>
      </w:r>
      <w:proofErr w:type="gramStart"/>
      <w:r>
        <w:rPr>
          <w:rFonts w:ascii="Cambria" w:hAnsi="Cambria"/>
          <w:color w:val="auto"/>
          <w:sz w:val="16"/>
          <w:szCs w:val="16"/>
        </w:rPr>
        <w:t>the I</w:t>
      </w:r>
      <w:proofErr w:type="gramEnd"/>
      <w:r>
        <w:rPr>
          <w:rFonts w:ascii="Cambria" w:hAnsi="Cambria"/>
          <w:color w:val="auto"/>
          <w:sz w:val="16"/>
          <w:szCs w:val="16"/>
        </w:rPr>
        <w:t>/A Court HR</w:t>
      </w:r>
      <w:r w:rsidRPr="00665E60">
        <w:rPr>
          <w:rFonts w:ascii="Cambria" w:hAnsi="Cambria"/>
          <w:color w:val="auto"/>
          <w:sz w:val="16"/>
          <w:szCs w:val="16"/>
        </w:rPr>
        <w:t xml:space="preserve">, Walter David </w:t>
      </w:r>
      <w:proofErr w:type="spellStart"/>
      <w:r w:rsidRPr="00665E60">
        <w:rPr>
          <w:rFonts w:ascii="Cambria" w:hAnsi="Cambria"/>
          <w:color w:val="auto"/>
          <w:sz w:val="16"/>
          <w:szCs w:val="16"/>
        </w:rPr>
        <w:t>Bulacio</w:t>
      </w:r>
      <w:proofErr w:type="spellEnd"/>
      <w:r w:rsidRPr="00665E60">
        <w:rPr>
          <w:rFonts w:ascii="Cambria" w:hAnsi="Cambria"/>
          <w:color w:val="auto"/>
          <w:sz w:val="16"/>
          <w:szCs w:val="16"/>
        </w:rPr>
        <w:t xml:space="preserve">, Argentina, </w:t>
      </w:r>
      <w:r>
        <w:rPr>
          <w:rFonts w:ascii="Cambria" w:hAnsi="Cambria"/>
          <w:color w:val="auto"/>
          <w:sz w:val="16"/>
          <w:szCs w:val="16"/>
        </w:rPr>
        <w:t xml:space="preserve">January </w:t>
      </w:r>
      <w:r w:rsidRPr="00665E60">
        <w:rPr>
          <w:rFonts w:ascii="Cambria" w:hAnsi="Cambria"/>
          <w:color w:val="auto"/>
          <w:sz w:val="16"/>
          <w:szCs w:val="16"/>
        </w:rPr>
        <w:t>24</w:t>
      </w:r>
      <w:r>
        <w:rPr>
          <w:rFonts w:ascii="Cambria" w:hAnsi="Cambria"/>
          <w:color w:val="auto"/>
          <w:sz w:val="16"/>
          <w:szCs w:val="16"/>
        </w:rPr>
        <w:t>,</w:t>
      </w:r>
      <w:r w:rsidRPr="00665E60">
        <w:rPr>
          <w:rFonts w:ascii="Cambria" w:hAnsi="Cambria"/>
          <w:color w:val="auto"/>
          <w:sz w:val="16"/>
          <w:szCs w:val="16"/>
        </w:rPr>
        <w:t xml:space="preserve"> 2001, </w:t>
      </w:r>
      <w:r>
        <w:rPr>
          <w:rFonts w:ascii="Cambria" w:hAnsi="Cambria"/>
          <w:color w:val="auto"/>
          <w:sz w:val="16"/>
          <w:szCs w:val="16"/>
        </w:rPr>
        <w:t>para</w:t>
      </w:r>
      <w:r w:rsidRPr="00665E60">
        <w:rPr>
          <w:rFonts w:ascii="Cambria" w:hAnsi="Cambria"/>
          <w:color w:val="auto"/>
          <w:sz w:val="16"/>
          <w:szCs w:val="16"/>
        </w:rPr>
        <w:t>. 79.</w:t>
      </w:r>
    </w:p>
  </w:footnote>
  <w:footnote w:id="103">
    <w:p w14:paraId="5055FDD4" w14:textId="636DA301" w:rsidR="00581210" w:rsidRPr="00665E60" w:rsidRDefault="00581210" w:rsidP="00581210">
      <w:pPr>
        <w:pStyle w:val="FootnoteText"/>
        <w:ind w:firstLine="720"/>
        <w:jc w:val="both"/>
        <w:rPr>
          <w:rFonts w:ascii="Cambria" w:hAnsi="Cambria"/>
          <w:sz w:val="16"/>
          <w:szCs w:val="16"/>
        </w:rPr>
      </w:pPr>
      <w:r w:rsidRPr="00665E60">
        <w:rPr>
          <w:rStyle w:val="FootnoteReference"/>
          <w:rFonts w:ascii="Cambria" w:hAnsi="Cambria"/>
          <w:sz w:val="16"/>
          <w:szCs w:val="16"/>
        </w:rPr>
        <w:footnoteRef/>
      </w:r>
      <w:r w:rsidRPr="00665E60">
        <w:rPr>
          <w:rFonts w:ascii="Cambria" w:hAnsi="Cambria"/>
          <w:sz w:val="16"/>
          <w:szCs w:val="16"/>
        </w:rPr>
        <w:t xml:space="preserve"> </w:t>
      </w:r>
      <w:r>
        <w:rPr>
          <w:rFonts w:ascii="Cambria" w:hAnsi="Cambria"/>
          <w:sz w:val="16"/>
          <w:szCs w:val="16"/>
        </w:rPr>
        <w:t>ECtHR</w:t>
      </w:r>
      <w:r w:rsidRPr="00665E60">
        <w:rPr>
          <w:rFonts w:ascii="Cambria" w:hAnsi="Cambria"/>
          <w:sz w:val="16"/>
          <w:szCs w:val="16"/>
        </w:rPr>
        <w:t xml:space="preserve">. Case </w:t>
      </w:r>
      <w:r w:rsidRPr="00665E60">
        <w:rPr>
          <w:rFonts w:ascii="Cambria" w:hAnsi="Cambria"/>
          <w:iCs/>
          <w:sz w:val="16"/>
          <w:szCs w:val="16"/>
        </w:rPr>
        <w:t>Ilgar Mammadov v. Azerbaijan</w:t>
      </w:r>
      <w:r w:rsidRPr="00665E60">
        <w:rPr>
          <w:rFonts w:ascii="Cambria" w:hAnsi="Cambria" w:cs="TimesNewRomanPSMT"/>
          <w:sz w:val="16"/>
          <w:szCs w:val="16"/>
        </w:rPr>
        <w:t xml:space="preserve">. </w:t>
      </w:r>
      <w:r>
        <w:rPr>
          <w:rFonts w:ascii="Cambria" w:hAnsi="Cambria" w:cs="TimesNewRomanPSMT"/>
          <w:sz w:val="16"/>
          <w:szCs w:val="16"/>
        </w:rPr>
        <w:t xml:space="preserve">Judgment of </w:t>
      </w:r>
      <w:r w:rsidR="008C0B65">
        <w:rPr>
          <w:rFonts w:ascii="Cambria" w:hAnsi="Cambria" w:cs="TimesNewRomanPSMT"/>
          <w:sz w:val="16"/>
          <w:szCs w:val="16"/>
        </w:rPr>
        <w:t>May 22, 2014, para.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FCBE" w14:textId="77777777" w:rsidR="00581210" w:rsidRDefault="00581210" w:rsidP="00EF1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3F4F903" w14:textId="77777777" w:rsidR="00581210" w:rsidRDefault="00581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0D3C" w14:textId="77777777" w:rsidR="00581210" w:rsidRDefault="00581210" w:rsidP="002C1641">
    <w:pPr>
      <w:pStyle w:val="Header"/>
      <w:tabs>
        <w:tab w:val="clear" w:pos="4320"/>
        <w:tab w:val="clear" w:pos="8640"/>
      </w:tabs>
      <w:jc w:val="center"/>
      <w:rPr>
        <w:sz w:val="22"/>
        <w:szCs w:val="22"/>
      </w:rPr>
    </w:pPr>
    <w:r>
      <w:rPr>
        <w:noProof/>
        <w:sz w:val="22"/>
        <w:szCs w:val="22"/>
        <w:lang w:val="es-ES" w:eastAsia="es-ES"/>
      </w:rPr>
      <w:drawing>
        <wp:inline distT="0" distB="0" distL="0" distR="0" wp14:anchorId="481DDDF0" wp14:editId="3CD81D06">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4294AF" w14:textId="77777777" w:rsidR="00581210" w:rsidRPr="00EC7D62" w:rsidRDefault="00581210" w:rsidP="002C1641">
    <w:pPr>
      <w:pStyle w:val="Header"/>
      <w:tabs>
        <w:tab w:val="clear" w:pos="4320"/>
        <w:tab w:val="clear" w:pos="8640"/>
      </w:tabs>
      <w:jc w:val="center"/>
      <w:rPr>
        <w:sz w:val="22"/>
        <w:szCs w:val="22"/>
      </w:rPr>
    </w:pPr>
    <w:r>
      <w:rPr>
        <w:sz w:val="22"/>
        <w:szCs w:val="22"/>
      </w:rPr>
      <w:pict w14:anchorId="49DE4B0B">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9050020"/>
    <w:multiLevelType w:val="hybridMultilevel"/>
    <w:tmpl w:val="69D48486"/>
    <w:lvl w:ilvl="0" w:tplc="57BAD2D0">
      <w:start w:val="1"/>
      <w:numFmt w:val="decimal"/>
      <w:lvlText w:val="%1."/>
      <w:lvlJc w:val="left"/>
      <w:pPr>
        <w:tabs>
          <w:tab w:val="num" w:pos="1429"/>
        </w:tabs>
        <w:ind w:firstLine="720"/>
      </w:pPr>
      <w:rPr>
        <w:rFonts w:ascii="Cambria" w:hAnsi="Cambria" w:cs="Times New Roman" w:hint="default"/>
        <w:b w:val="0"/>
        <w:i w:val="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8A4B09"/>
    <w:multiLevelType w:val="hybridMultilevel"/>
    <w:tmpl w:val="1074A090"/>
    <w:lvl w:ilvl="0" w:tplc="66ECC80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1077DE8"/>
    <w:multiLevelType w:val="hybridMultilevel"/>
    <w:tmpl w:val="4072D0F2"/>
    <w:lvl w:ilvl="0" w:tplc="5210882E">
      <w:start w:val="1"/>
      <w:numFmt w:val="upperLetter"/>
      <w:pStyle w:val="Heading2"/>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3258CAC6">
      <w:start w:val="1"/>
      <w:numFmt w:val="decimal"/>
      <w:lvlText w:val="%4."/>
      <w:lvlJc w:val="left"/>
      <w:pPr>
        <w:ind w:left="3087" w:hanging="360"/>
      </w:pPr>
      <w:rPr>
        <w:b/>
      </w:r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84482F"/>
    <w:multiLevelType w:val="hybridMultilevel"/>
    <w:tmpl w:val="37CC1D8A"/>
    <w:lvl w:ilvl="0" w:tplc="134217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C1382272"/>
    <w:lvl w:ilvl="0" w:tplc="B69AD14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4"/>
  </w:num>
  <w:num w:numId="83">
    <w:abstractNumId w:val="45"/>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2"/>
  </w:num>
  <w:num w:numId="95">
    <w:abstractNumId w:val="46"/>
  </w:num>
  <w:num w:numId="96">
    <w:abstractNumId w:val="56"/>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5"/>
  </w:num>
  <w:num w:numId="104">
    <w:abstractNumId w:val="7"/>
  </w:num>
  <w:num w:numId="105">
    <w:abstractNumId w:val="33"/>
  </w:num>
  <w:num w:numId="106">
    <w:abstractNumId w:val="33"/>
    <w:lvlOverride w:ilvl="0">
      <w:startOverride w:val="1"/>
    </w:lvlOverride>
  </w:num>
  <w:num w:numId="107">
    <w:abstractNumId w:val="11"/>
  </w:num>
  <w:num w:numId="108">
    <w:abstractNumId w:val="43"/>
  </w:num>
  <w:num w:numId="109">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201"/>
    <w:rsid w:val="0000036F"/>
    <w:rsid w:val="00000CDA"/>
    <w:rsid w:val="00000EA2"/>
    <w:rsid w:val="000070D7"/>
    <w:rsid w:val="000111A8"/>
    <w:rsid w:val="00014FCE"/>
    <w:rsid w:val="0001788C"/>
    <w:rsid w:val="000246E7"/>
    <w:rsid w:val="00024CE6"/>
    <w:rsid w:val="00036A8A"/>
    <w:rsid w:val="00040C3A"/>
    <w:rsid w:val="0005506D"/>
    <w:rsid w:val="000604B5"/>
    <w:rsid w:val="000639C0"/>
    <w:rsid w:val="00070F3A"/>
    <w:rsid w:val="000716C5"/>
    <w:rsid w:val="00075E23"/>
    <w:rsid w:val="000768F2"/>
    <w:rsid w:val="00092F32"/>
    <w:rsid w:val="0009344A"/>
    <w:rsid w:val="000A575F"/>
    <w:rsid w:val="000D10DB"/>
    <w:rsid w:val="000E5EBA"/>
    <w:rsid w:val="000F4698"/>
    <w:rsid w:val="0010788D"/>
    <w:rsid w:val="00121B46"/>
    <w:rsid w:val="0013104F"/>
    <w:rsid w:val="00137EBA"/>
    <w:rsid w:val="00145EDC"/>
    <w:rsid w:val="00150A1F"/>
    <w:rsid w:val="00167461"/>
    <w:rsid w:val="00167A34"/>
    <w:rsid w:val="001771DA"/>
    <w:rsid w:val="0018037F"/>
    <w:rsid w:val="00196AD1"/>
    <w:rsid w:val="001A5F27"/>
    <w:rsid w:val="001A7870"/>
    <w:rsid w:val="001C1B41"/>
    <w:rsid w:val="001C38D9"/>
    <w:rsid w:val="0020633F"/>
    <w:rsid w:val="00210E0E"/>
    <w:rsid w:val="002329C7"/>
    <w:rsid w:val="00247403"/>
    <w:rsid w:val="00247542"/>
    <w:rsid w:val="00257893"/>
    <w:rsid w:val="00266092"/>
    <w:rsid w:val="00266B61"/>
    <w:rsid w:val="0026712A"/>
    <w:rsid w:val="002704DB"/>
    <w:rsid w:val="0027283B"/>
    <w:rsid w:val="002C1641"/>
    <w:rsid w:val="002D535B"/>
    <w:rsid w:val="002D6323"/>
    <w:rsid w:val="002D7EA2"/>
    <w:rsid w:val="002E15DF"/>
    <w:rsid w:val="002E187C"/>
    <w:rsid w:val="002E54F4"/>
    <w:rsid w:val="002E6E57"/>
    <w:rsid w:val="002F2C86"/>
    <w:rsid w:val="002F53D0"/>
    <w:rsid w:val="00301075"/>
    <w:rsid w:val="00302733"/>
    <w:rsid w:val="00311A4F"/>
    <w:rsid w:val="00314078"/>
    <w:rsid w:val="00322450"/>
    <w:rsid w:val="003246B5"/>
    <w:rsid w:val="00325937"/>
    <w:rsid w:val="0033169F"/>
    <w:rsid w:val="003324E9"/>
    <w:rsid w:val="00333B09"/>
    <w:rsid w:val="003348FD"/>
    <w:rsid w:val="003414AC"/>
    <w:rsid w:val="00356185"/>
    <w:rsid w:val="00356198"/>
    <w:rsid w:val="00360380"/>
    <w:rsid w:val="00386CF0"/>
    <w:rsid w:val="003C32BC"/>
    <w:rsid w:val="003C7F48"/>
    <w:rsid w:val="003D264C"/>
    <w:rsid w:val="003E5216"/>
    <w:rsid w:val="003F1BBF"/>
    <w:rsid w:val="00415C04"/>
    <w:rsid w:val="004165C2"/>
    <w:rsid w:val="00425F9F"/>
    <w:rsid w:val="00450A4A"/>
    <w:rsid w:val="00454403"/>
    <w:rsid w:val="00460DFF"/>
    <w:rsid w:val="00461CD9"/>
    <w:rsid w:val="004666FB"/>
    <w:rsid w:val="00467B7E"/>
    <w:rsid w:val="00481D96"/>
    <w:rsid w:val="0049419D"/>
    <w:rsid w:val="004B2762"/>
    <w:rsid w:val="004B7EB6"/>
    <w:rsid w:val="004C4B62"/>
    <w:rsid w:val="004D6025"/>
    <w:rsid w:val="004D72BC"/>
    <w:rsid w:val="00501399"/>
    <w:rsid w:val="00507BC4"/>
    <w:rsid w:val="005128E4"/>
    <w:rsid w:val="00525560"/>
    <w:rsid w:val="005357A6"/>
    <w:rsid w:val="005422CD"/>
    <w:rsid w:val="00544C49"/>
    <w:rsid w:val="00560D6C"/>
    <w:rsid w:val="00562922"/>
    <w:rsid w:val="005724D1"/>
    <w:rsid w:val="0057402A"/>
    <w:rsid w:val="005771D0"/>
    <w:rsid w:val="00581210"/>
    <w:rsid w:val="00583A16"/>
    <w:rsid w:val="0059191A"/>
    <w:rsid w:val="005921FF"/>
    <w:rsid w:val="00593AB3"/>
    <w:rsid w:val="005A6D0E"/>
    <w:rsid w:val="005B222D"/>
    <w:rsid w:val="005B52B0"/>
    <w:rsid w:val="005B6806"/>
    <w:rsid w:val="005C00F9"/>
    <w:rsid w:val="005C4225"/>
    <w:rsid w:val="005F0386"/>
    <w:rsid w:val="005F0F33"/>
    <w:rsid w:val="00600DEB"/>
    <w:rsid w:val="006121BB"/>
    <w:rsid w:val="00613027"/>
    <w:rsid w:val="00627C9F"/>
    <w:rsid w:val="006311DA"/>
    <w:rsid w:val="006311E9"/>
    <w:rsid w:val="00632354"/>
    <w:rsid w:val="0063380C"/>
    <w:rsid w:val="00642810"/>
    <w:rsid w:val="00652333"/>
    <w:rsid w:val="006755D3"/>
    <w:rsid w:val="0068009E"/>
    <w:rsid w:val="006805A7"/>
    <w:rsid w:val="006A17D2"/>
    <w:rsid w:val="006A73E6"/>
    <w:rsid w:val="006B2D5C"/>
    <w:rsid w:val="006C4EB1"/>
    <w:rsid w:val="006D6049"/>
    <w:rsid w:val="006E0166"/>
    <w:rsid w:val="006E5ABE"/>
    <w:rsid w:val="006E7B34"/>
    <w:rsid w:val="00701B24"/>
    <w:rsid w:val="00726F62"/>
    <w:rsid w:val="00727FB4"/>
    <w:rsid w:val="00745899"/>
    <w:rsid w:val="0075374F"/>
    <w:rsid w:val="00755218"/>
    <w:rsid w:val="007607C4"/>
    <w:rsid w:val="0076643F"/>
    <w:rsid w:val="007978E7"/>
    <w:rsid w:val="007A1614"/>
    <w:rsid w:val="007A1F0A"/>
    <w:rsid w:val="007A2F70"/>
    <w:rsid w:val="007A48D8"/>
    <w:rsid w:val="007B42A5"/>
    <w:rsid w:val="007C13AF"/>
    <w:rsid w:val="007C3334"/>
    <w:rsid w:val="007C52BB"/>
    <w:rsid w:val="007D2B98"/>
    <w:rsid w:val="007E40A6"/>
    <w:rsid w:val="00803F1C"/>
    <w:rsid w:val="0080600E"/>
    <w:rsid w:val="00816407"/>
    <w:rsid w:val="00817612"/>
    <w:rsid w:val="00837C45"/>
    <w:rsid w:val="00853419"/>
    <w:rsid w:val="00855EE4"/>
    <w:rsid w:val="00867941"/>
    <w:rsid w:val="00884101"/>
    <w:rsid w:val="00897E12"/>
    <w:rsid w:val="008C01E9"/>
    <w:rsid w:val="008C0B65"/>
    <w:rsid w:val="008D43BA"/>
    <w:rsid w:val="008E3759"/>
    <w:rsid w:val="0090301B"/>
    <w:rsid w:val="009041DC"/>
    <w:rsid w:val="009104B4"/>
    <w:rsid w:val="00925FCD"/>
    <w:rsid w:val="0093441A"/>
    <w:rsid w:val="00954BF7"/>
    <w:rsid w:val="00954FA3"/>
    <w:rsid w:val="00960824"/>
    <w:rsid w:val="0096706E"/>
    <w:rsid w:val="0097247D"/>
    <w:rsid w:val="00974773"/>
    <w:rsid w:val="00981FBA"/>
    <w:rsid w:val="009B0E86"/>
    <w:rsid w:val="009B381B"/>
    <w:rsid w:val="009D7611"/>
    <w:rsid w:val="009E064C"/>
    <w:rsid w:val="009E2564"/>
    <w:rsid w:val="009E53DE"/>
    <w:rsid w:val="00A01A91"/>
    <w:rsid w:val="00A10377"/>
    <w:rsid w:val="00A350A4"/>
    <w:rsid w:val="00A43458"/>
    <w:rsid w:val="00A51D60"/>
    <w:rsid w:val="00A528D1"/>
    <w:rsid w:val="00A66BE5"/>
    <w:rsid w:val="00A67F36"/>
    <w:rsid w:val="00A8067B"/>
    <w:rsid w:val="00A83E9D"/>
    <w:rsid w:val="00AB4E37"/>
    <w:rsid w:val="00AD37C1"/>
    <w:rsid w:val="00AE66EC"/>
    <w:rsid w:val="00AE6F91"/>
    <w:rsid w:val="00AF5571"/>
    <w:rsid w:val="00B1047B"/>
    <w:rsid w:val="00B167E9"/>
    <w:rsid w:val="00B314DB"/>
    <w:rsid w:val="00B31EBE"/>
    <w:rsid w:val="00B32F86"/>
    <w:rsid w:val="00B3718B"/>
    <w:rsid w:val="00B4632A"/>
    <w:rsid w:val="00B56221"/>
    <w:rsid w:val="00B83B17"/>
    <w:rsid w:val="00BA276C"/>
    <w:rsid w:val="00BA5416"/>
    <w:rsid w:val="00BB306F"/>
    <w:rsid w:val="00BD232B"/>
    <w:rsid w:val="00BD4B89"/>
    <w:rsid w:val="00BD79C3"/>
    <w:rsid w:val="00C1283F"/>
    <w:rsid w:val="00C21762"/>
    <w:rsid w:val="00C23F44"/>
    <w:rsid w:val="00C24543"/>
    <w:rsid w:val="00C25039"/>
    <w:rsid w:val="00C256A2"/>
    <w:rsid w:val="00C3492D"/>
    <w:rsid w:val="00C35188"/>
    <w:rsid w:val="00C45DD1"/>
    <w:rsid w:val="00C55560"/>
    <w:rsid w:val="00C61771"/>
    <w:rsid w:val="00C66B72"/>
    <w:rsid w:val="00C9567A"/>
    <w:rsid w:val="00CB2660"/>
    <w:rsid w:val="00CC5E90"/>
    <w:rsid w:val="00CD046C"/>
    <w:rsid w:val="00CE5199"/>
    <w:rsid w:val="00CE66D5"/>
    <w:rsid w:val="00CF2CA4"/>
    <w:rsid w:val="00CF54A4"/>
    <w:rsid w:val="00D34786"/>
    <w:rsid w:val="00D40A1E"/>
    <w:rsid w:val="00D42817"/>
    <w:rsid w:val="00D449DD"/>
    <w:rsid w:val="00D47833"/>
    <w:rsid w:val="00D64759"/>
    <w:rsid w:val="00D712D3"/>
    <w:rsid w:val="00D713D7"/>
    <w:rsid w:val="00D71422"/>
    <w:rsid w:val="00D7145E"/>
    <w:rsid w:val="00D750A6"/>
    <w:rsid w:val="00D750C6"/>
    <w:rsid w:val="00D7558D"/>
    <w:rsid w:val="00D81D92"/>
    <w:rsid w:val="00D84B0F"/>
    <w:rsid w:val="00D93446"/>
    <w:rsid w:val="00DA7B5F"/>
    <w:rsid w:val="00DB7590"/>
    <w:rsid w:val="00DC2F36"/>
    <w:rsid w:val="00DE02AA"/>
    <w:rsid w:val="00DE4E65"/>
    <w:rsid w:val="00E32A76"/>
    <w:rsid w:val="00E40093"/>
    <w:rsid w:val="00E43157"/>
    <w:rsid w:val="00E533FF"/>
    <w:rsid w:val="00E63767"/>
    <w:rsid w:val="00E709B3"/>
    <w:rsid w:val="00E832F9"/>
    <w:rsid w:val="00E8332D"/>
    <w:rsid w:val="00E8789F"/>
    <w:rsid w:val="00E97B71"/>
    <w:rsid w:val="00EB38AC"/>
    <w:rsid w:val="00EB454D"/>
    <w:rsid w:val="00EC207A"/>
    <w:rsid w:val="00ED40A9"/>
    <w:rsid w:val="00EE3522"/>
    <w:rsid w:val="00EF1C3A"/>
    <w:rsid w:val="00EF5C98"/>
    <w:rsid w:val="00EF619B"/>
    <w:rsid w:val="00F00B55"/>
    <w:rsid w:val="00F113C7"/>
    <w:rsid w:val="00F12541"/>
    <w:rsid w:val="00F1380F"/>
    <w:rsid w:val="00F14F0E"/>
    <w:rsid w:val="00F24C29"/>
    <w:rsid w:val="00F253CC"/>
    <w:rsid w:val="00F2760E"/>
    <w:rsid w:val="00F315CB"/>
    <w:rsid w:val="00F474A4"/>
    <w:rsid w:val="00F56BA5"/>
    <w:rsid w:val="00F644E6"/>
    <w:rsid w:val="00F80403"/>
    <w:rsid w:val="00F9653B"/>
    <w:rsid w:val="00FA5938"/>
    <w:rsid w:val="00FB57E6"/>
    <w:rsid w:val="00FB62CF"/>
    <w:rsid w:val="00FC3EB4"/>
    <w:rsid w:val="00FC6C58"/>
    <w:rsid w:val="00FE161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1A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474A4"/>
    <w:pPr>
      <w:keepNext/>
      <w:keepLines/>
      <w:numPr>
        <w:numId w:val="96"/>
      </w:numPr>
      <w:ind w:left="1440" w:hanging="72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nhideWhenUsed/>
    <w:qFormat/>
    <w:rsid w:val="00F474A4"/>
    <w:pPr>
      <w:numPr>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474A4"/>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Footno"/>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F474A4"/>
    <w:rPr>
      <w:rFonts w:asciiTheme="majorHAnsi" w:eastAsiaTheme="majorEastAsia" w:hAnsiTheme="majorHAnsi" w:cstheme="majorBidi"/>
      <w:b/>
      <w:bCs/>
      <w:lang w:val="en-US" w:eastAsia="en-US"/>
    </w:rPr>
  </w:style>
  <w:style w:type="paragraph" w:styleId="NormalWeb">
    <w:name w:val="Normal (Web)"/>
    <w:aliases w:val="Normal (Web) Char1,Normal (Web) Char Char,Normal (Web) Char1 Char,Normal (Web) Char Char Char"/>
    <w:basedOn w:val="Normal"/>
    <w:uiPriority w:val="99"/>
    <w:unhideWhenUsed/>
    <w:rsid w:val="00F474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Strong">
    <w:name w:val="Strong"/>
    <w:uiPriority w:val="22"/>
    <w:qFormat/>
    <w:rsid w:val="00F474A4"/>
    <w:rPr>
      <w:b/>
      <w:bCs/>
    </w:rPr>
  </w:style>
  <w:style w:type="character" w:customStyle="1" w:styleId="BodyTextIndentChar">
    <w:name w:val="Body Text Indent Char"/>
    <w:basedOn w:val="DefaultParagraphFont"/>
    <w:link w:val="BodyTextIndent"/>
    <w:rsid w:val="00DE02AA"/>
    <w:rPr>
      <w:rFonts w:eastAsia="Times New Roman"/>
      <w:color w:val="000000"/>
      <w:sz w:val="24"/>
      <w:szCs w:val="24"/>
      <w:u w:color="000000"/>
      <w:lang w:val="es-ES_tradn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DE02AA"/>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474A4"/>
    <w:pPr>
      <w:keepNext/>
      <w:keepLines/>
      <w:numPr>
        <w:numId w:val="96"/>
      </w:numPr>
      <w:ind w:left="1440" w:hanging="72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nhideWhenUsed/>
    <w:qFormat/>
    <w:rsid w:val="00F474A4"/>
    <w:pPr>
      <w:numPr>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474A4"/>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Footno"/>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F474A4"/>
    <w:rPr>
      <w:rFonts w:asciiTheme="majorHAnsi" w:eastAsiaTheme="majorEastAsia" w:hAnsiTheme="majorHAnsi" w:cstheme="majorBidi"/>
      <w:b/>
      <w:bCs/>
      <w:lang w:val="en-US" w:eastAsia="en-US"/>
    </w:rPr>
  </w:style>
  <w:style w:type="paragraph" w:styleId="NormalWeb">
    <w:name w:val="Normal (Web)"/>
    <w:aliases w:val="Normal (Web) Char1,Normal (Web) Char Char,Normal (Web) Char1 Char,Normal (Web) Char Char Char"/>
    <w:basedOn w:val="Normal"/>
    <w:uiPriority w:val="99"/>
    <w:unhideWhenUsed/>
    <w:rsid w:val="00F474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Strong">
    <w:name w:val="Strong"/>
    <w:uiPriority w:val="22"/>
    <w:qFormat/>
    <w:rsid w:val="00F474A4"/>
    <w:rPr>
      <w:b/>
      <w:bCs/>
    </w:rPr>
  </w:style>
  <w:style w:type="character" w:customStyle="1" w:styleId="BodyTextIndentChar">
    <w:name w:val="Body Text Indent Char"/>
    <w:basedOn w:val="DefaultParagraphFont"/>
    <w:link w:val="BodyTextIndent"/>
    <w:rsid w:val="00DE02AA"/>
    <w:rPr>
      <w:rFonts w:eastAsia="Times New Roman"/>
      <w:color w:val="000000"/>
      <w:sz w:val="24"/>
      <w:szCs w:val="24"/>
      <w:u w:color="000000"/>
      <w:lang w:val="es-ES_tradn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DE02AA"/>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5D55-B2CC-4F0C-8BE0-69C8585F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7808</Words>
  <Characters>42948</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keywords>s</cp:keywords>
  <cp:lastModifiedBy>%username%</cp:lastModifiedBy>
  <cp:revision>16</cp:revision>
  <cp:lastPrinted>2014-06-04T21:22:00Z</cp:lastPrinted>
  <dcterms:created xsi:type="dcterms:W3CDTF">2017-10-24T20:30:00Z</dcterms:created>
  <dcterms:modified xsi:type="dcterms:W3CDTF">2017-11-08T15:15:00Z</dcterms:modified>
</cp:coreProperties>
</file>