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DFA6" w14:textId="77777777" w:rsidR="00040C3A" w:rsidRPr="00D65A97" w:rsidRDefault="006311DA" w:rsidP="00627C9F">
      <w:pPr>
        <w:jc w:val="both"/>
        <w:rPr>
          <w:rFonts w:asciiTheme="majorHAnsi" w:hAnsiTheme="majorHAnsi" w:cs="Univers"/>
          <w:b/>
          <w:bCs/>
          <w:sz w:val="22"/>
          <w:szCs w:val="22"/>
        </w:rPr>
      </w:pPr>
      <w:r w:rsidRPr="00D65A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C1B0F6A" wp14:editId="052B0385">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65A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32A6A8" wp14:editId="583074B7">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E23BB" w14:textId="77777777" w:rsidR="009B5B8D" w:rsidRDefault="009B5B8D">
                            <w:r>
                              <w:rPr>
                                <w:noProof/>
                              </w:rPr>
                              <w:drawing>
                                <wp:inline distT="0" distB="0" distL="0" distR="0" wp14:anchorId="0E5178A8" wp14:editId="668E838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1AE23BB" w14:textId="77777777" w:rsidR="009B5B8D" w:rsidRDefault="009B5B8D">
                      <w:r>
                        <w:rPr>
                          <w:noProof/>
                        </w:rPr>
                        <w:drawing>
                          <wp:inline distT="0" distB="0" distL="0" distR="0" wp14:anchorId="0E5178A8" wp14:editId="668E838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47ABE7B4" w14:textId="77777777" w:rsidR="00040C3A" w:rsidRPr="00D65A97" w:rsidRDefault="00040C3A" w:rsidP="00040C3A">
      <w:pPr>
        <w:tabs>
          <w:tab w:val="center" w:pos="5400"/>
        </w:tabs>
        <w:suppressAutoHyphens/>
        <w:jc w:val="both"/>
        <w:rPr>
          <w:rFonts w:asciiTheme="majorHAnsi" w:hAnsiTheme="majorHAnsi"/>
          <w:sz w:val="22"/>
          <w:szCs w:val="22"/>
        </w:rPr>
      </w:pPr>
    </w:p>
    <w:p w14:paraId="28E4BCBC" w14:textId="77777777" w:rsidR="00040C3A" w:rsidRPr="00D65A97" w:rsidRDefault="00040C3A" w:rsidP="00040C3A">
      <w:pPr>
        <w:tabs>
          <w:tab w:val="center" w:pos="5400"/>
        </w:tabs>
        <w:suppressAutoHyphens/>
        <w:jc w:val="both"/>
        <w:rPr>
          <w:rFonts w:asciiTheme="majorHAnsi" w:hAnsiTheme="majorHAnsi"/>
          <w:sz w:val="22"/>
          <w:szCs w:val="22"/>
        </w:rPr>
      </w:pPr>
    </w:p>
    <w:p w14:paraId="6A2931B1" w14:textId="77777777" w:rsidR="005128E4" w:rsidRPr="00D65A97" w:rsidRDefault="005128E4" w:rsidP="00040C3A">
      <w:pPr>
        <w:tabs>
          <w:tab w:val="center" w:pos="5400"/>
        </w:tabs>
        <w:suppressAutoHyphens/>
        <w:rPr>
          <w:rFonts w:asciiTheme="majorHAnsi" w:hAnsiTheme="majorHAnsi"/>
          <w:sz w:val="22"/>
          <w:szCs w:val="22"/>
        </w:rPr>
      </w:pPr>
    </w:p>
    <w:p w14:paraId="49643262" w14:textId="77777777" w:rsidR="005128E4" w:rsidRPr="00D65A97" w:rsidRDefault="005128E4" w:rsidP="00040C3A">
      <w:pPr>
        <w:tabs>
          <w:tab w:val="center" w:pos="5400"/>
        </w:tabs>
        <w:suppressAutoHyphens/>
        <w:rPr>
          <w:rFonts w:asciiTheme="majorHAnsi" w:hAnsiTheme="majorHAnsi"/>
          <w:sz w:val="22"/>
          <w:szCs w:val="22"/>
        </w:rPr>
      </w:pPr>
    </w:p>
    <w:p w14:paraId="23EDC6B3" w14:textId="77777777" w:rsidR="005128E4" w:rsidRPr="00D65A97" w:rsidRDefault="005128E4" w:rsidP="00040C3A">
      <w:pPr>
        <w:tabs>
          <w:tab w:val="center" w:pos="5400"/>
        </w:tabs>
        <w:suppressAutoHyphens/>
        <w:rPr>
          <w:rFonts w:asciiTheme="majorHAnsi" w:hAnsiTheme="majorHAnsi"/>
          <w:sz w:val="22"/>
          <w:szCs w:val="22"/>
        </w:rPr>
      </w:pPr>
    </w:p>
    <w:p w14:paraId="73EC867C" w14:textId="77777777" w:rsidR="00040C3A" w:rsidRPr="00D65A97" w:rsidRDefault="00040C3A" w:rsidP="005128E4">
      <w:pPr>
        <w:tabs>
          <w:tab w:val="center" w:pos="5400"/>
        </w:tabs>
        <w:suppressAutoHyphens/>
        <w:jc w:val="center"/>
        <w:rPr>
          <w:rFonts w:asciiTheme="majorHAnsi" w:hAnsiTheme="majorHAnsi"/>
          <w:sz w:val="22"/>
          <w:szCs w:val="22"/>
        </w:rPr>
      </w:pPr>
    </w:p>
    <w:p w14:paraId="53F02B7F" w14:textId="77777777" w:rsidR="00040C3A" w:rsidRPr="00D65A97" w:rsidRDefault="00040C3A" w:rsidP="005128E4">
      <w:pPr>
        <w:tabs>
          <w:tab w:val="center" w:pos="5400"/>
        </w:tabs>
        <w:suppressAutoHyphens/>
        <w:jc w:val="center"/>
        <w:rPr>
          <w:rFonts w:asciiTheme="majorHAnsi" w:hAnsiTheme="majorHAnsi"/>
          <w:sz w:val="22"/>
          <w:szCs w:val="22"/>
        </w:rPr>
      </w:pPr>
    </w:p>
    <w:p w14:paraId="3FC18911" w14:textId="77777777" w:rsidR="005B52B0" w:rsidRPr="00D65A97" w:rsidRDefault="005B52B0" w:rsidP="005128E4">
      <w:pPr>
        <w:tabs>
          <w:tab w:val="center" w:pos="5400"/>
        </w:tabs>
        <w:suppressAutoHyphens/>
        <w:jc w:val="center"/>
        <w:rPr>
          <w:rFonts w:asciiTheme="majorHAnsi" w:hAnsiTheme="majorHAnsi"/>
          <w:sz w:val="22"/>
          <w:szCs w:val="22"/>
        </w:rPr>
      </w:pPr>
    </w:p>
    <w:p w14:paraId="7EB43A85" w14:textId="77777777" w:rsidR="005B52B0" w:rsidRPr="00D65A97" w:rsidRDefault="005B52B0" w:rsidP="005128E4">
      <w:pPr>
        <w:tabs>
          <w:tab w:val="center" w:pos="5400"/>
        </w:tabs>
        <w:suppressAutoHyphens/>
        <w:jc w:val="center"/>
        <w:rPr>
          <w:rFonts w:asciiTheme="majorHAnsi" w:hAnsiTheme="majorHAnsi"/>
          <w:sz w:val="22"/>
          <w:szCs w:val="22"/>
        </w:rPr>
      </w:pPr>
    </w:p>
    <w:p w14:paraId="63360F5A" w14:textId="77777777" w:rsidR="005B52B0" w:rsidRPr="00D65A97" w:rsidRDefault="005B52B0" w:rsidP="005128E4">
      <w:pPr>
        <w:tabs>
          <w:tab w:val="center" w:pos="5400"/>
        </w:tabs>
        <w:suppressAutoHyphens/>
        <w:jc w:val="center"/>
        <w:rPr>
          <w:rFonts w:asciiTheme="majorHAnsi" w:hAnsiTheme="majorHAnsi"/>
          <w:sz w:val="22"/>
          <w:szCs w:val="22"/>
        </w:rPr>
      </w:pPr>
    </w:p>
    <w:p w14:paraId="2BF7E675" w14:textId="77777777" w:rsidR="00040C3A" w:rsidRPr="00D65A97" w:rsidRDefault="00040C3A" w:rsidP="00040C3A">
      <w:pPr>
        <w:tabs>
          <w:tab w:val="center" w:pos="5400"/>
        </w:tabs>
        <w:suppressAutoHyphens/>
        <w:jc w:val="center"/>
        <w:rPr>
          <w:rFonts w:asciiTheme="majorHAnsi" w:hAnsiTheme="majorHAnsi"/>
          <w:sz w:val="22"/>
          <w:szCs w:val="22"/>
        </w:rPr>
      </w:pPr>
    </w:p>
    <w:p w14:paraId="6050EC85" w14:textId="77777777" w:rsidR="00040C3A" w:rsidRPr="00D65A97" w:rsidRDefault="00040C3A" w:rsidP="00040C3A">
      <w:pPr>
        <w:tabs>
          <w:tab w:val="center" w:pos="5400"/>
        </w:tabs>
        <w:suppressAutoHyphens/>
        <w:jc w:val="center"/>
        <w:rPr>
          <w:rFonts w:asciiTheme="majorHAnsi" w:hAnsiTheme="majorHAnsi"/>
          <w:sz w:val="22"/>
          <w:szCs w:val="22"/>
        </w:rPr>
      </w:pPr>
    </w:p>
    <w:p w14:paraId="1B8E983D" w14:textId="77777777" w:rsidR="00040C3A" w:rsidRPr="00D65A97" w:rsidRDefault="00040C3A" w:rsidP="00040C3A">
      <w:pPr>
        <w:tabs>
          <w:tab w:val="center" w:pos="5400"/>
        </w:tabs>
        <w:suppressAutoHyphens/>
        <w:jc w:val="center"/>
        <w:rPr>
          <w:rFonts w:asciiTheme="majorHAnsi" w:hAnsiTheme="majorHAnsi"/>
          <w:sz w:val="22"/>
          <w:szCs w:val="22"/>
        </w:rPr>
      </w:pPr>
    </w:p>
    <w:p w14:paraId="4873218B" w14:textId="77777777" w:rsidR="00040C3A" w:rsidRPr="00D65A97" w:rsidRDefault="00E533FF" w:rsidP="00040C3A">
      <w:pPr>
        <w:tabs>
          <w:tab w:val="center" w:pos="5400"/>
        </w:tabs>
        <w:suppressAutoHyphens/>
        <w:jc w:val="center"/>
        <w:rPr>
          <w:rFonts w:asciiTheme="majorHAnsi" w:hAnsiTheme="majorHAnsi"/>
          <w:sz w:val="22"/>
          <w:szCs w:val="22"/>
        </w:rPr>
      </w:pPr>
      <w:r w:rsidRPr="00D65A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5FA69B8" wp14:editId="02B69E8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C4000" w14:textId="202B39B7" w:rsidR="009B5B8D" w:rsidRPr="00417E10" w:rsidRDefault="009B5B8D" w:rsidP="0059628A">
                            <w:pPr>
                              <w:spacing w:line="276" w:lineRule="auto"/>
                              <w:rPr>
                                <w:rFonts w:asciiTheme="majorHAnsi" w:hAnsiTheme="majorHAnsi" w:cs="Arial"/>
                                <w:b/>
                                <w:bCs/>
                                <w:color w:val="0D0D0D" w:themeColor="text1" w:themeTint="F2"/>
                                <w:sz w:val="36"/>
                                <w:szCs w:val="22"/>
                              </w:rPr>
                            </w:pPr>
                            <w:r w:rsidRPr="00417E10">
                              <w:rPr>
                                <w:rFonts w:asciiTheme="majorHAnsi" w:hAnsiTheme="majorHAnsi" w:cs="Arial"/>
                                <w:b/>
                                <w:bCs/>
                                <w:color w:val="0D0D0D" w:themeColor="text1" w:themeTint="F2"/>
                                <w:sz w:val="36"/>
                                <w:szCs w:val="22"/>
                              </w:rPr>
                              <w:t xml:space="preserve">REPORT </w:t>
                            </w:r>
                            <w:r w:rsidRPr="00417E10">
                              <w:rPr>
                                <w:rFonts w:asciiTheme="majorHAnsi" w:hAnsiTheme="majorHAnsi" w:cs="Arial"/>
                                <w:b/>
                                <w:bCs/>
                                <w:color w:val="0D0D0D" w:themeColor="text1" w:themeTint="F2"/>
                                <w:sz w:val="36"/>
                                <w:szCs w:val="40"/>
                              </w:rPr>
                              <w:t>No.</w:t>
                            </w:r>
                            <w:r w:rsidRPr="00417E10">
                              <w:rPr>
                                <w:rFonts w:asciiTheme="majorHAnsi" w:hAnsiTheme="majorHAnsi" w:cs="Arial"/>
                                <w:b/>
                                <w:bCs/>
                                <w:color w:val="0D0D0D" w:themeColor="text1" w:themeTint="F2"/>
                                <w:sz w:val="36"/>
                                <w:szCs w:val="22"/>
                              </w:rPr>
                              <w:t xml:space="preserve"> 23/18</w:t>
                            </w:r>
                          </w:p>
                          <w:p w14:paraId="60400C0D" w14:textId="2CEA612A" w:rsidR="009B5B8D" w:rsidRPr="00417E10" w:rsidRDefault="009B5B8D" w:rsidP="00DC3867">
                            <w:pPr>
                              <w:spacing w:line="276" w:lineRule="auto"/>
                              <w:rPr>
                                <w:rFonts w:ascii="Cambria" w:hAnsi="Cambria" w:cs="Arial"/>
                                <w:b/>
                                <w:color w:val="0D0D0D"/>
                                <w:sz w:val="36"/>
                                <w:szCs w:val="22"/>
                              </w:rPr>
                            </w:pPr>
                            <w:r w:rsidRPr="00417E10">
                              <w:rPr>
                                <w:rFonts w:ascii="Cambria" w:hAnsi="Cambria" w:cs="Arial"/>
                                <w:b/>
                                <w:color w:val="0D0D0D"/>
                                <w:sz w:val="36"/>
                                <w:szCs w:val="22"/>
                              </w:rPr>
                              <w:t>CASE 12.329</w:t>
                            </w:r>
                          </w:p>
                          <w:p w14:paraId="141B420A" w14:textId="3C98203F" w:rsidR="009B5B8D" w:rsidRPr="00417E10" w:rsidRDefault="009B5B8D" w:rsidP="00DC3867">
                            <w:pPr>
                              <w:spacing w:line="276" w:lineRule="auto"/>
                              <w:rPr>
                                <w:rFonts w:ascii="Cambria" w:hAnsi="Cambria" w:cs="Arial"/>
                                <w:color w:val="0D0D0D"/>
                                <w:szCs w:val="22"/>
                              </w:rPr>
                            </w:pPr>
                            <w:r w:rsidRPr="00417E10">
                              <w:rPr>
                                <w:rFonts w:ascii="Cambria" w:hAnsi="Cambria" w:cs="Arial"/>
                                <w:color w:val="0D0D0D"/>
                                <w:szCs w:val="22"/>
                              </w:rPr>
                              <w:t xml:space="preserve">REPORT ON MERITS </w:t>
                            </w:r>
                          </w:p>
                          <w:p w14:paraId="74C14203" w14:textId="77777777" w:rsidR="009B5B8D" w:rsidRPr="00417E10" w:rsidRDefault="009B5B8D" w:rsidP="00DC3867">
                            <w:pPr>
                              <w:spacing w:line="276" w:lineRule="auto"/>
                              <w:rPr>
                                <w:rFonts w:ascii="Cambria" w:hAnsi="Cambria" w:cs="Arial"/>
                                <w:color w:val="0D0D0D"/>
                                <w:szCs w:val="22"/>
                              </w:rPr>
                            </w:pPr>
                            <w:bookmarkStart w:id="0" w:name="_ftnref1"/>
                          </w:p>
                          <w:bookmarkEnd w:id="0"/>
                          <w:p w14:paraId="350E58C3" w14:textId="61E3BA67" w:rsidR="009B5B8D" w:rsidRPr="00417E10" w:rsidRDefault="009B5B8D" w:rsidP="00DC3867">
                            <w:pPr>
                              <w:spacing w:line="276" w:lineRule="auto"/>
                              <w:rPr>
                                <w:rFonts w:ascii="Cambria" w:hAnsi="Cambria" w:cs="Arial"/>
                                <w:color w:val="0D0D0D"/>
                                <w:szCs w:val="22"/>
                              </w:rPr>
                            </w:pPr>
                            <w:r w:rsidRPr="00417E10">
                              <w:rPr>
                                <w:rFonts w:ascii="Cambria" w:hAnsi="Cambria" w:cs="Arial"/>
                                <w:color w:val="0D0D0D"/>
                                <w:szCs w:val="22"/>
                              </w:rPr>
                              <w:t xml:space="preserve">VICENTE ARIEL NOGUERA AND FAMILY </w:t>
                            </w:r>
                          </w:p>
                          <w:p w14:paraId="02700B6F" w14:textId="77777777" w:rsidR="009B5B8D" w:rsidRPr="0010736F" w:rsidRDefault="009B5B8D" w:rsidP="00DC3867">
                            <w:pPr>
                              <w:spacing w:line="276" w:lineRule="auto"/>
                              <w:rPr>
                                <w:rFonts w:asciiTheme="majorHAnsi" w:hAnsiTheme="majorHAnsi" w:cs="Arial"/>
                                <w:color w:val="0D0D0D" w:themeColor="text1" w:themeTint="F2"/>
                                <w:szCs w:val="22"/>
                                <w:lang w:val="es-ES"/>
                              </w:rPr>
                            </w:pPr>
                            <w:r>
                              <w:rPr>
                                <w:rFonts w:ascii="Cambria" w:hAnsi="Cambria" w:cs="Arial"/>
                                <w:color w:val="0D0D0D"/>
                                <w:szCs w:val="22"/>
                                <w:lang w:val="es-ES_tradnl"/>
                              </w:rPr>
                              <w:t>PARAGUAY</w:t>
                            </w:r>
                          </w:p>
                          <w:p w14:paraId="1F734598" w14:textId="77777777" w:rsidR="009B5B8D" w:rsidRPr="004B7EB6" w:rsidRDefault="009B5B8D"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84C4000" w14:textId="202B39B7" w:rsidR="009B5B8D" w:rsidRPr="00417E10" w:rsidRDefault="009B5B8D" w:rsidP="0059628A">
                      <w:pPr>
                        <w:spacing w:line="276" w:lineRule="auto"/>
                        <w:rPr>
                          <w:rFonts w:asciiTheme="majorHAnsi" w:hAnsiTheme="majorHAnsi" w:cs="Arial"/>
                          <w:b/>
                          <w:bCs/>
                          <w:color w:val="0D0D0D" w:themeColor="text1" w:themeTint="F2"/>
                          <w:sz w:val="36"/>
                          <w:szCs w:val="22"/>
                        </w:rPr>
                      </w:pPr>
                      <w:r w:rsidRPr="00417E10">
                        <w:rPr>
                          <w:rFonts w:asciiTheme="majorHAnsi" w:hAnsiTheme="majorHAnsi" w:cs="Arial"/>
                          <w:b/>
                          <w:bCs/>
                          <w:color w:val="0D0D0D" w:themeColor="text1" w:themeTint="F2"/>
                          <w:sz w:val="36"/>
                          <w:szCs w:val="22"/>
                        </w:rPr>
                        <w:t xml:space="preserve">REPORT </w:t>
                      </w:r>
                      <w:r w:rsidRPr="00417E10">
                        <w:rPr>
                          <w:rFonts w:asciiTheme="majorHAnsi" w:hAnsiTheme="majorHAnsi" w:cs="Arial"/>
                          <w:b/>
                          <w:bCs/>
                          <w:color w:val="0D0D0D" w:themeColor="text1" w:themeTint="F2"/>
                          <w:sz w:val="36"/>
                          <w:szCs w:val="40"/>
                        </w:rPr>
                        <w:t>No.</w:t>
                      </w:r>
                      <w:r w:rsidRPr="00417E10">
                        <w:rPr>
                          <w:rFonts w:asciiTheme="majorHAnsi" w:hAnsiTheme="majorHAnsi" w:cs="Arial"/>
                          <w:b/>
                          <w:bCs/>
                          <w:color w:val="0D0D0D" w:themeColor="text1" w:themeTint="F2"/>
                          <w:sz w:val="36"/>
                          <w:szCs w:val="22"/>
                        </w:rPr>
                        <w:t xml:space="preserve"> 23/18</w:t>
                      </w:r>
                    </w:p>
                    <w:p w14:paraId="60400C0D" w14:textId="2CEA612A" w:rsidR="009B5B8D" w:rsidRPr="00417E10" w:rsidRDefault="009B5B8D" w:rsidP="00DC3867">
                      <w:pPr>
                        <w:spacing w:line="276" w:lineRule="auto"/>
                        <w:rPr>
                          <w:rFonts w:ascii="Cambria" w:hAnsi="Cambria" w:cs="Arial"/>
                          <w:b/>
                          <w:color w:val="0D0D0D"/>
                          <w:sz w:val="36"/>
                          <w:szCs w:val="22"/>
                        </w:rPr>
                      </w:pPr>
                      <w:r w:rsidRPr="00417E10">
                        <w:rPr>
                          <w:rFonts w:ascii="Cambria" w:hAnsi="Cambria" w:cs="Arial"/>
                          <w:b/>
                          <w:color w:val="0D0D0D"/>
                          <w:sz w:val="36"/>
                          <w:szCs w:val="22"/>
                        </w:rPr>
                        <w:t>CASE 12.329</w:t>
                      </w:r>
                    </w:p>
                    <w:p w14:paraId="141B420A" w14:textId="3C98203F" w:rsidR="009B5B8D" w:rsidRPr="00417E10" w:rsidRDefault="009B5B8D" w:rsidP="00DC3867">
                      <w:pPr>
                        <w:spacing w:line="276" w:lineRule="auto"/>
                        <w:rPr>
                          <w:rFonts w:ascii="Cambria" w:hAnsi="Cambria" w:cs="Arial"/>
                          <w:color w:val="0D0D0D"/>
                          <w:szCs w:val="22"/>
                        </w:rPr>
                      </w:pPr>
                      <w:r w:rsidRPr="00417E10">
                        <w:rPr>
                          <w:rFonts w:ascii="Cambria" w:hAnsi="Cambria" w:cs="Arial"/>
                          <w:color w:val="0D0D0D"/>
                          <w:szCs w:val="22"/>
                        </w:rPr>
                        <w:t xml:space="preserve">REPORT ON MERITS </w:t>
                      </w:r>
                    </w:p>
                    <w:p w14:paraId="74C14203" w14:textId="77777777" w:rsidR="009B5B8D" w:rsidRPr="00417E10" w:rsidRDefault="009B5B8D" w:rsidP="00DC3867">
                      <w:pPr>
                        <w:spacing w:line="276" w:lineRule="auto"/>
                        <w:rPr>
                          <w:rFonts w:ascii="Cambria" w:hAnsi="Cambria" w:cs="Arial"/>
                          <w:color w:val="0D0D0D"/>
                          <w:szCs w:val="22"/>
                        </w:rPr>
                      </w:pPr>
                      <w:bookmarkStart w:id="1" w:name="_ftnref1"/>
                    </w:p>
                    <w:bookmarkEnd w:id="1"/>
                    <w:p w14:paraId="350E58C3" w14:textId="61E3BA67" w:rsidR="009B5B8D" w:rsidRPr="00417E10" w:rsidRDefault="009B5B8D" w:rsidP="00DC3867">
                      <w:pPr>
                        <w:spacing w:line="276" w:lineRule="auto"/>
                        <w:rPr>
                          <w:rFonts w:ascii="Cambria" w:hAnsi="Cambria" w:cs="Arial"/>
                          <w:color w:val="0D0D0D"/>
                          <w:szCs w:val="22"/>
                        </w:rPr>
                      </w:pPr>
                      <w:r w:rsidRPr="00417E10">
                        <w:rPr>
                          <w:rFonts w:ascii="Cambria" w:hAnsi="Cambria" w:cs="Arial"/>
                          <w:color w:val="0D0D0D"/>
                          <w:szCs w:val="22"/>
                        </w:rPr>
                        <w:t xml:space="preserve">VICENTE ARIEL NOGUERA AND FAMILY </w:t>
                      </w:r>
                    </w:p>
                    <w:p w14:paraId="02700B6F" w14:textId="77777777" w:rsidR="009B5B8D" w:rsidRPr="0010736F" w:rsidRDefault="009B5B8D" w:rsidP="00DC3867">
                      <w:pPr>
                        <w:spacing w:line="276" w:lineRule="auto"/>
                        <w:rPr>
                          <w:rFonts w:asciiTheme="majorHAnsi" w:hAnsiTheme="majorHAnsi" w:cs="Arial"/>
                          <w:color w:val="0D0D0D" w:themeColor="text1" w:themeTint="F2"/>
                          <w:szCs w:val="22"/>
                          <w:lang w:val="es-ES"/>
                        </w:rPr>
                      </w:pPr>
                      <w:r>
                        <w:rPr>
                          <w:rFonts w:ascii="Cambria" w:hAnsi="Cambria" w:cs="Arial"/>
                          <w:color w:val="0D0D0D"/>
                          <w:szCs w:val="22"/>
                          <w:lang w:val="es-ES_tradnl"/>
                        </w:rPr>
                        <w:t>PARAGUAY</w:t>
                      </w:r>
                    </w:p>
                    <w:p w14:paraId="1F734598" w14:textId="77777777" w:rsidR="009B5B8D" w:rsidRPr="004B7EB6" w:rsidRDefault="009B5B8D"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D65A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2EB4222" wp14:editId="0654DD9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A9A09" w14:textId="77777777" w:rsidR="009B5B8D" w:rsidRPr="004B7EB6" w:rsidRDefault="009B5B8D"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167</w:t>
                            </w:r>
                          </w:p>
                          <w:p w14:paraId="7493EABD" w14:textId="18DF2AA3" w:rsidR="009B5B8D" w:rsidRPr="00417E10" w:rsidRDefault="009B5B8D" w:rsidP="002C1641">
                            <w:pPr>
                              <w:jc w:val="right"/>
                              <w:rPr>
                                <w:rFonts w:asciiTheme="minorHAnsi" w:hAnsiTheme="minorHAnsi"/>
                                <w:color w:val="FFFFFF" w:themeColor="background1"/>
                                <w:sz w:val="22"/>
                                <w:lang w:val="pt-BR"/>
                              </w:rPr>
                            </w:pPr>
                            <w:r w:rsidRPr="00417E10">
                              <w:rPr>
                                <w:rFonts w:asciiTheme="minorHAnsi" w:hAnsiTheme="minorHAnsi"/>
                                <w:color w:val="FFFFFF" w:themeColor="background1"/>
                                <w:sz w:val="22"/>
                                <w:lang w:val="pt-BR"/>
                              </w:rPr>
                              <w:t>Doc. 27</w:t>
                            </w:r>
                          </w:p>
                          <w:p w14:paraId="69A13996" w14:textId="7D76A45C" w:rsidR="009B5B8D" w:rsidRPr="004B7EB6" w:rsidRDefault="009B5B8D"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February2018</w:t>
                            </w:r>
                          </w:p>
                          <w:p w14:paraId="692B2EA5" w14:textId="6830C5C2" w:rsidR="009B5B8D" w:rsidRPr="004B7EB6" w:rsidRDefault="009B5B8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11A9A09" w14:textId="77777777" w:rsidR="009B5B8D" w:rsidRPr="004B7EB6" w:rsidRDefault="009B5B8D"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167</w:t>
                      </w:r>
                    </w:p>
                    <w:p w14:paraId="7493EABD" w14:textId="18DF2AA3" w:rsidR="009B5B8D" w:rsidRPr="00417E10" w:rsidRDefault="009B5B8D" w:rsidP="002C1641">
                      <w:pPr>
                        <w:jc w:val="right"/>
                        <w:rPr>
                          <w:rFonts w:asciiTheme="minorHAnsi" w:hAnsiTheme="minorHAnsi"/>
                          <w:color w:val="FFFFFF" w:themeColor="background1"/>
                          <w:sz w:val="22"/>
                          <w:lang w:val="pt-BR"/>
                        </w:rPr>
                      </w:pPr>
                      <w:r w:rsidRPr="00417E10">
                        <w:rPr>
                          <w:rFonts w:asciiTheme="minorHAnsi" w:hAnsiTheme="minorHAnsi"/>
                          <w:color w:val="FFFFFF" w:themeColor="background1"/>
                          <w:sz w:val="22"/>
                          <w:lang w:val="pt-BR"/>
                        </w:rPr>
                        <w:t>Doc. 27</w:t>
                      </w:r>
                    </w:p>
                    <w:p w14:paraId="69A13996" w14:textId="7D76A45C" w:rsidR="009B5B8D" w:rsidRPr="004B7EB6" w:rsidRDefault="009B5B8D"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February2018</w:t>
                      </w:r>
                    </w:p>
                    <w:p w14:paraId="692B2EA5" w14:textId="6830C5C2" w:rsidR="009B5B8D" w:rsidRPr="004B7EB6" w:rsidRDefault="009B5B8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03DAB2FB" w14:textId="77777777" w:rsidR="00040C3A" w:rsidRPr="00D65A97" w:rsidRDefault="00040C3A" w:rsidP="00040C3A">
      <w:pPr>
        <w:tabs>
          <w:tab w:val="center" w:pos="5400"/>
        </w:tabs>
        <w:suppressAutoHyphens/>
        <w:jc w:val="center"/>
        <w:rPr>
          <w:rFonts w:asciiTheme="majorHAnsi" w:hAnsiTheme="majorHAnsi"/>
          <w:sz w:val="22"/>
          <w:szCs w:val="22"/>
        </w:rPr>
      </w:pPr>
    </w:p>
    <w:p w14:paraId="781106B8" w14:textId="77777777" w:rsidR="00040C3A" w:rsidRPr="00D65A97" w:rsidRDefault="00040C3A" w:rsidP="00040C3A">
      <w:pPr>
        <w:tabs>
          <w:tab w:val="center" w:pos="5400"/>
        </w:tabs>
        <w:suppressAutoHyphens/>
        <w:jc w:val="center"/>
        <w:rPr>
          <w:rFonts w:asciiTheme="majorHAnsi" w:hAnsiTheme="majorHAnsi" w:cs="Arial"/>
          <w:sz w:val="22"/>
          <w:szCs w:val="22"/>
        </w:rPr>
      </w:pPr>
    </w:p>
    <w:p w14:paraId="403BC23F" w14:textId="77777777" w:rsidR="00040C3A" w:rsidRPr="00D65A97" w:rsidRDefault="00040C3A" w:rsidP="00040C3A">
      <w:pPr>
        <w:tabs>
          <w:tab w:val="center" w:pos="5400"/>
        </w:tabs>
        <w:suppressAutoHyphens/>
        <w:jc w:val="center"/>
        <w:rPr>
          <w:rFonts w:asciiTheme="majorHAnsi" w:hAnsiTheme="majorHAnsi"/>
          <w:sz w:val="22"/>
          <w:szCs w:val="22"/>
        </w:rPr>
      </w:pPr>
    </w:p>
    <w:p w14:paraId="4F97B909" w14:textId="77777777" w:rsidR="00040C3A" w:rsidRPr="00D65A97" w:rsidRDefault="00040C3A" w:rsidP="00040C3A">
      <w:pPr>
        <w:tabs>
          <w:tab w:val="center" w:pos="5400"/>
        </w:tabs>
        <w:suppressAutoHyphens/>
        <w:jc w:val="center"/>
        <w:rPr>
          <w:rFonts w:asciiTheme="majorHAnsi" w:hAnsiTheme="majorHAnsi"/>
          <w:sz w:val="22"/>
          <w:szCs w:val="22"/>
        </w:rPr>
      </w:pPr>
    </w:p>
    <w:p w14:paraId="0AA2796C" w14:textId="77777777" w:rsidR="00040C3A" w:rsidRPr="00D65A97" w:rsidRDefault="00040C3A" w:rsidP="00040C3A">
      <w:pPr>
        <w:tabs>
          <w:tab w:val="center" w:pos="5400"/>
        </w:tabs>
        <w:suppressAutoHyphens/>
        <w:jc w:val="center"/>
        <w:rPr>
          <w:rFonts w:asciiTheme="majorHAnsi" w:hAnsiTheme="majorHAnsi"/>
          <w:sz w:val="22"/>
          <w:szCs w:val="22"/>
        </w:rPr>
      </w:pPr>
    </w:p>
    <w:p w14:paraId="1618CDF9" w14:textId="77777777" w:rsidR="00040C3A" w:rsidRPr="00D65A97" w:rsidRDefault="00040C3A" w:rsidP="00040C3A">
      <w:pPr>
        <w:tabs>
          <w:tab w:val="center" w:pos="5400"/>
        </w:tabs>
        <w:suppressAutoHyphens/>
        <w:jc w:val="center"/>
        <w:rPr>
          <w:rFonts w:asciiTheme="majorHAnsi" w:hAnsiTheme="majorHAnsi"/>
          <w:sz w:val="22"/>
          <w:szCs w:val="22"/>
        </w:rPr>
      </w:pPr>
    </w:p>
    <w:p w14:paraId="50A2839A" w14:textId="77777777" w:rsidR="005128E4" w:rsidRPr="00D65A97" w:rsidRDefault="005128E4" w:rsidP="00040C3A">
      <w:pPr>
        <w:tabs>
          <w:tab w:val="center" w:pos="5400"/>
        </w:tabs>
        <w:suppressAutoHyphens/>
        <w:jc w:val="center"/>
        <w:rPr>
          <w:rFonts w:asciiTheme="majorHAnsi" w:hAnsiTheme="majorHAnsi"/>
          <w:sz w:val="22"/>
          <w:szCs w:val="22"/>
        </w:rPr>
      </w:pPr>
    </w:p>
    <w:p w14:paraId="059F82FD" w14:textId="77777777" w:rsidR="00040C3A" w:rsidRPr="00D65A97" w:rsidRDefault="00040C3A" w:rsidP="00040C3A">
      <w:pPr>
        <w:tabs>
          <w:tab w:val="center" w:pos="5400"/>
        </w:tabs>
        <w:suppressAutoHyphens/>
        <w:jc w:val="center"/>
        <w:rPr>
          <w:rFonts w:asciiTheme="majorHAnsi" w:hAnsiTheme="majorHAnsi"/>
          <w:sz w:val="22"/>
          <w:szCs w:val="22"/>
        </w:rPr>
      </w:pPr>
    </w:p>
    <w:p w14:paraId="5370E7CB" w14:textId="77777777" w:rsidR="005128E4" w:rsidRPr="00D65A97" w:rsidRDefault="005128E4" w:rsidP="00040C3A">
      <w:pPr>
        <w:tabs>
          <w:tab w:val="center" w:pos="5400"/>
        </w:tabs>
        <w:suppressAutoHyphens/>
        <w:jc w:val="center"/>
        <w:rPr>
          <w:rFonts w:asciiTheme="majorHAnsi" w:hAnsiTheme="majorHAnsi"/>
          <w:sz w:val="22"/>
          <w:szCs w:val="22"/>
        </w:rPr>
      </w:pPr>
    </w:p>
    <w:p w14:paraId="2D794651" w14:textId="77777777" w:rsidR="005128E4" w:rsidRPr="00D65A97" w:rsidRDefault="005128E4" w:rsidP="00040C3A">
      <w:pPr>
        <w:tabs>
          <w:tab w:val="center" w:pos="5400"/>
        </w:tabs>
        <w:suppressAutoHyphens/>
        <w:jc w:val="center"/>
        <w:rPr>
          <w:rFonts w:asciiTheme="majorHAnsi" w:hAnsiTheme="majorHAnsi"/>
          <w:sz w:val="22"/>
          <w:szCs w:val="22"/>
        </w:rPr>
      </w:pPr>
    </w:p>
    <w:p w14:paraId="208B56A9" w14:textId="77777777" w:rsidR="005128E4" w:rsidRPr="00D65A97" w:rsidRDefault="005128E4" w:rsidP="00040C3A">
      <w:pPr>
        <w:tabs>
          <w:tab w:val="center" w:pos="5400"/>
        </w:tabs>
        <w:suppressAutoHyphens/>
        <w:jc w:val="center"/>
        <w:rPr>
          <w:rFonts w:asciiTheme="majorHAnsi" w:hAnsiTheme="majorHAnsi"/>
          <w:sz w:val="22"/>
          <w:szCs w:val="22"/>
        </w:rPr>
      </w:pPr>
    </w:p>
    <w:p w14:paraId="1C8864F1" w14:textId="77777777" w:rsidR="00040C3A" w:rsidRPr="00D65A97" w:rsidRDefault="00040C3A" w:rsidP="00040C3A">
      <w:pPr>
        <w:tabs>
          <w:tab w:val="center" w:pos="5400"/>
        </w:tabs>
        <w:suppressAutoHyphens/>
        <w:jc w:val="center"/>
        <w:rPr>
          <w:rFonts w:asciiTheme="majorHAnsi" w:hAnsiTheme="majorHAnsi"/>
          <w:sz w:val="22"/>
          <w:szCs w:val="22"/>
        </w:rPr>
      </w:pPr>
    </w:p>
    <w:p w14:paraId="37953955" w14:textId="77777777" w:rsidR="00040C3A" w:rsidRPr="00D65A97" w:rsidRDefault="00040C3A" w:rsidP="00040C3A">
      <w:pPr>
        <w:tabs>
          <w:tab w:val="center" w:pos="5400"/>
        </w:tabs>
        <w:suppressAutoHyphens/>
        <w:jc w:val="center"/>
        <w:rPr>
          <w:rFonts w:asciiTheme="majorHAnsi" w:hAnsiTheme="majorHAnsi"/>
          <w:sz w:val="22"/>
          <w:szCs w:val="22"/>
        </w:rPr>
      </w:pPr>
    </w:p>
    <w:p w14:paraId="72C54C2A" w14:textId="77777777" w:rsidR="002C1641" w:rsidRPr="00D65A97" w:rsidRDefault="002C1641" w:rsidP="00040C3A">
      <w:pPr>
        <w:tabs>
          <w:tab w:val="center" w:pos="5400"/>
        </w:tabs>
        <w:suppressAutoHyphens/>
        <w:jc w:val="center"/>
        <w:rPr>
          <w:rFonts w:asciiTheme="majorHAnsi" w:hAnsiTheme="majorHAnsi"/>
          <w:sz w:val="18"/>
          <w:szCs w:val="22"/>
        </w:rPr>
      </w:pPr>
    </w:p>
    <w:p w14:paraId="1607E2BE" w14:textId="77777777" w:rsidR="002C1641" w:rsidRPr="00D65A97" w:rsidRDefault="002C1641" w:rsidP="00040C3A">
      <w:pPr>
        <w:tabs>
          <w:tab w:val="center" w:pos="5400"/>
        </w:tabs>
        <w:suppressAutoHyphens/>
        <w:jc w:val="center"/>
        <w:rPr>
          <w:rFonts w:asciiTheme="majorHAnsi" w:hAnsiTheme="majorHAnsi"/>
          <w:sz w:val="18"/>
          <w:szCs w:val="22"/>
        </w:rPr>
      </w:pPr>
    </w:p>
    <w:p w14:paraId="479253B0" w14:textId="77777777" w:rsidR="002C1641" w:rsidRPr="00D65A97" w:rsidRDefault="002C1641" w:rsidP="00040C3A">
      <w:pPr>
        <w:tabs>
          <w:tab w:val="center" w:pos="5400"/>
        </w:tabs>
        <w:suppressAutoHyphens/>
        <w:jc w:val="center"/>
        <w:rPr>
          <w:rFonts w:asciiTheme="majorHAnsi" w:hAnsiTheme="majorHAnsi"/>
          <w:sz w:val="18"/>
          <w:szCs w:val="22"/>
        </w:rPr>
      </w:pPr>
    </w:p>
    <w:p w14:paraId="53A15769" w14:textId="77777777" w:rsidR="002C1641" w:rsidRPr="00D65A97" w:rsidRDefault="002C1641" w:rsidP="00040C3A">
      <w:pPr>
        <w:tabs>
          <w:tab w:val="center" w:pos="5400"/>
        </w:tabs>
        <w:suppressAutoHyphens/>
        <w:jc w:val="center"/>
        <w:rPr>
          <w:rFonts w:asciiTheme="majorHAnsi" w:hAnsiTheme="majorHAnsi"/>
          <w:sz w:val="18"/>
          <w:szCs w:val="22"/>
        </w:rPr>
      </w:pPr>
    </w:p>
    <w:p w14:paraId="6FA33421" w14:textId="77777777" w:rsidR="002C1641" w:rsidRPr="00D65A97" w:rsidRDefault="002C1641" w:rsidP="00040C3A">
      <w:pPr>
        <w:tabs>
          <w:tab w:val="center" w:pos="5400"/>
        </w:tabs>
        <w:suppressAutoHyphens/>
        <w:jc w:val="center"/>
        <w:rPr>
          <w:rFonts w:asciiTheme="majorHAnsi" w:hAnsiTheme="majorHAnsi"/>
          <w:sz w:val="18"/>
          <w:szCs w:val="22"/>
        </w:rPr>
      </w:pPr>
    </w:p>
    <w:p w14:paraId="6313BFC9" w14:textId="77777777" w:rsidR="002C1641" w:rsidRPr="00D65A97" w:rsidRDefault="002C1641" w:rsidP="00040C3A">
      <w:pPr>
        <w:tabs>
          <w:tab w:val="center" w:pos="5400"/>
        </w:tabs>
        <w:suppressAutoHyphens/>
        <w:jc w:val="center"/>
        <w:rPr>
          <w:rFonts w:asciiTheme="majorHAnsi" w:hAnsiTheme="majorHAnsi"/>
          <w:sz w:val="18"/>
          <w:szCs w:val="22"/>
        </w:rPr>
      </w:pPr>
    </w:p>
    <w:p w14:paraId="07B16E25" w14:textId="77777777" w:rsidR="002C1641" w:rsidRPr="00D65A97" w:rsidRDefault="002C1641" w:rsidP="00040C3A">
      <w:pPr>
        <w:tabs>
          <w:tab w:val="center" w:pos="5400"/>
        </w:tabs>
        <w:suppressAutoHyphens/>
        <w:jc w:val="center"/>
        <w:rPr>
          <w:rFonts w:asciiTheme="majorHAnsi" w:hAnsiTheme="majorHAnsi"/>
          <w:sz w:val="18"/>
          <w:szCs w:val="22"/>
        </w:rPr>
      </w:pPr>
    </w:p>
    <w:p w14:paraId="3CDB390A" w14:textId="77777777" w:rsidR="002C1641" w:rsidRPr="00D65A97" w:rsidRDefault="002C1641" w:rsidP="00040C3A">
      <w:pPr>
        <w:tabs>
          <w:tab w:val="center" w:pos="5400"/>
        </w:tabs>
        <w:suppressAutoHyphens/>
        <w:jc w:val="center"/>
        <w:rPr>
          <w:rFonts w:asciiTheme="majorHAnsi" w:hAnsiTheme="majorHAnsi"/>
          <w:sz w:val="18"/>
          <w:szCs w:val="22"/>
        </w:rPr>
      </w:pPr>
    </w:p>
    <w:p w14:paraId="412805EE" w14:textId="77777777" w:rsidR="002C1641" w:rsidRPr="00D65A97" w:rsidRDefault="002C1641" w:rsidP="00040C3A">
      <w:pPr>
        <w:tabs>
          <w:tab w:val="center" w:pos="5400"/>
        </w:tabs>
        <w:suppressAutoHyphens/>
        <w:jc w:val="center"/>
        <w:rPr>
          <w:rFonts w:asciiTheme="majorHAnsi" w:hAnsiTheme="majorHAnsi"/>
          <w:sz w:val="18"/>
          <w:szCs w:val="22"/>
        </w:rPr>
      </w:pPr>
    </w:p>
    <w:p w14:paraId="3778585F" w14:textId="77777777" w:rsidR="002C1641" w:rsidRPr="00D65A97" w:rsidRDefault="002C1641" w:rsidP="00040C3A">
      <w:pPr>
        <w:tabs>
          <w:tab w:val="center" w:pos="5400"/>
        </w:tabs>
        <w:suppressAutoHyphens/>
        <w:jc w:val="center"/>
        <w:rPr>
          <w:rFonts w:asciiTheme="majorHAnsi" w:hAnsiTheme="majorHAnsi"/>
          <w:sz w:val="18"/>
          <w:szCs w:val="22"/>
        </w:rPr>
      </w:pPr>
    </w:p>
    <w:p w14:paraId="1EE31758" w14:textId="77777777" w:rsidR="002C1641" w:rsidRPr="00D65A97" w:rsidRDefault="002C1641" w:rsidP="00040C3A">
      <w:pPr>
        <w:tabs>
          <w:tab w:val="center" w:pos="5400"/>
        </w:tabs>
        <w:suppressAutoHyphens/>
        <w:jc w:val="center"/>
        <w:rPr>
          <w:rFonts w:asciiTheme="majorHAnsi" w:hAnsiTheme="majorHAnsi"/>
          <w:sz w:val="18"/>
          <w:szCs w:val="22"/>
        </w:rPr>
      </w:pPr>
    </w:p>
    <w:p w14:paraId="090354DA" w14:textId="77777777" w:rsidR="002C1641" w:rsidRPr="00D65A97" w:rsidRDefault="002C1641" w:rsidP="00040C3A">
      <w:pPr>
        <w:tabs>
          <w:tab w:val="center" w:pos="5400"/>
        </w:tabs>
        <w:suppressAutoHyphens/>
        <w:jc w:val="center"/>
        <w:rPr>
          <w:rFonts w:asciiTheme="majorHAnsi" w:hAnsiTheme="majorHAnsi"/>
          <w:sz w:val="18"/>
          <w:szCs w:val="22"/>
        </w:rPr>
      </w:pPr>
    </w:p>
    <w:p w14:paraId="5FDAE66A" w14:textId="77777777" w:rsidR="002C1641" w:rsidRPr="00D65A97" w:rsidRDefault="003C32BC" w:rsidP="00040C3A">
      <w:pPr>
        <w:tabs>
          <w:tab w:val="center" w:pos="5400"/>
        </w:tabs>
        <w:suppressAutoHyphens/>
        <w:jc w:val="center"/>
        <w:rPr>
          <w:rFonts w:asciiTheme="majorHAnsi" w:hAnsiTheme="majorHAnsi"/>
          <w:sz w:val="18"/>
          <w:szCs w:val="22"/>
        </w:rPr>
      </w:pPr>
      <w:r w:rsidRPr="00D65A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0C575B3" wp14:editId="3240FBF7">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9F29" w14:textId="085E938F" w:rsidR="009B5B8D" w:rsidRPr="003C32BC" w:rsidRDefault="009B5B8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w:t>
                            </w:r>
                            <w:r>
                              <w:rPr>
                                <w:rFonts w:asciiTheme="majorHAnsi" w:hAnsiTheme="majorHAnsi"/>
                                <w:color w:val="0D0D0D" w:themeColor="text1" w:themeTint="F2"/>
                                <w:sz w:val="18"/>
                                <w:szCs w:val="20"/>
                              </w:rPr>
                              <w:t xml:space="preserve">mmission at its session No. 2116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February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24</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167</w:t>
                            </w:r>
                            <w:r w:rsidRPr="0059628A">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52E79F29" w14:textId="085E938F" w:rsidR="009B5B8D" w:rsidRPr="003C32BC" w:rsidRDefault="009B5B8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w:t>
                      </w:r>
                      <w:r>
                        <w:rPr>
                          <w:rFonts w:asciiTheme="majorHAnsi" w:hAnsiTheme="majorHAnsi"/>
                          <w:color w:val="0D0D0D" w:themeColor="text1" w:themeTint="F2"/>
                          <w:sz w:val="18"/>
                          <w:szCs w:val="20"/>
                        </w:rPr>
                        <w:t xml:space="preserve">mmission at its session No. 2116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February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24</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167</w:t>
                      </w:r>
                      <w:r w:rsidRPr="0059628A">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14:paraId="6BC66BB0" w14:textId="77777777" w:rsidR="002C1641" w:rsidRPr="00D65A97" w:rsidRDefault="002C1641" w:rsidP="00040C3A">
      <w:pPr>
        <w:tabs>
          <w:tab w:val="center" w:pos="5400"/>
        </w:tabs>
        <w:suppressAutoHyphens/>
        <w:jc w:val="center"/>
        <w:rPr>
          <w:rFonts w:asciiTheme="majorHAnsi" w:hAnsiTheme="majorHAnsi"/>
          <w:sz w:val="18"/>
          <w:szCs w:val="22"/>
        </w:rPr>
      </w:pPr>
    </w:p>
    <w:p w14:paraId="361E3074" w14:textId="77777777" w:rsidR="002C1641" w:rsidRPr="00D65A97" w:rsidRDefault="002C1641" w:rsidP="00040C3A">
      <w:pPr>
        <w:tabs>
          <w:tab w:val="center" w:pos="5400"/>
        </w:tabs>
        <w:suppressAutoHyphens/>
        <w:jc w:val="center"/>
        <w:rPr>
          <w:rFonts w:asciiTheme="majorHAnsi" w:hAnsiTheme="majorHAnsi"/>
          <w:sz w:val="18"/>
          <w:szCs w:val="22"/>
        </w:rPr>
      </w:pPr>
    </w:p>
    <w:p w14:paraId="3F35B32C" w14:textId="77777777" w:rsidR="002C1641" w:rsidRPr="00D65A97" w:rsidRDefault="002C1641" w:rsidP="00040C3A">
      <w:pPr>
        <w:tabs>
          <w:tab w:val="center" w:pos="5400"/>
        </w:tabs>
        <w:suppressAutoHyphens/>
        <w:jc w:val="center"/>
        <w:rPr>
          <w:rFonts w:asciiTheme="majorHAnsi" w:hAnsiTheme="majorHAnsi"/>
          <w:sz w:val="18"/>
          <w:szCs w:val="22"/>
        </w:rPr>
      </w:pPr>
    </w:p>
    <w:p w14:paraId="0A278172" w14:textId="77777777" w:rsidR="002C1641" w:rsidRPr="00D65A97" w:rsidRDefault="002C1641" w:rsidP="00040C3A">
      <w:pPr>
        <w:tabs>
          <w:tab w:val="center" w:pos="5400"/>
        </w:tabs>
        <w:suppressAutoHyphens/>
        <w:jc w:val="center"/>
        <w:rPr>
          <w:rFonts w:asciiTheme="majorHAnsi" w:hAnsiTheme="majorHAnsi"/>
          <w:sz w:val="18"/>
          <w:szCs w:val="22"/>
        </w:rPr>
      </w:pPr>
    </w:p>
    <w:p w14:paraId="289D9974" w14:textId="77777777" w:rsidR="002C1641" w:rsidRPr="00D65A97" w:rsidRDefault="003C32BC" w:rsidP="00040C3A">
      <w:pPr>
        <w:tabs>
          <w:tab w:val="center" w:pos="5400"/>
        </w:tabs>
        <w:suppressAutoHyphens/>
        <w:jc w:val="center"/>
        <w:rPr>
          <w:rFonts w:asciiTheme="majorHAnsi" w:hAnsiTheme="majorHAnsi"/>
          <w:sz w:val="18"/>
          <w:szCs w:val="22"/>
        </w:rPr>
      </w:pPr>
      <w:r w:rsidRPr="00D65A9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20F0575" wp14:editId="1551068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B15D9" w14:textId="3FF6A3B8" w:rsidR="009B5B8D" w:rsidRPr="00AE2292" w:rsidRDefault="009B5B8D" w:rsidP="0059628A">
                            <w:pPr>
                              <w:spacing w:line="276" w:lineRule="auto"/>
                              <w:rPr>
                                <w:rFonts w:asciiTheme="majorHAnsi" w:hAnsiTheme="majorHAnsi"/>
                                <w:color w:val="595959" w:themeColor="text1" w:themeTint="A6"/>
                                <w:sz w:val="18"/>
                                <w:szCs w:val="18"/>
                              </w:rPr>
                            </w:pPr>
                            <w:r w:rsidRPr="00AE2292">
                              <w:rPr>
                                <w:rFonts w:asciiTheme="majorHAnsi" w:hAnsiTheme="majorHAnsi"/>
                                <w:b/>
                                <w:color w:val="595959" w:themeColor="text1" w:themeTint="A6"/>
                                <w:sz w:val="18"/>
                              </w:rPr>
                              <w:t xml:space="preserve">Cite as: </w:t>
                            </w:r>
                            <w:r w:rsidRPr="00AE2292">
                              <w:rPr>
                                <w:rFonts w:asciiTheme="majorHAnsi" w:hAnsiTheme="majorHAnsi"/>
                                <w:color w:val="595959" w:themeColor="text1" w:themeTint="A6"/>
                                <w:sz w:val="18"/>
                              </w:rPr>
                              <w:t xml:space="preserve">IACHR, </w:t>
                            </w:r>
                            <w:r w:rsidRPr="00AE2292">
                              <w:rPr>
                                <w:rFonts w:asciiTheme="majorHAnsi" w:hAnsiTheme="majorHAnsi"/>
                                <w:color w:val="595959" w:themeColor="text1" w:themeTint="A6"/>
                                <w:sz w:val="18"/>
                                <w:szCs w:val="18"/>
                              </w:rPr>
                              <w:t xml:space="preserve">Report No. </w:t>
                            </w:r>
                            <w:r>
                              <w:rPr>
                                <w:rFonts w:asciiTheme="majorHAnsi" w:hAnsiTheme="majorHAnsi"/>
                                <w:color w:val="595959" w:themeColor="text1" w:themeTint="A6"/>
                                <w:sz w:val="18"/>
                                <w:szCs w:val="18"/>
                              </w:rPr>
                              <w:t>23</w:t>
                            </w:r>
                            <w:r w:rsidRPr="00AE2292">
                              <w:rPr>
                                <w:rFonts w:asciiTheme="majorHAnsi" w:hAnsiTheme="majorHAnsi"/>
                                <w:color w:val="595959" w:themeColor="text1" w:themeTint="A6"/>
                                <w:sz w:val="18"/>
                                <w:szCs w:val="18"/>
                              </w:rPr>
                              <w:t>/</w:t>
                            </w:r>
                            <w:r>
                              <w:rPr>
                                <w:rFonts w:asciiTheme="majorHAnsi" w:hAnsiTheme="majorHAnsi"/>
                                <w:color w:val="595959" w:themeColor="text1" w:themeTint="A6"/>
                                <w:sz w:val="18"/>
                                <w:szCs w:val="18"/>
                              </w:rPr>
                              <w:t>18</w:t>
                            </w:r>
                            <w:r w:rsidRPr="00AE2292">
                              <w:rPr>
                                <w:rFonts w:asciiTheme="majorHAnsi" w:hAnsiTheme="majorHAnsi"/>
                                <w:color w:val="595959" w:themeColor="text1" w:themeTint="A6"/>
                                <w:sz w:val="18"/>
                                <w:szCs w:val="18"/>
                              </w:rPr>
                              <w:t>, Case 12.329. Merits. Vicente Ariel Noguera and Family. Paraguay.</w:t>
                            </w:r>
                            <w:r>
                              <w:rPr>
                                <w:rFonts w:asciiTheme="majorHAnsi" w:hAnsiTheme="majorHAnsi"/>
                                <w:color w:val="595959" w:themeColor="text1" w:themeTint="A6"/>
                                <w:sz w:val="18"/>
                                <w:szCs w:val="18"/>
                              </w:rPr>
                              <w:t xml:space="preserve"> February 24, 2018</w:t>
                            </w:r>
                            <w:r w:rsidRPr="00AE2292">
                              <w:rPr>
                                <w:rFonts w:asciiTheme="majorHAnsi" w:hAnsiTheme="majorHAnsi"/>
                                <w:color w:val="595959" w:themeColor="text1" w:themeTint="A6"/>
                                <w:sz w:val="18"/>
                                <w:szCs w:val="18"/>
                              </w:rPr>
                              <w:t>.</w:t>
                            </w:r>
                          </w:p>
                          <w:p w14:paraId="18C22C1B" w14:textId="77777777" w:rsidR="009B5B8D" w:rsidRPr="00AE2292" w:rsidRDefault="009B5B8D"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7F3B15D9" w14:textId="3FF6A3B8" w:rsidR="009B5B8D" w:rsidRPr="00AE2292" w:rsidRDefault="009B5B8D" w:rsidP="0059628A">
                      <w:pPr>
                        <w:spacing w:line="276" w:lineRule="auto"/>
                        <w:rPr>
                          <w:rFonts w:asciiTheme="majorHAnsi" w:hAnsiTheme="majorHAnsi"/>
                          <w:color w:val="595959" w:themeColor="text1" w:themeTint="A6"/>
                          <w:sz w:val="18"/>
                          <w:szCs w:val="18"/>
                        </w:rPr>
                      </w:pPr>
                      <w:r w:rsidRPr="00AE2292">
                        <w:rPr>
                          <w:rFonts w:asciiTheme="majorHAnsi" w:hAnsiTheme="majorHAnsi"/>
                          <w:b/>
                          <w:color w:val="595959" w:themeColor="text1" w:themeTint="A6"/>
                          <w:sz w:val="18"/>
                        </w:rPr>
                        <w:t xml:space="preserve">Cite as: </w:t>
                      </w:r>
                      <w:r w:rsidRPr="00AE2292">
                        <w:rPr>
                          <w:rFonts w:asciiTheme="majorHAnsi" w:hAnsiTheme="majorHAnsi"/>
                          <w:color w:val="595959" w:themeColor="text1" w:themeTint="A6"/>
                          <w:sz w:val="18"/>
                        </w:rPr>
                        <w:t xml:space="preserve">IACHR, </w:t>
                      </w:r>
                      <w:r w:rsidRPr="00AE2292">
                        <w:rPr>
                          <w:rFonts w:asciiTheme="majorHAnsi" w:hAnsiTheme="majorHAnsi"/>
                          <w:color w:val="595959" w:themeColor="text1" w:themeTint="A6"/>
                          <w:sz w:val="18"/>
                          <w:szCs w:val="18"/>
                        </w:rPr>
                        <w:t xml:space="preserve">Report No. </w:t>
                      </w:r>
                      <w:r>
                        <w:rPr>
                          <w:rFonts w:asciiTheme="majorHAnsi" w:hAnsiTheme="majorHAnsi"/>
                          <w:color w:val="595959" w:themeColor="text1" w:themeTint="A6"/>
                          <w:sz w:val="18"/>
                          <w:szCs w:val="18"/>
                        </w:rPr>
                        <w:t>23</w:t>
                      </w:r>
                      <w:r w:rsidRPr="00AE2292">
                        <w:rPr>
                          <w:rFonts w:asciiTheme="majorHAnsi" w:hAnsiTheme="majorHAnsi"/>
                          <w:color w:val="595959" w:themeColor="text1" w:themeTint="A6"/>
                          <w:sz w:val="18"/>
                          <w:szCs w:val="18"/>
                        </w:rPr>
                        <w:t>/</w:t>
                      </w:r>
                      <w:r>
                        <w:rPr>
                          <w:rFonts w:asciiTheme="majorHAnsi" w:hAnsiTheme="majorHAnsi"/>
                          <w:color w:val="595959" w:themeColor="text1" w:themeTint="A6"/>
                          <w:sz w:val="18"/>
                          <w:szCs w:val="18"/>
                        </w:rPr>
                        <w:t>18</w:t>
                      </w:r>
                      <w:r w:rsidRPr="00AE2292">
                        <w:rPr>
                          <w:rFonts w:asciiTheme="majorHAnsi" w:hAnsiTheme="majorHAnsi"/>
                          <w:color w:val="595959" w:themeColor="text1" w:themeTint="A6"/>
                          <w:sz w:val="18"/>
                          <w:szCs w:val="18"/>
                        </w:rPr>
                        <w:t>, Case 12.329. Merits. Vicente Ariel Noguera and Family. Paraguay.</w:t>
                      </w:r>
                      <w:r>
                        <w:rPr>
                          <w:rFonts w:asciiTheme="majorHAnsi" w:hAnsiTheme="majorHAnsi"/>
                          <w:color w:val="595959" w:themeColor="text1" w:themeTint="A6"/>
                          <w:sz w:val="18"/>
                          <w:szCs w:val="18"/>
                        </w:rPr>
                        <w:t xml:space="preserve"> February 24, 2018</w:t>
                      </w:r>
                      <w:r w:rsidRPr="00AE2292">
                        <w:rPr>
                          <w:rFonts w:asciiTheme="majorHAnsi" w:hAnsiTheme="majorHAnsi"/>
                          <w:color w:val="595959" w:themeColor="text1" w:themeTint="A6"/>
                          <w:sz w:val="18"/>
                          <w:szCs w:val="18"/>
                        </w:rPr>
                        <w:t>.</w:t>
                      </w:r>
                    </w:p>
                    <w:p w14:paraId="18C22C1B" w14:textId="77777777" w:rsidR="009B5B8D" w:rsidRPr="00AE2292" w:rsidRDefault="009B5B8D" w:rsidP="00F644E6">
                      <w:pPr>
                        <w:spacing w:line="276" w:lineRule="auto"/>
                        <w:rPr>
                          <w:rFonts w:asciiTheme="majorHAnsi" w:hAnsiTheme="majorHAnsi"/>
                          <w:color w:val="595959" w:themeColor="text1" w:themeTint="A6"/>
                          <w:sz w:val="18"/>
                        </w:rPr>
                      </w:pPr>
                    </w:p>
                  </w:txbxContent>
                </v:textbox>
              </v:shape>
            </w:pict>
          </mc:Fallback>
        </mc:AlternateContent>
      </w:r>
    </w:p>
    <w:p w14:paraId="4114C2F8" w14:textId="77777777" w:rsidR="002C1641" w:rsidRPr="00D65A97" w:rsidRDefault="002C1641" w:rsidP="00040C3A">
      <w:pPr>
        <w:tabs>
          <w:tab w:val="center" w:pos="5400"/>
        </w:tabs>
        <w:suppressAutoHyphens/>
        <w:jc w:val="center"/>
        <w:rPr>
          <w:rFonts w:asciiTheme="majorHAnsi" w:hAnsiTheme="majorHAnsi"/>
          <w:sz w:val="18"/>
          <w:szCs w:val="22"/>
        </w:rPr>
      </w:pPr>
    </w:p>
    <w:p w14:paraId="5488770A" w14:textId="77777777" w:rsidR="002C1641" w:rsidRPr="00D65A97" w:rsidRDefault="002C1641" w:rsidP="00040C3A">
      <w:pPr>
        <w:tabs>
          <w:tab w:val="center" w:pos="5400"/>
        </w:tabs>
        <w:suppressAutoHyphens/>
        <w:jc w:val="center"/>
        <w:rPr>
          <w:rFonts w:asciiTheme="majorHAnsi" w:hAnsiTheme="majorHAnsi"/>
          <w:sz w:val="18"/>
          <w:szCs w:val="22"/>
        </w:rPr>
      </w:pPr>
    </w:p>
    <w:p w14:paraId="124B9766" w14:textId="77777777" w:rsidR="003C32BC" w:rsidRPr="00D65A97" w:rsidRDefault="003C32BC" w:rsidP="003C32BC">
      <w:pPr>
        <w:tabs>
          <w:tab w:val="center" w:pos="5400"/>
        </w:tabs>
        <w:suppressAutoHyphens/>
        <w:jc w:val="center"/>
        <w:rPr>
          <w:rFonts w:asciiTheme="majorHAnsi" w:hAnsiTheme="majorHAnsi"/>
          <w:sz w:val="18"/>
          <w:szCs w:val="22"/>
        </w:rPr>
      </w:pPr>
    </w:p>
    <w:p w14:paraId="78FBD295" w14:textId="77777777" w:rsidR="003C32BC" w:rsidRPr="00D65A97" w:rsidRDefault="006311DA" w:rsidP="003C32BC">
      <w:pPr>
        <w:tabs>
          <w:tab w:val="center" w:pos="5400"/>
        </w:tabs>
        <w:suppressAutoHyphens/>
        <w:jc w:val="center"/>
        <w:rPr>
          <w:rFonts w:asciiTheme="majorHAnsi" w:hAnsiTheme="majorHAnsi"/>
          <w:sz w:val="18"/>
          <w:szCs w:val="22"/>
        </w:rPr>
      </w:pPr>
      <w:r w:rsidRPr="00D65A9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073260B" wp14:editId="3C875C6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79016" w14:textId="77777777" w:rsidR="009B5B8D" w:rsidRPr="004B7EB6" w:rsidRDefault="009B5B8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E579016" w14:textId="77777777" w:rsidR="009B5B8D" w:rsidRPr="004B7EB6" w:rsidRDefault="009B5B8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65A9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FF0F339" wp14:editId="49AFABB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CDFAD" w14:textId="77777777" w:rsidR="009B5B8D" w:rsidRDefault="009B5B8D">
                            <w:r>
                              <w:rPr>
                                <w:noProof/>
                              </w:rPr>
                              <w:drawing>
                                <wp:inline distT="0" distB="0" distL="0" distR="0" wp14:anchorId="045871E4" wp14:editId="5015F2D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2AACDFAD" w14:textId="77777777" w:rsidR="009B5B8D" w:rsidRDefault="009B5B8D">
                      <w:r>
                        <w:rPr>
                          <w:noProof/>
                        </w:rPr>
                        <w:drawing>
                          <wp:inline distT="0" distB="0" distL="0" distR="0" wp14:anchorId="045871E4" wp14:editId="5015F2D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6FCA969C" w14:textId="77777777" w:rsidR="007607C4" w:rsidRPr="00D65A97" w:rsidRDefault="007607C4" w:rsidP="003C32BC">
      <w:pPr>
        <w:tabs>
          <w:tab w:val="center" w:pos="5400"/>
        </w:tabs>
        <w:suppressAutoHyphens/>
        <w:jc w:val="center"/>
        <w:rPr>
          <w:rFonts w:asciiTheme="majorHAnsi" w:hAnsiTheme="majorHAnsi"/>
          <w:sz w:val="18"/>
          <w:szCs w:val="22"/>
        </w:rPr>
        <w:sectPr w:rsidR="007607C4" w:rsidRPr="00D65A97"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4A00E1DF" w14:textId="5ED95F19" w:rsidR="00300D46" w:rsidRPr="00D65A97" w:rsidRDefault="00D65A97" w:rsidP="00300D46">
      <w:pPr>
        <w:jc w:val="center"/>
        <w:rPr>
          <w:rFonts w:asciiTheme="majorHAnsi" w:hAnsiTheme="majorHAnsi"/>
          <w:b/>
          <w:sz w:val="18"/>
          <w:szCs w:val="20"/>
        </w:rPr>
      </w:pPr>
      <w:r w:rsidRPr="00D65A97">
        <w:rPr>
          <w:rFonts w:asciiTheme="majorHAnsi" w:hAnsiTheme="majorHAnsi"/>
          <w:b/>
          <w:sz w:val="18"/>
          <w:szCs w:val="20"/>
        </w:rPr>
        <w:lastRenderedPageBreak/>
        <w:t xml:space="preserve">REPORT </w:t>
      </w:r>
      <w:r w:rsidR="00300D46" w:rsidRPr="00D65A97">
        <w:rPr>
          <w:rFonts w:asciiTheme="majorHAnsi" w:hAnsiTheme="majorHAnsi"/>
          <w:b/>
          <w:sz w:val="18"/>
          <w:szCs w:val="20"/>
        </w:rPr>
        <w:t xml:space="preserve">No. </w:t>
      </w:r>
      <w:r w:rsidR="00417E10">
        <w:rPr>
          <w:rFonts w:asciiTheme="majorHAnsi" w:hAnsiTheme="majorHAnsi"/>
          <w:b/>
          <w:sz w:val="18"/>
          <w:szCs w:val="20"/>
        </w:rPr>
        <w:t>23</w:t>
      </w:r>
      <w:r w:rsidR="00300D46" w:rsidRPr="00D65A97">
        <w:rPr>
          <w:rFonts w:asciiTheme="majorHAnsi" w:hAnsiTheme="majorHAnsi"/>
          <w:b/>
          <w:sz w:val="18"/>
          <w:szCs w:val="20"/>
        </w:rPr>
        <w:t>/</w:t>
      </w:r>
      <w:r w:rsidR="00417E10">
        <w:rPr>
          <w:rFonts w:asciiTheme="majorHAnsi" w:hAnsiTheme="majorHAnsi"/>
          <w:b/>
          <w:sz w:val="18"/>
          <w:szCs w:val="20"/>
        </w:rPr>
        <w:t>18</w:t>
      </w:r>
    </w:p>
    <w:p w14:paraId="1EE603F3" w14:textId="63F57A8A" w:rsidR="00300D46" w:rsidRPr="00D65A97" w:rsidRDefault="00D65A97" w:rsidP="00300D46">
      <w:pPr>
        <w:jc w:val="center"/>
        <w:rPr>
          <w:rFonts w:asciiTheme="majorHAnsi" w:hAnsiTheme="majorHAnsi"/>
          <w:sz w:val="18"/>
          <w:szCs w:val="20"/>
        </w:rPr>
      </w:pPr>
      <w:r w:rsidRPr="00D65A97">
        <w:rPr>
          <w:rFonts w:asciiTheme="majorHAnsi" w:hAnsiTheme="majorHAnsi"/>
          <w:sz w:val="18"/>
          <w:szCs w:val="20"/>
        </w:rPr>
        <w:t>CASE</w:t>
      </w:r>
      <w:r w:rsidR="00300D46" w:rsidRPr="00D65A97">
        <w:rPr>
          <w:rFonts w:asciiTheme="majorHAnsi" w:hAnsiTheme="majorHAnsi"/>
          <w:sz w:val="18"/>
          <w:szCs w:val="20"/>
        </w:rPr>
        <w:t xml:space="preserve"> 12.329</w:t>
      </w:r>
    </w:p>
    <w:p w14:paraId="7932563E" w14:textId="18E7CB06" w:rsidR="00300D46" w:rsidRPr="00D65A97" w:rsidRDefault="00D65A97" w:rsidP="00300D46">
      <w:pPr>
        <w:jc w:val="center"/>
        <w:rPr>
          <w:rFonts w:asciiTheme="majorHAnsi" w:hAnsiTheme="majorHAnsi"/>
          <w:sz w:val="18"/>
          <w:szCs w:val="20"/>
        </w:rPr>
      </w:pPr>
      <w:r w:rsidRPr="00D65A97">
        <w:rPr>
          <w:rFonts w:asciiTheme="majorHAnsi" w:hAnsiTheme="majorHAnsi"/>
          <w:sz w:val="18"/>
          <w:szCs w:val="20"/>
        </w:rPr>
        <w:t xml:space="preserve">VICENTE ARIEL NOGUERA AND FAMILY </w:t>
      </w:r>
    </w:p>
    <w:p w14:paraId="1B2387FB" w14:textId="77777777" w:rsidR="00300D46" w:rsidRPr="00D65A97" w:rsidRDefault="00300D46" w:rsidP="00300D46">
      <w:pPr>
        <w:jc w:val="center"/>
        <w:rPr>
          <w:rFonts w:asciiTheme="majorHAnsi" w:hAnsiTheme="majorHAnsi"/>
          <w:sz w:val="18"/>
          <w:szCs w:val="20"/>
        </w:rPr>
      </w:pPr>
      <w:r w:rsidRPr="00D65A97">
        <w:rPr>
          <w:rFonts w:asciiTheme="majorHAnsi" w:hAnsiTheme="majorHAnsi"/>
          <w:sz w:val="18"/>
          <w:szCs w:val="20"/>
        </w:rPr>
        <w:t>PARAGUAY</w:t>
      </w:r>
    </w:p>
    <w:p w14:paraId="3D245A9C" w14:textId="7A1456E0" w:rsidR="00300D46" w:rsidRPr="00D65A97" w:rsidRDefault="00417E10" w:rsidP="00300D46">
      <w:pPr>
        <w:jc w:val="center"/>
        <w:rPr>
          <w:rFonts w:asciiTheme="majorHAnsi" w:hAnsiTheme="majorHAnsi"/>
          <w:sz w:val="18"/>
          <w:szCs w:val="20"/>
        </w:rPr>
      </w:pPr>
      <w:r>
        <w:rPr>
          <w:rFonts w:asciiTheme="majorHAnsi" w:hAnsiTheme="majorHAnsi"/>
          <w:sz w:val="18"/>
          <w:szCs w:val="20"/>
        </w:rPr>
        <w:t>FEBRUARY 24, 2018</w:t>
      </w:r>
    </w:p>
    <w:p w14:paraId="36B4F5E1" w14:textId="77777777" w:rsidR="00300D46" w:rsidRPr="00D65A97" w:rsidRDefault="00300D46" w:rsidP="00300D46">
      <w:pPr>
        <w:jc w:val="center"/>
        <w:rPr>
          <w:rFonts w:asciiTheme="majorHAnsi" w:hAnsiTheme="majorHAnsi"/>
          <w:b/>
          <w:sz w:val="20"/>
          <w:szCs w:val="20"/>
        </w:rPr>
      </w:pPr>
    </w:p>
    <w:p w14:paraId="57497F18" w14:textId="77777777" w:rsidR="00300D46" w:rsidRPr="00D65A97" w:rsidRDefault="00300D46" w:rsidP="00300D46">
      <w:pPr>
        <w:jc w:val="center"/>
        <w:rPr>
          <w:rFonts w:asciiTheme="majorHAnsi" w:hAnsiTheme="majorHAnsi"/>
          <w:b/>
          <w:sz w:val="20"/>
          <w:szCs w:val="20"/>
        </w:rPr>
      </w:pPr>
    </w:p>
    <w:p w14:paraId="399DAB10" w14:textId="23B26922" w:rsidR="00300D46" w:rsidRPr="00D65A97" w:rsidRDefault="00D65A97" w:rsidP="00300D46">
      <w:pPr>
        <w:pStyle w:val="Heading1"/>
      </w:pPr>
      <w:bookmarkStart w:id="2" w:name="_Toc506095163"/>
      <w:r w:rsidRPr="00D65A97">
        <w:t xml:space="preserve">SUMMARY </w:t>
      </w:r>
      <w:bookmarkEnd w:id="2"/>
    </w:p>
    <w:p w14:paraId="70B85B80" w14:textId="77777777" w:rsidR="00300D46" w:rsidRPr="00D65A97" w:rsidRDefault="00300D46" w:rsidP="00300D46">
      <w:pPr>
        <w:ind w:left="1080"/>
        <w:jc w:val="both"/>
        <w:rPr>
          <w:rFonts w:asciiTheme="majorHAnsi" w:hAnsiTheme="majorHAnsi"/>
          <w:b/>
          <w:sz w:val="20"/>
          <w:szCs w:val="20"/>
        </w:rPr>
      </w:pPr>
    </w:p>
    <w:p w14:paraId="6B9B43C5" w14:textId="71E17985" w:rsidR="00300D46" w:rsidRPr="00D65A97" w:rsidRDefault="00D65A97"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D65A97">
        <w:rPr>
          <w:rFonts w:asciiTheme="majorHAnsi" w:hAnsiTheme="majorHAnsi"/>
          <w:sz w:val="20"/>
          <w:szCs w:val="20"/>
        </w:rPr>
        <w:t xml:space="preserve">On </w:t>
      </w:r>
      <w:r>
        <w:rPr>
          <w:rFonts w:asciiTheme="majorHAnsi" w:hAnsiTheme="majorHAnsi"/>
          <w:sz w:val="20"/>
          <w:szCs w:val="20"/>
        </w:rPr>
        <w:t xml:space="preserve">October </w:t>
      </w:r>
      <w:r w:rsidR="00300D46" w:rsidRPr="00D65A97">
        <w:rPr>
          <w:rFonts w:asciiTheme="majorHAnsi" w:hAnsiTheme="majorHAnsi"/>
          <w:sz w:val="20"/>
          <w:szCs w:val="20"/>
        </w:rPr>
        <w:t>17</w:t>
      </w:r>
      <w:r>
        <w:rPr>
          <w:rFonts w:asciiTheme="majorHAnsi" w:hAnsiTheme="majorHAnsi"/>
          <w:sz w:val="20"/>
          <w:szCs w:val="20"/>
        </w:rPr>
        <w:t>,</w:t>
      </w:r>
      <w:r w:rsidR="00C36537">
        <w:rPr>
          <w:rFonts w:asciiTheme="majorHAnsi" w:hAnsiTheme="majorHAnsi"/>
          <w:sz w:val="20"/>
          <w:szCs w:val="20"/>
        </w:rPr>
        <w:t xml:space="preserve"> 2000, the Inter-American Commission on Human Rights (hereinafter “the Inter-American Commission,” “the Commission” or “the IACHR”) received a petition lodged by </w:t>
      </w:r>
      <w:r w:rsidR="00300D46" w:rsidRPr="00D65A97">
        <w:rPr>
          <w:rFonts w:asciiTheme="majorHAnsi" w:hAnsiTheme="majorHAnsi"/>
          <w:sz w:val="20"/>
          <w:szCs w:val="20"/>
        </w:rPr>
        <w:t>Maria Noguera (</w:t>
      </w:r>
      <w:r w:rsidR="00C36537">
        <w:rPr>
          <w:rFonts w:asciiTheme="majorHAnsi" w:hAnsiTheme="majorHAnsi"/>
          <w:sz w:val="20"/>
          <w:szCs w:val="20"/>
        </w:rPr>
        <w:t>hereinafter “the petitioner”), alleging international responsibility of the Republic of Paragua</w:t>
      </w:r>
      <w:r w:rsidR="00AE2292">
        <w:rPr>
          <w:rFonts w:asciiTheme="majorHAnsi" w:hAnsiTheme="majorHAnsi"/>
          <w:sz w:val="20"/>
          <w:szCs w:val="20"/>
        </w:rPr>
        <w:t>y</w:t>
      </w:r>
      <w:r w:rsidR="00C36537">
        <w:rPr>
          <w:rFonts w:asciiTheme="majorHAnsi" w:hAnsiTheme="majorHAnsi"/>
          <w:sz w:val="20"/>
          <w:szCs w:val="20"/>
        </w:rPr>
        <w:t xml:space="preserve"> (hereinafter “the Paraguayan State,” “the State” or “Paraguay”) for human rights violations related to the death of her son </w:t>
      </w:r>
      <w:r w:rsidR="00300D46" w:rsidRPr="00D65A97">
        <w:rPr>
          <w:rFonts w:asciiTheme="majorHAnsi" w:hAnsiTheme="majorHAnsi"/>
          <w:sz w:val="20"/>
          <w:szCs w:val="20"/>
        </w:rPr>
        <w:t xml:space="preserve">Vicente Ariel Noguera. </w:t>
      </w:r>
    </w:p>
    <w:p w14:paraId="3E83C996" w14:textId="77777777" w:rsidR="00300D46" w:rsidRPr="00D65A97" w:rsidRDefault="00300D46" w:rsidP="00300D46">
      <w:pPr>
        <w:ind w:left="720" w:firstLine="720"/>
        <w:jc w:val="both"/>
        <w:rPr>
          <w:rFonts w:asciiTheme="majorHAnsi" w:hAnsiTheme="majorHAnsi"/>
          <w:sz w:val="20"/>
          <w:szCs w:val="20"/>
        </w:rPr>
      </w:pPr>
    </w:p>
    <w:p w14:paraId="60D9646B" w14:textId="7C0BEDB5" w:rsidR="00300D46" w:rsidRPr="00D65A97" w:rsidRDefault="00593909"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Commission approved Report on A</w:t>
      </w:r>
      <w:r w:rsidR="00331D3B">
        <w:rPr>
          <w:rFonts w:asciiTheme="majorHAnsi" w:hAnsiTheme="majorHAnsi"/>
          <w:sz w:val="20"/>
          <w:szCs w:val="20"/>
        </w:rPr>
        <w:t xml:space="preserve">dmissibility </w:t>
      </w:r>
      <w:r w:rsidR="00300D46" w:rsidRPr="00D65A97">
        <w:rPr>
          <w:rFonts w:asciiTheme="majorHAnsi" w:hAnsiTheme="majorHAnsi"/>
          <w:sz w:val="20"/>
          <w:szCs w:val="20"/>
        </w:rPr>
        <w:t xml:space="preserve">No. 10/11 </w:t>
      </w:r>
      <w:r w:rsidR="00331D3B">
        <w:rPr>
          <w:rFonts w:asciiTheme="majorHAnsi" w:hAnsiTheme="majorHAnsi"/>
          <w:sz w:val="20"/>
          <w:szCs w:val="20"/>
        </w:rPr>
        <w:t xml:space="preserve">on March </w:t>
      </w:r>
      <w:r w:rsidR="00300D46" w:rsidRPr="00D65A97">
        <w:rPr>
          <w:rFonts w:asciiTheme="majorHAnsi" w:hAnsiTheme="majorHAnsi"/>
          <w:sz w:val="20"/>
          <w:szCs w:val="20"/>
        </w:rPr>
        <w:t>22</w:t>
      </w:r>
      <w:r w:rsidR="00331D3B">
        <w:rPr>
          <w:rFonts w:asciiTheme="majorHAnsi" w:hAnsiTheme="majorHAnsi"/>
          <w:sz w:val="20"/>
          <w:szCs w:val="20"/>
        </w:rPr>
        <w:t>,</w:t>
      </w:r>
      <w:r w:rsidR="00300D46" w:rsidRPr="00D65A97">
        <w:rPr>
          <w:rFonts w:asciiTheme="majorHAnsi" w:hAnsiTheme="majorHAnsi"/>
          <w:sz w:val="20"/>
          <w:szCs w:val="20"/>
        </w:rPr>
        <w:t xml:space="preserve"> 2011</w:t>
      </w:r>
      <w:r w:rsidR="00950B43">
        <w:rPr>
          <w:rFonts w:asciiTheme="majorHAnsi" w:hAnsiTheme="majorHAnsi"/>
          <w:sz w:val="20"/>
          <w:szCs w:val="20"/>
        </w:rPr>
        <w:t>.</w:t>
      </w:r>
      <w:r w:rsidR="00300D46" w:rsidRPr="00D65A97">
        <w:rPr>
          <w:rStyle w:val="FootnoteReference"/>
          <w:rFonts w:asciiTheme="majorHAnsi" w:hAnsiTheme="majorHAnsi"/>
          <w:sz w:val="20"/>
          <w:szCs w:val="20"/>
        </w:rPr>
        <w:footnoteReference w:id="2"/>
      </w:r>
      <w:r w:rsidR="00300D46" w:rsidRPr="00D65A97">
        <w:rPr>
          <w:rFonts w:asciiTheme="majorHAnsi" w:hAnsiTheme="majorHAnsi"/>
          <w:sz w:val="20"/>
          <w:szCs w:val="20"/>
        </w:rPr>
        <w:t xml:space="preserve"> </w:t>
      </w:r>
      <w:r w:rsidR="00B41F65">
        <w:rPr>
          <w:rFonts w:asciiTheme="majorHAnsi" w:hAnsiTheme="majorHAnsi"/>
          <w:sz w:val="20"/>
          <w:szCs w:val="20"/>
        </w:rPr>
        <w:t xml:space="preserve"> On April 20, 2011, the Commission notified the parties </w:t>
      </w:r>
      <w:r w:rsidR="004563F2">
        <w:rPr>
          <w:rFonts w:asciiTheme="majorHAnsi" w:hAnsiTheme="majorHAnsi"/>
          <w:sz w:val="20"/>
          <w:szCs w:val="20"/>
        </w:rPr>
        <w:t xml:space="preserve">about </w:t>
      </w:r>
      <w:r w:rsidR="00B41F65">
        <w:rPr>
          <w:rFonts w:asciiTheme="majorHAnsi" w:hAnsiTheme="majorHAnsi"/>
          <w:sz w:val="20"/>
          <w:szCs w:val="20"/>
        </w:rPr>
        <w:t>said report</w:t>
      </w:r>
      <w:r w:rsidR="00360CD6">
        <w:rPr>
          <w:rFonts w:asciiTheme="majorHAnsi" w:hAnsiTheme="majorHAnsi"/>
          <w:sz w:val="20"/>
          <w:szCs w:val="20"/>
        </w:rPr>
        <w:t xml:space="preserve"> and placed itself at their disposal in order to reach a friendly settlement agreement.</w:t>
      </w:r>
      <w:r w:rsidR="00300D46" w:rsidRPr="00D65A97">
        <w:rPr>
          <w:rStyle w:val="FootnoteReference"/>
          <w:rFonts w:asciiTheme="majorHAnsi" w:hAnsiTheme="majorHAnsi"/>
          <w:sz w:val="20"/>
          <w:szCs w:val="20"/>
        </w:rPr>
        <w:footnoteReference w:id="3"/>
      </w:r>
      <w:r w:rsidR="00300D46" w:rsidRPr="00D65A97">
        <w:rPr>
          <w:rFonts w:asciiTheme="majorHAnsi" w:hAnsiTheme="majorHAnsi"/>
          <w:sz w:val="20"/>
          <w:szCs w:val="20"/>
        </w:rPr>
        <w:t xml:space="preserve"> </w:t>
      </w:r>
      <w:r w:rsidR="005E7E43">
        <w:rPr>
          <w:rFonts w:asciiTheme="majorHAnsi" w:hAnsiTheme="majorHAnsi"/>
          <w:sz w:val="20"/>
          <w:szCs w:val="20"/>
        </w:rPr>
        <w:t>The parties were granted all</w:t>
      </w:r>
      <w:r w:rsidR="00606599">
        <w:rPr>
          <w:rFonts w:asciiTheme="majorHAnsi" w:hAnsiTheme="majorHAnsi"/>
          <w:sz w:val="20"/>
          <w:szCs w:val="20"/>
        </w:rPr>
        <w:t xml:space="preserve"> time periods provided </w:t>
      </w:r>
      <w:r w:rsidR="005D17B9">
        <w:rPr>
          <w:rFonts w:asciiTheme="majorHAnsi" w:hAnsiTheme="majorHAnsi"/>
          <w:sz w:val="20"/>
          <w:szCs w:val="20"/>
        </w:rPr>
        <w:t xml:space="preserve">for </w:t>
      </w:r>
      <w:r w:rsidR="00606599">
        <w:rPr>
          <w:rFonts w:asciiTheme="majorHAnsi" w:hAnsiTheme="majorHAnsi"/>
          <w:sz w:val="20"/>
          <w:szCs w:val="20"/>
        </w:rPr>
        <w:t>under the r</w:t>
      </w:r>
      <w:r w:rsidR="00AD425C">
        <w:rPr>
          <w:rFonts w:asciiTheme="majorHAnsi" w:hAnsiTheme="majorHAnsi"/>
          <w:sz w:val="20"/>
          <w:szCs w:val="20"/>
        </w:rPr>
        <w:t xml:space="preserve">ules of procedure to submit their </w:t>
      </w:r>
      <w:r w:rsidR="005A3BB9">
        <w:rPr>
          <w:rFonts w:asciiTheme="majorHAnsi" w:hAnsiTheme="majorHAnsi"/>
          <w:sz w:val="20"/>
          <w:szCs w:val="20"/>
        </w:rPr>
        <w:t xml:space="preserve">additional observations on the merits. </w:t>
      </w:r>
      <w:r w:rsidR="00F36742">
        <w:rPr>
          <w:rFonts w:asciiTheme="majorHAnsi" w:hAnsiTheme="majorHAnsi"/>
          <w:sz w:val="20"/>
          <w:szCs w:val="20"/>
        </w:rPr>
        <w:t>All of the inf</w:t>
      </w:r>
      <w:r w:rsidR="00E12B2C">
        <w:rPr>
          <w:rFonts w:asciiTheme="majorHAnsi" w:hAnsiTheme="majorHAnsi"/>
          <w:sz w:val="20"/>
          <w:szCs w:val="20"/>
        </w:rPr>
        <w:t>ormation received from them was</w:t>
      </w:r>
      <w:r w:rsidR="00F36742">
        <w:rPr>
          <w:rFonts w:asciiTheme="majorHAnsi" w:hAnsiTheme="majorHAnsi"/>
          <w:sz w:val="20"/>
          <w:szCs w:val="20"/>
        </w:rPr>
        <w:t xml:space="preserve"> duly forwarded to the opposing party. </w:t>
      </w:r>
    </w:p>
    <w:p w14:paraId="0EEE506A" w14:textId="77777777" w:rsidR="00300D46" w:rsidRPr="00D65A97" w:rsidRDefault="00300D46" w:rsidP="00300D46">
      <w:pPr>
        <w:pStyle w:val="ListParagraph"/>
        <w:ind w:firstLine="720"/>
        <w:rPr>
          <w:rFonts w:asciiTheme="majorHAnsi" w:hAnsiTheme="majorHAnsi"/>
          <w:sz w:val="20"/>
          <w:szCs w:val="20"/>
        </w:rPr>
      </w:pPr>
    </w:p>
    <w:p w14:paraId="678FA96E" w14:textId="6BFEBCE8" w:rsidR="00300D46" w:rsidRPr="00D65A97" w:rsidRDefault="004626FE"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petitioner </w:t>
      </w:r>
      <w:r w:rsidR="000601B7">
        <w:rPr>
          <w:rFonts w:asciiTheme="majorHAnsi" w:hAnsiTheme="majorHAnsi"/>
          <w:sz w:val="20"/>
          <w:szCs w:val="20"/>
        </w:rPr>
        <w:t xml:space="preserve">alleged that </w:t>
      </w:r>
      <w:r w:rsidR="00300D46" w:rsidRPr="00D65A97">
        <w:rPr>
          <w:rFonts w:asciiTheme="majorHAnsi" w:hAnsiTheme="majorHAnsi"/>
          <w:sz w:val="20"/>
          <w:szCs w:val="20"/>
        </w:rPr>
        <w:t xml:space="preserve">Vicente Ariel Noguera </w:t>
      </w:r>
      <w:r w:rsidR="000601B7">
        <w:rPr>
          <w:rFonts w:asciiTheme="majorHAnsi" w:hAnsiTheme="majorHAnsi"/>
          <w:sz w:val="20"/>
          <w:szCs w:val="20"/>
        </w:rPr>
        <w:t xml:space="preserve">was recruited at 15 years of age to </w:t>
      </w:r>
      <w:r w:rsidR="00A83893">
        <w:rPr>
          <w:rFonts w:asciiTheme="majorHAnsi" w:hAnsiTheme="majorHAnsi"/>
          <w:sz w:val="20"/>
          <w:szCs w:val="20"/>
        </w:rPr>
        <w:t>provide</w:t>
      </w:r>
      <w:r w:rsidR="009E70F7">
        <w:rPr>
          <w:rFonts w:asciiTheme="majorHAnsi" w:hAnsiTheme="majorHAnsi"/>
          <w:sz w:val="20"/>
          <w:szCs w:val="20"/>
        </w:rPr>
        <w:t xml:space="preserve"> </w:t>
      </w:r>
      <w:r w:rsidR="000601B7">
        <w:rPr>
          <w:rFonts w:asciiTheme="majorHAnsi" w:hAnsiTheme="majorHAnsi"/>
          <w:sz w:val="20"/>
          <w:szCs w:val="20"/>
        </w:rPr>
        <w:t>voluntary military service and died at 17 years</w:t>
      </w:r>
      <w:r w:rsidR="007A1C71">
        <w:rPr>
          <w:rFonts w:asciiTheme="majorHAnsi" w:hAnsiTheme="majorHAnsi"/>
          <w:sz w:val="20"/>
          <w:szCs w:val="20"/>
        </w:rPr>
        <w:t xml:space="preserve"> of age</w:t>
      </w:r>
      <w:r w:rsidR="00F02E79">
        <w:rPr>
          <w:rFonts w:asciiTheme="majorHAnsi" w:hAnsiTheme="majorHAnsi"/>
          <w:sz w:val="20"/>
          <w:szCs w:val="20"/>
        </w:rPr>
        <w:t>,</w:t>
      </w:r>
      <w:r w:rsidR="007A1C71">
        <w:rPr>
          <w:rFonts w:asciiTheme="majorHAnsi" w:hAnsiTheme="majorHAnsi"/>
          <w:sz w:val="20"/>
          <w:szCs w:val="20"/>
        </w:rPr>
        <w:t xml:space="preserve"> at military facilities</w:t>
      </w:r>
      <w:r w:rsidR="00F02E79">
        <w:rPr>
          <w:rFonts w:asciiTheme="majorHAnsi" w:hAnsiTheme="majorHAnsi"/>
          <w:sz w:val="20"/>
          <w:szCs w:val="20"/>
        </w:rPr>
        <w:t xml:space="preserve"> and</w:t>
      </w:r>
      <w:r w:rsidR="000601B7">
        <w:rPr>
          <w:rFonts w:asciiTheme="majorHAnsi" w:hAnsiTheme="majorHAnsi"/>
          <w:sz w:val="20"/>
          <w:szCs w:val="20"/>
        </w:rPr>
        <w:t xml:space="preserve"> in dubious circumstances. </w:t>
      </w:r>
      <w:r w:rsidR="00D95C80">
        <w:rPr>
          <w:rFonts w:asciiTheme="majorHAnsi" w:hAnsiTheme="majorHAnsi"/>
          <w:sz w:val="20"/>
          <w:szCs w:val="20"/>
        </w:rPr>
        <w:t xml:space="preserve">She further contended that two </w:t>
      </w:r>
      <w:r w:rsidR="003010F1">
        <w:rPr>
          <w:rFonts w:asciiTheme="majorHAnsi" w:hAnsiTheme="majorHAnsi"/>
          <w:sz w:val="20"/>
          <w:szCs w:val="20"/>
        </w:rPr>
        <w:t>investigations were carried out into his death in the military and ordinary criminal ju</w:t>
      </w:r>
      <w:r w:rsidR="0036073D">
        <w:rPr>
          <w:rFonts w:asciiTheme="majorHAnsi" w:hAnsiTheme="majorHAnsi"/>
          <w:sz w:val="20"/>
          <w:szCs w:val="20"/>
        </w:rPr>
        <w:t xml:space="preserve">risdictions, which concluded with a dismissal and archiving </w:t>
      </w:r>
      <w:r w:rsidR="001C204B">
        <w:rPr>
          <w:rFonts w:asciiTheme="majorHAnsi" w:hAnsiTheme="majorHAnsi"/>
          <w:sz w:val="20"/>
          <w:szCs w:val="20"/>
        </w:rPr>
        <w:t xml:space="preserve">of the case, </w:t>
      </w:r>
      <w:r w:rsidR="0036073D">
        <w:rPr>
          <w:rFonts w:asciiTheme="majorHAnsi" w:hAnsiTheme="majorHAnsi"/>
          <w:sz w:val="20"/>
          <w:szCs w:val="20"/>
        </w:rPr>
        <w:t xml:space="preserve">respectively. The petitioner </w:t>
      </w:r>
      <w:r w:rsidR="00AA13A0">
        <w:rPr>
          <w:rFonts w:asciiTheme="majorHAnsi" w:hAnsiTheme="majorHAnsi"/>
          <w:sz w:val="20"/>
          <w:szCs w:val="20"/>
        </w:rPr>
        <w:t xml:space="preserve">claimed </w:t>
      </w:r>
      <w:r w:rsidR="0036073D">
        <w:rPr>
          <w:rFonts w:asciiTheme="majorHAnsi" w:hAnsiTheme="majorHAnsi"/>
          <w:sz w:val="20"/>
          <w:szCs w:val="20"/>
        </w:rPr>
        <w:t xml:space="preserve">that according to accounts of his fellow soldiers, his death was the result of the use of excessive physical punishments and other mistreatment. </w:t>
      </w:r>
      <w:r w:rsidR="004F3C88">
        <w:rPr>
          <w:rFonts w:asciiTheme="majorHAnsi" w:hAnsiTheme="majorHAnsi"/>
          <w:sz w:val="20"/>
          <w:szCs w:val="20"/>
        </w:rPr>
        <w:t xml:space="preserve">She also argued that Vicente Ariel Noguera’s </w:t>
      </w:r>
      <w:r w:rsidR="00FC302C">
        <w:rPr>
          <w:rFonts w:asciiTheme="majorHAnsi" w:hAnsiTheme="majorHAnsi"/>
          <w:sz w:val="20"/>
          <w:szCs w:val="20"/>
        </w:rPr>
        <w:t>classmates, who were</w:t>
      </w:r>
      <w:r w:rsidR="004F3C88">
        <w:rPr>
          <w:rFonts w:asciiTheme="majorHAnsi" w:hAnsiTheme="majorHAnsi"/>
          <w:sz w:val="20"/>
          <w:szCs w:val="20"/>
        </w:rPr>
        <w:t xml:space="preserve"> candidates for promotion to corporal</w:t>
      </w:r>
      <w:r w:rsidR="00FC302C">
        <w:rPr>
          <w:rFonts w:asciiTheme="majorHAnsi" w:hAnsiTheme="majorHAnsi"/>
          <w:sz w:val="20"/>
          <w:szCs w:val="20"/>
        </w:rPr>
        <w:t>,</w:t>
      </w:r>
      <w:r w:rsidR="006F7649">
        <w:rPr>
          <w:rFonts w:asciiTheme="majorHAnsi" w:hAnsiTheme="majorHAnsi"/>
          <w:sz w:val="20"/>
          <w:szCs w:val="20"/>
        </w:rPr>
        <w:t xml:space="preserve"> were threatened</w:t>
      </w:r>
      <w:r w:rsidR="00984D6B">
        <w:rPr>
          <w:rFonts w:asciiTheme="majorHAnsi" w:hAnsiTheme="majorHAnsi"/>
          <w:sz w:val="20"/>
          <w:szCs w:val="20"/>
        </w:rPr>
        <w:t xml:space="preserve"> </w:t>
      </w:r>
      <w:r w:rsidR="00A41D3E">
        <w:rPr>
          <w:rFonts w:asciiTheme="majorHAnsi" w:hAnsiTheme="majorHAnsi"/>
          <w:sz w:val="20"/>
          <w:szCs w:val="20"/>
        </w:rPr>
        <w:t>in order to conceal</w:t>
      </w:r>
      <w:r w:rsidR="00E61FFF">
        <w:rPr>
          <w:rFonts w:asciiTheme="majorHAnsi" w:hAnsiTheme="majorHAnsi"/>
          <w:sz w:val="20"/>
          <w:szCs w:val="20"/>
        </w:rPr>
        <w:t xml:space="preserve"> </w:t>
      </w:r>
      <w:r w:rsidR="006F7649">
        <w:rPr>
          <w:rFonts w:asciiTheme="majorHAnsi" w:hAnsiTheme="majorHAnsi"/>
          <w:sz w:val="20"/>
          <w:szCs w:val="20"/>
        </w:rPr>
        <w:t xml:space="preserve">the true circumstances of his death. </w:t>
      </w:r>
    </w:p>
    <w:p w14:paraId="0D63C046" w14:textId="77777777" w:rsidR="00300D46" w:rsidRPr="00D65A97" w:rsidRDefault="00300D46" w:rsidP="00300D46">
      <w:pPr>
        <w:pStyle w:val="ListParagraph"/>
        <w:ind w:firstLine="720"/>
        <w:rPr>
          <w:rFonts w:asciiTheme="majorHAnsi" w:hAnsiTheme="majorHAnsi"/>
          <w:sz w:val="20"/>
          <w:szCs w:val="20"/>
        </w:rPr>
      </w:pPr>
    </w:p>
    <w:p w14:paraId="46D3F2B4" w14:textId="5A67DAC8" w:rsidR="00300D46" w:rsidRPr="00D65A97" w:rsidRDefault="0090704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State alleged that Vicente Ariel</w:t>
      </w:r>
      <w:r w:rsidR="00D0244A">
        <w:rPr>
          <w:rFonts w:asciiTheme="majorHAnsi" w:hAnsiTheme="majorHAnsi"/>
          <w:sz w:val="20"/>
          <w:szCs w:val="20"/>
        </w:rPr>
        <w:t xml:space="preserve"> Noguera’s death was caused by</w:t>
      </w:r>
      <w:r>
        <w:rPr>
          <w:rFonts w:asciiTheme="majorHAnsi" w:hAnsiTheme="majorHAnsi"/>
          <w:sz w:val="20"/>
          <w:szCs w:val="20"/>
        </w:rPr>
        <w:t xml:space="preserve"> disease and that it was</w:t>
      </w:r>
      <w:r w:rsidR="00D0244A">
        <w:rPr>
          <w:rFonts w:asciiTheme="majorHAnsi" w:hAnsiTheme="majorHAnsi"/>
          <w:sz w:val="20"/>
          <w:szCs w:val="20"/>
        </w:rPr>
        <w:t xml:space="preserve"> corroborated.</w:t>
      </w:r>
      <w:r>
        <w:rPr>
          <w:rFonts w:asciiTheme="majorHAnsi" w:hAnsiTheme="majorHAnsi"/>
          <w:sz w:val="20"/>
          <w:szCs w:val="20"/>
        </w:rPr>
        <w:t xml:space="preserve"> </w:t>
      </w:r>
      <w:r w:rsidR="00FE17A3">
        <w:rPr>
          <w:rFonts w:asciiTheme="majorHAnsi" w:hAnsiTheme="majorHAnsi"/>
          <w:sz w:val="20"/>
          <w:szCs w:val="20"/>
        </w:rPr>
        <w:t xml:space="preserve">It also contended that the investigation </w:t>
      </w:r>
      <w:r w:rsidR="00CE2304">
        <w:rPr>
          <w:rFonts w:asciiTheme="majorHAnsi" w:hAnsiTheme="majorHAnsi"/>
          <w:sz w:val="20"/>
          <w:szCs w:val="20"/>
        </w:rPr>
        <w:t xml:space="preserve">in the ordinary criminal jurisdiction was archived in keeping with </w:t>
      </w:r>
      <w:r w:rsidR="00A64A47">
        <w:rPr>
          <w:rFonts w:asciiTheme="majorHAnsi" w:hAnsiTheme="majorHAnsi"/>
          <w:sz w:val="20"/>
          <w:szCs w:val="20"/>
        </w:rPr>
        <w:t xml:space="preserve">the </w:t>
      </w:r>
      <w:r w:rsidR="00CE2304">
        <w:rPr>
          <w:rFonts w:asciiTheme="majorHAnsi" w:hAnsiTheme="majorHAnsi"/>
          <w:sz w:val="20"/>
          <w:szCs w:val="20"/>
        </w:rPr>
        <w:t xml:space="preserve">procedural law in force at the time and </w:t>
      </w:r>
      <w:r w:rsidR="0097481A">
        <w:rPr>
          <w:rFonts w:asciiTheme="majorHAnsi" w:hAnsiTheme="majorHAnsi"/>
          <w:sz w:val="20"/>
          <w:szCs w:val="20"/>
        </w:rPr>
        <w:t>in accordance with</w:t>
      </w:r>
      <w:r w:rsidR="00CE2304">
        <w:rPr>
          <w:rFonts w:asciiTheme="majorHAnsi" w:hAnsiTheme="majorHAnsi"/>
          <w:sz w:val="20"/>
          <w:szCs w:val="20"/>
        </w:rPr>
        <w:t xml:space="preserve"> due process of law. </w:t>
      </w:r>
      <w:r w:rsidR="00692624">
        <w:rPr>
          <w:rFonts w:asciiTheme="majorHAnsi" w:hAnsiTheme="majorHAnsi"/>
          <w:sz w:val="20"/>
          <w:szCs w:val="20"/>
        </w:rPr>
        <w:t xml:space="preserve">Lastly, it claimed that at the time the events took place, the recruitment </w:t>
      </w:r>
      <w:r w:rsidR="00D22419">
        <w:rPr>
          <w:rFonts w:asciiTheme="majorHAnsi" w:hAnsiTheme="majorHAnsi"/>
          <w:sz w:val="20"/>
          <w:szCs w:val="20"/>
        </w:rPr>
        <w:t xml:space="preserve">persons </w:t>
      </w:r>
      <w:r w:rsidR="00692624">
        <w:rPr>
          <w:rFonts w:asciiTheme="majorHAnsi" w:hAnsiTheme="majorHAnsi"/>
          <w:sz w:val="20"/>
          <w:szCs w:val="20"/>
        </w:rPr>
        <w:t xml:space="preserve">under 18 years of age was </w:t>
      </w:r>
      <w:r w:rsidR="007E1E2F">
        <w:rPr>
          <w:rFonts w:asciiTheme="majorHAnsi" w:hAnsiTheme="majorHAnsi"/>
          <w:sz w:val="20"/>
          <w:szCs w:val="20"/>
        </w:rPr>
        <w:t>prohibited</w:t>
      </w:r>
      <w:r w:rsidR="00692624">
        <w:rPr>
          <w:rFonts w:asciiTheme="majorHAnsi" w:hAnsiTheme="majorHAnsi"/>
          <w:sz w:val="20"/>
          <w:szCs w:val="20"/>
        </w:rPr>
        <w:t xml:space="preserve"> in Paraguay</w:t>
      </w:r>
      <w:r w:rsidR="0097481A">
        <w:rPr>
          <w:rFonts w:asciiTheme="majorHAnsi" w:hAnsiTheme="majorHAnsi"/>
          <w:sz w:val="20"/>
          <w:szCs w:val="20"/>
        </w:rPr>
        <w:t xml:space="preserve">, as it currently is and, consequently, said enlistment </w:t>
      </w:r>
      <w:r w:rsidR="00E0242B">
        <w:rPr>
          <w:rFonts w:asciiTheme="majorHAnsi" w:hAnsiTheme="majorHAnsi"/>
          <w:sz w:val="20"/>
          <w:szCs w:val="20"/>
        </w:rPr>
        <w:t xml:space="preserve">does not </w:t>
      </w:r>
      <w:r w:rsidR="00FF1FC8">
        <w:rPr>
          <w:rFonts w:asciiTheme="majorHAnsi" w:hAnsiTheme="majorHAnsi"/>
          <w:sz w:val="20"/>
          <w:szCs w:val="20"/>
        </w:rPr>
        <w:t xml:space="preserve">incur </w:t>
      </w:r>
      <w:r w:rsidR="0003128A">
        <w:rPr>
          <w:rFonts w:asciiTheme="majorHAnsi" w:hAnsiTheme="majorHAnsi"/>
          <w:sz w:val="20"/>
          <w:szCs w:val="20"/>
        </w:rPr>
        <w:t xml:space="preserve">its </w:t>
      </w:r>
      <w:r w:rsidR="00E0242B">
        <w:rPr>
          <w:rFonts w:asciiTheme="majorHAnsi" w:hAnsiTheme="majorHAnsi"/>
          <w:sz w:val="20"/>
          <w:szCs w:val="20"/>
        </w:rPr>
        <w:t>int</w:t>
      </w:r>
      <w:r w:rsidR="008619C0">
        <w:rPr>
          <w:rFonts w:asciiTheme="majorHAnsi" w:hAnsiTheme="majorHAnsi"/>
          <w:sz w:val="20"/>
          <w:szCs w:val="20"/>
        </w:rPr>
        <w:t>ernational responsibility</w:t>
      </w:r>
      <w:r w:rsidR="00E0242B">
        <w:rPr>
          <w:rFonts w:asciiTheme="majorHAnsi" w:hAnsiTheme="majorHAnsi"/>
          <w:sz w:val="20"/>
          <w:szCs w:val="20"/>
        </w:rPr>
        <w:t xml:space="preserve">. </w:t>
      </w:r>
    </w:p>
    <w:p w14:paraId="4C12C2D9" w14:textId="77777777" w:rsidR="00300D46" w:rsidRPr="00D65A97" w:rsidRDefault="00300D46" w:rsidP="00300D46">
      <w:pPr>
        <w:pStyle w:val="ListParagraph"/>
        <w:ind w:firstLine="720"/>
        <w:rPr>
          <w:rFonts w:asciiTheme="majorHAnsi" w:hAnsiTheme="majorHAnsi"/>
          <w:sz w:val="20"/>
          <w:szCs w:val="20"/>
        </w:rPr>
      </w:pPr>
    </w:p>
    <w:p w14:paraId="06C9E869" w14:textId="701D3877" w:rsidR="00300D46" w:rsidRPr="00D65A97" w:rsidRDefault="00BF04F3"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Based on the determinations of fact and law, the Inter-American Commission concluded that the State is responsible for the violation of Article 4.1 (right to life), Article 5.2 (right to humane treatment), 8.1 (right to a fair trial), 25.1 (judicial protection), and 19 (rights of the child), in </w:t>
      </w:r>
      <w:r w:rsidR="00D6751B">
        <w:rPr>
          <w:rFonts w:asciiTheme="majorHAnsi" w:hAnsiTheme="majorHAnsi"/>
          <w:sz w:val="20"/>
          <w:szCs w:val="20"/>
        </w:rPr>
        <w:t xml:space="preserve">connection with </w:t>
      </w:r>
      <w:r w:rsidR="00280D85">
        <w:rPr>
          <w:rFonts w:asciiTheme="majorHAnsi" w:hAnsiTheme="majorHAnsi"/>
          <w:sz w:val="20"/>
          <w:szCs w:val="20"/>
        </w:rPr>
        <w:t xml:space="preserve">the obligations </w:t>
      </w:r>
      <w:r w:rsidR="00D6751B">
        <w:rPr>
          <w:rFonts w:asciiTheme="majorHAnsi" w:hAnsiTheme="majorHAnsi"/>
          <w:sz w:val="20"/>
          <w:szCs w:val="20"/>
        </w:rPr>
        <w:t xml:space="preserve">set forth </w:t>
      </w:r>
      <w:r w:rsidR="00280D85">
        <w:rPr>
          <w:rFonts w:asciiTheme="majorHAnsi" w:hAnsiTheme="majorHAnsi"/>
          <w:sz w:val="20"/>
          <w:szCs w:val="20"/>
        </w:rPr>
        <w:t xml:space="preserve">under Articles 1.1 and 2 of the same instrument. </w:t>
      </w:r>
      <w:r w:rsidR="00D10DC1">
        <w:rPr>
          <w:rFonts w:asciiTheme="majorHAnsi" w:hAnsiTheme="majorHAnsi"/>
          <w:sz w:val="20"/>
          <w:szCs w:val="20"/>
        </w:rPr>
        <w:t xml:space="preserve">The Commission issued the respective recommendations. </w:t>
      </w:r>
    </w:p>
    <w:p w14:paraId="0AE5B500" w14:textId="77777777" w:rsidR="00300D46" w:rsidRPr="00D65A97" w:rsidRDefault="00300D46" w:rsidP="00300D46">
      <w:pPr>
        <w:ind w:left="720"/>
        <w:jc w:val="both"/>
        <w:rPr>
          <w:rFonts w:asciiTheme="majorHAnsi" w:hAnsiTheme="majorHAnsi"/>
          <w:sz w:val="20"/>
          <w:szCs w:val="20"/>
        </w:rPr>
      </w:pPr>
    </w:p>
    <w:p w14:paraId="295D84F6" w14:textId="1F711AE9" w:rsidR="00300D46" w:rsidRPr="00D65A97" w:rsidRDefault="00D10DC1" w:rsidP="00300D46">
      <w:pPr>
        <w:pStyle w:val="Heading1"/>
      </w:pPr>
      <w:bookmarkStart w:id="3" w:name="_Toc506095164"/>
      <w:r>
        <w:t xml:space="preserve">POSITIONS OF THE PARTIES </w:t>
      </w:r>
      <w:bookmarkEnd w:id="3"/>
    </w:p>
    <w:p w14:paraId="03C2A18B" w14:textId="77777777" w:rsidR="00300D46" w:rsidRPr="00D65A97" w:rsidRDefault="00300D46" w:rsidP="00300D46">
      <w:pPr>
        <w:ind w:left="1080"/>
        <w:jc w:val="both"/>
        <w:rPr>
          <w:rFonts w:asciiTheme="majorHAnsi" w:hAnsiTheme="majorHAnsi"/>
          <w:b/>
          <w:sz w:val="20"/>
          <w:szCs w:val="20"/>
        </w:rPr>
      </w:pPr>
    </w:p>
    <w:p w14:paraId="5CBC129B" w14:textId="09A87753" w:rsidR="00300D46" w:rsidRPr="00D65A97" w:rsidRDefault="00D10DC1" w:rsidP="00300D46">
      <w:pPr>
        <w:pStyle w:val="Heading2"/>
        <w:ind w:hanging="720"/>
      </w:pPr>
      <w:bookmarkStart w:id="4" w:name="_Toc506095165"/>
      <w:r>
        <w:t xml:space="preserve">Petitioner </w:t>
      </w:r>
      <w:bookmarkEnd w:id="4"/>
    </w:p>
    <w:p w14:paraId="3622BE98" w14:textId="77777777" w:rsidR="00300D46" w:rsidRPr="00D65A97" w:rsidRDefault="00300D46" w:rsidP="00300D46">
      <w:pPr>
        <w:ind w:left="1440"/>
        <w:jc w:val="both"/>
        <w:rPr>
          <w:rFonts w:asciiTheme="majorHAnsi" w:hAnsiTheme="majorHAnsi"/>
          <w:b/>
          <w:sz w:val="20"/>
          <w:szCs w:val="20"/>
        </w:rPr>
      </w:pPr>
    </w:p>
    <w:p w14:paraId="6DF6917A" w14:textId="12A47AB3" w:rsidR="00300D46" w:rsidRPr="00D65A97" w:rsidRDefault="007B28B8"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lastRenderedPageBreak/>
        <w:t xml:space="preserve">The petitioner </w:t>
      </w:r>
      <w:r w:rsidR="00455627">
        <w:rPr>
          <w:rFonts w:asciiTheme="majorHAnsi" w:hAnsiTheme="majorHAnsi"/>
          <w:sz w:val="20"/>
          <w:szCs w:val="20"/>
        </w:rPr>
        <w:t xml:space="preserve">argued </w:t>
      </w:r>
      <w:r>
        <w:rPr>
          <w:rFonts w:asciiTheme="majorHAnsi" w:hAnsiTheme="majorHAnsi"/>
          <w:sz w:val="20"/>
          <w:szCs w:val="20"/>
        </w:rPr>
        <w:t xml:space="preserve">that </w:t>
      </w:r>
      <w:r w:rsidR="00300D46" w:rsidRPr="00D65A97">
        <w:rPr>
          <w:rFonts w:asciiTheme="majorHAnsi" w:hAnsiTheme="majorHAnsi"/>
          <w:sz w:val="20"/>
          <w:szCs w:val="20"/>
        </w:rPr>
        <w:t xml:space="preserve">Vicente Ariel Noguera </w:t>
      </w:r>
      <w:r w:rsidR="00455627">
        <w:rPr>
          <w:rFonts w:asciiTheme="majorHAnsi" w:hAnsiTheme="majorHAnsi"/>
          <w:sz w:val="20"/>
          <w:szCs w:val="20"/>
        </w:rPr>
        <w:t xml:space="preserve">was born in </w:t>
      </w:r>
      <w:r w:rsidR="00300D46" w:rsidRPr="00D65A97">
        <w:rPr>
          <w:rFonts w:asciiTheme="majorHAnsi" w:hAnsiTheme="majorHAnsi"/>
          <w:sz w:val="20"/>
          <w:szCs w:val="20"/>
        </w:rPr>
        <w:t xml:space="preserve">Asunción, Paraguay, </w:t>
      </w:r>
      <w:r w:rsidR="00455627">
        <w:rPr>
          <w:rFonts w:asciiTheme="majorHAnsi" w:hAnsiTheme="majorHAnsi"/>
          <w:sz w:val="20"/>
          <w:szCs w:val="20"/>
        </w:rPr>
        <w:t xml:space="preserve">on April </w:t>
      </w:r>
      <w:r w:rsidR="00300D46" w:rsidRPr="00D65A97">
        <w:rPr>
          <w:rFonts w:asciiTheme="majorHAnsi" w:hAnsiTheme="majorHAnsi"/>
          <w:sz w:val="20"/>
          <w:szCs w:val="20"/>
        </w:rPr>
        <w:t>29</w:t>
      </w:r>
      <w:r w:rsidR="003774C5">
        <w:rPr>
          <w:rFonts w:asciiTheme="majorHAnsi" w:hAnsiTheme="majorHAnsi"/>
          <w:sz w:val="20"/>
          <w:szCs w:val="20"/>
        </w:rPr>
        <w:t>,</w:t>
      </w:r>
      <w:r w:rsidR="00300D46" w:rsidRPr="00D65A97">
        <w:rPr>
          <w:rFonts w:asciiTheme="majorHAnsi" w:hAnsiTheme="majorHAnsi"/>
          <w:sz w:val="20"/>
          <w:szCs w:val="20"/>
        </w:rPr>
        <w:t xml:space="preserve"> 1978. </w:t>
      </w:r>
      <w:r w:rsidR="0029415F">
        <w:rPr>
          <w:rFonts w:asciiTheme="majorHAnsi" w:hAnsiTheme="majorHAnsi"/>
          <w:sz w:val="20"/>
          <w:szCs w:val="20"/>
        </w:rPr>
        <w:t xml:space="preserve">She claimed that at the time of the events, the alleged victim was 17 years of age and was serving in his second term of military service at the </w:t>
      </w:r>
      <w:r w:rsidR="00091014" w:rsidRPr="00091014">
        <w:rPr>
          <w:rFonts w:asciiTheme="majorHAnsi" w:hAnsiTheme="majorHAnsi"/>
          <w:sz w:val="20"/>
          <w:szCs w:val="20"/>
        </w:rPr>
        <w:t xml:space="preserve">Reserve Officers Military Training Center </w:t>
      </w:r>
      <w:r w:rsidR="00300D46" w:rsidRPr="00D65A97">
        <w:rPr>
          <w:rFonts w:asciiTheme="majorHAnsi" w:hAnsiTheme="majorHAnsi"/>
          <w:sz w:val="20"/>
          <w:szCs w:val="20"/>
        </w:rPr>
        <w:t>(</w:t>
      </w:r>
      <w:r w:rsidR="00091014">
        <w:rPr>
          <w:rFonts w:asciiTheme="majorHAnsi" w:hAnsiTheme="majorHAnsi"/>
          <w:sz w:val="20"/>
          <w:szCs w:val="20"/>
        </w:rPr>
        <w:t xml:space="preserve">hereinafter </w:t>
      </w:r>
      <w:r w:rsidR="00300D46" w:rsidRPr="00D65A97">
        <w:rPr>
          <w:rFonts w:asciiTheme="majorHAnsi" w:hAnsiTheme="majorHAnsi"/>
          <w:sz w:val="20"/>
          <w:szCs w:val="20"/>
        </w:rPr>
        <w:t>“</w:t>
      </w:r>
      <w:r w:rsidR="00417E10">
        <w:rPr>
          <w:rFonts w:asciiTheme="majorHAnsi" w:hAnsiTheme="majorHAnsi"/>
          <w:sz w:val="20"/>
          <w:szCs w:val="20"/>
        </w:rPr>
        <w:t xml:space="preserve">the </w:t>
      </w:r>
      <w:r w:rsidR="00300D46" w:rsidRPr="00D65A97">
        <w:rPr>
          <w:rFonts w:asciiTheme="majorHAnsi" w:hAnsiTheme="majorHAnsi"/>
          <w:sz w:val="20"/>
          <w:szCs w:val="20"/>
        </w:rPr>
        <w:t xml:space="preserve">CIMEFOR”) </w:t>
      </w:r>
      <w:r w:rsidR="00091014">
        <w:rPr>
          <w:rFonts w:asciiTheme="majorHAnsi" w:hAnsiTheme="majorHAnsi"/>
          <w:sz w:val="20"/>
          <w:szCs w:val="20"/>
        </w:rPr>
        <w:t>as a candidate for the rank of Corporal</w:t>
      </w:r>
      <w:r w:rsidR="00300D46" w:rsidRPr="00D65A97">
        <w:rPr>
          <w:rFonts w:asciiTheme="majorHAnsi" w:hAnsiTheme="majorHAnsi"/>
          <w:sz w:val="20"/>
          <w:szCs w:val="20"/>
        </w:rPr>
        <w:t>.</w:t>
      </w:r>
      <w:r w:rsidR="00300D46" w:rsidRPr="00D65A97">
        <w:rPr>
          <w:rFonts w:asciiTheme="majorHAnsi" w:hAnsiTheme="majorHAnsi"/>
          <w:b/>
          <w:sz w:val="20"/>
          <w:szCs w:val="20"/>
        </w:rPr>
        <w:t xml:space="preserve"> </w:t>
      </w:r>
      <w:r w:rsidR="000F4625">
        <w:rPr>
          <w:rFonts w:asciiTheme="majorHAnsi" w:hAnsiTheme="majorHAnsi"/>
          <w:sz w:val="20"/>
          <w:szCs w:val="20"/>
        </w:rPr>
        <w:t xml:space="preserve">She noted that the alleged victim died on January 11, 1996 at the facilities of the Third Army Corps, </w:t>
      </w:r>
      <w:r w:rsidR="00EF5303">
        <w:rPr>
          <w:rFonts w:asciiTheme="majorHAnsi" w:hAnsiTheme="majorHAnsi"/>
          <w:sz w:val="20"/>
          <w:szCs w:val="20"/>
        </w:rPr>
        <w:t xml:space="preserve">in the town of </w:t>
      </w:r>
      <w:r w:rsidR="00300D46" w:rsidRPr="00D65A97">
        <w:rPr>
          <w:rFonts w:asciiTheme="majorHAnsi" w:hAnsiTheme="majorHAnsi"/>
          <w:sz w:val="20"/>
          <w:szCs w:val="20"/>
        </w:rPr>
        <w:t xml:space="preserve">Mariscal Estigarribia, Chaco. </w:t>
      </w:r>
      <w:r w:rsidR="00BC64A2">
        <w:rPr>
          <w:rFonts w:asciiTheme="majorHAnsi" w:hAnsiTheme="majorHAnsi"/>
          <w:sz w:val="20"/>
          <w:szCs w:val="20"/>
        </w:rPr>
        <w:t>She contended that as of the present date</w:t>
      </w:r>
      <w:r w:rsidR="00EB2246">
        <w:rPr>
          <w:rFonts w:asciiTheme="majorHAnsi" w:hAnsiTheme="majorHAnsi"/>
          <w:sz w:val="20"/>
          <w:szCs w:val="20"/>
        </w:rPr>
        <w:t>,</w:t>
      </w:r>
      <w:r w:rsidR="00BC64A2">
        <w:rPr>
          <w:rFonts w:asciiTheme="majorHAnsi" w:hAnsiTheme="majorHAnsi"/>
          <w:sz w:val="20"/>
          <w:szCs w:val="20"/>
        </w:rPr>
        <w:t xml:space="preserve"> the circumstances and cause of the death of the alleged </w:t>
      </w:r>
      <w:r w:rsidR="00E929B2">
        <w:rPr>
          <w:rFonts w:asciiTheme="majorHAnsi" w:hAnsiTheme="majorHAnsi"/>
          <w:sz w:val="20"/>
          <w:szCs w:val="20"/>
        </w:rPr>
        <w:t>victim have not been</w:t>
      </w:r>
      <w:r w:rsidR="00EB2246">
        <w:rPr>
          <w:rFonts w:asciiTheme="majorHAnsi" w:hAnsiTheme="majorHAnsi"/>
          <w:sz w:val="20"/>
          <w:szCs w:val="20"/>
        </w:rPr>
        <w:t xml:space="preserve"> uncovered</w:t>
      </w:r>
      <w:r w:rsidR="00E929B2">
        <w:rPr>
          <w:rFonts w:asciiTheme="majorHAnsi" w:hAnsiTheme="majorHAnsi"/>
          <w:sz w:val="20"/>
          <w:szCs w:val="20"/>
        </w:rPr>
        <w:t xml:space="preserve">. </w:t>
      </w:r>
    </w:p>
    <w:p w14:paraId="2737E15E" w14:textId="77777777" w:rsidR="00300D46" w:rsidRPr="00D65A97" w:rsidRDefault="00300D46" w:rsidP="00300D46">
      <w:pPr>
        <w:ind w:left="360"/>
        <w:jc w:val="both"/>
        <w:rPr>
          <w:rFonts w:asciiTheme="majorHAnsi" w:hAnsiTheme="majorHAnsi"/>
          <w:b/>
          <w:sz w:val="20"/>
          <w:szCs w:val="20"/>
        </w:rPr>
      </w:pPr>
    </w:p>
    <w:p w14:paraId="25CDAA4B" w14:textId="15183740" w:rsidR="00300D46" w:rsidRPr="00D65A97" w:rsidRDefault="003A369C"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She argued that</w:t>
      </w:r>
      <w:r w:rsidR="001F3929">
        <w:rPr>
          <w:rFonts w:asciiTheme="majorHAnsi" w:hAnsiTheme="majorHAnsi"/>
          <w:sz w:val="20"/>
          <w:szCs w:val="20"/>
        </w:rPr>
        <w:t>, after the initial medical examination,</w:t>
      </w:r>
      <w:r>
        <w:rPr>
          <w:rFonts w:asciiTheme="majorHAnsi" w:hAnsiTheme="majorHAnsi"/>
          <w:sz w:val="20"/>
          <w:szCs w:val="20"/>
        </w:rPr>
        <w:t xml:space="preserve"> Vicente Ariel Noguera’s </w:t>
      </w:r>
      <w:r w:rsidR="002A24BC">
        <w:rPr>
          <w:rFonts w:asciiTheme="majorHAnsi" w:hAnsiTheme="majorHAnsi"/>
          <w:sz w:val="20"/>
          <w:szCs w:val="20"/>
        </w:rPr>
        <w:t xml:space="preserve">death </w:t>
      </w:r>
      <w:r>
        <w:rPr>
          <w:rFonts w:asciiTheme="majorHAnsi" w:hAnsiTheme="majorHAnsi"/>
          <w:sz w:val="20"/>
          <w:szCs w:val="20"/>
        </w:rPr>
        <w:t xml:space="preserve">was </w:t>
      </w:r>
      <w:r w:rsidR="00C651CB">
        <w:rPr>
          <w:rFonts w:asciiTheme="majorHAnsi" w:hAnsiTheme="majorHAnsi"/>
          <w:sz w:val="20"/>
          <w:szCs w:val="20"/>
        </w:rPr>
        <w:t xml:space="preserve">described </w:t>
      </w:r>
      <w:r>
        <w:rPr>
          <w:rFonts w:asciiTheme="majorHAnsi" w:hAnsiTheme="majorHAnsi"/>
          <w:sz w:val="20"/>
          <w:szCs w:val="20"/>
        </w:rPr>
        <w:t>as “sudden death</w:t>
      </w:r>
      <w:r w:rsidR="006A6DCD">
        <w:rPr>
          <w:rFonts w:asciiTheme="majorHAnsi" w:hAnsiTheme="majorHAnsi"/>
          <w:sz w:val="20"/>
          <w:szCs w:val="20"/>
        </w:rPr>
        <w:t>.</w:t>
      </w:r>
      <w:r>
        <w:rPr>
          <w:rFonts w:asciiTheme="majorHAnsi" w:hAnsiTheme="majorHAnsi"/>
          <w:sz w:val="20"/>
          <w:szCs w:val="20"/>
        </w:rPr>
        <w:t xml:space="preserve">” </w:t>
      </w:r>
      <w:r w:rsidR="006A6DCD">
        <w:rPr>
          <w:rFonts w:asciiTheme="majorHAnsi" w:hAnsiTheme="majorHAnsi"/>
          <w:sz w:val="20"/>
          <w:szCs w:val="20"/>
        </w:rPr>
        <w:t>B</w:t>
      </w:r>
      <w:r w:rsidR="00112FAB">
        <w:rPr>
          <w:rFonts w:asciiTheme="majorHAnsi" w:hAnsiTheme="majorHAnsi"/>
          <w:sz w:val="20"/>
          <w:szCs w:val="20"/>
        </w:rPr>
        <w:t>ut</w:t>
      </w:r>
      <w:r w:rsidR="001A7220">
        <w:rPr>
          <w:rFonts w:asciiTheme="majorHAnsi" w:hAnsiTheme="majorHAnsi"/>
          <w:sz w:val="20"/>
          <w:szCs w:val="20"/>
        </w:rPr>
        <w:t>, following the first autopsy,</w:t>
      </w:r>
      <w:r w:rsidR="00112FAB">
        <w:rPr>
          <w:rFonts w:asciiTheme="majorHAnsi" w:hAnsiTheme="majorHAnsi"/>
          <w:sz w:val="20"/>
          <w:szCs w:val="20"/>
        </w:rPr>
        <w:t xml:space="preserve"> this hypothesis was later changed to “death from hantavirus infectio</w:t>
      </w:r>
      <w:r w:rsidR="00BD4C18">
        <w:rPr>
          <w:rFonts w:asciiTheme="majorHAnsi" w:hAnsiTheme="majorHAnsi"/>
          <w:sz w:val="20"/>
          <w:szCs w:val="20"/>
        </w:rPr>
        <w:t>n</w:t>
      </w:r>
      <w:r w:rsidR="00DD11ED">
        <w:rPr>
          <w:rFonts w:asciiTheme="majorHAnsi" w:hAnsiTheme="majorHAnsi"/>
          <w:sz w:val="20"/>
          <w:szCs w:val="20"/>
        </w:rPr>
        <w:t>,”</w:t>
      </w:r>
      <w:r w:rsidR="00BD4C18">
        <w:rPr>
          <w:rFonts w:asciiTheme="majorHAnsi" w:hAnsiTheme="majorHAnsi"/>
          <w:sz w:val="20"/>
          <w:szCs w:val="20"/>
        </w:rPr>
        <w:t xml:space="preserve"> and </w:t>
      </w:r>
      <w:r w:rsidR="00112FAB">
        <w:rPr>
          <w:rFonts w:asciiTheme="majorHAnsi" w:hAnsiTheme="majorHAnsi"/>
          <w:sz w:val="20"/>
          <w:szCs w:val="20"/>
        </w:rPr>
        <w:t xml:space="preserve">subsequently, </w:t>
      </w:r>
      <w:r w:rsidR="008B1155">
        <w:rPr>
          <w:rFonts w:asciiTheme="majorHAnsi" w:hAnsiTheme="majorHAnsi"/>
          <w:sz w:val="20"/>
          <w:szCs w:val="20"/>
        </w:rPr>
        <w:t xml:space="preserve">in the context of the process of inquiry into the cause of death ordered by the Supreme Court of Military Justice (hereinafter “the SCJM”), </w:t>
      </w:r>
      <w:r w:rsidR="00112FAB">
        <w:rPr>
          <w:rFonts w:asciiTheme="majorHAnsi" w:hAnsiTheme="majorHAnsi"/>
          <w:sz w:val="20"/>
          <w:szCs w:val="20"/>
        </w:rPr>
        <w:t xml:space="preserve">said determination was changed once again to </w:t>
      </w:r>
      <w:r w:rsidR="0081487C">
        <w:rPr>
          <w:rFonts w:asciiTheme="majorHAnsi" w:hAnsiTheme="majorHAnsi"/>
          <w:sz w:val="20"/>
          <w:szCs w:val="20"/>
        </w:rPr>
        <w:t xml:space="preserve">indicate </w:t>
      </w:r>
      <w:r w:rsidR="00BD4C18">
        <w:rPr>
          <w:rFonts w:asciiTheme="majorHAnsi" w:hAnsiTheme="majorHAnsi"/>
          <w:sz w:val="20"/>
          <w:szCs w:val="20"/>
        </w:rPr>
        <w:t>that the death</w:t>
      </w:r>
      <w:r w:rsidR="00DD32D3">
        <w:rPr>
          <w:rFonts w:asciiTheme="majorHAnsi" w:hAnsiTheme="majorHAnsi"/>
          <w:sz w:val="20"/>
          <w:szCs w:val="20"/>
        </w:rPr>
        <w:t xml:space="preserve"> was </w:t>
      </w:r>
      <w:r w:rsidR="00BD4C18">
        <w:rPr>
          <w:rFonts w:asciiTheme="majorHAnsi" w:hAnsiTheme="majorHAnsi"/>
          <w:sz w:val="20"/>
          <w:szCs w:val="20"/>
        </w:rPr>
        <w:t>caused by</w:t>
      </w:r>
      <w:r w:rsidR="00DD32D3">
        <w:rPr>
          <w:rFonts w:asciiTheme="majorHAnsi" w:hAnsiTheme="majorHAnsi"/>
          <w:sz w:val="20"/>
          <w:szCs w:val="20"/>
        </w:rPr>
        <w:t xml:space="preserve"> a generalized pulmonary infection of another </w:t>
      </w:r>
      <w:r w:rsidR="00B207DE">
        <w:rPr>
          <w:rFonts w:asciiTheme="majorHAnsi" w:hAnsiTheme="majorHAnsi"/>
          <w:sz w:val="20"/>
          <w:szCs w:val="20"/>
        </w:rPr>
        <w:t>type</w:t>
      </w:r>
      <w:r w:rsidR="001F3929">
        <w:rPr>
          <w:rFonts w:asciiTheme="majorHAnsi" w:hAnsiTheme="majorHAnsi"/>
          <w:sz w:val="20"/>
          <w:szCs w:val="20"/>
        </w:rPr>
        <w:t>.</w:t>
      </w:r>
      <w:r w:rsidR="00251FF2">
        <w:rPr>
          <w:rFonts w:asciiTheme="majorHAnsi" w:hAnsiTheme="majorHAnsi"/>
          <w:sz w:val="20"/>
          <w:szCs w:val="20"/>
        </w:rPr>
        <w:t xml:space="preserve"> However, the petitioner recounts that she became aware of parallel versions </w:t>
      </w:r>
      <w:r w:rsidR="00500086">
        <w:rPr>
          <w:rFonts w:asciiTheme="majorHAnsi" w:hAnsiTheme="majorHAnsi"/>
          <w:sz w:val="20"/>
          <w:szCs w:val="20"/>
        </w:rPr>
        <w:t>from CIMEFOR</w:t>
      </w:r>
      <w:r w:rsidR="00B14D92">
        <w:rPr>
          <w:rFonts w:asciiTheme="majorHAnsi" w:hAnsiTheme="majorHAnsi"/>
          <w:sz w:val="20"/>
          <w:szCs w:val="20"/>
        </w:rPr>
        <w:t xml:space="preserve"> cadets</w:t>
      </w:r>
      <w:r w:rsidR="00500086">
        <w:rPr>
          <w:rFonts w:asciiTheme="majorHAnsi" w:hAnsiTheme="majorHAnsi"/>
          <w:sz w:val="20"/>
          <w:szCs w:val="20"/>
        </w:rPr>
        <w:t>, according to which his death was the result of acts of physical violence.</w:t>
      </w:r>
      <w:r w:rsidR="00FB5A86">
        <w:rPr>
          <w:rFonts w:asciiTheme="majorHAnsi" w:hAnsiTheme="majorHAnsi"/>
          <w:sz w:val="20"/>
          <w:szCs w:val="20"/>
        </w:rPr>
        <w:t xml:space="preserve"> In this regard</w:t>
      </w:r>
      <w:r w:rsidR="00F6538A">
        <w:rPr>
          <w:rFonts w:asciiTheme="majorHAnsi" w:hAnsiTheme="majorHAnsi"/>
          <w:sz w:val="20"/>
          <w:szCs w:val="20"/>
        </w:rPr>
        <w:t>, she also alleged that she saw a press photograph in which she could discern the injury to the head of her son and not</w:t>
      </w:r>
      <w:r w:rsidR="00583386">
        <w:rPr>
          <w:rFonts w:asciiTheme="majorHAnsi" w:hAnsiTheme="majorHAnsi"/>
          <w:sz w:val="20"/>
          <w:szCs w:val="20"/>
        </w:rPr>
        <w:t>ed that his underwear</w:t>
      </w:r>
      <w:r w:rsidR="00F66B97">
        <w:rPr>
          <w:rFonts w:asciiTheme="majorHAnsi" w:hAnsiTheme="majorHAnsi"/>
          <w:sz w:val="20"/>
          <w:szCs w:val="20"/>
        </w:rPr>
        <w:t xml:space="preserve"> was blood</w:t>
      </w:r>
      <w:r w:rsidR="00F6538A">
        <w:rPr>
          <w:rFonts w:asciiTheme="majorHAnsi" w:hAnsiTheme="majorHAnsi"/>
          <w:sz w:val="20"/>
          <w:szCs w:val="20"/>
        </w:rPr>
        <w:t xml:space="preserve">stained. </w:t>
      </w:r>
      <w:r w:rsidR="0020338B">
        <w:rPr>
          <w:rFonts w:asciiTheme="majorHAnsi" w:hAnsiTheme="majorHAnsi"/>
          <w:sz w:val="20"/>
          <w:szCs w:val="20"/>
        </w:rPr>
        <w:t xml:space="preserve">The alleged victim’s mother </w:t>
      </w:r>
      <w:r w:rsidR="00E16724">
        <w:rPr>
          <w:rFonts w:asciiTheme="majorHAnsi" w:hAnsiTheme="majorHAnsi"/>
          <w:sz w:val="20"/>
          <w:szCs w:val="20"/>
        </w:rPr>
        <w:t xml:space="preserve">added </w:t>
      </w:r>
      <w:r w:rsidR="00F66B97">
        <w:rPr>
          <w:rFonts w:asciiTheme="majorHAnsi" w:hAnsiTheme="majorHAnsi"/>
          <w:sz w:val="20"/>
          <w:szCs w:val="20"/>
        </w:rPr>
        <w:t>t</w:t>
      </w:r>
      <w:r w:rsidR="002267A2">
        <w:rPr>
          <w:rFonts w:asciiTheme="majorHAnsi" w:hAnsiTheme="majorHAnsi"/>
          <w:sz w:val="20"/>
          <w:szCs w:val="20"/>
        </w:rPr>
        <w:t>hat in response to these doubts and</w:t>
      </w:r>
      <w:r w:rsidR="00F66B97">
        <w:rPr>
          <w:rFonts w:asciiTheme="majorHAnsi" w:hAnsiTheme="majorHAnsi"/>
          <w:sz w:val="20"/>
          <w:szCs w:val="20"/>
        </w:rPr>
        <w:t xml:space="preserve"> parallel to the investigation in the military jurisdiction, </w:t>
      </w:r>
      <w:r w:rsidR="00920A97">
        <w:rPr>
          <w:rFonts w:asciiTheme="majorHAnsi" w:hAnsiTheme="majorHAnsi"/>
          <w:sz w:val="20"/>
          <w:szCs w:val="20"/>
        </w:rPr>
        <w:t xml:space="preserve">she </w:t>
      </w:r>
      <w:r w:rsidR="00F66B97">
        <w:rPr>
          <w:rFonts w:asciiTheme="majorHAnsi" w:hAnsiTheme="majorHAnsi"/>
          <w:sz w:val="20"/>
          <w:szCs w:val="20"/>
        </w:rPr>
        <w:t>filed a “</w:t>
      </w:r>
      <w:r w:rsidR="00BE069C">
        <w:rPr>
          <w:rFonts w:asciiTheme="majorHAnsi" w:hAnsiTheme="majorHAnsi"/>
          <w:sz w:val="20"/>
          <w:szCs w:val="20"/>
        </w:rPr>
        <w:t xml:space="preserve">request </w:t>
      </w:r>
      <w:r w:rsidR="00F66B97">
        <w:rPr>
          <w:rFonts w:asciiTheme="majorHAnsi" w:hAnsiTheme="majorHAnsi"/>
          <w:sz w:val="20"/>
          <w:szCs w:val="20"/>
        </w:rPr>
        <w:t xml:space="preserve">for judicial investigation” with the Office of the Attorney General of the State (hereinafter “the Attorney General”) and </w:t>
      </w:r>
      <w:r w:rsidR="005F231C">
        <w:rPr>
          <w:rFonts w:asciiTheme="majorHAnsi" w:hAnsiTheme="majorHAnsi"/>
          <w:sz w:val="20"/>
          <w:szCs w:val="20"/>
        </w:rPr>
        <w:t xml:space="preserve">brought a “formal </w:t>
      </w:r>
      <w:r w:rsidR="006E3868">
        <w:rPr>
          <w:rFonts w:asciiTheme="majorHAnsi" w:hAnsiTheme="majorHAnsi"/>
          <w:sz w:val="20"/>
          <w:szCs w:val="20"/>
        </w:rPr>
        <w:t xml:space="preserve">private </w:t>
      </w:r>
      <w:r w:rsidR="005F231C">
        <w:rPr>
          <w:rFonts w:asciiTheme="majorHAnsi" w:hAnsiTheme="majorHAnsi"/>
          <w:sz w:val="20"/>
          <w:szCs w:val="20"/>
        </w:rPr>
        <w:t>criminal complaint“</w:t>
      </w:r>
      <w:r w:rsidR="006E3868">
        <w:rPr>
          <w:rFonts w:asciiTheme="majorHAnsi" w:hAnsiTheme="majorHAnsi"/>
          <w:sz w:val="20"/>
          <w:szCs w:val="20"/>
        </w:rPr>
        <w:t xml:space="preserve"> (</w:t>
      </w:r>
      <w:r w:rsidR="006E3868">
        <w:rPr>
          <w:rFonts w:asciiTheme="majorHAnsi" w:hAnsiTheme="majorHAnsi"/>
          <w:i/>
          <w:sz w:val="20"/>
          <w:szCs w:val="20"/>
        </w:rPr>
        <w:t>querella</w:t>
      </w:r>
      <w:r w:rsidR="006E3868">
        <w:rPr>
          <w:rFonts w:asciiTheme="majorHAnsi" w:hAnsiTheme="majorHAnsi"/>
          <w:sz w:val="20"/>
          <w:szCs w:val="20"/>
        </w:rPr>
        <w:t>)</w:t>
      </w:r>
      <w:r w:rsidR="005F231C">
        <w:rPr>
          <w:rFonts w:asciiTheme="majorHAnsi" w:hAnsiTheme="majorHAnsi"/>
          <w:sz w:val="20"/>
          <w:szCs w:val="20"/>
        </w:rPr>
        <w:t xml:space="preserve"> </w:t>
      </w:r>
      <w:r w:rsidR="00AB205C">
        <w:rPr>
          <w:rFonts w:asciiTheme="majorHAnsi" w:hAnsiTheme="majorHAnsi"/>
          <w:sz w:val="20"/>
          <w:szCs w:val="20"/>
        </w:rPr>
        <w:t xml:space="preserve">in the ordinary criminal jurisdiction for the crimes of homicide and bodily harm of </w:t>
      </w:r>
      <w:r w:rsidR="00300D46" w:rsidRPr="00D65A97">
        <w:rPr>
          <w:rFonts w:asciiTheme="majorHAnsi" w:hAnsiTheme="majorHAnsi"/>
          <w:sz w:val="20"/>
          <w:szCs w:val="20"/>
        </w:rPr>
        <w:t>Vicente Ariel Noguera.</w:t>
      </w:r>
    </w:p>
    <w:p w14:paraId="5E0ABC3C" w14:textId="77777777" w:rsidR="00300D46" w:rsidRPr="00D65A97" w:rsidRDefault="00300D46" w:rsidP="00300D46">
      <w:pPr>
        <w:ind w:firstLine="720"/>
        <w:jc w:val="both"/>
        <w:rPr>
          <w:rFonts w:asciiTheme="majorHAnsi" w:hAnsiTheme="majorHAnsi"/>
          <w:sz w:val="20"/>
          <w:szCs w:val="20"/>
        </w:rPr>
      </w:pPr>
    </w:p>
    <w:p w14:paraId="5CE44474" w14:textId="52686DA9" w:rsidR="00300D46" w:rsidRPr="00D65A97" w:rsidRDefault="00C36A5A"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She clai</w:t>
      </w:r>
      <w:r w:rsidR="004C7BF2">
        <w:rPr>
          <w:rFonts w:asciiTheme="majorHAnsi" w:hAnsiTheme="majorHAnsi"/>
          <w:sz w:val="20"/>
          <w:szCs w:val="20"/>
        </w:rPr>
        <w:t>m</w:t>
      </w:r>
      <w:r>
        <w:rPr>
          <w:rFonts w:asciiTheme="majorHAnsi" w:hAnsiTheme="majorHAnsi"/>
          <w:sz w:val="20"/>
          <w:szCs w:val="20"/>
        </w:rPr>
        <w:t xml:space="preserve">ed </w:t>
      </w:r>
      <w:r w:rsidR="004C7BF2">
        <w:rPr>
          <w:rFonts w:asciiTheme="majorHAnsi" w:hAnsiTheme="majorHAnsi"/>
          <w:sz w:val="20"/>
          <w:szCs w:val="20"/>
        </w:rPr>
        <w:t xml:space="preserve">that the acts described above constituted violations of the </w:t>
      </w:r>
      <w:r w:rsidR="004C7BF2" w:rsidRPr="00810723">
        <w:rPr>
          <w:rFonts w:asciiTheme="majorHAnsi" w:hAnsiTheme="majorHAnsi"/>
          <w:b/>
          <w:sz w:val="20"/>
          <w:szCs w:val="20"/>
        </w:rPr>
        <w:t xml:space="preserve">right to </w:t>
      </w:r>
      <w:r w:rsidR="00882B8A" w:rsidRPr="00810723">
        <w:rPr>
          <w:rFonts w:asciiTheme="majorHAnsi" w:hAnsiTheme="majorHAnsi"/>
          <w:b/>
          <w:sz w:val="20"/>
          <w:szCs w:val="20"/>
        </w:rPr>
        <w:t>life and humane treatment</w:t>
      </w:r>
      <w:r w:rsidR="00882B8A">
        <w:rPr>
          <w:rFonts w:asciiTheme="majorHAnsi" w:hAnsiTheme="majorHAnsi"/>
          <w:sz w:val="20"/>
          <w:szCs w:val="20"/>
        </w:rPr>
        <w:t xml:space="preserve">, inasmuch as the body of the alleged victim presented several injuries that are not accounted for in any medical examination or the autopsy reports. </w:t>
      </w:r>
      <w:r w:rsidR="0068611C">
        <w:rPr>
          <w:rFonts w:asciiTheme="majorHAnsi" w:hAnsiTheme="majorHAnsi"/>
          <w:sz w:val="20"/>
          <w:szCs w:val="20"/>
        </w:rPr>
        <w:t xml:space="preserve"> She additionally </w:t>
      </w:r>
      <w:r w:rsidR="00492906">
        <w:rPr>
          <w:rFonts w:asciiTheme="majorHAnsi" w:hAnsiTheme="majorHAnsi"/>
          <w:sz w:val="20"/>
          <w:szCs w:val="20"/>
        </w:rPr>
        <w:t xml:space="preserve">contended </w:t>
      </w:r>
      <w:r w:rsidR="0068611C">
        <w:rPr>
          <w:rFonts w:asciiTheme="majorHAnsi" w:hAnsiTheme="majorHAnsi"/>
          <w:sz w:val="20"/>
          <w:szCs w:val="20"/>
        </w:rPr>
        <w:t xml:space="preserve">that the alleged victims classmates </w:t>
      </w:r>
      <w:r w:rsidR="008C1D82">
        <w:rPr>
          <w:rFonts w:asciiTheme="majorHAnsi" w:hAnsiTheme="majorHAnsi"/>
          <w:sz w:val="20"/>
          <w:szCs w:val="20"/>
        </w:rPr>
        <w:t>revealed</w:t>
      </w:r>
      <w:r w:rsidR="00123FE0">
        <w:rPr>
          <w:rFonts w:asciiTheme="majorHAnsi" w:hAnsiTheme="majorHAnsi"/>
          <w:sz w:val="20"/>
          <w:szCs w:val="20"/>
        </w:rPr>
        <w:t xml:space="preserve"> to her </w:t>
      </w:r>
      <w:r w:rsidR="004B2E37">
        <w:rPr>
          <w:rFonts w:asciiTheme="majorHAnsi" w:hAnsiTheme="majorHAnsi"/>
          <w:sz w:val="20"/>
          <w:szCs w:val="20"/>
        </w:rPr>
        <w:t>that her son had been subjected to</w:t>
      </w:r>
      <w:r w:rsidR="00CC7D7F">
        <w:rPr>
          <w:rFonts w:asciiTheme="majorHAnsi" w:hAnsiTheme="majorHAnsi"/>
          <w:sz w:val="20"/>
          <w:szCs w:val="20"/>
        </w:rPr>
        <w:t xml:space="preserve"> the process known as</w:t>
      </w:r>
      <w:r w:rsidR="004B2E37">
        <w:rPr>
          <w:rFonts w:asciiTheme="majorHAnsi" w:hAnsiTheme="majorHAnsi"/>
          <w:sz w:val="20"/>
          <w:szCs w:val="20"/>
        </w:rPr>
        <w:t xml:space="preserve"> “</w:t>
      </w:r>
      <w:r w:rsidR="004B2E37" w:rsidRPr="004B2E37">
        <w:rPr>
          <w:rFonts w:asciiTheme="majorHAnsi" w:hAnsiTheme="majorHAnsi"/>
          <w:i/>
          <w:sz w:val="20"/>
          <w:szCs w:val="20"/>
        </w:rPr>
        <w:t>descuereo</w:t>
      </w:r>
      <w:r w:rsidR="008533B3">
        <w:rPr>
          <w:rFonts w:asciiTheme="majorHAnsi" w:hAnsiTheme="majorHAnsi"/>
          <w:i/>
          <w:sz w:val="20"/>
          <w:szCs w:val="20"/>
        </w:rPr>
        <w:t>,</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4"/>
      </w:r>
      <w:r w:rsidR="008533B3">
        <w:rPr>
          <w:rFonts w:asciiTheme="majorHAnsi" w:hAnsiTheme="majorHAnsi"/>
          <w:sz w:val="20"/>
          <w:szCs w:val="20"/>
        </w:rPr>
        <w:t xml:space="preserve"> </w:t>
      </w:r>
      <w:r w:rsidR="00F72304">
        <w:rPr>
          <w:rFonts w:asciiTheme="majorHAnsi" w:hAnsiTheme="majorHAnsi"/>
          <w:sz w:val="20"/>
          <w:szCs w:val="20"/>
        </w:rPr>
        <w:t xml:space="preserve"> that is, be</w:t>
      </w:r>
      <w:r w:rsidR="0031052F">
        <w:rPr>
          <w:rFonts w:asciiTheme="majorHAnsi" w:hAnsiTheme="majorHAnsi"/>
          <w:sz w:val="20"/>
          <w:szCs w:val="20"/>
        </w:rPr>
        <w:t xml:space="preserve">aten with </w:t>
      </w:r>
      <w:r w:rsidR="008E1E58">
        <w:rPr>
          <w:rFonts w:asciiTheme="majorHAnsi" w:hAnsiTheme="majorHAnsi"/>
          <w:sz w:val="20"/>
          <w:szCs w:val="20"/>
        </w:rPr>
        <w:t xml:space="preserve">nightsticks </w:t>
      </w:r>
      <w:r w:rsidR="00F72304">
        <w:rPr>
          <w:rFonts w:asciiTheme="majorHAnsi" w:hAnsiTheme="majorHAnsi"/>
          <w:sz w:val="20"/>
          <w:szCs w:val="20"/>
        </w:rPr>
        <w:t xml:space="preserve">in the stomach by Second Lieutenant Mosqueda and was taken to the </w:t>
      </w:r>
      <w:r w:rsidR="00BE6C9F">
        <w:rPr>
          <w:rFonts w:asciiTheme="majorHAnsi" w:hAnsiTheme="majorHAnsi"/>
          <w:sz w:val="20"/>
          <w:szCs w:val="20"/>
        </w:rPr>
        <w:t xml:space="preserve">lock-up </w:t>
      </w:r>
      <w:r w:rsidR="00774129">
        <w:rPr>
          <w:rFonts w:asciiTheme="majorHAnsi" w:hAnsiTheme="majorHAnsi"/>
          <w:sz w:val="20"/>
          <w:szCs w:val="20"/>
        </w:rPr>
        <w:t xml:space="preserve">cell </w:t>
      </w:r>
      <w:r w:rsidR="00F72304">
        <w:rPr>
          <w:rFonts w:asciiTheme="majorHAnsi" w:hAnsiTheme="majorHAnsi"/>
          <w:sz w:val="20"/>
          <w:szCs w:val="20"/>
        </w:rPr>
        <w:t xml:space="preserve">by Lieutenant Hernán Alcaraz as punishment for not </w:t>
      </w:r>
      <w:r w:rsidR="00837D80">
        <w:rPr>
          <w:rFonts w:asciiTheme="majorHAnsi" w:hAnsiTheme="majorHAnsi"/>
          <w:sz w:val="20"/>
          <w:szCs w:val="20"/>
        </w:rPr>
        <w:t xml:space="preserve">letting himself be </w:t>
      </w:r>
      <w:r w:rsidR="00F72304">
        <w:rPr>
          <w:rFonts w:asciiTheme="majorHAnsi" w:hAnsiTheme="majorHAnsi"/>
          <w:sz w:val="20"/>
          <w:szCs w:val="20"/>
        </w:rPr>
        <w:t>slapped and, consequently, the alleged victim</w:t>
      </w:r>
      <w:r w:rsidR="00193278">
        <w:rPr>
          <w:rFonts w:asciiTheme="majorHAnsi" w:hAnsiTheme="majorHAnsi"/>
          <w:sz w:val="20"/>
          <w:szCs w:val="20"/>
        </w:rPr>
        <w:t xml:space="preserve"> was not present at dinner the night</w:t>
      </w:r>
      <w:r w:rsidR="001575AA">
        <w:rPr>
          <w:rFonts w:asciiTheme="majorHAnsi" w:hAnsiTheme="majorHAnsi"/>
          <w:sz w:val="20"/>
          <w:szCs w:val="20"/>
        </w:rPr>
        <w:t xml:space="preserve"> </w:t>
      </w:r>
      <w:r w:rsidR="00AA349E">
        <w:rPr>
          <w:rFonts w:asciiTheme="majorHAnsi" w:hAnsiTheme="majorHAnsi"/>
          <w:sz w:val="20"/>
          <w:szCs w:val="20"/>
        </w:rPr>
        <w:t xml:space="preserve">before </w:t>
      </w:r>
      <w:r w:rsidR="001575AA">
        <w:rPr>
          <w:rFonts w:asciiTheme="majorHAnsi" w:hAnsiTheme="majorHAnsi"/>
          <w:sz w:val="20"/>
          <w:szCs w:val="20"/>
        </w:rPr>
        <w:t>his death</w:t>
      </w:r>
      <w:r w:rsidR="00193278">
        <w:rPr>
          <w:rFonts w:asciiTheme="majorHAnsi" w:hAnsiTheme="majorHAnsi"/>
          <w:sz w:val="20"/>
          <w:szCs w:val="20"/>
        </w:rPr>
        <w:t xml:space="preserve">. </w:t>
      </w:r>
      <w:r w:rsidR="00E30F6F">
        <w:rPr>
          <w:rFonts w:asciiTheme="majorHAnsi" w:hAnsiTheme="majorHAnsi"/>
          <w:sz w:val="20"/>
          <w:szCs w:val="20"/>
        </w:rPr>
        <w:t xml:space="preserve">Lastly, </w:t>
      </w:r>
      <w:r w:rsidR="00583386">
        <w:rPr>
          <w:rFonts w:asciiTheme="majorHAnsi" w:hAnsiTheme="majorHAnsi"/>
          <w:sz w:val="20"/>
          <w:szCs w:val="20"/>
        </w:rPr>
        <w:t xml:space="preserve">she also </w:t>
      </w:r>
      <w:r w:rsidR="00861F4E">
        <w:rPr>
          <w:rFonts w:asciiTheme="majorHAnsi" w:hAnsiTheme="majorHAnsi"/>
          <w:sz w:val="20"/>
          <w:szCs w:val="20"/>
        </w:rPr>
        <w:t xml:space="preserve">made the argument </w:t>
      </w:r>
      <w:r w:rsidR="00583386">
        <w:rPr>
          <w:rFonts w:asciiTheme="majorHAnsi" w:hAnsiTheme="majorHAnsi"/>
          <w:sz w:val="20"/>
          <w:szCs w:val="20"/>
        </w:rPr>
        <w:t>that the alleged victim’s underwear was</w:t>
      </w:r>
      <w:r w:rsidR="00D145FF">
        <w:rPr>
          <w:rFonts w:asciiTheme="majorHAnsi" w:hAnsiTheme="majorHAnsi"/>
          <w:sz w:val="20"/>
          <w:szCs w:val="20"/>
        </w:rPr>
        <w:t xml:space="preserve"> stained with blood and, therefore, she claims he was the victim of sexual violence. </w:t>
      </w:r>
    </w:p>
    <w:p w14:paraId="3C22FD3E" w14:textId="77777777" w:rsidR="00300D46" w:rsidRPr="00D65A97" w:rsidRDefault="00300D46" w:rsidP="00300D46">
      <w:pPr>
        <w:ind w:firstLine="720"/>
        <w:jc w:val="both"/>
        <w:rPr>
          <w:rFonts w:asciiTheme="majorHAnsi" w:hAnsiTheme="majorHAnsi"/>
          <w:sz w:val="20"/>
          <w:szCs w:val="20"/>
        </w:rPr>
      </w:pPr>
    </w:p>
    <w:p w14:paraId="255A0AF7" w14:textId="1F714AF6" w:rsidR="00300D46" w:rsidRPr="00D65A97" w:rsidRDefault="0039336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She argued violations of the </w:t>
      </w:r>
      <w:r w:rsidRPr="008E6BAE">
        <w:rPr>
          <w:rFonts w:asciiTheme="majorHAnsi" w:hAnsiTheme="majorHAnsi"/>
          <w:b/>
          <w:sz w:val="20"/>
          <w:szCs w:val="20"/>
        </w:rPr>
        <w:t>right</w:t>
      </w:r>
      <w:r>
        <w:rPr>
          <w:rFonts w:asciiTheme="majorHAnsi" w:hAnsiTheme="majorHAnsi"/>
          <w:sz w:val="20"/>
          <w:szCs w:val="20"/>
        </w:rPr>
        <w:t xml:space="preserve"> </w:t>
      </w:r>
      <w:r>
        <w:rPr>
          <w:rFonts w:asciiTheme="majorHAnsi" w:hAnsiTheme="majorHAnsi"/>
          <w:b/>
          <w:sz w:val="20"/>
          <w:szCs w:val="20"/>
        </w:rPr>
        <w:t xml:space="preserve">to a fair trial and access to </w:t>
      </w:r>
      <w:r w:rsidRPr="002A7778">
        <w:rPr>
          <w:rFonts w:asciiTheme="majorHAnsi" w:hAnsiTheme="majorHAnsi"/>
          <w:b/>
          <w:sz w:val="20"/>
          <w:szCs w:val="20"/>
        </w:rPr>
        <w:t>justice</w:t>
      </w:r>
      <w:r>
        <w:rPr>
          <w:rFonts w:asciiTheme="majorHAnsi" w:hAnsiTheme="majorHAnsi"/>
          <w:sz w:val="20"/>
          <w:szCs w:val="20"/>
        </w:rPr>
        <w:t xml:space="preserve">, </w:t>
      </w:r>
      <w:r w:rsidR="008E6BAE">
        <w:rPr>
          <w:rFonts w:asciiTheme="majorHAnsi" w:hAnsiTheme="majorHAnsi"/>
          <w:sz w:val="20"/>
          <w:szCs w:val="20"/>
        </w:rPr>
        <w:t>because the death of the alleged victim was not correctly or properly investigated. She contends that the expert reports to determine the cause of death contradict each other; sudden death, death from hantavirus and, then, determination of death from general</w:t>
      </w:r>
      <w:r w:rsidR="007245BD">
        <w:rPr>
          <w:rFonts w:asciiTheme="majorHAnsi" w:hAnsiTheme="majorHAnsi"/>
          <w:sz w:val="20"/>
          <w:szCs w:val="20"/>
        </w:rPr>
        <w:t>ized</w:t>
      </w:r>
      <w:r w:rsidR="008E6BAE">
        <w:rPr>
          <w:rFonts w:asciiTheme="majorHAnsi" w:hAnsiTheme="majorHAnsi"/>
          <w:sz w:val="20"/>
          <w:szCs w:val="20"/>
        </w:rPr>
        <w:t xml:space="preserve"> infection, and that as of the present time, the circumstances of the death of the alleged victim have not been established</w:t>
      </w:r>
      <w:r w:rsidR="00E70679">
        <w:rPr>
          <w:rFonts w:asciiTheme="majorHAnsi" w:hAnsiTheme="majorHAnsi"/>
          <w:sz w:val="20"/>
          <w:szCs w:val="20"/>
        </w:rPr>
        <w:t xml:space="preserve">, </w:t>
      </w:r>
      <w:r w:rsidR="009D4A96">
        <w:rPr>
          <w:rFonts w:asciiTheme="majorHAnsi" w:hAnsiTheme="majorHAnsi"/>
          <w:sz w:val="20"/>
          <w:szCs w:val="20"/>
        </w:rPr>
        <w:t xml:space="preserve">because the formal complaint was </w:t>
      </w:r>
      <w:r w:rsidR="00137CE5">
        <w:rPr>
          <w:rFonts w:asciiTheme="majorHAnsi" w:hAnsiTheme="majorHAnsi"/>
          <w:sz w:val="20"/>
          <w:szCs w:val="20"/>
        </w:rPr>
        <w:t xml:space="preserve">archived </w:t>
      </w:r>
      <w:r w:rsidR="009D4A96">
        <w:rPr>
          <w:rFonts w:asciiTheme="majorHAnsi" w:hAnsiTheme="majorHAnsi"/>
          <w:sz w:val="20"/>
          <w:szCs w:val="20"/>
        </w:rPr>
        <w:t xml:space="preserve">(November 6, 2002) and the military investigation was </w:t>
      </w:r>
      <w:r w:rsidR="00E27CCB">
        <w:rPr>
          <w:rFonts w:asciiTheme="majorHAnsi" w:hAnsiTheme="majorHAnsi"/>
          <w:sz w:val="20"/>
          <w:szCs w:val="20"/>
        </w:rPr>
        <w:t xml:space="preserve">closed </w:t>
      </w:r>
      <w:r w:rsidR="009D4A96">
        <w:rPr>
          <w:rFonts w:asciiTheme="majorHAnsi" w:hAnsiTheme="majorHAnsi"/>
          <w:sz w:val="20"/>
          <w:szCs w:val="20"/>
        </w:rPr>
        <w:t xml:space="preserve">(October 21, 1997). </w:t>
      </w:r>
      <w:r w:rsidR="00E20565">
        <w:rPr>
          <w:rFonts w:asciiTheme="majorHAnsi" w:hAnsiTheme="majorHAnsi"/>
          <w:sz w:val="20"/>
          <w:szCs w:val="20"/>
        </w:rPr>
        <w:t xml:space="preserve">Additionally, the petitioner argues that the classmates of the alleged victim, who attested to </w:t>
      </w:r>
      <w:r w:rsidR="00772E78">
        <w:rPr>
          <w:rFonts w:asciiTheme="majorHAnsi" w:hAnsiTheme="majorHAnsi"/>
          <w:sz w:val="20"/>
          <w:szCs w:val="20"/>
        </w:rPr>
        <w:t xml:space="preserve">the </w:t>
      </w:r>
      <w:r w:rsidR="00E20565">
        <w:rPr>
          <w:rFonts w:asciiTheme="majorHAnsi" w:hAnsiTheme="majorHAnsi"/>
          <w:sz w:val="20"/>
          <w:szCs w:val="20"/>
        </w:rPr>
        <w:t>assa</w:t>
      </w:r>
      <w:r w:rsidR="00772E78">
        <w:rPr>
          <w:rFonts w:asciiTheme="majorHAnsi" w:hAnsiTheme="majorHAnsi"/>
          <w:sz w:val="20"/>
          <w:szCs w:val="20"/>
        </w:rPr>
        <w:t xml:space="preserve">ults on him, were threatened so they would not testify against their superiors, </w:t>
      </w:r>
      <w:r w:rsidR="002E6476">
        <w:rPr>
          <w:rFonts w:asciiTheme="majorHAnsi" w:hAnsiTheme="majorHAnsi"/>
          <w:sz w:val="20"/>
          <w:szCs w:val="20"/>
        </w:rPr>
        <w:t xml:space="preserve">thus </w:t>
      </w:r>
      <w:r w:rsidR="00772E78">
        <w:rPr>
          <w:rFonts w:asciiTheme="majorHAnsi" w:hAnsiTheme="majorHAnsi"/>
          <w:sz w:val="20"/>
          <w:szCs w:val="20"/>
        </w:rPr>
        <w:t>undermining the effectiveness</w:t>
      </w:r>
      <w:r w:rsidR="00101E04">
        <w:rPr>
          <w:rFonts w:asciiTheme="majorHAnsi" w:hAnsiTheme="majorHAnsi"/>
          <w:sz w:val="20"/>
          <w:szCs w:val="20"/>
        </w:rPr>
        <w:t xml:space="preserve"> </w:t>
      </w:r>
      <w:r w:rsidR="00772E78">
        <w:rPr>
          <w:rFonts w:asciiTheme="majorHAnsi" w:hAnsiTheme="majorHAnsi"/>
          <w:sz w:val="20"/>
          <w:szCs w:val="20"/>
        </w:rPr>
        <w:t xml:space="preserve">of the judicial remedy pursued by her. </w:t>
      </w:r>
    </w:p>
    <w:p w14:paraId="0A637E99" w14:textId="77777777" w:rsidR="00300D46" w:rsidRPr="00D65A97" w:rsidRDefault="00300D46" w:rsidP="00300D46">
      <w:pPr>
        <w:ind w:firstLine="720"/>
        <w:jc w:val="both"/>
        <w:rPr>
          <w:rFonts w:asciiTheme="majorHAnsi" w:hAnsiTheme="majorHAnsi"/>
          <w:b/>
          <w:sz w:val="20"/>
          <w:szCs w:val="20"/>
        </w:rPr>
      </w:pPr>
    </w:p>
    <w:p w14:paraId="25FC7765" w14:textId="16C4AB18" w:rsidR="00300D46" w:rsidRPr="00D65A97" w:rsidRDefault="000668F3"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As for the </w:t>
      </w:r>
      <w:r>
        <w:rPr>
          <w:rFonts w:asciiTheme="majorHAnsi" w:hAnsiTheme="majorHAnsi"/>
          <w:b/>
          <w:sz w:val="20"/>
          <w:szCs w:val="20"/>
        </w:rPr>
        <w:t xml:space="preserve">rights of the child, </w:t>
      </w:r>
      <w:r>
        <w:rPr>
          <w:rFonts w:asciiTheme="majorHAnsi" w:hAnsiTheme="majorHAnsi"/>
          <w:sz w:val="20"/>
          <w:szCs w:val="20"/>
        </w:rPr>
        <w:t>in light of the fact that the victim was r</w:t>
      </w:r>
      <w:r w:rsidR="00861F4E">
        <w:rPr>
          <w:rFonts w:asciiTheme="majorHAnsi" w:hAnsiTheme="majorHAnsi"/>
          <w:sz w:val="20"/>
          <w:szCs w:val="20"/>
        </w:rPr>
        <w:t>ecruited for military service at age</w:t>
      </w:r>
      <w:r>
        <w:rPr>
          <w:rFonts w:asciiTheme="majorHAnsi" w:hAnsiTheme="majorHAnsi"/>
          <w:sz w:val="20"/>
          <w:szCs w:val="20"/>
        </w:rPr>
        <w:t xml:space="preserve"> 15 and remained in this service until his death at </w:t>
      </w:r>
      <w:r w:rsidR="001859CB">
        <w:rPr>
          <w:rFonts w:asciiTheme="majorHAnsi" w:hAnsiTheme="majorHAnsi"/>
          <w:sz w:val="20"/>
          <w:szCs w:val="20"/>
        </w:rPr>
        <w:t xml:space="preserve">age </w:t>
      </w:r>
      <w:r>
        <w:rPr>
          <w:rFonts w:asciiTheme="majorHAnsi" w:hAnsiTheme="majorHAnsi"/>
          <w:sz w:val="20"/>
          <w:szCs w:val="20"/>
        </w:rPr>
        <w:t>17</w:t>
      </w:r>
      <w:r w:rsidR="007339AB">
        <w:rPr>
          <w:rFonts w:asciiTheme="majorHAnsi" w:hAnsiTheme="majorHAnsi"/>
          <w:sz w:val="20"/>
          <w:szCs w:val="20"/>
        </w:rPr>
        <w:t xml:space="preserve"> </w:t>
      </w:r>
      <w:r>
        <w:rPr>
          <w:rFonts w:asciiTheme="majorHAnsi" w:hAnsiTheme="majorHAnsi"/>
          <w:sz w:val="20"/>
          <w:szCs w:val="20"/>
        </w:rPr>
        <w:t xml:space="preserve">violates the </w:t>
      </w:r>
      <w:r w:rsidR="007339AB">
        <w:rPr>
          <w:rFonts w:asciiTheme="majorHAnsi" w:hAnsiTheme="majorHAnsi"/>
          <w:sz w:val="20"/>
          <w:szCs w:val="20"/>
        </w:rPr>
        <w:t xml:space="preserve">prohibition </w:t>
      </w:r>
      <w:r>
        <w:rPr>
          <w:rFonts w:asciiTheme="majorHAnsi" w:hAnsiTheme="majorHAnsi"/>
          <w:sz w:val="20"/>
          <w:szCs w:val="20"/>
        </w:rPr>
        <w:t>under domestic la</w:t>
      </w:r>
      <w:r w:rsidR="00D332E9">
        <w:rPr>
          <w:rFonts w:asciiTheme="majorHAnsi" w:hAnsiTheme="majorHAnsi"/>
          <w:sz w:val="20"/>
          <w:szCs w:val="20"/>
        </w:rPr>
        <w:t xml:space="preserve">w of the recruitment of minors </w:t>
      </w:r>
      <w:r w:rsidR="0078750D">
        <w:rPr>
          <w:rFonts w:asciiTheme="majorHAnsi" w:hAnsiTheme="majorHAnsi"/>
          <w:sz w:val="20"/>
          <w:szCs w:val="20"/>
        </w:rPr>
        <w:t>into military service</w:t>
      </w:r>
      <w:r w:rsidR="00D332E9">
        <w:rPr>
          <w:rFonts w:asciiTheme="majorHAnsi" w:hAnsiTheme="majorHAnsi"/>
          <w:sz w:val="20"/>
          <w:szCs w:val="20"/>
        </w:rPr>
        <w:t xml:space="preserve">. </w:t>
      </w:r>
      <w:r w:rsidR="00014449">
        <w:rPr>
          <w:rFonts w:asciiTheme="majorHAnsi" w:hAnsiTheme="majorHAnsi"/>
          <w:sz w:val="20"/>
          <w:szCs w:val="20"/>
        </w:rPr>
        <w:t xml:space="preserve">In this regard, she claims: </w:t>
      </w:r>
      <w:r w:rsidR="00A010F1">
        <w:rPr>
          <w:rFonts w:asciiTheme="majorHAnsi" w:hAnsiTheme="majorHAnsi"/>
          <w:sz w:val="20"/>
          <w:szCs w:val="20"/>
        </w:rPr>
        <w:t xml:space="preserve">“it cannot be </w:t>
      </w:r>
      <w:r w:rsidR="00A77774">
        <w:rPr>
          <w:rFonts w:asciiTheme="majorHAnsi" w:hAnsiTheme="majorHAnsi"/>
          <w:sz w:val="20"/>
          <w:szCs w:val="20"/>
        </w:rPr>
        <w:t xml:space="preserve">understood </w:t>
      </w:r>
      <w:r w:rsidR="004624A8">
        <w:rPr>
          <w:rFonts w:asciiTheme="majorHAnsi" w:hAnsiTheme="majorHAnsi"/>
          <w:sz w:val="20"/>
          <w:szCs w:val="20"/>
        </w:rPr>
        <w:t xml:space="preserve">that </w:t>
      </w:r>
      <w:r w:rsidR="00CF03B8">
        <w:rPr>
          <w:rFonts w:asciiTheme="majorHAnsi" w:hAnsiTheme="majorHAnsi"/>
          <w:sz w:val="20"/>
          <w:szCs w:val="20"/>
        </w:rPr>
        <w:t xml:space="preserve">if </w:t>
      </w:r>
      <w:r w:rsidR="00A010F1">
        <w:rPr>
          <w:rFonts w:asciiTheme="majorHAnsi" w:hAnsiTheme="majorHAnsi"/>
          <w:sz w:val="20"/>
          <w:szCs w:val="20"/>
        </w:rPr>
        <w:t>the minor’s parents or guardian</w:t>
      </w:r>
      <w:r w:rsidR="00CF03B8">
        <w:rPr>
          <w:rFonts w:asciiTheme="majorHAnsi" w:hAnsiTheme="majorHAnsi"/>
          <w:sz w:val="20"/>
          <w:szCs w:val="20"/>
        </w:rPr>
        <w:t xml:space="preserve"> have given their </w:t>
      </w:r>
      <w:r w:rsidR="00EC0542">
        <w:rPr>
          <w:rFonts w:asciiTheme="majorHAnsi" w:hAnsiTheme="majorHAnsi"/>
          <w:sz w:val="20"/>
          <w:szCs w:val="20"/>
        </w:rPr>
        <w:t>authorization</w:t>
      </w:r>
      <w:r w:rsidR="00A010F1">
        <w:rPr>
          <w:rFonts w:asciiTheme="majorHAnsi" w:hAnsiTheme="majorHAnsi"/>
          <w:sz w:val="20"/>
          <w:szCs w:val="20"/>
        </w:rPr>
        <w:t xml:space="preserve">, it ceases to be illegal to recruit minors under 18 years of age.” </w:t>
      </w:r>
    </w:p>
    <w:p w14:paraId="617D1FED" w14:textId="77777777" w:rsidR="00300D46" w:rsidRPr="00D65A97" w:rsidRDefault="00300D46" w:rsidP="00300D46">
      <w:pPr>
        <w:ind w:left="360"/>
        <w:jc w:val="both"/>
        <w:rPr>
          <w:rFonts w:asciiTheme="majorHAnsi" w:hAnsiTheme="majorHAnsi"/>
          <w:b/>
          <w:sz w:val="20"/>
          <w:szCs w:val="20"/>
        </w:rPr>
      </w:pPr>
    </w:p>
    <w:p w14:paraId="183EB6D2" w14:textId="40725077" w:rsidR="00300D46" w:rsidRPr="00D65A97" w:rsidRDefault="0013039F" w:rsidP="00064655">
      <w:pPr>
        <w:pStyle w:val="Heading2"/>
        <w:ind w:hanging="720"/>
      </w:pPr>
      <w:bookmarkStart w:id="5" w:name="_Toc506095166"/>
      <w:r>
        <w:t xml:space="preserve">State </w:t>
      </w:r>
      <w:bookmarkEnd w:id="5"/>
    </w:p>
    <w:p w14:paraId="38F84319" w14:textId="77777777" w:rsidR="00300D46" w:rsidRPr="00D65A97" w:rsidRDefault="00300D46" w:rsidP="00300D46">
      <w:pPr>
        <w:ind w:left="1440"/>
        <w:jc w:val="both"/>
        <w:rPr>
          <w:rFonts w:asciiTheme="majorHAnsi" w:hAnsiTheme="majorHAnsi"/>
          <w:b/>
          <w:sz w:val="20"/>
          <w:szCs w:val="20"/>
        </w:rPr>
      </w:pPr>
    </w:p>
    <w:p w14:paraId="2732E163" w14:textId="7FEF5DD8" w:rsidR="00300D46" w:rsidRPr="00D65A97" w:rsidRDefault="007C7DD2"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Based on the</w:t>
      </w:r>
      <w:r w:rsidR="00D362EE">
        <w:rPr>
          <w:rFonts w:asciiTheme="majorHAnsi" w:hAnsiTheme="majorHAnsi"/>
          <w:sz w:val="20"/>
          <w:szCs w:val="20"/>
        </w:rPr>
        <w:t xml:space="preserve"> </w:t>
      </w:r>
      <w:r w:rsidR="0013039F">
        <w:rPr>
          <w:rFonts w:asciiTheme="majorHAnsi" w:hAnsiTheme="majorHAnsi"/>
          <w:sz w:val="20"/>
          <w:szCs w:val="20"/>
        </w:rPr>
        <w:t>arguments</w:t>
      </w:r>
      <w:r>
        <w:rPr>
          <w:rFonts w:asciiTheme="majorHAnsi" w:hAnsiTheme="majorHAnsi"/>
          <w:sz w:val="20"/>
          <w:szCs w:val="20"/>
        </w:rPr>
        <w:t xml:space="preserve"> it made</w:t>
      </w:r>
      <w:r w:rsidR="0013039F">
        <w:rPr>
          <w:rFonts w:asciiTheme="majorHAnsi" w:hAnsiTheme="majorHAnsi"/>
          <w:sz w:val="20"/>
          <w:szCs w:val="20"/>
        </w:rPr>
        <w:t xml:space="preserve"> and the official documents in the case file, the State alleged that Vicente Ariel Noguera was in good health and had been </w:t>
      </w:r>
      <w:r w:rsidR="007245BD">
        <w:rPr>
          <w:rFonts w:asciiTheme="majorHAnsi" w:hAnsiTheme="majorHAnsi"/>
          <w:sz w:val="20"/>
          <w:szCs w:val="20"/>
        </w:rPr>
        <w:t>carrying out</w:t>
      </w:r>
      <w:r w:rsidR="0013039F">
        <w:rPr>
          <w:rFonts w:asciiTheme="majorHAnsi" w:hAnsiTheme="majorHAnsi"/>
          <w:sz w:val="20"/>
          <w:szCs w:val="20"/>
        </w:rPr>
        <w:t xml:space="preserve"> the activities </w:t>
      </w:r>
      <w:r w:rsidR="00BF5B55">
        <w:rPr>
          <w:rFonts w:asciiTheme="majorHAnsi" w:hAnsiTheme="majorHAnsi"/>
          <w:sz w:val="20"/>
          <w:szCs w:val="20"/>
        </w:rPr>
        <w:t xml:space="preserve">typical of his military training </w:t>
      </w:r>
      <w:r w:rsidR="005F6E2D">
        <w:rPr>
          <w:rFonts w:asciiTheme="majorHAnsi" w:hAnsiTheme="majorHAnsi"/>
          <w:sz w:val="20"/>
          <w:szCs w:val="20"/>
        </w:rPr>
        <w:t>without any problem</w:t>
      </w:r>
      <w:r w:rsidR="00300D46" w:rsidRPr="00D65A97">
        <w:rPr>
          <w:rFonts w:asciiTheme="majorHAnsi" w:hAnsiTheme="majorHAnsi"/>
          <w:sz w:val="20"/>
          <w:szCs w:val="20"/>
        </w:rPr>
        <w:t>.</w:t>
      </w:r>
      <w:r w:rsidR="000872EE">
        <w:rPr>
          <w:rFonts w:asciiTheme="majorHAnsi" w:hAnsiTheme="majorHAnsi"/>
          <w:sz w:val="20"/>
          <w:szCs w:val="20"/>
        </w:rPr>
        <w:t xml:space="preserve">  The morning </w:t>
      </w:r>
      <w:r w:rsidR="005F6E2D">
        <w:rPr>
          <w:rFonts w:asciiTheme="majorHAnsi" w:hAnsiTheme="majorHAnsi"/>
          <w:sz w:val="20"/>
          <w:szCs w:val="20"/>
        </w:rPr>
        <w:t>of Apr</w:t>
      </w:r>
      <w:r w:rsidR="00CA1A7C">
        <w:rPr>
          <w:rFonts w:asciiTheme="majorHAnsi" w:hAnsiTheme="majorHAnsi"/>
          <w:sz w:val="20"/>
          <w:szCs w:val="20"/>
        </w:rPr>
        <w:t>il 11, 1996, the alleged victim’s</w:t>
      </w:r>
      <w:r w:rsidR="005F6E2D">
        <w:rPr>
          <w:rFonts w:asciiTheme="majorHAnsi" w:hAnsiTheme="majorHAnsi"/>
          <w:sz w:val="20"/>
          <w:szCs w:val="20"/>
        </w:rPr>
        <w:t xml:space="preserve"> </w:t>
      </w:r>
      <w:r w:rsidR="00826BB3">
        <w:rPr>
          <w:rFonts w:asciiTheme="majorHAnsi" w:hAnsiTheme="majorHAnsi"/>
          <w:sz w:val="20"/>
          <w:szCs w:val="20"/>
        </w:rPr>
        <w:t xml:space="preserve">fellow trainees </w:t>
      </w:r>
      <w:r w:rsidR="005F6E2D">
        <w:rPr>
          <w:rFonts w:asciiTheme="majorHAnsi" w:hAnsiTheme="majorHAnsi"/>
          <w:sz w:val="20"/>
          <w:szCs w:val="20"/>
        </w:rPr>
        <w:t>realized that he was not waking up</w:t>
      </w:r>
      <w:r w:rsidR="00EA45D6">
        <w:rPr>
          <w:rFonts w:asciiTheme="majorHAnsi" w:hAnsiTheme="majorHAnsi"/>
          <w:sz w:val="20"/>
          <w:szCs w:val="20"/>
        </w:rPr>
        <w:t xml:space="preserve"> and, therefore, their first reaction was to report it to the superior officers of </w:t>
      </w:r>
      <w:r w:rsidR="00EA45D6">
        <w:rPr>
          <w:rFonts w:asciiTheme="majorHAnsi" w:hAnsiTheme="majorHAnsi"/>
          <w:sz w:val="20"/>
          <w:szCs w:val="20"/>
        </w:rPr>
        <w:lastRenderedPageBreak/>
        <w:t xml:space="preserve">CIMEFOR and administer first aid to him and </w:t>
      </w:r>
      <w:r w:rsidR="00861153">
        <w:rPr>
          <w:rFonts w:asciiTheme="majorHAnsi" w:hAnsiTheme="majorHAnsi"/>
          <w:sz w:val="20"/>
          <w:szCs w:val="20"/>
        </w:rPr>
        <w:t xml:space="preserve">try to </w:t>
      </w:r>
      <w:r w:rsidR="00EC0542">
        <w:rPr>
          <w:rFonts w:asciiTheme="majorHAnsi" w:hAnsiTheme="majorHAnsi"/>
          <w:sz w:val="20"/>
          <w:szCs w:val="20"/>
        </w:rPr>
        <w:t>resuscitate</w:t>
      </w:r>
      <w:r w:rsidR="008A45B4">
        <w:rPr>
          <w:rFonts w:asciiTheme="majorHAnsi" w:hAnsiTheme="majorHAnsi"/>
          <w:sz w:val="20"/>
          <w:szCs w:val="20"/>
        </w:rPr>
        <w:t xml:space="preserve"> him </w:t>
      </w:r>
      <w:r w:rsidR="001E274A">
        <w:rPr>
          <w:rFonts w:asciiTheme="majorHAnsi" w:hAnsiTheme="majorHAnsi"/>
          <w:sz w:val="20"/>
          <w:szCs w:val="20"/>
        </w:rPr>
        <w:t xml:space="preserve">and then transport him to Mariscal Estigarribia Health Center for medical examination. </w:t>
      </w:r>
      <w:r w:rsidR="00545C50">
        <w:rPr>
          <w:rFonts w:asciiTheme="majorHAnsi" w:hAnsiTheme="majorHAnsi"/>
          <w:sz w:val="20"/>
          <w:szCs w:val="20"/>
        </w:rPr>
        <w:t>The Death Certificate, issued th</w:t>
      </w:r>
      <w:r w:rsidR="00BF0F0B">
        <w:rPr>
          <w:rFonts w:asciiTheme="majorHAnsi" w:hAnsiTheme="majorHAnsi"/>
          <w:sz w:val="20"/>
          <w:szCs w:val="20"/>
        </w:rPr>
        <w:t xml:space="preserve">at same day, lists as the cause: </w:t>
      </w:r>
      <w:r w:rsidR="00545C50">
        <w:rPr>
          <w:rFonts w:asciiTheme="majorHAnsi" w:hAnsiTheme="majorHAnsi"/>
          <w:sz w:val="20"/>
          <w:szCs w:val="20"/>
        </w:rPr>
        <w:t xml:space="preserve">“sudden death.” </w:t>
      </w:r>
    </w:p>
    <w:p w14:paraId="65FD5B7E" w14:textId="77777777" w:rsidR="00300D46" w:rsidRPr="00D65A97" w:rsidRDefault="00300D46" w:rsidP="00300D46">
      <w:pPr>
        <w:ind w:left="360"/>
        <w:jc w:val="both"/>
        <w:rPr>
          <w:rFonts w:asciiTheme="majorHAnsi" w:hAnsiTheme="majorHAnsi"/>
          <w:sz w:val="20"/>
          <w:szCs w:val="20"/>
        </w:rPr>
      </w:pPr>
    </w:p>
    <w:p w14:paraId="43ABEA62" w14:textId="16019A7B" w:rsidR="00300D46" w:rsidRPr="00D65A97" w:rsidRDefault="006B38BB"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On the same day of his death, a preliminary investigation was opened </w:t>
      </w:r>
      <w:r w:rsidR="006D466A">
        <w:rPr>
          <w:rFonts w:asciiTheme="majorHAnsi" w:hAnsiTheme="majorHAnsi"/>
          <w:sz w:val="20"/>
          <w:szCs w:val="20"/>
        </w:rPr>
        <w:t xml:space="preserve">under military jurisdiction </w:t>
      </w:r>
      <w:r>
        <w:rPr>
          <w:rFonts w:asciiTheme="majorHAnsi" w:hAnsiTheme="majorHAnsi"/>
          <w:sz w:val="20"/>
          <w:szCs w:val="20"/>
        </w:rPr>
        <w:t xml:space="preserve">to determine the causes of the death of </w:t>
      </w:r>
      <w:r w:rsidR="00300D46" w:rsidRPr="00D65A97">
        <w:rPr>
          <w:rFonts w:asciiTheme="majorHAnsi" w:hAnsiTheme="majorHAnsi"/>
          <w:sz w:val="20"/>
          <w:szCs w:val="20"/>
        </w:rPr>
        <w:t xml:space="preserve">Vicente Ariel Noguera. </w:t>
      </w:r>
      <w:r w:rsidR="000D5D70">
        <w:rPr>
          <w:rFonts w:asciiTheme="majorHAnsi" w:hAnsiTheme="majorHAnsi"/>
          <w:sz w:val="20"/>
          <w:szCs w:val="20"/>
        </w:rPr>
        <w:t xml:space="preserve">In the context of this investigation, a first autopsy was performed (April 11, 1996) in which </w:t>
      </w:r>
      <w:r w:rsidR="00EE313E">
        <w:rPr>
          <w:rFonts w:asciiTheme="majorHAnsi" w:hAnsiTheme="majorHAnsi"/>
          <w:sz w:val="20"/>
          <w:szCs w:val="20"/>
        </w:rPr>
        <w:t xml:space="preserve">remains </w:t>
      </w:r>
      <w:r w:rsidR="004F4205">
        <w:rPr>
          <w:rFonts w:asciiTheme="majorHAnsi" w:hAnsiTheme="majorHAnsi"/>
          <w:sz w:val="20"/>
          <w:szCs w:val="20"/>
        </w:rPr>
        <w:t xml:space="preserve">of </w:t>
      </w:r>
      <w:r w:rsidR="00CB5456">
        <w:rPr>
          <w:rFonts w:asciiTheme="majorHAnsi" w:hAnsiTheme="majorHAnsi"/>
          <w:sz w:val="20"/>
          <w:szCs w:val="20"/>
        </w:rPr>
        <w:t xml:space="preserve">a pulmonary infection were found, which the forensic doctors concluded, in their preliminary report, could be Hantavirus. </w:t>
      </w:r>
      <w:r w:rsidR="007C4CAD">
        <w:rPr>
          <w:rFonts w:asciiTheme="majorHAnsi" w:hAnsiTheme="majorHAnsi"/>
          <w:sz w:val="20"/>
          <w:szCs w:val="20"/>
        </w:rPr>
        <w:t>This hypothesis was finally ruled out th</w:t>
      </w:r>
      <w:r w:rsidR="003F2313">
        <w:rPr>
          <w:rFonts w:asciiTheme="majorHAnsi" w:hAnsiTheme="majorHAnsi"/>
          <w:sz w:val="20"/>
          <w:szCs w:val="20"/>
        </w:rPr>
        <w:t>rough subsequent analysis</w:t>
      </w:r>
      <w:r w:rsidR="00C122EC">
        <w:rPr>
          <w:rFonts w:asciiTheme="majorHAnsi" w:hAnsiTheme="majorHAnsi"/>
          <w:sz w:val="20"/>
          <w:szCs w:val="20"/>
        </w:rPr>
        <w:t xml:space="preserve"> by a laboratory in New Mexico, United States (March 20, 1996), which also rec</w:t>
      </w:r>
      <w:r w:rsidR="006C40EA">
        <w:rPr>
          <w:rFonts w:asciiTheme="majorHAnsi" w:hAnsiTheme="majorHAnsi"/>
          <w:sz w:val="20"/>
          <w:szCs w:val="20"/>
        </w:rPr>
        <w:t xml:space="preserve">ommended further analysis. </w:t>
      </w:r>
      <w:r w:rsidR="004E2CAC">
        <w:rPr>
          <w:rFonts w:asciiTheme="majorHAnsi" w:hAnsiTheme="majorHAnsi"/>
          <w:sz w:val="20"/>
          <w:szCs w:val="20"/>
        </w:rPr>
        <w:t>The State also argued that the death of Vicente Ariel N</w:t>
      </w:r>
      <w:r w:rsidR="00334D2E">
        <w:rPr>
          <w:rFonts w:asciiTheme="majorHAnsi" w:hAnsiTheme="majorHAnsi"/>
          <w:sz w:val="20"/>
          <w:szCs w:val="20"/>
        </w:rPr>
        <w:t>oguera is not related to any ty</w:t>
      </w:r>
      <w:r w:rsidR="004E2CAC">
        <w:rPr>
          <w:rFonts w:asciiTheme="majorHAnsi" w:hAnsiTheme="majorHAnsi"/>
          <w:sz w:val="20"/>
          <w:szCs w:val="20"/>
        </w:rPr>
        <w:t xml:space="preserve">pe of physical violence. </w:t>
      </w:r>
      <w:r w:rsidR="002E25CA">
        <w:rPr>
          <w:rFonts w:asciiTheme="majorHAnsi" w:hAnsiTheme="majorHAnsi"/>
          <w:sz w:val="20"/>
          <w:szCs w:val="20"/>
        </w:rPr>
        <w:t>Lastly, the State has also introduced the report of the second autopsy performed on the body of Vicente</w:t>
      </w:r>
      <w:r w:rsidR="00AE4B99">
        <w:rPr>
          <w:rFonts w:asciiTheme="majorHAnsi" w:hAnsiTheme="majorHAnsi"/>
          <w:sz w:val="20"/>
          <w:szCs w:val="20"/>
        </w:rPr>
        <w:t xml:space="preserve"> Ariel Noguera (September 9, 1996), indicating the absence of evidence of physical trauma and concluding once again</w:t>
      </w:r>
      <w:r w:rsidR="00C9119E">
        <w:rPr>
          <w:rFonts w:asciiTheme="majorHAnsi" w:hAnsiTheme="majorHAnsi"/>
          <w:sz w:val="20"/>
          <w:szCs w:val="20"/>
        </w:rPr>
        <w:t xml:space="preserve"> that the cause of death was “</w:t>
      </w:r>
      <w:r w:rsidR="00D47051">
        <w:rPr>
          <w:rFonts w:asciiTheme="majorHAnsi" w:hAnsiTheme="majorHAnsi"/>
          <w:sz w:val="20"/>
          <w:szCs w:val="20"/>
        </w:rPr>
        <w:t>interstit</w:t>
      </w:r>
      <w:r w:rsidR="00C9119E">
        <w:rPr>
          <w:rFonts w:asciiTheme="majorHAnsi" w:hAnsiTheme="majorHAnsi"/>
          <w:sz w:val="20"/>
          <w:szCs w:val="20"/>
        </w:rPr>
        <w:t xml:space="preserve">ial pneumonia.” </w:t>
      </w:r>
      <w:r w:rsidR="00AE4B99">
        <w:rPr>
          <w:rFonts w:asciiTheme="majorHAnsi" w:hAnsiTheme="majorHAnsi"/>
          <w:sz w:val="20"/>
          <w:szCs w:val="20"/>
        </w:rPr>
        <w:t xml:space="preserve"> </w:t>
      </w:r>
      <w:r w:rsidR="002E25CA">
        <w:rPr>
          <w:rFonts w:asciiTheme="majorHAnsi" w:hAnsiTheme="majorHAnsi"/>
          <w:sz w:val="20"/>
          <w:szCs w:val="20"/>
        </w:rPr>
        <w:t xml:space="preserve"> </w:t>
      </w:r>
    </w:p>
    <w:p w14:paraId="354B83E0" w14:textId="77777777" w:rsidR="00300D46" w:rsidRPr="00D65A97" w:rsidRDefault="00300D46" w:rsidP="00300D46">
      <w:pPr>
        <w:pStyle w:val="ListParagraph"/>
        <w:ind w:firstLine="720"/>
        <w:rPr>
          <w:rFonts w:asciiTheme="majorHAnsi" w:hAnsiTheme="majorHAnsi"/>
          <w:sz w:val="20"/>
          <w:szCs w:val="20"/>
        </w:rPr>
      </w:pPr>
    </w:p>
    <w:p w14:paraId="2D0EECC9" w14:textId="1D28A128" w:rsidR="00300D46" w:rsidRPr="00D65A97" w:rsidRDefault="00C67E4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As to the alleged violation of the </w:t>
      </w:r>
      <w:r>
        <w:rPr>
          <w:rFonts w:asciiTheme="majorHAnsi" w:hAnsiTheme="majorHAnsi"/>
          <w:b/>
          <w:sz w:val="20"/>
          <w:szCs w:val="20"/>
        </w:rPr>
        <w:t xml:space="preserve">right to life and humane treatment, </w:t>
      </w:r>
      <w:r>
        <w:rPr>
          <w:rFonts w:asciiTheme="majorHAnsi" w:hAnsiTheme="majorHAnsi"/>
          <w:sz w:val="20"/>
          <w:szCs w:val="20"/>
        </w:rPr>
        <w:t xml:space="preserve">the State denied its responsibility, as was mentioned above, because the medical expert’s report </w:t>
      </w:r>
      <w:r w:rsidR="00D13C4A">
        <w:rPr>
          <w:rFonts w:asciiTheme="majorHAnsi" w:hAnsiTheme="majorHAnsi"/>
          <w:sz w:val="20"/>
          <w:szCs w:val="20"/>
        </w:rPr>
        <w:t>determined that the death of the alleged victim was from “viral-type acute inte</w:t>
      </w:r>
      <w:r w:rsidR="00E12987">
        <w:rPr>
          <w:rFonts w:asciiTheme="majorHAnsi" w:hAnsiTheme="majorHAnsi"/>
          <w:sz w:val="20"/>
          <w:szCs w:val="20"/>
        </w:rPr>
        <w:t>rstitial pneumonia” and that the</w:t>
      </w:r>
      <w:r w:rsidR="00D13C4A">
        <w:rPr>
          <w:rFonts w:asciiTheme="majorHAnsi" w:hAnsiTheme="majorHAnsi"/>
          <w:sz w:val="20"/>
          <w:szCs w:val="20"/>
        </w:rPr>
        <w:t xml:space="preserve"> finding was not “disputed” because it was “determinant, </w:t>
      </w:r>
      <w:r w:rsidR="00050909">
        <w:rPr>
          <w:rFonts w:asciiTheme="majorHAnsi" w:hAnsiTheme="majorHAnsi"/>
          <w:sz w:val="20"/>
          <w:szCs w:val="20"/>
        </w:rPr>
        <w:t xml:space="preserve">sound </w:t>
      </w:r>
      <w:r w:rsidR="00D13C4A">
        <w:rPr>
          <w:rFonts w:asciiTheme="majorHAnsi" w:hAnsiTheme="majorHAnsi"/>
          <w:sz w:val="20"/>
          <w:szCs w:val="20"/>
        </w:rPr>
        <w:t xml:space="preserve">and purely technical.” </w:t>
      </w:r>
      <w:r w:rsidR="00060FF1">
        <w:rPr>
          <w:rFonts w:asciiTheme="majorHAnsi" w:hAnsiTheme="majorHAnsi"/>
          <w:sz w:val="20"/>
          <w:szCs w:val="20"/>
        </w:rPr>
        <w:t>Additionally, with regard to the physical</w:t>
      </w:r>
      <w:r w:rsidR="00E92D18">
        <w:rPr>
          <w:rFonts w:asciiTheme="majorHAnsi" w:hAnsiTheme="majorHAnsi"/>
          <w:sz w:val="20"/>
          <w:szCs w:val="20"/>
        </w:rPr>
        <w:t xml:space="preserve"> assault, it</w:t>
      </w:r>
      <w:r w:rsidR="00060FF1">
        <w:rPr>
          <w:rFonts w:asciiTheme="majorHAnsi" w:hAnsiTheme="majorHAnsi"/>
          <w:sz w:val="20"/>
          <w:szCs w:val="20"/>
        </w:rPr>
        <w:t xml:space="preserve"> noted that the aforementioned expert’s report also determined that there were no “signs of evidence of traumatic violence” and that there was n</w:t>
      </w:r>
      <w:r w:rsidR="00EF5BF1">
        <w:rPr>
          <w:rFonts w:asciiTheme="majorHAnsi" w:hAnsiTheme="majorHAnsi"/>
          <w:sz w:val="20"/>
          <w:szCs w:val="20"/>
        </w:rPr>
        <w:t>o</w:t>
      </w:r>
      <w:r w:rsidR="00060FF1">
        <w:rPr>
          <w:rFonts w:asciiTheme="majorHAnsi" w:hAnsiTheme="majorHAnsi"/>
          <w:sz w:val="20"/>
          <w:szCs w:val="20"/>
        </w:rPr>
        <w:t xml:space="preserve"> “traumatic evidence on skin, muscles and bones especially in the area referred to as suspicious </w:t>
      </w:r>
      <w:r w:rsidR="00EF5BF1">
        <w:rPr>
          <w:rFonts w:asciiTheme="majorHAnsi" w:hAnsiTheme="majorHAnsi"/>
          <w:sz w:val="20"/>
          <w:szCs w:val="20"/>
        </w:rPr>
        <w:t>of</w:t>
      </w:r>
      <w:r w:rsidR="005B227B">
        <w:rPr>
          <w:rFonts w:asciiTheme="majorHAnsi" w:hAnsiTheme="majorHAnsi"/>
          <w:sz w:val="20"/>
          <w:szCs w:val="20"/>
        </w:rPr>
        <w:t xml:space="preserve"> traumatic injury</w:t>
      </w:r>
      <w:r w:rsidR="00AE0C3A">
        <w:rPr>
          <w:rFonts w:asciiTheme="majorHAnsi" w:hAnsiTheme="majorHAnsi"/>
          <w:sz w:val="20"/>
          <w:szCs w:val="20"/>
        </w:rPr>
        <w:t>,</w:t>
      </w:r>
      <w:r w:rsidR="00EF5BF1">
        <w:rPr>
          <w:rFonts w:asciiTheme="majorHAnsi" w:hAnsiTheme="majorHAnsi"/>
          <w:sz w:val="20"/>
          <w:szCs w:val="20"/>
        </w:rPr>
        <w:t>”</w:t>
      </w:r>
      <w:r w:rsidR="0013578B">
        <w:rPr>
          <w:rFonts w:asciiTheme="majorHAnsi" w:hAnsiTheme="majorHAnsi"/>
          <w:sz w:val="20"/>
          <w:szCs w:val="20"/>
        </w:rPr>
        <w:t xml:space="preserve"> </w:t>
      </w:r>
      <w:r w:rsidR="00AE0C3A">
        <w:rPr>
          <w:rFonts w:asciiTheme="majorHAnsi" w:hAnsiTheme="majorHAnsi"/>
          <w:sz w:val="20"/>
          <w:szCs w:val="20"/>
        </w:rPr>
        <w:t>that was noted.</w:t>
      </w:r>
      <w:r w:rsidR="0013578B">
        <w:rPr>
          <w:rFonts w:asciiTheme="majorHAnsi" w:hAnsiTheme="majorHAnsi"/>
          <w:sz w:val="20"/>
          <w:szCs w:val="20"/>
        </w:rPr>
        <w:t xml:space="preserve"> </w:t>
      </w:r>
      <w:r w:rsidR="00741875">
        <w:rPr>
          <w:rFonts w:asciiTheme="majorHAnsi" w:hAnsiTheme="majorHAnsi"/>
          <w:sz w:val="20"/>
          <w:szCs w:val="20"/>
        </w:rPr>
        <w:t xml:space="preserve">The State also </w:t>
      </w:r>
      <w:r w:rsidR="00333DB5">
        <w:rPr>
          <w:rFonts w:asciiTheme="majorHAnsi" w:hAnsiTheme="majorHAnsi"/>
          <w:sz w:val="20"/>
          <w:szCs w:val="20"/>
        </w:rPr>
        <w:t xml:space="preserve">asserted </w:t>
      </w:r>
      <w:r w:rsidR="009407D3">
        <w:rPr>
          <w:rFonts w:asciiTheme="majorHAnsi" w:hAnsiTheme="majorHAnsi"/>
          <w:sz w:val="20"/>
          <w:szCs w:val="20"/>
        </w:rPr>
        <w:t>that the mother of the alleged victim collects a pension for the death of her son and that he had been awarded a posthumous promotion to the rank of Reserve Second Lieutenant</w:t>
      </w:r>
      <w:r w:rsidR="00EB172D">
        <w:rPr>
          <w:rFonts w:asciiTheme="majorHAnsi" w:hAnsiTheme="majorHAnsi"/>
          <w:sz w:val="20"/>
          <w:szCs w:val="20"/>
        </w:rPr>
        <w:t xml:space="preserve">. </w:t>
      </w:r>
      <w:r w:rsidR="00AC3527">
        <w:rPr>
          <w:rFonts w:asciiTheme="majorHAnsi" w:hAnsiTheme="majorHAnsi"/>
          <w:sz w:val="20"/>
          <w:szCs w:val="20"/>
        </w:rPr>
        <w:t xml:space="preserve">Additionally, </w:t>
      </w:r>
      <w:r w:rsidR="000127F8">
        <w:rPr>
          <w:rFonts w:asciiTheme="majorHAnsi" w:hAnsiTheme="majorHAnsi"/>
          <w:sz w:val="20"/>
          <w:szCs w:val="20"/>
        </w:rPr>
        <w:t xml:space="preserve">with regard to the viral intoxication that was stated </w:t>
      </w:r>
      <w:r w:rsidR="006572DA">
        <w:rPr>
          <w:rFonts w:asciiTheme="majorHAnsi" w:hAnsiTheme="majorHAnsi"/>
          <w:sz w:val="20"/>
          <w:szCs w:val="20"/>
        </w:rPr>
        <w:t xml:space="preserve">as </w:t>
      </w:r>
      <w:r w:rsidR="000127F8">
        <w:rPr>
          <w:rFonts w:asciiTheme="majorHAnsi" w:hAnsiTheme="majorHAnsi"/>
          <w:sz w:val="20"/>
          <w:szCs w:val="20"/>
        </w:rPr>
        <w:t>the cause of the death of the alleged victim</w:t>
      </w:r>
      <w:r w:rsidR="00800DF7">
        <w:rPr>
          <w:rFonts w:asciiTheme="majorHAnsi" w:hAnsiTheme="majorHAnsi"/>
          <w:sz w:val="20"/>
          <w:szCs w:val="20"/>
        </w:rPr>
        <w:t>, it claimed that it cannot be attributed to th</w:t>
      </w:r>
      <w:r w:rsidR="00A20455">
        <w:rPr>
          <w:rFonts w:asciiTheme="majorHAnsi" w:hAnsiTheme="majorHAnsi"/>
          <w:sz w:val="20"/>
          <w:szCs w:val="20"/>
        </w:rPr>
        <w:t xml:space="preserve">e State given that the intoxication “was not caused by a failure to protect by the State.” </w:t>
      </w:r>
    </w:p>
    <w:p w14:paraId="309EAEA4" w14:textId="77777777" w:rsidR="00300D46" w:rsidRPr="00D65A97" w:rsidRDefault="00300D46" w:rsidP="00300D46">
      <w:pPr>
        <w:ind w:firstLine="720"/>
        <w:jc w:val="both"/>
        <w:rPr>
          <w:rFonts w:asciiTheme="majorHAnsi" w:hAnsiTheme="majorHAnsi"/>
          <w:sz w:val="20"/>
          <w:szCs w:val="20"/>
        </w:rPr>
      </w:pPr>
    </w:p>
    <w:p w14:paraId="529E9854" w14:textId="11A0D5E1" w:rsidR="00300D46" w:rsidRPr="00D65A97" w:rsidRDefault="00511AC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State argued that it did not violate the </w:t>
      </w:r>
      <w:r>
        <w:rPr>
          <w:rFonts w:asciiTheme="majorHAnsi" w:hAnsiTheme="majorHAnsi"/>
          <w:b/>
          <w:sz w:val="20"/>
          <w:szCs w:val="20"/>
        </w:rPr>
        <w:t xml:space="preserve">right to a fair trial </w:t>
      </w:r>
      <w:r>
        <w:rPr>
          <w:rFonts w:asciiTheme="majorHAnsi" w:hAnsiTheme="majorHAnsi"/>
          <w:sz w:val="20"/>
          <w:szCs w:val="20"/>
        </w:rPr>
        <w:t xml:space="preserve">because the criminal proceeding and the investigation were conducted in keeping with the Criminal Code and </w:t>
      </w:r>
      <w:r w:rsidR="00C9780E">
        <w:rPr>
          <w:rFonts w:asciiTheme="majorHAnsi" w:hAnsiTheme="majorHAnsi"/>
          <w:sz w:val="20"/>
          <w:szCs w:val="20"/>
        </w:rPr>
        <w:t xml:space="preserve">statutorily </w:t>
      </w:r>
      <w:r>
        <w:rPr>
          <w:rFonts w:asciiTheme="majorHAnsi" w:hAnsiTheme="majorHAnsi"/>
          <w:sz w:val="20"/>
          <w:szCs w:val="20"/>
        </w:rPr>
        <w:t>established procedural stages</w:t>
      </w:r>
      <w:r w:rsidR="00300D46" w:rsidRPr="00D65A97">
        <w:rPr>
          <w:rFonts w:asciiTheme="majorHAnsi" w:hAnsiTheme="majorHAnsi"/>
          <w:sz w:val="20"/>
          <w:szCs w:val="20"/>
        </w:rPr>
        <w:t>.</w:t>
      </w:r>
      <w:r w:rsidR="0083227F">
        <w:rPr>
          <w:rFonts w:asciiTheme="majorHAnsi" w:hAnsiTheme="majorHAnsi"/>
          <w:sz w:val="20"/>
          <w:szCs w:val="20"/>
        </w:rPr>
        <w:t xml:space="preserve"> It contended that “all timely investigatory steps </w:t>
      </w:r>
      <w:r w:rsidR="00AE498E">
        <w:rPr>
          <w:rFonts w:asciiTheme="majorHAnsi" w:hAnsiTheme="majorHAnsi"/>
          <w:sz w:val="20"/>
          <w:szCs w:val="20"/>
        </w:rPr>
        <w:t>in addition to those proposed by the</w:t>
      </w:r>
      <w:r w:rsidR="001951EA">
        <w:rPr>
          <w:rFonts w:asciiTheme="majorHAnsi" w:hAnsiTheme="majorHAnsi"/>
          <w:sz w:val="20"/>
          <w:szCs w:val="20"/>
        </w:rPr>
        <w:t xml:space="preserve"> Prosecutor and the complainant”</w:t>
      </w:r>
      <w:r w:rsidR="00FE5758">
        <w:rPr>
          <w:rFonts w:asciiTheme="majorHAnsi" w:hAnsiTheme="majorHAnsi"/>
          <w:sz w:val="20"/>
          <w:szCs w:val="20"/>
        </w:rPr>
        <w:t xml:space="preserve"> were</w:t>
      </w:r>
      <w:r w:rsidR="00A05CA3">
        <w:rPr>
          <w:rFonts w:asciiTheme="majorHAnsi" w:hAnsiTheme="majorHAnsi"/>
          <w:sz w:val="20"/>
          <w:szCs w:val="20"/>
        </w:rPr>
        <w:t xml:space="preserve"> carried out</w:t>
      </w:r>
      <w:r w:rsidR="00FE5758">
        <w:rPr>
          <w:rFonts w:asciiTheme="majorHAnsi" w:hAnsiTheme="majorHAnsi"/>
          <w:sz w:val="20"/>
          <w:szCs w:val="20"/>
        </w:rPr>
        <w:t xml:space="preserve">. </w:t>
      </w:r>
      <w:r w:rsidR="00BF44BC">
        <w:rPr>
          <w:rFonts w:asciiTheme="majorHAnsi" w:hAnsiTheme="majorHAnsi"/>
          <w:sz w:val="20"/>
          <w:szCs w:val="20"/>
        </w:rPr>
        <w:t xml:space="preserve">Additionally, it explained that the archiving of the criminal complaint for homicide, bodily injury, abuse of authority and other criminal offenses, was based on </w:t>
      </w:r>
      <w:r w:rsidR="00061868">
        <w:rPr>
          <w:rFonts w:asciiTheme="majorHAnsi" w:hAnsiTheme="majorHAnsi"/>
          <w:sz w:val="20"/>
          <w:szCs w:val="20"/>
        </w:rPr>
        <w:t xml:space="preserve">the </w:t>
      </w:r>
      <w:r w:rsidR="005162DE">
        <w:rPr>
          <w:rFonts w:asciiTheme="majorHAnsi" w:hAnsiTheme="majorHAnsi"/>
          <w:sz w:val="20"/>
          <w:szCs w:val="20"/>
        </w:rPr>
        <w:t xml:space="preserve">proper </w:t>
      </w:r>
      <w:r w:rsidR="00061868">
        <w:rPr>
          <w:rFonts w:asciiTheme="majorHAnsi" w:hAnsiTheme="majorHAnsi"/>
          <w:sz w:val="20"/>
          <w:szCs w:val="20"/>
        </w:rPr>
        <w:t xml:space="preserve">application </w:t>
      </w:r>
      <w:r w:rsidR="007A766E">
        <w:rPr>
          <w:rFonts w:asciiTheme="majorHAnsi" w:hAnsiTheme="majorHAnsi"/>
          <w:sz w:val="20"/>
          <w:szCs w:val="20"/>
        </w:rPr>
        <w:t xml:space="preserve">of </w:t>
      </w:r>
      <w:r w:rsidR="00BF44BC">
        <w:rPr>
          <w:rFonts w:asciiTheme="majorHAnsi" w:hAnsiTheme="majorHAnsi"/>
          <w:sz w:val="20"/>
          <w:szCs w:val="20"/>
        </w:rPr>
        <w:t xml:space="preserve">the procedural law in effect at the time, </w:t>
      </w:r>
      <w:r w:rsidR="00D62403">
        <w:rPr>
          <w:rFonts w:asciiTheme="majorHAnsi" w:hAnsiTheme="majorHAnsi"/>
          <w:sz w:val="20"/>
          <w:szCs w:val="20"/>
        </w:rPr>
        <w:t xml:space="preserve">which provides </w:t>
      </w:r>
      <w:r w:rsidR="00602E06">
        <w:rPr>
          <w:rFonts w:asciiTheme="majorHAnsi" w:hAnsiTheme="majorHAnsi"/>
          <w:sz w:val="20"/>
          <w:szCs w:val="20"/>
        </w:rPr>
        <w:t xml:space="preserve">for archiving the case </w:t>
      </w:r>
      <w:r w:rsidR="00D62403">
        <w:rPr>
          <w:rFonts w:asciiTheme="majorHAnsi" w:hAnsiTheme="majorHAnsi"/>
          <w:sz w:val="20"/>
          <w:szCs w:val="20"/>
        </w:rPr>
        <w:t xml:space="preserve">when </w:t>
      </w:r>
      <w:r w:rsidR="0042456E">
        <w:rPr>
          <w:rFonts w:asciiTheme="majorHAnsi" w:hAnsiTheme="majorHAnsi"/>
          <w:sz w:val="20"/>
          <w:szCs w:val="20"/>
        </w:rPr>
        <w:t>said</w:t>
      </w:r>
      <w:r w:rsidR="005C54CA">
        <w:rPr>
          <w:rFonts w:asciiTheme="majorHAnsi" w:hAnsiTheme="majorHAnsi"/>
          <w:sz w:val="20"/>
          <w:szCs w:val="20"/>
        </w:rPr>
        <w:t xml:space="preserve"> remedy (</w:t>
      </w:r>
      <w:r w:rsidR="004A1B57">
        <w:rPr>
          <w:rFonts w:asciiTheme="majorHAnsi" w:hAnsiTheme="majorHAnsi"/>
          <w:sz w:val="20"/>
          <w:szCs w:val="20"/>
        </w:rPr>
        <w:t xml:space="preserve">a </w:t>
      </w:r>
      <w:r w:rsidR="00674220">
        <w:rPr>
          <w:rFonts w:asciiTheme="majorHAnsi" w:hAnsiTheme="majorHAnsi"/>
          <w:sz w:val="20"/>
          <w:szCs w:val="20"/>
        </w:rPr>
        <w:t xml:space="preserve">private criminal complaint: </w:t>
      </w:r>
      <w:r w:rsidR="00674220">
        <w:rPr>
          <w:rFonts w:asciiTheme="majorHAnsi" w:hAnsiTheme="majorHAnsi"/>
          <w:i/>
          <w:sz w:val="20"/>
          <w:szCs w:val="20"/>
        </w:rPr>
        <w:t>querella</w:t>
      </w:r>
      <w:r w:rsidR="00674220">
        <w:rPr>
          <w:rFonts w:asciiTheme="majorHAnsi" w:hAnsiTheme="majorHAnsi"/>
          <w:sz w:val="20"/>
          <w:szCs w:val="20"/>
        </w:rPr>
        <w:t xml:space="preserve">) </w:t>
      </w:r>
      <w:r w:rsidR="00D62403">
        <w:rPr>
          <w:rFonts w:asciiTheme="majorHAnsi" w:hAnsiTheme="majorHAnsi"/>
          <w:sz w:val="20"/>
          <w:szCs w:val="20"/>
        </w:rPr>
        <w:t xml:space="preserve">is filed </w:t>
      </w:r>
      <w:r w:rsidR="004A1B57">
        <w:rPr>
          <w:rFonts w:asciiTheme="majorHAnsi" w:hAnsiTheme="majorHAnsi"/>
          <w:sz w:val="20"/>
          <w:szCs w:val="20"/>
        </w:rPr>
        <w:t xml:space="preserve">in cases of </w:t>
      </w:r>
      <w:r w:rsidR="000569B5">
        <w:rPr>
          <w:rFonts w:asciiTheme="majorHAnsi" w:hAnsiTheme="majorHAnsi"/>
          <w:sz w:val="20"/>
          <w:szCs w:val="20"/>
        </w:rPr>
        <w:t xml:space="preserve">unidentified </w:t>
      </w:r>
      <w:r w:rsidR="00602E06">
        <w:rPr>
          <w:rFonts w:asciiTheme="majorHAnsi" w:hAnsiTheme="majorHAnsi"/>
          <w:sz w:val="20"/>
          <w:szCs w:val="20"/>
        </w:rPr>
        <w:t>defendants and</w:t>
      </w:r>
      <w:r w:rsidR="009C492E">
        <w:rPr>
          <w:rFonts w:asciiTheme="majorHAnsi" w:hAnsiTheme="majorHAnsi"/>
          <w:sz w:val="20"/>
          <w:szCs w:val="20"/>
        </w:rPr>
        <w:t xml:space="preserve"> </w:t>
      </w:r>
      <w:r w:rsidR="00C87AF8">
        <w:rPr>
          <w:rFonts w:asciiTheme="majorHAnsi" w:hAnsiTheme="majorHAnsi"/>
          <w:sz w:val="20"/>
          <w:szCs w:val="20"/>
        </w:rPr>
        <w:t>after six months have elapsed</w:t>
      </w:r>
      <w:r w:rsidR="00B037A7">
        <w:rPr>
          <w:rFonts w:asciiTheme="majorHAnsi" w:hAnsiTheme="majorHAnsi"/>
          <w:sz w:val="20"/>
          <w:szCs w:val="20"/>
        </w:rPr>
        <w:t>,</w:t>
      </w:r>
      <w:r w:rsidR="00C87AF8">
        <w:rPr>
          <w:rFonts w:asciiTheme="majorHAnsi" w:hAnsiTheme="majorHAnsi"/>
          <w:sz w:val="20"/>
          <w:szCs w:val="20"/>
        </w:rPr>
        <w:t xml:space="preserve"> the Public Prosecutor’s Office </w:t>
      </w:r>
      <w:r w:rsidR="00274330">
        <w:rPr>
          <w:rFonts w:asciiTheme="majorHAnsi" w:hAnsiTheme="majorHAnsi"/>
          <w:sz w:val="20"/>
          <w:szCs w:val="20"/>
        </w:rPr>
        <w:t xml:space="preserve">or the parties </w:t>
      </w:r>
      <w:r w:rsidR="00B037A7">
        <w:rPr>
          <w:rFonts w:asciiTheme="majorHAnsi" w:hAnsiTheme="majorHAnsi"/>
          <w:sz w:val="20"/>
          <w:szCs w:val="20"/>
        </w:rPr>
        <w:t xml:space="preserve">have not filed </w:t>
      </w:r>
      <w:r w:rsidR="00B70BD9">
        <w:rPr>
          <w:rFonts w:asciiTheme="majorHAnsi" w:hAnsiTheme="majorHAnsi"/>
          <w:sz w:val="20"/>
          <w:szCs w:val="20"/>
        </w:rPr>
        <w:t xml:space="preserve">the relevant </w:t>
      </w:r>
      <w:r w:rsidR="00274330">
        <w:rPr>
          <w:rFonts w:asciiTheme="majorHAnsi" w:hAnsiTheme="majorHAnsi"/>
          <w:sz w:val="20"/>
          <w:szCs w:val="20"/>
        </w:rPr>
        <w:t xml:space="preserve">motions or </w:t>
      </w:r>
      <w:r w:rsidR="00B70BD9">
        <w:rPr>
          <w:rFonts w:asciiTheme="majorHAnsi" w:hAnsiTheme="majorHAnsi"/>
          <w:sz w:val="20"/>
          <w:szCs w:val="20"/>
        </w:rPr>
        <w:t>taken</w:t>
      </w:r>
      <w:r w:rsidR="00AB79BB">
        <w:rPr>
          <w:rFonts w:asciiTheme="majorHAnsi" w:hAnsiTheme="majorHAnsi"/>
          <w:sz w:val="20"/>
          <w:szCs w:val="20"/>
        </w:rPr>
        <w:t xml:space="preserve"> the pertinent investigatory steps to continue the proceedings. </w:t>
      </w:r>
    </w:p>
    <w:p w14:paraId="2946A4AF" w14:textId="77777777" w:rsidR="00300D46" w:rsidRPr="00D65A97" w:rsidRDefault="00300D46" w:rsidP="00300D46">
      <w:pPr>
        <w:ind w:firstLine="720"/>
        <w:jc w:val="both"/>
        <w:rPr>
          <w:rFonts w:asciiTheme="majorHAnsi" w:hAnsiTheme="majorHAnsi"/>
          <w:sz w:val="20"/>
          <w:szCs w:val="20"/>
        </w:rPr>
      </w:pPr>
    </w:p>
    <w:p w14:paraId="1628A312" w14:textId="4F54539C" w:rsidR="00300D46" w:rsidRPr="00D65A97" w:rsidRDefault="00A11B1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State further claimed that it </w:t>
      </w:r>
      <w:r w:rsidR="00F70DBA">
        <w:rPr>
          <w:rFonts w:asciiTheme="majorHAnsi" w:hAnsiTheme="majorHAnsi"/>
          <w:sz w:val="20"/>
          <w:szCs w:val="20"/>
        </w:rPr>
        <w:t xml:space="preserve">did not violate the </w:t>
      </w:r>
      <w:r w:rsidR="00F70DBA">
        <w:rPr>
          <w:rFonts w:asciiTheme="majorHAnsi" w:hAnsiTheme="majorHAnsi"/>
          <w:b/>
          <w:sz w:val="20"/>
          <w:szCs w:val="20"/>
        </w:rPr>
        <w:t xml:space="preserve">rights of the child </w:t>
      </w:r>
      <w:r w:rsidR="00F70DBA">
        <w:rPr>
          <w:rFonts w:asciiTheme="majorHAnsi" w:hAnsiTheme="majorHAnsi"/>
          <w:sz w:val="20"/>
          <w:szCs w:val="20"/>
        </w:rPr>
        <w:t xml:space="preserve">because at the time when the events occurred, it was not a party to the Convention on the Rights of the Child and, consequently, there was no prohibition in place </w:t>
      </w:r>
      <w:r w:rsidR="00F47531">
        <w:rPr>
          <w:rFonts w:asciiTheme="majorHAnsi" w:hAnsiTheme="majorHAnsi"/>
          <w:sz w:val="20"/>
          <w:szCs w:val="20"/>
        </w:rPr>
        <w:t xml:space="preserve">for </w:t>
      </w:r>
      <w:r w:rsidR="00714DF6">
        <w:rPr>
          <w:rFonts w:asciiTheme="majorHAnsi" w:hAnsiTheme="majorHAnsi"/>
          <w:sz w:val="20"/>
          <w:szCs w:val="20"/>
        </w:rPr>
        <w:t xml:space="preserve">recruitment into </w:t>
      </w:r>
      <w:r w:rsidR="00F47531">
        <w:rPr>
          <w:rFonts w:asciiTheme="majorHAnsi" w:hAnsiTheme="majorHAnsi"/>
          <w:sz w:val="20"/>
          <w:szCs w:val="20"/>
        </w:rPr>
        <w:t xml:space="preserve">military service under 18 years of age. </w:t>
      </w:r>
      <w:r w:rsidR="00A51508">
        <w:rPr>
          <w:rFonts w:asciiTheme="majorHAnsi" w:hAnsiTheme="majorHAnsi"/>
          <w:sz w:val="20"/>
          <w:szCs w:val="20"/>
        </w:rPr>
        <w:t xml:space="preserve">It further contended that since 2005, there have been amendments to the provisions of the Law of the Military Forces </w:t>
      </w:r>
      <w:r w:rsidR="00714DF6">
        <w:rPr>
          <w:rFonts w:asciiTheme="majorHAnsi" w:hAnsiTheme="majorHAnsi"/>
          <w:sz w:val="20"/>
          <w:szCs w:val="20"/>
        </w:rPr>
        <w:t>and the Decree of the Commander-in-</w:t>
      </w:r>
      <w:r w:rsidR="00A51508">
        <w:rPr>
          <w:rFonts w:asciiTheme="majorHAnsi" w:hAnsiTheme="majorHAnsi"/>
          <w:sz w:val="20"/>
          <w:szCs w:val="20"/>
        </w:rPr>
        <w:t xml:space="preserve">Chief </w:t>
      </w:r>
      <w:r w:rsidR="00D6093D">
        <w:rPr>
          <w:rFonts w:asciiTheme="majorHAnsi" w:hAnsiTheme="majorHAnsi"/>
          <w:sz w:val="20"/>
          <w:szCs w:val="20"/>
        </w:rPr>
        <w:t xml:space="preserve">establishing </w:t>
      </w:r>
      <w:r w:rsidR="00A51508">
        <w:rPr>
          <w:rFonts w:asciiTheme="majorHAnsi" w:hAnsiTheme="majorHAnsi"/>
          <w:sz w:val="20"/>
          <w:szCs w:val="20"/>
        </w:rPr>
        <w:t xml:space="preserve">the prohibition </w:t>
      </w:r>
      <w:r w:rsidR="0077270E">
        <w:rPr>
          <w:rFonts w:asciiTheme="majorHAnsi" w:hAnsiTheme="majorHAnsi"/>
          <w:sz w:val="20"/>
          <w:szCs w:val="20"/>
        </w:rPr>
        <w:t xml:space="preserve">without exception of the recruitment of underage persons into military service. </w:t>
      </w:r>
    </w:p>
    <w:p w14:paraId="3004A6AF" w14:textId="77777777" w:rsidR="00300D46" w:rsidRPr="00D65A97" w:rsidRDefault="00300D46" w:rsidP="00300D46">
      <w:pPr>
        <w:jc w:val="both"/>
        <w:rPr>
          <w:rFonts w:asciiTheme="majorHAnsi" w:hAnsiTheme="majorHAnsi"/>
          <w:sz w:val="20"/>
          <w:szCs w:val="20"/>
        </w:rPr>
      </w:pPr>
    </w:p>
    <w:p w14:paraId="3D7B4371" w14:textId="7A0C6B94" w:rsidR="00300D46" w:rsidRPr="00D65A97" w:rsidRDefault="00950224" w:rsidP="00300D46">
      <w:pPr>
        <w:pStyle w:val="Heading1"/>
      </w:pPr>
      <w:bookmarkStart w:id="6" w:name="_Toc506095167"/>
      <w:r>
        <w:t xml:space="preserve">DETERMINATIONS OF FACT </w:t>
      </w:r>
      <w:bookmarkEnd w:id="6"/>
    </w:p>
    <w:p w14:paraId="3CD724E9" w14:textId="77777777" w:rsidR="00300D46" w:rsidRPr="00D65A97" w:rsidRDefault="00300D46" w:rsidP="00300D46">
      <w:pPr>
        <w:jc w:val="both"/>
        <w:rPr>
          <w:rFonts w:asciiTheme="majorHAnsi" w:hAnsiTheme="majorHAnsi"/>
          <w:b/>
          <w:sz w:val="20"/>
          <w:szCs w:val="20"/>
        </w:rPr>
      </w:pPr>
    </w:p>
    <w:p w14:paraId="24AFD6D6" w14:textId="6064BB31" w:rsidR="00300D46" w:rsidRPr="00D65A97" w:rsidRDefault="00300D46" w:rsidP="00064655">
      <w:pPr>
        <w:pStyle w:val="Heading2"/>
        <w:numPr>
          <w:ilvl w:val="0"/>
          <w:numId w:val="58"/>
        </w:numPr>
        <w:ind w:hanging="720"/>
      </w:pPr>
      <w:bookmarkStart w:id="7" w:name="_Toc506095168"/>
      <w:r w:rsidRPr="00D65A97">
        <w:t>Context</w:t>
      </w:r>
      <w:bookmarkEnd w:id="7"/>
    </w:p>
    <w:p w14:paraId="08D1A191" w14:textId="77777777" w:rsidR="00300D46" w:rsidRPr="00D65A97" w:rsidRDefault="00300D46" w:rsidP="00300D46">
      <w:pPr>
        <w:ind w:left="1440"/>
        <w:jc w:val="both"/>
        <w:rPr>
          <w:rFonts w:asciiTheme="majorHAnsi" w:hAnsiTheme="majorHAnsi"/>
          <w:b/>
          <w:sz w:val="20"/>
          <w:szCs w:val="20"/>
        </w:rPr>
      </w:pPr>
    </w:p>
    <w:p w14:paraId="6D2FF8A3" w14:textId="73DDF500" w:rsidR="00300D46" w:rsidRPr="00D65A97" w:rsidRDefault="00F5601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Commission has already had the opportunity to analyze the context </w:t>
      </w:r>
      <w:r w:rsidR="006149A1">
        <w:rPr>
          <w:rFonts w:asciiTheme="majorHAnsi" w:hAnsiTheme="majorHAnsi"/>
          <w:sz w:val="20"/>
          <w:szCs w:val="20"/>
        </w:rPr>
        <w:t>of</w:t>
      </w:r>
      <w:r>
        <w:rPr>
          <w:rFonts w:asciiTheme="majorHAnsi" w:hAnsiTheme="majorHAnsi"/>
          <w:sz w:val="20"/>
          <w:szCs w:val="20"/>
        </w:rPr>
        <w:t xml:space="preserve"> military service in Paraguay. In this regard, the Commission, as wel</w:t>
      </w:r>
      <w:r w:rsidR="001E52B1">
        <w:rPr>
          <w:rFonts w:asciiTheme="majorHAnsi" w:hAnsiTheme="majorHAnsi"/>
          <w:sz w:val="20"/>
          <w:szCs w:val="20"/>
        </w:rPr>
        <w:t xml:space="preserve">l as other international bodies, </w:t>
      </w:r>
      <w:r w:rsidR="001B3083">
        <w:rPr>
          <w:rFonts w:asciiTheme="majorHAnsi" w:hAnsiTheme="majorHAnsi"/>
          <w:sz w:val="20"/>
          <w:szCs w:val="20"/>
        </w:rPr>
        <w:t>has</w:t>
      </w:r>
      <w:r w:rsidR="006F0E28">
        <w:rPr>
          <w:rFonts w:asciiTheme="majorHAnsi" w:hAnsiTheme="majorHAnsi"/>
          <w:sz w:val="20"/>
          <w:szCs w:val="20"/>
        </w:rPr>
        <w:t xml:space="preserve"> </w:t>
      </w:r>
      <w:r w:rsidR="00473831">
        <w:rPr>
          <w:rFonts w:asciiTheme="majorHAnsi" w:hAnsiTheme="majorHAnsi"/>
          <w:sz w:val="20"/>
          <w:szCs w:val="20"/>
        </w:rPr>
        <w:t xml:space="preserve">observed </w:t>
      </w:r>
      <w:r w:rsidR="006F0E28">
        <w:rPr>
          <w:rFonts w:asciiTheme="majorHAnsi" w:hAnsiTheme="majorHAnsi"/>
          <w:sz w:val="20"/>
          <w:szCs w:val="20"/>
        </w:rPr>
        <w:t>that the complex issue</w:t>
      </w:r>
      <w:r w:rsidR="00BE5839" w:rsidRPr="00BE5839">
        <w:rPr>
          <w:rFonts w:asciiTheme="majorHAnsi" w:hAnsiTheme="majorHAnsi"/>
          <w:sz w:val="20"/>
          <w:szCs w:val="20"/>
        </w:rPr>
        <w:t xml:space="preserve"> </w:t>
      </w:r>
      <w:r w:rsidR="006F0E28">
        <w:rPr>
          <w:rFonts w:asciiTheme="majorHAnsi" w:hAnsiTheme="majorHAnsi"/>
          <w:sz w:val="20"/>
          <w:szCs w:val="20"/>
        </w:rPr>
        <w:t>is related, on the one hand, to recruitment for military</w:t>
      </w:r>
      <w:r w:rsidR="00CD0D9E">
        <w:rPr>
          <w:rFonts w:asciiTheme="majorHAnsi" w:hAnsiTheme="majorHAnsi"/>
          <w:sz w:val="20"/>
          <w:szCs w:val="20"/>
        </w:rPr>
        <w:t xml:space="preserve"> service</w:t>
      </w:r>
      <w:r w:rsidR="004D64FE">
        <w:rPr>
          <w:rFonts w:asciiTheme="majorHAnsi" w:hAnsiTheme="majorHAnsi"/>
          <w:sz w:val="20"/>
          <w:szCs w:val="20"/>
        </w:rPr>
        <w:t xml:space="preserve"> in general</w:t>
      </w:r>
      <w:r w:rsidR="006F0E28">
        <w:rPr>
          <w:rFonts w:asciiTheme="majorHAnsi" w:hAnsiTheme="majorHAnsi"/>
          <w:sz w:val="20"/>
          <w:szCs w:val="20"/>
        </w:rPr>
        <w:t xml:space="preserve"> and, on the other hand, to the conditions in which military service is performed. </w:t>
      </w:r>
    </w:p>
    <w:p w14:paraId="6462718F" w14:textId="77777777" w:rsidR="00300D46" w:rsidRPr="00D65A97" w:rsidRDefault="00300D46" w:rsidP="00300D46">
      <w:pPr>
        <w:ind w:left="360" w:firstLine="720"/>
        <w:jc w:val="both"/>
        <w:rPr>
          <w:rFonts w:asciiTheme="majorHAnsi" w:hAnsiTheme="majorHAnsi"/>
          <w:sz w:val="20"/>
          <w:szCs w:val="20"/>
        </w:rPr>
      </w:pPr>
    </w:p>
    <w:p w14:paraId="2FAB6DF7" w14:textId="05050035" w:rsidR="00300D46" w:rsidRPr="00D65A97" w:rsidRDefault="00640D7D"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lastRenderedPageBreak/>
        <w:t xml:space="preserve">With respect to recruitment, the Commission is aware of the existence of situations violating free consent and the use of intimidation </w:t>
      </w:r>
      <w:r w:rsidR="00EB0BB8">
        <w:rPr>
          <w:rFonts w:asciiTheme="majorHAnsi" w:hAnsiTheme="majorHAnsi"/>
          <w:sz w:val="20"/>
          <w:szCs w:val="20"/>
        </w:rPr>
        <w:t>for enlistment into military service</w:t>
      </w:r>
      <w:r w:rsidR="00300D46" w:rsidRPr="00D65A97">
        <w:rPr>
          <w:rStyle w:val="FootnoteReference"/>
          <w:rFonts w:asciiTheme="majorHAnsi" w:hAnsiTheme="majorHAnsi"/>
          <w:sz w:val="20"/>
          <w:szCs w:val="20"/>
        </w:rPr>
        <w:footnoteReference w:id="5"/>
      </w:r>
      <w:r w:rsidR="00300D46" w:rsidRPr="00D65A97">
        <w:rPr>
          <w:rFonts w:asciiTheme="majorHAnsi" w:hAnsiTheme="majorHAnsi"/>
          <w:sz w:val="20"/>
          <w:szCs w:val="20"/>
        </w:rPr>
        <w:t xml:space="preserve"> </w:t>
      </w:r>
      <w:r w:rsidR="00EB0BB8">
        <w:rPr>
          <w:rFonts w:asciiTheme="majorHAnsi" w:hAnsiTheme="majorHAnsi"/>
          <w:sz w:val="20"/>
          <w:szCs w:val="20"/>
        </w:rPr>
        <w:t xml:space="preserve">and the failure to verify legal age requirements for the </w:t>
      </w:r>
      <w:r w:rsidR="00B00879">
        <w:rPr>
          <w:rFonts w:asciiTheme="majorHAnsi" w:hAnsiTheme="majorHAnsi"/>
          <w:sz w:val="20"/>
          <w:szCs w:val="20"/>
        </w:rPr>
        <w:t xml:space="preserve">enrollment </w:t>
      </w:r>
      <w:r w:rsidR="00EB0BB8">
        <w:rPr>
          <w:rFonts w:asciiTheme="majorHAnsi" w:hAnsiTheme="majorHAnsi"/>
          <w:sz w:val="20"/>
          <w:szCs w:val="20"/>
        </w:rPr>
        <w:t>of recruits into the ranks of the military forces.</w:t>
      </w:r>
      <w:r w:rsidR="00300D46" w:rsidRPr="00D65A97">
        <w:rPr>
          <w:rStyle w:val="FootnoteReference"/>
          <w:rFonts w:asciiTheme="majorHAnsi" w:hAnsiTheme="majorHAnsi"/>
          <w:sz w:val="20"/>
          <w:szCs w:val="20"/>
        </w:rPr>
        <w:footnoteReference w:id="6"/>
      </w:r>
      <w:r w:rsidR="00300D46" w:rsidRPr="00D65A97">
        <w:rPr>
          <w:rFonts w:asciiTheme="majorHAnsi" w:hAnsiTheme="majorHAnsi"/>
          <w:sz w:val="20"/>
          <w:szCs w:val="20"/>
        </w:rPr>
        <w:t xml:space="preserve"> </w:t>
      </w:r>
      <w:r w:rsidR="001F27FB">
        <w:rPr>
          <w:rFonts w:asciiTheme="majorHAnsi" w:hAnsiTheme="majorHAnsi"/>
          <w:sz w:val="20"/>
          <w:szCs w:val="20"/>
        </w:rPr>
        <w:t>Furthermore, with regard to the conditions of military service, the aforementioned reports reflect complaints of mistreatment and deaths of conscripts into military service.</w:t>
      </w:r>
      <w:r w:rsidR="00300D46" w:rsidRPr="00D65A97">
        <w:rPr>
          <w:rStyle w:val="FootnoteReference"/>
          <w:rFonts w:asciiTheme="majorHAnsi" w:hAnsiTheme="majorHAnsi"/>
          <w:sz w:val="20"/>
          <w:szCs w:val="20"/>
        </w:rPr>
        <w:footnoteReference w:id="7"/>
      </w:r>
      <w:r w:rsidR="00300D46" w:rsidRPr="00D65A97">
        <w:rPr>
          <w:rFonts w:asciiTheme="majorHAnsi" w:hAnsiTheme="majorHAnsi"/>
          <w:sz w:val="20"/>
          <w:szCs w:val="20"/>
        </w:rPr>
        <w:t xml:space="preserve"> </w:t>
      </w:r>
      <w:r w:rsidR="006405DC">
        <w:rPr>
          <w:rFonts w:asciiTheme="majorHAnsi" w:hAnsiTheme="majorHAnsi"/>
          <w:sz w:val="20"/>
          <w:szCs w:val="20"/>
        </w:rPr>
        <w:t xml:space="preserve">In the analysis of the instant case, the Commission will </w:t>
      </w:r>
      <w:r w:rsidR="007245BD">
        <w:rPr>
          <w:rFonts w:asciiTheme="majorHAnsi" w:hAnsiTheme="majorHAnsi"/>
          <w:sz w:val="20"/>
          <w:szCs w:val="20"/>
        </w:rPr>
        <w:t>consider</w:t>
      </w:r>
      <w:r w:rsidR="006405DC">
        <w:rPr>
          <w:rFonts w:asciiTheme="majorHAnsi" w:hAnsiTheme="majorHAnsi"/>
          <w:sz w:val="20"/>
          <w:szCs w:val="20"/>
        </w:rPr>
        <w:t xml:space="preserve"> that </w:t>
      </w:r>
      <w:r w:rsidR="00FB2C4A">
        <w:rPr>
          <w:rFonts w:asciiTheme="majorHAnsi" w:hAnsiTheme="majorHAnsi"/>
          <w:sz w:val="20"/>
          <w:szCs w:val="20"/>
        </w:rPr>
        <w:t>this</w:t>
      </w:r>
      <w:r w:rsidR="00F63341">
        <w:rPr>
          <w:rFonts w:asciiTheme="majorHAnsi" w:hAnsiTheme="majorHAnsi"/>
          <w:sz w:val="20"/>
          <w:szCs w:val="20"/>
        </w:rPr>
        <w:t xml:space="preserve"> would not be</w:t>
      </w:r>
      <w:r w:rsidR="00C13F74">
        <w:rPr>
          <w:rFonts w:asciiTheme="majorHAnsi" w:hAnsiTheme="majorHAnsi"/>
          <w:sz w:val="20"/>
          <w:szCs w:val="20"/>
        </w:rPr>
        <w:t xml:space="preserve"> an isolated instance, </w:t>
      </w:r>
      <w:r w:rsidR="00F63341">
        <w:rPr>
          <w:rFonts w:asciiTheme="majorHAnsi" w:hAnsiTheme="majorHAnsi"/>
          <w:sz w:val="20"/>
          <w:szCs w:val="20"/>
        </w:rPr>
        <w:t xml:space="preserve">as well as </w:t>
      </w:r>
      <w:r w:rsidR="00C13F74">
        <w:rPr>
          <w:rFonts w:asciiTheme="majorHAnsi" w:hAnsiTheme="majorHAnsi"/>
          <w:sz w:val="20"/>
          <w:szCs w:val="20"/>
        </w:rPr>
        <w:t xml:space="preserve">elements of context </w:t>
      </w:r>
      <w:r w:rsidR="003B5998">
        <w:rPr>
          <w:rFonts w:asciiTheme="majorHAnsi" w:hAnsiTheme="majorHAnsi"/>
          <w:sz w:val="20"/>
          <w:szCs w:val="20"/>
        </w:rPr>
        <w:t>ranging</w:t>
      </w:r>
      <w:r w:rsidR="00C13F74">
        <w:rPr>
          <w:rFonts w:asciiTheme="majorHAnsi" w:hAnsiTheme="majorHAnsi"/>
          <w:sz w:val="20"/>
          <w:szCs w:val="20"/>
        </w:rPr>
        <w:t xml:space="preserve"> from how enlistment is</w:t>
      </w:r>
      <w:r w:rsidR="00A4550C">
        <w:rPr>
          <w:rFonts w:asciiTheme="majorHAnsi" w:hAnsiTheme="majorHAnsi"/>
          <w:sz w:val="20"/>
          <w:szCs w:val="20"/>
        </w:rPr>
        <w:t xml:space="preserve"> </w:t>
      </w:r>
      <w:r w:rsidR="00C13F74">
        <w:rPr>
          <w:rFonts w:asciiTheme="majorHAnsi" w:hAnsiTheme="majorHAnsi"/>
          <w:sz w:val="20"/>
          <w:szCs w:val="20"/>
        </w:rPr>
        <w:t xml:space="preserve">conducted to the </w:t>
      </w:r>
      <w:r w:rsidR="00606E16">
        <w:rPr>
          <w:rFonts w:asciiTheme="majorHAnsi" w:hAnsiTheme="majorHAnsi"/>
          <w:sz w:val="20"/>
          <w:szCs w:val="20"/>
        </w:rPr>
        <w:t>fact that mistreatment and death</w:t>
      </w:r>
      <w:r w:rsidR="00C13F74">
        <w:rPr>
          <w:rFonts w:asciiTheme="majorHAnsi" w:hAnsiTheme="majorHAnsi"/>
          <w:sz w:val="20"/>
          <w:szCs w:val="20"/>
        </w:rPr>
        <w:t xml:space="preserve"> </w:t>
      </w:r>
      <w:r w:rsidR="007A6976">
        <w:rPr>
          <w:rFonts w:asciiTheme="majorHAnsi" w:hAnsiTheme="majorHAnsi"/>
          <w:sz w:val="20"/>
          <w:szCs w:val="20"/>
        </w:rPr>
        <w:t xml:space="preserve">take place </w:t>
      </w:r>
      <w:r w:rsidR="00C13F74">
        <w:rPr>
          <w:rFonts w:asciiTheme="majorHAnsi" w:hAnsiTheme="majorHAnsi"/>
          <w:sz w:val="20"/>
          <w:szCs w:val="20"/>
        </w:rPr>
        <w:t xml:space="preserve">in the </w:t>
      </w:r>
      <w:r w:rsidR="00A4550C">
        <w:rPr>
          <w:rFonts w:asciiTheme="majorHAnsi" w:hAnsiTheme="majorHAnsi"/>
          <w:sz w:val="20"/>
          <w:szCs w:val="20"/>
        </w:rPr>
        <w:t xml:space="preserve">course </w:t>
      </w:r>
      <w:r w:rsidR="00C13F74">
        <w:rPr>
          <w:rFonts w:asciiTheme="majorHAnsi" w:hAnsiTheme="majorHAnsi"/>
          <w:sz w:val="20"/>
          <w:szCs w:val="20"/>
        </w:rPr>
        <w:t xml:space="preserve">of performance of military service. </w:t>
      </w:r>
    </w:p>
    <w:p w14:paraId="5EA66F9A" w14:textId="77777777" w:rsidR="00300D46" w:rsidRPr="00D65A97" w:rsidRDefault="00300D46" w:rsidP="00300D46">
      <w:pPr>
        <w:ind w:left="1440" w:firstLine="720"/>
        <w:jc w:val="both"/>
        <w:rPr>
          <w:rFonts w:asciiTheme="majorHAnsi" w:hAnsiTheme="majorHAnsi"/>
          <w:b/>
          <w:sz w:val="20"/>
          <w:szCs w:val="20"/>
        </w:rPr>
      </w:pPr>
    </w:p>
    <w:p w14:paraId="32143CBD" w14:textId="27315C48" w:rsidR="00300D46" w:rsidRPr="00D65A97" w:rsidRDefault="00CA08C9"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Information has been made available to the Commission</w:t>
      </w:r>
      <w:r w:rsidR="00277C0B">
        <w:rPr>
          <w:rFonts w:asciiTheme="majorHAnsi" w:hAnsiTheme="majorHAnsi"/>
          <w:sz w:val="20"/>
          <w:szCs w:val="20"/>
        </w:rPr>
        <w:t xml:space="preserve"> by the Association of the Family Members of Victims of Military Service </w:t>
      </w:r>
      <w:r w:rsidR="00300D46" w:rsidRPr="00D65A97">
        <w:rPr>
          <w:rFonts w:asciiTheme="majorHAnsi" w:hAnsiTheme="majorHAnsi"/>
          <w:sz w:val="20"/>
          <w:szCs w:val="20"/>
        </w:rPr>
        <w:t xml:space="preserve">(AFAVISEM), </w:t>
      </w:r>
      <w:r w:rsidR="00277C0B">
        <w:rPr>
          <w:rFonts w:asciiTheme="majorHAnsi" w:hAnsiTheme="majorHAnsi"/>
          <w:sz w:val="20"/>
          <w:szCs w:val="20"/>
        </w:rPr>
        <w:t xml:space="preserve">an organization founded </w:t>
      </w:r>
      <w:r w:rsidR="003801E9">
        <w:rPr>
          <w:rFonts w:asciiTheme="majorHAnsi" w:hAnsiTheme="majorHAnsi"/>
          <w:sz w:val="20"/>
          <w:szCs w:val="20"/>
        </w:rPr>
        <w:t>by</w:t>
      </w:r>
      <w:r w:rsidR="008B6416">
        <w:rPr>
          <w:rFonts w:asciiTheme="majorHAnsi" w:hAnsiTheme="majorHAnsi"/>
          <w:sz w:val="20"/>
          <w:szCs w:val="20"/>
        </w:rPr>
        <w:t xml:space="preserve"> Marí</w:t>
      </w:r>
      <w:r w:rsidR="003801E9">
        <w:rPr>
          <w:rFonts w:asciiTheme="majorHAnsi" w:hAnsiTheme="majorHAnsi"/>
          <w:sz w:val="20"/>
          <w:szCs w:val="20"/>
        </w:rPr>
        <w:t xml:space="preserve">a Noguera, </w:t>
      </w:r>
      <w:r w:rsidR="00CD7BDF">
        <w:rPr>
          <w:rFonts w:asciiTheme="majorHAnsi" w:hAnsiTheme="majorHAnsi"/>
          <w:sz w:val="20"/>
          <w:szCs w:val="20"/>
        </w:rPr>
        <w:t xml:space="preserve">claiming </w:t>
      </w:r>
      <w:r w:rsidR="00B61039">
        <w:rPr>
          <w:rFonts w:asciiTheme="majorHAnsi" w:hAnsiTheme="majorHAnsi"/>
          <w:sz w:val="20"/>
          <w:szCs w:val="20"/>
        </w:rPr>
        <w:t xml:space="preserve">that from 1989 to 1999, 102 cases of deaths of child soldiers were reported in Paraguay, </w:t>
      </w:r>
      <w:r w:rsidR="00CD7BDF">
        <w:rPr>
          <w:rFonts w:asciiTheme="majorHAnsi" w:hAnsiTheme="majorHAnsi"/>
          <w:sz w:val="20"/>
          <w:szCs w:val="20"/>
        </w:rPr>
        <w:t>none of which have</w:t>
      </w:r>
      <w:r w:rsidR="00B61039">
        <w:rPr>
          <w:rFonts w:asciiTheme="majorHAnsi" w:hAnsiTheme="majorHAnsi"/>
          <w:sz w:val="20"/>
          <w:szCs w:val="20"/>
        </w:rPr>
        <w:t xml:space="preserve"> been proper</w:t>
      </w:r>
      <w:r w:rsidR="00882CF1">
        <w:rPr>
          <w:rFonts w:asciiTheme="majorHAnsi" w:hAnsiTheme="majorHAnsi"/>
          <w:sz w:val="20"/>
          <w:szCs w:val="20"/>
        </w:rPr>
        <w:t>ly investigated</w:t>
      </w:r>
      <w:r w:rsidR="00B61039">
        <w:rPr>
          <w:rFonts w:asciiTheme="majorHAnsi" w:hAnsiTheme="majorHAnsi"/>
          <w:sz w:val="20"/>
          <w:szCs w:val="20"/>
        </w:rPr>
        <w:t>.</w:t>
      </w:r>
      <w:r w:rsidR="00300D46" w:rsidRPr="00D65A97">
        <w:rPr>
          <w:rStyle w:val="FootnoteReference"/>
          <w:rFonts w:asciiTheme="majorHAnsi" w:hAnsiTheme="majorHAnsi"/>
          <w:sz w:val="20"/>
          <w:szCs w:val="20"/>
        </w:rPr>
        <w:footnoteReference w:id="8"/>
      </w:r>
      <w:r w:rsidR="00882CF1">
        <w:rPr>
          <w:rFonts w:asciiTheme="majorHAnsi" w:hAnsiTheme="majorHAnsi"/>
          <w:sz w:val="20"/>
          <w:szCs w:val="20"/>
        </w:rPr>
        <w:t xml:space="preserve"> With the passage of time, AFAVISEM has reported that said figure has been on the rise and</w:t>
      </w:r>
      <w:r w:rsidR="00774686">
        <w:rPr>
          <w:rFonts w:asciiTheme="majorHAnsi" w:hAnsiTheme="majorHAnsi"/>
          <w:sz w:val="20"/>
          <w:szCs w:val="20"/>
        </w:rPr>
        <w:t>,</w:t>
      </w:r>
      <w:r w:rsidR="00882CF1">
        <w:rPr>
          <w:rFonts w:asciiTheme="majorHAnsi" w:hAnsiTheme="majorHAnsi"/>
          <w:sz w:val="20"/>
          <w:szCs w:val="20"/>
        </w:rPr>
        <w:t xml:space="preserve"> as of 2012, a total of 156 deaths of child soldiers had been counted at facilities of the Armed Forces and 30 in the National Police, as well as 400 victims, who did no</w:t>
      </w:r>
      <w:r w:rsidR="00210505">
        <w:rPr>
          <w:rFonts w:asciiTheme="majorHAnsi" w:hAnsiTheme="majorHAnsi"/>
          <w:sz w:val="20"/>
          <w:szCs w:val="20"/>
        </w:rPr>
        <w:t>t die but reportedly lost limbs or</w:t>
      </w:r>
      <w:r w:rsidR="00882CF1">
        <w:rPr>
          <w:rFonts w:asciiTheme="majorHAnsi" w:hAnsiTheme="majorHAnsi"/>
          <w:sz w:val="20"/>
          <w:szCs w:val="20"/>
        </w:rPr>
        <w:t xml:space="preserve"> mobility as a result of beatings, gunshots, extreme physical activities, as well as psychological and psychiatric problems stemming from beatings, mistreatment, stress, humiliation and excessive physical exertion.</w:t>
      </w:r>
      <w:r w:rsidR="00300D46" w:rsidRPr="00D65A97">
        <w:rPr>
          <w:rStyle w:val="FootnoteReference"/>
          <w:rFonts w:asciiTheme="majorHAnsi" w:hAnsiTheme="majorHAnsi"/>
          <w:sz w:val="20"/>
          <w:szCs w:val="20"/>
        </w:rPr>
        <w:footnoteReference w:id="9"/>
      </w:r>
      <w:r w:rsidR="00300D46" w:rsidRPr="00D65A97">
        <w:rPr>
          <w:rFonts w:asciiTheme="majorHAnsi" w:hAnsiTheme="majorHAnsi"/>
          <w:sz w:val="20"/>
          <w:szCs w:val="20"/>
        </w:rPr>
        <w:t xml:space="preserve"> </w:t>
      </w:r>
    </w:p>
    <w:p w14:paraId="4D6AF7AD" w14:textId="77777777" w:rsidR="00300D46" w:rsidRPr="00D65A97" w:rsidRDefault="00300D46" w:rsidP="00300D46">
      <w:pPr>
        <w:jc w:val="both"/>
        <w:rPr>
          <w:rFonts w:asciiTheme="majorHAnsi" w:hAnsiTheme="majorHAnsi"/>
          <w:sz w:val="20"/>
          <w:szCs w:val="20"/>
        </w:rPr>
      </w:pPr>
    </w:p>
    <w:p w14:paraId="1BAC7999" w14:textId="017A771B" w:rsidR="00300D46" w:rsidRPr="00D65A97" w:rsidRDefault="008B08A4" w:rsidP="00064655">
      <w:pPr>
        <w:pStyle w:val="Heading2"/>
        <w:numPr>
          <w:ilvl w:val="0"/>
          <w:numId w:val="58"/>
        </w:numPr>
        <w:ind w:hanging="720"/>
      </w:pPr>
      <w:bookmarkStart w:id="8" w:name="_Toc506095169"/>
      <w:r>
        <w:t xml:space="preserve">Relevant Legal Framework </w:t>
      </w:r>
      <w:bookmarkEnd w:id="8"/>
    </w:p>
    <w:p w14:paraId="42C19C94" w14:textId="77777777" w:rsidR="00300D46" w:rsidRPr="00D65A97" w:rsidRDefault="00300D46" w:rsidP="00300D46">
      <w:pPr>
        <w:jc w:val="both"/>
        <w:rPr>
          <w:rFonts w:asciiTheme="majorHAnsi" w:hAnsiTheme="majorHAnsi"/>
          <w:b/>
          <w:sz w:val="20"/>
          <w:szCs w:val="20"/>
        </w:rPr>
      </w:pPr>
    </w:p>
    <w:p w14:paraId="18A0A3DF" w14:textId="52DA2ED1" w:rsidR="00300D46" w:rsidRPr="00D65A97" w:rsidRDefault="00300D46" w:rsidP="00A17B98">
      <w:pPr>
        <w:pStyle w:val="Heading3"/>
        <w:rPr>
          <w:lang w:val="en-US"/>
        </w:rPr>
      </w:pPr>
      <w:bookmarkStart w:id="9" w:name="_Toc506095170"/>
      <w:r w:rsidRPr="00D65A97">
        <w:rPr>
          <w:lang w:val="en-US"/>
        </w:rPr>
        <w:t xml:space="preserve">1. </w:t>
      </w:r>
      <w:r w:rsidRPr="00D65A97">
        <w:rPr>
          <w:lang w:val="en-US"/>
        </w:rPr>
        <w:tab/>
      </w:r>
      <w:r w:rsidR="00372A30">
        <w:rPr>
          <w:lang w:val="en-US"/>
        </w:rPr>
        <w:t xml:space="preserve">Performance of military service </w:t>
      </w:r>
      <w:bookmarkEnd w:id="9"/>
    </w:p>
    <w:p w14:paraId="65BB6E23" w14:textId="77777777" w:rsidR="00300D46" w:rsidRPr="00D65A97" w:rsidRDefault="00300D46" w:rsidP="00300D46">
      <w:pPr>
        <w:jc w:val="both"/>
        <w:rPr>
          <w:rFonts w:asciiTheme="majorHAnsi" w:hAnsiTheme="majorHAnsi"/>
          <w:b/>
          <w:sz w:val="20"/>
          <w:szCs w:val="20"/>
        </w:rPr>
      </w:pPr>
    </w:p>
    <w:p w14:paraId="627D2388" w14:textId="23B60BD7" w:rsidR="00300D46" w:rsidRPr="00D65A97" w:rsidRDefault="00372A30"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At the time of the events, military service was regulated in the National Constitution of Paraguay</w:t>
      </w:r>
      <w:r w:rsidR="00300D46" w:rsidRPr="00D65A97">
        <w:rPr>
          <w:rStyle w:val="FootnoteReference"/>
          <w:rFonts w:asciiTheme="majorHAnsi" w:hAnsiTheme="majorHAnsi"/>
          <w:sz w:val="20"/>
          <w:szCs w:val="20"/>
        </w:rPr>
        <w:footnoteReference w:id="10"/>
      </w:r>
      <w:r w:rsidR="00300D46" w:rsidRPr="00D65A97">
        <w:rPr>
          <w:rFonts w:asciiTheme="majorHAnsi" w:hAnsiTheme="majorHAnsi"/>
          <w:sz w:val="20"/>
          <w:szCs w:val="20"/>
        </w:rPr>
        <w:t xml:space="preserve"> </w:t>
      </w:r>
      <w:r w:rsidR="009E0872">
        <w:rPr>
          <w:rFonts w:asciiTheme="majorHAnsi" w:hAnsiTheme="majorHAnsi"/>
          <w:sz w:val="20"/>
          <w:szCs w:val="20"/>
        </w:rPr>
        <w:t>and the Law of Compulsory Military Service,</w:t>
      </w:r>
      <w:r w:rsidR="00300D46" w:rsidRPr="00D65A97">
        <w:rPr>
          <w:rStyle w:val="FootnoteReference"/>
          <w:rFonts w:asciiTheme="majorHAnsi" w:hAnsiTheme="majorHAnsi"/>
          <w:sz w:val="20"/>
          <w:szCs w:val="20"/>
        </w:rPr>
        <w:footnoteReference w:id="11"/>
      </w:r>
      <w:r w:rsidR="00300D46" w:rsidRPr="00D65A97">
        <w:rPr>
          <w:rFonts w:asciiTheme="majorHAnsi" w:hAnsiTheme="majorHAnsi"/>
          <w:sz w:val="20"/>
          <w:szCs w:val="20"/>
        </w:rPr>
        <w:t xml:space="preserve"> </w:t>
      </w:r>
      <w:r w:rsidR="009E0872">
        <w:rPr>
          <w:rFonts w:asciiTheme="majorHAnsi" w:hAnsiTheme="majorHAnsi"/>
          <w:sz w:val="20"/>
          <w:szCs w:val="20"/>
        </w:rPr>
        <w:t>the relevant portions of which read as follows:</w:t>
      </w:r>
    </w:p>
    <w:p w14:paraId="75C90B0B" w14:textId="77777777" w:rsidR="00300D46" w:rsidRPr="00D65A97" w:rsidRDefault="00300D46" w:rsidP="00300D46">
      <w:pPr>
        <w:jc w:val="both"/>
        <w:rPr>
          <w:rFonts w:asciiTheme="majorHAnsi" w:hAnsiTheme="majorHAnsi"/>
          <w:sz w:val="20"/>
          <w:szCs w:val="20"/>
        </w:rPr>
      </w:pPr>
    </w:p>
    <w:p w14:paraId="3CB9A1C1" w14:textId="6162441F" w:rsidR="00300D46" w:rsidRPr="00D65A97" w:rsidRDefault="00E83361" w:rsidP="00300D46">
      <w:pPr>
        <w:ind w:left="720" w:right="720"/>
        <w:jc w:val="both"/>
        <w:rPr>
          <w:rFonts w:asciiTheme="majorHAnsi" w:hAnsiTheme="majorHAnsi"/>
          <w:b/>
          <w:sz w:val="20"/>
          <w:szCs w:val="20"/>
        </w:rPr>
      </w:pPr>
      <w:r>
        <w:rPr>
          <w:rFonts w:asciiTheme="majorHAnsi" w:hAnsiTheme="majorHAnsi"/>
          <w:b/>
          <w:sz w:val="20"/>
          <w:szCs w:val="20"/>
        </w:rPr>
        <w:t xml:space="preserve">NATIONAL CONSTITUTION </w:t>
      </w:r>
    </w:p>
    <w:p w14:paraId="387F2D39" w14:textId="77777777" w:rsidR="00300D46" w:rsidRPr="00D65A97" w:rsidRDefault="00300D46" w:rsidP="00300D46">
      <w:pPr>
        <w:ind w:left="720" w:right="720"/>
        <w:jc w:val="both"/>
        <w:rPr>
          <w:rFonts w:asciiTheme="majorHAnsi" w:hAnsiTheme="majorHAnsi"/>
          <w:b/>
          <w:bCs/>
          <w:sz w:val="20"/>
          <w:szCs w:val="20"/>
        </w:rPr>
      </w:pPr>
    </w:p>
    <w:p w14:paraId="01F6C1D2" w14:textId="773940F9" w:rsidR="00300D46" w:rsidRPr="00D65A97" w:rsidRDefault="00E12878" w:rsidP="00300D46">
      <w:pPr>
        <w:ind w:left="720" w:right="720"/>
        <w:jc w:val="both"/>
        <w:rPr>
          <w:rFonts w:asciiTheme="majorHAnsi" w:hAnsiTheme="majorHAnsi"/>
          <w:sz w:val="20"/>
          <w:szCs w:val="20"/>
        </w:rPr>
      </w:pPr>
      <w:r>
        <w:rPr>
          <w:rFonts w:asciiTheme="majorHAnsi" w:hAnsiTheme="majorHAnsi"/>
          <w:b/>
          <w:bCs/>
          <w:sz w:val="20"/>
          <w:szCs w:val="20"/>
        </w:rPr>
        <w:t>Article</w:t>
      </w:r>
      <w:r w:rsidR="00300D46" w:rsidRPr="00D65A97">
        <w:rPr>
          <w:rFonts w:asciiTheme="majorHAnsi" w:hAnsiTheme="majorHAnsi"/>
          <w:b/>
          <w:bCs/>
          <w:sz w:val="20"/>
          <w:szCs w:val="20"/>
        </w:rPr>
        <w:t xml:space="preserve"> 129 </w:t>
      </w:r>
      <w:r w:rsidR="007221D3">
        <w:rPr>
          <w:rFonts w:asciiTheme="majorHAnsi" w:hAnsiTheme="majorHAnsi"/>
          <w:b/>
          <w:bCs/>
          <w:sz w:val="20"/>
          <w:szCs w:val="20"/>
        </w:rPr>
        <w:t>– MILITARY SERVICE</w:t>
      </w:r>
      <w:r w:rsidR="00300D46" w:rsidRPr="00D65A97">
        <w:rPr>
          <w:rFonts w:asciiTheme="majorHAnsi" w:hAnsiTheme="majorHAnsi"/>
          <w:sz w:val="20"/>
          <w:szCs w:val="20"/>
        </w:rPr>
        <w:t xml:space="preserve">: </w:t>
      </w:r>
      <w:r w:rsidR="007221D3">
        <w:rPr>
          <w:rFonts w:asciiTheme="majorHAnsi" w:hAnsiTheme="majorHAnsi"/>
          <w:sz w:val="20"/>
          <w:szCs w:val="20"/>
        </w:rPr>
        <w:t xml:space="preserve">Every Paraguayan is obligated to train and </w:t>
      </w:r>
      <w:r w:rsidR="0010038D">
        <w:rPr>
          <w:rFonts w:asciiTheme="majorHAnsi" w:hAnsiTheme="majorHAnsi"/>
          <w:sz w:val="20"/>
          <w:szCs w:val="20"/>
        </w:rPr>
        <w:t xml:space="preserve">perform </w:t>
      </w:r>
      <w:r w:rsidR="007221D3">
        <w:rPr>
          <w:rFonts w:asciiTheme="majorHAnsi" w:hAnsiTheme="majorHAnsi"/>
          <w:sz w:val="20"/>
          <w:szCs w:val="20"/>
        </w:rPr>
        <w:t>their</w:t>
      </w:r>
      <w:r w:rsidR="00994791">
        <w:rPr>
          <w:rFonts w:asciiTheme="majorHAnsi" w:hAnsiTheme="majorHAnsi"/>
          <w:sz w:val="20"/>
          <w:szCs w:val="20"/>
        </w:rPr>
        <w:t xml:space="preserve"> </w:t>
      </w:r>
      <w:r w:rsidR="00166233">
        <w:rPr>
          <w:rFonts w:asciiTheme="majorHAnsi" w:hAnsiTheme="majorHAnsi"/>
          <w:sz w:val="20"/>
          <w:szCs w:val="20"/>
        </w:rPr>
        <w:t xml:space="preserve">share </w:t>
      </w:r>
      <w:r w:rsidR="00994791">
        <w:rPr>
          <w:rFonts w:asciiTheme="majorHAnsi" w:hAnsiTheme="majorHAnsi"/>
          <w:sz w:val="20"/>
          <w:szCs w:val="20"/>
        </w:rPr>
        <w:t>of the a</w:t>
      </w:r>
      <w:r w:rsidR="00653DBA">
        <w:rPr>
          <w:rFonts w:asciiTheme="majorHAnsi" w:hAnsiTheme="majorHAnsi"/>
          <w:sz w:val="20"/>
          <w:szCs w:val="20"/>
        </w:rPr>
        <w:t xml:space="preserve">rmed defense of the Nation. </w:t>
      </w:r>
      <w:r w:rsidR="00003D14">
        <w:rPr>
          <w:rFonts w:asciiTheme="majorHAnsi" w:hAnsiTheme="majorHAnsi"/>
          <w:sz w:val="20"/>
          <w:szCs w:val="20"/>
        </w:rPr>
        <w:t xml:space="preserve">For this purpose, compulsory military service is established. </w:t>
      </w:r>
      <w:r w:rsidR="007221D3">
        <w:rPr>
          <w:rFonts w:asciiTheme="majorHAnsi" w:hAnsiTheme="majorHAnsi"/>
          <w:sz w:val="20"/>
          <w:szCs w:val="20"/>
        </w:rPr>
        <w:t xml:space="preserve"> </w:t>
      </w:r>
      <w:r w:rsidR="00551093">
        <w:rPr>
          <w:rFonts w:asciiTheme="majorHAnsi" w:hAnsiTheme="majorHAnsi"/>
          <w:sz w:val="20"/>
          <w:szCs w:val="20"/>
        </w:rPr>
        <w:t>The law shall regulate the conditions</w:t>
      </w:r>
      <w:r w:rsidR="00867D32">
        <w:rPr>
          <w:rFonts w:asciiTheme="majorHAnsi" w:hAnsiTheme="majorHAnsi"/>
          <w:sz w:val="20"/>
          <w:szCs w:val="20"/>
        </w:rPr>
        <w:t xml:space="preserve"> i</w:t>
      </w:r>
      <w:r w:rsidR="00B870AC">
        <w:rPr>
          <w:rFonts w:asciiTheme="majorHAnsi" w:hAnsiTheme="majorHAnsi"/>
          <w:sz w:val="20"/>
          <w:szCs w:val="20"/>
        </w:rPr>
        <w:t xml:space="preserve">n which this duty </w:t>
      </w:r>
      <w:r w:rsidR="00B833EA">
        <w:rPr>
          <w:rFonts w:asciiTheme="majorHAnsi" w:hAnsiTheme="majorHAnsi"/>
          <w:sz w:val="20"/>
          <w:szCs w:val="20"/>
        </w:rPr>
        <w:t xml:space="preserve">is to </w:t>
      </w:r>
      <w:r w:rsidR="00B870AC">
        <w:rPr>
          <w:rFonts w:asciiTheme="majorHAnsi" w:hAnsiTheme="majorHAnsi"/>
          <w:sz w:val="20"/>
          <w:szCs w:val="20"/>
        </w:rPr>
        <w:t>be</w:t>
      </w:r>
      <w:r w:rsidR="00C35684">
        <w:rPr>
          <w:rFonts w:asciiTheme="majorHAnsi" w:hAnsiTheme="majorHAnsi"/>
          <w:sz w:val="20"/>
          <w:szCs w:val="20"/>
        </w:rPr>
        <w:t xml:space="preserve"> carried out. </w:t>
      </w:r>
      <w:r w:rsidR="00300D46" w:rsidRPr="00D65A97">
        <w:rPr>
          <w:rFonts w:asciiTheme="majorHAnsi" w:hAnsiTheme="majorHAnsi"/>
          <w:sz w:val="20"/>
          <w:szCs w:val="20"/>
        </w:rPr>
        <w:t>(…)</w:t>
      </w:r>
    </w:p>
    <w:p w14:paraId="72764E28" w14:textId="77777777" w:rsidR="00300D46" w:rsidRPr="00D65A97" w:rsidRDefault="00300D46" w:rsidP="00300D46">
      <w:pPr>
        <w:ind w:left="720" w:right="720"/>
        <w:jc w:val="both"/>
        <w:rPr>
          <w:rFonts w:asciiTheme="majorHAnsi" w:hAnsiTheme="majorHAnsi"/>
          <w:b/>
          <w:bCs/>
          <w:sz w:val="20"/>
          <w:szCs w:val="20"/>
        </w:rPr>
      </w:pPr>
    </w:p>
    <w:p w14:paraId="3FA14F91" w14:textId="1FE5FB1A" w:rsidR="00300D46" w:rsidRPr="00D65A97" w:rsidRDefault="00C35684" w:rsidP="00300D46">
      <w:pPr>
        <w:ind w:left="720" w:right="720"/>
        <w:jc w:val="both"/>
        <w:rPr>
          <w:rFonts w:asciiTheme="majorHAnsi" w:hAnsiTheme="majorHAnsi"/>
          <w:sz w:val="20"/>
          <w:szCs w:val="20"/>
        </w:rPr>
      </w:pPr>
      <w:r>
        <w:rPr>
          <w:rFonts w:asciiTheme="majorHAnsi" w:hAnsiTheme="majorHAnsi"/>
          <w:b/>
          <w:bCs/>
          <w:sz w:val="20"/>
          <w:szCs w:val="20"/>
        </w:rPr>
        <w:t xml:space="preserve">LAW </w:t>
      </w:r>
      <w:r w:rsidR="00300D46" w:rsidRPr="00D65A97">
        <w:rPr>
          <w:rFonts w:asciiTheme="majorHAnsi" w:hAnsiTheme="majorHAnsi"/>
          <w:b/>
          <w:bCs/>
          <w:sz w:val="20"/>
          <w:szCs w:val="20"/>
        </w:rPr>
        <w:t>Nº 569/75</w:t>
      </w:r>
      <w:r w:rsidR="00300D46" w:rsidRPr="00D65A97">
        <w:rPr>
          <w:rFonts w:asciiTheme="majorHAnsi" w:hAnsiTheme="majorHAnsi"/>
          <w:sz w:val="20"/>
          <w:szCs w:val="20"/>
        </w:rPr>
        <w:t xml:space="preserve"> </w:t>
      </w:r>
      <w:r>
        <w:rPr>
          <w:rFonts w:asciiTheme="majorHAnsi" w:hAnsiTheme="majorHAnsi"/>
          <w:b/>
          <w:bCs/>
          <w:sz w:val="20"/>
          <w:szCs w:val="20"/>
        </w:rPr>
        <w:t xml:space="preserve">OF COMPULSORY MILITARY SERVICE </w:t>
      </w:r>
    </w:p>
    <w:p w14:paraId="2A7641F9" w14:textId="0A96F3CB" w:rsidR="00300D46" w:rsidRPr="00D65A97" w:rsidRDefault="00C35684" w:rsidP="00300D46">
      <w:pPr>
        <w:ind w:left="720" w:right="720"/>
        <w:jc w:val="both"/>
        <w:rPr>
          <w:rFonts w:asciiTheme="majorHAnsi" w:hAnsiTheme="majorHAnsi"/>
          <w:sz w:val="20"/>
          <w:szCs w:val="20"/>
        </w:rPr>
      </w:pPr>
      <w:r>
        <w:rPr>
          <w:rFonts w:asciiTheme="majorHAnsi" w:hAnsiTheme="majorHAnsi"/>
          <w:b/>
          <w:bCs/>
          <w:sz w:val="20"/>
          <w:szCs w:val="20"/>
        </w:rPr>
        <w:t>CHAPTER</w:t>
      </w:r>
      <w:r w:rsidR="00300D46" w:rsidRPr="00D65A97">
        <w:rPr>
          <w:rFonts w:asciiTheme="majorHAnsi" w:hAnsiTheme="majorHAnsi"/>
          <w:b/>
          <w:bCs/>
          <w:sz w:val="20"/>
          <w:szCs w:val="20"/>
        </w:rPr>
        <w:t xml:space="preserve"> I</w:t>
      </w:r>
      <w:r w:rsidR="00300D46" w:rsidRPr="00D65A97">
        <w:rPr>
          <w:rFonts w:asciiTheme="majorHAnsi" w:hAnsiTheme="majorHAnsi"/>
          <w:sz w:val="20"/>
          <w:szCs w:val="20"/>
        </w:rPr>
        <w:t xml:space="preserve">: </w:t>
      </w:r>
      <w:r w:rsidR="00105204">
        <w:rPr>
          <w:rFonts w:asciiTheme="majorHAnsi" w:hAnsiTheme="majorHAnsi"/>
          <w:b/>
          <w:bCs/>
          <w:sz w:val="20"/>
          <w:szCs w:val="20"/>
        </w:rPr>
        <w:t xml:space="preserve">General Provisions </w:t>
      </w:r>
      <w:r w:rsidR="00300D46" w:rsidRPr="00D65A97">
        <w:rPr>
          <w:rFonts w:asciiTheme="majorHAnsi" w:hAnsiTheme="majorHAnsi"/>
          <w:b/>
          <w:bCs/>
          <w:sz w:val="20"/>
          <w:szCs w:val="20"/>
        </w:rPr>
        <w:t>(…)</w:t>
      </w:r>
    </w:p>
    <w:p w14:paraId="15CDAE33" w14:textId="15179F14" w:rsidR="00300D46" w:rsidRPr="00D65A97" w:rsidRDefault="00105204" w:rsidP="00300D46">
      <w:pPr>
        <w:ind w:left="720" w:right="720"/>
        <w:jc w:val="both"/>
        <w:rPr>
          <w:rFonts w:asciiTheme="majorHAnsi" w:hAnsiTheme="majorHAnsi"/>
          <w:sz w:val="20"/>
          <w:szCs w:val="20"/>
        </w:rPr>
      </w:pPr>
      <w:r>
        <w:rPr>
          <w:rFonts w:asciiTheme="majorHAnsi" w:hAnsiTheme="majorHAnsi"/>
          <w:b/>
          <w:bCs/>
          <w:sz w:val="20"/>
          <w:szCs w:val="20"/>
        </w:rPr>
        <w:t>Art. 3</w:t>
      </w:r>
      <w:r w:rsidR="00300D46" w:rsidRPr="00D65A97">
        <w:rPr>
          <w:rFonts w:asciiTheme="majorHAnsi" w:hAnsiTheme="majorHAnsi"/>
          <w:b/>
          <w:bCs/>
          <w:sz w:val="20"/>
          <w:szCs w:val="20"/>
        </w:rPr>
        <w:t>.-</w:t>
      </w:r>
      <w:r>
        <w:rPr>
          <w:rFonts w:asciiTheme="majorHAnsi" w:hAnsiTheme="majorHAnsi"/>
          <w:sz w:val="20"/>
          <w:szCs w:val="20"/>
        </w:rPr>
        <w:t xml:space="preserve"> The length of this service shall be thirty-three years divided up as follows: </w:t>
      </w:r>
    </w:p>
    <w:p w14:paraId="0EA08B9C" w14:textId="54A10E31" w:rsidR="00300D46" w:rsidRPr="00D65A97" w:rsidRDefault="00300D46" w:rsidP="00300D46">
      <w:pPr>
        <w:ind w:left="720" w:right="720"/>
        <w:jc w:val="both"/>
        <w:rPr>
          <w:rFonts w:asciiTheme="majorHAnsi" w:hAnsiTheme="majorHAnsi"/>
          <w:sz w:val="20"/>
          <w:szCs w:val="20"/>
        </w:rPr>
      </w:pPr>
      <w:r w:rsidRPr="00D65A97">
        <w:rPr>
          <w:rFonts w:asciiTheme="majorHAnsi" w:hAnsiTheme="majorHAnsi"/>
          <w:b/>
          <w:bCs/>
          <w:sz w:val="20"/>
          <w:szCs w:val="20"/>
        </w:rPr>
        <w:t>a.</w:t>
      </w:r>
      <w:r w:rsidR="00105204">
        <w:rPr>
          <w:rFonts w:asciiTheme="majorHAnsi" w:hAnsiTheme="majorHAnsi"/>
          <w:sz w:val="20"/>
          <w:szCs w:val="20"/>
        </w:rPr>
        <w:t> PERMANENT</w:t>
      </w:r>
      <w:r w:rsidRPr="00D65A97">
        <w:rPr>
          <w:rFonts w:asciiTheme="majorHAnsi" w:hAnsiTheme="majorHAnsi"/>
          <w:sz w:val="20"/>
          <w:szCs w:val="20"/>
        </w:rPr>
        <w:t xml:space="preserve">: </w:t>
      </w:r>
      <w:r w:rsidR="00105204">
        <w:rPr>
          <w:rFonts w:asciiTheme="majorHAnsi" w:hAnsiTheme="majorHAnsi"/>
          <w:sz w:val="20"/>
          <w:szCs w:val="20"/>
        </w:rPr>
        <w:t xml:space="preserve">From age eighteen and nineteen years of age included in the Armed Forces or Police Institutions </w:t>
      </w:r>
      <w:r w:rsidRPr="00D65A97">
        <w:rPr>
          <w:rFonts w:asciiTheme="majorHAnsi" w:hAnsiTheme="majorHAnsi"/>
          <w:sz w:val="20"/>
          <w:szCs w:val="20"/>
        </w:rPr>
        <w:t>(…)</w:t>
      </w:r>
    </w:p>
    <w:p w14:paraId="4018922D" w14:textId="77777777" w:rsidR="00300D46" w:rsidRPr="00D65A97" w:rsidRDefault="00300D46" w:rsidP="00300D46">
      <w:pPr>
        <w:ind w:left="720" w:right="720"/>
        <w:jc w:val="both"/>
        <w:rPr>
          <w:rFonts w:asciiTheme="majorHAnsi" w:hAnsiTheme="majorHAnsi"/>
          <w:b/>
          <w:bCs/>
          <w:sz w:val="20"/>
          <w:szCs w:val="20"/>
        </w:rPr>
      </w:pPr>
    </w:p>
    <w:p w14:paraId="09AC8C29" w14:textId="2AC08E9C" w:rsidR="00300D46" w:rsidRPr="00D65A97" w:rsidRDefault="00105204" w:rsidP="00300D46">
      <w:pPr>
        <w:ind w:left="720" w:right="720"/>
        <w:jc w:val="both"/>
        <w:rPr>
          <w:rFonts w:asciiTheme="majorHAnsi" w:hAnsiTheme="majorHAnsi"/>
          <w:sz w:val="20"/>
          <w:szCs w:val="20"/>
        </w:rPr>
      </w:pPr>
      <w:r>
        <w:rPr>
          <w:rFonts w:asciiTheme="majorHAnsi" w:hAnsiTheme="majorHAnsi"/>
          <w:b/>
          <w:bCs/>
          <w:sz w:val="20"/>
          <w:szCs w:val="20"/>
        </w:rPr>
        <w:t>CHAPTER</w:t>
      </w:r>
      <w:r w:rsidR="00300D46" w:rsidRPr="00D65A97">
        <w:rPr>
          <w:rFonts w:asciiTheme="majorHAnsi" w:hAnsiTheme="majorHAnsi"/>
          <w:b/>
          <w:bCs/>
          <w:sz w:val="20"/>
          <w:szCs w:val="20"/>
        </w:rPr>
        <w:t xml:space="preserve"> II</w:t>
      </w:r>
      <w:r w:rsidR="00300D46" w:rsidRPr="00D65A97">
        <w:rPr>
          <w:rFonts w:asciiTheme="majorHAnsi" w:hAnsiTheme="majorHAnsi"/>
          <w:sz w:val="20"/>
          <w:szCs w:val="20"/>
        </w:rPr>
        <w:t xml:space="preserve">: </w:t>
      </w:r>
      <w:r w:rsidR="003B6693">
        <w:rPr>
          <w:rFonts w:asciiTheme="majorHAnsi" w:hAnsiTheme="majorHAnsi"/>
          <w:b/>
          <w:bCs/>
          <w:sz w:val="20"/>
          <w:szCs w:val="20"/>
        </w:rPr>
        <w:t xml:space="preserve">Registration </w:t>
      </w:r>
    </w:p>
    <w:p w14:paraId="3B89C322" w14:textId="4A47C603" w:rsidR="00300D46" w:rsidRPr="00D65A97" w:rsidRDefault="00300D46" w:rsidP="00300D46">
      <w:pPr>
        <w:ind w:left="720" w:right="720"/>
        <w:jc w:val="both"/>
        <w:rPr>
          <w:rFonts w:asciiTheme="majorHAnsi" w:hAnsiTheme="majorHAnsi"/>
          <w:sz w:val="20"/>
          <w:szCs w:val="20"/>
        </w:rPr>
      </w:pPr>
      <w:r w:rsidRPr="00D65A97">
        <w:rPr>
          <w:rFonts w:asciiTheme="majorHAnsi" w:hAnsiTheme="majorHAnsi"/>
          <w:sz w:val="20"/>
          <w:szCs w:val="20"/>
        </w:rPr>
        <w:t> </w:t>
      </w:r>
      <w:r w:rsidR="003B6693">
        <w:rPr>
          <w:rFonts w:asciiTheme="majorHAnsi" w:hAnsiTheme="majorHAnsi"/>
          <w:b/>
          <w:bCs/>
          <w:sz w:val="20"/>
          <w:szCs w:val="20"/>
        </w:rPr>
        <w:t>Art. 15</w:t>
      </w:r>
      <w:r w:rsidRPr="00D65A97">
        <w:rPr>
          <w:rFonts w:asciiTheme="majorHAnsi" w:hAnsiTheme="majorHAnsi"/>
          <w:b/>
          <w:bCs/>
          <w:sz w:val="20"/>
          <w:szCs w:val="20"/>
        </w:rPr>
        <w:t>.-</w:t>
      </w:r>
      <w:r w:rsidR="003B6693">
        <w:rPr>
          <w:rFonts w:asciiTheme="majorHAnsi" w:hAnsiTheme="majorHAnsi"/>
          <w:sz w:val="20"/>
          <w:szCs w:val="20"/>
        </w:rPr>
        <w:t xml:space="preserve"> Every </w:t>
      </w:r>
      <w:r w:rsidR="00F075DC">
        <w:rPr>
          <w:rFonts w:asciiTheme="majorHAnsi" w:hAnsiTheme="majorHAnsi"/>
          <w:sz w:val="20"/>
          <w:szCs w:val="20"/>
        </w:rPr>
        <w:t xml:space="preserve">native born </w:t>
      </w:r>
      <w:r w:rsidR="00430259">
        <w:rPr>
          <w:rFonts w:asciiTheme="majorHAnsi" w:hAnsiTheme="majorHAnsi"/>
          <w:sz w:val="20"/>
          <w:szCs w:val="20"/>
        </w:rPr>
        <w:t xml:space="preserve">or naturalized male </w:t>
      </w:r>
      <w:r w:rsidR="003B6693">
        <w:rPr>
          <w:rFonts w:asciiTheme="majorHAnsi" w:hAnsiTheme="majorHAnsi"/>
          <w:sz w:val="20"/>
          <w:szCs w:val="20"/>
        </w:rPr>
        <w:t>Paraguayan citizen</w:t>
      </w:r>
      <w:r w:rsidR="00D80C75">
        <w:rPr>
          <w:rFonts w:asciiTheme="majorHAnsi" w:hAnsiTheme="majorHAnsi"/>
          <w:sz w:val="20"/>
          <w:szCs w:val="20"/>
        </w:rPr>
        <w:t xml:space="preserve"> is obligated to enlist at seventeen years of age until fifty years of age </w:t>
      </w:r>
      <w:r w:rsidRPr="00D65A97">
        <w:rPr>
          <w:rFonts w:asciiTheme="majorHAnsi" w:hAnsiTheme="majorHAnsi"/>
          <w:sz w:val="20"/>
          <w:szCs w:val="20"/>
        </w:rPr>
        <w:t>(…)</w:t>
      </w:r>
    </w:p>
    <w:p w14:paraId="2F0FB8B5" w14:textId="77777777" w:rsidR="00300D46" w:rsidRPr="00D65A97" w:rsidRDefault="00300D46" w:rsidP="00300D46">
      <w:pPr>
        <w:ind w:left="720" w:right="720"/>
        <w:jc w:val="both"/>
        <w:rPr>
          <w:rFonts w:asciiTheme="majorHAnsi" w:hAnsiTheme="majorHAnsi"/>
          <w:sz w:val="20"/>
          <w:szCs w:val="20"/>
        </w:rPr>
      </w:pPr>
    </w:p>
    <w:p w14:paraId="092DCAEE" w14:textId="65ACFB24" w:rsidR="00300D46" w:rsidRPr="00D65A97" w:rsidRDefault="00EA5211" w:rsidP="00300D46">
      <w:pPr>
        <w:ind w:left="720" w:right="720"/>
        <w:jc w:val="both"/>
        <w:rPr>
          <w:rFonts w:asciiTheme="majorHAnsi" w:hAnsiTheme="majorHAnsi"/>
          <w:b/>
          <w:sz w:val="20"/>
          <w:szCs w:val="20"/>
        </w:rPr>
      </w:pPr>
      <w:r>
        <w:rPr>
          <w:rFonts w:asciiTheme="majorHAnsi" w:hAnsiTheme="majorHAnsi"/>
          <w:b/>
          <w:sz w:val="20"/>
          <w:szCs w:val="20"/>
        </w:rPr>
        <w:lastRenderedPageBreak/>
        <w:t>CHAPTER</w:t>
      </w:r>
      <w:r w:rsidR="00300D46" w:rsidRPr="00D65A97">
        <w:rPr>
          <w:rFonts w:asciiTheme="majorHAnsi" w:hAnsiTheme="majorHAnsi"/>
          <w:b/>
          <w:sz w:val="20"/>
          <w:szCs w:val="20"/>
        </w:rPr>
        <w:t xml:space="preserve"> III</w:t>
      </w:r>
    </w:p>
    <w:p w14:paraId="3CCEB167" w14:textId="77777777" w:rsidR="00300D46" w:rsidRPr="00D65A97" w:rsidRDefault="00300D46" w:rsidP="00300D46">
      <w:pPr>
        <w:ind w:left="720" w:right="720"/>
        <w:jc w:val="both"/>
        <w:rPr>
          <w:rFonts w:asciiTheme="majorHAnsi" w:hAnsiTheme="majorHAnsi"/>
          <w:b/>
          <w:sz w:val="20"/>
          <w:szCs w:val="20"/>
        </w:rPr>
      </w:pPr>
    </w:p>
    <w:p w14:paraId="607884F2" w14:textId="674A92FF" w:rsidR="00300D46" w:rsidRPr="00D65A97" w:rsidRDefault="00BE7CB1" w:rsidP="00300D46">
      <w:pPr>
        <w:ind w:left="720" w:right="720"/>
        <w:jc w:val="both"/>
        <w:rPr>
          <w:rFonts w:asciiTheme="majorHAnsi" w:hAnsiTheme="majorHAnsi"/>
          <w:b/>
          <w:sz w:val="20"/>
          <w:szCs w:val="20"/>
        </w:rPr>
      </w:pPr>
      <w:r>
        <w:rPr>
          <w:rFonts w:asciiTheme="majorHAnsi" w:hAnsiTheme="majorHAnsi"/>
          <w:b/>
          <w:sz w:val="20"/>
          <w:szCs w:val="20"/>
        </w:rPr>
        <w:t xml:space="preserve">Military Service </w:t>
      </w:r>
      <w:r w:rsidR="00300D46" w:rsidRPr="00D65A97">
        <w:rPr>
          <w:rFonts w:asciiTheme="majorHAnsi" w:hAnsiTheme="majorHAnsi"/>
          <w:b/>
          <w:sz w:val="20"/>
          <w:szCs w:val="20"/>
        </w:rPr>
        <w:t>(…)</w:t>
      </w:r>
    </w:p>
    <w:p w14:paraId="0A913187" w14:textId="63AB17BD" w:rsidR="00300D46" w:rsidRPr="00D65A97" w:rsidRDefault="00590383" w:rsidP="00300D46">
      <w:pPr>
        <w:ind w:left="720" w:right="720"/>
        <w:jc w:val="both"/>
        <w:rPr>
          <w:rFonts w:asciiTheme="majorHAnsi" w:hAnsiTheme="majorHAnsi"/>
          <w:sz w:val="20"/>
          <w:szCs w:val="20"/>
        </w:rPr>
      </w:pPr>
      <w:r>
        <w:rPr>
          <w:rFonts w:asciiTheme="majorHAnsi" w:hAnsiTheme="majorHAnsi"/>
          <w:b/>
          <w:sz w:val="20"/>
          <w:szCs w:val="20"/>
        </w:rPr>
        <w:t>Art. 36</w:t>
      </w:r>
      <w:r w:rsidR="00300D46" w:rsidRPr="00D65A97">
        <w:rPr>
          <w:rFonts w:asciiTheme="majorHAnsi" w:hAnsiTheme="majorHAnsi"/>
          <w:b/>
          <w:sz w:val="20"/>
          <w:szCs w:val="20"/>
        </w:rPr>
        <w:t>.-</w:t>
      </w:r>
      <w:r w:rsidR="00B92795">
        <w:rPr>
          <w:rFonts w:asciiTheme="majorHAnsi" w:hAnsiTheme="majorHAnsi"/>
          <w:sz w:val="20"/>
          <w:szCs w:val="20"/>
        </w:rPr>
        <w:t xml:space="preserve"> Military service in peacetime is </w:t>
      </w:r>
      <w:r w:rsidR="002E1C20">
        <w:rPr>
          <w:rFonts w:asciiTheme="majorHAnsi" w:hAnsiTheme="majorHAnsi"/>
          <w:sz w:val="20"/>
          <w:szCs w:val="20"/>
        </w:rPr>
        <w:t xml:space="preserve">two-years long in the Eastern Region and one-year long in the Western Region or Paraguayan Chaco. Citizens who have </w:t>
      </w:r>
      <w:r w:rsidR="003D1BBB">
        <w:rPr>
          <w:rFonts w:asciiTheme="majorHAnsi" w:hAnsiTheme="majorHAnsi"/>
          <w:sz w:val="20"/>
          <w:szCs w:val="20"/>
        </w:rPr>
        <w:t>passed their 4</w:t>
      </w:r>
      <w:r w:rsidR="003D1BBB" w:rsidRPr="003D1BBB">
        <w:rPr>
          <w:rFonts w:asciiTheme="majorHAnsi" w:hAnsiTheme="majorHAnsi"/>
          <w:sz w:val="20"/>
          <w:szCs w:val="20"/>
          <w:vertAlign w:val="superscript"/>
        </w:rPr>
        <w:t>th</w:t>
      </w:r>
      <w:r w:rsidR="003D1BBB">
        <w:rPr>
          <w:rFonts w:asciiTheme="majorHAnsi" w:hAnsiTheme="majorHAnsi"/>
          <w:sz w:val="20"/>
          <w:szCs w:val="20"/>
        </w:rPr>
        <w:t xml:space="preserve"> Year of Secondary School Instruction</w:t>
      </w:r>
      <w:r w:rsidR="0069172D">
        <w:rPr>
          <w:rFonts w:asciiTheme="majorHAnsi" w:hAnsiTheme="majorHAnsi"/>
          <w:sz w:val="20"/>
          <w:szCs w:val="20"/>
        </w:rPr>
        <w:t xml:space="preserve"> shall be entitled to admission </w:t>
      </w:r>
      <w:r w:rsidR="00E01449">
        <w:rPr>
          <w:rFonts w:asciiTheme="majorHAnsi" w:hAnsiTheme="majorHAnsi"/>
          <w:sz w:val="20"/>
          <w:szCs w:val="20"/>
        </w:rPr>
        <w:t>to the Military Reserve Officers</w:t>
      </w:r>
      <w:r w:rsidR="005C10E2">
        <w:rPr>
          <w:rFonts w:asciiTheme="majorHAnsi" w:hAnsiTheme="majorHAnsi"/>
          <w:sz w:val="20"/>
          <w:szCs w:val="20"/>
        </w:rPr>
        <w:t xml:space="preserve"> Training Centers</w:t>
      </w:r>
      <w:r w:rsidR="00E01449">
        <w:rPr>
          <w:rFonts w:asciiTheme="majorHAnsi" w:hAnsiTheme="majorHAnsi"/>
          <w:sz w:val="20"/>
          <w:szCs w:val="20"/>
        </w:rPr>
        <w:t xml:space="preserve"> </w:t>
      </w:r>
      <w:r w:rsidR="00300D46" w:rsidRPr="00D65A97">
        <w:rPr>
          <w:rFonts w:asciiTheme="majorHAnsi" w:hAnsiTheme="majorHAnsi"/>
          <w:sz w:val="20"/>
          <w:szCs w:val="20"/>
        </w:rPr>
        <w:t>(C.I.M.E.F.O.R.).</w:t>
      </w:r>
    </w:p>
    <w:p w14:paraId="7F25B3F3" w14:textId="77777777" w:rsidR="00300D46" w:rsidRPr="00D65A97" w:rsidRDefault="00300D46" w:rsidP="00300D46">
      <w:pPr>
        <w:ind w:left="720" w:right="720"/>
        <w:jc w:val="both"/>
        <w:rPr>
          <w:rFonts w:asciiTheme="majorHAnsi" w:hAnsiTheme="majorHAnsi"/>
          <w:b/>
          <w:bCs/>
          <w:sz w:val="20"/>
          <w:szCs w:val="20"/>
        </w:rPr>
      </w:pPr>
    </w:p>
    <w:p w14:paraId="64755C0C" w14:textId="3916B37D" w:rsidR="00300D46" w:rsidRPr="00D65A97" w:rsidRDefault="00B603CE" w:rsidP="00300D46">
      <w:pPr>
        <w:ind w:left="720" w:right="720"/>
        <w:jc w:val="both"/>
        <w:rPr>
          <w:rFonts w:asciiTheme="majorHAnsi" w:hAnsiTheme="majorHAnsi"/>
          <w:sz w:val="20"/>
          <w:szCs w:val="20"/>
        </w:rPr>
      </w:pPr>
      <w:r>
        <w:rPr>
          <w:rFonts w:asciiTheme="majorHAnsi" w:hAnsiTheme="majorHAnsi"/>
          <w:b/>
          <w:bCs/>
          <w:sz w:val="20"/>
          <w:szCs w:val="20"/>
        </w:rPr>
        <w:t>CHAPTER</w:t>
      </w:r>
      <w:r w:rsidR="00300D46" w:rsidRPr="00D65A97">
        <w:rPr>
          <w:rFonts w:asciiTheme="majorHAnsi" w:hAnsiTheme="majorHAnsi"/>
          <w:b/>
          <w:bCs/>
          <w:sz w:val="20"/>
          <w:szCs w:val="20"/>
        </w:rPr>
        <w:t xml:space="preserve"> VI</w:t>
      </w:r>
    </w:p>
    <w:p w14:paraId="0559326C" w14:textId="77777777" w:rsidR="00300D46" w:rsidRPr="00D65A97" w:rsidRDefault="00300D46" w:rsidP="00300D46">
      <w:pPr>
        <w:ind w:left="720" w:right="720"/>
        <w:jc w:val="both"/>
        <w:rPr>
          <w:rFonts w:asciiTheme="majorHAnsi" w:hAnsiTheme="majorHAnsi"/>
          <w:b/>
          <w:bCs/>
          <w:sz w:val="20"/>
          <w:szCs w:val="20"/>
        </w:rPr>
      </w:pPr>
    </w:p>
    <w:p w14:paraId="49F00897" w14:textId="14A9CE91" w:rsidR="00300D46" w:rsidRPr="00D65A97" w:rsidRDefault="00FA3C19" w:rsidP="00300D46">
      <w:pPr>
        <w:ind w:left="720" w:right="720"/>
        <w:jc w:val="both"/>
        <w:rPr>
          <w:rFonts w:asciiTheme="majorHAnsi" w:hAnsiTheme="majorHAnsi"/>
          <w:sz w:val="20"/>
          <w:szCs w:val="20"/>
        </w:rPr>
      </w:pPr>
      <w:r>
        <w:rPr>
          <w:rFonts w:asciiTheme="majorHAnsi" w:hAnsiTheme="majorHAnsi"/>
          <w:b/>
          <w:bCs/>
          <w:sz w:val="20"/>
          <w:szCs w:val="20"/>
        </w:rPr>
        <w:t xml:space="preserve">Responsibility </w:t>
      </w:r>
      <w:r w:rsidR="00300D46" w:rsidRPr="00D65A97">
        <w:rPr>
          <w:rFonts w:asciiTheme="majorHAnsi" w:hAnsiTheme="majorHAnsi"/>
          <w:b/>
          <w:bCs/>
          <w:sz w:val="20"/>
          <w:szCs w:val="20"/>
        </w:rPr>
        <w:t>(…)</w:t>
      </w:r>
    </w:p>
    <w:p w14:paraId="18865AE8" w14:textId="022AD9CB" w:rsidR="00300D46" w:rsidRPr="00D65A97" w:rsidRDefault="00FA3C19" w:rsidP="00300D46">
      <w:pPr>
        <w:ind w:left="720" w:right="720"/>
        <w:jc w:val="both"/>
        <w:rPr>
          <w:rFonts w:asciiTheme="majorHAnsi" w:hAnsiTheme="majorHAnsi"/>
          <w:sz w:val="20"/>
          <w:szCs w:val="20"/>
        </w:rPr>
      </w:pPr>
      <w:r>
        <w:rPr>
          <w:rFonts w:asciiTheme="majorHAnsi" w:hAnsiTheme="majorHAnsi"/>
          <w:b/>
          <w:bCs/>
          <w:sz w:val="20"/>
          <w:szCs w:val="20"/>
        </w:rPr>
        <w:t>Art. 56</w:t>
      </w:r>
      <w:r w:rsidR="00300D46" w:rsidRPr="00D65A97">
        <w:rPr>
          <w:rFonts w:asciiTheme="majorHAnsi" w:hAnsiTheme="majorHAnsi"/>
          <w:b/>
          <w:bCs/>
          <w:sz w:val="20"/>
          <w:szCs w:val="20"/>
        </w:rPr>
        <w:t>.-</w:t>
      </w:r>
      <w:r w:rsidR="00300D46" w:rsidRPr="00D65A97">
        <w:rPr>
          <w:rFonts w:asciiTheme="majorHAnsi" w:hAnsiTheme="majorHAnsi"/>
          <w:sz w:val="20"/>
          <w:szCs w:val="20"/>
        </w:rPr>
        <w:t> </w:t>
      </w:r>
      <w:r w:rsidR="005C76A6">
        <w:rPr>
          <w:rFonts w:asciiTheme="majorHAnsi" w:hAnsiTheme="majorHAnsi"/>
          <w:sz w:val="20"/>
          <w:szCs w:val="20"/>
        </w:rPr>
        <w:t>A</w:t>
      </w:r>
      <w:r>
        <w:rPr>
          <w:rFonts w:asciiTheme="majorHAnsi" w:hAnsiTheme="majorHAnsi"/>
          <w:sz w:val="20"/>
          <w:szCs w:val="20"/>
        </w:rPr>
        <w:t>uthorities who recruit children under the age of eighteen years old or who retain</w:t>
      </w:r>
      <w:r w:rsidR="000F547F" w:rsidRPr="000F547F">
        <w:rPr>
          <w:rFonts w:asciiTheme="majorHAnsi" w:hAnsiTheme="majorHAnsi"/>
          <w:sz w:val="20"/>
          <w:szCs w:val="20"/>
        </w:rPr>
        <w:t xml:space="preserve"> </w:t>
      </w:r>
      <w:r w:rsidR="000F547F">
        <w:rPr>
          <w:rFonts w:asciiTheme="majorHAnsi" w:hAnsiTheme="majorHAnsi"/>
          <w:sz w:val="20"/>
          <w:szCs w:val="20"/>
        </w:rPr>
        <w:t>in service</w:t>
      </w:r>
      <w:r>
        <w:rPr>
          <w:rFonts w:asciiTheme="majorHAnsi" w:hAnsiTheme="majorHAnsi"/>
          <w:sz w:val="20"/>
          <w:szCs w:val="20"/>
        </w:rPr>
        <w:t xml:space="preserve"> persons legally exempt</w:t>
      </w:r>
      <w:r w:rsidR="002E07D9">
        <w:rPr>
          <w:rFonts w:asciiTheme="majorHAnsi" w:hAnsiTheme="majorHAnsi"/>
          <w:sz w:val="20"/>
          <w:szCs w:val="20"/>
        </w:rPr>
        <w:t xml:space="preserve"> [from military service]</w:t>
      </w:r>
      <w:r>
        <w:rPr>
          <w:rFonts w:asciiTheme="majorHAnsi" w:hAnsiTheme="majorHAnsi"/>
          <w:sz w:val="20"/>
          <w:szCs w:val="20"/>
        </w:rPr>
        <w:t xml:space="preserve">, notwithstanding the exceptions provided for in this law, without prejudice </w:t>
      </w:r>
      <w:r w:rsidR="00EC5715">
        <w:rPr>
          <w:rFonts w:asciiTheme="majorHAnsi" w:hAnsiTheme="majorHAnsi"/>
          <w:sz w:val="20"/>
          <w:szCs w:val="20"/>
        </w:rPr>
        <w:t>to any criminal liability</w:t>
      </w:r>
      <w:r w:rsidR="002E07D9">
        <w:rPr>
          <w:rFonts w:asciiTheme="majorHAnsi" w:hAnsiTheme="majorHAnsi"/>
          <w:sz w:val="20"/>
          <w:szCs w:val="20"/>
        </w:rPr>
        <w:t>,</w:t>
      </w:r>
      <w:r w:rsidR="00EC5715">
        <w:rPr>
          <w:rFonts w:asciiTheme="majorHAnsi" w:hAnsiTheme="majorHAnsi"/>
          <w:sz w:val="20"/>
          <w:szCs w:val="20"/>
        </w:rPr>
        <w:t xml:space="preserve"> shall be dismissed</w:t>
      </w:r>
      <w:r w:rsidR="002E07D9">
        <w:rPr>
          <w:rFonts w:asciiTheme="majorHAnsi" w:hAnsiTheme="majorHAnsi"/>
          <w:sz w:val="20"/>
          <w:szCs w:val="20"/>
        </w:rPr>
        <w:t xml:space="preserve"> from their position</w:t>
      </w:r>
      <w:r w:rsidR="00EC5715">
        <w:rPr>
          <w:rFonts w:asciiTheme="majorHAnsi" w:hAnsiTheme="majorHAnsi"/>
          <w:sz w:val="20"/>
          <w:szCs w:val="20"/>
        </w:rPr>
        <w:t xml:space="preserve"> or disqualified for five years from holding any public</w:t>
      </w:r>
      <w:r w:rsidR="00335FA1">
        <w:rPr>
          <w:rFonts w:asciiTheme="majorHAnsi" w:hAnsiTheme="majorHAnsi"/>
          <w:sz w:val="20"/>
          <w:szCs w:val="20"/>
        </w:rPr>
        <w:t xml:space="preserve"> positions</w:t>
      </w:r>
      <w:r w:rsidR="00EC5715">
        <w:rPr>
          <w:rFonts w:asciiTheme="majorHAnsi" w:hAnsiTheme="majorHAnsi"/>
          <w:sz w:val="20"/>
          <w:szCs w:val="20"/>
        </w:rPr>
        <w:t>. The parents, guardians or persons responsible for the offended minor may report the act to the cl</w:t>
      </w:r>
      <w:r w:rsidR="007A2EEE">
        <w:rPr>
          <w:rFonts w:asciiTheme="majorHAnsi" w:hAnsiTheme="majorHAnsi"/>
          <w:sz w:val="20"/>
          <w:szCs w:val="20"/>
        </w:rPr>
        <w:t>osest authority</w:t>
      </w:r>
      <w:r w:rsidR="000F547F">
        <w:rPr>
          <w:rFonts w:asciiTheme="majorHAnsi" w:hAnsiTheme="majorHAnsi"/>
          <w:sz w:val="20"/>
          <w:szCs w:val="20"/>
        </w:rPr>
        <w:t>, who</w:t>
      </w:r>
      <w:r w:rsidR="00EC5715">
        <w:rPr>
          <w:rFonts w:asciiTheme="majorHAnsi" w:hAnsiTheme="majorHAnsi"/>
          <w:sz w:val="20"/>
          <w:szCs w:val="20"/>
        </w:rPr>
        <w:t xml:space="preserve"> must immediately</w:t>
      </w:r>
      <w:r w:rsidR="00D41F11">
        <w:rPr>
          <w:rFonts w:asciiTheme="majorHAnsi" w:hAnsiTheme="majorHAnsi"/>
          <w:sz w:val="20"/>
          <w:szCs w:val="20"/>
        </w:rPr>
        <w:t xml:space="preserve"> report it to the Commander-in-Chief of</w:t>
      </w:r>
      <w:r w:rsidR="007A2EEE">
        <w:rPr>
          <w:rFonts w:asciiTheme="majorHAnsi" w:hAnsiTheme="majorHAnsi"/>
          <w:sz w:val="20"/>
          <w:szCs w:val="20"/>
        </w:rPr>
        <w:t xml:space="preserve"> the Armed Forces of the Nation</w:t>
      </w:r>
      <w:r w:rsidR="00300D46" w:rsidRPr="00D65A97">
        <w:rPr>
          <w:rFonts w:asciiTheme="majorHAnsi" w:hAnsiTheme="majorHAnsi"/>
          <w:sz w:val="20"/>
          <w:szCs w:val="20"/>
        </w:rPr>
        <w:t>. (…)</w:t>
      </w:r>
    </w:p>
    <w:p w14:paraId="755A25C8" w14:textId="77777777" w:rsidR="00300D46" w:rsidRPr="00D65A97" w:rsidRDefault="00300D46" w:rsidP="00300D46">
      <w:pPr>
        <w:ind w:left="360"/>
        <w:jc w:val="both"/>
        <w:rPr>
          <w:rFonts w:asciiTheme="majorHAnsi" w:hAnsiTheme="majorHAnsi"/>
          <w:sz w:val="20"/>
          <w:szCs w:val="20"/>
        </w:rPr>
      </w:pPr>
    </w:p>
    <w:p w14:paraId="1E687001" w14:textId="03F176EC" w:rsidR="00300D46" w:rsidRPr="00D65A97" w:rsidRDefault="00300D46" w:rsidP="00A17B98">
      <w:pPr>
        <w:pStyle w:val="Heading3"/>
        <w:rPr>
          <w:lang w:val="en-US"/>
        </w:rPr>
      </w:pPr>
      <w:bookmarkStart w:id="10" w:name="_Toc506095171"/>
      <w:r w:rsidRPr="00D65A97">
        <w:rPr>
          <w:lang w:val="en-US"/>
        </w:rPr>
        <w:t xml:space="preserve">2. </w:t>
      </w:r>
      <w:r w:rsidRPr="00D65A97">
        <w:rPr>
          <w:lang w:val="en-US"/>
        </w:rPr>
        <w:tab/>
      </w:r>
      <w:r w:rsidR="00053ED2">
        <w:rPr>
          <w:lang w:val="en-US"/>
        </w:rPr>
        <w:t xml:space="preserve">Applicable criminal proceedings </w:t>
      </w:r>
      <w:bookmarkEnd w:id="10"/>
    </w:p>
    <w:p w14:paraId="279DA411" w14:textId="77777777" w:rsidR="00300D46" w:rsidRPr="00D65A97" w:rsidRDefault="00300D46" w:rsidP="00300D46">
      <w:pPr>
        <w:ind w:left="360"/>
        <w:jc w:val="both"/>
        <w:rPr>
          <w:rFonts w:asciiTheme="majorHAnsi" w:hAnsiTheme="majorHAnsi"/>
          <w:sz w:val="20"/>
          <w:szCs w:val="20"/>
        </w:rPr>
      </w:pPr>
    </w:p>
    <w:p w14:paraId="65ABE183" w14:textId="4A22454D" w:rsidR="00300D46" w:rsidRPr="00D65A97" w:rsidRDefault="0034531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During the filing of the complaint for homicide, bodily harm, etc. of Vicent</w:t>
      </w:r>
      <w:r w:rsidR="00025798">
        <w:rPr>
          <w:rFonts w:asciiTheme="majorHAnsi" w:hAnsiTheme="majorHAnsi"/>
          <w:sz w:val="20"/>
          <w:szCs w:val="20"/>
        </w:rPr>
        <w:t>e</w:t>
      </w:r>
      <w:r>
        <w:rPr>
          <w:rFonts w:asciiTheme="majorHAnsi" w:hAnsiTheme="majorHAnsi"/>
          <w:sz w:val="20"/>
          <w:szCs w:val="20"/>
        </w:rPr>
        <w:t xml:space="preserve"> Ariel Noguera, the State was in the process of implementation of a new criminal proceeding and said transition to the new criminal justice system was governed by Law No. </w:t>
      </w:r>
      <w:r w:rsidR="00300D46" w:rsidRPr="00D65A97">
        <w:rPr>
          <w:rFonts w:asciiTheme="majorHAnsi" w:hAnsiTheme="majorHAnsi"/>
          <w:sz w:val="20"/>
          <w:szCs w:val="20"/>
        </w:rPr>
        <w:t>1444</w:t>
      </w:r>
      <w:r w:rsidR="00364480">
        <w:rPr>
          <w:rFonts w:asciiTheme="majorHAnsi" w:hAnsiTheme="majorHAnsi"/>
          <w:sz w:val="20"/>
          <w:szCs w:val="20"/>
        </w:rPr>
        <w:t>.</w:t>
      </w:r>
      <w:r w:rsidR="00300D46" w:rsidRPr="00D65A97">
        <w:rPr>
          <w:rStyle w:val="FootnoteReference"/>
          <w:rFonts w:asciiTheme="majorHAnsi" w:hAnsiTheme="majorHAnsi"/>
          <w:sz w:val="20"/>
          <w:szCs w:val="20"/>
        </w:rPr>
        <w:footnoteReference w:id="12"/>
      </w:r>
      <w:r w:rsidR="00364480">
        <w:rPr>
          <w:rFonts w:asciiTheme="majorHAnsi" w:hAnsiTheme="majorHAnsi"/>
          <w:sz w:val="20"/>
          <w:szCs w:val="20"/>
        </w:rPr>
        <w:t xml:space="preserve"> In the section pertaining to archiving or clos</w:t>
      </w:r>
      <w:r w:rsidR="00436150">
        <w:rPr>
          <w:rFonts w:asciiTheme="majorHAnsi" w:hAnsiTheme="majorHAnsi"/>
          <w:sz w:val="20"/>
          <w:szCs w:val="20"/>
        </w:rPr>
        <w:t>ing investigations, said statute</w:t>
      </w:r>
      <w:r w:rsidR="00364480">
        <w:rPr>
          <w:rFonts w:asciiTheme="majorHAnsi" w:hAnsiTheme="majorHAnsi"/>
          <w:sz w:val="20"/>
          <w:szCs w:val="20"/>
        </w:rPr>
        <w:t xml:space="preserve"> specifies the following: </w:t>
      </w:r>
    </w:p>
    <w:p w14:paraId="0DF7476B" w14:textId="77777777" w:rsidR="00300D46" w:rsidRPr="00D65A97" w:rsidRDefault="00300D46" w:rsidP="00300D46">
      <w:pPr>
        <w:jc w:val="both"/>
        <w:rPr>
          <w:rFonts w:asciiTheme="majorHAnsi" w:hAnsiTheme="majorHAnsi"/>
          <w:b/>
          <w:sz w:val="20"/>
          <w:szCs w:val="20"/>
        </w:rPr>
      </w:pPr>
    </w:p>
    <w:p w14:paraId="627B8BC4" w14:textId="4A755338" w:rsidR="00300D46" w:rsidRPr="00D65A97" w:rsidRDefault="00300D46" w:rsidP="00300D46">
      <w:pPr>
        <w:ind w:left="720" w:right="720"/>
        <w:jc w:val="both"/>
        <w:rPr>
          <w:rFonts w:asciiTheme="majorHAnsi" w:hAnsiTheme="majorHAnsi"/>
          <w:b/>
          <w:sz w:val="20"/>
          <w:szCs w:val="20"/>
        </w:rPr>
      </w:pPr>
      <w:r w:rsidRPr="00D65A97">
        <w:rPr>
          <w:rFonts w:asciiTheme="majorHAnsi" w:hAnsiTheme="majorHAnsi"/>
          <w:b/>
          <w:sz w:val="20"/>
          <w:szCs w:val="20"/>
        </w:rPr>
        <w:t>C</w:t>
      </w:r>
      <w:r w:rsidR="004B2E0B">
        <w:rPr>
          <w:rFonts w:asciiTheme="majorHAnsi" w:hAnsiTheme="majorHAnsi"/>
          <w:b/>
          <w:sz w:val="20"/>
          <w:szCs w:val="20"/>
        </w:rPr>
        <w:t xml:space="preserve">HAPTER </w:t>
      </w:r>
      <w:r w:rsidRPr="00D65A97">
        <w:rPr>
          <w:rFonts w:asciiTheme="majorHAnsi" w:hAnsiTheme="majorHAnsi"/>
          <w:b/>
          <w:sz w:val="20"/>
          <w:szCs w:val="20"/>
        </w:rPr>
        <w:t xml:space="preserve">II </w:t>
      </w:r>
      <w:r w:rsidR="004B2E0B">
        <w:rPr>
          <w:rFonts w:asciiTheme="majorHAnsi" w:hAnsiTheme="majorHAnsi"/>
          <w:b/>
          <w:sz w:val="20"/>
          <w:szCs w:val="20"/>
        </w:rPr>
        <w:t xml:space="preserve">DISPOSTION OF CASES </w:t>
      </w:r>
      <w:r w:rsidRPr="00D65A97">
        <w:rPr>
          <w:rFonts w:asciiTheme="majorHAnsi" w:hAnsiTheme="majorHAnsi"/>
          <w:b/>
          <w:sz w:val="20"/>
          <w:szCs w:val="20"/>
        </w:rPr>
        <w:t>(…)</w:t>
      </w:r>
    </w:p>
    <w:p w14:paraId="38ADCB60" w14:textId="77777777" w:rsidR="00300D46" w:rsidRPr="00D65A97" w:rsidRDefault="00300D46" w:rsidP="00300D46">
      <w:pPr>
        <w:ind w:left="720" w:right="720"/>
        <w:jc w:val="both"/>
        <w:rPr>
          <w:rFonts w:asciiTheme="majorHAnsi" w:hAnsiTheme="majorHAnsi"/>
          <w:b/>
          <w:sz w:val="20"/>
          <w:szCs w:val="20"/>
        </w:rPr>
      </w:pPr>
    </w:p>
    <w:p w14:paraId="7E5FEE4C" w14:textId="208595D8" w:rsidR="00300D46" w:rsidRPr="00D65A97" w:rsidRDefault="004B2E0B" w:rsidP="00300D46">
      <w:pPr>
        <w:ind w:left="720" w:right="720"/>
        <w:jc w:val="both"/>
        <w:rPr>
          <w:rFonts w:asciiTheme="majorHAnsi" w:hAnsiTheme="majorHAnsi"/>
          <w:sz w:val="20"/>
          <w:szCs w:val="20"/>
        </w:rPr>
      </w:pPr>
      <w:r>
        <w:rPr>
          <w:rFonts w:asciiTheme="majorHAnsi" w:hAnsiTheme="majorHAnsi"/>
          <w:b/>
          <w:sz w:val="20"/>
          <w:szCs w:val="20"/>
        </w:rPr>
        <w:t>Article 7</w:t>
      </w:r>
      <w:r w:rsidR="00300D46" w:rsidRPr="00D65A97">
        <w:rPr>
          <w:rFonts w:asciiTheme="majorHAnsi" w:hAnsiTheme="majorHAnsi"/>
          <w:b/>
          <w:sz w:val="20"/>
          <w:szCs w:val="20"/>
        </w:rPr>
        <w:t>.- A</w:t>
      </w:r>
      <w:r>
        <w:rPr>
          <w:rFonts w:asciiTheme="majorHAnsi" w:hAnsiTheme="majorHAnsi"/>
          <w:b/>
          <w:sz w:val="20"/>
          <w:szCs w:val="20"/>
        </w:rPr>
        <w:t xml:space="preserve">RCHIVING </w:t>
      </w:r>
      <w:r>
        <w:rPr>
          <w:rFonts w:asciiTheme="majorHAnsi" w:hAnsiTheme="majorHAnsi"/>
          <w:sz w:val="20"/>
          <w:szCs w:val="20"/>
        </w:rPr>
        <w:t>In cases with unidentified defendants, the Court may order the archiving of the case investigation, when the Public Prosecutor’s Office or the parties, within a period of six months, do not file motions or conduct the acts or take the investigatory steps</w:t>
      </w:r>
      <w:r w:rsidR="001512B2">
        <w:rPr>
          <w:rFonts w:asciiTheme="majorHAnsi" w:hAnsiTheme="majorHAnsi"/>
          <w:sz w:val="20"/>
          <w:szCs w:val="20"/>
        </w:rPr>
        <w:t xml:space="preserve">, pertinent to continue the case. </w:t>
      </w:r>
      <w:r>
        <w:rPr>
          <w:rFonts w:asciiTheme="majorHAnsi" w:hAnsiTheme="majorHAnsi"/>
          <w:sz w:val="20"/>
          <w:szCs w:val="20"/>
        </w:rPr>
        <w:t xml:space="preserve"> </w:t>
      </w:r>
    </w:p>
    <w:p w14:paraId="4145E44D" w14:textId="77777777" w:rsidR="00300D46" w:rsidRPr="00D65A97" w:rsidRDefault="00300D46" w:rsidP="00300D46">
      <w:pPr>
        <w:jc w:val="both"/>
        <w:rPr>
          <w:rFonts w:asciiTheme="majorHAnsi" w:hAnsiTheme="majorHAnsi"/>
          <w:sz w:val="20"/>
          <w:szCs w:val="20"/>
        </w:rPr>
      </w:pPr>
    </w:p>
    <w:p w14:paraId="31544034" w14:textId="04A1A00B" w:rsidR="00300D46" w:rsidRPr="00D65A97" w:rsidRDefault="00D76821"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legal statute governing the dismissal of preliminary investigations within a criminal case before the military justice system was the Military Code of Criminal Procedure in peacetime and wartime,</w:t>
      </w:r>
      <w:r w:rsidR="00300D46" w:rsidRPr="00D65A97">
        <w:rPr>
          <w:rStyle w:val="FootnoteReference"/>
          <w:rFonts w:asciiTheme="majorHAnsi" w:hAnsiTheme="majorHAnsi"/>
          <w:sz w:val="20"/>
          <w:szCs w:val="20"/>
        </w:rPr>
        <w:footnoteReference w:id="13"/>
      </w:r>
      <w:r w:rsidR="00300D46" w:rsidRPr="00D65A97">
        <w:rPr>
          <w:rFonts w:asciiTheme="majorHAnsi" w:hAnsiTheme="majorHAnsi"/>
          <w:sz w:val="20"/>
          <w:szCs w:val="20"/>
        </w:rPr>
        <w:t xml:space="preserve"> </w:t>
      </w:r>
      <w:r>
        <w:rPr>
          <w:rFonts w:asciiTheme="majorHAnsi" w:hAnsiTheme="majorHAnsi"/>
          <w:sz w:val="20"/>
          <w:szCs w:val="20"/>
        </w:rPr>
        <w:t xml:space="preserve">the relevant portions of which read as follows: </w:t>
      </w:r>
    </w:p>
    <w:p w14:paraId="082FE9C1" w14:textId="67863DA2" w:rsidR="00300D46" w:rsidRPr="00D65A97" w:rsidRDefault="00300D46" w:rsidP="00300D46">
      <w:pPr>
        <w:ind w:left="720"/>
        <w:jc w:val="both"/>
        <w:rPr>
          <w:rFonts w:asciiTheme="majorHAnsi" w:hAnsiTheme="majorHAnsi"/>
          <w:b/>
          <w:bCs/>
          <w:sz w:val="20"/>
          <w:szCs w:val="20"/>
        </w:rPr>
      </w:pPr>
      <w:r w:rsidRPr="00D65A97">
        <w:rPr>
          <w:rFonts w:asciiTheme="majorHAnsi" w:hAnsiTheme="majorHAnsi"/>
          <w:b/>
          <w:bCs/>
          <w:sz w:val="20"/>
          <w:szCs w:val="20"/>
        </w:rPr>
        <w:br/>
        <w:t>TIT</w:t>
      </w:r>
      <w:r w:rsidR="00165B7A">
        <w:rPr>
          <w:rFonts w:asciiTheme="majorHAnsi" w:hAnsiTheme="majorHAnsi"/>
          <w:b/>
          <w:bCs/>
          <w:sz w:val="20"/>
          <w:szCs w:val="20"/>
        </w:rPr>
        <w:t xml:space="preserve">LE </w:t>
      </w:r>
      <w:r w:rsidRPr="00D65A97">
        <w:rPr>
          <w:rFonts w:asciiTheme="majorHAnsi" w:hAnsiTheme="majorHAnsi"/>
          <w:b/>
          <w:bCs/>
          <w:sz w:val="20"/>
          <w:szCs w:val="20"/>
        </w:rPr>
        <w:t>VIII</w:t>
      </w:r>
    </w:p>
    <w:p w14:paraId="312742F1" w14:textId="77777777" w:rsidR="00300D46" w:rsidRPr="00D65A97" w:rsidRDefault="00300D46" w:rsidP="00300D46">
      <w:pPr>
        <w:ind w:left="720"/>
        <w:jc w:val="both"/>
        <w:rPr>
          <w:rFonts w:asciiTheme="majorHAnsi" w:hAnsiTheme="majorHAnsi"/>
          <w:b/>
          <w:bCs/>
          <w:sz w:val="20"/>
          <w:szCs w:val="20"/>
        </w:rPr>
      </w:pPr>
    </w:p>
    <w:p w14:paraId="4A3FE95F" w14:textId="2F33ABD9" w:rsidR="00300D46" w:rsidRPr="00D65A97" w:rsidRDefault="00165B7A" w:rsidP="00300D46">
      <w:pPr>
        <w:ind w:left="720"/>
        <w:jc w:val="both"/>
        <w:rPr>
          <w:rFonts w:asciiTheme="majorHAnsi" w:hAnsiTheme="majorHAnsi"/>
          <w:b/>
          <w:bCs/>
          <w:sz w:val="20"/>
          <w:szCs w:val="20"/>
        </w:rPr>
      </w:pPr>
      <w:r>
        <w:rPr>
          <w:rFonts w:asciiTheme="majorHAnsi" w:hAnsiTheme="majorHAnsi"/>
          <w:b/>
          <w:bCs/>
          <w:sz w:val="20"/>
          <w:szCs w:val="20"/>
        </w:rPr>
        <w:t xml:space="preserve">Dismissal </w:t>
      </w:r>
    </w:p>
    <w:p w14:paraId="10E8C8D7" w14:textId="77777777" w:rsidR="00300D46" w:rsidRPr="00D65A97" w:rsidRDefault="00300D46" w:rsidP="00300D46">
      <w:pPr>
        <w:ind w:left="720"/>
        <w:jc w:val="both"/>
        <w:rPr>
          <w:rFonts w:asciiTheme="majorHAnsi" w:hAnsiTheme="majorHAnsi"/>
          <w:b/>
          <w:bCs/>
          <w:sz w:val="20"/>
          <w:szCs w:val="20"/>
        </w:rPr>
      </w:pPr>
    </w:p>
    <w:p w14:paraId="4D6DA617" w14:textId="3FD234D1" w:rsidR="00300D46" w:rsidRPr="00D65A97" w:rsidRDefault="00300D46" w:rsidP="00300D46">
      <w:pPr>
        <w:ind w:left="720"/>
        <w:jc w:val="both"/>
        <w:rPr>
          <w:rFonts w:asciiTheme="majorHAnsi" w:hAnsiTheme="majorHAnsi"/>
          <w:sz w:val="20"/>
          <w:szCs w:val="20"/>
        </w:rPr>
      </w:pPr>
      <w:r w:rsidRPr="00D65A97">
        <w:rPr>
          <w:rFonts w:asciiTheme="majorHAnsi" w:hAnsiTheme="majorHAnsi"/>
          <w:b/>
          <w:bCs/>
          <w:sz w:val="20"/>
          <w:szCs w:val="20"/>
        </w:rPr>
        <w:t>Art. 194.-</w:t>
      </w:r>
      <w:r w:rsidRPr="00D65A97">
        <w:rPr>
          <w:rFonts w:asciiTheme="majorHAnsi" w:hAnsiTheme="majorHAnsi"/>
          <w:sz w:val="20"/>
          <w:szCs w:val="20"/>
        </w:rPr>
        <w:t> </w:t>
      </w:r>
      <w:r w:rsidR="00194E1C">
        <w:rPr>
          <w:rFonts w:asciiTheme="majorHAnsi" w:hAnsiTheme="majorHAnsi"/>
          <w:sz w:val="20"/>
          <w:szCs w:val="20"/>
        </w:rPr>
        <w:t xml:space="preserve">He shall be free: a) when it is proven through evidence that the crime has not been perpetrated; </w:t>
      </w:r>
    </w:p>
    <w:p w14:paraId="02898CDD" w14:textId="77777777" w:rsidR="00300D46" w:rsidRPr="00D65A97" w:rsidRDefault="00300D46" w:rsidP="00300D46">
      <w:pPr>
        <w:jc w:val="both"/>
        <w:rPr>
          <w:rFonts w:asciiTheme="majorHAnsi" w:hAnsiTheme="majorHAnsi"/>
          <w:sz w:val="20"/>
          <w:szCs w:val="20"/>
        </w:rPr>
      </w:pPr>
    </w:p>
    <w:p w14:paraId="71ED98DA" w14:textId="7E7127D4" w:rsidR="00300D46" w:rsidRPr="00D65A97" w:rsidRDefault="00884140" w:rsidP="00A17B98">
      <w:pPr>
        <w:pStyle w:val="Heading2"/>
        <w:ind w:hanging="720"/>
      </w:pPr>
      <w:bookmarkStart w:id="11" w:name="_Toc506095172"/>
      <w:r>
        <w:t>Vicente Ariel Noguera and</w:t>
      </w:r>
      <w:r w:rsidR="00300D46" w:rsidRPr="00D65A97">
        <w:t xml:space="preserve"> María Noguera</w:t>
      </w:r>
      <w:bookmarkEnd w:id="11"/>
    </w:p>
    <w:p w14:paraId="430DE799" w14:textId="77777777" w:rsidR="00300D46" w:rsidRPr="00D65A97" w:rsidRDefault="00300D46" w:rsidP="00300D46">
      <w:pPr>
        <w:ind w:left="1440"/>
        <w:jc w:val="both"/>
        <w:rPr>
          <w:rFonts w:asciiTheme="majorHAnsi" w:hAnsiTheme="majorHAnsi"/>
          <w:b/>
          <w:sz w:val="20"/>
          <w:szCs w:val="20"/>
        </w:rPr>
      </w:pPr>
      <w:r w:rsidRPr="00D65A97">
        <w:rPr>
          <w:rFonts w:asciiTheme="majorHAnsi" w:hAnsiTheme="majorHAnsi"/>
          <w:b/>
          <w:sz w:val="20"/>
          <w:szCs w:val="20"/>
        </w:rPr>
        <w:t xml:space="preserve"> </w:t>
      </w:r>
    </w:p>
    <w:p w14:paraId="077AA17E" w14:textId="57FA7BE2" w:rsidR="00300D46" w:rsidRPr="00D65A97" w:rsidRDefault="00300D4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D65A97">
        <w:rPr>
          <w:rFonts w:asciiTheme="majorHAnsi" w:hAnsiTheme="majorHAnsi"/>
          <w:sz w:val="20"/>
          <w:szCs w:val="20"/>
        </w:rPr>
        <w:t xml:space="preserve">Vicente Ariel Noguera </w:t>
      </w:r>
      <w:r w:rsidR="00BA4E2E">
        <w:rPr>
          <w:rFonts w:asciiTheme="majorHAnsi" w:hAnsiTheme="majorHAnsi"/>
          <w:sz w:val="20"/>
          <w:szCs w:val="20"/>
        </w:rPr>
        <w:t xml:space="preserve">was born on July </w:t>
      </w:r>
      <w:r w:rsidRPr="00D65A97">
        <w:rPr>
          <w:rFonts w:asciiTheme="majorHAnsi" w:hAnsiTheme="majorHAnsi"/>
          <w:sz w:val="20"/>
          <w:szCs w:val="20"/>
        </w:rPr>
        <w:t>11</w:t>
      </w:r>
      <w:r w:rsidR="00BA4E2E">
        <w:rPr>
          <w:rFonts w:asciiTheme="majorHAnsi" w:hAnsiTheme="majorHAnsi"/>
          <w:sz w:val="20"/>
          <w:szCs w:val="20"/>
        </w:rPr>
        <w:t>,</w:t>
      </w:r>
      <w:r w:rsidR="003B0460">
        <w:rPr>
          <w:rFonts w:asciiTheme="majorHAnsi" w:hAnsiTheme="majorHAnsi"/>
          <w:sz w:val="20"/>
          <w:szCs w:val="20"/>
        </w:rPr>
        <w:t xml:space="preserve"> 1978 i</w:t>
      </w:r>
      <w:r w:rsidRPr="00D65A97">
        <w:rPr>
          <w:rFonts w:asciiTheme="majorHAnsi" w:hAnsiTheme="majorHAnsi"/>
          <w:sz w:val="20"/>
          <w:szCs w:val="20"/>
        </w:rPr>
        <w:t xml:space="preserve">n Asunción, Paraguay. </w:t>
      </w:r>
      <w:r w:rsidR="00131424">
        <w:rPr>
          <w:rFonts w:asciiTheme="majorHAnsi" w:hAnsiTheme="majorHAnsi"/>
          <w:sz w:val="20"/>
          <w:szCs w:val="20"/>
        </w:rPr>
        <w:t xml:space="preserve">He was in his fourth year of secondary school and was 15 years old when he enrolled in the military service at CIMEFOR. The Commission does not have information about the specific circumstances </w:t>
      </w:r>
      <w:r w:rsidR="00CF3B56">
        <w:rPr>
          <w:rFonts w:asciiTheme="majorHAnsi" w:hAnsiTheme="majorHAnsi"/>
          <w:sz w:val="20"/>
          <w:szCs w:val="20"/>
        </w:rPr>
        <w:t>surrounding said enro</w:t>
      </w:r>
      <w:r w:rsidR="00B1024B">
        <w:rPr>
          <w:rFonts w:asciiTheme="majorHAnsi" w:hAnsiTheme="majorHAnsi"/>
          <w:sz w:val="20"/>
          <w:szCs w:val="20"/>
        </w:rPr>
        <w:t>llment</w:t>
      </w:r>
      <w:r w:rsidRPr="00D65A97">
        <w:rPr>
          <w:rFonts w:asciiTheme="majorHAnsi" w:hAnsiTheme="majorHAnsi"/>
          <w:sz w:val="20"/>
          <w:szCs w:val="20"/>
        </w:rPr>
        <w:t xml:space="preserve">. </w:t>
      </w:r>
      <w:r w:rsidR="00B1024B">
        <w:rPr>
          <w:rFonts w:asciiTheme="majorHAnsi" w:hAnsiTheme="majorHAnsi"/>
          <w:sz w:val="20"/>
          <w:szCs w:val="20"/>
        </w:rPr>
        <w:lastRenderedPageBreak/>
        <w:t xml:space="preserve">However, based on statements of the petitioner, the IACHR understands that he was authorized by his mother to do so. </w:t>
      </w:r>
    </w:p>
    <w:p w14:paraId="06920823" w14:textId="77777777" w:rsidR="00300D46" w:rsidRPr="00D65A97" w:rsidRDefault="00300D46" w:rsidP="00300D46">
      <w:pPr>
        <w:ind w:left="360" w:firstLine="720"/>
        <w:jc w:val="both"/>
        <w:rPr>
          <w:rFonts w:asciiTheme="majorHAnsi" w:hAnsiTheme="majorHAnsi"/>
          <w:sz w:val="20"/>
          <w:szCs w:val="20"/>
        </w:rPr>
      </w:pPr>
    </w:p>
    <w:p w14:paraId="2B4EE462" w14:textId="2F341C45" w:rsidR="00300D46" w:rsidRPr="00D65A97" w:rsidRDefault="008436F0"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His mother, </w:t>
      </w:r>
      <w:r w:rsidR="00300D46" w:rsidRPr="00D65A97">
        <w:rPr>
          <w:rFonts w:asciiTheme="majorHAnsi" w:hAnsiTheme="majorHAnsi"/>
          <w:sz w:val="20"/>
          <w:szCs w:val="20"/>
        </w:rPr>
        <w:t xml:space="preserve">María Ramona Isabel Noguera Domínguez, </w:t>
      </w:r>
      <w:r>
        <w:rPr>
          <w:rFonts w:asciiTheme="majorHAnsi" w:hAnsiTheme="majorHAnsi"/>
          <w:sz w:val="20"/>
          <w:szCs w:val="20"/>
        </w:rPr>
        <w:t xml:space="preserve">is the petitioner before the Commission, the private complainant in the criminal case </w:t>
      </w:r>
      <w:r w:rsidR="00B30A2D">
        <w:rPr>
          <w:rFonts w:asciiTheme="majorHAnsi" w:hAnsiTheme="majorHAnsi"/>
          <w:sz w:val="20"/>
          <w:szCs w:val="20"/>
        </w:rPr>
        <w:t>in the ordinary criminal jurisdiction and is</w:t>
      </w:r>
      <w:r w:rsidR="001E5F86">
        <w:rPr>
          <w:rFonts w:asciiTheme="majorHAnsi" w:hAnsiTheme="majorHAnsi"/>
          <w:sz w:val="20"/>
          <w:szCs w:val="20"/>
        </w:rPr>
        <w:t xml:space="preserve"> the </w:t>
      </w:r>
      <w:r w:rsidR="007245BD">
        <w:rPr>
          <w:rFonts w:asciiTheme="majorHAnsi" w:hAnsiTheme="majorHAnsi"/>
          <w:sz w:val="20"/>
          <w:szCs w:val="20"/>
        </w:rPr>
        <w:t>activist and leader</w:t>
      </w:r>
      <w:r w:rsidR="001E5F86">
        <w:rPr>
          <w:rFonts w:asciiTheme="majorHAnsi" w:hAnsiTheme="majorHAnsi"/>
          <w:sz w:val="20"/>
          <w:szCs w:val="20"/>
        </w:rPr>
        <w:t xml:space="preserve"> of</w:t>
      </w:r>
      <w:r w:rsidR="00B30A2D">
        <w:rPr>
          <w:rFonts w:asciiTheme="majorHAnsi" w:hAnsiTheme="majorHAnsi"/>
          <w:sz w:val="20"/>
          <w:szCs w:val="20"/>
        </w:rPr>
        <w:t xml:space="preserve"> AFAVISEM. </w:t>
      </w:r>
      <w:r w:rsidR="002923CA">
        <w:rPr>
          <w:rFonts w:asciiTheme="majorHAnsi" w:hAnsiTheme="majorHAnsi"/>
          <w:sz w:val="20"/>
          <w:szCs w:val="20"/>
        </w:rPr>
        <w:t xml:space="preserve"> At the time of the death of </w:t>
      </w:r>
      <w:r w:rsidR="005E5FD3">
        <w:rPr>
          <w:rFonts w:asciiTheme="majorHAnsi" w:hAnsiTheme="majorHAnsi"/>
          <w:sz w:val="20"/>
          <w:szCs w:val="20"/>
        </w:rPr>
        <w:t xml:space="preserve">her son </w:t>
      </w:r>
      <w:r w:rsidR="00300D46" w:rsidRPr="00D65A97">
        <w:rPr>
          <w:rFonts w:asciiTheme="majorHAnsi" w:hAnsiTheme="majorHAnsi"/>
          <w:sz w:val="20"/>
          <w:szCs w:val="20"/>
        </w:rPr>
        <w:t>Vicente Ariel</w:t>
      </w:r>
      <w:r w:rsidR="009573DF">
        <w:rPr>
          <w:rFonts w:asciiTheme="majorHAnsi" w:hAnsiTheme="majorHAnsi"/>
          <w:sz w:val="20"/>
          <w:szCs w:val="20"/>
        </w:rPr>
        <w:t>,</w:t>
      </w:r>
      <w:r w:rsidR="00300D46" w:rsidRPr="00D65A97">
        <w:rPr>
          <w:rFonts w:asciiTheme="majorHAnsi" w:hAnsiTheme="majorHAnsi"/>
          <w:sz w:val="20"/>
          <w:szCs w:val="20"/>
        </w:rPr>
        <w:t xml:space="preserve"> </w:t>
      </w:r>
      <w:r w:rsidR="002923CA">
        <w:rPr>
          <w:rFonts w:asciiTheme="majorHAnsi" w:hAnsiTheme="majorHAnsi"/>
          <w:sz w:val="20"/>
          <w:szCs w:val="20"/>
        </w:rPr>
        <w:t xml:space="preserve">she was working as a dressmaker and was 37 years old. The Commission also identifies in the case proceedings other family members, including but not limited to the grandfather of the alleged victim. </w:t>
      </w:r>
    </w:p>
    <w:p w14:paraId="0C9C49E3" w14:textId="77777777" w:rsidR="00300D46" w:rsidRPr="00D65A97" w:rsidRDefault="00300D46" w:rsidP="00300D46">
      <w:pPr>
        <w:ind w:left="360"/>
        <w:jc w:val="both"/>
        <w:rPr>
          <w:rFonts w:asciiTheme="majorHAnsi" w:hAnsiTheme="majorHAnsi"/>
          <w:sz w:val="20"/>
          <w:szCs w:val="20"/>
        </w:rPr>
      </w:pPr>
    </w:p>
    <w:p w14:paraId="62CB4B7A" w14:textId="363E136F" w:rsidR="00300D46" w:rsidRPr="00D65A97" w:rsidRDefault="00C259C4" w:rsidP="00A17B98">
      <w:pPr>
        <w:pStyle w:val="Heading2"/>
        <w:ind w:hanging="720"/>
      </w:pPr>
      <w:bookmarkStart w:id="12" w:name="_Toc506095173"/>
      <w:r>
        <w:t xml:space="preserve">Enlistment in </w:t>
      </w:r>
      <w:r w:rsidR="00300D46" w:rsidRPr="00D65A97">
        <w:t xml:space="preserve">CIMEFOR </w:t>
      </w:r>
      <w:r>
        <w:t xml:space="preserve">and the death of </w:t>
      </w:r>
      <w:r w:rsidR="00300D46" w:rsidRPr="00D65A97">
        <w:t xml:space="preserve">Vicente Ariel Noguera </w:t>
      </w:r>
      <w:r w:rsidR="00066745">
        <w:t xml:space="preserve">on January </w:t>
      </w:r>
      <w:r w:rsidR="00300D46" w:rsidRPr="00D65A97">
        <w:t>11</w:t>
      </w:r>
      <w:r w:rsidR="00066745">
        <w:t>,</w:t>
      </w:r>
      <w:r w:rsidR="00300D46" w:rsidRPr="00D65A97">
        <w:t xml:space="preserve"> 1996</w:t>
      </w:r>
      <w:bookmarkEnd w:id="12"/>
    </w:p>
    <w:p w14:paraId="2C1B6223" w14:textId="77777777" w:rsidR="00300D46" w:rsidRPr="00D65A97" w:rsidRDefault="00300D46" w:rsidP="00300D46">
      <w:pPr>
        <w:ind w:left="360"/>
        <w:jc w:val="both"/>
        <w:rPr>
          <w:rFonts w:asciiTheme="majorHAnsi" w:hAnsiTheme="majorHAnsi"/>
          <w:b/>
          <w:sz w:val="20"/>
          <w:szCs w:val="20"/>
        </w:rPr>
      </w:pPr>
    </w:p>
    <w:p w14:paraId="319091E3" w14:textId="6B3AD6B3" w:rsidR="00300D46" w:rsidRPr="00D65A97" w:rsidRDefault="00300D4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sidRPr="00D65A97">
        <w:rPr>
          <w:rFonts w:asciiTheme="majorHAnsi" w:hAnsiTheme="majorHAnsi"/>
          <w:sz w:val="20"/>
          <w:szCs w:val="20"/>
        </w:rPr>
        <w:t xml:space="preserve">Vicente Ariel Noguera </w:t>
      </w:r>
      <w:r w:rsidR="00365E43">
        <w:rPr>
          <w:rFonts w:asciiTheme="majorHAnsi" w:hAnsiTheme="majorHAnsi"/>
          <w:sz w:val="20"/>
          <w:szCs w:val="20"/>
        </w:rPr>
        <w:t xml:space="preserve">was </w:t>
      </w:r>
      <w:r w:rsidR="00CB0EEB">
        <w:rPr>
          <w:rFonts w:asciiTheme="majorHAnsi" w:hAnsiTheme="majorHAnsi"/>
          <w:sz w:val="20"/>
          <w:szCs w:val="20"/>
        </w:rPr>
        <w:t xml:space="preserve">accepted into </w:t>
      </w:r>
      <w:r w:rsidRPr="00D65A97">
        <w:rPr>
          <w:rFonts w:asciiTheme="majorHAnsi" w:hAnsiTheme="majorHAnsi"/>
          <w:sz w:val="20"/>
          <w:szCs w:val="20"/>
        </w:rPr>
        <w:t xml:space="preserve">CIMEFOR </w:t>
      </w:r>
      <w:r w:rsidR="00365E43">
        <w:rPr>
          <w:rFonts w:asciiTheme="majorHAnsi" w:hAnsiTheme="majorHAnsi"/>
          <w:sz w:val="20"/>
          <w:szCs w:val="20"/>
        </w:rPr>
        <w:t xml:space="preserve">on December </w:t>
      </w:r>
      <w:r w:rsidRPr="00D65A97">
        <w:rPr>
          <w:rFonts w:asciiTheme="majorHAnsi" w:hAnsiTheme="majorHAnsi"/>
          <w:sz w:val="20"/>
          <w:szCs w:val="20"/>
        </w:rPr>
        <w:t>1</w:t>
      </w:r>
      <w:r w:rsidR="00365E43">
        <w:rPr>
          <w:rFonts w:asciiTheme="majorHAnsi" w:hAnsiTheme="majorHAnsi"/>
          <w:sz w:val="20"/>
          <w:szCs w:val="20"/>
        </w:rPr>
        <w:t>,</w:t>
      </w:r>
      <w:r w:rsidRPr="00D65A97">
        <w:rPr>
          <w:rFonts w:asciiTheme="majorHAnsi" w:hAnsiTheme="majorHAnsi"/>
          <w:sz w:val="20"/>
          <w:szCs w:val="20"/>
        </w:rPr>
        <w:t xml:space="preserve"> 1994</w:t>
      </w:r>
      <w:r w:rsidR="00D43E3A">
        <w:rPr>
          <w:rFonts w:asciiTheme="majorHAnsi" w:hAnsiTheme="majorHAnsi"/>
          <w:sz w:val="20"/>
          <w:szCs w:val="20"/>
        </w:rPr>
        <w:t>, after being found eligible by the Office of Recruitment and Mobilization Service.</w:t>
      </w:r>
      <w:r w:rsidRPr="00D65A97">
        <w:rPr>
          <w:rStyle w:val="FootnoteReference"/>
          <w:rFonts w:asciiTheme="majorHAnsi" w:hAnsiTheme="majorHAnsi"/>
          <w:sz w:val="20"/>
          <w:szCs w:val="20"/>
        </w:rPr>
        <w:footnoteReference w:id="14"/>
      </w:r>
      <w:r w:rsidRPr="00D65A97">
        <w:rPr>
          <w:rFonts w:asciiTheme="majorHAnsi" w:hAnsiTheme="majorHAnsi"/>
          <w:sz w:val="20"/>
          <w:szCs w:val="20"/>
        </w:rPr>
        <w:t xml:space="preserve"> </w:t>
      </w:r>
      <w:r w:rsidR="00D326B0">
        <w:rPr>
          <w:rFonts w:asciiTheme="majorHAnsi" w:hAnsiTheme="majorHAnsi"/>
          <w:sz w:val="20"/>
          <w:szCs w:val="20"/>
        </w:rPr>
        <w:t xml:space="preserve">The alleged victim was a </w:t>
      </w:r>
      <w:r w:rsidR="008A07A0">
        <w:rPr>
          <w:rFonts w:asciiTheme="majorHAnsi" w:hAnsiTheme="majorHAnsi"/>
          <w:sz w:val="20"/>
          <w:szCs w:val="20"/>
        </w:rPr>
        <w:t xml:space="preserve">second year </w:t>
      </w:r>
      <w:r w:rsidR="00D326B0">
        <w:rPr>
          <w:rFonts w:asciiTheme="majorHAnsi" w:hAnsiTheme="majorHAnsi"/>
          <w:sz w:val="20"/>
          <w:szCs w:val="20"/>
        </w:rPr>
        <w:t>student of compulsory military service and was transferred on January 2</w:t>
      </w:r>
      <w:r w:rsidR="00583797">
        <w:rPr>
          <w:rFonts w:asciiTheme="majorHAnsi" w:hAnsiTheme="majorHAnsi"/>
          <w:sz w:val="20"/>
          <w:szCs w:val="20"/>
        </w:rPr>
        <w:t xml:space="preserve">, 1996 to the Third Company of CIMEFOR </w:t>
      </w:r>
      <w:r w:rsidR="00830D42">
        <w:rPr>
          <w:rFonts w:asciiTheme="majorHAnsi" w:hAnsiTheme="majorHAnsi"/>
          <w:sz w:val="20"/>
          <w:szCs w:val="20"/>
        </w:rPr>
        <w:t>Division</w:t>
      </w:r>
      <w:r w:rsidR="002C331D">
        <w:rPr>
          <w:rFonts w:asciiTheme="majorHAnsi" w:hAnsiTheme="majorHAnsi"/>
          <w:sz w:val="20"/>
          <w:szCs w:val="20"/>
        </w:rPr>
        <w:t xml:space="preserve"> in </w:t>
      </w:r>
      <w:r w:rsidRPr="00D65A97">
        <w:rPr>
          <w:rFonts w:asciiTheme="majorHAnsi" w:hAnsiTheme="majorHAnsi"/>
          <w:sz w:val="20"/>
          <w:szCs w:val="20"/>
        </w:rPr>
        <w:t>Ma</w:t>
      </w:r>
      <w:r w:rsidR="005E48BD">
        <w:rPr>
          <w:rFonts w:asciiTheme="majorHAnsi" w:hAnsiTheme="majorHAnsi"/>
          <w:sz w:val="20"/>
          <w:szCs w:val="20"/>
        </w:rPr>
        <w:t xml:space="preserve">riscal Estigarribia, in the Paraguayan </w:t>
      </w:r>
      <w:r w:rsidRPr="00D65A97">
        <w:rPr>
          <w:rFonts w:asciiTheme="majorHAnsi" w:hAnsiTheme="majorHAnsi"/>
          <w:sz w:val="20"/>
          <w:szCs w:val="20"/>
        </w:rPr>
        <w:t>Chaco</w:t>
      </w:r>
      <w:r w:rsidR="005E48BD">
        <w:rPr>
          <w:rFonts w:asciiTheme="majorHAnsi" w:hAnsiTheme="majorHAnsi"/>
          <w:sz w:val="20"/>
          <w:szCs w:val="20"/>
        </w:rPr>
        <w:t>.</w:t>
      </w:r>
      <w:r w:rsidRPr="00D65A97">
        <w:rPr>
          <w:rStyle w:val="FootnoteReference"/>
          <w:rFonts w:asciiTheme="majorHAnsi" w:hAnsiTheme="majorHAnsi"/>
          <w:sz w:val="20"/>
          <w:szCs w:val="20"/>
        </w:rPr>
        <w:footnoteReference w:id="15"/>
      </w:r>
      <w:r w:rsidRPr="00D65A97">
        <w:rPr>
          <w:rFonts w:asciiTheme="majorHAnsi" w:hAnsiTheme="majorHAnsi"/>
          <w:sz w:val="20"/>
          <w:szCs w:val="20"/>
        </w:rPr>
        <w:t xml:space="preserve"> </w:t>
      </w:r>
      <w:r w:rsidR="00B944EA">
        <w:rPr>
          <w:rFonts w:asciiTheme="majorHAnsi" w:hAnsiTheme="majorHAnsi"/>
          <w:sz w:val="20"/>
          <w:szCs w:val="20"/>
        </w:rPr>
        <w:t xml:space="preserve"> According to the reports of his superiors, the minor Noguera stood out because of “his </w:t>
      </w:r>
      <w:r w:rsidR="0069211F">
        <w:rPr>
          <w:rFonts w:asciiTheme="majorHAnsi" w:hAnsiTheme="majorHAnsi"/>
          <w:sz w:val="20"/>
          <w:szCs w:val="20"/>
        </w:rPr>
        <w:t xml:space="preserve">outstanding </w:t>
      </w:r>
      <w:r w:rsidR="00AD0C2F">
        <w:rPr>
          <w:rFonts w:asciiTheme="majorHAnsi" w:hAnsiTheme="majorHAnsi"/>
          <w:i/>
          <w:sz w:val="20"/>
          <w:szCs w:val="20"/>
        </w:rPr>
        <w:t>e</w:t>
      </w:r>
      <w:r w:rsidR="00BF377E" w:rsidRPr="00AD0C2F">
        <w:rPr>
          <w:rFonts w:asciiTheme="majorHAnsi" w:hAnsiTheme="majorHAnsi"/>
          <w:i/>
          <w:sz w:val="20"/>
          <w:szCs w:val="20"/>
        </w:rPr>
        <w:t>sprit de corps</w:t>
      </w:r>
      <w:r w:rsidR="00BF377E">
        <w:rPr>
          <w:rFonts w:asciiTheme="majorHAnsi" w:hAnsiTheme="majorHAnsi"/>
          <w:sz w:val="20"/>
          <w:szCs w:val="20"/>
        </w:rPr>
        <w:t xml:space="preserve">” and “during his stay he has not shown any symptom of affectation or low performance to be </w:t>
      </w:r>
      <w:r w:rsidR="00825805">
        <w:rPr>
          <w:rFonts w:asciiTheme="majorHAnsi" w:hAnsiTheme="majorHAnsi"/>
          <w:sz w:val="20"/>
          <w:szCs w:val="20"/>
        </w:rPr>
        <w:t xml:space="preserve">confined </w:t>
      </w:r>
      <w:r w:rsidR="00BF377E">
        <w:rPr>
          <w:rFonts w:asciiTheme="majorHAnsi" w:hAnsiTheme="majorHAnsi"/>
          <w:sz w:val="20"/>
          <w:szCs w:val="20"/>
        </w:rPr>
        <w:t>or medicated.</w:t>
      </w:r>
      <w:r w:rsidRPr="00D65A97">
        <w:rPr>
          <w:rFonts w:asciiTheme="majorHAnsi" w:hAnsiTheme="majorHAnsi"/>
          <w:sz w:val="20"/>
          <w:szCs w:val="20"/>
        </w:rPr>
        <w:t>”</w:t>
      </w:r>
      <w:r w:rsidRPr="00D65A97">
        <w:rPr>
          <w:rStyle w:val="FootnoteReference"/>
          <w:rFonts w:asciiTheme="majorHAnsi" w:hAnsiTheme="majorHAnsi"/>
          <w:sz w:val="20"/>
          <w:szCs w:val="20"/>
        </w:rPr>
        <w:footnoteReference w:id="16"/>
      </w:r>
      <w:r w:rsidRPr="00D65A97">
        <w:rPr>
          <w:rFonts w:asciiTheme="majorHAnsi" w:hAnsiTheme="majorHAnsi"/>
          <w:sz w:val="20"/>
          <w:szCs w:val="20"/>
        </w:rPr>
        <w:t xml:space="preserve"> </w:t>
      </w:r>
      <w:r w:rsidR="00E67773">
        <w:rPr>
          <w:rFonts w:asciiTheme="majorHAnsi" w:hAnsiTheme="majorHAnsi"/>
          <w:sz w:val="20"/>
          <w:szCs w:val="20"/>
        </w:rPr>
        <w:t xml:space="preserve">Likewise, it was said about him that he was “a [member of] the </w:t>
      </w:r>
      <w:r w:rsidR="00BC2408">
        <w:rPr>
          <w:rFonts w:asciiTheme="majorHAnsi" w:hAnsiTheme="majorHAnsi"/>
          <w:sz w:val="20"/>
          <w:szCs w:val="20"/>
        </w:rPr>
        <w:t xml:space="preserve">personnel </w:t>
      </w:r>
      <w:r w:rsidR="00E67773">
        <w:rPr>
          <w:rFonts w:asciiTheme="majorHAnsi" w:hAnsiTheme="majorHAnsi"/>
          <w:sz w:val="20"/>
          <w:szCs w:val="20"/>
        </w:rPr>
        <w:t>who always was c</w:t>
      </w:r>
      <w:r w:rsidR="00734FFB">
        <w:rPr>
          <w:rFonts w:asciiTheme="majorHAnsi" w:hAnsiTheme="majorHAnsi"/>
          <w:sz w:val="20"/>
          <w:szCs w:val="20"/>
        </w:rPr>
        <w:t>haracterized by his dedication to</w:t>
      </w:r>
      <w:r w:rsidR="00692DB5">
        <w:rPr>
          <w:rFonts w:asciiTheme="majorHAnsi" w:hAnsiTheme="majorHAnsi"/>
          <w:sz w:val="20"/>
          <w:szCs w:val="20"/>
        </w:rPr>
        <w:t xml:space="preserve"> learning the instruction pro</w:t>
      </w:r>
      <w:r w:rsidR="00C55B69">
        <w:rPr>
          <w:rFonts w:asciiTheme="majorHAnsi" w:hAnsiTheme="majorHAnsi"/>
          <w:sz w:val="20"/>
          <w:szCs w:val="20"/>
        </w:rPr>
        <w:t>v</w:t>
      </w:r>
      <w:r w:rsidR="00692DB5">
        <w:rPr>
          <w:rFonts w:asciiTheme="majorHAnsi" w:hAnsiTheme="majorHAnsi"/>
          <w:sz w:val="20"/>
          <w:szCs w:val="20"/>
        </w:rPr>
        <w:t>ided</w:t>
      </w:r>
      <w:r w:rsidR="00E67773">
        <w:rPr>
          <w:rFonts w:asciiTheme="majorHAnsi" w:hAnsiTheme="majorHAnsi"/>
          <w:sz w:val="20"/>
          <w:szCs w:val="20"/>
        </w:rPr>
        <w:t>.</w:t>
      </w:r>
      <w:r w:rsidRPr="00D65A97">
        <w:rPr>
          <w:rFonts w:asciiTheme="majorHAnsi" w:hAnsiTheme="majorHAnsi"/>
          <w:sz w:val="20"/>
          <w:szCs w:val="20"/>
        </w:rPr>
        <w:t>”</w:t>
      </w:r>
      <w:r w:rsidRPr="00D65A97">
        <w:rPr>
          <w:rStyle w:val="FootnoteReference"/>
          <w:rFonts w:asciiTheme="majorHAnsi" w:hAnsiTheme="majorHAnsi"/>
          <w:sz w:val="20"/>
          <w:szCs w:val="20"/>
        </w:rPr>
        <w:footnoteReference w:id="17"/>
      </w:r>
      <w:r w:rsidR="001C3D04">
        <w:rPr>
          <w:rFonts w:asciiTheme="majorHAnsi" w:hAnsiTheme="majorHAnsi"/>
          <w:sz w:val="20"/>
          <w:szCs w:val="20"/>
        </w:rPr>
        <w:t xml:space="preserve"> </w:t>
      </w:r>
      <w:r w:rsidRPr="00D65A97">
        <w:rPr>
          <w:rFonts w:asciiTheme="majorHAnsi" w:hAnsiTheme="majorHAnsi"/>
          <w:sz w:val="20"/>
          <w:szCs w:val="20"/>
        </w:rPr>
        <w:t xml:space="preserve"> </w:t>
      </w:r>
    </w:p>
    <w:p w14:paraId="12397BA6" w14:textId="77777777" w:rsidR="00300D46" w:rsidRPr="00D65A97" w:rsidRDefault="00300D46" w:rsidP="00300D46">
      <w:pPr>
        <w:ind w:left="360" w:firstLine="720"/>
        <w:jc w:val="both"/>
        <w:rPr>
          <w:rFonts w:asciiTheme="majorHAnsi" w:hAnsiTheme="majorHAnsi"/>
          <w:b/>
          <w:sz w:val="20"/>
          <w:szCs w:val="20"/>
        </w:rPr>
      </w:pPr>
    </w:p>
    <w:p w14:paraId="42493C09" w14:textId="1766AA33" w:rsidR="00300D46" w:rsidRPr="00D65A97" w:rsidRDefault="00BA3524"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According to the report of Lieutenant </w:t>
      </w:r>
      <w:r w:rsidR="00300D46" w:rsidRPr="00D65A97">
        <w:rPr>
          <w:rFonts w:asciiTheme="majorHAnsi" w:hAnsiTheme="majorHAnsi"/>
          <w:sz w:val="20"/>
          <w:szCs w:val="20"/>
        </w:rPr>
        <w:t xml:space="preserve">Germán Alcaraz, </w:t>
      </w:r>
      <w:r>
        <w:rPr>
          <w:rFonts w:asciiTheme="majorHAnsi" w:hAnsiTheme="majorHAnsi"/>
          <w:sz w:val="20"/>
          <w:szCs w:val="20"/>
        </w:rPr>
        <w:t>promoted to Commander of the 3</w:t>
      </w:r>
      <w:r w:rsidRPr="00BA3524">
        <w:rPr>
          <w:rFonts w:asciiTheme="majorHAnsi" w:hAnsiTheme="majorHAnsi"/>
          <w:sz w:val="20"/>
          <w:szCs w:val="20"/>
          <w:vertAlign w:val="superscript"/>
        </w:rPr>
        <w:t>rd</w:t>
      </w:r>
      <w:r>
        <w:rPr>
          <w:rFonts w:asciiTheme="majorHAnsi" w:hAnsiTheme="majorHAnsi"/>
          <w:sz w:val="20"/>
          <w:szCs w:val="20"/>
        </w:rPr>
        <w:t xml:space="preserve"> Company of the CIMEFOR Division, the alleged victim was present at the</w:t>
      </w:r>
      <w:r w:rsidR="00422F1D">
        <w:rPr>
          <w:rFonts w:asciiTheme="majorHAnsi" w:hAnsiTheme="majorHAnsi"/>
          <w:sz w:val="20"/>
          <w:szCs w:val="20"/>
        </w:rPr>
        <w:t xml:space="preserve"> typical</w:t>
      </w:r>
      <w:r>
        <w:rPr>
          <w:rFonts w:asciiTheme="majorHAnsi" w:hAnsiTheme="majorHAnsi"/>
          <w:sz w:val="20"/>
          <w:szCs w:val="20"/>
        </w:rPr>
        <w:t xml:space="preserve"> activities</w:t>
      </w:r>
      <w:r w:rsidR="00422F1D">
        <w:rPr>
          <w:rFonts w:asciiTheme="majorHAnsi" w:hAnsiTheme="majorHAnsi"/>
          <w:sz w:val="20"/>
          <w:szCs w:val="20"/>
        </w:rPr>
        <w:t xml:space="preserve"> of his pre-military training on January 10, 1006. After his last activity “the Company [Cía.]</w:t>
      </w:r>
      <w:r>
        <w:rPr>
          <w:rFonts w:asciiTheme="majorHAnsi" w:hAnsiTheme="majorHAnsi"/>
          <w:sz w:val="20"/>
          <w:szCs w:val="20"/>
        </w:rPr>
        <w:t xml:space="preserve"> </w:t>
      </w:r>
      <w:r w:rsidR="00422F1D">
        <w:rPr>
          <w:rFonts w:asciiTheme="majorHAnsi" w:hAnsiTheme="majorHAnsi"/>
          <w:sz w:val="20"/>
          <w:szCs w:val="20"/>
        </w:rPr>
        <w:t>bathed a</w:t>
      </w:r>
      <w:r w:rsidR="00B70E95">
        <w:rPr>
          <w:rFonts w:asciiTheme="majorHAnsi" w:hAnsiTheme="majorHAnsi"/>
          <w:sz w:val="20"/>
          <w:szCs w:val="20"/>
        </w:rPr>
        <w:t>nd after that, dinner, at 20:30</w:t>
      </w:r>
      <w:r w:rsidR="00422F1D">
        <w:rPr>
          <w:rFonts w:asciiTheme="majorHAnsi" w:hAnsiTheme="majorHAnsi"/>
          <w:sz w:val="20"/>
          <w:szCs w:val="20"/>
        </w:rPr>
        <w:t xml:space="preserve"> hours </w:t>
      </w:r>
      <w:r w:rsidR="0089532B">
        <w:rPr>
          <w:rFonts w:asciiTheme="majorHAnsi" w:hAnsiTheme="majorHAnsi"/>
          <w:sz w:val="20"/>
          <w:szCs w:val="20"/>
        </w:rPr>
        <w:t>call to barracks</w:t>
      </w:r>
      <w:r w:rsidR="00422F1D">
        <w:rPr>
          <w:rFonts w:asciiTheme="majorHAnsi" w:hAnsiTheme="majorHAnsi"/>
          <w:sz w:val="20"/>
          <w:szCs w:val="20"/>
        </w:rPr>
        <w:t>,</w:t>
      </w:r>
      <w:r w:rsidR="0089532B">
        <w:rPr>
          <w:rFonts w:asciiTheme="majorHAnsi" w:hAnsiTheme="majorHAnsi"/>
          <w:sz w:val="20"/>
          <w:szCs w:val="20"/>
        </w:rPr>
        <w:t xml:space="preserve"> then in bunks the list of night guards was read then the Company went to bed without any</w:t>
      </w:r>
      <w:r w:rsidR="00C55B69">
        <w:rPr>
          <w:rFonts w:asciiTheme="majorHAnsi" w:hAnsiTheme="majorHAnsi"/>
          <w:sz w:val="20"/>
          <w:szCs w:val="20"/>
        </w:rPr>
        <w:t xml:space="preserve"> incident.</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18"/>
      </w:r>
      <w:r w:rsidR="00300D46" w:rsidRPr="00D65A97">
        <w:rPr>
          <w:rFonts w:asciiTheme="majorHAnsi" w:hAnsiTheme="majorHAnsi"/>
          <w:sz w:val="20"/>
          <w:szCs w:val="20"/>
        </w:rPr>
        <w:t xml:space="preserve"> </w:t>
      </w:r>
    </w:p>
    <w:p w14:paraId="0E910FF9" w14:textId="77777777" w:rsidR="00300D46" w:rsidRPr="00D65A97" w:rsidRDefault="00300D46" w:rsidP="00300D46">
      <w:pPr>
        <w:ind w:firstLine="720"/>
        <w:rPr>
          <w:rFonts w:asciiTheme="majorHAnsi" w:hAnsiTheme="majorHAnsi"/>
          <w:sz w:val="20"/>
          <w:szCs w:val="20"/>
        </w:rPr>
      </w:pPr>
    </w:p>
    <w:p w14:paraId="6E1E69BE" w14:textId="35290672" w:rsidR="00300D46" w:rsidRPr="00D65A97" w:rsidRDefault="00E97DF7"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According to the same report, the duty of night guardsmen (</w:t>
      </w:r>
      <w:r>
        <w:rPr>
          <w:rFonts w:asciiTheme="majorHAnsi" w:hAnsiTheme="majorHAnsi"/>
          <w:i/>
          <w:sz w:val="20"/>
          <w:szCs w:val="20"/>
        </w:rPr>
        <w:t>imaginaria</w:t>
      </w:r>
      <w:r w:rsidRPr="00E97DF7">
        <w:rPr>
          <w:rFonts w:asciiTheme="majorHAnsi" w:hAnsiTheme="majorHAnsi"/>
          <w:i/>
          <w:sz w:val="20"/>
          <w:szCs w:val="20"/>
        </w:rPr>
        <w:t>s</w:t>
      </w:r>
      <w:r>
        <w:rPr>
          <w:rFonts w:asciiTheme="majorHAnsi" w:hAnsiTheme="majorHAnsi"/>
          <w:sz w:val="20"/>
          <w:szCs w:val="20"/>
        </w:rPr>
        <w:t xml:space="preserve">) was assigned to </w:t>
      </w:r>
      <w:r w:rsidR="00B70E95">
        <w:rPr>
          <w:rFonts w:asciiTheme="majorHAnsi" w:hAnsiTheme="majorHAnsi"/>
          <w:sz w:val="20"/>
          <w:szCs w:val="20"/>
        </w:rPr>
        <w:t xml:space="preserve">cadets </w:t>
      </w:r>
      <w:r w:rsidR="00C10EDD">
        <w:rPr>
          <w:rFonts w:asciiTheme="majorHAnsi" w:hAnsiTheme="majorHAnsi"/>
          <w:sz w:val="20"/>
          <w:szCs w:val="20"/>
        </w:rPr>
        <w:t>Jorge Pereira and</w:t>
      </w:r>
      <w:r w:rsidR="00300D46" w:rsidRPr="00D65A97">
        <w:rPr>
          <w:rFonts w:asciiTheme="majorHAnsi" w:hAnsiTheme="majorHAnsi"/>
          <w:sz w:val="20"/>
          <w:szCs w:val="20"/>
        </w:rPr>
        <w:t xml:space="preserve"> Néstor Ojeda. </w:t>
      </w:r>
      <w:r w:rsidR="00C10EDD">
        <w:rPr>
          <w:rFonts w:asciiTheme="majorHAnsi" w:hAnsiTheme="majorHAnsi"/>
          <w:sz w:val="20"/>
          <w:szCs w:val="20"/>
        </w:rPr>
        <w:t xml:space="preserve">Additionally, it is noted that at </w:t>
      </w:r>
      <w:r w:rsidR="00300D46" w:rsidRPr="00D65A97">
        <w:rPr>
          <w:rFonts w:asciiTheme="majorHAnsi" w:hAnsiTheme="majorHAnsi"/>
          <w:sz w:val="20"/>
          <w:szCs w:val="20"/>
        </w:rPr>
        <w:t xml:space="preserve">1:30 a.m. </w:t>
      </w:r>
      <w:r w:rsidR="00D52574">
        <w:rPr>
          <w:rFonts w:asciiTheme="majorHAnsi" w:hAnsiTheme="majorHAnsi"/>
          <w:sz w:val="20"/>
          <w:szCs w:val="20"/>
        </w:rPr>
        <w:t xml:space="preserve">of Thursday January 11, 1996, </w:t>
      </w:r>
      <w:r w:rsidR="00426E75">
        <w:rPr>
          <w:rFonts w:asciiTheme="majorHAnsi" w:hAnsiTheme="majorHAnsi"/>
          <w:sz w:val="20"/>
          <w:szCs w:val="20"/>
        </w:rPr>
        <w:t xml:space="preserve">said </w:t>
      </w:r>
      <w:r w:rsidR="00287FE9">
        <w:rPr>
          <w:rFonts w:asciiTheme="majorHAnsi" w:hAnsiTheme="majorHAnsi"/>
          <w:sz w:val="20"/>
          <w:szCs w:val="20"/>
        </w:rPr>
        <w:t xml:space="preserve">cadets </w:t>
      </w:r>
      <w:r w:rsidR="00426E75">
        <w:rPr>
          <w:rFonts w:asciiTheme="majorHAnsi" w:hAnsiTheme="majorHAnsi"/>
          <w:sz w:val="20"/>
          <w:szCs w:val="20"/>
        </w:rPr>
        <w:t>heard a scream in</w:t>
      </w:r>
      <w:r w:rsidR="00BE352C">
        <w:rPr>
          <w:rFonts w:asciiTheme="majorHAnsi" w:hAnsiTheme="majorHAnsi"/>
          <w:sz w:val="20"/>
          <w:szCs w:val="20"/>
        </w:rPr>
        <w:t xml:space="preserve"> the dormitory and came to the aid </w:t>
      </w:r>
      <w:r w:rsidR="00426E75">
        <w:rPr>
          <w:rFonts w:asciiTheme="majorHAnsi" w:hAnsiTheme="majorHAnsi"/>
          <w:sz w:val="20"/>
          <w:szCs w:val="20"/>
        </w:rPr>
        <w:t>of the alleged victim</w:t>
      </w:r>
      <w:r w:rsidR="00BE352C">
        <w:rPr>
          <w:rFonts w:asciiTheme="majorHAnsi" w:hAnsiTheme="majorHAnsi"/>
          <w:sz w:val="20"/>
          <w:szCs w:val="20"/>
        </w:rPr>
        <w:t xml:space="preserve"> and “had him sit on the bed and they believed that it was a nightmare and they lay him down again, with every</w:t>
      </w:r>
      <w:r w:rsidR="001A5F74">
        <w:rPr>
          <w:rFonts w:asciiTheme="majorHAnsi" w:hAnsiTheme="majorHAnsi"/>
          <w:sz w:val="20"/>
          <w:szCs w:val="20"/>
        </w:rPr>
        <w:t>thing</w:t>
      </w:r>
      <w:r w:rsidR="00BE352C">
        <w:rPr>
          <w:rFonts w:asciiTheme="majorHAnsi" w:hAnsiTheme="majorHAnsi"/>
          <w:sz w:val="20"/>
          <w:szCs w:val="20"/>
        </w:rPr>
        <w:t xml:space="preserve"> remaining all quiet.</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19"/>
      </w:r>
    </w:p>
    <w:p w14:paraId="1FCB9742" w14:textId="77777777" w:rsidR="00300D46" w:rsidRPr="00D65A97" w:rsidRDefault="00300D46" w:rsidP="00300D46">
      <w:pPr>
        <w:pStyle w:val="ListParagraph"/>
        <w:ind w:firstLine="720"/>
        <w:rPr>
          <w:rFonts w:asciiTheme="majorHAnsi" w:hAnsiTheme="majorHAnsi"/>
          <w:sz w:val="20"/>
          <w:szCs w:val="20"/>
        </w:rPr>
      </w:pPr>
    </w:p>
    <w:p w14:paraId="607694EB" w14:textId="66CCB5D2" w:rsidR="00300D46" w:rsidRPr="00D65A97" w:rsidRDefault="00A42578"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The events subsequent to this episode appear in the aforementioned report as follows: “at 5:00 hours normal schedule of reveille the Company gets up then later since Corporal Candidate Noguera was not getting up some of his </w:t>
      </w:r>
      <w:r w:rsidR="00404C65">
        <w:rPr>
          <w:rFonts w:asciiTheme="majorHAnsi" w:hAnsiTheme="majorHAnsi"/>
          <w:sz w:val="20"/>
          <w:szCs w:val="20"/>
        </w:rPr>
        <w:t xml:space="preserve">comrades tried to </w:t>
      </w:r>
      <w:r w:rsidR="00E43BBE">
        <w:rPr>
          <w:rFonts w:asciiTheme="majorHAnsi" w:hAnsiTheme="majorHAnsi"/>
          <w:sz w:val="20"/>
          <w:szCs w:val="20"/>
        </w:rPr>
        <w:t xml:space="preserve">wake him up, since he remained lying down, he was taken from the bed, next </w:t>
      </w:r>
      <w:r w:rsidR="00FB1733">
        <w:rPr>
          <w:rFonts w:asciiTheme="majorHAnsi" w:hAnsiTheme="majorHAnsi"/>
          <w:sz w:val="20"/>
          <w:szCs w:val="20"/>
        </w:rPr>
        <w:t xml:space="preserve">cadet </w:t>
      </w:r>
      <w:r w:rsidR="00E43BBE">
        <w:rPr>
          <w:rFonts w:asciiTheme="majorHAnsi" w:hAnsiTheme="majorHAnsi"/>
          <w:sz w:val="20"/>
          <w:szCs w:val="20"/>
        </w:rPr>
        <w:t xml:space="preserve">Marcos Arza, </w:t>
      </w:r>
      <w:r w:rsidR="00401A10">
        <w:rPr>
          <w:rFonts w:asciiTheme="majorHAnsi" w:hAnsiTheme="majorHAnsi"/>
          <w:sz w:val="20"/>
          <w:szCs w:val="20"/>
        </w:rPr>
        <w:t xml:space="preserve">examined </w:t>
      </w:r>
      <w:r w:rsidR="00E43BBE">
        <w:rPr>
          <w:rFonts w:asciiTheme="majorHAnsi" w:hAnsiTheme="majorHAnsi"/>
          <w:sz w:val="20"/>
          <w:szCs w:val="20"/>
        </w:rPr>
        <w:t xml:space="preserve">him, this </w:t>
      </w:r>
      <w:r w:rsidR="00A82847">
        <w:rPr>
          <w:rFonts w:asciiTheme="majorHAnsi" w:hAnsiTheme="majorHAnsi"/>
          <w:sz w:val="20"/>
          <w:szCs w:val="20"/>
        </w:rPr>
        <w:t xml:space="preserve">cadet </w:t>
      </w:r>
      <w:r w:rsidR="00E43BBE">
        <w:rPr>
          <w:rFonts w:asciiTheme="majorHAnsi" w:hAnsiTheme="majorHAnsi"/>
          <w:sz w:val="20"/>
          <w:szCs w:val="20"/>
        </w:rPr>
        <w:t xml:space="preserve">is a paramedic, he ascertained that he no longer was presenting vital signs, immediately he was evacuated to </w:t>
      </w:r>
      <w:r w:rsidR="00E53D91">
        <w:rPr>
          <w:rFonts w:asciiTheme="majorHAnsi" w:hAnsiTheme="majorHAnsi"/>
          <w:sz w:val="20"/>
          <w:szCs w:val="20"/>
        </w:rPr>
        <w:t xml:space="preserve">health, aided by five of his comrades </w:t>
      </w:r>
      <w:r w:rsidR="00300D46" w:rsidRPr="00D65A97">
        <w:rPr>
          <w:rFonts w:asciiTheme="majorHAnsi" w:hAnsiTheme="majorHAnsi"/>
          <w:sz w:val="20"/>
          <w:szCs w:val="20"/>
        </w:rPr>
        <w:t xml:space="preserve">(…) </w:t>
      </w:r>
      <w:r w:rsidR="00401A10">
        <w:rPr>
          <w:rFonts w:asciiTheme="majorHAnsi" w:hAnsiTheme="majorHAnsi"/>
          <w:sz w:val="20"/>
          <w:szCs w:val="20"/>
        </w:rPr>
        <w:t xml:space="preserve">where the nurse </w:t>
      </w:r>
      <w:r w:rsidR="00300D46" w:rsidRPr="00D65A97">
        <w:rPr>
          <w:rFonts w:asciiTheme="majorHAnsi" w:hAnsiTheme="majorHAnsi"/>
          <w:sz w:val="20"/>
          <w:szCs w:val="20"/>
        </w:rPr>
        <w:t xml:space="preserve">S/Of. San. Bienbenido Chaparro </w:t>
      </w:r>
      <w:r w:rsidR="000609B0">
        <w:rPr>
          <w:rFonts w:asciiTheme="majorHAnsi" w:hAnsiTheme="majorHAnsi"/>
          <w:sz w:val="20"/>
          <w:szCs w:val="20"/>
        </w:rPr>
        <w:t>examined him, after he was given artificial respiration with thorax massage without achieving any effect.”</w:t>
      </w:r>
      <w:r w:rsidR="00300D46" w:rsidRPr="00D65A97">
        <w:rPr>
          <w:rStyle w:val="FootnoteReference"/>
          <w:rFonts w:asciiTheme="majorHAnsi" w:hAnsiTheme="majorHAnsi"/>
          <w:sz w:val="20"/>
          <w:szCs w:val="20"/>
        </w:rPr>
        <w:footnoteReference w:id="20"/>
      </w:r>
    </w:p>
    <w:p w14:paraId="403BE253" w14:textId="77777777" w:rsidR="00300D46" w:rsidRPr="00D65A97" w:rsidRDefault="00300D46" w:rsidP="00300D46">
      <w:pPr>
        <w:ind w:firstLine="720"/>
        <w:jc w:val="both"/>
        <w:rPr>
          <w:rFonts w:asciiTheme="majorHAnsi" w:hAnsiTheme="majorHAnsi"/>
          <w:b/>
          <w:sz w:val="20"/>
          <w:szCs w:val="20"/>
        </w:rPr>
      </w:pPr>
      <w:r w:rsidRPr="00D65A97">
        <w:rPr>
          <w:rFonts w:asciiTheme="majorHAnsi" w:hAnsiTheme="majorHAnsi"/>
          <w:sz w:val="20"/>
          <w:szCs w:val="20"/>
        </w:rPr>
        <w:t xml:space="preserve"> </w:t>
      </w:r>
    </w:p>
    <w:p w14:paraId="546653A8" w14:textId="30DE82C3" w:rsidR="00300D46" w:rsidRPr="00D65A97" w:rsidRDefault="00B6360B"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In the report of Lieutenant </w:t>
      </w:r>
      <w:r w:rsidR="00300D46" w:rsidRPr="00D65A97">
        <w:rPr>
          <w:rFonts w:asciiTheme="majorHAnsi" w:hAnsiTheme="majorHAnsi"/>
          <w:sz w:val="20"/>
          <w:szCs w:val="20"/>
        </w:rPr>
        <w:t>Alcaraz</w:t>
      </w:r>
      <w:r>
        <w:rPr>
          <w:rFonts w:asciiTheme="majorHAnsi" w:hAnsiTheme="majorHAnsi"/>
          <w:sz w:val="20"/>
          <w:szCs w:val="20"/>
        </w:rPr>
        <w:t xml:space="preserve">, it is also noted that after that situation he became aware that the alleged victim was clinically dead. </w:t>
      </w:r>
      <w:r w:rsidR="0083325B">
        <w:rPr>
          <w:rFonts w:asciiTheme="majorHAnsi" w:hAnsiTheme="majorHAnsi"/>
          <w:sz w:val="20"/>
          <w:szCs w:val="20"/>
        </w:rPr>
        <w:t xml:space="preserve">According to the account, simultaneously, a </w:t>
      </w:r>
      <w:r w:rsidR="0007393C">
        <w:rPr>
          <w:rFonts w:asciiTheme="majorHAnsi" w:hAnsiTheme="majorHAnsi"/>
          <w:sz w:val="20"/>
          <w:szCs w:val="20"/>
        </w:rPr>
        <w:t xml:space="preserve">cadet </w:t>
      </w:r>
      <w:r w:rsidR="00657BD7">
        <w:rPr>
          <w:rFonts w:asciiTheme="majorHAnsi" w:hAnsiTheme="majorHAnsi"/>
          <w:sz w:val="20"/>
          <w:szCs w:val="20"/>
        </w:rPr>
        <w:t>was sent “in search of doctors to the house of the Commander (</w:t>
      </w:r>
      <w:r w:rsidR="00300D46" w:rsidRPr="00D65A97">
        <w:rPr>
          <w:rFonts w:asciiTheme="majorHAnsi" w:hAnsiTheme="majorHAnsi"/>
          <w:sz w:val="20"/>
          <w:szCs w:val="20"/>
        </w:rPr>
        <w:t>Cmdte.</w:t>
      </w:r>
      <w:r w:rsidR="00657BD7">
        <w:rPr>
          <w:rFonts w:asciiTheme="majorHAnsi" w:hAnsiTheme="majorHAnsi"/>
          <w:sz w:val="20"/>
          <w:szCs w:val="20"/>
        </w:rPr>
        <w:t>) of the Center, Colonel (</w:t>
      </w:r>
      <w:r w:rsidR="00300D46" w:rsidRPr="00D65A97">
        <w:rPr>
          <w:rFonts w:asciiTheme="majorHAnsi" w:hAnsiTheme="majorHAnsi"/>
          <w:sz w:val="20"/>
          <w:szCs w:val="20"/>
        </w:rPr>
        <w:t>Cnel.</w:t>
      </w:r>
      <w:r w:rsidR="00657BD7">
        <w:rPr>
          <w:rFonts w:asciiTheme="majorHAnsi" w:hAnsiTheme="majorHAnsi"/>
          <w:sz w:val="20"/>
          <w:szCs w:val="20"/>
        </w:rPr>
        <w:t>)</w:t>
      </w:r>
      <w:r w:rsidR="00300D46" w:rsidRPr="00D65A97">
        <w:rPr>
          <w:rFonts w:asciiTheme="majorHAnsi" w:hAnsiTheme="majorHAnsi"/>
          <w:sz w:val="20"/>
          <w:szCs w:val="20"/>
        </w:rPr>
        <w:t xml:space="preserve"> DEM </w:t>
      </w:r>
      <w:r w:rsidR="00657BD7">
        <w:rPr>
          <w:rFonts w:asciiTheme="majorHAnsi" w:hAnsiTheme="majorHAnsi"/>
          <w:sz w:val="20"/>
          <w:szCs w:val="20"/>
        </w:rPr>
        <w:t xml:space="preserve">Ignacio </w:t>
      </w:r>
      <w:r w:rsidR="00657BD7">
        <w:rPr>
          <w:rFonts w:asciiTheme="majorHAnsi" w:hAnsiTheme="majorHAnsi"/>
          <w:sz w:val="20"/>
          <w:szCs w:val="20"/>
        </w:rPr>
        <w:lastRenderedPageBreak/>
        <w:t xml:space="preserve">Mendoza, who </w:t>
      </w:r>
      <w:r w:rsidR="005778D8">
        <w:rPr>
          <w:rFonts w:asciiTheme="majorHAnsi" w:hAnsiTheme="majorHAnsi"/>
          <w:sz w:val="20"/>
          <w:szCs w:val="20"/>
        </w:rPr>
        <w:t>minutes later appeared in person on the premises to transport him to the hospital of the 3</w:t>
      </w:r>
      <w:r w:rsidR="005778D8" w:rsidRPr="005778D8">
        <w:rPr>
          <w:rFonts w:asciiTheme="majorHAnsi" w:hAnsiTheme="majorHAnsi"/>
          <w:sz w:val="20"/>
          <w:szCs w:val="20"/>
          <w:vertAlign w:val="superscript"/>
        </w:rPr>
        <w:t>rd</w:t>
      </w:r>
      <w:r w:rsidR="0009426E">
        <w:rPr>
          <w:rFonts w:asciiTheme="majorHAnsi" w:hAnsiTheme="majorHAnsi"/>
          <w:sz w:val="20"/>
          <w:szCs w:val="20"/>
        </w:rPr>
        <w:t xml:space="preserve"> corps</w:t>
      </w:r>
      <w:r w:rsidR="005778D8">
        <w:rPr>
          <w:rFonts w:asciiTheme="majorHAnsi" w:hAnsiTheme="majorHAnsi"/>
          <w:sz w:val="20"/>
          <w:szCs w:val="20"/>
        </w:rPr>
        <w:t xml:space="preserve"> accompanied by the five comrades and the nurse.</w:t>
      </w:r>
      <w:r w:rsidR="00300D46" w:rsidRPr="00D65A97">
        <w:rPr>
          <w:rFonts w:asciiTheme="majorHAnsi" w:hAnsiTheme="majorHAnsi"/>
          <w:sz w:val="20"/>
          <w:szCs w:val="20"/>
        </w:rPr>
        <w:t>”</w:t>
      </w:r>
      <w:r w:rsidR="00300D46" w:rsidRPr="005778D8">
        <w:rPr>
          <w:rFonts w:asciiTheme="majorHAnsi" w:hAnsiTheme="majorHAnsi"/>
          <w:sz w:val="20"/>
          <w:szCs w:val="20"/>
          <w:vertAlign w:val="superscript"/>
        </w:rPr>
        <w:footnoteReference w:id="21"/>
      </w:r>
    </w:p>
    <w:p w14:paraId="74A43523" w14:textId="77777777" w:rsidR="00300D46" w:rsidRPr="00D65A97" w:rsidRDefault="00300D46" w:rsidP="00300D46">
      <w:pPr>
        <w:ind w:left="360" w:firstLine="720"/>
        <w:jc w:val="both"/>
        <w:rPr>
          <w:rFonts w:asciiTheme="majorHAnsi" w:hAnsiTheme="majorHAnsi"/>
          <w:sz w:val="20"/>
          <w:szCs w:val="20"/>
        </w:rPr>
      </w:pPr>
    </w:p>
    <w:p w14:paraId="5A976923" w14:textId="310DC441" w:rsidR="00300D46" w:rsidRPr="00D65A97" w:rsidRDefault="005778D8"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Commission takes note of the discrepancies between the </w:t>
      </w:r>
      <w:r w:rsidR="001E50F1">
        <w:rPr>
          <w:rFonts w:asciiTheme="majorHAnsi" w:hAnsiTheme="majorHAnsi"/>
          <w:sz w:val="20"/>
          <w:szCs w:val="20"/>
        </w:rPr>
        <w:t xml:space="preserve">petitioner’s </w:t>
      </w:r>
      <w:r>
        <w:rPr>
          <w:rFonts w:asciiTheme="majorHAnsi" w:hAnsiTheme="majorHAnsi"/>
          <w:sz w:val="20"/>
          <w:szCs w:val="20"/>
        </w:rPr>
        <w:t xml:space="preserve">account and the information provided by the State as to the events that took place the day before the death of the alleged victim. </w:t>
      </w:r>
      <w:r w:rsidR="00637130">
        <w:rPr>
          <w:rFonts w:asciiTheme="majorHAnsi" w:hAnsiTheme="majorHAnsi"/>
          <w:sz w:val="20"/>
          <w:szCs w:val="20"/>
        </w:rPr>
        <w:t xml:space="preserve">In the initial petition, the petitioner </w:t>
      </w:r>
      <w:r w:rsidR="00810620">
        <w:rPr>
          <w:rFonts w:asciiTheme="majorHAnsi" w:hAnsiTheme="majorHAnsi"/>
          <w:sz w:val="20"/>
          <w:szCs w:val="20"/>
        </w:rPr>
        <w:t xml:space="preserve">claimed to </w:t>
      </w:r>
      <w:r w:rsidR="007272FA">
        <w:rPr>
          <w:rFonts w:asciiTheme="majorHAnsi" w:hAnsiTheme="majorHAnsi"/>
          <w:sz w:val="20"/>
          <w:szCs w:val="20"/>
        </w:rPr>
        <w:t>the IACHR that there was a “pact of silence” am</w:t>
      </w:r>
      <w:r w:rsidR="006E1A99">
        <w:rPr>
          <w:rFonts w:asciiTheme="majorHAnsi" w:hAnsiTheme="majorHAnsi"/>
          <w:sz w:val="20"/>
          <w:szCs w:val="20"/>
        </w:rPr>
        <w:t>ong the</w:t>
      </w:r>
      <w:r w:rsidR="004E514B">
        <w:rPr>
          <w:rFonts w:asciiTheme="majorHAnsi" w:hAnsiTheme="majorHAnsi"/>
          <w:sz w:val="20"/>
          <w:szCs w:val="20"/>
        </w:rPr>
        <w:t xml:space="preserve"> cadets</w:t>
      </w:r>
      <w:r w:rsidR="006E1A99">
        <w:rPr>
          <w:rFonts w:asciiTheme="majorHAnsi" w:hAnsiTheme="majorHAnsi"/>
          <w:sz w:val="20"/>
          <w:szCs w:val="20"/>
        </w:rPr>
        <w:t xml:space="preserve">, because they had been threatened with discharge from Compulsory Military Service, if they </w:t>
      </w:r>
      <w:r w:rsidR="00560A0C">
        <w:rPr>
          <w:rFonts w:asciiTheme="majorHAnsi" w:hAnsiTheme="majorHAnsi"/>
          <w:sz w:val="20"/>
          <w:szCs w:val="20"/>
        </w:rPr>
        <w:t xml:space="preserve">talked about </w:t>
      </w:r>
      <w:r w:rsidR="006E1A99">
        <w:rPr>
          <w:rFonts w:asciiTheme="majorHAnsi" w:hAnsiTheme="majorHAnsi"/>
          <w:sz w:val="20"/>
          <w:szCs w:val="20"/>
        </w:rPr>
        <w:t xml:space="preserve">the true circumstances of the death of Vicente Ariel Noguera, as was recounted to the alleged victim’s mother, in the presence of journalist Andrés Colman, by </w:t>
      </w:r>
      <w:r w:rsidR="001F5604">
        <w:rPr>
          <w:rFonts w:asciiTheme="majorHAnsi" w:hAnsiTheme="majorHAnsi"/>
          <w:sz w:val="20"/>
          <w:szCs w:val="20"/>
        </w:rPr>
        <w:t xml:space="preserve">cadet </w:t>
      </w:r>
      <w:r w:rsidR="00300D46" w:rsidRPr="00D65A97">
        <w:rPr>
          <w:rFonts w:asciiTheme="majorHAnsi" w:hAnsiTheme="majorHAnsi"/>
          <w:sz w:val="20"/>
          <w:szCs w:val="20"/>
        </w:rPr>
        <w:t xml:space="preserve">Raúl Agustín Rufinelli. </w:t>
      </w:r>
      <w:r w:rsidR="008F2CF8">
        <w:rPr>
          <w:rFonts w:asciiTheme="majorHAnsi" w:hAnsiTheme="majorHAnsi"/>
          <w:sz w:val="20"/>
          <w:szCs w:val="20"/>
        </w:rPr>
        <w:t xml:space="preserve">Cadet </w:t>
      </w:r>
      <w:r w:rsidR="00300D46" w:rsidRPr="00D65A97">
        <w:rPr>
          <w:rFonts w:asciiTheme="majorHAnsi" w:hAnsiTheme="majorHAnsi"/>
          <w:sz w:val="20"/>
          <w:szCs w:val="20"/>
        </w:rPr>
        <w:t xml:space="preserve">Rufinelli </w:t>
      </w:r>
      <w:r w:rsidR="007D731B">
        <w:rPr>
          <w:rFonts w:asciiTheme="majorHAnsi" w:hAnsiTheme="majorHAnsi"/>
          <w:sz w:val="20"/>
          <w:szCs w:val="20"/>
        </w:rPr>
        <w:t xml:space="preserve">recanted </w:t>
      </w:r>
      <w:r w:rsidR="006E1A99">
        <w:rPr>
          <w:rFonts w:asciiTheme="majorHAnsi" w:hAnsiTheme="majorHAnsi"/>
          <w:sz w:val="20"/>
          <w:szCs w:val="20"/>
        </w:rPr>
        <w:t xml:space="preserve">what </w:t>
      </w:r>
      <w:r w:rsidR="008F2CF8">
        <w:rPr>
          <w:rFonts w:asciiTheme="majorHAnsi" w:hAnsiTheme="majorHAnsi"/>
          <w:sz w:val="20"/>
          <w:szCs w:val="20"/>
        </w:rPr>
        <w:t xml:space="preserve">he had </w:t>
      </w:r>
      <w:r w:rsidR="006E1A99">
        <w:rPr>
          <w:rFonts w:asciiTheme="majorHAnsi" w:hAnsiTheme="majorHAnsi"/>
          <w:sz w:val="20"/>
          <w:szCs w:val="20"/>
        </w:rPr>
        <w:t xml:space="preserve">allegedly </w:t>
      </w:r>
      <w:r w:rsidR="001D3660">
        <w:rPr>
          <w:rFonts w:asciiTheme="majorHAnsi" w:hAnsiTheme="majorHAnsi"/>
          <w:sz w:val="20"/>
          <w:szCs w:val="20"/>
        </w:rPr>
        <w:t xml:space="preserve">recounted in the context of the prosecutorial investigation in the ordinary jurisdiction and asked the alleged victim’s mother to not come to see him any more. </w:t>
      </w:r>
    </w:p>
    <w:p w14:paraId="7DA9536E" w14:textId="77777777" w:rsidR="00300D46" w:rsidRPr="00D65A97" w:rsidRDefault="00300D46" w:rsidP="00300D46">
      <w:pPr>
        <w:ind w:left="360" w:firstLine="720"/>
        <w:jc w:val="both"/>
        <w:rPr>
          <w:rFonts w:asciiTheme="majorHAnsi" w:hAnsiTheme="majorHAnsi"/>
          <w:sz w:val="20"/>
          <w:szCs w:val="20"/>
        </w:rPr>
      </w:pPr>
    </w:p>
    <w:p w14:paraId="63F29C7E" w14:textId="69D5E8E0" w:rsidR="00300D46" w:rsidRPr="00D65A97" w:rsidRDefault="003C3EBD"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mother </w:t>
      </w:r>
      <w:r w:rsidR="00D911FF">
        <w:rPr>
          <w:rFonts w:asciiTheme="majorHAnsi" w:hAnsiTheme="majorHAnsi"/>
          <w:sz w:val="20"/>
          <w:szCs w:val="20"/>
        </w:rPr>
        <w:t xml:space="preserve">informed </w:t>
      </w:r>
      <w:r>
        <w:rPr>
          <w:rFonts w:asciiTheme="majorHAnsi" w:hAnsiTheme="majorHAnsi"/>
          <w:sz w:val="20"/>
          <w:szCs w:val="20"/>
        </w:rPr>
        <w:t xml:space="preserve">the IACHR </w:t>
      </w:r>
      <w:r w:rsidR="00B63353">
        <w:rPr>
          <w:rFonts w:asciiTheme="majorHAnsi" w:hAnsiTheme="majorHAnsi"/>
          <w:sz w:val="20"/>
          <w:szCs w:val="20"/>
        </w:rPr>
        <w:t>that she personally took the testimonies of the individuals who, according to her description, told her that her son was punished by Lieutenant Hernán Alcaraz and Second Lieutenant Mosqueda, from 18:00 hours to 24:00 hours on January 10, 1996, “but that they went too far, because of a possible flu or cold and consequence of the torture [the alleged victim] died,” all of this with the knowledge of the “Commander of the 3</w:t>
      </w:r>
      <w:r w:rsidR="00B63353" w:rsidRPr="00B63353">
        <w:rPr>
          <w:rFonts w:asciiTheme="majorHAnsi" w:hAnsiTheme="majorHAnsi"/>
          <w:sz w:val="20"/>
          <w:szCs w:val="20"/>
          <w:vertAlign w:val="superscript"/>
        </w:rPr>
        <w:t>rd</w:t>
      </w:r>
      <w:r w:rsidR="00B63353">
        <w:rPr>
          <w:rFonts w:asciiTheme="majorHAnsi" w:hAnsiTheme="majorHAnsi"/>
          <w:sz w:val="20"/>
          <w:szCs w:val="20"/>
        </w:rPr>
        <w:t xml:space="preserve"> Army C</w:t>
      </w:r>
      <w:r w:rsidR="00482C2E">
        <w:rPr>
          <w:rFonts w:asciiTheme="majorHAnsi" w:hAnsiTheme="majorHAnsi"/>
          <w:sz w:val="20"/>
          <w:szCs w:val="20"/>
        </w:rPr>
        <w:t>orps General Eligió Torres Heyn</w:t>
      </w:r>
      <w:r w:rsidR="00B63353">
        <w:rPr>
          <w:rFonts w:asciiTheme="majorHAnsi" w:hAnsiTheme="majorHAnsi"/>
          <w:sz w:val="20"/>
          <w:szCs w:val="20"/>
        </w:rPr>
        <w:t>, Lieutenant Colonel Pablino Escobar commander of the Division in Mariscal Estigarribia, First Lieutenant Arlando Vera was on guard duty the night that Ariel was killed,</w:t>
      </w:r>
      <w:r w:rsidR="00300D46" w:rsidRPr="00D65A97">
        <w:rPr>
          <w:rStyle w:val="FootnoteReference"/>
          <w:rFonts w:asciiTheme="majorHAnsi" w:hAnsiTheme="majorHAnsi"/>
          <w:sz w:val="20"/>
          <w:szCs w:val="20"/>
        </w:rPr>
        <w:footnoteReference w:id="22"/>
      </w:r>
      <w:r w:rsidR="00B63353">
        <w:rPr>
          <w:rFonts w:asciiTheme="majorHAnsi" w:hAnsiTheme="majorHAnsi"/>
          <w:sz w:val="20"/>
          <w:szCs w:val="20"/>
        </w:rPr>
        <w:t xml:space="preserve"> and he</w:t>
      </w:r>
      <w:r w:rsidR="00567158">
        <w:rPr>
          <w:rFonts w:asciiTheme="majorHAnsi" w:hAnsiTheme="majorHAnsi"/>
          <w:sz w:val="20"/>
          <w:szCs w:val="20"/>
        </w:rPr>
        <w:t xml:space="preserve"> [Vera]</w:t>
      </w:r>
      <w:r w:rsidR="00B63353">
        <w:rPr>
          <w:rFonts w:asciiTheme="majorHAnsi" w:hAnsiTheme="majorHAnsi"/>
          <w:sz w:val="20"/>
          <w:szCs w:val="20"/>
        </w:rPr>
        <w:t xml:space="preserve"> told a girlfriend that </w:t>
      </w:r>
      <w:r w:rsidR="00941DE8">
        <w:rPr>
          <w:rFonts w:asciiTheme="majorHAnsi" w:hAnsiTheme="majorHAnsi"/>
          <w:sz w:val="20"/>
          <w:szCs w:val="20"/>
        </w:rPr>
        <w:t xml:space="preserve">they had killed </w:t>
      </w:r>
      <w:r w:rsidR="00B63353">
        <w:rPr>
          <w:rFonts w:asciiTheme="majorHAnsi" w:hAnsiTheme="majorHAnsi"/>
          <w:sz w:val="20"/>
          <w:szCs w:val="20"/>
        </w:rPr>
        <w:t>my son.</w:t>
      </w:r>
      <w:r w:rsidR="00300D46" w:rsidRPr="00D65A97">
        <w:rPr>
          <w:rFonts w:asciiTheme="majorHAnsi" w:hAnsiTheme="majorHAnsi"/>
          <w:sz w:val="20"/>
          <w:szCs w:val="20"/>
        </w:rPr>
        <w:t>”</w:t>
      </w:r>
      <w:r w:rsidR="00300D46" w:rsidRPr="00D65A97">
        <w:rPr>
          <w:rFonts w:asciiTheme="majorHAnsi" w:hAnsiTheme="majorHAnsi"/>
          <w:sz w:val="20"/>
          <w:szCs w:val="20"/>
          <w:vertAlign w:val="superscript"/>
        </w:rPr>
        <w:footnoteReference w:id="23"/>
      </w:r>
      <w:r w:rsidR="00567158">
        <w:rPr>
          <w:rFonts w:asciiTheme="majorHAnsi" w:hAnsiTheme="majorHAnsi"/>
          <w:sz w:val="20"/>
          <w:szCs w:val="20"/>
        </w:rPr>
        <w:t xml:space="preserve"> </w:t>
      </w:r>
      <w:r w:rsidR="00300D46" w:rsidRPr="00D65A97">
        <w:rPr>
          <w:rFonts w:asciiTheme="majorHAnsi" w:hAnsiTheme="majorHAnsi"/>
          <w:sz w:val="20"/>
          <w:szCs w:val="20"/>
        </w:rPr>
        <w:t xml:space="preserve"> </w:t>
      </w:r>
      <w:r w:rsidR="007D4822">
        <w:rPr>
          <w:rFonts w:asciiTheme="majorHAnsi" w:hAnsiTheme="majorHAnsi"/>
          <w:sz w:val="20"/>
          <w:szCs w:val="20"/>
        </w:rPr>
        <w:t>Moreover, according to the form</w:t>
      </w:r>
      <w:r w:rsidR="00482C2E">
        <w:rPr>
          <w:rFonts w:asciiTheme="majorHAnsi" w:hAnsiTheme="majorHAnsi"/>
          <w:sz w:val="20"/>
          <w:szCs w:val="20"/>
        </w:rPr>
        <w:t>al</w:t>
      </w:r>
      <w:r w:rsidR="007D4822">
        <w:rPr>
          <w:rFonts w:asciiTheme="majorHAnsi" w:hAnsiTheme="majorHAnsi"/>
          <w:sz w:val="20"/>
          <w:szCs w:val="20"/>
        </w:rPr>
        <w:t xml:space="preserve"> private criminal complaint</w:t>
      </w:r>
      <w:r w:rsidR="007C34D7">
        <w:rPr>
          <w:rFonts w:asciiTheme="majorHAnsi" w:hAnsiTheme="majorHAnsi"/>
          <w:sz w:val="20"/>
          <w:szCs w:val="20"/>
        </w:rPr>
        <w:t xml:space="preserve"> (</w:t>
      </w:r>
      <w:r w:rsidR="007C34D7">
        <w:rPr>
          <w:rFonts w:asciiTheme="majorHAnsi" w:hAnsiTheme="majorHAnsi"/>
          <w:i/>
          <w:sz w:val="20"/>
          <w:szCs w:val="20"/>
        </w:rPr>
        <w:t>querella</w:t>
      </w:r>
      <w:r w:rsidR="007C34D7">
        <w:rPr>
          <w:rFonts w:asciiTheme="majorHAnsi" w:hAnsiTheme="majorHAnsi"/>
          <w:sz w:val="20"/>
          <w:szCs w:val="20"/>
        </w:rPr>
        <w:t>)</w:t>
      </w:r>
      <w:r w:rsidR="007D4822">
        <w:rPr>
          <w:rFonts w:asciiTheme="majorHAnsi" w:hAnsiTheme="majorHAnsi"/>
          <w:sz w:val="20"/>
          <w:szCs w:val="20"/>
        </w:rPr>
        <w:t xml:space="preserve"> filed by </w:t>
      </w:r>
      <w:r w:rsidR="00300D46" w:rsidRPr="00D65A97">
        <w:rPr>
          <w:rFonts w:asciiTheme="majorHAnsi" w:hAnsiTheme="majorHAnsi"/>
          <w:sz w:val="20"/>
          <w:szCs w:val="20"/>
        </w:rPr>
        <w:t xml:space="preserve">María Noguera, </w:t>
      </w:r>
      <w:r w:rsidR="007D4822">
        <w:rPr>
          <w:rFonts w:asciiTheme="majorHAnsi" w:hAnsiTheme="majorHAnsi"/>
          <w:sz w:val="20"/>
          <w:szCs w:val="20"/>
        </w:rPr>
        <w:t>she claimed that her son’s body presented several</w:t>
      </w:r>
      <w:r w:rsidR="00013CE0">
        <w:rPr>
          <w:rFonts w:asciiTheme="majorHAnsi" w:hAnsiTheme="majorHAnsi"/>
          <w:sz w:val="20"/>
          <w:szCs w:val="20"/>
        </w:rPr>
        <w:t xml:space="preserve"> in</w:t>
      </w:r>
      <w:r w:rsidR="00BE268A">
        <w:rPr>
          <w:rFonts w:asciiTheme="majorHAnsi" w:hAnsiTheme="majorHAnsi"/>
          <w:sz w:val="20"/>
          <w:szCs w:val="20"/>
        </w:rPr>
        <w:t xml:space="preserve">juries, and that his underwear </w:t>
      </w:r>
      <w:r w:rsidR="00013CE0">
        <w:rPr>
          <w:rFonts w:asciiTheme="majorHAnsi" w:hAnsiTheme="majorHAnsi"/>
          <w:sz w:val="20"/>
          <w:szCs w:val="20"/>
        </w:rPr>
        <w:t>was stained with blood, as</w:t>
      </w:r>
      <w:r w:rsidR="00173E5C">
        <w:rPr>
          <w:rFonts w:asciiTheme="majorHAnsi" w:hAnsiTheme="majorHAnsi"/>
          <w:sz w:val="20"/>
          <w:szCs w:val="20"/>
        </w:rPr>
        <w:t xml:space="preserve"> if he had been sexually abused.</w:t>
      </w:r>
      <w:r w:rsidR="00300D46" w:rsidRPr="00D65A97">
        <w:rPr>
          <w:rStyle w:val="FootnoteReference"/>
          <w:rFonts w:asciiTheme="majorHAnsi" w:hAnsiTheme="majorHAnsi"/>
          <w:sz w:val="20"/>
          <w:szCs w:val="20"/>
        </w:rPr>
        <w:footnoteReference w:id="24"/>
      </w:r>
      <w:r w:rsidR="00300D46" w:rsidRPr="00D65A97">
        <w:rPr>
          <w:rFonts w:asciiTheme="majorHAnsi" w:hAnsiTheme="majorHAnsi"/>
          <w:sz w:val="20"/>
          <w:szCs w:val="20"/>
        </w:rPr>
        <w:t xml:space="preserve"> </w:t>
      </w:r>
    </w:p>
    <w:p w14:paraId="6D6A7F96" w14:textId="77777777" w:rsidR="00300D46" w:rsidRPr="00D65A97" w:rsidRDefault="00300D46" w:rsidP="00300D46">
      <w:pPr>
        <w:ind w:left="360" w:firstLine="720"/>
        <w:jc w:val="both"/>
        <w:rPr>
          <w:rFonts w:asciiTheme="majorHAnsi" w:hAnsiTheme="majorHAnsi"/>
          <w:sz w:val="20"/>
          <w:szCs w:val="20"/>
        </w:rPr>
      </w:pPr>
    </w:p>
    <w:p w14:paraId="29AD9A53" w14:textId="12B008F0" w:rsidR="00300D46" w:rsidRPr="00D65A97" w:rsidRDefault="00D2409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petitioner also claimed to the Commission that other witness to the death of the alleged victim provided the following information: </w:t>
      </w:r>
    </w:p>
    <w:p w14:paraId="04062D4F" w14:textId="77777777" w:rsidR="00300D46" w:rsidRPr="00D65A97" w:rsidRDefault="00300D46" w:rsidP="00300D46">
      <w:pPr>
        <w:ind w:left="360" w:firstLine="720"/>
        <w:jc w:val="both"/>
        <w:rPr>
          <w:rFonts w:asciiTheme="majorHAnsi" w:hAnsiTheme="majorHAnsi"/>
          <w:sz w:val="20"/>
          <w:szCs w:val="20"/>
        </w:rPr>
      </w:pPr>
    </w:p>
    <w:p w14:paraId="7C04EA4A" w14:textId="1203ACB5" w:rsidR="00300D46" w:rsidRPr="00D65A97" w:rsidRDefault="00300D46" w:rsidP="00D93FE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D65A97">
        <w:rPr>
          <w:rFonts w:asciiTheme="majorHAnsi" w:hAnsiTheme="majorHAnsi"/>
          <w:sz w:val="20"/>
          <w:szCs w:val="20"/>
        </w:rPr>
        <w:t xml:space="preserve">1) José Agustín Rufinelli </w:t>
      </w:r>
      <w:r w:rsidR="00AD6763">
        <w:rPr>
          <w:rFonts w:asciiTheme="majorHAnsi" w:hAnsiTheme="majorHAnsi"/>
          <w:sz w:val="20"/>
          <w:szCs w:val="20"/>
        </w:rPr>
        <w:t xml:space="preserve">was with </w:t>
      </w:r>
      <w:r w:rsidR="00BB57D1">
        <w:rPr>
          <w:rFonts w:asciiTheme="majorHAnsi" w:hAnsiTheme="majorHAnsi"/>
          <w:sz w:val="20"/>
          <w:szCs w:val="20"/>
        </w:rPr>
        <w:t xml:space="preserve">Ariel </w:t>
      </w:r>
      <w:r w:rsidR="00AD6763">
        <w:rPr>
          <w:rFonts w:asciiTheme="majorHAnsi" w:hAnsiTheme="majorHAnsi"/>
          <w:sz w:val="20"/>
          <w:szCs w:val="20"/>
        </w:rPr>
        <w:t xml:space="preserve">on Wednesday January </w:t>
      </w:r>
      <w:r w:rsidRPr="00D65A97">
        <w:rPr>
          <w:rFonts w:asciiTheme="majorHAnsi" w:hAnsiTheme="majorHAnsi"/>
          <w:sz w:val="20"/>
          <w:szCs w:val="20"/>
        </w:rPr>
        <w:t>10</w:t>
      </w:r>
      <w:r w:rsidR="00AD6763">
        <w:rPr>
          <w:rFonts w:asciiTheme="majorHAnsi" w:hAnsiTheme="majorHAnsi"/>
          <w:sz w:val="20"/>
          <w:szCs w:val="20"/>
        </w:rPr>
        <w:t>,</w:t>
      </w:r>
      <w:r w:rsidRPr="00D65A97">
        <w:rPr>
          <w:rFonts w:asciiTheme="majorHAnsi" w:hAnsiTheme="majorHAnsi"/>
          <w:sz w:val="20"/>
          <w:szCs w:val="20"/>
        </w:rPr>
        <w:t xml:space="preserve"> 1996 </w:t>
      </w:r>
      <w:r w:rsidR="004F6000">
        <w:rPr>
          <w:rFonts w:asciiTheme="majorHAnsi" w:hAnsiTheme="majorHAnsi"/>
          <w:sz w:val="20"/>
          <w:szCs w:val="20"/>
        </w:rPr>
        <w:t>in the afternoon, he lives in</w:t>
      </w:r>
      <w:r w:rsidRPr="00D65A97">
        <w:rPr>
          <w:rFonts w:asciiTheme="majorHAnsi" w:hAnsiTheme="majorHAnsi"/>
          <w:sz w:val="20"/>
          <w:szCs w:val="20"/>
        </w:rPr>
        <w:t xml:space="preserve"> Villa Hayes, </w:t>
      </w:r>
      <w:proofErr w:type="gramStart"/>
      <w:r w:rsidR="004F6000">
        <w:rPr>
          <w:rFonts w:asciiTheme="majorHAnsi" w:hAnsiTheme="majorHAnsi"/>
          <w:sz w:val="20"/>
          <w:szCs w:val="20"/>
        </w:rPr>
        <w:t>he</w:t>
      </w:r>
      <w:proofErr w:type="gramEnd"/>
      <w:r w:rsidR="004F6000">
        <w:rPr>
          <w:rFonts w:asciiTheme="majorHAnsi" w:hAnsiTheme="majorHAnsi"/>
          <w:sz w:val="20"/>
          <w:szCs w:val="20"/>
        </w:rPr>
        <w:t xml:space="preserve"> was willing to testify before the ordinary Courts but was never called. </w:t>
      </w:r>
      <w:r w:rsidR="00594727">
        <w:rPr>
          <w:rFonts w:asciiTheme="majorHAnsi" w:hAnsiTheme="majorHAnsi"/>
          <w:sz w:val="20"/>
          <w:szCs w:val="20"/>
        </w:rPr>
        <w:t xml:space="preserve">He saw when Lieutenant Mosqueda kicked Ariel in the ankle on Monday afternoon, and on Wednesday he saw and participated in the </w:t>
      </w:r>
      <w:r w:rsidR="00DC07B1">
        <w:rPr>
          <w:rFonts w:asciiTheme="majorHAnsi" w:hAnsiTheme="majorHAnsi"/>
          <w:i/>
          <w:sz w:val="20"/>
          <w:szCs w:val="20"/>
        </w:rPr>
        <w:t xml:space="preserve">descuereo </w:t>
      </w:r>
      <w:r w:rsidR="00DC07B1">
        <w:rPr>
          <w:rFonts w:asciiTheme="majorHAnsi" w:hAnsiTheme="majorHAnsi"/>
          <w:sz w:val="20"/>
          <w:szCs w:val="20"/>
        </w:rPr>
        <w:t>(</w:t>
      </w:r>
      <w:r w:rsidR="00AB2925">
        <w:rPr>
          <w:rFonts w:asciiTheme="majorHAnsi" w:hAnsiTheme="majorHAnsi"/>
          <w:sz w:val="20"/>
          <w:szCs w:val="20"/>
        </w:rPr>
        <w:t>‘</w:t>
      </w:r>
      <w:r w:rsidR="009B65DA">
        <w:rPr>
          <w:rFonts w:asciiTheme="majorHAnsi" w:hAnsiTheme="majorHAnsi"/>
          <w:sz w:val="20"/>
          <w:szCs w:val="20"/>
        </w:rPr>
        <w:t>flaying</w:t>
      </w:r>
      <w:r w:rsidR="00AB2925">
        <w:rPr>
          <w:rFonts w:asciiTheme="majorHAnsi" w:hAnsiTheme="majorHAnsi"/>
          <w:sz w:val="20"/>
          <w:szCs w:val="20"/>
        </w:rPr>
        <w:t>’</w:t>
      </w:r>
      <w:r w:rsidR="00621719">
        <w:rPr>
          <w:rFonts w:asciiTheme="majorHAnsi" w:hAnsiTheme="majorHAnsi"/>
          <w:sz w:val="20"/>
          <w:szCs w:val="20"/>
        </w:rPr>
        <w:t>, ‘roughing up’</w:t>
      </w:r>
      <w:r w:rsidR="00DC07B1">
        <w:rPr>
          <w:rFonts w:asciiTheme="majorHAnsi" w:hAnsiTheme="majorHAnsi"/>
          <w:sz w:val="20"/>
          <w:szCs w:val="20"/>
        </w:rPr>
        <w:t>)</w:t>
      </w:r>
      <w:r w:rsidR="009B65DA" w:rsidRPr="009B65DA">
        <w:rPr>
          <w:rFonts w:asciiTheme="majorHAnsi" w:hAnsiTheme="majorHAnsi"/>
          <w:sz w:val="20"/>
          <w:szCs w:val="20"/>
        </w:rPr>
        <w:t xml:space="preserve"> </w:t>
      </w:r>
      <w:r w:rsidR="009B65DA">
        <w:rPr>
          <w:rFonts w:asciiTheme="majorHAnsi" w:hAnsiTheme="majorHAnsi"/>
          <w:sz w:val="20"/>
          <w:szCs w:val="20"/>
        </w:rPr>
        <w:t>of Ariel</w:t>
      </w:r>
      <w:r w:rsidR="00DC07B1">
        <w:rPr>
          <w:rFonts w:asciiTheme="majorHAnsi" w:hAnsiTheme="majorHAnsi"/>
          <w:sz w:val="20"/>
          <w:szCs w:val="20"/>
        </w:rPr>
        <w:t xml:space="preserve"> </w:t>
      </w:r>
      <w:r w:rsidR="005F72A7">
        <w:rPr>
          <w:rFonts w:asciiTheme="majorHAnsi" w:hAnsiTheme="majorHAnsi"/>
          <w:sz w:val="20"/>
          <w:szCs w:val="20"/>
        </w:rPr>
        <w:t xml:space="preserve">by Mosqueda and others. </w:t>
      </w:r>
      <w:r w:rsidR="009C0062">
        <w:rPr>
          <w:rFonts w:asciiTheme="majorHAnsi" w:hAnsiTheme="majorHAnsi"/>
          <w:sz w:val="20"/>
          <w:szCs w:val="20"/>
        </w:rPr>
        <w:t>He saw when on January 10, 1996 in the afternoon, Lieutenant Alcaraz t</w:t>
      </w:r>
      <w:r w:rsidR="00253A4B">
        <w:rPr>
          <w:rFonts w:asciiTheme="majorHAnsi" w:hAnsiTheme="majorHAnsi"/>
          <w:sz w:val="20"/>
          <w:szCs w:val="20"/>
        </w:rPr>
        <w:t>ook Ariel to the punishment cell</w:t>
      </w:r>
      <w:r w:rsidR="009C0062">
        <w:rPr>
          <w:rFonts w:asciiTheme="majorHAnsi" w:hAnsiTheme="majorHAnsi"/>
          <w:sz w:val="20"/>
          <w:szCs w:val="20"/>
        </w:rPr>
        <w:t>, because Ariel blocked his hand</w:t>
      </w:r>
      <w:r w:rsidR="00527C2D">
        <w:rPr>
          <w:rFonts w:asciiTheme="majorHAnsi" w:hAnsiTheme="majorHAnsi"/>
          <w:sz w:val="20"/>
          <w:szCs w:val="20"/>
        </w:rPr>
        <w:t xml:space="preserve"> when Lieutenant Alcaraz tried</w:t>
      </w:r>
      <w:r w:rsidR="009C0062">
        <w:rPr>
          <w:rFonts w:asciiTheme="majorHAnsi" w:hAnsiTheme="majorHAnsi"/>
          <w:sz w:val="20"/>
          <w:szCs w:val="20"/>
        </w:rPr>
        <w:t xml:space="preserve"> to slap him and at dinner time he was not with </w:t>
      </w:r>
      <w:r w:rsidR="003E7B13">
        <w:rPr>
          <w:rFonts w:asciiTheme="majorHAnsi" w:hAnsiTheme="majorHAnsi"/>
          <w:sz w:val="20"/>
          <w:szCs w:val="20"/>
        </w:rPr>
        <w:t>his</w:t>
      </w:r>
      <w:r w:rsidR="009C0062">
        <w:rPr>
          <w:rFonts w:asciiTheme="majorHAnsi" w:hAnsiTheme="majorHAnsi"/>
          <w:sz w:val="20"/>
          <w:szCs w:val="20"/>
        </w:rPr>
        <w:t xml:space="preserve"> other comrades, </w:t>
      </w:r>
      <w:r w:rsidR="003E7B13">
        <w:rPr>
          <w:rFonts w:asciiTheme="majorHAnsi" w:hAnsiTheme="majorHAnsi"/>
          <w:sz w:val="20"/>
          <w:szCs w:val="20"/>
        </w:rPr>
        <w:t xml:space="preserve">as it was the custom that they would all assemble there </w:t>
      </w:r>
      <w:r w:rsidRPr="00D65A97">
        <w:rPr>
          <w:rFonts w:asciiTheme="majorHAnsi" w:hAnsiTheme="majorHAnsi"/>
          <w:sz w:val="20"/>
          <w:szCs w:val="20"/>
        </w:rPr>
        <w:t xml:space="preserve">(…) 2) Mario Toñanez: </w:t>
      </w:r>
      <w:r w:rsidR="00CD4650">
        <w:rPr>
          <w:rFonts w:asciiTheme="majorHAnsi" w:hAnsiTheme="majorHAnsi"/>
          <w:sz w:val="20"/>
          <w:szCs w:val="20"/>
        </w:rPr>
        <w:t xml:space="preserve">childhood friend of Ariel, they were neighbors and he claims </w:t>
      </w:r>
      <w:r w:rsidRPr="00D65A97">
        <w:rPr>
          <w:rFonts w:asciiTheme="majorHAnsi" w:hAnsiTheme="majorHAnsi"/>
          <w:sz w:val="20"/>
          <w:szCs w:val="20"/>
        </w:rPr>
        <w:t xml:space="preserve">(…) </w:t>
      </w:r>
      <w:r w:rsidR="00CD4650">
        <w:rPr>
          <w:rFonts w:asciiTheme="majorHAnsi" w:hAnsiTheme="majorHAnsi"/>
          <w:sz w:val="20"/>
          <w:szCs w:val="20"/>
        </w:rPr>
        <w:t xml:space="preserve">that he was not sick on the day of his death. </w:t>
      </w:r>
      <w:r w:rsidRPr="00D65A97">
        <w:rPr>
          <w:rFonts w:asciiTheme="majorHAnsi" w:hAnsiTheme="majorHAnsi"/>
          <w:sz w:val="20"/>
          <w:szCs w:val="20"/>
        </w:rPr>
        <w:t xml:space="preserve">3) Carlos Villalva: </w:t>
      </w:r>
      <w:r w:rsidR="00A40DEA">
        <w:rPr>
          <w:rFonts w:asciiTheme="majorHAnsi" w:hAnsiTheme="majorHAnsi"/>
          <w:sz w:val="20"/>
          <w:szCs w:val="20"/>
        </w:rPr>
        <w:t xml:space="preserve">neighbor and friend of Ariel, who also claims that Ariel was not sick on the day of his death and was one of the people who </w:t>
      </w:r>
      <w:r w:rsidR="000034CF">
        <w:rPr>
          <w:rFonts w:asciiTheme="majorHAnsi" w:hAnsiTheme="majorHAnsi"/>
          <w:sz w:val="20"/>
          <w:szCs w:val="20"/>
        </w:rPr>
        <w:t xml:space="preserve">checked </w:t>
      </w:r>
      <w:r w:rsidR="00A40DEA">
        <w:rPr>
          <w:rFonts w:asciiTheme="majorHAnsi" w:hAnsiTheme="majorHAnsi"/>
          <w:sz w:val="20"/>
          <w:szCs w:val="20"/>
        </w:rPr>
        <w:t>Ariel’s body on January 11, 1996.</w:t>
      </w:r>
      <w:r w:rsidRPr="00A40DEA">
        <w:rPr>
          <w:rFonts w:asciiTheme="majorHAnsi" w:hAnsiTheme="majorHAnsi"/>
          <w:sz w:val="20"/>
          <w:szCs w:val="20"/>
          <w:vertAlign w:val="superscript"/>
        </w:rPr>
        <w:footnoteReference w:id="25"/>
      </w:r>
      <w:r w:rsidRPr="00D65A97">
        <w:rPr>
          <w:rFonts w:asciiTheme="majorHAnsi" w:hAnsiTheme="majorHAnsi"/>
          <w:sz w:val="20"/>
          <w:szCs w:val="20"/>
        </w:rPr>
        <w:t xml:space="preserve"> </w:t>
      </w:r>
    </w:p>
    <w:p w14:paraId="639D1ABB" w14:textId="77777777" w:rsidR="00300D46" w:rsidRPr="00D65A97" w:rsidRDefault="00300D46" w:rsidP="00300D46">
      <w:pPr>
        <w:ind w:left="360" w:firstLine="720"/>
        <w:jc w:val="both"/>
        <w:rPr>
          <w:rFonts w:asciiTheme="majorHAnsi" w:hAnsiTheme="majorHAnsi"/>
          <w:sz w:val="20"/>
          <w:szCs w:val="20"/>
        </w:rPr>
      </w:pPr>
    </w:p>
    <w:p w14:paraId="1D176FE5" w14:textId="3AA66BC4" w:rsidR="00300D46" w:rsidRPr="00D65A97" w:rsidRDefault="00A40DEA"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petitioner also contended that the following individuals chan</w:t>
      </w:r>
      <w:r w:rsidR="000B05E6">
        <w:rPr>
          <w:rFonts w:asciiTheme="majorHAnsi" w:hAnsiTheme="majorHAnsi"/>
          <w:sz w:val="20"/>
          <w:szCs w:val="20"/>
        </w:rPr>
        <w:t xml:space="preserve">ged their testimony for fear or because they were no longer interested in </w:t>
      </w:r>
      <w:r w:rsidR="002037A3">
        <w:rPr>
          <w:rFonts w:asciiTheme="majorHAnsi" w:hAnsiTheme="majorHAnsi"/>
          <w:sz w:val="20"/>
          <w:szCs w:val="20"/>
        </w:rPr>
        <w:t xml:space="preserve">helping to </w:t>
      </w:r>
      <w:r w:rsidR="00D7338D">
        <w:rPr>
          <w:rFonts w:asciiTheme="majorHAnsi" w:hAnsiTheme="majorHAnsi"/>
          <w:sz w:val="20"/>
          <w:szCs w:val="20"/>
        </w:rPr>
        <w:t xml:space="preserve">get to </w:t>
      </w:r>
      <w:r w:rsidR="002037A3">
        <w:rPr>
          <w:rFonts w:asciiTheme="majorHAnsi" w:hAnsiTheme="majorHAnsi"/>
          <w:sz w:val="20"/>
          <w:szCs w:val="20"/>
        </w:rPr>
        <w:t>the bottom of the circumstances of the death of the alleged victim, because of their proximity to the person</w:t>
      </w:r>
      <w:r w:rsidR="00537945">
        <w:rPr>
          <w:rFonts w:asciiTheme="majorHAnsi" w:hAnsiTheme="majorHAnsi"/>
          <w:sz w:val="20"/>
          <w:szCs w:val="20"/>
        </w:rPr>
        <w:t>s,</w:t>
      </w:r>
      <w:r w:rsidR="002037A3">
        <w:rPr>
          <w:rFonts w:asciiTheme="majorHAnsi" w:hAnsiTheme="majorHAnsi"/>
          <w:sz w:val="20"/>
          <w:szCs w:val="20"/>
        </w:rPr>
        <w:t xml:space="preserve"> who at the time of the events held leadership positions at the CIMEFOR: </w:t>
      </w:r>
    </w:p>
    <w:p w14:paraId="272C769D" w14:textId="77777777" w:rsidR="00300D46" w:rsidRPr="00D65A97" w:rsidRDefault="00300D46" w:rsidP="00300D46">
      <w:pPr>
        <w:pStyle w:val="ListParagraph"/>
        <w:rPr>
          <w:rFonts w:asciiTheme="majorHAnsi" w:hAnsiTheme="majorHAnsi"/>
          <w:sz w:val="20"/>
          <w:szCs w:val="20"/>
        </w:rPr>
      </w:pPr>
    </w:p>
    <w:p w14:paraId="6FCF3761" w14:textId="5B38A524" w:rsidR="00300D46" w:rsidRPr="00D65A97" w:rsidRDefault="00300D46" w:rsidP="00300D46">
      <w:pPr>
        <w:ind w:left="720" w:right="720"/>
        <w:jc w:val="both"/>
        <w:rPr>
          <w:rFonts w:asciiTheme="majorHAnsi" w:hAnsiTheme="majorHAnsi"/>
          <w:sz w:val="20"/>
          <w:szCs w:val="20"/>
        </w:rPr>
      </w:pPr>
      <w:r w:rsidRPr="00D65A97">
        <w:rPr>
          <w:rFonts w:asciiTheme="majorHAnsi" w:hAnsiTheme="majorHAnsi"/>
          <w:sz w:val="20"/>
          <w:szCs w:val="20"/>
        </w:rPr>
        <w:t xml:space="preserve">4) Paul Figueredo: </w:t>
      </w:r>
      <w:r w:rsidR="00AE743F">
        <w:rPr>
          <w:rFonts w:asciiTheme="majorHAnsi" w:hAnsiTheme="majorHAnsi"/>
          <w:sz w:val="20"/>
          <w:szCs w:val="20"/>
        </w:rPr>
        <w:t xml:space="preserve">he does not want to speak about the topic when I went to see him he said he was a night guardsman on the night of Ariel’s crime, </w:t>
      </w:r>
      <w:r w:rsidRPr="00D65A97">
        <w:rPr>
          <w:rFonts w:asciiTheme="majorHAnsi" w:hAnsiTheme="majorHAnsi"/>
          <w:sz w:val="20"/>
          <w:szCs w:val="20"/>
        </w:rPr>
        <w:t xml:space="preserve">5) Piris: </w:t>
      </w:r>
      <w:r w:rsidR="00AE743F">
        <w:rPr>
          <w:rFonts w:asciiTheme="majorHAnsi" w:hAnsiTheme="majorHAnsi"/>
          <w:sz w:val="20"/>
          <w:szCs w:val="20"/>
        </w:rPr>
        <w:t xml:space="preserve">Ariel’s bunkmate, he does not want to speak with me and he sent word through third parties that he is [not going to] face me, that he is very scared. </w:t>
      </w:r>
      <w:r w:rsidR="003124DD">
        <w:rPr>
          <w:rFonts w:asciiTheme="majorHAnsi" w:hAnsiTheme="majorHAnsi"/>
          <w:sz w:val="20"/>
          <w:szCs w:val="20"/>
        </w:rPr>
        <w:t xml:space="preserve">The same with </w:t>
      </w:r>
      <w:r w:rsidRPr="00D65A97">
        <w:rPr>
          <w:rFonts w:asciiTheme="majorHAnsi" w:hAnsiTheme="majorHAnsi"/>
          <w:sz w:val="20"/>
          <w:szCs w:val="20"/>
        </w:rPr>
        <w:t xml:space="preserve">Osmar Garcete, </w:t>
      </w:r>
      <w:r w:rsidR="00D81293">
        <w:rPr>
          <w:rFonts w:asciiTheme="majorHAnsi" w:hAnsiTheme="majorHAnsi"/>
          <w:sz w:val="20"/>
          <w:szCs w:val="20"/>
        </w:rPr>
        <w:t xml:space="preserve">he even became aggressive </w:t>
      </w:r>
      <w:r w:rsidR="00474703">
        <w:rPr>
          <w:rFonts w:asciiTheme="majorHAnsi" w:hAnsiTheme="majorHAnsi"/>
          <w:sz w:val="20"/>
          <w:szCs w:val="20"/>
        </w:rPr>
        <w:t xml:space="preserve">when </w:t>
      </w:r>
      <w:r w:rsidR="0078087A">
        <w:rPr>
          <w:rFonts w:asciiTheme="majorHAnsi" w:hAnsiTheme="majorHAnsi"/>
          <w:sz w:val="20"/>
          <w:szCs w:val="20"/>
        </w:rPr>
        <w:t>on one occasion I tried to speak with him</w:t>
      </w:r>
      <w:r w:rsidRPr="00D65A97">
        <w:rPr>
          <w:rFonts w:asciiTheme="majorHAnsi" w:hAnsiTheme="majorHAnsi"/>
          <w:sz w:val="20"/>
          <w:szCs w:val="20"/>
        </w:rPr>
        <w:t xml:space="preserve">. 6) Hugo Acuña: </w:t>
      </w:r>
      <w:r w:rsidR="0078087A">
        <w:rPr>
          <w:rFonts w:asciiTheme="majorHAnsi" w:hAnsiTheme="majorHAnsi"/>
          <w:sz w:val="20"/>
          <w:szCs w:val="20"/>
        </w:rPr>
        <w:t xml:space="preserve">he lives in </w:t>
      </w:r>
      <w:r w:rsidRPr="00D65A97">
        <w:rPr>
          <w:rFonts w:asciiTheme="majorHAnsi" w:hAnsiTheme="majorHAnsi"/>
          <w:sz w:val="20"/>
          <w:szCs w:val="20"/>
        </w:rPr>
        <w:t xml:space="preserve">Sapukai, </w:t>
      </w:r>
      <w:r w:rsidR="0078087A">
        <w:rPr>
          <w:rFonts w:asciiTheme="majorHAnsi" w:hAnsiTheme="majorHAnsi"/>
          <w:sz w:val="20"/>
          <w:szCs w:val="20"/>
        </w:rPr>
        <w:t xml:space="preserve">he was </w:t>
      </w:r>
      <w:r w:rsidR="009A5F94">
        <w:rPr>
          <w:rFonts w:asciiTheme="majorHAnsi" w:hAnsiTheme="majorHAnsi"/>
          <w:sz w:val="20"/>
          <w:szCs w:val="20"/>
        </w:rPr>
        <w:t xml:space="preserve">a </w:t>
      </w:r>
      <w:r w:rsidR="00264545">
        <w:rPr>
          <w:rFonts w:asciiTheme="majorHAnsi" w:hAnsiTheme="majorHAnsi"/>
          <w:sz w:val="20"/>
          <w:szCs w:val="20"/>
        </w:rPr>
        <w:lastRenderedPageBreak/>
        <w:t>friend of Ariel when he cam</w:t>
      </w:r>
      <w:r w:rsidR="00BE7DE7">
        <w:rPr>
          <w:rFonts w:asciiTheme="majorHAnsi" w:hAnsiTheme="majorHAnsi"/>
          <w:sz w:val="20"/>
          <w:szCs w:val="20"/>
        </w:rPr>
        <w:t>e</w:t>
      </w:r>
      <w:r w:rsidR="00264545">
        <w:rPr>
          <w:rFonts w:asciiTheme="majorHAnsi" w:hAnsiTheme="majorHAnsi"/>
          <w:sz w:val="20"/>
          <w:szCs w:val="20"/>
        </w:rPr>
        <w:t xml:space="preserve"> to his town of birth of Mariscal Estigarribia he told me he saw how they killed Ariel and then changed his story, </w:t>
      </w:r>
      <w:r w:rsidRPr="00D65A97">
        <w:rPr>
          <w:rFonts w:asciiTheme="majorHAnsi" w:hAnsiTheme="majorHAnsi"/>
          <w:sz w:val="20"/>
          <w:szCs w:val="20"/>
        </w:rPr>
        <w:t xml:space="preserve">7) Marcos Arza </w:t>
      </w:r>
      <w:r w:rsidR="004C4BB8">
        <w:rPr>
          <w:rFonts w:asciiTheme="majorHAnsi" w:hAnsiTheme="majorHAnsi"/>
          <w:sz w:val="20"/>
          <w:szCs w:val="20"/>
        </w:rPr>
        <w:t xml:space="preserve">was a comrade and paramedic, he was a close confident and friend of the senior officers and therefore did not show any interest in elucidating the circumstances </w:t>
      </w:r>
      <w:r w:rsidR="00C608E6">
        <w:rPr>
          <w:rFonts w:asciiTheme="majorHAnsi" w:hAnsiTheme="majorHAnsi"/>
          <w:sz w:val="20"/>
          <w:szCs w:val="20"/>
        </w:rPr>
        <w:t xml:space="preserve">in which my son Ariel was killed. </w:t>
      </w:r>
      <w:r w:rsidRPr="00D65A97">
        <w:rPr>
          <w:rFonts w:asciiTheme="majorHAnsi" w:hAnsiTheme="majorHAnsi"/>
          <w:sz w:val="20"/>
          <w:szCs w:val="20"/>
        </w:rPr>
        <w:t xml:space="preserve">8) Gustavo Saucedo: </w:t>
      </w:r>
      <w:r w:rsidR="0072026E">
        <w:rPr>
          <w:rFonts w:asciiTheme="majorHAnsi" w:hAnsiTheme="majorHAnsi"/>
          <w:sz w:val="20"/>
          <w:szCs w:val="20"/>
        </w:rPr>
        <w:t>he was also on night barracks guard duty.</w:t>
      </w:r>
      <w:r w:rsidRPr="00D65A97">
        <w:rPr>
          <w:rStyle w:val="FootnoteReference"/>
          <w:rFonts w:asciiTheme="majorHAnsi" w:hAnsiTheme="majorHAnsi"/>
          <w:sz w:val="20"/>
          <w:szCs w:val="20"/>
        </w:rPr>
        <w:footnoteReference w:id="26"/>
      </w:r>
    </w:p>
    <w:p w14:paraId="7B8C75FA" w14:textId="77777777" w:rsidR="00300D46" w:rsidRPr="00D65A97" w:rsidRDefault="00300D46" w:rsidP="00300D46">
      <w:pPr>
        <w:jc w:val="both"/>
        <w:rPr>
          <w:rFonts w:asciiTheme="majorHAnsi" w:hAnsiTheme="majorHAnsi"/>
          <w:sz w:val="20"/>
          <w:szCs w:val="20"/>
        </w:rPr>
      </w:pPr>
    </w:p>
    <w:p w14:paraId="5696EDD5" w14:textId="56CB316A" w:rsidR="00300D46" w:rsidRPr="00D65A97" w:rsidRDefault="00FB53D4"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petitioner added to the case file the audio recording of an interview with deputy Sergio López, who testified about the death of the alleged victim as follows:</w:t>
      </w:r>
      <w:r w:rsidR="00300D46" w:rsidRPr="00D65A97">
        <w:rPr>
          <w:rStyle w:val="FootnoteReference"/>
          <w:rFonts w:asciiTheme="majorHAnsi" w:hAnsiTheme="majorHAnsi"/>
          <w:sz w:val="20"/>
          <w:szCs w:val="20"/>
        </w:rPr>
        <w:footnoteReference w:id="27"/>
      </w:r>
      <w:r w:rsidR="00300D46" w:rsidRPr="00D65A97">
        <w:rPr>
          <w:rFonts w:asciiTheme="majorHAnsi" w:hAnsiTheme="majorHAnsi"/>
          <w:sz w:val="20"/>
          <w:szCs w:val="20"/>
        </w:rPr>
        <w:t xml:space="preserve"> </w:t>
      </w:r>
    </w:p>
    <w:p w14:paraId="772EE183" w14:textId="77777777" w:rsidR="00300D46" w:rsidRPr="00D65A97" w:rsidRDefault="00300D46" w:rsidP="00300D46">
      <w:pPr>
        <w:ind w:left="360"/>
        <w:jc w:val="both"/>
        <w:rPr>
          <w:rFonts w:asciiTheme="majorHAnsi" w:hAnsiTheme="majorHAnsi"/>
          <w:sz w:val="20"/>
          <w:szCs w:val="20"/>
        </w:rPr>
      </w:pPr>
    </w:p>
    <w:p w14:paraId="5C8E5653" w14:textId="05845DFB" w:rsidR="00300D46" w:rsidRPr="00D65A97" w:rsidRDefault="00300D46" w:rsidP="00300D46">
      <w:pPr>
        <w:ind w:left="720" w:right="720"/>
        <w:jc w:val="both"/>
        <w:rPr>
          <w:rFonts w:asciiTheme="majorHAnsi" w:hAnsiTheme="majorHAnsi"/>
          <w:sz w:val="20"/>
          <w:szCs w:val="20"/>
        </w:rPr>
      </w:pPr>
      <w:r w:rsidRPr="00D65A97">
        <w:rPr>
          <w:rFonts w:asciiTheme="majorHAnsi" w:hAnsiTheme="majorHAnsi"/>
          <w:b/>
          <w:sz w:val="20"/>
          <w:szCs w:val="20"/>
        </w:rPr>
        <w:t>“</w:t>
      </w:r>
      <w:r w:rsidR="00FB53D4">
        <w:rPr>
          <w:rFonts w:asciiTheme="majorHAnsi" w:hAnsiTheme="majorHAnsi"/>
          <w:sz w:val="20"/>
          <w:szCs w:val="20"/>
        </w:rPr>
        <w:t xml:space="preserve">something strange happened there, something out of place was done there with Ariel, but the thing is nobody dares to speak up </w:t>
      </w:r>
      <w:r w:rsidRPr="00D65A97">
        <w:rPr>
          <w:rFonts w:asciiTheme="majorHAnsi" w:hAnsiTheme="majorHAnsi"/>
          <w:sz w:val="20"/>
          <w:szCs w:val="20"/>
        </w:rPr>
        <w:t xml:space="preserve">(…) </w:t>
      </w:r>
      <w:r w:rsidR="00FB53D4">
        <w:rPr>
          <w:rFonts w:asciiTheme="majorHAnsi" w:hAnsiTheme="majorHAnsi"/>
          <w:sz w:val="20"/>
          <w:szCs w:val="20"/>
        </w:rPr>
        <w:t>they know, I know and they are keeping quiet, these people must say what happened to Ariel, when I went to Chaco I told him, right in f</w:t>
      </w:r>
      <w:r w:rsidR="0016740E">
        <w:rPr>
          <w:rFonts w:asciiTheme="majorHAnsi" w:hAnsiTheme="majorHAnsi"/>
          <w:sz w:val="20"/>
          <w:szCs w:val="20"/>
        </w:rPr>
        <w:t>ront of the generals, speak, talk</w:t>
      </w:r>
      <w:r w:rsidR="00FB53D4">
        <w:rPr>
          <w:rFonts w:asciiTheme="majorHAnsi" w:hAnsiTheme="majorHAnsi"/>
          <w:sz w:val="20"/>
          <w:szCs w:val="20"/>
        </w:rPr>
        <w:t xml:space="preserve"> </w:t>
      </w:r>
      <w:r w:rsidRPr="00D65A97">
        <w:rPr>
          <w:rFonts w:asciiTheme="majorHAnsi" w:hAnsiTheme="majorHAnsi"/>
          <w:sz w:val="20"/>
          <w:szCs w:val="20"/>
        </w:rPr>
        <w:t xml:space="preserve">(…) </w:t>
      </w:r>
      <w:r w:rsidR="00FB53D4">
        <w:rPr>
          <w:rFonts w:asciiTheme="majorHAnsi" w:hAnsiTheme="majorHAnsi"/>
          <w:sz w:val="20"/>
          <w:szCs w:val="20"/>
        </w:rPr>
        <w:t xml:space="preserve">but thus far these people [who know] Ariel still don’t have their discharge </w:t>
      </w:r>
      <w:r w:rsidRPr="00D65A97">
        <w:rPr>
          <w:rFonts w:asciiTheme="majorHAnsi" w:hAnsiTheme="majorHAnsi"/>
          <w:sz w:val="20"/>
          <w:szCs w:val="20"/>
        </w:rPr>
        <w:t xml:space="preserve">(…) </w:t>
      </w:r>
      <w:r w:rsidR="00FB53D4">
        <w:rPr>
          <w:rFonts w:asciiTheme="majorHAnsi" w:hAnsiTheme="majorHAnsi"/>
          <w:sz w:val="20"/>
          <w:szCs w:val="20"/>
        </w:rPr>
        <w:t xml:space="preserve">and there are people who promised that ‘when we get out we are going to talk while we don’t have our freedom of discharge we are not going to talk,’ I was told that, and I know </w:t>
      </w:r>
      <w:r w:rsidR="00DC5F4F">
        <w:rPr>
          <w:rFonts w:asciiTheme="majorHAnsi" w:hAnsiTheme="majorHAnsi"/>
          <w:sz w:val="20"/>
          <w:szCs w:val="20"/>
        </w:rPr>
        <w:t xml:space="preserve">also they promised his mother.” </w:t>
      </w:r>
    </w:p>
    <w:p w14:paraId="5B92922E" w14:textId="77777777" w:rsidR="00300D46" w:rsidRPr="00D65A97" w:rsidRDefault="00300D46" w:rsidP="00300D46">
      <w:pPr>
        <w:ind w:left="720"/>
        <w:jc w:val="both"/>
        <w:rPr>
          <w:rFonts w:asciiTheme="majorHAnsi" w:hAnsiTheme="majorHAnsi"/>
          <w:sz w:val="20"/>
          <w:szCs w:val="20"/>
        </w:rPr>
      </w:pPr>
    </w:p>
    <w:p w14:paraId="20FEDB5C" w14:textId="167AB5DA" w:rsidR="00300D46" w:rsidRPr="00D65A97" w:rsidRDefault="007D5669"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Likewise</w:t>
      </w:r>
      <w:r w:rsidR="00BA6B01">
        <w:rPr>
          <w:rFonts w:asciiTheme="majorHAnsi" w:hAnsiTheme="majorHAnsi"/>
          <w:sz w:val="20"/>
          <w:szCs w:val="20"/>
        </w:rPr>
        <w:t xml:space="preserve">, the testimony of </w:t>
      </w:r>
      <w:r w:rsidR="00187D31">
        <w:rPr>
          <w:rFonts w:asciiTheme="majorHAnsi" w:hAnsiTheme="majorHAnsi"/>
          <w:sz w:val="20"/>
          <w:szCs w:val="20"/>
        </w:rPr>
        <w:t xml:space="preserve">comrade </w:t>
      </w:r>
      <w:r w:rsidR="00A22DA7">
        <w:rPr>
          <w:rFonts w:asciiTheme="majorHAnsi" w:hAnsiTheme="majorHAnsi"/>
          <w:sz w:val="20"/>
          <w:szCs w:val="20"/>
        </w:rPr>
        <w:t xml:space="preserve">De la Cueva noted that the </w:t>
      </w:r>
      <w:r w:rsidR="00A22DA7">
        <w:rPr>
          <w:rFonts w:asciiTheme="majorHAnsi" w:hAnsiTheme="majorHAnsi"/>
          <w:i/>
          <w:sz w:val="20"/>
          <w:szCs w:val="20"/>
        </w:rPr>
        <w:t>des</w:t>
      </w:r>
      <w:r w:rsidR="00BA6B01">
        <w:rPr>
          <w:rFonts w:asciiTheme="majorHAnsi" w:hAnsiTheme="majorHAnsi"/>
          <w:i/>
          <w:sz w:val="20"/>
          <w:szCs w:val="20"/>
        </w:rPr>
        <w:t>c</w:t>
      </w:r>
      <w:r w:rsidR="00A22DA7">
        <w:rPr>
          <w:rFonts w:asciiTheme="majorHAnsi" w:hAnsiTheme="majorHAnsi"/>
          <w:i/>
          <w:sz w:val="20"/>
          <w:szCs w:val="20"/>
        </w:rPr>
        <w:t xml:space="preserve">uereos </w:t>
      </w:r>
      <w:r w:rsidR="00A22DA7">
        <w:rPr>
          <w:rFonts w:asciiTheme="majorHAnsi" w:hAnsiTheme="majorHAnsi"/>
          <w:sz w:val="20"/>
          <w:szCs w:val="20"/>
        </w:rPr>
        <w:t>(rough</w:t>
      </w:r>
      <w:r w:rsidR="00BA6B01">
        <w:rPr>
          <w:rFonts w:asciiTheme="majorHAnsi" w:hAnsiTheme="majorHAnsi"/>
          <w:sz w:val="20"/>
          <w:szCs w:val="20"/>
        </w:rPr>
        <w:t>ing up</w:t>
      </w:r>
      <w:r w:rsidR="00A22DA7">
        <w:rPr>
          <w:rFonts w:asciiTheme="majorHAnsi" w:hAnsiTheme="majorHAnsi"/>
          <w:sz w:val="20"/>
          <w:szCs w:val="20"/>
        </w:rPr>
        <w:t>) were part of daily</w:t>
      </w:r>
      <w:r w:rsidR="00970010">
        <w:rPr>
          <w:rFonts w:asciiTheme="majorHAnsi" w:hAnsiTheme="majorHAnsi"/>
          <w:sz w:val="20"/>
          <w:szCs w:val="20"/>
        </w:rPr>
        <w:t>,</w:t>
      </w:r>
      <w:r w:rsidR="00A22DA7">
        <w:rPr>
          <w:rFonts w:asciiTheme="majorHAnsi" w:hAnsiTheme="majorHAnsi"/>
          <w:sz w:val="20"/>
          <w:szCs w:val="20"/>
        </w:rPr>
        <w:t xml:space="preserve"> everyday life in the pre-military service.</w:t>
      </w:r>
      <w:r w:rsidR="00300D46" w:rsidRPr="00D65A97">
        <w:rPr>
          <w:rStyle w:val="FootnoteReference"/>
          <w:rFonts w:asciiTheme="majorHAnsi" w:hAnsiTheme="majorHAnsi"/>
          <w:sz w:val="20"/>
          <w:szCs w:val="20"/>
        </w:rPr>
        <w:footnoteReference w:id="28"/>
      </w:r>
    </w:p>
    <w:p w14:paraId="6C321A6E" w14:textId="77777777" w:rsidR="00300D46" w:rsidRPr="00D65A97" w:rsidRDefault="00300D46" w:rsidP="00300D46">
      <w:pPr>
        <w:ind w:firstLine="720"/>
        <w:jc w:val="both"/>
        <w:rPr>
          <w:rFonts w:asciiTheme="majorHAnsi" w:hAnsiTheme="majorHAnsi"/>
          <w:sz w:val="20"/>
          <w:szCs w:val="20"/>
        </w:rPr>
      </w:pPr>
    </w:p>
    <w:p w14:paraId="592CEF23" w14:textId="241F4901" w:rsidR="00300D46" w:rsidRPr="00D65A97" w:rsidRDefault="00FB07D0"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For its part, the State introduced in the case file the statements of 21 </w:t>
      </w:r>
      <w:r w:rsidR="00B615DE">
        <w:rPr>
          <w:rFonts w:asciiTheme="majorHAnsi" w:hAnsiTheme="majorHAnsi"/>
          <w:sz w:val="20"/>
          <w:szCs w:val="20"/>
        </w:rPr>
        <w:t xml:space="preserve">cadets </w:t>
      </w:r>
      <w:r>
        <w:rPr>
          <w:rFonts w:asciiTheme="majorHAnsi" w:hAnsiTheme="majorHAnsi"/>
          <w:sz w:val="20"/>
          <w:szCs w:val="20"/>
        </w:rPr>
        <w:t xml:space="preserve">and Lieutenant Alcaraz </w:t>
      </w:r>
      <w:r w:rsidR="00300D46" w:rsidRPr="00D65A97">
        <w:rPr>
          <w:rFonts w:asciiTheme="majorHAnsi" w:hAnsiTheme="majorHAnsi"/>
          <w:sz w:val="20"/>
          <w:szCs w:val="20"/>
        </w:rPr>
        <w:t>–</w:t>
      </w:r>
      <w:r>
        <w:rPr>
          <w:rFonts w:asciiTheme="majorHAnsi" w:hAnsiTheme="majorHAnsi"/>
          <w:sz w:val="20"/>
          <w:szCs w:val="20"/>
        </w:rPr>
        <w:t xml:space="preserve"> provided in the context of the investigation</w:t>
      </w:r>
      <w:r w:rsidR="00B930C1">
        <w:rPr>
          <w:rFonts w:asciiTheme="majorHAnsi" w:hAnsiTheme="majorHAnsi"/>
          <w:sz w:val="20"/>
          <w:szCs w:val="20"/>
        </w:rPr>
        <w:t xml:space="preserve"> in the military jurisdiction </w:t>
      </w:r>
      <w:r w:rsidR="00300D46" w:rsidRPr="00D65A97">
        <w:rPr>
          <w:rFonts w:asciiTheme="majorHAnsi" w:hAnsiTheme="majorHAnsi"/>
          <w:sz w:val="20"/>
          <w:szCs w:val="20"/>
        </w:rPr>
        <w:t xml:space="preserve">– </w:t>
      </w:r>
      <w:r w:rsidR="00B930C1">
        <w:rPr>
          <w:rFonts w:asciiTheme="majorHAnsi" w:hAnsiTheme="majorHAnsi"/>
          <w:sz w:val="20"/>
          <w:szCs w:val="20"/>
        </w:rPr>
        <w:t xml:space="preserve">in which it is recounted that the day before the </w:t>
      </w:r>
      <w:r w:rsidR="001731A6">
        <w:rPr>
          <w:rFonts w:asciiTheme="majorHAnsi" w:hAnsiTheme="majorHAnsi"/>
          <w:sz w:val="20"/>
          <w:szCs w:val="20"/>
        </w:rPr>
        <w:t xml:space="preserve">alleged victim’s </w:t>
      </w:r>
      <w:r w:rsidR="00B930C1">
        <w:rPr>
          <w:rFonts w:asciiTheme="majorHAnsi" w:hAnsiTheme="majorHAnsi"/>
          <w:sz w:val="20"/>
          <w:szCs w:val="20"/>
        </w:rPr>
        <w:t xml:space="preserve">death transpired normally, that the alleged victim did not receive any punishment and that </w:t>
      </w:r>
      <w:r w:rsidR="00AC47B6">
        <w:rPr>
          <w:rFonts w:asciiTheme="majorHAnsi" w:hAnsiTheme="majorHAnsi"/>
          <w:sz w:val="20"/>
          <w:szCs w:val="20"/>
        </w:rPr>
        <w:t xml:space="preserve">he was in notable </w:t>
      </w:r>
      <w:r w:rsidR="00B930C1">
        <w:rPr>
          <w:rFonts w:asciiTheme="majorHAnsi" w:hAnsiTheme="majorHAnsi"/>
          <w:sz w:val="20"/>
          <w:szCs w:val="20"/>
        </w:rPr>
        <w:t xml:space="preserve">physical </w:t>
      </w:r>
      <w:r w:rsidR="00AC47B6">
        <w:rPr>
          <w:rFonts w:asciiTheme="majorHAnsi" w:hAnsiTheme="majorHAnsi"/>
          <w:sz w:val="20"/>
          <w:szCs w:val="20"/>
        </w:rPr>
        <w:t>shape.</w:t>
      </w:r>
      <w:r w:rsidR="00B930C1">
        <w:rPr>
          <w:rFonts w:asciiTheme="majorHAnsi" w:hAnsiTheme="majorHAnsi"/>
          <w:sz w:val="20"/>
          <w:szCs w:val="20"/>
        </w:rPr>
        <w:t xml:space="preserve"> </w:t>
      </w:r>
      <w:r w:rsidR="00810CDD">
        <w:rPr>
          <w:rFonts w:asciiTheme="majorHAnsi" w:hAnsiTheme="majorHAnsi"/>
          <w:sz w:val="20"/>
          <w:szCs w:val="20"/>
        </w:rPr>
        <w:t xml:space="preserve">Additionally, all of them denied that the superior officers </w:t>
      </w:r>
      <w:r w:rsidR="00AC47B6">
        <w:rPr>
          <w:rFonts w:asciiTheme="majorHAnsi" w:hAnsiTheme="majorHAnsi"/>
          <w:sz w:val="20"/>
          <w:szCs w:val="20"/>
        </w:rPr>
        <w:t xml:space="preserve">meted </w:t>
      </w:r>
      <w:r w:rsidR="00810CDD">
        <w:rPr>
          <w:rFonts w:asciiTheme="majorHAnsi" w:hAnsiTheme="majorHAnsi"/>
          <w:sz w:val="20"/>
          <w:szCs w:val="20"/>
        </w:rPr>
        <w:t xml:space="preserve">out physical punishment </w:t>
      </w:r>
      <w:r w:rsidR="00B446CC">
        <w:rPr>
          <w:rFonts w:asciiTheme="majorHAnsi" w:hAnsiTheme="majorHAnsi"/>
          <w:sz w:val="20"/>
          <w:szCs w:val="20"/>
        </w:rPr>
        <w:t>and</w:t>
      </w:r>
      <w:r w:rsidR="003A2879">
        <w:rPr>
          <w:rFonts w:asciiTheme="majorHAnsi" w:hAnsiTheme="majorHAnsi"/>
          <w:sz w:val="20"/>
          <w:szCs w:val="20"/>
        </w:rPr>
        <w:t xml:space="preserve">, </w:t>
      </w:r>
      <w:r w:rsidR="00366C4E">
        <w:rPr>
          <w:rFonts w:asciiTheme="majorHAnsi" w:hAnsiTheme="majorHAnsi"/>
          <w:sz w:val="20"/>
          <w:szCs w:val="20"/>
        </w:rPr>
        <w:t>on the contrary</w:t>
      </w:r>
      <w:r w:rsidR="003A2879">
        <w:rPr>
          <w:rFonts w:asciiTheme="majorHAnsi" w:hAnsiTheme="majorHAnsi"/>
          <w:sz w:val="20"/>
          <w:szCs w:val="20"/>
        </w:rPr>
        <w:t>,</w:t>
      </w:r>
      <w:r w:rsidR="00B446CC">
        <w:rPr>
          <w:rFonts w:asciiTheme="majorHAnsi" w:hAnsiTheme="majorHAnsi"/>
          <w:sz w:val="20"/>
          <w:szCs w:val="20"/>
        </w:rPr>
        <w:t xml:space="preserve"> noted that </w:t>
      </w:r>
      <w:r w:rsidR="003A2879">
        <w:rPr>
          <w:rFonts w:asciiTheme="majorHAnsi" w:hAnsiTheme="majorHAnsi"/>
          <w:sz w:val="20"/>
          <w:szCs w:val="20"/>
        </w:rPr>
        <w:t xml:space="preserve">they received good treatment. </w:t>
      </w:r>
      <w:r w:rsidR="002A2D55">
        <w:rPr>
          <w:rFonts w:asciiTheme="majorHAnsi" w:hAnsiTheme="majorHAnsi"/>
          <w:sz w:val="20"/>
          <w:szCs w:val="20"/>
        </w:rPr>
        <w:t xml:space="preserve">The narrative of all of the declarants is similar and the transcripts reflect similar answers, often identical. </w:t>
      </w:r>
      <w:r w:rsidR="00DC3908">
        <w:rPr>
          <w:rFonts w:asciiTheme="majorHAnsi" w:hAnsiTheme="majorHAnsi"/>
          <w:sz w:val="20"/>
          <w:szCs w:val="20"/>
        </w:rPr>
        <w:t xml:space="preserve">The Commission also notes that everyone questioned concurred in that at around 1:00 in the morning on January 11, 1996, the alleged victim </w:t>
      </w:r>
      <w:r w:rsidR="00C54021">
        <w:rPr>
          <w:rFonts w:asciiTheme="majorHAnsi" w:hAnsiTheme="majorHAnsi"/>
          <w:sz w:val="20"/>
          <w:szCs w:val="20"/>
        </w:rPr>
        <w:t xml:space="preserve">uttered </w:t>
      </w:r>
      <w:r w:rsidR="00DC3908">
        <w:rPr>
          <w:rFonts w:asciiTheme="majorHAnsi" w:hAnsiTheme="majorHAnsi"/>
          <w:sz w:val="20"/>
          <w:szCs w:val="20"/>
        </w:rPr>
        <w:t>a kind of sound, that some of the declarants described as a coughing fit and othe</w:t>
      </w:r>
      <w:r w:rsidR="000D5386">
        <w:rPr>
          <w:rFonts w:asciiTheme="majorHAnsi" w:hAnsiTheme="majorHAnsi"/>
          <w:sz w:val="20"/>
          <w:szCs w:val="20"/>
        </w:rPr>
        <w:t xml:space="preserve">rs as a nightmare, </w:t>
      </w:r>
      <w:r w:rsidR="00E20646">
        <w:rPr>
          <w:rFonts w:asciiTheme="majorHAnsi" w:hAnsiTheme="majorHAnsi"/>
          <w:sz w:val="20"/>
          <w:szCs w:val="20"/>
        </w:rPr>
        <w:t xml:space="preserve">which apparently </w:t>
      </w:r>
      <w:r w:rsidR="00FD7A5D">
        <w:rPr>
          <w:rFonts w:asciiTheme="majorHAnsi" w:hAnsiTheme="majorHAnsi"/>
          <w:sz w:val="20"/>
          <w:szCs w:val="20"/>
        </w:rPr>
        <w:t xml:space="preserve">was </w:t>
      </w:r>
      <w:r w:rsidR="00E20646">
        <w:rPr>
          <w:rFonts w:asciiTheme="majorHAnsi" w:hAnsiTheme="majorHAnsi"/>
          <w:sz w:val="20"/>
          <w:szCs w:val="20"/>
        </w:rPr>
        <w:t xml:space="preserve">so loud that some of the </w:t>
      </w:r>
      <w:r w:rsidR="0066736A">
        <w:rPr>
          <w:rFonts w:asciiTheme="majorHAnsi" w:hAnsiTheme="majorHAnsi"/>
          <w:sz w:val="20"/>
          <w:szCs w:val="20"/>
        </w:rPr>
        <w:t xml:space="preserve">cadets </w:t>
      </w:r>
      <w:r w:rsidR="007707A5">
        <w:rPr>
          <w:rFonts w:asciiTheme="majorHAnsi" w:hAnsiTheme="majorHAnsi"/>
          <w:sz w:val="20"/>
          <w:szCs w:val="20"/>
        </w:rPr>
        <w:t>approached to massage his chest, in response to which the alleged victim only</w:t>
      </w:r>
      <w:r w:rsidR="005543EA">
        <w:rPr>
          <w:rFonts w:asciiTheme="majorHAnsi" w:hAnsiTheme="majorHAnsi"/>
          <w:sz w:val="20"/>
          <w:szCs w:val="20"/>
        </w:rPr>
        <w:t xml:space="preserve"> </w:t>
      </w:r>
      <w:r w:rsidR="006D04C3">
        <w:rPr>
          <w:rFonts w:asciiTheme="majorHAnsi" w:hAnsiTheme="majorHAnsi"/>
          <w:sz w:val="20"/>
          <w:szCs w:val="20"/>
        </w:rPr>
        <w:t>turn</w:t>
      </w:r>
      <w:r w:rsidR="0029530D">
        <w:rPr>
          <w:rFonts w:asciiTheme="majorHAnsi" w:hAnsiTheme="majorHAnsi"/>
          <w:sz w:val="20"/>
          <w:szCs w:val="20"/>
        </w:rPr>
        <w:t>ed</w:t>
      </w:r>
      <w:r w:rsidR="007707A5">
        <w:rPr>
          <w:rFonts w:asciiTheme="majorHAnsi" w:hAnsiTheme="majorHAnsi"/>
          <w:sz w:val="20"/>
          <w:szCs w:val="20"/>
        </w:rPr>
        <w:t xml:space="preserve"> over and continued sleeping.</w:t>
      </w:r>
      <w:r w:rsidR="00300D46" w:rsidRPr="00D65A97">
        <w:rPr>
          <w:rStyle w:val="FootnoteReference"/>
          <w:rFonts w:asciiTheme="majorHAnsi" w:hAnsiTheme="majorHAnsi"/>
          <w:sz w:val="20"/>
          <w:szCs w:val="20"/>
        </w:rPr>
        <w:footnoteReference w:id="29"/>
      </w:r>
      <w:r w:rsidR="00300D46" w:rsidRPr="00D65A97">
        <w:rPr>
          <w:rFonts w:asciiTheme="majorHAnsi" w:hAnsiTheme="majorHAnsi"/>
          <w:sz w:val="20"/>
          <w:szCs w:val="20"/>
        </w:rPr>
        <w:t xml:space="preserve"> </w:t>
      </w:r>
    </w:p>
    <w:p w14:paraId="2BDEF140" w14:textId="77777777" w:rsidR="00300D46" w:rsidRPr="00D65A97" w:rsidRDefault="00300D46" w:rsidP="00300D46">
      <w:pPr>
        <w:ind w:firstLine="720"/>
        <w:jc w:val="both"/>
        <w:rPr>
          <w:rFonts w:asciiTheme="majorHAnsi" w:hAnsiTheme="majorHAnsi"/>
          <w:sz w:val="20"/>
          <w:szCs w:val="20"/>
        </w:rPr>
      </w:pPr>
    </w:p>
    <w:p w14:paraId="22D9EE6E" w14:textId="738D741F" w:rsidR="00300D46" w:rsidRPr="00D65A97" w:rsidRDefault="00DA2F68"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Commission notes that the press consistently reported on and covered the death of the alleged victim concurring in that “in conversations with his classmates, they claimed that Ariel was in good health and that </w:t>
      </w:r>
      <w:r w:rsidR="00175CA3">
        <w:rPr>
          <w:rFonts w:asciiTheme="majorHAnsi" w:hAnsiTheme="majorHAnsi"/>
          <w:sz w:val="20"/>
          <w:szCs w:val="20"/>
        </w:rPr>
        <w:t xml:space="preserve">days earlier he manifested no symptom of any illness that would </w:t>
      </w:r>
      <w:r w:rsidR="007A6060">
        <w:rPr>
          <w:rFonts w:asciiTheme="majorHAnsi" w:hAnsiTheme="majorHAnsi"/>
          <w:sz w:val="20"/>
          <w:szCs w:val="20"/>
        </w:rPr>
        <w:t xml:space="preserve">jeopardize his life to the extreme of </w:t>
      </w:r>
      <w:r w:rsidR="004C00F0">
        <w:rPr>
          <w:rFonts w:asciiTheme="majorHAnsi" w:hAnsiTheme="majorHAnsi"/>
          <w:sz w:val="20"/>
          <w:szCs w:val="20"/>
        </w:rPr>
        <w:t xml:space="preserve">ending it </w:t>
      </w:r>
      <w:r w:rsidR="008E2DB7">
        <w:rPr>
          <w:rFonts w:asciiTheme="majorHAnsi" w:hAnsiTheme="majorHAnsi"/>
          <w:sz w:val="20"/>
          <w:szCs w:val="20"/>
        </w:rPr>
        <w:t>so suddenly” and that there was nothing abnormal in the health of the alleged victim.</w:t>
      </w:r>
      <w:r w:rsidR="00300D46" w:rsidRPr="00D65A97">
        <w:rPr>
          <w:rStyle w:val="FootnoteReference"/>
          <w:rFonts w:asciiTheme="majorHAnsi" w:hAnsiTheme="majorHAnsi"/>
          <w:sz w:val="20"/>
          <w:szCs w:val="20"/>
        </w:rPr>
        <w:footnoteReference w:id="30"/>
      </w:r>
      <w:r w:rsidR="008E2DB7">
        <w:rPr>
          <w:rFonts w:asciiTheme="majorHAnsi" w:hAnsiTheme="majorHAnsi"/>
          <w:sz w:val="20"/>
          <w:szCs w:val="20"/>
        </w:rPr>
        <w:t xml:space="preserve"> Additionally, there are press reports indicating that the residents living nearby the barracks saw that, the day before the death of the alleged victim, the CIMEFOR students conducted drills from 14:00 hours to 17:00 hours.</w:t>
      </w:r>
      <w:r w:rsidR="00300D46" w:rsidRPr="00D65A97">
        <w:rPr>
          <w:rStyle w:val="FootnoteReference"/>
          <w:rFonts w:asciiTheme="majorHAnsi" w:hAnsiTheme="majorHAnsi"/>
          <w:sz w:val="20"/>
          <w:szCs w:val="20"/>
        </w:rPr>
        <w:footnoteReference w:id="31"/>
      </w:r>
      <w:r w:rsidR="00AA5E2F">
        <w:rPr>
          <w:rFonts w:asciiTheme="majorHAnsi" w:hAnsiTheme="majorHAnsi"/>
          <w:sz w:val="20"/>
          <w:szCs w:val="20"/>
        </w:rPr>
        <w:t xml:space="preserve">  Also</w:t>
      </w:r>
      <w:r w:rsidR="008E4F99">
        <w:rPr>
          <w:rFonts w:asciiTheme="majorHAnsi" w:hAnsiTheme="majorHAnsi"/>
          <w:sz w:val="20"/>
          <w:szCs w:val="20"/>
        </w:rPr>
        <w:t xml:space="preserve">, several reports at the time </w:t>
      </w:r>
      <w:r w:rsidR="001D604D">
        <w:rPr>
          <w:rFonts w:asciiTheme="majorHAnsi" w:hAnsiTheme="majorHAnsi"/>
          <w:sz w:val="20"/>
          <w:szCs w:val="20"/>
        </w:rPr>
        <w:t>provide accounts of poor living conditions and of physical abuses in the context of the CIMEFOR program.</w:t>
      </w:r>
      <w:r w:rsidR="00300D46" w:rsidRPr="00D65A97">
        <w:rPr>
          <w:rStyle w:val="FootnoteReference"/>
          <w:rFonts w:asciiTheme="majorHAnsi" w:hAnsiTheme="majorHAnsi"/>
          <w:sz w:val="20"/>
          <w:szCs w:val="20"/>
        </w:rPr>
        <w:footnoteReference w:id="32"/>
      </w:r>
      <w:r w:rsidR="00300D46" w:rsidRPr="00D65A97">
        <w:rPr>
          <w:rFonts w:asciiTheme="majorHAnsi" w:hAnsiTheme="majorHAnsi"/>
          <w:sz w:val="20"/>
          <w:szCs w:val="20"/>
        </w:rPr>
        <w:t xml:space="preserve"> </w:t>
      </w:r>
    </w:p>
    <w:p w14:paraId="1D9CC50F" w14:textId="77777777" w:rsidR="00300D46" w:rsidRPr="00D65A97" w:rsidRDefault="00300D46" w:rsidP="00300D46">
      <w:pPr>
        <w:ind w:left="360" w:firstLine="720"/>
        <w:jc w:val="both"/>
        <w:rPr>
          <w:rFonts w:asciiTheme="majorHAnsi" w:hAnsiTheme="majorHAnsi"/>
          <w:sz w:val="20"/>
          <w:szCs w:val="20"/>
        </w:rPr>
      </w:pPr>
    </w:p>
    <w:p w14:paraId="224094C9" w14:textId="09733DBF" w:rsidR="00300D46" w:rsidRPr="00D65A97" w:rsidRDefault="00E5649F"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The alleged victim’s death certificate</w:t>
      </w:r>
      <w:r w:rsidR="0003342D">
        <w:rPr>
          <w:rFonts w:asciiTheme="majorHAnsi" w:hAnsiTheme="majorHAnsi"/>
          <w:sz w:val="20"/>
          <w:szCs w:val="20"/>
        </w:rPr>
        <w:t xml:space="preserve">, of January 11, 1996, lists as the cause of death the phrase “sudden death.” </w:t>
      </w:r>
      <w:r>
        <w:rPr>
          <w:rFonts w:asciiTheme="majorHAnsi" w:hAnsiTheme="majorHAnsi"/>
          <w:sz w:val="20"/>
          <w:szCs w:val="20"/>
        </w:rPr>
        <w:t xml:space="preserve"> </w:t>
      </w:r>
    </w:p>
    <w:p w14:paraId="2298AFAC" w14:textId="77777777" w:rsidR="00300D46" w:rsidRPr="00D65A97" w:rsidRDefault="00300D46" w:rsidP="00300D46">
      <w:pPr>
        <w:jc w:val="both"/>
        <w:rPr>
          <w:rFonts w:asciiTheme="majorHAnsi" w:hAnsiTheme="majorHAnsi"/>
          <w:b/>
          <w:sz w:val="20"/>
          <w:szCs w:val="20"/>
        </w:rPr>
      </w:pPr>
    </w:p>
    <w:p w14:paraId="56982C5B" w14:textId="516CC0C1" w:rsidR="00300D46" w:rsidRPr="00D65A97" w:rsidRDefault="00992E43" w:rsidP="00A17B98">
      <w:pPr>
        <w:pStyle w:val="Heading2"/>
        <w:ind w:hanging="720"/>
      </w:pPr>
      <w:bookmarkStart w:id="13" w:name="_Toc506095174"/>
      <w:r>
        <w:t xml:space="preserve">The inquiry into the cause of death of </w:t>
      </w:r>
      <w:r w:rsidR="00300D46" w:rsidRPr="00D65A97">
        <w:t xml:space="preserve">Vicente Ariel Noguera </w:t>
      </w:r>
      <w:r>
        <w:t xml:space="preserve">conducted in the military jurisdiction </w:t>
      </w:r>
      <w:bookmarkEnd w:id="13"/>
    </w:p>
    <w:p w14:paraId="26EA74DA" w14:textId="77777777" w:rsidR="00300D46" w:rsidRPr="00D65A97" w:rsidRDefault="00300D46" w:rsidP="00300D46">
      <w:pPr>
        <w:jc w:val="both"/>
        <w:rPr>
          <w:rFonts w:asciiTheme="majorHAnsi" w:hAnsiTheme="majorHAnsi"/>
          <w:b/>
          <w:sz w:val="20"/>
          <w:szCs w:val="20"/>
        </w:rPr>
      </w:pPr>
    </w:p>
    <w:p w14:paraId="0B91A837" w14:textId="7BBF5DBC" w:rsidR="00300D46" w:rsidRPr="00D65A97" w:rsidRDefault="0029059A"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According to the record</w:t>
      </w:r>
      <w:r w:rsidR="0043218E">
        <w:rPr>
          <w:rFonts w:asciiTheme="majorHAnsi" w:hAnsiTheme="majorHAnsi"/>
          <w:sz w:val="20"/>
          <w:szCs w:val="20"/>
        </w:rPr>
        <w:t>s</w:t>
      </w:r>
      <w:r>
        <w:rPr>
          <w:rFonts w:asciiTheme="majorHAnsi" w:hAnsiTheme="majorHAnsi"/>
          <w:sz w:val="20"/>
          <w:szCs w:val="20"/>
        </w:rPr>
        <w:t xml:space="preserve"> in the case file, on January 11, 1996, the Military Court of the Investigating Magistrate of the First </w:t>
      </w:r>
      <w:r w:rsidR="0043218E">
        <w:rPr>
          <w:rFonts w:asciiTheme="majorHAnsi" w:hAnsiTheme="majorHAnsi"/>
          <w:sz w:val="20"/>
          <w:szCs w:val="20"/>
        </w:rPr>
        <w:t xml:space="preserve">Rotation </w:t>
      </w:r>
      <w:r>
        <w:rPr>
          <w:rFonts w:asciiTheme="majorHAnsi" w:hAnsiTheme="majorHAnsi"/>
          <w:sz w:val="20"/>
          <w:szCs w:val="20"/>
        </w:rPr>
        <w:t>issued an Order to Open</w:t>
      </w:r>
      <w:r w:rsidR="00CB7F27">
        <w:rPr>
          <w:rFonts w:asciiTheme="majorHAnsi" w:hAnsiTheme="majorHAnsi"/>
          <w:sz w:val="20"/>
          <w:szCs w:val="20"/>
        </w:rPr>
        <w:t xml:space="preserve"> an Initial</w:t>
      </w:r>
      <w:r>
        <w:rPr>
          <w:rFonts w:asciiTheme="majorHAnsi" w:hAnsiTheme="majorHAnsi"/>
          <w:sz w:val="20"/>
          <w:szCs w:val="20"/>
        </w:rPr>
        <w:t xml:space="preserve"> Inquiry </w:t>
      </w:r>
      <w:r w:rsidR="00EA3025">
        <w:rPr>
          <w:rFonts w:asciiTheme="majorHAnsi" w:hAnsiTheme="majorHAnsi"/>
          <w:sz w:val="20"/>
          <w:szCs w:val="20"/>
        </w:rPr>
        <w:t xml:space="preserve">to get to the bottom of </w:t>
      </w:r>
      <w:r>
        <w:rPr>
          <w:rFonts w:asciiTheme="majorHAnsi" w:hAnsiTheme="majorHAnsi"/>
          <w:sz w:val="20"/>
          <w:szCs w:val="20"/>
        </w:rPr>
        <w:t>t</w:t>
      </w:r>
      <w:r w:rsidR="00E421BB">
        <w:rPr>
          <w:rFonts w:asciiTheme="majorHAnsi" w:hAnsiTheme="majorHAnsi"/>
          <w:sz w:val="20"/>
          <w:szCs w:val="20"/>
        </w:rPr>
        <w:t>he death of the alleged victim;</w:t>
      </w:r>
      <w:r w:rsidR="00FD30DD">
        <w:rPr>
          <w:rFonts w:asciiTheme="majorHAnsi" w:hAnsiTheme="majorHAnsi"/>
          <w:sz w:val="20"/>
          <w:szCs w:val="20"/>
        </w:rPr>
        <w:t xml:space="preserve"> </w:t>
      </w:r>
      <w:r w:rsidR="00EA3025">
        <w:rPr>
          <w:rFonts w:asciiTheme="majorHAnsi" w:hAnsiTheme="majorHAnsi"/>
          <w:sz w:val="20"/>
          <w:szCs w:val="20"/>
        </w:rPr>
        <w:t xml:space="preserve">identify and punish the culprit, culprits or accomplices and/or accessories after the fact. That same day, Doctor Juan Francisco Giménez was appointed to be in charge of the medical inspection and examination of the body of the alleged victim at the Regional Hospital of Mariscal Estigarribia, where the first forensic examination was performed before he was sent to Asunción for the respective autopsy. </w:t>
      </w:r>
      <w:r w:rsidR="00F52948">
        <w:rPr>
          <w:rFonts w:asciiTheme="majorHAnsi" w:hAnsiTheme="majorHAnsi"/>
          <w:sz w:val="20"/>
          <w:szCs w:val="20"/>
        </w:rPr>
        <w:t>The Commission takes note that the doctor testified</w:t>
      </w:r>
      <w:r w:rsidR="00326095">
        <w:rPr>
          <w:rFonts w:asciiTheme="majorHAnsi" w:hAnsiTheme="majorHAnsi"/>
          <w:sz w:val="20"/>
          <w:szCs w:val="20"/>
        </w:rPr>
        <w:t>:</w:t>
      </w:r>
      <w:r w:rsidR="00F52948">
        <w:rPr>
          <w:rFonts w:asciiTheme="majorHAnsi" w:hAnsiTheme="majorHAnsi"/>
          <w:sz w:val="20"/>
          <w:szCs w:val="20"/>
        </w:rPr>
        <w:t xml:space="preserve"> “on the body no signs or signals of visible physical violence</w:t>
      </w:r>
      <w:r w:rsidR="005C57D8">
        <w:rPr>
          <w:rFonts w:asciiTheme="majorHAnsi" w:hAnsiTheme="majorHAnsi"/>
          <w:sz w:val="20"/>
          <w:szCs w:val="20"/>
        </w:rPr>
        <w:t xml:space="preserve"> are apparent, except for the cadaveric marmoreal</w:t>
      </w:r>
      <w:r w:rsidR="00073950">
        <w:rPr>
          <w:rFonts w:asciiTheme="majorHAnsi" w:hAnsiTheme="majorHAnsi"/>
          <w:sz w:val="20"/>
          <w:szCs w:val="20"/>
        </w:rPr>
        <w:t xml:space="preserve"> spots of rigor mortis.</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33"/>
      </w:r>
      <w:r w:rsidR="00300D46" w:rsidRPr="00D65A97">
        <w:rPr>
          <w:rFonts w:asciiTheme="majorHAnsi" w:hAnsiTheme="majorHAnsi"/>
          <w:sz w:val="20"/>
          <w:szCs w:val="20"/>
        </w:rPr>
        <w:t xml:space="preserve"> </w:t>
      </w:r>
    </w:p>
    <w:p w14:paraId="6DEEF15D" w14:textId="77777777" w:rsidR="00300D46" w:rsidRPr="00D65A97" w:rsidRDefault="00300D46" w:rsidP="00300D46">
      <w:pPr>
        <w:ind w:left="360" w:firstLine="720"/>
        <w:jc w:val="both"/>
        <w:rPr>
          <w:rFonts w:asciiTheme="majorHAnsi" w:hAnsiTheme="majorHAnsi"/>
          <w:sz w:val="20"/>
          <w:szCs w:val="20"/>
        </w:rPr>
      </w:pPr>
    </w:p>
    <w:p w14:paraId="02AE5D26" w14:textId="007DD0F5" w:rsidR="00300D46" w:rsidRPr="00D65A97" w:rsidRDefault="00300D4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sidRPr="00D65A97">
        <w:rPr>
          <w:rFonts w:asciiTheme="majorHAnsi" w:hAnsiTheme="majorHAnsi"/>
          <w:sz w:val="20"/>
          <w:szCs w:val="20"/>
        </w:rPr>
        <w:t xml:space="preserve"> </w:t>
      </w:r>
      <w:r w:rsidR="001366CC">
        <w:rPr>
          <w:rFonts w:asciiTheme="majorHAnsi" w:hAnsiTheme="majorHAnsi"/>
          <w:sz w:val="20"/>
          <w:szCs w:val="20"/>
        </w:rPr>
        <w:t>Based on the case file in the military jurisdiction, the Commission</w:t>
      </w:r>
      <w:r w:rsidR="00D8635E">
        <w:rPr>
          <w:rFonts w:asciiTheme="majorHAnsi" w:hAnsiTheme="majorHAnsi"/>
          <w:sz w:val="20"/>
          <w:szCs w:val="20"/>
        </w:rPr>
        <w:t xml:space="preserve"> notes that</w:t>
      </w:r>
      <w:r w:rsidR="00326095">
        <w:rPr>
          <w:rFonts w:asciiTheme="majorHAnsi" w:hAnsiTheme="majorHAnsi"/>
          <w:sz w:val="20"/>
          <w:szCs w:val="20"/>
        </w:rPr>
        <w:t>, with the consent of the family,</w:t>
      </w:r>
      <w:r w:rsidR="00D8635E">
        <w:rPr>
          <w:rFonts w:asciiTheme="majorHAnsi" w:hAnsiTheme="majorHAnsi"/>
          <w:sz w:val="20"/>
          <w:szCs w:val="20"/>
        </w:rPr>
        <w:t xml:space="preserve"> the Judge, ordered the autopsy </w:t>
      </w:r>
      <w:r w:rsidR="001369CA">
        <w:rPr>
          <w:rFonts w:asciiTheme="majorHAnsi" w:hAnsiTheme="majorHAnsi"/>
          <w:sz w:val="20"/>
          <w:szCs w:val="20"/>
        </w:rPr>
        <w:t>to be performed at a private hospital called “Migone” in Asunción</w:t>
      </w:r>
      <w:r w:rsidR="008F49E4">
        <w:rPr>
          <w:rFonts w:asciiTheme="majorHAnsi" w:hAnsiTheme="majorHAnsi"/>
          <w:sz w:val="20"/>
          <w:szCs w:val="20"/>
        </w:rPr>
        <w:t>.</w:t>
      </w:r>
      <w:r w:rsidRPr="00D65A97">
        <w:rPr>
          <w:rStyle w:val="FootnoteReference"/>
          <w:rFonts w:asciiTheme="majorHAnsi" w:hAnsiTheme="majorHAnsi"/>
          <w:sz w:val="20"/>
          <w:szCs w:val="20"/>
        </w:rPr>
        <w:footnoteReference w:id="34"/>
      </w:r>
      <w:r w:rsidR="0036244C">
        <w:rPr>
          <w:rFonts w:asciiTheme="majorHAnsi" w:hAnsiTheme="majorHAnsi"/>
          <w:sz w:val="20"/>
          <w:szCs w:val="20"/>
        </w:rPr>
        <w:t xml:space="preserve"> The Commission takes note that the press reported the </w:t>
      </w:r>
      <w:r w:rsidR="00D7607D">
        <w:rPr>
          <w:rFonts w:asciiTheme="majorHAnsi" w:hAnsiTheme="majorHAnsi"/>
          <w:sz w:val="20"/>
          <w:szCs w:val="20"/>
        </w:rPr>
        <w:t xml:space="preserve">transfer from the </w:t>
      </w:r>
      <w:r w:rsidRPr="00D65A97">
        <w:rPr>
          <w:rFonts w:asciiTheme="majorHAnsi" w:hAnsiTheme="majorHAnsi"/>
          <w:sz w:val="20"/>
          <w:szCs w:val="20"/>
        </w:rPr>
        <w:t xml:space="preserve">Hospital Central </w:t>
      </w:r>
      <w:r w:rsidR="00D7607D">
        <w:rPr>
          <w:rFonts w:asciiTheme="majorHAnsi" w:hAnsiTheme="majorHAnsi"/>
          <w:sz w:val="20"/>
          <w:szCs w:val="20"/>
        </w:rPr>
        <w:t xml:space="preserve">of </w:t>
      </w:r>
      <w:r w:rsidRPr="00D65A97">
        <w:rPr>
          <w:rFonts w:asciiTheme="majorHAnsi" w:hAnsiTheme="majorHAnsi"/>
          <w:sz w:val="20"/>
          <w:szCs w:val="20"/>
        </w:rPr>
        <w:t xml:space="preserve">Mariscal Estigarribia </w:t>
      </w:r>
      <w:r w:rsidR="00D7607D">
        <w:rPr>
          <w:rFonts w:asciiTheme="majorHAnsi" w:hAnsiTheme="majorHAnsi"/>
          <w:sz w:val="20"/>
          <w:szCs w:val="20"/>
        </w:rPr>
        <w:t xml:space="preserve">to </w:t>
      </w:r>
      <w:r w:rsidRPr="00D65A97">
        <w:rPr>
          <w:rFonts w:asciiTheme="majorHAnsi" w:hAnsiTheme="majorHAnsi"/>
          <w:sz w:val="20"/>
          <w:szCs w:val="20"/>
        </w:rPr>
        <w:t xml:space="preserve">Hospital Migone, </w:t>
      </w:r>
      <w:r w:rsidR="00D7607D">
        <w:rPr>
          <w:rFonts w:asciiTheme="majorHAnsi" w:hAnsiTheme="majorHAnsi"/>
          <w:sz w:val="20"/>
          <w:szCs w:val="20"/>
        </w:rPr>
        <w:t>where the autopsy was to be performed, as an eventful</w:t>
      </w:r>
      <w:r w:rsidR="00057982">
        <w:rPr>
          <w:rFonts w:asciiTheme="majorHAnsi" w:hAnsiTheme="majorHAnsi"/>
          <w:sz w:val="20"/>
          <w:szCs w:val="20"/>
        </w:rPr>
        <w:t xml:space="preserve"> incident. In the press clippings introduced into the case file by the petitioner, accounts are given that “at the airport, the military members in charge of the custody of the airplane appeared quite tense and attempted to prevent access of the press to the runway, where the plane was parked</w:t>
      </w:r>
      <w:r w:rsidR="0095059A">
        <w:rPr>
          <w:rFonts w:asciiTheme="majorHAnsi" w:hAnsiTheme="majorHAnsi"/>
          <w:sz w:val="20"/>
          <w:szCs w:val="20"/>
        </w:rPr>
        <w:t>.</w:t>
      </w:r>
      <w:r w:rsidR="00E457B8">
        <w:rPr>
          <w:rFonts w:asciiTheme="majorHAnsi" w:hAnsiTheme="majorHAnsi"/>
          <w:sz w:val="20"/>
          <w:szCs w:val="20"/>
        </w:rPr>
        <w:t xml:space="preserve">” Likewise, the Commission notes a report that on the way to Hospital Migone “the ambulance driver </w:t>
      </w:r>
      <w:r w:rsidRPr="00D65A97">
        <w:rPr>
          <w:rFonts w:asciiTheme="majorHAnsi" w:hAnsiTheme="majorHAnsi"/>
          <w:sz w:val="20"/>
          <w:szCs w:val="20"/>
        </w:rPr>
        <w:t>–</w:t>
      </w:r>
      <w:r w:rsidR="00E457B8">
        <w:rPr>
          <w:rFonts w:asciiTheme="majorHAnsi" w:hAnsiTheme="majorHAnsi"/>
          <w:sz w:val="20"/>
          <w:szCs w:val="20"/>
        </w:rPr>
        <w:t>a low-ranking military member</w:t>
      </w:r>
      <w:r w:rsidRPr="00D65A97">
        <w:rPr>
          <w:rFonts w:asciiTheme="majorHAnsi" w:hAnsiTheme="majorHAnsi"/>
          <w:sz w:val="20"/>
          <w:szCs w:val="20"/>
        </w:rPr>
        <w:t xml:space="preserve">– </w:t>
      </w:r>
      <w:r w:rsidR="000D16E8">
        <w:rPr>
          <w:rFonts w:asciiTheme="majorHAnsi" w:hAnsiTheme="majorHAnsi"/>
          <w:sz w:val="20"/>
          <w:szCs w:val="20"/>
        </w:rPr>
        <w:t xml:space="preserve">made a detour to head toward the Military Hospital. </w:t>
      </w:r>
      <w:r w:rsidR="009A1AD6">
        <w:rPr>
          <w:rFonts w:asciiTheme="majorHAnsi" w:hAnsiTheme="majorHAnsi"/>
          <w:sz w:val="20"/>
          <w:szCs w:val="20"/>
        </w:rPr>
        <w:t>The grandfather of the deceased</w:t>
      </w:r>
      <w:r w:rsidR="00EE796D">
        <w:rPr>
          <w:rFonts w:asciiTheme="majorHAnsi" w:hAnsiTheme="majorHAnsi"/>
          <w:sz w:val="20"/>
          <w:szCs w:val="20"/>
        </w:rPr>
        <w:t>,</w:t>
      </w:r>
      <w:r w:rsidR="009A1AD6">
        <w:rPr>
          <w:rFonts w:asciiTheme="majorHAnsi" w:hAnsiTheme="majorHAnsi"/>
          <w:sz w:val="20"/>
          <w:szCs w:val="20"/>
        </w:rPr>
        <w:t xml:space="preserve"> </w:t>
      </w:r>
      <w:r w:rsidR="006B3007">
        <w:rPr>
          <w:rFonts w:asciiTheme="majorHAnsi" w:hAnsiTheme="majorHAnsi"/>
          <w:sz w:val="20"/>
          <w:szCs w:val="20"/>
        </w:rPr>
        <w:t xml:space="preserve">who was riding in the back of the ambulance, grabbed the driver by the neck and with the other hand on steering wheel, demanding that he head back to ‘Migone’ [hospital]. Finally, and under the responsibility of Captain Florenciañez, the ambulance headed to the establishment chosen by the family members </w:t>
      </w:r>
      <w:r w:rsidRPr="00D65A97">
        <w:rPr>
          <w:rFonts w:asciiTheme="majorHAnsi" w:hAnsiTheme="majorHAnsi"/>
          <w:sz w:val="20"/>
          <w:szCs w:val="20"/>
        </w:rPr>
        <w:t>(…)</w:t>
      </w:r>
      <w:r w:rsidR="006B3007">
        <w:rPr>
          <w:rFonts w:asciiTheme="majorHAnsi" w:hAnsiTheme="majorHAnsi"/>
          <w:sz w:val="20"/>
          <w:szCs w:val="20"/>
        </w:rPr>
        <w:t>.</w:t>
      </w:r>
      <w:r w:rsidRPr="00D65A97">
        <w:rPr>
          <w:rFonts w:asciiTheme="majorHAnsi" w:hAnsiTheme="majorHAnsi"/>
          <w:sz w:val="20"/>
          <w:szCs w:val="20"/>
        </w:rPr>
        <w:t>”</w:t>
      </w:r>
      <w:r w:rsidRPr="00D65A97">
        <w:rPr>
          <w:rStyle w:val="FootnoteReference"/>
          <w:rFonts w:asciiTheme="majorHAnsi" w:hAnsiTheme="majorHAnsi"/>
          <w:sz w:val="20"/>
          <w:szCs w:val="20"/>
        </w:rPr>
        <w:footnoteReference w:id="35"/>
      </w:r>
    </w:p>
    <w:p w14:paraId="76381EB1" w14:textId="77777777" w:rsidR="00300D46" w:rsidRPr="00D65A97" w:rsidRDefault="00300D46" w:rsidP="00300D46">
      <w:pPr>
        <w:ind w:left="360" w:firstLine="720"/>
        <w:jc w:val="both"/>
        <w:rPr>
          <w:rFonts w:asciiTheme="majorHAnsi" w:hAnsiTheme="majorHAnsi"/>
          <w:b/>
          <w:sz w:val="20"/>
          <w:szCs w:val="20"/>
        </w:rPr>
      </w:pPr>
    </w:p>
    <w:p w14:paraId="61FE6CBA" w14:textId="2696E82F" w:rsidR="00300D46" w:rsidRPr="00D65A97" w:rsidRDefault="00F85503"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According to </w:t>
      </w:r>
      <w:r w:rsidR="008D2637">
        <w:rPr>
          <w:rFonts w:asciiTheme="majorHAnsi" w:hAnsiTheme="majorHAnsi"/>
          <w:sz w:val="20"/>
          <w:szCs w:val="20"/>
        </w:rPr>
        <w:t>record</w:t>
      </w:r>
      <w:r>
        <w:rPr>
          <w:rFonts w:asciiTheme="majorHAnsi" w:hAnsiTheme="majorHAnsi"/>
          <w:sz w:val="20"/>
          <w:szCs w:val="20"/>
        </w:rPr>
        <w:t xml:space="preserve"> (no number), which was part of the military judicial case file, signed by the Magistrate investigating the case, the autopsy </w:t>
      </w:r>
      <w:r w:rsidR="005D2DAC">
        <w:rPr>
          <w:rFonts w:asciiTheme="majorHAnsi" w:hAnsiTheme="majorHAnsi"/>
          <w:sz w:val="20"/>
          <w:szCs w:val="20"/>
        </w:rPr>
        <w:t xml:space="preserve">was conducted at </w:t>
      </w:r>
      <w:r w:rsidR="00300D46" w:rsidRPr="00D65A97">
        <w:rPr>
          <w:rFonts w:asciiTheme="majorHAnsi" w:hAnsiTheme="majorHAnsi"/>
          <w:sz w:val="20"/>
          <w:szCs w:val="20"/>
        </w:rPr>
        <w:t xml:space="preserve">Hospital Migone </w:t>
      </w:r>
      <w:r w:rsidR="005D2DAC">
        <w:rPr>
          <w:rFonts w:asciiTheme="majorHAnsi" w:hAnsiTheme="majorHAnsi"/>
          <w:sz w:val="20"/>
          <w:szCs w:val="20"/>
        </w:rPr>
        <w:t xml:space="preserve">and was </w:t>
      </w:r>
      <w:r w:rsidR="00AA5556">
        <w:rPr>
          <w:rFonts w:asciiTheme="majorHAnsi" w:hAnsiTheme="majorHAnsi"/>
          <w:sz w:val="20"/>
          <w:szCs w:val="20"/>
        </w:rPr>
        <w:t xml:space="preserve">performed by Doctors </w:t>
      </w:r>
      <w:r w:rsidR="00300D46" w:rsidRPr="00D65A97">
        <w:rPr>
          <w:rFonts w:asciiTheme="majorHAnsi" w:hAnsiTheme="majorHAnsi"/>
          <w:sz w:val="20"/>
          <w:szCs w:val="20"/>
        </w:rPr>
        <w:t>Miguel Ángel Martínez Yaryes, H</w:t>
      </w:r>
      <w:r w:rsidR="00AA5556">
        <w:rPr>
          <w:rFonts w:asciiTheme="majorHAnsi" w:hAnsiTheme="majorHAnsi"/>
          <w:sz w:val="20"/>
          <w:szCs w:val="20"/>
        </w:rPr>
        <w:t>ugo Artemio Diez Pérez Benites and</w:t>
      </w:r>
      <w:r w:rsidR="00300D46" w:rsidRPr="00D65A97">
        <w:rPr>
          <w:rFonts w:asciiTheme="majorHAnsi" w:hAnsiTheme="majorHAnsi"/>
          <w:sz w:val="20"/>
          <w:szCs w:val="20"/>
        </w:rPr>
        <w:t xml:space="preserve"> Sinjulfo Marecos </w:t>
      </w:r>
      <w:r w:rsidR="00AA5556">
        <w:rPr>
          <w:rFonts w:asciiTheme="majorHAnsi" w:hAnsiTheme="majorHAnsi"/>
          <w:sz w:val="20"/>
          <w:szCs w:val="20"/>
        </w:rPr>
        <w:t xml:space="preserve">on January </w:t>
      </w:r>
      <w:r w:rsidR="00300D46" w:rsidRPr="00D65A97">
        <w:rPr>
          <w:rFonts w:asciiTheme="majorHAnsi" w:hAnsiTheme="majorHAnsi"/>
          <w:sz w:val="20"/>
          <w:szCs w:val="20"/>
        </w:rPr>
        <w:t>11</w:t>
      </w:r>
      <w:r w:rsidR="00AA5556">
        <w:rPr>
          <w:rFonts w:asciiTheme="majorHAnsi" w:hAnsiTheme="majorHAnsi"/>
          <w:sz w:val="20"/>
          <w:szCs w:val="20"/>
        </w:rPr>
        <w:t>,</w:t>
      </w:r>
      <w:r w:rsidR="00300D46" w:rsidRPr="00D65A97">
        <w:rPr>
          <w:rFonts w:asciiTheme="majorHAnsi" w:hAnsiTheme="majorHAnsi"/>
          <w:sz w:val="20"/>
          <w:szCs w:val="20"/>
        </w:rPr>
        <w:t xml:space="preserve"> 1996 </w:t>
      </w:r>
      <w:r w:rsidR="00AA5556">
        <w:rPr>
          <w:rFonts w:asciiTheme="majorHAnsi" w:hAnsiTheme="majorHAnsi"/>
          <w:sz w:val="20"/>
          <w:szCs w:val="20"/>
        </w:rPr>
        <w:t>from 16:45 to</w:t>
      </w:r>
      <w:r w:rsidR="00300D46" w:rsidRPr="00D65A97">
        <w:rPr>
          <w:rFonts w:asciiTheme="majorHAnsi" w:hAnsiTheme="majorHAnsi"/>
          <w:sz w:val="20"/>
          <w:szCs w:val="20"/>
        </w:rPr>
        <w:t xml:space="preserve"> 18:00 ho</w:t>
      </w:r>
      <w:r w:rsidR="00AE4714">
        <w:rPr>
          <w:rFonts w:asciiTheme="majorHAnsi" w:hAnsiTheme="majorHAnsi"/>
          <w:sz w:val="20"/>
          <w:szCs w:val="20"/>
        </w:rPr>
        <w:t>urs. The autopsy report,</w:t>
      </w:r>
      <w:r w:rsidR="00AA5556">
        <w:rPr>
          <w:rFonts w:asciiTheme="majorHAnsi" w:hAnsiTheme="majorHAnsi"/>
          <w:sz w:val="20"/>
          <w:szCs w:val="20"/>
        </w:rPr>
        <w:t xml:space="preserve"> of February 23, 1996, determined that the “principal pathology detected is pulmonary inflammation of the </w:t>
      </w:r>
      <w:r w:rsidR="00396E01">
        <w:rPr>
          <w:rFonts w:asciiTheme="majorHAnsi" w:hAnsiTheme="majorHAnsi"/>
          <w:sz w:val="20"/>
          <w:szCs w:val="20"/>
        </w:rPr>
        <w:t xml:space="preserve">PNEUMONITIS INTERSITITIAL variety with significant inflammatory type </w:t>
      </w:r>
      <w:r w:rsidR="00C25D43">
        <w:rPr>
          <w:rFonts w:asciiTheme="majorHAnsi" w:hAnsiTheme="majorHAnsi"/>
          <w:sz w:val="20"/>
          <w:szCs w:val="20"/>
        </w:rPr>
        <w:t xml:space="preserve">ALVEOLAR EDEMA, which </w:t>
      </w:r>
      <w:r w:rsidR="009C07F9">
        <w:rPr>
          <w:rFonts w:asciiTheme="majorHAnsi" w:hAnsiTheme="majorHAnsi"/>
          <w:sz w:val="20"/>
          <w:szCs w:val="20"/>
        </w:rPr>
        <w:t xml:space="preserve">is </w:t>
      </w:r>
      <w:r w:rsidR="00890147">
        <w:rPr>
          <w:rFonts w:asciiTheme="majorHAnsi" w:hAnsiTheme="majorHAnsi"/>
          <w:sz w:val="20"/>
          <w:szCs w:val="20"/>
        </w:rPr>
        <w:t>observed with variable in</w:t>
      </w:r>
      <w:r w:rsidR="00F32158">
        <w:rPr>
          <w:rFonts w:asciiTheme="majorHAnsi" w:hAnsiTheme="majorHAnsi"/>
          <w:sz w:val="20"/>
          <w:szCs w:val="20"/>
        </w:rPr>
        <w:t>tensity, between light and severe</w:t>
      </w:r>
      <w:r w:rsidR="00A52B99">
        <w:rPr>
          <w:rFonts w:asciiTheme="majorHAnsi" w:hAnsiTheme="majorHAnsi"/>
          <w:sz w:val="20"/>
          <w:szCs w:val="20"/>
        </w:rPr>
        <w:t xml:space="preserve"> on both lungs. </w:t>
      </w:r>
      <w:r w:rsidR="00CD50C7">
        <w:rPr>
          <w:rFonts w:asciiTheme="majorHAnsi" w:hAnsiTheme="majorHAnsi"/>
          <w:sz w:val="20"/>
          <w:szCs w:val="20"/>
        </w:rPr>
        <w:t xml:space="preserve">Another </w:t>
      </w:r>
      <w:r w:rsidR="004D5E77">
        <w:rPr>
          <w:rFonts w:asciiTheme="majorHAnsi" w:hAnsiTheme="majorHAnsi"/>
          <w:sz w:val="20"/>
          <w:szCs w:val="20"/>
        </w:rPr>
        <w:t xml:space="preserve">conspicuous </w:t>
      </w:r>
      <w:r w:rsidR="00CE13DE">
        <w:rPr>
          <w:rFonts w:asciiTheme="majorHAnsi" w:hAnsiTheme="majorHAnsi"/>
          <w:sz w:val="20"/>
          <w:szCs w:val="20"/>
        </w:rPr>
        <w:t>alteration is a congestion of almost all organs, of a passive type, of relative short duration, which can be in relation to a diffuse alteration of the vascular wall associated with a likely septic sho</w:t>
      </w:r>
      <w:r w:rsidR="00AE4714">
        <w:rPr>
          <w:rFonts w:asciiTheme="majorHAnsi" w:hAnsiTheme="majorHAnsi"/>
          <w:sz w:val="20"/>
          <w:szCs w:val="20"/>
        </w:rPr>
        <w:t>ck and cardiac functional alter</w:t>
      </w:r>
      <w:r w:rsidR="00CE13DE">
        <w:rPr>
          <w:rFonts w:asciiTheme="majorHAnsi" w:hAnsiTheme="majorHAnsi"/>
          <w:sz w:val="20"/>
          <w:szCs w:val="20"/>
        </w:rPr>
        <w:t>ation.” Based o</w:t>
      </w:r>
      <w:r w:rsidR="000A3488">
        <w:rPr>
          <w:rFonts w:asciiTheme="majorHAnsi" w:hAnsiTheme="majorHAnsi"/>
          <w:sz w:val="20"/>
          <w:szCs w:val="20"/>
        </w:rPr>
        <w:t>n the foregoing report, t</w:t>
      </w:r>
      <w:r w:rsidR="00CE13DE">
        <w:rPr>
          <w:rFonts w:asciiTheme="majorHAnsi" w:hAnsiTheme="majorHAnsi"/>
          <w:sz w:val="20"/>
          <w:szCs w:val="20"/>
        </w:rPr>
        <w:t>he case file</w:t>
      </w:r>
      <w:r w:rsidR="000A3488">
        <w:rPr>
          <w:rFonts w:asciiTheme="majorHAnsi" w:hAnsiTheme="majorHAnsi"/>
          <w:sz w:val="20"/>
          <w:szCs w:val="20"/>
        </w:rPr>
        <w:t xml:space="preserve"> shows</w:t>
      </w:r>
      <w:r w:rsidR="00CE13DE">
        <w:rPr>
          <w:rFonts w:asciiTheme="majorHAnsi" w:hAnsiTheme="majorHAnsi"/>
          <w:sz w:val="20"/>
          <w:szCs w:val="20"/>
        </w:rPr>
        <w:t xml:space="preserve"> that lung samples of the alleged victim were sent to the Center for Disease Control and Prevention (New Mexico, United States of America)</w:t>
      </w:r>
      <w:r w:rsidR="00017688">
        <w:rPr>
          <w:rFonts w:asciiTheme="majorHAnsi" w:hAnsiTheme="majorHAnsi"/>
          <w:sz w:val="20"/>
          <w:szCs w:val="20"/>
        </w:rPr>
        <w:t>, which</w:t>
      </w:r>
      <w:r w:rsidR="00CE13DE">
        <w:rPr>
          <w:rFonts w:asciiTheme="majorHAnsi" w:hAnsiTheme="majorHAnsi"/>
          <w:sz w:val="20"/>
          <w:szCs w:val="20"/>
        </w:rPr>
        <w:t xml:space="preserve"> in a report of March 20, 1996, ruled out that it was </w:t>
      </w:r>
      <w:r w:rsidR="00633A43">
        <w:rPr>
          <w:rFonts w:asciiTheme="majorHAnsi" w:hAnsiTheme="majorHAnsi"/>
          <w:sz w:val="20"/>
          <w:szCs w:val="20"/>
        </w:rPr>
        <w:t xml:space="preserve">Hantavirus </w:t>
      </w:r>
      <w:r w:rsidR="00CE13DE">
        <w:rPr>
          <w:rFonts w:asciiTheme="majorHAnsi" w:hAnsiTheme="majorHAnsi"/>
          <w:sz w:val="20"/>
          <w:szCs w:val="20"/>
        </w:rPr>
        <w:t xml:space="preserve">Pulmonary Syndrome. </w:t>
      </w:r>
    </w:p>
    <w:p w14:paraId="789E1939" w14:textId="77777777" w:rsidR="00300D46" w:rsidRPr="00D65A97" w:rsidRDefault="00300D46" w:rsidP="00300D46">
      <w:pPr>
        <w:ind w:firstLine="720"/>
        <w:rPr>
          <w:rFonts w:asciiTheme="majorHAnsi" w:hAnsiTheme="majorHAnsi"/>
          <w:sz w:val="20"/>
          <w:szCs w:val="20"/>
        </w:rPr>
      </w:pPr>
    </w:p>
    <w:p w14:paraId="643A90FF" w14:textId="58A6D03B" w:rsidR="00300D46" w:rsidRPr="00D65A97" w:rsidRDefault="00F00B28"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Additionally</w:t>
      </w:r>
      <w:r w:rsidR="00776CE4">
        <w:rPr>
          <w:rFonts w:asciiTheme="majorHAnsi" w:hAnsiTheme="majorHAnsi"/>
          <w:sz w:val="20"/>
          <w:szCs w:val="20"/>
        </w:rPr>
        <w:t xml:space="preserve">, the Commission </w:t>
      </w:r>
      <w:r w:rsidR="00CF41D6">
        <w:rPr>
          <w:rFonts w:asciiTheme="majorHAnsi" w:hAnsiTheme="majorHAnsi"/>
          <w:sz w:val="20"/>
          <w:szCs w:val="20"/>
        </w:rPr>
        <w:t xml:space="preserve">noticed </w:t>
      </w:r>
      <w:r w:rsidR="00776CE4">
        <w:rPr>
          <w:rFonts w:asciiTheme="majorHAnsi" w:hAnsiTheme="majorHAnsi"/>
          <w:sz w:val="20"/>
          <w:szCs w:val="20"/>
        </w:rPr>
        <w:t xml:space="preserve">that there was also a toxicological examination performed, </w:t>
      </w:r>
      <w:r w:rsidR="00FE7AE8">
        <w:rPr>
          <w:rFonts w:asciiTheme="majorHAnsi" w:hAnsiTheme="majorHAnsi"/>
          <w:sz w:val="20"/>
          <w:szCs w:val="20"/>
        </w:rPr>
        <w:t xml:space="preserve">on </w:t>
      </w:r>
      <w:r w:rsidR="00776CE4">
        <w:rPr>
          <w:rFonts w:asciiTheme="majorHAnsi" w:hAnsiTheme="majorHAnsi"/>
          <w:sz w:val="20"/>
          <w:szCs w:val="20"/>
        </w:rPr>
        <w:t xml:space="preserve">January 15, 1996, </w:t>
      </w:r>
      <w:r w:rsidR="00472A14">
        <w:rPr>
          <w:rFonts w:asciiTheme="majorHAnsi" w:hAnsiTheme="majorHAnsi"/>
          <w:sz w:val="20"/>
          <w:szCs w:val="20"/>
        </w:rPr>
        <w:t xml:space="preserve">the result of which </w:t>
      </w:r>
      <w:r w:rsidR="00776CE4">
        <w:rPr>
          <w:rFonts w:asciiTheme="majorHAnsi" w:hAnsiTheme="majorHAnsi"/>
          <w:sz w:val="20"/>
          <w:szCs w:val="20"/>
        </w:rPr>
        <w:t xml:space="preserve">was negative </w:t>
      </w:r>
      <w:r w:rsidR="009F0871">
        <w:rPr>
          <w:rFonts w:asciiTheme="majorHAnsi" w:hAnsiTheme="majorHAnsi"/>
          <w:sz w:val="20"/>
          <w:szCs w:val="20"/>
        </w:rPr>
        <w:t xml:space="preserve">for </w:t>
      </w:r>
      <w:r w:rsidR="00DC1CDB">
        <w:rPr>
          <w:rFonts w:asciiTheme="majorHAnsi" w:hAnsiTheme="majorHAnsi"/>
          <w:sz w:val="20"/>
          <w:szCs w:val="20"/>
        </w:rPr>
        <w:t xml:space="preserve">the </w:t>
      </w:r>
      <w:r w:rsidR="009F0871">
        <w:rPr>
          <w:rFonts w:asciiTheme="majorHAnsi" w:hAnsiTheme="majorHAnsi"/>
          <w:sz w:val="20"/>
          <w:szCs w:val="20"/>
        </w:rPr>
        <w:t>items it tested.</w:t>
      </w:r>
      <w:r w:rsidR="00300D46" w:rsidRPr="00D65A97">
        <w:rPr>
          <w:rStyle w:val="FootnoteReference"/>
          <w:rFonts w:asciiTheme="majorHAnsi" w:hAnsiTheme="majorHAnsi"/>
          <w:sz w:val="20"/>
          <w:szCs w:val="20"/>
        </w:rPr>
        <w:footnoteReference w:id="36"/>
      </w:r>
      <w:r w:rsidR="00300D46" w:rsidRPr="00D65A97">
        <w:rPr>
          <w:rFonts w:asciiTheme="majorHAnsi" w:hAnsiTheme="majorHAnsi"/>
          <w:sz w:val="20"/>
          <w:szCs w:val="20"/>
        </w:rPr>
        <w:t xml:space="preserve"> </w:t>
      </w:r>
      <w:r w:rsidR="00CF41D6">
        <w:rPr>
          <w:rFonts w:asciiTheme="majorHAnsi" w:hAnsiTheme="majorHAnsi"/>
          <w:sz w:val="20"/>
          <w:szCs w:val="20"/>
        </w:rPr>
        <w:t>The Commission</w:t>
      </w:r>
      <w:r w:rsidR="000F782D">
        <w:rPr>
          <w:rFonts w:asciiTheme="majorHAnsi" w:hAnsiTheme="majorHAnsi"/>
          <w:sz w:val="20"/>
          <w:szCs w:val="20"/>
        </w:rPr>
        <w:t xml:space="preserve"> notes that the report of the Military Prosecutor, which is part of the military jurisdiction case file, indicated that “</w:t>
      </w:r>
      <w:r w:rsidR="00761AFB">
        <w:rPr>
          <w:rFonts w:asciiTheme="majorHAnsi" w:hAnsiTheme="majorHAnsi"/>
          <w:sz w:val="20"/>
          <w:szCs w:val="20"/>
        </w:rPr>
        <w:t>the items from which the effective causes of the death could be inferred, have been exhaustively analyzed</w:t>
      </w:r>
      <w:r w:rsidR="00CF41D6">
        <w:rPr>
          <w:rFonts w:asciiTheme="majorHAnsi" w:hAnsiTheme="majorHAnsi"/>
          <w:sz w:val="20"/>
          <w:szCs w:val="20"/>
        </w:rPr>
        <w:t xml:space="preserve"> </w:t>
      </w:r>
      <w:r w:rsidR="00300D46" w:rsidRPr="00D65A97">
        <w:rPr>
          <w:rFonts w:asciiTheme="majorHAnsi" w:hAnsiTheme="majorHAnsi"/>
          <w:sz w:val="20"/>
          <w:szCs w:val="20"/>
        </w:rPr>
        <w:t xml:space="preserve">(…) </w:t>
      </w:r>
      <w:r w:rsidR="00761AFB">
        <w:rPr>
          <w:rFonts w:asciiTheme="majorHAnsi" w:hAnsiTheme="majorHAnsi"/>
          <w:sz w:val="20"/>
          <w:szCs w:val="20"/>
        </w:rPr>
        <w:t xml:space="preserve">that they could have been caused by mistreatment originated in service or by staff </w:t>
      </w:r>
      <w:r w:rsidR="006A5855">
        <w:rPr>
          <w:rFonts w:asciiTheme="majorHAnsi" w:hAnsiTheme="majorHAnsi"/>
          <w:sz w:val="20"/>
          <w:szCs w:val="20"/>
        </w:rPr>
        <w:t xml:space="preserve">of the senior hierarchy, coming </w:t>
      </w:r>
      <w:r w:rsidR="00761AFB">
        <w:rPr>
          <w:rFonts w:asciiTheme="majorHAnsi" w:hAnsiTheme="majorHAnsi"/>
          <w:sz w:val="20"/>
          <w:szCs w:val="20"/>
        </w:rPr>
        <w:t xml:space="preserve">to the conclusion </w:t>
      </w:r>
      <w:r w:rsidR="00447EFC" w:rsidRPr="003B5CE2">
        <w:rPr>
          <w:rFonts w:asciiTheme="majorHAnsi" w:hAnsiTheme="majorHAnsi"/>
          <w:i/>
          <w:sz w:val="20"/>
          <w:szCs w:val="20"/>
        </w:rPr>
        <w:t>prima facie</w:t>
      </w:r>
      <w:r w:rsidR="00447EFC">
        <w:rPr>
          <w:rFonts w:asciiTheme="majorHAnsi" w:hAnsiTheme="majorHAnsi"/>
          <w:sz w:val="20"/>
          <w:szCs w:val="20"/>
        </w:rPr>
        <w:t xml:space="preserve"> </w:t>
      </w:r>
      <w:r w:rsidR="00761AFB">
        <w:rPr>
          <w:rFonts w:asciiTheme="majorHAnsi" w:hAnsiTheme="majorHAnsi"/>
          <w:sz w:val="20"/>
          <w:szCs w:val="20"/>
        </w:rPr>
        <w:t>of non-existence of evidence of crimin</w:t>
      </w:r>
      <w:r w:rsidR="007221BC">
        <w:rPr>
          <w:rFonts w:asciiTheme="majorHAnsi" w:hAnsiTheme="majorHAnsi"/>
          <w:sz w:val="20"/>
          <w:szCs w:val="20"/>
        </w:rPr>
        <w:t>al intent.</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37"/>
      </w:r>
    </w:p>
    <w:p w14:paraId="35D9790E" w14:textId="77777777" w:rsidR="00300D46" w:rsidRPr="00D65A97" w:rsidRDefault="00300D46" w:rsidP="00300D46">
      <w:pPr>
        <w:ind w:left="360" w:firstLine="720"/>
        <w:jc w:val="both"/>
        <w:rPr>
          <w:rFonts w:asciiTheme="majorHAnsi" w:hAnsiTheme="majorHAnsi"/>
          <w:sz w:val="20"/>
          <w:szCs w:val="20"/>
        </w:rPr>
      </w:pPr>
    </w:p>
    <w:p w14:paraId="7305CF92" w14:textId="251D0A4B" w:rsidR="00300D46" w:rsidRPr="00D65A97" w:rsidRDefault="00E76DB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lastRenderedPageBreak/>
        <w:t xml:space="preserve">As to the testimonial </w:t>
      </w:r>
      <w:r w:rsidR="000E7AA1">
        <w:rPr>
          <w:rFonts w:asciiTheme="majorHAnsi" w:hAnsiTheme="majorHAnsi"/>
          <w:sz w:val="20"/>
          <w:szCs w:val="20"/>
        </w:rPr>
        <w:t xml:space="preserve">evidence </w:t>
      </w:r>
      <w:r>
        <w:rPr>
          <w:rFonts w:asciiTheme="majorHAnsi" w:hAnsiTheme="majorHAnsi"/>
          <w:sz w:val="20"/>
          <w:szCs w:val="20"/>
        </w:rPr>
        <w:t xml:space="preserve">in the context of this case, the Commission </w:t>
      </w:r>
      <w:r w:rsidR="00260FDB">
        <w:rPr>
          <w:rFonts w:asciiTheme="majorHAnsi" w:hAnsiTheme="majorHAnsi"/>
          <w:sz w:val="20"/>
          <w:szCs w:val="20"/>
        </w:rPr>
        <w:t xml:space="preserve">notes for </w:t>
      </w:r>
      <w:r w:rsidR="00D54D32">
        <w:rPr>
          <w:rFonts w:asciiTheme="majorHAnsi" w:hAnsiTheme="majorHAnsi"/>
          <w:sz w:val="20"/>
          <w:szCs w:val="20"/>
        </w:rPr>
        <w:t>the record that the statements of</w:t>
      </w:r>
      <w:r w:rsidR="005425AC">
        <w:rPr>
          <w:rFonts w:asciiTheme="majorHAnsi" w:hAnsiTheme="majorHAnsi"/>
          <w:sz w:val="20"/>
          <w:szCs w:val="20"/>
        </w:rPr>
        <w:t xml:space="preserve"> 21 </w:t>
      </w:r>
      <w:r w:rsidR="00AA4811">
        <w:rPr>
          <w:rFonts w:asciiTheme="majorHAnsi" w:hAnsiTheme="majorHAnsi"/>
          <w:sz w:val="20"/>
          <w:szCs w:val="20"/>
        </w:rPr>
        <w:t xml:space="preserve">cadets </w:t>
      </w:r>
      <w:r w:rsidR="002A3F43">
        <w:rPr>
          <w:rFonts w:asciiTheme="majorHAnsi" w:hAnsiTheme="majorHAnsi"/>
          <w:sz w:val="20"/>
          <w:szCs w:val="20"/>
        </w:rPr>
        <w:t xml:space="preserve">and </w:t>
      </w:r>
      <w:r w:rsidR="0068278A">
        <w:rPr>
          <w:rFonts w:asciiTheme="majorHAnsi" w:hAnsiTheme="majorHAnsi"/>
          <w:sz w:val="20"/>
          <w:szCs w:val="20"/>
        </w:rPr>
        <w:t xml:space="preserve">CIMEFOR officers appear </w:t>
      </w:r>
      <w:r w:rsidR="000E7AA1">
        <w:rPr>
          <w:rFonts w:asciiTheme="majorHAnsi" w:hAnsiTheme="majorHAnsi"/>
          <w:sz w:val="20"/>
          <w:szCs w:val="20"/>
        </w:rPr>
        <w:t xml:space="preserve">in the </w:t>
      </w:r>
      <w:r w:rsidR="00F27628">
        <w:rPr>
          <w:rFonts w:asciiTheme="majorHAnsi" w:hAnsiTheme="majorHAnsi"/>
          <w:sz w:val="20"/>
          <w:szCs w:val="20"/>
        </w:rPr>
        <w:t xml:space="preserve">court’s </w:t>
      </w:r>
      <w:r w:rsidR="000E7AA1">
        <w:rPr>
          <w:rFonts w:asciiTheme="majorHAnsi" w:hAnsiTheme="majorHAnsi"/>
          <w:sz w:val="20"/>
          <w:szCs w:val="20"/>
        </w:rPr>
        <w:t>file</w:t>
      </w:r>
      <w:r w:rsidR="00B97514">
        <w:rPr>
          <w:rFonts w:asciiTheme="majorHAnsi" w:hAnsiTheme="majorHAnsi"/>
          <w:sz w:val="20"/>
          <w:szCs w:val="20"/>
        </w:rPr>
        <w:t>, which were</w:t>
      </w:r>
      <w:r w:rsidR="005425AC">
        <w:rPr>
          <w:rFonts w:asciiTheme="majorHAnsi" w:hAnsiTheme="majorHAnsi"/>
          <w:sz w:val="20"/>
          <w:szCs w:val="20"/>
        </w:rPr>
        <w:t xml:space="preserve"> taken by the Investigating Magistrate, </w:t>
      </w:r>
      <w:r w:rsidR="009A5C33">
        <w:rPr>
          <w:rFonts w:asciiTheme="majorHAnsi" w:hAnsiTheme="majorHAnsi"/>
          <w:sz w:val="20"/>
          <w:szCs w:val="20"/>
        </w:rPr>
        <w:t xml:space="preserve">of which </w:t>
      </w:r>
      <w:r w:rsidR="005425AC">
        <w:rPr>
          <w:rFonts w:asciiTheme="majorHAnsi" w:hAnsiTheme="majorHAnsi"/>
          <w:sz w:val="20"/>
          <w:szCs w:val="20"/>
        </w:rPr>
        <w:t>the content</w:t>
      </w:r>
      <w:r w:rsidR="00D85CDE">
        <w:rPr>
          <w:rFonts w:asciiTheme="majorHAnsi" w:hAnsiTheme="majorHAnsi"/>
          <w:sz w:val="20"/>
          <w:szCs w:val="20"/>
        </w:rPr>
        <w:t>s</w:t>
      </w:r>
      <w:r w:rsidR="005425AC">
        <w:rPr>
          <w:rFonts w:asciiTheme="majorHAnsi" w:hAnsiTheme="majorHAnsi"/>
          <w:sz w:val="20"/>
          <w:szCs w:val="20"/>
        </w:rPr>
        <w:t xml:space="preserve"> </w:t>
      </w:r>
      <w:r w:rsidR="009A5C33">
        <w:rPr>
          <w:rFonts w:asciiTheme="majorHAnsi" w:hAnsiTheme="majorHAnsi"/>
          <w:sz w:val="20"/>
          <w:szCs w:val="20"/>
        </w:rPr>
        <w:t xml:space="preserve">and </w:t>
      </w:r>
      <w:r w:rsidR="00F676A1">
        <w:rPr>
          <w:rFonts w:asciiTheme="majorHAnsi" w:hAnsiTheme="majorHAnsi"/>
          <w:sz w:val="20"/>
          <w:szCs w:val="20"/>
        </w:rPr>
        <w:t xml:space="preserve">notable </w:t>
      </w:r>
      <w:r w:rsidR="005425AC">
        <w:rPr>
          <w:rFonts w:asciiTheme="majorHAnsi" w:hAnsiTheme="majorHAnsi"/>
          <w:sz w:val="20"/>
          <w:szCs w:val="20"/>
        </w:rPr>
        <w:t>similarity</w:t>
      </w:r>
      <w:r w:rsidR="00785207">
        <w:rPr>
          <w:rFonts w:asciiTheme="majorHAnsi" w:hAnsiTheme="majorHAnsi"/>
          <w:sz w:val="20"/>
          <w:szCs w:val="20"/>
        </w:rPr>
        <w:t xml:space="preserve"> to each other, </w:t>
      </w:r>
      <w:r w:rsidR="00DF2494">
        <w:rPr>
          <w:rFonts w:asciiTheme="majorHAnsi" w:hAnsiTheme="majorHAnsi"/>
          <w:sz w:val="20"/>
          <w:szCs w:val="20"/>
        </w:rPr>
        <w:t xml:space="preserve">were </w:t>
      </w:r>
      <w:r w:rsidR="005425AC">
        <w:rPr>
          <w:rFonts w:asciiTheme="majorHAnsi" w:hAnsiTheme="majorHAnsi"/>
          <w:sz w:val="20"/>
          <w:szCs w:val="20"/>
        </w:rPr>
        <w:t xml:space="preserve">described in paragraph 30 of this Report. </w:t>
      </w:r>
    </w:p>
    <w:p w14:paraId="40F90ACD" w14:textId="77777777" w:rsidR="00300D46" w:rsidRPr="00D65A97" w:rsidRDefault="00300D46" w:rsidP="00300D46">
      <w:pPr>
        <w:ind w:firstLine="720"/>
        <w:jc w:val="both"/>
        <w:rPr>
          <w:rFonts w:asciiTheme="majorHAnsi" w:hAnsiTheme="majorHAnsi"/>
          <w:sz w:val="20"/>
          <w:szCs w:val="20"/>
        </w:rPr>
      </w:pPr>
    </w:p>
    <w:p w14:paraId="2D203091" w14:textId="69264131" w:rsidR="00300D46" w:rsidRPr="00D65A97" w:rsidRDefault="008F52E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On October </w:t>
      </w:r>
      <w:r w:rsidR="00300D46" w:rsidRPr="00D65A97">
        <w:rPr>
          <w:rFonts w:asciiTheme="majorHAnsi" w:hAnsiTheme="majorHAnsi"/>
          <w:sz w:val="20"/>
          <w:szCs w:val="20"/>
        </w:rPr>
        <w:t>21</w:t>
      </w:r>
      <w:r>
        <w:rPr>
          <w:rFonts w:asciiTheme="majorHAnsi" w:hAnsiTheme="majorHAnsi"/>
          <w:sz w:val="20"/>
          <w:szCs w:val="20"/>
        </w:rPr>
        <w:t>,</w:t>
      </w:r>
      <w:r w:rsidR="00300D46" w:rsidRPr="00D65A97">
        <w:rPr>
          <w:rFonts w:asciiTheme="majorHAnsi" w:hAnsiTheme="majorHAnsi"/>
          <w:sz w:val="20"/>
          <w:szCs w:val="20"/>
        </w:rPr>
        <w:t xml:space="preserve"> 1997</w:t>
      </w:r>
      <w:r w:rsidR="00FC7D48">
        <w:rPr>
          <w:rFonts w:asciiTheme="majorHAnsi" w:hAnsiTheme="majorHAnsi"/>
          <w:sz w:val="20"/>
          <w:szCs w:val="20"/>
        </w:rPr>
        <w:t>, Military Trial Court</w:t>
      </w:r>
      <w:r w:rsidR="005108BB">
        <w:rPr>
          <w:rFonts w:asciiTheme="majorHAnsi" w:hAnsiTheme="majorHAnsi"/>
          <w:sz w:val="20"/>
          <w:szCs w:val="20"/>
        </w:rPr>
        <w:t xml:space="preserve"> of</w:t>
      </w:r>
      <w:r w:rsidR="005108BB" w:rsidRPr="005108BB">
        <w:rPr>
          <w:rFonts w:asciiTheme="majorHAnsi" w:hAnsiTheme="majorHAnsi"/>
          <w:sz w:val="20"/>
          <w:szCs w:val="20"/>
        </w:rPr>
        <w:t xml:space="preserve"> </w:t>
      </w:r>
      <w:r w:rsidR="005108BB">
        <w:rPr>
          <w:rFonts w:asciiTheme="majorHAnsi" w:hAnsiTheme="majorHAnsi"/>
          <w:sz w:val="20"/>
          <w:szCs w:val="20"/>
        </w:rPr>
        <w:t>the First Rotation</w:t>
      </w:r>
      <w:r w:rsidR="00FC7D48">
        <w:rPr>
          <w:rFonts w:asciiTheme="majorHAnsi" w:hAnsiTheme="majorHAnsi"/>
          <w:sz w:val="20"/>
          <w:szCs w:val="20"/>
        </w:rPr>
        <w:t xml:space="preserve"> </w:t>
      </w:r>
      <w:r w:rsidR="00BC1147">
        <w:rPr>
          <w:rFonts w:asciiTheme="majorHAnsi" w:hAnsiTheme="majorHAnsi"/>
          <w:sz w:val="20"/>
          <w:szCs w:val="20"/>
        </w:rPr>
        <w:t>dismissed of the case on the grounds that</w:t>
      </w:r>
      <w:r w:rsidR="00FC7D48">
        <w:rPr>
          <w:rFonts w:asciiTheme="majorHAnsi" w:hAnsiTheme="majorHAnsi"/>
          <w:sz w:val="20"/>
          <w:szCs w:val="20"/>
        </w:rPr>
        <w:t xml:space="preserve"> there was no criminal offense to investigate or criminal to punish. </w:t>
      </w:r>
      <w:r w:rsidR="004232C5">
        <w:rPr>
          <w:rFonts w:asciiTheme="majorHAnsi" w:hAnsiTheme="majorHAnsi"/>
          <w:sz w:val="20"/>
          <w:szCs w:val="20"/>
        </w:rPr>
        <w:t xml:space="preserve">Accordingly, it ordered the matter to be archived, in accordance with Article 199 of the Military Code of Criminal Procedure. The Commission notes that </w:t>
      </w:r>
      <w:r w:rsidR="005A118D">
        <w:rPr>
          <w:rFonts w:asciiTheme="majorHAnsi" w:hAnsiTheme="majorHAnsi"/>
          <w:sz w:val="20"/>
          <w:szCs w:val="20"/>
        </w:rPr>
        <w:t>the Court mentions in it’s recitals of fact the existence of the report of Prosecutor 157</w:t>
      </w:r>
      <w:r w:rsidR="00EF19CE">
        <w:rPr>
          <w:rFonts w:asciiTheme="majorHAnsi" w:hAnsiTheme="majorHAnsi"/>
          <w:sz w:val="20"/>
          <w:szCs w:val="20"/>
        </w:rPr>
        <w:t>, of October 6, 1997, in which the Military Prosecuting Attorney concluded that there were no “indications pointing to anyone</w:t>
      </w:r>
      <w:r w:rsidR="007F4285">
        <w:rPr>
          <w:rFonts w:asciiTheme="majorHAnsi" w:hAnsiTheme="majorHAnsi"/>
          <w:sz w:val="20"/>
          <w:szCs w:val="20"/>
        </w:rPr>
        <w:t xml:space="preserve"> at all as responsible for the incident investigated in the proceedings and, therefore, in the judgment of this Office of the Prosecutor, a order to dismiss must be issued for the instant case and the archiving of these case proceedings.” Without prejudice to the foregoing, the Commission </w:t>
      </w:r>
      <w:r w:rsidR="00E52C3D">
        <w:rPr>
          <w:rFonts w:asciiTheme="majorHAnsi" w:hAnsiTheme="majorHAnsi"/>
          <w:sz w:val="20"/>
          <w:szCs w:val="20"/>
        </w:rPr>
        <w:t xml:space="preserve">notes for </w:t>
      </w:r>
      <w:r w:rsidR="007F4285">
        <w:rPr>
          <w:rFonts w:asciiTheme="majorHAnsi" w:hAnsiTheme="majorHAnsi"/>
          <w:sz w:val="20"/>
          <w:szCs w:val="20"/>
        </w:rPr>
        <w:t>the record that this Military Prosec</w:t>
      </w:r>
      <w:r w:rsidR="00D10EF4">
        <w:rPr>
          <w:rFonts w:asciiTheme="majorHAnsi" w:hAnsiTheme="majorHAnsi"/>
          <w:sz w:val="20"/>
          <w:szCs w:val="20"/>
        </w:rPr>
        <w:t>utor’s Report is not part of its</w:t>
      </w:r>
      <w:r w:rsidR="007F4285">
        <w:rPr>
          <w:rFonts w:asciiTheme="majorHAnsi" w:hAnsiTheme="majorHAnsi"/>
          <w:sz w:val="20"/>
          <w:szCs w:val="20"/>
        </w:rPr>
        <w:t xml:space="preserve"> case file. </w:t>
      </w:r>
    </w:p>
    <w:p w14:paraId="46F3F933" w14:textId="77777777" w:rsidR="00300D46" w:rsidRPr="00D65A97" w:rsidRDefault="00300D46" w:rsidP="00300D46">
      <w:pPr>
        <w:ind w:left="360"/>
        <w:jc w:val="both"/>
        <w:rPr>
          <w:rFonts w:asciiTheme="majorHAnsi" w:hAnsiTheme="majorHAnsi"/>
          <w:sz w:val="20"/>
          <w:szCs w:val="20"/>
        </w:rPr>
      </w:pPr>
    </w:p>
    <w:p w14:paraId="18AC0128" w14:textId="39123F2E" w:rsidR="00300D46" w:rsidRPr="00D65A97" w:rsidRDefault="0013260D" w:rsidP="00A17B98">
      <w:pPr>
        <w:pStyle w:val="Heading2"/>
        <w:ind w:hanging="720"/>
      </w:pPr>
      <w:bookmarkStart w:id="14" w:name="_Toc506095175"/>
      <w:r>
        <w:t xml:space="preserve">The “request for a judicial investigation” to the </w:t>
      </w:r>
      <w:r w:rsidR="000043CF">
        <w:t xml:space="preserve">Public Prosecutor’s Office and filing of a formal private criminal complaint for the crimes of homicide, bodily harm and abuse of authority with the Court for Criminal Matters </w:t>
      </w:r>
      <w:r w:rsidR="00300D46" w:rsidRPr="00D65A97">
        <w:t xml:space="preserve"> </w:t>
      </w:r>
      <w:bookmarkEnd w:id="14"/>
    </w:p>
    <w:p w14:paraId="19B51707" w14:textId="77777777" w:rsidR="00300D46" w:rsidRPr="00D65A97" w:rsidRDefault="00300D46" w:rsidP="00300D46">
      <w:pPr>
        <w:ind w:left="1440"/>
        <w:jc w:val="both"/>
        <w:rPr>
          <w:rFonts w:asciiTheme="majorHAnsi" w:hAnsiTheme="majorHAnsi"/>
          <w:b/>
          <w:sz w:val="20"/>
          <w:szCs w:val="20"/>
        </w:rPr>
      </w:pPr>
      <w:r w:rsidRPr="00D65A97">
        <w:rPr>
          <w:rFonts w:asciiTheme="majorHAnsi" w:hAnsiTheme="majorHAnsi"/>
          <w:b/>
          <w:sz w:val="20"/>
          <w:szCs w:val="20"/>
        </w:rPr>
        <w:t xml:space="preserve"> </w:t>
      </w:r>
    </w:p>
    <w:p w14:paraId="5341238F" w14:textId="25F96C09" w:rsidR="00300D46" w:rsidRPr="00D65A97" w:rsidRDefault="000043CF"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Commission notes that the</w:t>
      </w:r>
      <w:r w:rsidR="00FB3CFA">
        <w:rPr>
          <w:rFonts w:asciiTheme="majorHAnsi" w:hAnsiTheme="majorHAnsi"/>
          <w:sz w:val="20"/>
          <w:szCs w:val="20"/>
        </w:rPr>
        <w:t>r</w:t>
      </w:r>
      <w:r>
        <w:rPr>
          <w:rFonts w:asciiTheme="majorHAnsi" w:hAnsiTheme="majorHAnsi"/>
          <w:sz w:val="20"/>
          <w:szCs w:val="20"/>
        </w:rPr>
        <w:t>e are two letters in the case file –</w:t>
      </w:r>
      <w:r w:rsidR="00B06CE9">
        <w:rPr>
          <w:rFonts w:asciiTheme="majorHAnsi" w:hAnsiTheme="majorHAnsi"/>
          <w:sz w:val="20"/>
          <w:szCs w:val="20"/>
        </w:rPr>
        <w:t xml:space="preserve">one </w:t>
      </w:r>
      <w:r>
        <w:rPr>
          <w:rFonts w:asciiTheme="majorHAnsi" w:hAnsiTheme="majorHAnsi"/>
          <w:sz w:val="20"/>
          <w:szCs w:val="20"/>
        </w:rPr>
        <w:t>from January 17, 1996</w:t>
      </w:r>
      <w:r w:rsidR="00300D46" w:rsidRPr="00D65A97">
        <w:rPr>
          <w:rStyle w:val="FootnoteReference"/>
          <w:rFonts w:asciiTheme="majorHAnsi" w:hAnsiTheme="majorHAnsi"/>
          <w:sz w:val="20"/>
          <w:szCs w:val="20"/>
        </w:rPr>
        <w:footnoteReference w:id="38"/>
      </w:r>
      <w:r>
        <w:rPr>
          <w:rFonts w:asciiTheme="majorHAnsi" w:hAnsiTheme="majorHAnsi"/>
          <w:sz w:val="20"/>
          <w:szCs w:val="20"/>
        </w:rPr>
        <w:t xml:space="preserve"> and </w:t>
      </w:r>
      <w:r w:rsidR="00B06CE9">
        <w:rPr>
          <w:rFonts w:asciiTheme="majorHAnsi" w:hAnsiTheme="majorHAnsi"/>
          <w:sz w:val="20"/>
          <w:szCs w:val="20"/>
        </w:rPr>
        <w:t xml:space="preserve">one </w:t>
      </w:r>
      <w:r>
        <w:rPr>
          <w:rFonts w:asciiTheme="majorHAnsi" w:hAnsiTheme="majorHAnsi"/>
          <w:sz w:val="20"/>
          <w:szCs w:val="20"/>
        </w:rPr>
        <w:t>from July 29, 1996</w:t>
      </w:r>
      <w:r w:rsidR="002020C5">
        <w:rPr>
          <w:rFonts w:asciiTheme="majorHAnsi" w:hAnsiTheme="majorHAnsi"/>
          <w:sz w:val="20"/>
          <w:szCs w:val="20"/>
        </w:rPr>
        <w:t>-</w:t>
      </w:r>
      <w:r w:rsidR="00300D46" w:rsidRPr="00D65A97">
        <w:rPr>
          <w:rStyle w:val="FootnoteReference"/>
          <w:rFonts w:asciiTheme="majorHAnsi" w:hAnsiTheme="majorHAnsi"/>
          <w:sz w:val="20"/>
          <w:szCs w:val="20"/>
        </w:rPr>
        <w:footnoteReference w:id="39"/>
      </w:r>
      <w:r w:rsidR="00300D46" w:rsidRPr="00D65A97">
        <w:rPr>
          <w:rFonts w:asciiTheme="majorHAnsi" w:hAnsiTheme="majorHAnsi"/>
          <w:sz w:val="20"/>
          <w:szCs w:val="20"/>
        </w:rPr>
        <w:t xml:space="preserve"> </w:t>
      </w:r>
      <w:r>
        <w:rPr>
          <w:rFonts w:asciiTheme="majorHAnsi" w:hAnsiTheme="majorHAnsi"/>
          <w:sz w:val="20"/>
          <w:szCs w:val="20"/>
        </w:rPr>
        <w:t xml:space="preserve">in which the alleged victim’s mother conveys to the Attorney General her </w:t>
      </w:r>
      <w:r w:rsidR="00F83B7C">
        <w:rPr>
          <w:rFonts w:asciiTheme="majorHAnsi" w:hAnsiTheme="majorHAnsi"/>
          <w:sz w:val="20"/>
          <w:szCs w:val="20"/>
        </w:rPr>
        <w:t xml:space="preserve">strong </w:t>
      </w:r>
      <w:r>
        <w:rPr>
          <w:rFonts w:asciiTheme="majorHAnsi" w:hAnsiTheme="majorHAnsi"/>
          <w:sz w:val="20"/>
          <w:szCs w:val="20"/>
        </w:rPr>
        <w:t xml:space="preserve">belief that the death of her son </w:t>
      </w:r>
      <w:r w:rsidR="00CF4B9E">
        <w:rPr>
          <w:rFonts w:asciiTheme="majorHAnsi" w:hAnsiTheme="majorHAnsi"/>
          <w:sz w:val="20"/>
          <w:szCs w:val="20"/>
        </w:rPr>
        <w:t xml:space="preserve">was not an accidental matter, </w:t>
      </w:r>
      <w:r w:rsidR="000E6842">
        <w:rPr>
          <w:rFonts w:asciiTheme="majorHAnsi" w:hAnsiTheme="majorHAnsi"/>
          <w:sz w:val="20"/>
          <w:szCs w:val="20"/>
        </w:rPr>
        <w:t xml:space="preserve">but rather an act of violence and requested his intervention to investigate </w:t>
      </w:r>
      <w:r w:rsidR="000E34D9">
        <w:rPr>
          <w:rFonts w:asciiTheme="majorHAnsi" w:hAnsiTheme="majorHAnsi"/>
          <w:sz w:val="20"/>
          <w:szCs w:val="20"/>
        </w:rPr>
        <w:t xml:space="preserve">the </w:t>
      </w:r>
      <w:r w:rsidR="000E6842">
        <w:rPr>
          <w:rFonts w:asciiTheme="majorHAnsi" w:hAnsiTheme="majorHAnsi"/>
          <w:sz w:val="20"/>
          <w:szCs w:val="20"/>
        </w:rPr>
        <w:t xml:space="preserve">death. </w:t>
      </w:r>
      <w:r w:rsidR="00EC0D44">
        <w:rPr>
          <w:rFonts w:asciiTheme="majorHAnsi" w:hAnsiTheme="majorHAnsi"/>
          <w:sz w:val="20"/>
          <w:szCs w:val="20"/>
        </w:rPr>
        <w:t>Based on the foregoing request, the case</w:t>
      </w:r>
      <w:r w:rsidR="00033021">
        <w:rPr>
          <w:rFonts w:asciiTheme="majorHAnsi" w:hAnsiTheme="majorHAnsi"/>
          <w:sz w:val="20"/>
          <w:szCs w:val="20"/>
        </w:rPr>
        <w:t xml:space="preserve"> titled</w:t>
      </w:r>
      <w:r w:rsidR="00EC0D44">
        <w:rPr>
          <w:rFonts w:asciiTheme="majorHAnsi" w:hAnsiTheme="majorHAnsi"/>
          <w:sz w:val="20"/>
          <w:szCs w:val="20"/>
        </w:rPr>
        <w:t xml:space="preserve"> “Request for a judicial investigation brought by </w:t>
      </w:r>
      <w:r w:rsidR="00300D46" w:rsidRPr="00D65A97">
        <w:rPr>
          <w:rFonts w:asciiTheme="majorHAnsi" w:hAnsiTheme="majorHAnsi"/>
          <w:sz w:val="20"/>
          <w:szCs w:val="20"/>
        </w:rPr>
        <w:t>María Ramona Noguera” (</w:t>
      </w:r>
      <w:r w:rsidR="00ED3D06">
        <w:rPr>
          <w:rFonts w:asciiTheme="majorHAnsi" w:hAnsiTheme="majorHAnsi"/>
          <w:sz w:val="20"/>
          <w:szCs w:val="20"/>
        </w:rPr>
        <w:t>hereinafter “the request for investigation”</w:t>
      </w:r>
      <w:r w:rsidR="00300D46" w:rsidRPr="00D65A97">
        <w:rPr>
          <w:rFonts w:asciiTheme="majorHAnsi" w:hAnsiTheme="majorHAnsi"/>
          <w:sz w:val="20"/>
          <w:szCs w:val="20"/>
        </w:rPr>
        <w:t>)</w:t>
      </w:r>
      <w:r w:rsidR="00033021">
        <w:rPr>
          <w:rFonts w:asciiTheme="majorHAnsi" w:hAnsiTheme="majorHAnsi"/>
          <w:sz w:val="20"/>
          <w:szCs w:val="20"/>
        </w:rPr>
        <w:t xml:space="preserve"> was opened</w:t>
      </w:r>
      <w:r w:rsidR="00300D46" w:rsidRPr="00D65A97">
        <w:rPr>
          <w:rFonts w:asciiTheme="majorHAnsi" w:hAnsiTheme="majorHAnsi"/>
          <w:sz w:val="20"/>
          <w:szCs w:val="20"/>
        </w:rPr>
        <w:t xml:space="preserve">. </w:t>
      </w:r>
      <w:r w:rsidR="00B06FC1">
        <w:rPr>
          <w:rFonts w:asciiTheme="majorHAnsi" w:hAnsiTheme="majorHAnsi"/>
          <w:sz w:val="20"/>
          <w:szCs w:val="20"/>
        </w:rPr>
        <w:t>In addition to this request, the Commission takes note that the alleged victim’s mother</w:t>
      </w:r>
      <w:r w:rsidR="00EA1D97">
        <w:rPr>
          <w:rFonts w:asciiTheme="majorHAnsi" w:hAnsiTheme="majorHAnsi"/>
          <w:sz w:val="20"/>
          <w:szCs w:val="20"/>
        </w:rPr>
        <w:t xml:space="preserve"> </w:t>
      </w:r>
      <w:r w:rsidR="00213880">
        <w:rPr>
          <w:rFonts w:asciiTheme="majorHAnsi" w:hAnsiTheme="majorHAnsi"/>
          <w:sz w:val="20"/>
          <w:szCs w:val="20"/>
        </w:rPr>
        <w:t xml:space="preserve">filed </w:t>
      </w:r>
      <w:r w:rsidR="00EA1D97">
        <w:rPr>
          <w:rFonts w:asciiTheme="majorHAnsi" w:hAnsiTheme="majorHAnsi"/>
          <w:sz w:val="20"/>
          <w:szCs w:val="20"/>
        </w:rPr>
        <w:t>a formal private criminal complaint (</w:t>
      </w:r>
      <w:r w:rsidR="00EA1D97">
        <w:rPr>
          <w:rFonts w:asciiTheme="majorHAnsi" w:hAnsiTheme="majorHAnsi"/>
          <w:i/>
          <w:sz w:val="20"/>
          <w:szCs w:val="20"/>
        </w:rPr>
        <w:t>querella</w:t>
      </w:r>
      <w:r w:rsidR="00EA1D97">
        <w:rPr>
          <w:rFonts w:asciiTheme="majorHAnsi" w:hAnsiTheme="majorHAnsi"/>
          <w:sz w:val="20"/>
          <w:szCs w:val="20"/>
        </w:rPr>
        <w:t>) for the homicide of her son before the Criminal Trial Court for Criminal Matters of the 11</w:t>
      </w:r>
      <w:r w:rsidR="00EA1D97" w:rsidRPr="00EA1D97">
        <w:rPr>
          <w:rFonts w:asciiTheme="majorHAnsi" w:hAnsiTheme="majorHAnsi"/>
          <w:sz w:val="20"/>
          <w:szCs w:val="20"/>
          <w:vertAlign w:val="superscript"/>
        </w:rPr>
        <w:t>th</w:t>
      </w:r>
      <w:r w:rsidR="00EA1D97">
        <w:rPr>
          <w:rFonts w:asciiTheme="majorHAnsi" w:hAnsiTheme="majorHAnsi"/>
          <w:sz w:val="20"/>
          <w:szCs w:val="20"/>
        </w:rPr>
        <w:t xml:space="preserve"> </w:t>
      </w:r>
      <w:r w:rsidR="00DA4DD5">
        <w:rPr>
          <w:rFonts w:asciiTheme="majorHAnsi" w:hAnsiTheme="majorHAnsi"/>
          <w:sz w:val="20"/>
          <w:szCs w:val="20"/>
        </w:rPr>
        <w:t xml:space="preserve">Rotation </w:t>
      </w:r>
      <w:r w:rsidR="00EA1D97">
        <w:rPr>
          <w:rFonts w:asciiTheme="majorHAnsi" w:hAnsiTheme="majorHAnsi"/>
          <w:sz w:val="20"/>
          <w:szCs w:val="20"/>
        </w:rPr>
        <w:t>(hereinafter “the Court of the 11</w:t>
      </w:r>
      <w:r w:rsidR="00EA1D97" w:rsidRPr="00EA1D97">
        <w:rPr>
          <w:rFonts w:asciiTheme="majorHAnsi" w:hAnsiTheme="majorHAnsi"/>
          <w:sz w:val="20"/>
          <w:szCs w:val="20"/>
          <w:vertAlign w:val="superscript"/>
        </w:rPr>
        <w:t>th</w:t>
      </w:r>
      <w:r w:rsidR="00F567D8">
        <w:rPr>
          <w:rFonts w:asciiTheme="majorHAnsi" w:hAnsiTheme="majorHAnsi"/>
          <w:sz w:val="20"/>
          <w:szCs w:val="20"/>
        </w:rPr>
        <w:t xml:space="preserve"> Rotation</w:t>
      </w:r>
      <w:r w:rsidR="00890D8B">
        <w:rPr>
          <w:rFonts w:asciiTheme="majorHAnsi" w:hAnsiTheme="majorHAnsi"/>
          <w:sz w:val="20"/>
          <w:szCs w:val="20"/>
        </w:rPr>
        <w:t xml:space="preserve">), </w:t>
      </w:r>
      <w:r w:rsidR="00251EFB">
        <w:rPr>
          <w:rFonts w:asciiTheme="majorHAnsi" w:hAnsiTheme="majorHAnsi"/>
          <w:sz w:val="20"/>
          <w:szCs w:val="20"/>
        </w:rPr>
        <w:t xml:space="preserve">presided over by </w:t>
      </w:r>
      <w:r w:rsidR="00890D8B">
        <w:rPr>
          <w:rFonts w:asciiTheme="majorHAnsi" w:hAnsiTheme="majorHAnsi"/>
          <w:sz w:val="20"/>
          <w:szCs w:val="20"/>
        </w:rPr>
        <w:t xml:space="preserve">Criminal Matter Judge </w:t>
      </w:r>
      <w:r w:rsidR="00300D46" w:rsidRPr="00D65A97">
        <w:rPr>
          <w:rFonts w:asciiTheme="majorHAnsi" w:hAnsiTheme="majorHAnsi"/>
          <w:sz w:val="20"/>
          <w:szCs w:val="20"/>
        </w:rPr>
        <w:t xml:space="preserve">José Waldir Servín Bernal, </w:t>
      </w:r>
      <w:r w:rsidR="00890D8B">
        <w:rPr>
          <w:rFonts w:asciiTheme="majorHAnsi" w:hAnsiTheme="majorHAnsi"/>
          <w:sz w:val="20"/>
          <w:szCs w:val="20"/>
        </w:rPr>
        <w:t xml:space="preserve">on September </w:t>
      </w:r>
      <w:r w:rsidR="00300D46" w:rsidRPr="00D65A97">
        <w:rPr>
          <w:rFonts w:asciiTheme="majorHAnsi" w:hAnsiTheme="majorHAnsi"/>
          <w:sz w:val="20"/>
          <w:szCs w:val="20"/>
        </w:rPr>
        <w:t>6</w:t>
      </w:r>
      <w:r w:rsidR="00890D8B">
        <w:rPr>
          <w:rFonts w:asciiTheme="majorHAnsi" w:hAnsiTheme="majorHAnsi"/>
          <w:sz w:val="20"/>
          <w:szCs w:val="20"/>
        </w:rPr>
        <w:t>,</w:t>
      </w:r>
      <w:r w:rsidR="00300D46" w:rsidRPr="00D65A97">
        <w:rPr>
          <w:rFonts w:asciiTheme="majorHAnsi" w:hAnsiTheme="majorHAnsi"/>
          <w:sz w:val="20"/>
          <w:szCs w:val="20"/>
        </w:rPr>
        <w:t xml:space="preserve"> 1996</w:t>
      </w:r>
      <w:r w:rsidR="009F0BEA">
        <w:rPr>
          <w:rFonts w:asciiTheme="majorHAnsi" w:hAnsiTheme="majorHAnsi"/>
          <w:sz w:val="20"/>
          <w:szCs w:val="20"/>
        </w:rPr>
        <w:t xml:space="preserve">, </w:t>
      </w:r>
      <w:r w:rsidR="002F4493">
        <w:rPr>
          <w:rFonts w:asciiTheme="majorHAnsi" w:hAnsiTheme="majorHAnsi"/>
          <w:sz w:val="20"/>
          <w:szCs w:val="20"/>
        </w:rPr>
        <w:t>in which she explicitly asserts “that on January 11 this year, that is, nine days after my son left, he is returned to me dead, presenting on his body several lesions and his underwear was even stained with blood, as if her had been sexually abused.”</w:t>
      </w:r>
      <w:r w:rsidR="00300D46" w:rsidRPr="00D65A97">
        <w:rPr>
          <w:rStyle w:val="FootnoteReference"/>
          <w:rFonts w:asciiTheme="majorHAnsi" w:hAnsiTheme="majorHAnsi"/>
          <w:sz w:val="20"/>
          <w:szCs w:val="20"/>
        </w:rPr>
        <w:footnoteReference w:id="40"/>
      </w:r>
      <w:r w:rsidR="00300D46" w:rsidRPr="00D65A97">
        <w:rPr>
          <w:rFonts w:asciiTheme="majorHAnsi" w:hAnsiTheme="majorHAnsi"/>
          <w:sz w:val="20"/>
          <w:szCs w:val="20"/>
        </w:rPr>
        <w:t xml:space="preserve"> </w:t>
      </w:r>
    </w:p>
    <w:p w14:paraId="04FE11C0" w14:textId="77777777" w:rsidR="00300D46" w:rsidRPr="00D65A97" w:rsidRDefault="00300D46" w:rsidP="00300D46">
      <w:pPr>
        <w:ind w:left="360" w:firstLine="720"/>
        <w:jc w:val="both"/>
        <w:rPr>
          <w:rFonts w:asciiTheme="majorHAnsi" w:hAnsiTheme="majorHAnsi"/>
          <w:sz w:val="20"/>
          <w:szCs w:val="20"/>
        </w:rPr>
      </w:pPr>
      <w:r w:rsidRPr="00D65A97">
        <w:rPr>
          <w:rFonts w:asciiTheme="majorHAnsi" w:hAnsiTheme="majorHAnsi"/>
          <w:sz w:val="20"/>
          <w:szCs w:val="20"/>
        </w:rPr>
        <w:t xml:space="preserve"> </w:t>
      </w:r>
    </w:p>
    <w:p w14:paraId="21FB9C56" w14:textId="384CFA8D" w:rsidR="00300D46" w:rsidRPr="00D65A97" w:rsidRDefault="006C1B0B"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Based on</w:t>
      </w:r>
      <w:r w:rsidR="003F5892">
        <w:rPr>
          <w:rFonts w:asciiTheme="majorHAnsi" w:hAnsiTheme="majorHAnsi"/>
          <w:sz w:val="20"/>
          <w:szCs w:val="20"/>
        </w:rPr>
        <w:t xml:space="preserve"> Order to Open Inquiry </w:t>
      </w:r>
      <w:r w:rsidR="00300D46" w:rsidRPr="00D65A97">
        <w:rPr>
          <w:rFonts w:asciiTheme="majorHAnsi" w:hAnsiTheme="majorHAnsi"/>
          <w:sz w:val="20"/>
          <w:szCs w:val="20"/>
        </w:rPr>
        <w:t xml:space="preserve">1565, </w:t>
      </w:r>
      <w:r w:rsidR="003F5892">
        <w:rPr>
          <w:rFonts w:asciiTheme="majorHAnsi" w:hAnsiTheme="majorHAnsi"/>
          <w:sz w:val="20"/>
          <w:szCs w:val="20"/>
        </w:rPr>
        <w:t xml:space="preserve">of October 2, 1996, which appears in the case file, the Commission </w:t>
      </w:r>
      <w:r w:rsidR="00E472B3">
        <w:rPr>
          <w:rFonts w:asciiTheme="majorHAnsi" w:hAnsiTheme="majorHAnsi"/>
          <w:sz w:val="20"/>
          <w:szCs w:val="20"/>
        </w:rPr>
        <w:t xml:space="preserve">establishes </w:t>
      </w:r>
      <w:r w:rsidR="003F5892">
        <w:rPr>
          <w:rFonts w:asciiTheme="majorHAnsi" w:hAnsiTheme="majorHAnsi"/>
          <w:sz w:val="20"/>
          <w:szCs w:val="20"/>
        </w:rPr>
        <w:t xml:space="preserve">that the Criminal Court decided “TO ADMIT the private criminal complaint </w:t>
      </w:r>
      <w:r w:rsidR="00300D46" w:rsidRPr="00D65A97">
        <w:rPr>
          <w:rFonts w:asciiTheme="majorHAnsi" w:hAnsiTheme="majorHAnsi"/>
          <w:sz w:val="20"/>
          <w:szCs w:val="20"/>
        </w:rPr>
        <w:t xml:space="preserve">(…) </w:t>
      </w:r>
      <w:r w:rsidR="003F5892">
        <w:rPr>
          <w:rFonts w:asciiTheme="majorHAnsi" w:hAnsiTheme="majorHAnsi"/>
          <w:sz w:val="20"/>
          <w:szCs w:val="20"/>
        </w:rPr>
        <w:t>against unnamed persons for the alleged commission of the crimes of HOMICIDE, BODILY HARM, ABUSE OF AUTHORITY.</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41"/>
      </w:r>
      <w:r w:rsidR="003F5892">
        <w:rPr>
          <w:rFonts w:asciiTheme="majorHAnsi" w:hAnsiTheme="majorHAnsi"/>
          <w:sz w:val="20"/>
          <w:szCs w:val="20"/>
        </w:rPr>
        <w:t xml:space="preserve"> In this same ruling,</w:t>
      </w:r>
      <w:r w:rsidR="005C1130">
        <w:rPr>
          <w:rFonts w:asciiTheme="majorHAnsi" w:hAnsiTheme="majorHAnsi"/>
          <w:sz w:val="20"/>
          <w:szCs w:val="20"/>
        </w:rPr>
        <w:t xml:space="preserve"> a group of witnesses is summoned</w:t>
      </w:r>
      <w:r w:rsidR="003F5892">
        <w:rPr>
          <w:rFonts w:asciiTheme="majorHAnsi" w:hAnsiTheme="majorHAnsi"/>
          <w:sz w:val="20"/>
          <w:szCs w:val="20"/>
        </w:rPr>
        <w:t xml:space="preserve"> to provide test</w:t>
      </w:r>
      <w:r w:rsidR="0054412C">
        <w:rPr>
          <w:rFonts w:asciiTheme="majorHAnsi" w:hAnsiTheme="majorHAnsi"/>
          <w:sz w:val="20"/>
          <w:szCs w:val="20"/>
        </w:rPr>
        <w:t xml:space="preserve">imony during the investigation. The Commission takes note that </w:t>
      </w:r>
      <w:r w:rsidR="008626F7">
        <w:rPr>
          <w:rFonts w:asciiTheme="majorHAnsi" w:hAnsiTheme="majorHAnsi"/>
          <w:sz w:val="20"/>
          <w:szCs w:val="20"/>
        </w:rPr>
        <w:t xml:space="preserve">out of </w:t>
      </w:r>
      <w:r w:rsidR="0054412C">
        <w:rPr>
          <w:rFonts w:asciiTheme="majorHAnsi" w:hAnsiTheme="majorHAnsi"/>
          <w:sz w:val="20"/>
          <w:szCs w:val="20"/>
        </w:rPr>
        <w:t>the twenty people called to give a statement,</w:t>
      </w:r>
      <w:r w:rsidR="003F5892">
        <w:rPr>
          <w:rFonts w:asciiTheme="majorHAnsi" w:hAnsiTheme="majorHAnsi"/>
          <w:sz w:val="20"/>
          <w:szCs w:val="20"/>
        </w:rPr>
        <w:t xml:space="preserve"> </w:t>
      </w:r>
      <w:r w:rsidR="0054412C">
        <w:rPr>
          <w:rFonts w:asciiTheme="majorHAnsi" w:hAnsiTheme="majorHAnsi"/>
          <w:sz w:val="20"/>
          <w:szCs w:val="20"/>
        </w:rPr>
        <w:t xml:space="preserve">the case </w:t>
      </w:r>
      <w:r w:rsidR="003F5892">
        <w:rPr>
          <w:rFonts w:asciiTheme="majorHAnsi" w:hAnsiTheme="majorHAnsi"/>
          <w:sz w:val="20"/>
          <w:szCs w:val="20"/>
        </w:rPr>
        <w:t xml:space="preserve">file </w:t>
      </w:r>
      <w:r w:rsidR="0054412C">
        <w:rPr>
          <w:rFonts w:asciiTheme="majorHAnsi" w:hAnsiTheme="majorHAnsi"/>
          <w:sz w:val="20"/>
          <w:szCs w:val="20"/>
        </w:rPr>
        <w:t xml:space="preserve">shows </w:t>
      </w:r>
      <w:r w:rsidR="003F5892">
        <w:rPr>
          <w:rFonts w:asciiTheme="majorHAnsi" w:hAnsiTheme="majorHAnsi"/>
          <w:sz w:val="20"/>
          <w:szCs w:val="20"/>
        </w:rPr>
        <w:t xml:space="preserve">that only two </w:t>
      </w:r>
      <w:r w:rsidR="0054412C">
        <w:rPr>
          <w:rFonts w:asciiTheme="majorHAnsi" w:hAnsiTheme="majorHAnsi"/>
          <w:sz w:val="20"/>
          <w:szCs w:val="20"/>
        </w:rPr>
        <w:t>statements</w:t>
      </w:r>
      <w:r w:rsidR="003F5892">
        <w:rPr>
          <w:rFonts w:asciiTheme="majorHAnsi" w:hAnsiTheme="majorHAnsi"/>
          <w:sz w:val="20"/>
          <w:szCs w:val="20"/>
        </w:rPr>
        <w:t xml:space="preserve"> were actually taken</w:t>
      </w:r>
      <w:r w:rsidR="0029099C">
        <w:rPr>
          <w:rFonts w:asciiTheme="majorHAnsi" w:hAnsiTheme="majorHAnsi"/>
          <w:sz w:val="20"/>
          <w:szCs w:val="20"/>
        </w:rPr>
        <w:t>, those of</w:t>
      </w:r>
      <w:r w:rsidR="003F5892">
        <w:rPr>
          <w:rFonts w:asciiTheme="majorHAnsi" w:hAnsiTheme="majorHAnsi"/>
          <w:sz w:val="20"/>
          <w:szCs w:val="20"/>
        </w:rPr>
        <w:t xml:space="preserve"> </w:t>
      </w:r>
      <w:r w:rsidR="008D6069">
        <w:rPr>
          <w:rFonts w:asciiTheme="majorHAnsi" w:hAnsiTheme="majorHAnsi"/>
          <w:sz w:val="20"/>
          <w:szCs w:val="20"/>
        </w:rPr>
        <w:t>José Agustín Rufinelli Romero and</w:t>
      </w:r>
      <w:r w:rsidR="00300D46" w:rsidRPr="00D65A97">
        <w:rPr>
          <w:rFonts w:asciiTheme="majorHAnsi" w:hAnsiTheme="majorHAnsi"/>
          <w:sz w:val="20"/>
          <w:szCs w:val="20"/>
        </w:rPr>
        <w:t xml:space="preserve"> Julián Paúl Figueredo Díaz, </w:t>
      </w:r>
      <w:r w:rsidR="0029099C">
        <w:rPr>
          <w:rFonts w:asciiTheme="majorHAnsi" w:hAnsiTheme="majorHAnsi"/>
          <w:sz w:val="20"/>
          <w:szCs w:val="20"/>
        </w:rPr>
        <w:t xml:space="preserve">which were </w:t>
      </w:r>
      <w:r w:rsidR="00505EE3">
        <w:rPr>
          <w:rFonts w:asciiTheme="majorHAnsi" w:hAnsiTheme="majorHAnsi"/>
          <w:sz w:val="20"/>
          <w:szCs w:val="20"/>
        </w:rPr>
        <w:t xml:space="preserve">given on October </w:t>
      </w:r>
      <w:r w:rsidR="00300D46" w:rsidRPr="00D65A97">
        <w:rPr>
          <w:rFonts w:asciiTheme="majorHAnsi" w:hAnsiTheme="majorHAnsi"/>
          <w:sz w:val="20"/>
          <w:szCs w:val="20"/>
        </w:rPr>
        <w:t>30</w:t>
      </w:r>
      <w:r w:rsidR="00505EE3">
        <w:rPr>
          <w:rFonts w:asciiTheme="majorHAnsi" w:hAnsiTheme="majorHAnsi"/>
          <w:sz w:val="20"/>
          <w:szCs w:val="20"/>
        </w:rPr>
        <w:t>,</w:t>
      </w:r>
      <w:r w:rsidR="00300D46" w:rsidRPr="00D65A97">
        <w:rPr>
          <w:rFonts w:asciiTheme="majorHAnsi" w:hAnsiTheme="majorHAnsi"/>
          <w:sz w:val="20"/>
          <w:szCs w:val="20"/>
        </w:rPr>
        <w:t xml:space="preserve"> 19</w:t>
      </w:r>
      <w:r w:rsidR="006B33DB">
        <w:rPr>
          <w:rFonts w:asciiTheme="majorHAnsi" w:hAnsiTheme="majorHAnsi"/>
          <w:sz w:val="20"/>
          <w:szCs w:val="20"/>
        </w:rPr>
        <w:t>96 and April 3,</w:t>
      </w:r>
      <w:r w:rsidR="00587F2D">
        <w:rPr>
          <w:rFonts w:asciiTheme="majorHAnsi" w:hAnsiTheme="majorHAnsi"/>
          <w:sz w:val="20"/>
          <w:szCs w:val="20"/>
        </w:rPr>
        <w:t xml:space="preserve"> 2002, respectively</w:t>
      </w:r>
      <w:r w:rsidR="00300D46" w:rsidRPr="00D65A97">
        <w:rPr>
          <w:rFonts w:asciiTheme="majorHAnsi" w:hAnsiTheme="majorHAnsi"/>
          <w:sz w:val="20"/>
          <w:szCs w:val="20"/>
        </w:rPr>
        <w:t xml:space="preserve">. </w:t>
      </w:r>
      <w:r w:rsidR="0075603E">
        <w:rPr>
          <w:rFonts w:asciiTheme="majorHAnsi" w:hAnsiTheme="majorHAnsi"/>
          <w:sz w:val="20"/>
          <w:szCs w:val="20"/>
        </w:rPr>
        <w:t xml:space="preserve">The petitioner notes that the </w:t>
      </w:r>
      <w:r w:rsidR="00C55E61">
        <w:rPr>
          <w:rFonts w:asciiTheme="majorHAnsi" w:hAnsiTheme="majorHAnsi"/>
          <w:sz w:val="20"/>
          <w:szCs w:val="20"/>
        </w:rPr>
        <w:t xml:space="preserve">version of </w:t>
      </w:r>
      <w:r w:rsidR="00102248">
        <w:rPr>
          <w:rFonts w:asciiTheme="majorHAnsi" w:hAnsiTheme="majorHAnsi"/>
          <w:sz w:val="20"/>
          <w:szCs w:val="20"/>
        </w:rPr>
        <w:t xml:space="preserve">events provided by </w:t>
      </w:r>
      <w:r w:rsidR="00C55E61">
        <w:rPr>
          <w:rFonts w:asciiTheme="majorHAnsi" w:hAnsiTheme="majorHAnsi"/>
          <w:sz w:val="20"/>
          <w:szCs w:val="20"/>
        </w:rPr>
        <w:t xml:space="preserve">witness </w:t>
      </w:r>
      <w:r w:rsidR="00300D46" w:rsidRPr="00D65A97">
        <w:rPr>
          <w:rFonts w:asciiTheme="majorHAnsi" w:hAnsiTheme="majorHAnsi"/>
          <w:sz w:val="20"/>
          <w:szCs w:val="20"/>
        </w:rPr>
        <w:t xml:space="preserve">Rufinelli </w:t>
      </w:r>
      <w:r w:rsidR="00A024C3">
        <w:rPr>
          <w:rFonts w:asciiTheme="majorHAnsi" w:hAnsiTheme="majorHAnsi"/>
          <w:sz w:val="20"/>
          <w:szCs w:val="20"/>
        </w:rPr>
        <w:t xml:space="preserve">was different from </w:t>
      </w:r>
      <w:r w:rsidR="00C55E61">
        <w:rPr>
          <w:rFonts w:asciiTheme="majorHAnsi" w:hAnsiTheme="majorHAnsi"/>
          <w:sz w:val="20"/>
          <w:szCs w:val="20"/>
        </w:rPr>
        <w:t xml:space="preserve">the </w:t>
      </w:r>
      <w:r w:rsidR="008F776F">
        <w:rPr>
          <w:rFonts w:asciiTheme="majorHAnsi" w:hAnsiTheme="majorHAnsi"/>
          <w:sz w:val="20"/>
          <w:szCs w:val="20"/>
        </w:rPr>
        <w:t xml:space="preserve">version that he had </w:t>
      </w:r>
      <w:r w:rsidR="00203134">
        <w:rPr>
          <w:rFonts w:asciiTheme="majorHAnsi" w:hAnsiTheme="majorHAnsi"/>
          <w:sz w:val="20"/>
          <w:szCs w:val="20"/>
        </w:rPr>
        <w:t xml:space="preserve">previously </w:t>
      </w:r>
      <w:r w:rsidR="008F776F">
        <w:rPr>
          <w:rFonts w:asciiTheme="majorHAnsi" w:hAnsiTheme="majorHAnsi"/>
          <w:sz w:val="20"/>
          <w:szCs w:val="20"/>
        </w:rPr>
        <w:t xml:space="preserve">given to </w:t>
      </w:r>
      <w:r w:rsidR="007245BD">
        <w:rPr>
          <w:rFonts w:asciiTheme="majorHAnsi" w:hAnsiTheme="majorHAnsi"/>
          <w:sz w:val="20"/>
          <w:szCs w:val="20"/>
        </w:rPr>
        <w:t>María Noguera</w:t>
      </w:r>
      <w:r w:rsidR="008F776F">
        <w:rPr>
          <w:rFonts w:asciiTheme="majorHAnsi" w:hAnsiTheme="majorHAnsi"/>
          <w:sz w:val="20"/>
          <w:szCs w:val="20"/>
        </w:rPr>
        <w:t xml:space="preserve">. </w:t>
      </w:r>
    </w:p>
    <w:p w14:paraId="4CA961D0" w14:textId="77777777" w:rsidR="00300D46" w:rsidRPr="00D65A97" w:rsidRDefault="00300D46" w:rsidP="00300D46">
      <w:pPr>
        <w:ind w:left="360" w:firstLine="720"/>
        <w:jc w:val="both"/>
        <w:rPr>
          <w:rFonts w:asciiTheme="majorHAnsi" w:hAnsiTheme="majorHAnsi"/>
          <w:sz w:val="20"/>
          <w:szCs w:val="20"/>
        </w:rPr>
      </w:pPr>
    </w:p>
    <w:p w14:paraId="191A48D9" w14:textId="121EDBF1" w:rsidR="00300D46" w:rsidRPr="00D65A97" w:rsidRDefault="00A006E7"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On August 2, </w:t>
      </w:r>
      <w:r w:rsidR="00300D46" w:rsidRPr="00D65A97">
        <w:rPr>
          <w:rFonts w:asciiTheme="majorHAnsi" w:hAnsiTheme="majorHAnsi"/>
          <w:sz w:val="20"/>
          <w:szCs w:val="20"/>
        </w:rPr>
        <w:t>1996</w:t>
      </w:r>
      <w:r>
        <w:rPr>
          <w:rFonts w:asciiTheme="majorHAnsi" w:hAnsiTheme="majorHAnsi"/>
          <w:sz w:val="20"/>
          <w:szCs w:val="20"/>
        </w:rPr>
        <w:t xml:space="preserve">, the Public Prosecutor’s Office recommended </w:t>
      </w:r>
      <w:r w:rsidR="00173C92">
        <w:rPr>
          <w:rFonts w:asciiTheme="majorHAnsi" w:hAnsiTheme="majorHAnsi"/>
          <w:sz w:val="20"/>
          <w:szCs w:val="20"/>
        </w:rPr>
        <w:t xml:space="preserve">to </w:t>
      </w:r>
      <w:r w:rsidR="002A4915">
        <w:rPr>
          <w:rFonts w:asciiTheme="majorHAnsi" w:hAnsiTheme="majorHAnsi"/>
          <w:sz w:val="20"/>
          <w:szCs w:val="20"/>
        </w:rPr>
        <w:t>the Court of the 11</w:t>
      </w:r>
      <w:r w:rsidR="002A4915" w:rsidRPr="002A4915">
        <w:rPr>
          <w:rFonts w:asciiTheme="majorHAnsi" w:hAnsiTheme="majorHAnsi"/>
          <w:sz w:val="20"/>
          <w:szCs w:val="20"/>
          <w:vertAlign w:val="superscript"/>
        </w:rPr>
        <w:t>th</w:t>
      </w:r>
      <w:r w:rsidR="002A4915">
        <w:rPr>
          <w:rFonts w:asciiTheme="majorHAnsi" w:hAnsiTheme="majorHAnsi"/>
          <w:sz w:val="20"/>
          <w:szCs w:val="20"/>
        </w:rPr>
        <w:t xml:space="preserve"> Rotation</w:t>
      </w:r>
      <w:r w:rsidR="00AD072B">
        <w:rPr>
          <w:rFonts w:asciiTheme="majorHAnsi" w:hAnsiTheme="majorHAnsi"/>
          <w:sz w:val="20"/>
          <w:szCs w:val="20"/>
        </w:rPr>
        <w:t xml:space="preserve"> an</w:t>
      </w:r>
      <w:r w:rsidR="002A4915">
        <w:rPr>
          <w:rFonts w:asciiTheme="majorHAnsi" w:hAnsiTheme="majorHAnsi"/>
          <w:sz w:val="20"/>
          <w:szCs w:val="20"/>
        </w:rPr>
        <w:t xml:space="preserve"> “exhumation of the body of the deceased in order to conduct a new autopsy</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42"/>
      </w:r>
      <w:r w:rsidR="00300D46" w:rsidRPr="00D65A97">
        <w:rPr>
          <w:rFonts w:asciiTheme="majorHAnsi" w:hAnsiTheme="majorHAnsi"/>
          <w:sz w:val="20"/>
          <w:szCs w:val="20"/>
        </w:rPr>
        <w:t xml:space="preserve"> </w:t>
      </w:r>
      <w:r w:rsidR="002A4915">
        <w:rPr>
          <w:rFonts w:asciiTheme="majorHAnsi" w:hAnsiTheme="majorHAnsi"/>
          <w:sz w:val="20"/>
          <w:szCs w:val="20"/>
        </w:rPr>
        <w:t xml:space="preserve">in the context of the request for investigation. On September </w:t>
      </w:r>
      <w:r w:rsidR="00300D46" w:rsidRPr="00D65A97">
        <w:rPr>
          <w:rFonts w:asciiTheme="majorHAnsi" w:hAnsiTheme="majorHAnsi"/>
          <w:sz w:val="20"/>
          <w:szCs w:val="20"/>
        </w:rPr>
        <w:t>5</w:t>
      </w:r>
      <w:r w:rsidR="002A4915">
        <w:rPr>
          <w:rFonts w:asciiTheme="majorHAnsi" w:hAnsiTheme="majorHAnsi"/>
          <w:sz w:val="20"/>
          <w:szCs w:val="20"/>
        </w:rPr>
        <w:t>,</w:t>
      </w:r>
      <w:r w:rsidR="00300D46" w:rsidRPr="00D65A97">
        <w:rPr>
          <w:rFonts w:asciiTheme="majorHAnsi" w:hAnsiTheme="majorHAnsi"/>
          <w:sz w:val="20"/>
          <w:szCs w:val="20"/>
        </w:rPr>
        <w:t xml:space="preserve"> 1996, </w:t>
      </w:r>
      <w:r w:rsidR="00202701">
        <w:rPr>
          <w:rFonts w:asciiTheme="majorHAnsi" w:hAnsiTheme="majorHAnsi"/>
          <w:sz w:val="20"/>
          <w:szCs w:val="20"/>
        </w:rPr>
        <w:t xml:space="preserve">under a decision that appears in the case file, said Court ordered the exhumation of the alleged victim, which was carried out on September 9, </w:t>
      </w:r>
      <w:r w:rsidR="00300D46" w:rsidRPr="00D65A97">
        <w:rPr>
          <w:rFonts w:asciiTheme="majorHAnsi" w:hAnsiTheme="majorHAnsi"/>
          <w:sz w:val="20"/>
          <w:szCs w:val="20"/>
        </w:rPr>
        <w:t xml:space="preserve">1996 </w:t>
      </w:r>
      <w:r w:rsidR="00202701">
        <w:rPr>
          <w:rFonts w:asciiTheme="majorHAnsi" w:hAnsiTheme="majorHAnsi"/>
          <w:sz w:val="20"/>
          <w:szCs w:val="20"/>
        </w:rPr>
        <w:t xml:space="preserve">at </w:t>
      </w:r>
      <w:r w:rsidR="00300D46" w:rsidRPr="00D65A97">
        <w:rPr>
          <w:rFonts w:asciiTheme="majorHAnsi" w:hAnsiTheme="majorHAnsi"/>
          <w:sz w:val="20"/>
          <w:szCs w:val="20"/>
        </w:rPr>
        <w:t>16:00 ho</w:t>
      </w:r>
      <w:r w:rsidR="00202701">
        <w:rPr>
          <w:rFonts w:asciiTheme="majorHAnsi" w:hAnsiTheme="majorHAnsi"/>
          <w:sz w:val="20"/>
          <w:szCs w:val="20"/>
        </w:rPr>
        <w:t>urs,</w:t>
      </w:r>
      <w:r w:rsidR="00300D46" w:rsidRPr="00D65A97">
        <w:rPr>
          <w:rStyle w:val="FootnoteReference"/>
          <w:rFonts w:asciiTheme="majorHAnsi" w:hAnsiTheme="majorHAnsi"/>
          <w:sz w:val="20"/>
          <w:szCs w:val="20"/>
        </w:rPr>
        <w:footnoteReference w:id="43"/>
      </w:r>
      <w:r w:rsidR="00300D46" w:rsidRPr="00D65A97">
        <w:rPr>
          <w:rFonts w:asciiTheme="majorHAnsi" w:hAnsiTheme="majorHAnsi"/>
          <w:sz w:val="20"/>
          <w:szCs w:val="20"/>
        </w:rPr>
        <w:t xml:space="preserve"> </w:t>
      </w:r>
      <w:r w:rsidR="008B1CC7">
        <w:rPr>
          <w:rFonts w:asciiTheme="majorHAnsi" w:hAnsiTheme="majorHAnsi"/>
          <w:sz w:val="20"/>
          <w:szCs w:val="20"/>
        </w:rPr>
        <w:t>with Doctor José Bellassai</w:t>
      </w:r>
      <w:r w:rsidR="00300D46" w:rsidRPr="00D65A97">
        <w:rPr>
          <w:rStyle w:val="FootnoteReference"/>
          <w:rFonts w:asciiTheme="majorHAnsi" w:hAnsiTheme="majorHAnsi"/>
          <w:sz w:val="20"/>
          <w:szCs w:val="20"/>
        </w:rPr>
        <w:footnoteReference w:id="44"/>
      </w:r>
      <w:r w:rsidR="00300D46" w:rsidRPr="00D65A97">
        <w:rPr>
          <w:rFonts w:asciiTheme="majorHAnsi" w:hAnsiTheme="majorHAnsi"/>
          <w:sz w:val="20"/>
          <w:szCs w:val="20"/>
        </w:rPr>
        <w:t xml:space="preserve"> </w:t>
      </w:r>
      <w:r w:rsidR="008B1CC7">
        <w:rPr>
          <w:rFonts w:asciiTheme="majorHAnsi" w:hAnsiTheme="majorHAnsi"/>
          <w:sz w:val="20"/>
          <w:szCs w:val="20"/>
        </w:rPr>
        <w:t xml:space="preserve">acting as the expert physician and Dr. </w:t>
      </w:r>
      <w:r w:rsidR="00300D46" w:rsidRPr="00D65A97">
        <w:rPr>
          <w:rFonts w:asciiTheme="majorHAnsi" w:hAnsiTheme="majorHAnsi"/>
          <w:sz w:val="20"/>
          <w:szCs w:val="20"/>
        </w:rPr>
        <w:t>José María Llano</w:t>
      </w:r>
      <w:r w:rsidR="00300D46" w:rsidRPr="00D65A97">
        <w:rPr>
          <w:rStyle w:val="FootnoteReference"/>
          <w:rFonts w:asciiTheme="majorHAnsi" w:hAnsiTheme="majorHAnsi"/>
          <w:sz w:val="20"/>
          <w:szCs w:val="20"/>
        </w:rPr>
        <w:footnoteReference w:id="45"/>
      </w:r>
      <w:r w:rsidR="008B1CC7">
        <w:rPr>
          <w:rFonts w:asciiTheme="majorHAnsi" w:hAnsiTheme="majorHAnsi"/>
          <w:sz w:val="20"/>
          <w:szCs w:val="20"/>
        </w:rPr>
        <w:t xml:space="preserve"> as forensic doctor. </w:t>
      </w:r>
      <w:r w:rsidR="00300D46" w:rsidRPr="00D65A97">
        <w:rPr>
          <w:rFonts w:asciiTheme="majorHAnsi" w:hAnsiTheme="majorHAnsi"/>
          <w:sz w:val="20"/>
          <w:szCs w:val="20"/>
        </w:rPr>
        <w:t xml:space="preserve"> </w:t>
      </w:r>
    </w:p>
    <w:p w14:paraId="20696FF8" w14:textId="77777777" w:rsidR="00300D46" w:rsidRPr="00D65A97" w:rsidRDefault="00300D46" w:rsidP="00300D46">
      <w:pPr>
        <w:ind w:firstLine="720"/>
        <w:jc w:val="both"/>
        <w:rPr>
          <w:rFonts w:asciiTheme="majorHAnsi" w:hAnsiTheme="majorHAnsi"/>
          <w:sz w:val="20"/>
          <w:szCs w:val="20"/>
        </w:rPr>
      </w:pPr>
    </w:p>
    <w:p w14:paraId="07F94D58" w14:textId="62F8A1A2" w:rsidR="00300D46" w:rsidRPr="00D65A97" w:rsidRDefault="00E878CA"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Commission takes note that, according to </w:t>
      </w:r>
      <w:r w:rsidR="0030361E">
        <w:rPr>
          <w:rFonts w:asciiTheme="majorHAnsi" w:hAnsiTheme="majorHAnsi"/>
          <w:sz w:val="20"/>
          <w:szCs w:val="20"/>
        </w:rPr>
        <w:t>Doctor Bellassai’s expert</w:t>
      </w:r>
      <w:r>
        <w:rPr>
          <w:rFonts w:asciiTheme="majorHAnsi" w:hAnsiTheme="majorHAnsi"/>
          <w:sz w:val="20"/>
          <w:szCs w:val="20"/>
        </w:rPr>
        <w:t xml:space="preserve"> autopsy report, no “</w:t>
      </w:r>
      <w:r w:rsidR="00102ABF">
        <w:rPr>
          <w:rFonts w:asciiTheme="majorHAnsi" w:hAnsiTheme="majorHAnsi"/>
          <w:sz w:val="20"/>
          <w:szCs w:val="20"/>
        </w:rPr>
        <w:t xml:space="preserve">injuries </w:t>
      </w:r>
      <w:r>
        <w:rPr>
          <w:rFonts w:asciiTheme="majorHAnsi" w:hAnsiTheme="majorHAnsi"/>
          <w:sz w:val="20"/>
          <w:szCs w:val="20"/>
        </w:rPr>
        <w:t xml:space="preserve">of traumatic evidence on the skin, muscles and bones” were observed. “In particular, emphasis was placed on the area referred to as suspicious </w:t>
      </w:r>
      <w:r w:rsidR="002D5770">
        <w:rPr>
          <w:rFonts w:asciiTheme="majorHAnsi" w:hAnsiTheme="majorHAnsi"/>
          <w:sz w:val="20"/>
          <w:szCs w:val="20"/>
        </w:rPr>
        <w:t xml:space="preserve">of traumatic </w:t>
      </w:r>
      <w:r w:rsidR="00F44C56">
        <w:rPr>
          <w:rFonts w:asciiTheme="majorHAnsi" w:hAnsiTheme="majorHAnsi"/>
          <w:sz w:val="20"/>
          <w:szCs w:val="20"/>
        </w:rPr>
        <w:t xml:space="preserve">injury </w:t>
      </w:r>
      <w:r w:rsidR="002D5770">
        <w:rPr>
          <w:rFonts w:asciiTheme="majorHAnsi" w:hAnsiTheme="majorHAnsi"/>
          <w:sz w:val="20"/>
          <w:szCs w:val="20"/>
        </w:rPr>
        <w:t xml:space="preserve">according to the photographic study of the cadaver in the frontal zone. </w:t>
      </w:r>
      <w:r w:rsidR="004A3592">
        <w:rPr>
          <w:rFonts w:asciiTheme="majorHAnsi" w:hAnsiTheme="majorHAnsi"/>
          <w:sz w:val="20"/>
          <w:szCs w:val="20"/>
        </w:rPr>
        <w:t xml:space="preserve">In this zone </w:t>
      </w:r>
      <w:r w:rsidR="00D8683A">
        <w:rPr>
          <w:rFonts w:asciiTheme="majorHAnsi" w:hAnsiTheme="majorHAnsi"/>
          <w:sz w:val="20"/>
          <w:szCs w:val="20"/>
        </w:rPr>
        <w:t>no solution</w:t>
      </w:r>
      <w:r w:rsidR="009E0388">
        <w:rPr>
          <w:rFonts w:asciiTheme="majorHAnsi" w:hAnsiTheme="majorHAnsi"/>
          <w:sz w:val="20"/>
          <w:szCs w:val="20"/>
        </w:rPr>
        <w:t xml:space="preserve"> of continuity of the skin, ecchy</w:t>
      </w:r>
      <w:r w:rsidR="00D8683A">
        <w:rPr>
          <w:rFonts w:asciiTheme="majorHAnsi" w:hAnsiTheme="majorHAnsi"/>
          <w:sz w:val="20"/>
          <w:szCs w:val="20"/>
        </w:rPr>
        <w:t xml:space="preserve">mosis, </w:t>
      </w:r>
      <w:r w:rsidR="007D3BFF">
        <w:rPr>
          <w:rFonts w:asciiTheme="majorHAnsi" w:hAnsiTheme="majorHAnsi"/>
          <w:sz w:val="20"/>
          <w:szCs w:val="20"/>
        </w:rPr>
        <w:t>hematomas</w:t>
      </w:r>
      <w:r w:rsidR="00D8683A">
        <w:rPr>
          <w:rFonts w:asciiTheme="majorHAnsi" w:hAnsiTheme="majorHAnsi"/>
          <w:sz w:val="20"/>
          <w:szCs w:val="20"/>
        </w:rPr>
        <w:t xml:space="preserve"> </w:t>
      </w:r>
      <w:r w:rsidR="009E0388">
        <w:rPr>
          <w:rFonts w:asciiTheme="majorHAnsi" w:hAnsiTheme="majorHAnsi"/>
          <w:sz w:val="20"/>
          <w:szCs w:val="20"/>
        </w:rPr>
        <w:t>are observed n</w:t>
      </w:r>
      <w:r w:rsidR="00D8683A">
        <w:rPr>
          <w:rFonts w:asciiTheme="majorHAnsi" w:hAnsiTheme="majorHAnsi"/>
          <w:sz w:val="20"/>
          <w:szCs w:val="20"/>
        </w:rPr>
        <w:t>or solutions of continuity of the frontal</w:t>
      </w:r>
      <w:r w:rsidR="00CE473E">
        <w:rPr>
          <w:rFonts w:asciiTheme="majorHAnsi" w:hAnsiTheme="majorHAnsi"/>
          <w:sz w:val="20"/>
          <w:szCs w:val="20"/>
        </w:rPr>
        <w:t xml:space="preserve"> (forehead)</w:t>
      </w:r>
      <w:r w:rsidR="00D8683A">
        <w:rPr>
          <w:rFonts w:asciiTheme="majorHAnsi" w:hAnsiTheme="majorHAnsi"/>
          <w:sz w:val="20"/>
          <w:szCs w:val="20"/>
        </w:rPr>
        <w:t xml:space="preserve"> bone. </w:t>
      </w:r>
      <w:r w:rsidR="00CF28F6">
        <w:rPr>
          <w:rFonts w:asciiTheme="majorHAnsi" w:hAnsiTheme="majorHAnsi"/>
          <w:sz w:val="20"/>
          <w:szCs w:val="20"/>
        </w:rPr>
        <w:t>We did not view</w:t>
      </w:r>
      <w:r w:rsidR="00BE3EBB">
        <w:rPr>
          <w:rFonts w:asciiTheme="majorHAnsi" w:hAnsiTheme="majorHAnsi"/>
          <w:sz w:val="20"/>
          <w:szCs w:val="20"/>
        </w:rPr>
        <w:t xml:space="preserve"> </w:t>
      </w:r>
      <w:r w:rsidR="0037080C">
        <w:rPr>
          <w:rFonts w:asciiTheme="majorHAnsi" w:hAnsiTheme="majorHAnsi"/>
          <w:sz w:val="20"/>
          <w:szCs w:val="20"/>
        </w:rPr>
        <w:t xml:space="preserve">injuries </w:t>
      </w:r>
      <w:r w:rsidR="00CF28F6">
        <w:rPr>
          <w:rFonts w:asciiTheme="majorHAnsi" w:hAnsiTheme="majorHAnsi"/>
          <w:sz w:val="20"/>
          <w:szCs w:val="20"/>
        </w:rPr>
        <w:t>either in the natural orifices that are free and permeable.”</w:t>
      </w:r>
      <w:r w:rsidR="00632970">
        <w:rPr>
          <w:rFonts w:asciiTheme="majorHAnsi" w:hAnsiTheme="majorHAnsi"/>
          <w:sz w:val="20"/>
          <w:szCs w:val="20"/>
        </w:rPr>
        <w:t xml:space="preserve"> Next, the report </w:t>
      </w:r>
      <w:r w:rsidR="000E0177">
        <w:rPr>
          <w:rFonts w:asciiTheme="majorHAnsi" w:hAnsiTheme="majorHAnsi"/>
          <w:sz w:val="20"/>
          <w:szCs w:val="20"/>
        </w:rPr>
        <w:t xml:space="preserve">reaches </w:t>
      </w:r>
      <w:r w:rsidR="00632970">
        <w:rPr>
          <w:rFonts w:asciiTheme="majorHAnsi" w:hAnsiTheme="majorHAnsi"/>
          <w:sz w:val="20"/>
          <w:szCs w:val="20"/>
        </w:rPr>
        <w:t>the conclusion that the cause of death “is obviously interstitial pneumonitis with important alveolar edema and hemorrhage. We also verified important passive congestion</w:t>
      </w:r>
      <w:r w:rsidR="009763BD">
        <w:rPr>
          <w:rFonts w:asciiTheme="majorHAnsi" w:hAnsiTheme="majorHAnsi"/>
          <w:sz w:val="20"/>
          <w:szCs w:val="20"/>
        </w:rPr>
        <w:t xml:space="preserve"> of all organs that we related to a state of final shock</w:t>
      </w:r>
      <w:r w:rsidR="00300D46" w:rsidRPr="00D65A97">
        <w:rPr>
          <w:rFonts w:asciiTheme="majorHAnsi" w:hAnsiTheme="majorHAnsi"/>
          <w:sz w:val="20"/>
          <w:szCs w:val="20"/>
        </w:rPr>
        <w:t>. (…)”</w:t>
      </w:r>
      <w:r w:rsidR="00300D46" w:rsidRPr="00D65A97">
        <w:rPr>
          <w:rStyle w:val="FootnoteReference"/>
          <w:rFonts w:asciiTheme="majorHAnsi" w:hAnsiTheme="majorHAnsi"/>
          <w:sz w:val="20"/>
          <w:szCs w:val="20"/>
        </w:rPr>
        <w:footnoteReference w:id="46"/>
      </w:r>
      <w:r w:rsidR="00A85CED">
        <w:rPr>
          <w:rFonts w:asciiTheme="majorHAnsi" w:hAnsiTheme="majorHAnsi"/>
          <w:sz w:val="20"/>
          <w:szCs w:val="20"/>
        </w:rPr>
        <w:t xml:space="preserve"> The Commission notes that the alleged victim’s mother claims that </w:t>
      </w:r>
      <w:r w:rsidR="007973E8">
        <w:rPr>
          <w:rFonts w:asciiTheme="majorHAnsi" w:hAnsiTheme="majorHAnsi"/>
          <w:sz w:val="20"/>
          <w:szCs w:val="20"/>
        </w:rPr>
        <w:t xml:space="preserve">you can </w:t>
      </w:r>
      <w:r w:rsidR="000E232D">
        <w:rPr>
          <w:rFonts w:asciiTheme="majorHAnsi" w:hAnsiTheme="majorHAnsi"/>
          <w:sz w:val="20"/>
          <w:szCs w:val="20"/>
        </w:rPr>
        <w:t xml:space="preserve">see </w:t>
      </w:r>
      <w:r w:rsidR="007973E8">
        <w:rPr>
          <w:rFonts w:asciiTheme="majorHAnsi" w:hAnsiTheme="majorHAnsi"/>
          <w:sz w:val="20"/>
          <w:szCs w:val="20"/>
        </w:rPr>
        <w:t>that there are injuries</w:t>
      </w:r>
      <w:r w:rsidR="00EF02B3">
        <w:rPr>
          <w:rFonts w:asciiTheme="majorHAnsi" w:hAnsiTheme="majorHAnsi"/>
          <w:sz w:val="20"/>
          <w:szCs w:val="20"/>
        </w:rPr>
        <w:t xml:space="preserve"> on the body of the alleged victim</w:t>
      </w:r>
      <w:r w:rsidR="007973E8">
        <w:rPr>
          <w:rFonts w:asciiTheme="majorHAnsi" w:hAnsiTheme="majorHAnsi"/>
          <w:sz w:val="20"/>
          <w:szCs w:val="20"/>
        </w:rPr>
        <w:t xml:space="preserve"> </w:t>
      </w:r>
      <w:r w:rsidR="002A18E2">
        <w:rPr>
          <w:rFonts w:asciiTheme="majorHAnsi" w:hAnsiTheme="majorHAnsi"/>
          <w:sz w:val="20"/>
          <w:szCs w:val="20"/>
        </w:rPr>
        <w:t>from the photographs and video of the first autopsy (especially one on the he</w:t>
      </w:r>
      <w:r w:rsidR="00B86629">
        <w:rPr>
          <w:rFonts w:asciiTheme="majorHAnsi" w:hAnsiTheme="majorHAnsi"/>
          <w:sz w:val="20"/>
          <w:szCs w:val="20"/>
        </w:rPr>
        <w:t>ad that she says ca</w:t>
      </w:r>
      <w:r w:rsidR="00EF02B3">
        <w:rPr>
          <w:rFonts w:asciiTheme="majorHAnsi" w:hAnsiTheme="majorHAnsi"/>
          <w:sz w:val="20"/>
          <w:szCs w:val="20"/>
        </w:rPr>
        <w:t>n be seen in the photographs)</w:t>
      </w:r>
      <w:r w:rsidR="00B86629">
        <w:rPr>
          <w:rFonts w:asciiTheme="majorHAnsi" w:hAnsiTheme="majorHAnsi"/>
          <w:sz w:val="20"/>
          <w:szCs w:val="20"/>
        </w:rPr>
        <w:t xml:space="preserve">, </w:t>
      </w:r>
      <w:r w:rsidR="00A06B44">
        <w:rPr>
          <w:rFonts w:asciiTheme="majorHAnsi" w:hAnsiTheme="majorHAnsi"/>
          <w:sz w:val="20"/>
          <w:szCs w:val="20"/>
        </w:rPr>
        <w:t>which does not comport with the expert witness’s report.</w:t>
      </w:r>
      <w:r w:rsidR="00300D46" w:rsidRPr="00D65A97">
        <w:rPr>
          <w:rStyle w:val="FootnoteReference"/>
          <w:rFonts w:asciiTheme="majorHAnsi" w:hAnsiTheme="majorHAnsi"/>
          <w:sz w:val="20"/>
          <w:szCs w:val="20"/>
        </w:rPr>
        <w:footnoteReference w:id="47"/>
      </w:r>
      <w:r w:rsidR="00300D46" w:rsidRPr="00D65A97">
        <w:rPr>
          <w:rFonts w:asciiTheme="majorHAnsi" w:hAnsiTheme="majorHAnsi"/>
          <w:sz w:val="20"/>
          <w:szCs w:val="20"/>
        </w:rPr>
        <w:t xml:space="preserve"> </w:t>
      </w:r>
    </w:p>
    <w:p w14:paraId="0218F10E" w14:textId="77777777" w:rsidR="00300D46" w:rsidRPr="00D65A97" w:rsidRDefault="00300D46" w:rsidP="00300D46">
      <w:pPr>
        <w:ind w:firstLine="720"/>
        <w:jc w:val="both"/>
        <w:rPr>
          <w:rFonts w:asciiTheme="majorHAnsi" w:hAnsiTheme="majorHAnsi"/>
          <w:sz w:val="20"/>
          <w:szCs w:val="20"/>
        </w:rPr>
      </w:pPr>
    </w:p>
    <w:p w14:paraId="11E44F86" w14:textId="57B501BB" w:rsidR="00300D46" w:rsidRPr="00D65A97" w:rsidRDefault="00E84C39"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Additionally, during the course of the investigation, the Commission notices that the Criminal Court of the 11</w:t>
      </w:r>
      <w:r w:rsidRPr="00E84C39">
        <w:rPr>
          <w:rFonts w:asciiTheme="majorHAnsi" w:hAnsiTheme="majorHAnsi"/>
          <w:sz w:val="20"/>
          <w:szCs w:val="20"/>
          <w:vertAlign w:val="superscript"/>
        </w:rPr>
        <w:t>th</w:t>
      </w:r>
      <w:r>
        <w:rPr>
          <w:rFonts w:asciiTheme="majorHAnsi" w:hAnsiTheme="majorHAnsi"/>
          <w:sz w:val="20"/>
          <w:szCs w:val="20"/>
        </w:rPr>
        <w:t xml:space="preserve"> Rotation</w:t>
      </w:r>
      <w:r w:rsidR="001F2D06">
        <w:rPr>
          <w:rFonts w:asciiTheme="majorHAnsi" w:hAnsiTheme="majorHAnsi"/>
          <w:sz w:val="20"/>
          <w:szCs w:val="20"/>
        </w:rPr>
        <w:t xml:space="preserve"> </w:t>
      </w:r>
      <w:r w:rsidR="00421A3A">
        <w:rPr>
          <w:rFonts w:asciiTheme="majorHAnsi" w:hAnsiTheme="majorHAnsi"/>
          <w:sz w:val="20"/>
          <w:szCs w:val="20"/>
        </w:rPr>
        <w:t xml:space="preserve">ruled </w:t>
      </w:r>
      <w:r w:rsidR="001F2D06">
        <w:rPr>
          <w:rFonts w:asciiTheme="majorHAnsi" w:hAnsiTheme="majorHAnsi"/>
          <w:sz w:val="20"/>
          <w:szCs w:val="20"/>
        </w:rPr>
        <w:t>that</w:t>
      </w:r>
      <w:r w:rsidR="00A718B2">
        <w:rPr>
          <w:rFonts w:asciiTheme="majorHAnsi" w:hAnsiTheme="majorHAnsi"/>
          <w:sz w:val="20"/>
          <w:szCs w:val="20"/>
        </w:rPr>
        <w:t>,</w:t>
      </w:r>
      <w:r w:rsidR="001F2D06">
        <w:rPr>
          <w:rFonts w:asciiTheme="majorHAnsi" w:hAnsiTheme="majorHAnsi"/>
          <w:sz w:val="20"/>
          <w:szCs w:val="20"/>
        </w:rPr>
        <w:t xml:space="preserve"> because the events of the death of the alleged victim took place in Mariscal Estigarribia, said Court of the Investigating Magistrate was supposed to hear the case and, therefore, it </w:t>
      </w:r>
      <w:r w:rsidR="00B401A5">
        <w:rPr>
          <w:rFonts w:asciiTheme="majorHAnsi" w:hAnsiTheme="majorHAnsi"/>
          <w:sz w:val="20"/>
          <w:szCs w:val="20"/>
        </w:rPr>
        <w:t xml:space="preserve">transferred </w:t>
      </w:r>
      <w:r w:rsidR="001F2D06">
        <w:rPr>
          <w:rFonts w:asciiTheme="majorHAnsi" w:hAnsiTheme="majorHAnsi"/>
          <w:sz w:val="20"/>
          <w:szCs w:val="20"/>
        </w:rPr>
        <w:t>the case proceedings</w:t>
      </w:r>
      <w:r w:rsidR="00B401A5">
        <w:rPr>
          <w:rFonts w:asciiTheme="majorHAnsi" w:hAnsiTheme="majorHAnsi"/>
          <w:sz w:val="20"/>
          <w:szCs w:val="20"/>
        </w:rPr>
        <w:t xml:space="preserve"> to said jurisdiction on September 19, 1996. This</w:t>
      </w:r>
      <w:r w:rsidR="00385163">
        <w:rPr>
          <w:rFonts w:asciiTheme="majorHAnsi" w:hAnsiTheme="majorHAnsi"/>
          <w:sz w:val="20"/>
          <w:szCs w:val="20"/>
        </w:rPr>
        <w:t xml:space="preserve"> transfer led to Investigating Magistrate Antonio Diaz Piris taking over the investigation; however </w:t>
      </w:r>
      <w:r w:rsidR="00B05268">
        <w:rPr>
          <w:rFonts w:asciiTheme="majorHAnsi" w:hAnsiTheme="majorHAnsi"/>
          <w:sz w:val="20"/>
          <w:szCs w:val="20"/>
        </w:rPr>
        <w:t>María Noguera</w:t>
      </w:r>
      <w:r w:rsidR="001A1549">
        <w:rPr>
          <w:rFonts w:asciiTheme="majorHAnsi" w:hAnsiTheme="majorHAnsi"/>
          <w:sz w:val="20"/>
          <w:szCs w:val="20"/>
        </w:rPr>
        <w:t xml:space="preserve"> filed for his removal</w:t>
      </w:r>
      <w:r w:rsidR="00B05268">
        <w:rPr>
          <w:rFonts w:asciiTheme="majorHAnsi" w:hAnsiTheme="majorHAnsi"/>
          <w:sz w:val="20"/>
          <w:szCs w:val="20"/>
        </w:rPr>
        <w:t xml:space="preserve"> on the grounds that the Magistrate </w:t>
      </w:r>
      <w:r w:rsidR="00A718B2">
        <w:rPr>
          <w:rFonts w:asciiTheme="majorHAnsi" w:hAnsiTheme="majorHAnsi"/>
          <w:sz w:val="20"/>
          <w:szCs w:val="20"/>
        </w:rPr>
        <w:t xml:space="preserve">failed to turn over </w:t>
      </w:r>
      <w:r w:rsidR="00B05268">
        <w:rPr>
          <w:rFonts w:asciiTheme="majorHAnsi" w:hAnsiTheme="majorHAnsi"/>
          <w:sz w:val="20"/>
          <w:szCs w:val="20"/>
        </w:rPr>
        <w:t>the case</w:t>
      </w:r>
      <w:r w:rsidR="00A718B2">
        <w:rPr>
          <w:rFonts w:asciiTheme="majorHAnsi" w:hAnsiTheme="majorHAnsi"/>
          <w:sz w:val="20"/>
          <w:szCs w:val="20"/>
        </w:rPr>
        <w:t xml:space="preserve"> file to</w:t>
      </w:r>
      <w:r w:rsidR="00B05268">
        <w:rPr>
          <w:rFonts w:asciiTheme="majorHAnsi" w:hAnsiTheme="majorHAnsi"/>
          <w:sz w:val="20"/>
          <w:szCs w:val="20"/>
        </w:rPr>
        <w:t xml:space="preserve"> the Office of the Clerk of the Court, it misled her with regard to the location of the </w:t>
      </w:r>
      <w:r w:rsidR="00E479D5">
        <w:rPr>
          <w:rFonts w:asciiTheme="majorHAnsi" w:hAnsiTheme="majorHAnsi"/>
          <w:sz w:val="20"/>
          <w:szCs w:val="20"/>
        </w:rPr>
        <w:t>case file and he expressed his personal hostility against her.</w:t>
      </w:r>
      <w:r w:rsidR="00300D46" w:rsidRPr="00D65A97">
        <w:rPr>
          <w:rStyle w:val="FootnoteReference"/>
          <w:rFonts w:asciiTheme="majorHAnsi" w:hAnsiTheme="majorHAnsi"/>
          <w:sz w:val="20"/>
          <w:szCs w:val="20"/>
        </w:rPr>
        <w:footnoteReference w:id="48"/>
      </w:r>
      <w:r w:rsidR="00695ED5">
        <w:rPr>
          <w:rFonts w:asciiTheme="majorHAnsi" w:hAnsiTheme="majorHAnsi"/>
          <w:sz w:val="20"/>
          <w:szCs w:val="20"/>
        </w:rPr>
        <w:t xml:space="preserve"> </w:t>
      </w:r>
      <w:r w:rsidR="00795F09">
        <w:rPr>
          <w:rFonts w:asciiTheme="majorHAnsi" w:hAnsiTheme="majorHAnsi"/>
          <w:sz w:val="20"/>
          <w:szCs w:val="20"/>
        </w:rPr>
        <w:t xml:space="preserve">In decision </w:t>
      </w:r>
      <w:r w:rsidR="00300D46" w:rsidRPr="00D65A97">
        <w:rPr>
          <w:rFonts w:asciiTheme="majorHAnsi" w:hAnsiTheme="majorHAnsi"/>
          <w:sz w:val="20"/>
          <w:szCs w:val="20"/>
        </w:rPr>
        <w:t xml:space="preserve">A.I. No. 83 </w:t>
      </w:r>
      <w:r w:rsidR="00795F09">
        <w:rPr>
          <w:rFonts w:asciiTheme="majorHAnsi" w:hAnsiTheme="majorHAnsi"/>
          <w:sz w:val="20"/>
          <w:szCs w:val="20"/>
        </w:rPr>
        <w:t xml:space="preserve">of the Court of Appeals for Criminal Matters, First Chamber, of March 13, 1998, it </w:t>
      </w:r>
      <w:r w:rsidR="00950154">
        <w:rPr>
          <w:rFonts w:asciiTheme="majorHAnsi" w:hAnsiTheme="majorHAnsi"/>
          <w:sz w:val="20"/>
          <w:szCs w:val="20"/>
        </w:rPr>
        <w:t xml:space="preserve">was </w:t>
      </w:r>
      <w:r w:rsidR="00795F09">
        <w:rPr>
          <w:rFonts w:asciiTheme="majorHAnsi" w:hAnsiTheme="majorHAnsi"/>
          <w:sz w:val="20"/>
          <w:szCs w:val="20"/>
        </w:rPr>
        <w:t>found</w:t>
      </w:r>
      <w:r w:rsidR="00950154">
        <w:rPr>
          <w:rFonts w:asciiTheme="majorHAnsi" w:hAnsiTheme="majorHAnsi"/>
          <w:sz w:val="20"/>
          <w:szCs w:val="20"/>
        </w:rPr>
        <w:t xml:space="preserve"> that</w:t>
      </w:r>
      <w:r w:rsidR="00795F09">
        <w:rPr>
          <w:rFonts w:asciiTheme="majorHAnsi" w:hAnsiTheme="majorHAnsi"/>
          <w:sz w:val="20"/>
          <w:szCs w:val="20"/>
        </w:rPr>
        <w:t xml:space="preserve"> María Noguera’s grounds</w:t>
      </w:r>
      <w:r w:rsidR="00D56366">
        <w:rPr>
          <w:rFonts w:asciiTheme="majorHAnsi" w:hAnsiTheme="majorHAnsi"/>
          <w:sz w:val="20"/>
          <w:szCs w:val="20"/>
        </w:rPr>
        <w:t xml:space="preserve"> were</w:t>
      </w:r>
      <w:r w:rsidR="00795F09">
        <w:rPr>
          <w:rFonts w:asciiTheme="majorHAnsi" w:hAnsiTheme="majorHAnsi"/>
          <w:sz w:val="20"/>
          <w:szCs w:val="20"/>
        </w:rPr>
        <w:t xml:space="preserve"> sufficient to remove the Magistrate from the case basing its reasoning “on the statements made by the appellant are serious and more than sufficient to justify</w:t>
      </w:r>
      <w:r w:rsidR="00FE1063">
        <w:rPr>
          <w:rFonts w:asciiTheme="majorHAnsi" w:hAnsiTheme="majorHAnsi"/>
          <w:sz w:val="20"/>
          <w:szCs w:val="20"/>
        </w:rPr>
        <w:t>,</w:t>
      </w:r>
      <w:r w:rsidR="00795F09">
        <w:rPr>
          <w:rFonts w:asciiTheme="majorHAnsi" w:hAnsiTheme="majorHAnsi"/>
          <w:sz w:val="20"/>
          <w:szCs w:val="20"/>
        </w:rPr>
        <w:t xml:space="preserve"> for reasons of prudence</w:t>
      </w:r>
      <w:r w:rsidR="00FE1063">
        <w:rPr>
          <w:rFonts w:asciiTheme="majorHAnsi" w:hAnsiTheme="majorHAnsi"/>
          <w:sz w:val="20"/>
          <w:szCs w:val="20"/>
        </w:rPr>
        <w:t>,</w:t>
      </w:r>
      <w:r w:rsidR="00795F09">
        <w:rPr>
          <w:rFonts w:asciiTheme="majorHAnsi" w:hAnsiTheme="majorHAnsi"/>
          <w:sz w:val="20"/>
          <w:szCs w:val="20"/>
        </w:rPr>
        <w:t xml:space="preserve"> the removal of the Judge, and because it could eventually compromise his impartiality </w:t>
      </w:r>
      <w:r w:rsidR="00300D46" w:rsidRPr="00D65A97">
        <w:rPr>
          <w:rFonts w:asciiTheme="majorHAnsi" w:hAnsiTheme="majorHAnsi"/>
          <w:sz w:val="20"/>
          <w:szCs w:val="20"/>
        </w:rPr>
        <w:t>(…)</w:t>
      </w:r>
      <w:r w:rsidR="0068181C">
        <w:rPr>
          <w:rFonts w:asciiTheme="majorHAnsi" w:hAnsiTheme="majorHAnsi"/>
          <w:sz w:val="20"/>
          <w:szCs w:val="20"/>
        </w:rPr>
        <w:t>.</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49"/>
      </w:r>
    </w:p>
    <w:p w14:paraId="7ECB8C50" w14:textId="77777777" w:rsidR="00300D46" w:rsidRPr="00D65A97" w:rsidRDefault="00300D46" w:rsidP="00300D46">
      <w:pPr>
        <w:ind w:left="360" w:firstLine="720"/>
        <w:jc w:val="both"/>
        <w:rPr>
          <w:rFonts w:asciiTheme="majorHAnsi" w:hAnsiTheme="majorHAnsi"/>
          <w:sz w:val="20"/>
          <w:szCs w:val="20"/>
        </w:rPr>
      </w:pPr>
    </w:p>
    <w:p w14:paraId="61D2D897" w14:textId="453878E2" w:rsidR="00300D46" w:rsidRPr="00D65A97" w:rsidRDefault="0068181C"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As a consequence, a negative dispute over jurisdiction ensued between the Trial Court Judges for Criminal Matters of the first and twelfth rotations, because neither of the judges recognized the other’s jurisdiction to oversee the investigation. </w:t>
      </w:r>
      <w:r w:rsidR="00284721">
        <w:rPr>
          <w:rFonts w:asciiTheme="majorHAnsi" w:hAnsiTheme="majorHAnsi"/>
          <w:sz w:val="20"/>
          <w:szCs w:val="20"/>
        </w:rPr>
        <w:t>Finally, the Supreme Court of Justice awarded jurisdiction to the Judge of the First Ro</w:t>
      </w:r>
      <w:r w:rsidR="0062306B">
        <w:rPr>
          <w:rFonts w:asciiTheme="majorHAnsi" w:hAnsiTheme="majorHAnsi"/>
          <w:sz w:val="20"/>
          <w:szCs w:val="20"/>
        </w:rPr>
        <w:t>t</w:t>
      </w:r>
      <w:r w:rsidR="00284721">
        <w:rPr>
          <w:rFonts w:asciiTheme="majorHAnsi" w:hAnsiTheme="majorHAnsi"/>
          <w:sz w:val="20"/>
          <w:szCs w:val="20"/>
        </w:rPr>
        <w:t>ation of said Trial Court of the jurisdiction of Mariscal de Estigarribia on February 26, 1999</w:t>
      </w:r>
      <w:r w:rsidR="00300D46" w:rsidRPr="00D65A97">
        <w:rPr>
          <w:rStyle w:val="FootnoteReference"/>
          <w:rFonts w:asciiTheme="majorHAnsi" w:hAnsiTheme="majorHAnsi"/>
          <w:sz w:val="20"/>
          <w:szCs w:val="20"/>
        </w:rPr>
        <w:footnoteReference w:id="50"/>
      </w:r>
      <w:r w:rsidR="00300D46" w:rsidRPr="00D65A97">
        <w:rPr>
          <w:rStyle w:val="FootnoteReference"/>
          <w:rFonts w:asciiTheme="majorHAnsi" w:hAnsiTheme="majorHAnsi"/>
          <w:sz w:val="20"/>
          <w:szCs w:val="20"/>
        </w:rPr>
        <w:t xml:space="preserve"> </w:t>
      </w:r>
      <w:r w:rsidR="00284721">
        <w:rPr>
          <w:rFonts w:asciiTheme="majorHAnsi" w:hAnsiTheme="majorHAnsi"/>
          <w:sz w:val="20"/>
          <w:szCs w:val="20"/>
        </w:rPr>
        <w:t>and, therefore, the Prosecutor’s Office assigned to this court took</w:t>
      </w:r>
      <w:r w:rsidR="00EC12C4">
        <w:rPr>
          <w:rFonts w:asciiTheme="majorHAnsi" w:hAnsiTheme="majorHAnsi"/>
          <w:sz w:val="20"/>
          <w:szCs w:val="20"/>
        </w:rPr>
        <w:t xml:space="preserve"> back the investigations on April 9, </w:t>
      </w:r>
      <w:r w:rsidR="00300D46" w:rsidRPr="00D65A97">
        <w:rPr>
          <w:rFonts w:asciiTheme="majorHAnsi" w:hAnsiTheme="majorHAnsi"/>
          <w:sz w:val="20"/>
          <w:szCs w:val="20"/>
        </w:rPr>
        <w:t>1999</w:t>
      </w:r>
      <w:r w:rsidR="00EC12C4">
        <w:rPr>
          <w:rFonts w:asciiTheme="majorHAnsi" w:hAnsiTheme="majorHAnsi"/>
          <w:sz w:val="20"/>
          <w:szCs w:val="20"/>
        </w:rPr>
        <w:t>.</w:t>
      </w:r>
      <w:r w:rsidR="00300D46" w:rsidRPr="00D65A97">
        <w:rPr>
          <w:rStyle w:val="FootnoteReference"/>
          <w:rFonts w:asciiTheme="majorHAnsi" w:hAnsiTheme="majorHAnsi"/>
          <w:sz w:val="20"/>
          <w:szCs w:val="20"/>
        </w:rPr>
        <w:footnoteReference w:id="51"/>
      </w:r>
    </w:p>
    <w:p w14:paraId="70CBF8B0" w14:textId="77777777" w:rsidR="00300D46" w:rsidRPr="00D65A97" w:rsidRDefault="00300D46" w:rsidP="00300D46">
      <w:pPr>
        <w:ind w:firstLine="720"/>
        <w:jc w:val="both"/>
        <w:rPr>
          <w:rFonts w:asciiTheme="majorHAnsi" w:hAnsiTheme="majorHAnsi"/>
          <w:sz w:val="20"/>
          <w:szCs w:val="20"/>
        </w:rPr>
      </w:pPr>
      <w:r w:rsidRPr="00D65A97">
        <w:rPr>
          <w:rFonts w:asciiTheme="majorHAnsi" w:hAnsiTheme="majorHAnsi"/>
          <w:sz w:val="20"/>
          <w:szCs w:val="20"/>
        </w:rPr>
        <w:t xml:space="preserve"> </w:t>
      </w:r>
    </w:p>
    <w:p w14:paraId="5C105DFD" w14:textId="2E51C944" w:rsidR="00300D46" w:rsidRPr="00D65A97" w:rsidRDefault="00E1557C"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Once the case was taken back by the respective Prosecutor’s Office, the Commission </w:t>
      </w:r>
      <w:r w:rsidR="00B545CB">
        <w:rPr>
          <w:rFonts w:asciiTheme="majorHAnsi" w:hAnsiTheme="majorHAnsi"/>
          <w:sz w:val="20"/>
          <w:szCs w:val="20"/>
        </w:rPr>
        <w:t xml:space="preserve">notes </w:t>
      </w:r>
      <w:r>
        <w:rPr>
          <w:rFonts w:asciiTheme="majorHAnsi" w:hAnsiTheme="majorHAnsi"/>
          <w:sz w:val="20"/>
          <w:szCs w:val="20"/>
        </w:rPr>
        <w:t xml:space="preserve">that from April to July 1999, the Prosecutor </w:t>
      </w:r>
      <w:r w:rsidR="008F5A1A">
        <w:rPr>
          <w:rFonts w:asciiTheme="majorHAnsi" w:hAnsiTheme="majorHAnsi"/>
          <w:sz w:val="20"/>
          <w:szCs w:val="20"/>
        </w:rPr>
        <w:t xml:space="preserve">directed </w:t>
      </w:r>
      <w:r>
        <w:rPr>
          <w:rFonts w:asciiTheme="majorHAnsi" w:hAnsiTheme="majorHAnsi"/>
          <w:sz w:val="20"/>
          <w:szCs w:val="20"/>
        </w:rPr>
        <w:t xml:space="preserve">the alleged victim’s mother to submit the addresses of the people who she reported knew the circumstances of Ariel Noguera’s death. </w:t>
      </w:r>
      <w:r w:rsidR="00CD51FE">
        <w:rPr>
          <w:rFonts w:asciiTheme="majorHAnsi" w:hAnsiTheme="majorHAnsi"/>
          <w:sz w:val="20"/>
          <w:szCs w:val="20"/>
        </w:rPr>
        <w:t>In the case file there are two written submissions from Vicente Ariel Noguera’s mother in which she requests the Judge to order the Chief of the Armed Forces of the Nation (hereinafter “the Chief of the FFAA”) to provide said information.</w:t>
      </w:r>
      <w:r w:rsidR="00300D46" w:rsidRPr="00D65A97">
        <w:rPr>
          <w:rStyle w:val="FootnoteReference"/>
          <w:rFonts w:asciiTheme="majorHAnsi" w:hAnsiTheme="majorHAnsi"/>
          <w:sz w:val="20"/>
          <w:szCs w:val="20"/>
        </w:rPr>
        <w:footnoteReference w:id="52"/>
      </w:r>
      <w:r w:rsidR="00300D46" w:rsidRPr="00D65A97">
        <w:rPr>
          <w:rFonts w:asciiTheme="majorHAnsi" w:hAnsiTheme="majorHAnsi"/>
          <w:sz w:val="20"/>
          <w:szCs w:val="20"/>
        </w:rPr>
        <w:t xml:space="preserve"> </w:t>
      </w:r>
    </w:p>
    <w:p w14:paraId="7AF29C08" w14:textId="77777777" w:rsidR="00300D46" w:rsidRPr="00D65A97" w:rsidRDefault="00300D46" w:rsidP="00300D46">
      <w:pPr>
        <w:ind w:firstLine="720"/>
        <w:rPr>
          <w:rFonts w:asciiTheme="majorHAnsi" w:hAnsiTheme="majorHAnsi"/>
          <w:sz w:val="20"/>
          <w:szCs w:val="20"/>
        </w:rPr>
      </w:pPr>
    </w:p>
    <w:p w14:paraId="4858D90A" w14:textId="5DCD5EC3" w:rsidR="00300D46" w:rsidRPr="00D65A97" w:rsidRDefault="001F3CCA"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case file also inc</w:t>
      </w:r>
      <w:r w:rsidR="00070C79">
        <w:rPr>
          <w:rFonts w:asciiTheme="majorHAnsi" w:hAnsiTheme="majorHAnsi"/>
          <w:sz w:val="20"/>
          <w:szCs w:val="20"/>
        </w:rPr>
        <w:t>ludes the Prosecutor’s Report of</w:t>
      </w:r>
      <w:r>
        <w:rPr>
          <w:rFonts w:asciiTheme="majorHAnsi" w:hAnsiTheme="majorHAnsi"/>
          <w:sz w:val="20"/>
          <w:szCs w:val="20"/>
        </w:rPr>
        <w:t xml:space="preserve"> July 18, 2001</w:t>
      </w:r>
      <w:r w:rsidR="001D4948">
        <w:rPr>
          <w:rFonts w:asciiTheme="majorHAnsi" w:hAnsiTheme="majorHAnsi"/>
          <w:sz w:val="20"/>
          <w:szCs w:val="20"/>
        </w:rPr>
        <w:t>,</w:t>
      </w:r>
      <w:r>
        <w:rPr>
          <w:rFonts w:asciiTheme="majorHAnsi" w:hAnsiTheme="majorHAnsi"/>
          <w:sz w:val="20"/>
          <w:szCs w:val="20"/>
        </w:rPr>
        <w:t xml:space="preserve"> reiterating to the Chief of the FFAA to forward the addresses of the persons identified as witnesses in the investigation and the Military </w:t>
      </w:r>
      <w:r>
        <w:rPr>
          <w:rFonts w:asciiTheme="majorHAnsi" w:hAnsiTheme="majorHAnsi"/>
          <w:sz w:val="20"/>
          <w:szCs w:val="20"/>
        </w:rPr>
        <w:lastRenderedPageBreak/>
        <w:t>Supreme Court of Justice to forward the case proceedings file in its jurisdiction.</w:t>
      </w:r>
      <w:r w:rsidR="00300D46" w:rsidRPr="00D65A97">
        <w:rPr>
          <w:rStyle w:val="FootnoteReference"/>
          <w:rFonts w:asciiTheme="majorHAnsi" w:hAnsiTheme="majorHAnsi"/>
          <w:sz w:val="20"/>
          <w:szCs w:val="20"/>
        </w:rPr>
        <w:footnoteReference w:id="53"/>
      </w:r>
      <w:r>
        <w:rPr>
          <w:rFonts w:asciiTheme="majorHAnsi" w:hAnsiTheme="majorHAnsi"/>
          <w:sz w:val="20"/>
          <w:szCs w:val="20"/>
        </w:rPr>
        <w:t xml:space="preserve"> On August </w:t>
      </w:r>
      <w:r w:rsidR="00300D46" w:rsidRPr="00D65A97">
        <w:rPr>
          <w:rFonts w:asciiTheme="majorHAnsi" w:hAnsiTheme="majorHAnsi"/>
          <w:sz w:val="20"/>
          <w:szCs w:val="20"/>
        </w:rPr>
        <w:t>31</w:t>
      </w:r>
      <w:r>
        <w:rPr>
          <w:rFonts w:asciiTheme="majorHAnsi" w:hAnsiTheme="majorHAnsi"/>
          <w:sz w:val="20"/>
          <w:szCs w:val="20"/>
        </w:rPr>
        <w:t>,</w:t>
      </w:r>
      <w:r w:rsidR="00300D46" w:rsidRPr="00D65A97">
        <w:rPr>
          <w:rFonts w:asciiTheme="majorHAnsi" w:hAnsiTheme="majorHAnsi"/>
          <w:sz w:val="20"/>
          <w:szCs w:val="20"/>
        </w:rPr>
        <w:t xml:space="preserve"> 2001</w:t>
      </w:r>
      <w:r w:rsidR="00083E5B">
        <w:rPr>
          <w:rFonts w:asciiTheme="majorHAnsi" w:hAnsiTheme="majorHAnsi"/>
          <w:sz w:val="20"/>
          <w:szCs w:val="20"/>
        </w:rPr>
        <w:t xml:space="preserve">, the </w:t>
      </w:r>
      <w:r>
        <w:rPr>
          <w:rFonts w:asciiTheme="majorHAnsi" w:hAnsiTheme="majorHAnsi"/>
          <w:sz w:val="20"/>
          <w:szCs w:val="20"/>
        </w:rPr>
        <w:t xml:space="preserve">chief of the Military Supreme Court of Justice </w:t>
      </w:r>
      <w:r w:rsidR="00AB00E4">
        <w:rPr>
          <w:rFonts w:asciiTheme="majorHAnsi" w:hAnsiTheme="majorHAnsi"/>
          <w:sz w:val="20"/>
          <w:szCs w:val="20"/>
        </w:rPr>
        <w:t xml:space="preserve">only forwarded the order to dismiss the investigation into the death of the alleged victim (not the full case file) and the </w:t>
      </w:r>
      <w:r w:rsidR="00083E5B">
        <w:rPr>
          <w:rFonts w:asciiTheme="majorHAnsi" w:hAnsiTheme="majorHAnsi"/>
          <w:sz w:val="20"/>
          <w:szCs w:val="20"/>
        </w:rPr>
        <w:t xml:space="preserve">requested </w:t>
      </w:r>
      <w:r w:rsidR="00AB00E4">
        <w:rPr>
          <w:rFonts w:asciiTheme="majorHAnsi" w:hAnsiTheme="majorHAnsi"/>
          <w:sz w:val="20"/>
          <w:szCs w:val="20"/>
        </w:rPr>
        <w:t xml:space="preserve">addresses of the persons identified by name in the ongoing investigation. </w:t>
      </w:r>
    </w:p>
    <w:p w14:paraId="138B3179" w14:textId="77777777" w:rsidR="00300D46" w:rsidRPr="00D65A97" w:rsidRDefault="00300D46" w:rsidP="00300D46">
      <w:pPr>
        <w:ind w:firstLine="720"/>
        <w:jc w:val="both"/>
        <w:rPr>
          <w:rFonts w:asciiTheme="majorHAnsi" w:hAnsiTheme="majorHAnsi"/>
          <w:sz w:val="20"/>
          <w:szCs w:val="20"/>
        </w:rPr>
      </w:pPr>
    </w:p>
    <w:p w14:paraId="5DF5A474" w14:textId="0C182C99" w:rsidR="00300D46" w:rsidRPr="00D65A97" w:rsidRDefault="00E77B57"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Commission notes on the record that there are several communications in the case file, which were conveyed during the course of the investigation by the Judge for Criminal Matters</w:t>
      </w:r>
      <w:r w:rsidR="00A630A3">
        <w:rPr>
          <w:rFonts w:asciiTheme="majorHAnsi" w:hAnsiTheme="majorHAnsi"/>
          <w:sz w:val="20"/>
          <w:szCs w:val="20"/>
        </w:rPr>
        <w:t xml:space="preserve"> requesting information</w:t>
      </w:r>
      <w:r w:rsidR="0012204C">
        <w:rPr>
          <w:rFonts w:asciiTheme="majorHAnsi" w:hAnsiTheme="majorHAnsi"/>
          <w:sz w:val="20"/>
          <w:szCs w:val="20"/>
        </w:rPr>
        <w:t xml:space="preserve"> from CIMEFOR</w:t>
      </w:r>
      <w:r w:rsidR="00A630A3">
        <w:rPr>
          <w:rFonts w:asciiTheme="majorHAnsi" w:hAnsiTheme="majorHAnsi"/>
          <w:sz w:val="20"/>
          <w:szCs w:val="20"/>
        </w:rPr>
        <w:t xml:space="preserve"> about the alleged victim’s death (information about recruitment and health status of the alleged victim)</w:t>
      </w:r>
      <w:r w:rsidR="0012204C">
        <w:rPr>
          <w:rFonts w:asciiTheme="majorHAnsi" w:hAnsiTheme="majorHAnsi"/>
          <w:sz w:val="20"/>
          <w:szCs w:val="20"/>
        </w:rPr>
        <w:t xml:space="preserve">, from </w:t>
      </w:r>
      <w:r w:rsidR="00290161">
        <w:rPr>
          <w:rFonts w:asciiTheme="majorHAnsi" w:hAnsiTheme="majorHAnsi"/>
          <w:sz w:val="20"/>
          <w:szCs w:val="20"/>
        </w:rPr>
        <w:t xml:space="preserve">Migone Hospital (autopsy results) and from </w:t>
      </w:r>
      <w:r w:rsidR="008E13D8">
        <w:rPr>
          <w:rFonts w:asciiTheme="majorHAnsi" w:hAnsiTheme="majorHAnsi"/>
          <w:sz w:val="20"/>
          <w:szCs w:val="20"/>
        </w:rPr>
        <w:t xml:space="preserve">the daily newspaper </w:t>
      </w:r>
      <w:r w:rsidR="008E13D8" w:rsidRPr="00D65A97">
        <w:rPr>
          <w:rFonts w:asciiTheme="majorHAnsi" w:hAnsiTheme="majorHAnsi"/>
          <w:sz w:val="20"/>
          <w:szCs w:val="20"/>
        </w:rPr>
        <w:t>Última Hora</w:t>
      </w:r>
      <w:r w:rsidR="00AC35BD">
        <w:rPr>
          <w:rFonts w:asciiTheme="majorHAnsi" w:hAnsiTheme="majorHAnsi"/>
          <w:sz w:val="20"/>
          <w:szCs w:val="20"/>
        </w:rPr>
        <w:t xml:space="preserve"> (photographs). T</w:t>
      </w:r>
      <w:r w:rsidR="008E13D8">
        <w:rPr>
          <w:rFonts w:asciiTheme="majorHAnsi" w:hAnsiTheme="majorHAnsi"/>
          <w:sz w:val="20"/>
          <w:szCs w:val="20"/>
        </w:rPr>
        <w:t xml:space="preserve">hese communications, according to the pieces of documentary evidence appearing in the case file, were answered in a timely fashion by those who they were addressed to, who forwarded copies of the information requested at the start of the investigations. </w:t>
      </w:r>
      <w:r w:rsidR="00F324B2">
        <w:rPr>
          <w:rFonts w:asciiTheme="majorHAnsi" w:hAnsiTheme="majorHAnsi"/>
          <w:sz w:val="20"/>
          <w:szCs w:val="20"/>
        </w:rPr>
        <w:t xml:space="preserve">The information submitted by said sources was described above in previous sections of the instant report on the merits. </w:t>
      </w:r>
      <w:r w:rsidR="008E13D8">
        <w:rPr>
          <w:rFonts w:asciiTheme="majorHAnsi" w:hAnsiTheme="majorHAnsi"/>
          <w:sz w:val="20"/>
          <w:szCs w:val="20"/>
        </w:rPr>
        <w:t xml:space="preserve"> </w:t>
      </w:r>
    </w:p>
    <w:p w14:paraId="33B2EA81" w14:textId="77777777" w:rsidR="00300D46" w:rsidRPr="00D65A97" w:rsidRDefault="00300D46" w:rsidP="00300D46">
      <w:pPr>
        <w:ind w:left="360" w:firstLine="720"/>
        <w:jc w:val="both"/>
        <w:rPr>
          <w:rFonts w:asciiTheme="majorHAnsi" w:hAnsiTheme="majorHAnsi"/>
          <w:sz w:val="20"/>
          <w:szCs w:val="20"/>
        </w:rPr>
      </w:pPr>
    </w:p>
    <w:p w14:paraId="71DB3412" w14:textId="2AC522BA" w:rsidR="00300D46" w:rsidRPr="00D65A97" w:rsidRDefault="001957C1"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On November </w:t>
      </w:r>
      <w:r w:rsidR="00300D46" w:rsidRPr="00D65A97">
        <w:rPr>
          <w:rFonts w:asciiTheme="majorHAnsi" w:hAnsiTheme="majorHAnsi"/>
          <w:sz w:val="20"/>
          <w:szCs w:val="20"/>
        </w:rPr>
        <w:t>6</w:t>
      </w:r>
      <w:r>
        <w:rPr>
          <w:rFonts w:asciiTheme="majorHAnsi" w:hAnsiTheme="majorHAnsi"/>
          <w:sz w:val="20"/>
          <w:szCs w:val="20"/>
        </w:rPr>
        <w:t>,</w:t>
      </w:r>
      <w:r w:rsidR="00300D46" w:rsidRPr="00D65A97">
        <w:rPr>
          <w:rFonts w:asciiTheme="majorHAnsi" w:hAnsiTheme="majorHAnsi"/>
          <w:sz w:val="20"/>
          <w:szCs w:val="20"/>
        </w:rPr>
        <w:t xml:space="preserve"> 2002</w:t>
      </w:r>
      <w:r w:rsidR="00D06983">
        <w:rPr>
          <w:rFonts w:asciiTheme="majorHAnsi" w:hAnsiTheme="majorHAnsi"/>
          <w:sz w:val="20"/>
          <w:szCs w:val="20"/>
        </w:rPr>
        <w:t xml:space="preserve">, Criminal Judge </w:t>
      </w:r>
      <w:r w:rsidR="00FF122E">
        <w:rPr>
          <w:rFonts w:asciiTheme="majorHAnsi" w:hAnsiTheme="majorHAnsi"/>
          <w:sz w:val="20"/>
          <w:szCs w:val="20"/>
        </w:rPr>
        <w:t xml:space="preserve">for Liquidations and Sentencing No. 7 archived the request for investigation, as appears in ruling </w:t>
      </w:r>
      <w:r w:rsidR="00300D46" w:rsidRPr="00D65A97">
        <w:rPr>
          <w:rFonts w:asciiTheme="majorHAnsi" w:hAnsiTheme="majorHAnsi"/>
          <w:sz w:val="20"/>
          <w:szCs w:val="20"/>
        </w:rPr>
        <w:t xml:space="preserve">A.I. No. 670 </w:t>
      </w:r>
      <w:r w:rsidR="00FF122E">
        <w:rPr>
          <w:rFonts w:asciiTheme="majorHAnsi" w:hAnsiTheme="majorHAnsi"/>
          <w:sz w:val="20"/>
          <w:szCs w:val="20"/>
        </w:rPr>
        <w:t xml:space="preserve">of November </w:t>
      </w:r>
      <w:r w:rsidR="00300D46" w:rsidRPr="00D65A97">
        <w:rPr>
          <w:rFonts w:asciiTheme="majorHAnsi" w:hAnsiTheme="majorHAnsi"/>
          <w:sz w:val="20"/>
          <w:szCs w:val="20"/>
        </w:rPr>
        <w:t>6</w:t>
      </w:r>
      <w:r w:rsidR="00FF122E">
        <w:rPr>
          <w:rFonts w:asciiTheme="majorHAnsi" w:hAnsiTheme="majorHAnsi"/>
          <w:sz w:val="20"/>
          <w:szCs w:val="20"/>
        </w:rPr>
        <w:t>,</w:t>
      </w:r>
      <w:r w:rsidR="00300D46" w:rsidRPr="00D65A97">
        <w:rPr>
          <w:rFonts w:asciiTheme="majorHAnsi" w:hAnsiTheme="majorHAnsi"/>
          <w:sz w:val="20"/>
          <w:szCs w:val="20"/>
        </w:rPr>
        <w:t xml:space="preserve"> 2002</w:t>
      </w:r>
      <w:r w:rsidR="00D63884">
        <w:rPr>
          <w:rFonts w:asciiTheme="majorHAnsi" w:hAnsiTheme="majorHAnsi"/>
          <w:sz w:val="20"/>
          <w:szCs w:val="20"/>
        </w:rPr>
        <w:t xml:space="preserve">, which is part of the case file before the Commission. </w:t>
      </w:r>
      <w:r w:rsidR="0084198C">
        <w:rPr>
          <w:rFonts w:asciiTheme="majorHAnsi" w:hAnsiTheme="majorHAnsi"/>
          <w:sz w:val="20"/>
          <w:szCs w:val="20"/>
        </w:rPr>
        <w:t>According to this r</w:t>
      </w:r>
      <w:r w:rsidR="00E1228E">
        <w:rPr>
          <w:rFonts w:asciiTheme="majorHAnsi" w:hAnsiTheme="majorHAnsi"/>
          <w:sz w:val="20"/>
          <w:szCs w:val="20"/>
        </w:rPr>
        <w:t xml:space="preserve">uling, the </w:t>
      </w:r>
      <w:r w:rsidR="00A816D7">
        <w:rPr>
          <w:rFonts w:asciiTheme="majorHAnsi" w:hAnsiTheme="majorHAnsi"/>
          <w:sz w:val="20"/>
          <w:szCs w:val="20"/>
        </w:rPr>
        <w:t xml:space="preserve">reason for archiving was based on Article 7 of Law </w:t>
      </w:r>
      <w:r w:rsidR="00300D46" w:rsidRPr="00D65A97">
        <w:rPr>
          <w:rFonts w:asciiTheme="majorHAnsi" w:hAnsiTheme="majorHAnsi"/>
          <w:sz w:val="20"/>
          <w:szCs w:val="20"/>
        </w:rPr>
        <w:t>1444/99</w:t>
      </w:r>
      <w:r w:rsidR="00A816D7">
        <w:rPr>
          <w:rFonts w:asciiTheme="majorHAnsi" w:hAnsiTheme="majorHAnsi"/>
          <w:sz w:val="20"/>
          <w:szCs w:val="20"/>
        </w:rPr>
        <w:t>, which provides that “in cases with defendants who have not been individually named, the Court shall order the archiving of the case proceedings, when the Public Prosecutor’s Office or the parties, with</w:t>
      </w:r>
      <w:r w:rsidR="00E349B7">
        <w:rPr>
          <w:rFonts w:asciiTheme="majorHAnsi" w:hAnsiTheme="majorHAnsi"/>
          <w:sz w:val="20"/>
          <w:szCs w:val="20"/>
        </w:rPr>
        <w:t>in</w:t>
      </w:r>
      <w:r w:rsidR="00A816D7">
        <w:rPr>
          <w:rFonts w:asciiTheme="majorHAnsi" w:hAnsiTheme="majorHAnsi"/>
          <w:sz w:val="20"/>
          <w:szCs w:val="20"/>
        </w:rPr>
        <w:t xml:space="preserve"> a period of six months, have not filed any motions or taken the pertinent </w:t>
      </w:r>
      <w:r w:rsidR="000252C6">
        <w:rPr>
          <w:rFonts w:asciiTheme="majorHAnsi" w:hAnsiTheme="majorHAnsi"/>
          <w:sz w:val="20"/>
          <w:szCs w:val="20"/>
        </w:rPr>
        <w:t xml:space="preserve">investigatory or other </w:t>
      </w:r>
      <w:r w:rsidR="0081186D">
        <w:rPr>
          <w:rFonts w:asciiTheme="majorHAnsi" w:hAnsiTheme="majorHAnsi"/>
          <w:sz w:val="20"/>
          <w:szCs w:val="20"/>
        </w:rPr>
        <w:t>steps to continue with the case.</w:t>
      </w:r>
      <w:r w:rsidR="000252C6">
        <w:rPr>
          <w:rFonts w:asciiTheme="majorHAnsi" w:hAnsiTheme="majorHAnsi"/>
          <w:sz w:val="20"/>
          <w:szCs w:val="20"/>
        </w:rPr>
        <w:t>”</w:t>
      </w:r>
      <w:r w:rsidR="00300D46" w:rsidRPr="00D65A97">
        <w:rPr>
          <w:rStyle w:val="FootnoteReference"/>
          <w:rFonts w:asciiTheme="majorHAnsi" w:hAnsiTheme="majorHAnsi"/>
          <w:sz w:val="20"/>
          <w:szCs w:val="20"/>
        </w:rPr>
        <w:footnoteReference w:id="54"/>
      </w:r>
      <w:r w:rsidR="00300D46" w:rsidRPr="00D65A97">
        <w:rPr>
          <w:rFonts w:asciiTheme="majorHAnsi" w:hAnsiTheme="majorHAnsi"/>
          <w:sz w:val="20"/>
          <w:szCs w:val="20"/>
        </w:rPr>
        <w:t xml:space="preserve"> </w:t>
      </w:r>
    </w:p>
    <w:p w14:paraId="0169953F" w14:textId="77777777" w:rsidR="00300D46" w:rsidRPr="00D65A97" w:rsidRDefault="00300D46" w:rsidP="00300D46">
      <w:pPr>
        <w:jc w:val="both"/>
        <w:rPr>
          <w:rFonts w:asciiTheme="majorHAnsi" w:hAnsiTheme="majorHAnsi"/>
          <w:sz w:val="20"/>
          <w:szCs w:val="20"/>
        </w:rPr>
      </w:pPr>
    </w:p>
    <w:p w14:paraId="4A8F4B5B" w14:textId="2C9720C8" w:rsidR="00300D46" w:rsidRPr="00D65A97" w:rsidRDefault="00BE53C5" w:rsidP="00300D46">
      <w:pPr>
        <w:pStyle w:val="Heading1"/>
      </w:pPr>
      <w:bookmarkStart w:id="16" w:name="_Toc506095176"/>
      <w:r>
        <w:t xml:space="preserve">LEGAL ANALYSIS </w:t>
      </w:r>
      <w:bookmarkEnd w:id="16"/>
    </w:p>
    <w:p w14:paraId="764AC81C" w14:textId="77777777" w:rsidR="00300D46" w:rsidRPr="00D65A97" w:rsidRDefault="00300D46" w:rsidP="00300D46">
      <w:pPr>
        <w:ind w:left="1080"/>
        <w:jc w:val="both"/>
        <w:rPr>
          <w:rFonts w:asciiTheme="majorHAnsi" w:hAnsiTheme="majorHAnsi"/>
          <w:b/>
          <w:sz w:val="20"/>
          <w:szCs w:val="20"/>
        </w:rPr>
      </w:pPr>
    </w:p>
    <w:p w14:paraId="2DEBCE9D" w14:textId="2335F796" w:rsidR="00300D46" w:rsidRPr="00D65A97" w:rsidRDefault="00703098"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The instant case is related to the death of the minor </w:t>
      </w:r>
      <w:r w:rsidR="007D3BFF">
        <w:rPr>
          <w:rFonts w:asciiTheme="majorHAnsi" w:hAnsiTheme="majorHAnsi"/>
          <w:sz w:val="20"/>
          <w:szCs w:val="20"/>
        </w:rPr>
        <w:t>Vicente</w:t>
      </w:r>
      <w:r>
        <w:rPr>
          <w:rFonts w:asciiTheme="majorHAnsi" w:hAnsiTheme="majorHAnsi"/>
          <w:sz w:val="20"/>
          <w:szCs w:val="20"/>
        </w:rPr>
        <w:t xml:space="preserve"> Ariel Noguera, who was under the custody of the State performing military service</w:t>
      </w:r>
      <w:r w:rsidR="000C62C7">
        <w:rPr>
          <w:rFonts w:asciiTheme="majorHAnsi" w:hAnsiTheme="majorHAnsi"/>
          <w:sz w:val="20"/>
          <w:szCs w:val="20"/>
        </w:rPr>
        <w:t>,</w:t>
      </w:r>
      <w:r>
        <w:rPr>
          <w:rFonts w:asciiTheme="majorHAnsi" w:hAnsiTheme="majorHAnsi"/>
          <w:sz w:val="20"/>
          <w:szCs w:val="20"/>
        </w:rPr>
        <w:t xml:space="preserve"> and the investigation</w:t>
      </w:r>
      <w:r w:rsidR="008E1DD1">
        <w:rPr>
          <w:rFonts w:asciiTheme="majorHAnsi" w:hAnsiTheme="majorHAnsi"/>
          <w:sz w:val="20"/>
          <w:szCs w:val="20"/>
        </w:rPr>
        <w:t>s into the death under the military and ordinary jurisdiction</w:t>
      </w:r>
      <w:r w:rsidR="00300D46" w:rsidRPr="00D65A97">
        <w:rPr>
          <w:rFonts w:asciiTheme="majorHAnsi" w:hAnsiTheme="majorHAnsi"/>
          <w:sz w:val="20"/>
          <w:szCs w:val="20"/>
        </w:rPr>
        <w:t>.</w:t>
      </w:r>
      <w:r w:rsidR="008E1DD1">
        <w:rPr>
          <w:rFonts w:asciiTheme="majorHAnsi" w:hAnsiTheme="majorHAnsi"/>
          <w:sz w:val="20"/>
          <w:szCs w:val="20"/>
        </w:rPr>
        <w:t xml:space="preserve"> The Commission </w:t>
      </w:r>
      <w:r w:rsidR="005E783C">
        <w:rPr>
          <w:rFonts w:asciiTheme="majorHAnsi" w:hAnsiTheme="majorHAnsi"/>
          <w:sz w:val="20"/>
          <w:szCs w:val="20"/>
        </w:rPr>
        <w:t xml:space="preserve">will examine the allegations of the parties and the proven facts in the following order: </w:t>
      </w:r>
      <w:r w:rsidR="00300D46" w:rsidRPr="00D65A97">
        <w:rPr>
          <w:rFonts w:asciiTheme="majorHAnsi" w:hAnsiTheme="majorHAnsi"/>
          <w:sz w:val="20"/>
          <w:szCs w:val="20"/>
        </w:rPr>
        <w:t xml:space="preserve">i) </w:t>
      </w:r>
      <w:r w:rsidR="005E783C">
        <w:rPr>
          <w:rFonts w:asciiTheme="majorHAnsi" w:hAnsiTheme="majorHAnsi"/>
          <w:sz w:val="20"/>
          <w:szCs w:val="20"/>
        </w:rPr>
        <w:t xml:space="preserve">right to life and humane treatment with respect to </w:t>
      </w:r>
      <w:r w:rsidR="00300D46" w:rsidRPr="00D65A97">
        <w:rPr>
          <w:rFonts w:asciiTheme="majorHAnsi" w:hAnsiTheme="majorHAnsi"/>
          <w:sz w:val="20"/>
          <w:szCs w:val="20"/>
        </w:rPr>
        <w:t xml:space="preserve">Vicente Ariel Noguera; ii) </w:t>
      </w:r>
      <w:r w:rsidR="005E783C">
        <w:rPr>
          <w:rFonts w:asciiTheme="majorHAnsi" w:hAnsiTheme="majorHAnsi"/>
          <w:sz w:val="20"/>
          <w:szCs w:val="20"/>
        </w:rPr>
        <w:t>right to a fair trial and judicial protection;</w:t>
      </w:r>
      <w:r w:rsidR="00300D46" w:rsidRPr="00D65A97">
        <w:rPr>
          <w:rFonts w:asciiTheme="majorHAnsi" w:hAnsiTheme="majorHAnsi"/>
          <w:sz w:val="20"/>
          <w:szCs w:val="20"/>
        </w:rPr>
        <w:t xml:space="preserve"> iii) </w:t>
      </w:r>
      <w:r w:rsidR="005E783C">
        <w:rPr>
          <w:rFonts w:asciiTheme="majorHAnsi" w:hAnsiTheme="majorHAnsi"/>
          <w:sz w:val="20"/>
          <w:szCs w:val="20"/>
        </w:rPr>
        <w:t xml:space="preserve">the rights of the child in light of </w:t>
      </w:r>
      <w:r w:rsidR="00486330">
        <w:rPr>
          <w:rFonts w:asciiTheme="majorHAnsi" w:hAnsiTheme="majorHAnsi"/>
          <w:sz w:val="20"/>
          <w:szCs w:val="20"/>
        </w:rPr>
        <w:t>the alleged victim performing military service in his condition as a minor</w:t>
      </w:r>
      <w:r w:rsidR="008626F7">
        <w:rPr>
          <w:rFonts w:asciiTheme="majorHAnsi" w:hAnsiTheme="majorHAnsi"/>
          <w:sz w:val="20"/>
          <w:szCs w:val="20"/>
        </w:rPr>
        <w:t>; and iv</w:t>
      </w:r>
      <w:r w:rsidR="008626F7" w:rsidRPr="00D65A97">
        <w:rPr>
          <w:rFonts w:asciiTheme="majorHAnsi" w:hAnsiTheme="majorHAnsi"/>
          <w:sz w:val="20"/>
          <w:szCs w:val="20"/>
        </w:rPr>
        <w:t xml:space="preserve">) </w:t>
      </w:r>
      <w:r w:rsidR="008626F7">
        <w:rPr>
          <w:rFonts w:asciiTheme="majorHAnsi" w:hAnsiTheme="majorHAnsi"/>
          <w:sz w:val="20"/>
          <w:szCs w:val="20"/>
        </w:rPr>
        <w:t>the right to humane treatment of Maria Noguera;</w:t>
      </w:r>
    </w:p>
    <w:p w14:paraId="4A621B00" w14:textId="77777777" w:rsidR="00300D46" w:rsidRPr="00D65A97" w:rsidRDefault="00300D46" w:rsidP="00300D46">
      <w:pPr>
        <w:jc w:val="both"/>
        <w:rPr>
          <w:rFonts w:asciiTheme="majorHAnsi" w:hAnsiTheme="majorHAnsi"/>
          <w:sz w:val="20"/>
          <w:szCs w:val="20"/>
        </w:rPr>
      </w:pPr>
    </w:p>
    <w:p w14:paraId="30B2B128" w14:textId="2FA10A60" w:rsidR="00300D46" w:rsidRPr="00D65A97" w:rsidRDefault="004E24B9" w:rsidP="00064655">
      <w:pPr>
        <w:pStyle w:val="Heading2"/>
        <w:numPr>
          <w:ilvl w:val="0"/>
          <w:numId w:val="59"/>
        </w:numPr>
        <w:ind w:hanging="720"/>
      </w:pPr>
      <w:bookmarkStart w:id="17" w:name="_Toc506095177"/>
      <w:r>
        <w:t>Right to life</w:t>
      </w:r>
      <w:r w:rsidR="00300D46" w:rsidRPr="004E24B9">
        <w:rPr>
          <w:vertAlign w:val="superscript"/>
        </w:rPr>
        <w:footnoteReference w:id="55"/>
      </w:r>
      <w:r w:rsidR="00300D46" w:rsidRPr="004E24B9">
        <w:rPr>
          <w:vertAlign w:val="superscript"/>
        </w:rPr>
        <w:t xml:space="preserve"> </w:t>
      </w:r>
      <w:r>
        <w:t xml:space="preserve">(Article </w:t>
      </w:r>
      <w:r w:rsidR="00300D46" w:rsidRPr="00D65A97">
        <w:t>4</w:t>
      </w:r>
      <w:r w:rsidR="008626F7">
        <w:t>.1</w:t>
      </w:r>
      <w:r w:rsidR="00300D46" w:rsidRPr="00D65A97">
        <w:t xml:space="preserve">), </w:t>
      </w:r>
      <w:r>
        <w:t>right to humane treatment</w:t>
      </w:r>
      <w:r w:rsidR="00300D46" w:rsidRPr="004E24B9">
        <w:rPr>
          <w:vertAlign w:val="superscript"/>
        </w:rPr>
        <w:footnoteReference w:id="56"/>
      </w:r>
      <w:r>
        <w:t xml:space="preserve"> (Article </w:t>
      </w:r>
      <w:r w:rsidR="00F5311B">
        <w:t>5</w:t>
      </w:r>
      <w:r w:rsidR="008626F7">
        <w:t>.2</w:t>
      </w:r>
      <w:r w:rsidR="00F5311B">
        <w:t xml:space="preserve">) and </w:t>
      </w:r>
      <w:r w:rsidR="00E60F3B">
        <w:t>rights of the child</w:t>
      </w:r>
      <w:r w:rsidR="00300D46" w:rsidRPr="004E24B9">
        <w:rPr>
          <w:vertAlign w:val="superscript"/>
        </w:rPr>
        <w:footnoteReference w:id="57"/>
      </w:r>
      <w:r w:rsidR="00E60F3B">
        <w:t xml:space="preserve"> (Article </w:t>
      </w:r>
      <w:r w:rsidR="00300D46" w:rsidRPr="00D65A97">
        <w:t xml:space="preserve">19) </w:t>
      </w:r>
      <w:r w:rsidR="00E60F3B">
        <w:t xml:space="preserve">in connection with Article </w:t>
      </w:r>
      <w:r w:rsidR="00300D46" w:rsidRPr="00D65A97">
        <w:t xml:space="preserve">1.1 </w:t>
      </w:r>
      <w:r w:rsidR="00E60F3B">
        <w:t xml:space="preserve">of the American Convention </w:t>
      </w:r>
      <w:bookmarkEnd w:id="17"/>
    </w:p>
    <w:p w14:paraId="5243236C" w14:textId="77777777" w:rsidR="00300D46" w:rsidRPr="00D65A97" w:rsidRDefault="00300D46" w:rsidP="00300D46">
      <w:pPr>
        <w:ind w:left="1440" w:hanging="720"/>
        <w:rPr>
          <w:rFonts w:asciiTheme="majorHAnsi" w:hAnsiTheme="majorHAnsi"/>
          <w:b/>
          <w:sz w:val="20"/>
          <w:szCs w:val="20"/>
        </w:rPr>
      </w:pPr>
    </w:p>
    <w:p w14:paraId="74B2C28B" w14:textId="5C9A6490" w:rsidR="00300D46" w:rsidRPr="00D65A97" w:rsidRDefault="00302710" w:rsidP="00064655">
      <w:pPr>
        <w:pStyle w:val="Heading3"/>
        <w:numPr>
          <w:ilvl w:val="0"/>
          <w:numId w:val="61"/>
        </w:numPr>
        <w:ind w:hanging="720"/>
        <w:rPr>
          <w:lang w:val="en-US"/>
        </w:rPr>
      </w:pPr>
      <w:bookmarkStart w:id="18" w:name="_Toc506095178"/>
      <w:r>
        <w:rPr>
          <w:lang w:val="en-US"/>
        </w:rPr>
        <w:t xml:space="preserve">General considerations regarding the State’s duty as guarantor of persons under its custody and the duty of special protection of children </w:t>
      </w:r>
      <w:bookmarkEnd w:id="18"/>
    </w:p>
    <w:p w14:paraId="08DE464F" w14:textId="77777777" w:rsidR="00300D46" w:rsidRPr="00D65A97" w:rsidRDefault="00300D46" w:rsidP="00300D46">
      <w:pPr>
        <w:ind w:left="630"/>
        <w:jc w:val="both"/>
        <w:rPr>
          <w:rFonts w:asciiTheme="majorHAnsi" w:hAnsiTheme="majorHAnsi"/>
          <w:b/>
          <w:sz w:val="20"/>
          <w:szCs w:val="20"/>
        </w:rPr>
      </w:pPr>
    </w:p>
    <w:p w14:paraId="523C0942" w14:textId="3BBFB1C6" w:rsidR="00300D46" w:rsidRPr="00D65A97" w:rsidRDefault="000C5B68"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Commission recalls that the right to life is </w:t>
      </w:r>
      <w:r w:rsidR="00943DFB">
        <w:rPr>
          <w:rFonts w:asciiTheme="majorHAnsi" w:hAnsiTheme="majorHAnsi"/>
          <w:sz w:val="20"/>
          <w:szCs w:val="20"/>
        </w:rPr>
        <w:t>a prerequisite for the enjoyment of all other human rights and without the respect for which all other rights are meaningless.</w:t>
      </w:r>
      <w:r w:rsidR="00300D46" w:rsidRPr="00D65A97">
        <w:rPr>
          <w:rFonts w:asciiTheme="majorHAnsi" w:hAnsiTheme="majorHAnsi"/>
          <w:sz w:val="20"/>
          <w:szCs w:val="20"/>
          <w:vertAlign w:val="superscript"/>
        </w:rPr>
        <w:footnoteReference w:id="58"/>
      </w:r>
      <w:r w:rsidR="00300D46" w:rsidRPr="00D65A97">
        <w:rPr>
          <w:rFonts w:asciiTheme="majorHAnsi" w:hAnsiTheme="majorHAnsi"/>
          <w:sz w:val="20"/>
          <w:szCs w:val="20"/>
        </w:rPr>
        <w:t xml:space="preserve"> </w:t>
      </w:r>
      <w:r w:rsidR="006E01CB">
        <w:rPr>
          <w:rFonts w:asciiTheme="majorHAnsi" w:hAnsiTheme="majorHAnsi"/>
          <w:sz w:val="20"/>
          <w:szCs w:val="20"/>
        </w:rPr>
        <w:t xml:space="preserve">Compliance with Article 4, in connection with Article </w:t>
      </w:r>
      <w:r w:rsidR="00300D46" w:rsidRPr="00D65A97">
        <w:rPr>
          <w:rFonts w:asciiTheme="majorHAnsi" w:hAnsiTheme="majorHAnsi"/>
          <w:sz w:val="20"/>
          <w:szCs w:val="20"/>
        </w:rPr>
        <w:t xml:space="preserve">1.1 </w:t>
      </w:r>
      <w:r w:rsidR="006E01CB">
        <w:rPr>
          <w:rFonts w:asciiTheme="majorHAnsi" w:hAnsiTheme="majorHAnsi"/>
          <w:sz w:val="20"/>
          <w:szCs w:val="20"/>
        </w:rPr>
        <w:t xml:space="preserve">of the American Convention, not only presupposes </w:t>
      </w:r>
      <w:r w:rsidR="00C23B2E">
        <w:rPr>
          <w:rFonts w:asciiTheme="majorHAnsi" w:hAnsiTheme="majorHAnsi"/>
          <w:sz w:val="20"/>
          <w:szCs w:val="20"/>
        </w:rPr>
        <w:t xml:space="preserve">that no person can arbitrarily be deprived of his life, but also requires that States adopt any measures necessary to protect and preserve the right to life, under their duty to ensure the full and free exercise of the rights of all individuals </w:t>
      </w:r>
      <w:r w:rsidR="00C23B2E">
        <w:rPr>
          <w:rFonts w:asciiTheme="majorHAnsi" w:hAnsiTheme="majorHAnsi"/>
          <w:sz w:val="20"/>
          <w:szCs w:val="20"/>
        </w:rPr>
        <w:lastRenderedPageBreak/>
        <w:t>under their jurisdiction.</w:t>
      </w:r>
      <w:r w:rsidR="00300D46" w:rsidRPr="00D65A97">
        <w:rPr>
          <w:rFonts w:asciiTheme="majorHAnsi" w:hAnsiTheme="majorHAnsi"/>
          <w:sz w:val="20"/>
          <w:szCs w:val="20"/>
          <w:vertAlign w:val="superscript"/>
        </w:rPr>
        <w:footnoteReference w:id="59"/>
      </w:r>
      <w:r w:rsidR="00C23B2E">
        <w:rPr>
          <w:rFonts w:asciiTheme="majorHAnsi" w:hAnsiTheme="majorHAnsi"/>
          <w:sz w:val="20"/>
          <w:szCs w:val="20"/>
        </w:rPr>
        <w:t xml:space="preserve">  Separately, the European Court has asserted the importance </w:t>
      </w:r>
      <w:r w:rsidR="007E7298">
        <w:rPr>
          <w:rFonts w:asciiTheme="majorHAnsi" w:hAnsiTheme="majorHAnsi"/>
          <w:sz w:val="20"/>
          <w:szCs w:val="20"/>
        </w:rPr>
        <w:t>that the right to life must be interpreted and applied so as to make its safeguards practical and effective.</w:t>
      </w:r>
      <w:r w:rsidR="00300D46" w:rsidRPr="00D65A97">
        <w:rPr>
          <w:rFonts w:asciiTheme="majorHAnsi" w:hAnsiTheme="majorHAnsi"/>
          <w:sz w:val="20"/>
          <w:szCs w:val="20"/>
          <w:vertAlign w:val="superscript"/>
        </w:rPr>
        <w:footnoteReference w:id="60"/>
      </w:r>
    </w:p>
    <w:p w14:paraId="643C0A88" w14:textId="77777777" w:rsidR="00300D46" w:rsidRPr="00D65A97" w:rsidRDefault="00300D46" w:rsidP="00300D46">
      <w:pPr>
        <w:jc w:val="both"/>
        <w:rPr>
          <w:rFonts w:asciiTheme="majorHAnsi" w:hAnsiTheme="majorHAnsi"/>
          <w:sz w:val="20"/>
          <w:szCs w:val="20"/>
        </w:rPr>
      </w:pPr>
    </w:p>
    <w:p w14:paraId="6E6CF046" w14:textId="6F94E22C" w:rsidR="00300D46" w:rsidRPr="00D65A97" w:rsidRDefault="00452CD2"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Additionally, </w:t>
      </w:r>
      <w:r w:rsidR="00DF7773">
        <w:rPr>
          <w:rFonts w:asciiTheme="majorHAnsi" w:hAnsiTheme="majorHAnsi"/>
          <w:sz w:val="20"/>
          <w:szCs w:val="20"/>
        </w:rPr>
        <w:t>the Commission has affirmed</w:t>
      </w:r>
      <w:r w:rsidR="003126F3">
        <w:rPr>
          <w:rFonts w:asciiTheme="majorHAnsi" w:hAnsiTheme="majorHAnsi"/>
          <w:sz w:val="20"/>
          <w:szCs w:val="20"/>
        </w:rPr>
        <w:t xml:space="preserve"> that</w:t>
      </w:r>
      <w:r w:rsidR="000B4196">
        <w:rPr>
          <w:rFonts w:asciiTheme="majorHAnsi" w:hAnsiTheme="majorHAnsi"/>
          <w:sz w:val="20"/>
          <w:szCs w:val="20"/>
        </w:rPr>
        <w:t>,</w:t>
      </w:r>
      <w:r w:rsidR="000B4196" w:rsidRPr="000B4196">
        <w:rPr>
          <w:rFonts w:asciiTheme="majorHAnsi" w:hAnsiTheme="majorHAnsi"/>
          <w:sz w:val="20"/>
          <w:szCs w:val="20"/>
        </w:rPr>
        <w:t xml:space="preserve"> </w:t>
      </w:r>
      <w:r w:rsidR="000B4196">
        <w:rPr>
          <w:rFonts w:asciiTheme="majorHAnsi" w:hAnsiTheme="majorHAnsi"/>
          <w:sz w:val="20"/>
          <w:szCs w:val="20"/>
        </w:rPr>
        <w:t xml:space="preserve">with regard to the rights of the child, </w:t>
      </w:r>
      <w:r w:rsidR="003126F3">
        <w:rPr>
          <w:rFonts w:asciiTheme="majorHAnsi" w:hAnsiTheme="majorHAnsi"/>
          <w:sz w:val="20"/>
          <w:szCs w:val="20"/>
        </w:rPr>
        <w:t>the State has a</w:t>
      </w:r>
      <w:r w:rsidR="00CF78F3">
        <w:rPr>
          <w:rFonts w:asciiTheme="majorHAnsi" w:hAnsiTheme="majorHAnsi"/>
          <w:sz w:val="20"/>
          <w:szCs w:val="20"/>
        </w:rPr>
        <w:t xml:space="preserve"> duty of special protection</w:t>
      </w:r>
      <w:r w:rsidR="003126F3">
        <w:rPr>
          <w:rFonts w:asciiTheme="majorHAnsi" w:hAnsiTheme="majorHAnsi"/>
          <w:sz w:val="20"/>
          <w:szCs w:val="20"/>
        </w:rPr>
        <w:t xml:space="preserve"> </w:t>
      </w:r>
      <w:r w:rsidR="00FD0281">
        <w:rPr>
          <w:rFonts w:asciiTheme="majorHAnsi" w:hAnsiTheme="majorHAnsi"/>
          <w:sz w:val="20"/>
          <w:szCs w:val="20"/>
        </w:rPr>
        <w:t xml:space="preserve">because of </w:t>
      </w:r>
      <w:r w:rsidR="003806BD">
        <w:rPr>
          <w:rFonts w:asciiTheme="majorHAnsi" w:hAnsiTheme="majorHAnsi"/>
          <w:sz w:val="20"/>
          <w:szCs w:val="20"/>
        </w:rPr>
        <w:t xml:space="preserve">the </w:t>
      </w:r>
      <w:r w:rsidR="003126F3">
        <w:rPr>
          <w:rFonts w:asciiTheme="majorHAnsi" w:hAnsiTheme="majorHAnsi"/>
          <w:sz w:val="20"/>
          <w:szCs w:val="20"/>
        </w:rPr>
        <w:t xml:space="preserve">special condition </w:t>
      </w:r>
      <w:r w:rsidR="00033BD0">
        <w:rPr>
          <w:rFonts w:asciiTheme="majorHAnsi" w:hAnsiTheme="majorHAnsi"/>
          <w:sz w:val="20"/>
          <w:szCs w:val="20"/>
        </w:rPr>
        <w:t>held by</w:t>
      </w:r>
      <w:r w:rsidR="002D422F">
        <w:rPr>
          <w:rFonts w:asciiTheme="majorHAnsi" w:hAnsiTheme="majorHAnsi"/>
          <w:sz w:val="20"/>
          <w:szCs w:val="20"/>
        </w:rPr>
        <w:t xml:space="preserve"> children,</w:t>
      </w:r>
      <w:r w:rsidR="00CF78F3">
        <w:rPr>
          <w:rFonts w:asciiTheme="majorHAnsi" w:hAnsiTheme="majorHAnsi"/>
          <w:sz w:val="20"/>
          <w:szCs w:val="20"/>
        </w:rPr>
        <w:t xml:space="preserve"> </w:t>
      </w:r>
      <w:r w:rsidR="00FD0281">
        <w:rPr>
          <w:rFonts w:asciiTheme="majorHAnsi" w:hAnsiTheme="majorHAnsi"/>
          <w:sz w:val="20"/>
          <w:szCs w:val="20"/>
        </w:rPr>
        <w:t xml:space="preserve">stemming from </w:t>
      </w:r>
      <w:r w:rsidR="00EB67A6">
        <w:rPr>
          <w:rFonts w:asciiTheme="majorHAnsi" w:hAnsiTheme="majorHAnsi"/>
          <w:sz w:val="20"/>
          <w:szCs w:val="20"/>
        </w:rPr>
        <w:t xml:space="preserve">their </w:t>
      </w:r>
      <w:r w:rsidR="00B13ECE">
        <w:rPr>
          <w:rFonts w:asciiTheme="majorHAnsi" w:hAnsiTheme="majorHAnsi"/>
          <w:sz w:val="20"/>
          <w:szCs w:val="20"/>
        </w:rPr>
        <w:t xml:space="preserve">progressive development at the physical, cognitive, emotional, </w:t>
      </w:r>
      <w:r w:rsidR="00D44D96">
        <w:rPr>
          <w:rFonts w:asciiTheme="majorHAnsi" w:hAnsiTheme="majorHAnsi"/>
          <w:sz w:val="20"/>
          <w:szCs w:val="20"/>
        </w:rPr>
        <w:t>psychological and social levels.</w:t>
      </w:r>
      <w:r w:rsidR="00300D46" w:rsidRPr="00D65A97">
        <w:rPr>
          <w:rStyle w:val="FootnoteReference"/>
          <w:rFonts w:asciiTheme="majorHAnsi" w:hAnsiTheme="majorHAnsi"/>
          <w:sz w:val="20"/>
          <w:szCs w:val="20"/>
        </w:rPr>
        <w:footnoteReference w:id="61"/>
      </w:r>
      <w:r w:rsidR="007905DB">
        <w:rPr>
          <w:rFonts w:asciiTheme="majorHAnsi" w:hAnsiTheme="majorHAnsi"/>
          <w:sz w:val="20"/>
          <w:szCs w:val="20"/>
        </w:rPr>
        <w:t xml:space="preserve">  </w:t>
      </w:r>
      <w:r w:rsidR="00033BD0">
        <w:rPr>
          <w:rFonts w:asciiTheme="majorHAnsi" w:hAnsiTheme="majorHAnsi"/>
          <w:sz w:val="20"/>
          <w:szCs w:val="20"/>
        </w:rPr>
        <w:t>In relation to the right to life of children, f</w:t>
      </w:r>
      <w:r w:rsidR="007905DB">
        <w:rPr>
          <w:rFonts w:asciiTheme="majorHAnsi" w:hAnsiTheme="majorHAnsi"/>
          <w:sz w:val="20"/>
          <w:szCs w:val="20"/>
        </w:rPr>
        <w:t xml:space="preserve">or its part, the Inter-American Court </w:t>
      </w:r>
      <w:r w:rsidR="00033BD0">
        <w:rPr>
          <w:rFonts w:asciiTheme="majorHAnsi" w:hAnsiTheme="majorHAnsi"/>
          <w:sz w:val="20"/>
          <w:szCs w:val="20"/>
        </w:rPr>
        <w:t>has held that when the State deprives</w:t>
      </w:r>
      <w:r w:rsidR="008F6FC0">
        <w:rPr>
          <w:rFonts w:asciiTheme="majorHAnsi" w:hAnsiTheme="majorHAnsi"/>
          <w:sz w:val="20"/>
          <w:szCs w:val="20"/>
        </w:rPr>
        <w:t xml:space="preserve"> a child of his or her liberty</w:t>
      </w:r>
      <w:r w:rsidR="007905DB">
        <w:rPr>
          <w:rFonts w:asciiTheme="majorHAnsi" w:hAnsiTheme="majorHAnsi"/>
          <w:sz w:val="20"/>
          <w:szCs w:val="20"/>
        </w:rPr>
        <w:t>, that States must “</w:t>
      </w:r>
      <w:r w:rsidR="00415C12">
        <w:rPr>
          <w:rFonts w:asciiTheme="majorHAnsi" w:hAnsiTheme="majorHAnsi"/>
          <w:sz w:val="20"/>
          <w:szCs w:val="20"/>
        </w:rPr>
        <w:t>be all the more diligent and responsible in its role as guarantor and must take special measures based on the principle of the best interests of the child,”</w:t>
      </w:r>
      <w:r w:rsidR="00300D46" w:rsidRPr="00D65A97">
        <w:rPr>
          <w:rFonts w:asciiTheme="majorHAnsi" w:hAnsiTheme="majorHAnsi"/>
          <w:sz w:val="20"/>
          <w:szCs w:val="20"/>
        </w:rPr>
        <w:t xml:space="preserve"> </w:t>
      </w:r>
      <w:r w:rsidR="00415C12">
        <w:rPr>
          <w:rFonts w:asciiTheme="majorHAnsi" w:hAnsiTheme="majorHAnsi"/>
          <w:sz w:val="20"/>
          <w:szCs w:val="20"/>
        </w:rPr>
        <w:t xml:space="preserve">and also </w:t>
      </w:r>
      <w:r w:rsidR="00300D46" w:rsidRPr="00D65A97">
        <w:rPr>
          <w:rFonts w:asciiTheme="majorHAnsi" w:hAnsiTheme="majorHAnsi"/>
          <w:sz w:val="20"/>
          <w:szCs w:val="20"/>
        </w:rPr>
        <w:t>“</w:t>
      </w:r>
      <w:r w:rsidR="00415C12">
        <w:rPr>
          <w:rFonts w:asciiTheme="majorHAnsi" w:hAnsiTheme="majorHAnsi"/>
          <w:sz w:val="20"/>
          <w:szCs w:val="20"/>
        </w:rPr>
        <w:t>to protect a child’s life, the State must be particularly attentive to that child’s living conditions while deprived of his or her liberty.</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62"/>
      </w:r>
      <w:r w:rsidR="00415C12">
        <w:rPr>
          <w:rFonts w:asciiTheme="majorHAnsi" w:hAnsiTheme="majorHAnsi"/>
          <w:sz w:val="20"/>
          <w:szCs w:val="20"/>
        </w:rPr>
        <w:t xml:space="preserve"> It must be noted that the Inter-American Court recently held that the State’s duty as guarantor with regard to persons under its custody is fully applicable to persons performing m</w:t>
      </w:r>
      <w:r w:rsidR="00E1764A">
        <w:rPr>
          <w:rFonts w:asciiTheme="majorHAnsi" w:hAnsiTheme="majorHAnsi"/>
          <w:sz w:val="20"/>
          <w:szCs w:val="20"/>
        </w:rPr>
        <w:t>ilitary serv</w:t>
      </w:r>
      <w:r w:rsidR="00014C1D">
        <w:rPr>
          <w:rFonts w:asciiTheme="majorHAnsi" w:hAnsiTheme="majorHAnsi"/>
          <w:sz w:val="20"/>
          <w:szCs w:val="20"/>
        </w:rPr>
        <w:t>ice in the</w:t>
      </w:r>
      <w:r w:rsidR="00E1764A">
        <w:rPr>
          <w:rFonts w:asciiTheme="majorHAnsi" w:hAnsiTheme="majorHAnsi"/>
          <w:sz w:val="20"/>
          <w:szCs w:val="20"/>
        </w:rPr>
        <w:t xml:space="preserve"> situation</w:t>
      </w:r>
      <w:r w:rsidR="00963C54">
        <w:rPr>
          <w:rFonts w:asciiTheme="majorHAnsi" w:hAnsiTheme="majorHAnsi"/>
          <w:sz w:val="20"/>
          <w:szCs w:val="20"/>
        </w:rPr>
        <w:t xml:space="preserve"> </w:t>
      </w:r>
      <w:r w:rsidR="00014C1D">
        <w:rPr>
          <w:rFonts w:asciiTheme="majorHAnsi" w:hAnsiTheme="majorHAnsi"/>
          <w:sz w:val="20"/>
          <w:szCs w:val="20"/>
        </w:rPr>
        <w:t xml:space="preserve">of </w:t>
      </w:r>
      <w:r w:rsidR="00963C54">
        <w:rPr>
          <w:rFonts w:asciiTheme="majorHAnsi" w:hAnsiTheme="majorHAnsi"/>
          <w:sz w:val="20"/>
          <w:szCs w:val="20"/>
        </w:rPr>
        <w:t>living in barracks</w:t>
      </w:r>
      <w:r w:rsidR="00E1764A">
        <w:rPr>
          <w:rFonts w:asciiTheme="majorHAnsi" w:hAnsiTheme="majorHAnsi"/>
          <w:sz w:val="20"/>
          <w:szCs w:val="20"/>
        </w:rPr>
        <w:t xml:space="preserve"> and not only to persons deprived of liberty.</w:t>
      </w:r>
      <w:r w:rsidR="00300D46" w:rsidRPr="00D65A97">
        <w:rPr>
          <w:rStyle w:val="FootnoteReference"/>
          <w:rFonts w:asciiTheme="majorHAnsi" w:hAnsiTheme="majorHAnsi"/>
          <w:sz w:val="20"/>
          <w:szCs w:val="20"/>
        </w:rPr>
        <w:footnoteReference w:id="63"/>
      </w:r>
    </w:p>
    <w:p w14:paraId="644AAAB5" w14:textId="77777777" w:rsidR="00300D46" w:rsidRPr="00D65A97" w:rsidRDefault="00300D46" w:rsidP="00300D46">
      <w:pPr>
        <w:ind w:left="360" w:firstLine="720"/>
        <w:jc w:val="both"/>
        <w:rPr>
          <w:rFonts w:asciiTheme="majorHAnsi" w:hAnsiTheme="majorHAnsi"/>
          <w:sz w:val="20"/>
          <w:szCs w:val="20"/>
        </w:rPr>
      </w:pPr>
    </w:p>
    <w:p w14:paraId="1F83D692" w14:textId="3B04BAC6" w:rsidR="00300D46" w:rsidRPr="00D65A97" w:rsidRDefault="003B6960"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Along these lines of</w:t>
      </w:r>
      <w:r w:rsidR="000C62C7">
        <w:rPr>
          <w:rFonts w:asciiTheme="majorHAnsi" w:hAnsiTheme="majorHAnsi"/>
          <w:sz w:val="20"/>
          <w:szCs w:val="20"/>
        </w:rPr>
        <w:t xml:space="preserve"> thinking</w:t>
      </w:r>
      <w:r>
        <w:rPr>
          <w:rFonts w:asciiTheme="majorHAnsi" w:hAnsiTheme="majorHAnsi"/>
          <w:sz w:val="20"/>
          <w:szCs w:val="20"/>
        </w:rPr>
        <w:t xml:space="preserve">, the Commission has held that “the State has the particular duty to </w:t>
      </w:r>
      <w:r w:rsidR="00022359">
        <w:rPr>
          <w:rFonts w:asciiTheme="majorHAnsi" w:hAnsiTheme="majorHAnsi"/>
          <w:sz w:val="20"/>
          <w:szCs w:val="20"/>
        </w:rPr>
        <w:t>protect the life</w:t>
      </w:r>
      <w:r>
        <w:rPr>
          <w:rFonts w:asciiTheme="majorHAnsi" w:hAnsiTheme="majorHAnsi"/>
          <w:sz w:val="20"/>
          <w:szCs w:val="20"/>
        </w:rPr>
        <w:t xml:space="preserve"> and integrity of military recruits, </w:t>
      </w:r>
      <w:r w:rsidR="00022359">
        <w:rPr>
          <w:rFonts w:asciiTheme="majorHAnsi" w:hAnsiTheme="majorHAnsi"/>
          <w:sz w:val="20"/>
          <w:szCs w:val="20"/>
        </w:rPr>
        <w:t xml:space="preserve">since their freedom of movement and the application of disciplinary rules to which they could be submitted directly depend on State agents, who exercise authority and command over the recruits. Thus, when a recruit enlists in the Army in a good state of health but becomes injured during his service, it is the State’s duty to give a convincing explanation of the causes </w:t>
      </w:r>
      <w:r w:rsidR="00605B68">
        <w:rPr>
          <w:rFonts w:asciiTheme="majorHAnsi" w:hAnsiTheme="majorHAnsi"/>
          <w:sz w:val="20"/>
          <w:szCs w:val="20"/>
        </w:rPr>
        <w:t>of these injuries.</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64"/>
      </w:r>
      <w:r w:rsidR="00300D46" w:rsidRPr="00D65A97">
        <w:rPr>
          <w:rFonts w:asciiTheme="majorHAnsi" w:hAnsiTheme="majorHAnsi"/>
          <w:sz w:val="20"/>
          <w:szCs w:val="20"/>
        </w:rPr>
        <w:t xml:space="preserve"> </w:t>
      </w:r>
    </w:p>
    <w:p w14:paraId="1FCB5956" w14:textId="77777777" w:rsidR="00300D46" w:rsidRPr="00D65A97" w:rsidRDefault="00300D46" w:rsidP="00300D46">
      <w:pPr>
        <w:ind w:left="360" w:firstLine="720"/>
        <w:jc w:val="both"/>
        <w:rPr>
          <w:rFonts w:asciiTheme="majorHAnsi" w:hAnsiTheme="majorHAnsi"/>
          <w:sz w:val="20"/>
          <w:szCs w:val="20"/>
        </w:rPr>
      </w:pPr>
    </w:p>
    <w:p w14:paraId="572EF7DB" w14:textId="04B31F32" w:rsidR="00300D46" w:rsidRPr="00D65A97" w:rsidRDefault="00605B68"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In </w:t>
      </w:r>
      <w:r w:rsidR="008626F7">
        <w:rPr>
          <w:rFonts w:asciiTheme="majorHAnsi" w:hAnsiTheme="majorHAnsi"/>
          <w:sz w:val="20"/>
          <w:szCs w:val="20"/>
        </w:rPr>
        <w:t>a</w:t>
      </w:r>
      <w:r>
        <w:rPr>
          <w:rFonts w:asciiTheme="majorHAnsi" w:hAnsiTheme="majorHAnsi"/>
          <w:sz w:val="20"/>
          <w:szCs w:val="20"/>
        </w:rPr>
        <w:t xml:space="preserve"> </w:t>
      </w:r>
      <w:r w:rsidR="008626F7">
        <w:rPr>
          <w:rFonts w:asciiTheme="majorHAnsi" w:hAnsiTheme="majorHAnsi"/>
          <w:sz w:val="20"/>
          <w:szCs w:val="20"/>
        </w:rPr>
        <w:t>specific</w:t>
      </w:r>
      <w:r>
        <w:rPr>
          <w:rFonts w:asciiTheme="majorHAnsi" w:hAnsiTheme="majorHAnsi"/>
          <w:sz w:val="20"/>
          <w:szCs w:val="20"/>
        </w:rPr>
        <w:t xml:space="preserve"> case on the subject matter, the Inter-American Court </w:t>
      </w:r>
      <w:r w:rsidR="00C17292">
        <w:rPr>
          <w:rFonts w:asciiTheme="majorHAnsi" w:hAnsiTheme="majorHAnsi"/>
          <w:sz w:val="20"/>
          <w:szCs w:val="20"/>
        </w:rPr>
        <w:t xml:space="preserve">fleshed out </w:t>
      </w:r>
      <w:r>
        <w:rPr>
          <w:rFonts w:asciiTheme="majorHAnsi" w:hAnsiTheme="majorHAnsi"/>
          <w:sz w:val="20"/>
          <w:szCs w:val="20"/>
        </w:rPr>
        <w:t>the State’s obligations to persons under its custody</w:t>
      </w:r>
      <w:r w:rsidR="00130A59">
        <w:rPr>
          <w:rFonts w:asciiTheme="majorHAnsi" w:hAnsiTheme="majorHAnsi"/>
          <w:sz w:val="20"/>
          <w:szCs w:val="20"/>
        </w:rPr>
        <w:t>, when</w:t>
      </w:r>
      <w:r>
        <w:rPr>
          <w:rFonts w:asciiTheme="majorHAnsi" w:hAnsiTheme="majorHAnsi"/>
          <w:sz w:val="20"/>
          <w:szCs w:val="20"/>
        </w:rPr>
        <w:t xml:space="preserve"> they are </w:t>
      </w:r>
      <w:r w:rsidR="00130A59">
        <w:rPr>
          <w:rFonts w:asciiTheme="majorHAnsi" w:hAnsiTheme="majorHAnsi"/>
          <w:sz w:val="20"/>
          <w:szCs w:val="20"/>
        </w:rPr>
        <w:t xml:space="preserve">performing </w:t>
      </w:r>
      <w:r>
        <w:rPr>
          <w:rFonts w:asciiTheme="majorHAnsi" w:hAnsiTheme="majorHAnsi"/>
          <w:sz w:val="20"/>
          <w:szCs w:val="20"/>
        </w:rPr>
        <w:t xml:space="preserve">military service, as follows: </w:t>
      </w:r>
    </w:p>
    <w:p w14:paraId="3FE76E91" w14:textId="77777777" w:rsidR="00300D46" w:rsidRPr="00D65A97" w:rsidRDefault="00300D46" w:rsidP="00300D46">
      <w:pPr>
        <w:jc w:val="both"/>
        <w:rPr>
          <w:rFonts w:asciiTheme="majorHAnsi" w:hAnsiTheme="majorHAnsi"/>
          <w:sz w:val="20"/>
          <w:szCs w:val="20"/>
        </w:rPr>
      </w:pPr>
    </w:p>
    <w:p w14:paraId="2C897AA2" w14:textId="5E7836A5" w:rsidR="00300D46" w:rsidRPr="00D65A97" w:rsidRDefault="00300D46" w:rsidP="00300D46">
      <w:pPr>
        <w:ind w:left="720" w:right="720"/>
        <w:jc w:val="both"/>
        <w:rPr>
          <w:rFonts w:asciiTheme="majorHAnsi" w:eastAsia="Times New Roman" w:hAnsiTheme="majorHAnsi" w:cs="Arial"/>
          <w:sz w:val="20"/>
          <w:szCs w:val="20"/>
        </w:rPr>
      </w:pPr>
      <w:r w:rsidRPr="00D65A97">
        <w:rPr>
          <w:rFonts w:asciiTheme="majorHAnsi" w:eastAsia="Times New Roman" w:hAnsiTheme="majorHAnsi" w:cs="Arial"/>
          <w:sz w:val="20"/>
          <w:szCs w:val="20"/>
        </w:rPr>
        <w:t xml:space="preserve">(…) </w:t>
      </w:r>
      <w:r w:rsidR="0058373D">
        <w:rPr>
          <w:rFonts w:asciiTheme="majorHAnsi" w:eastAsia="Times New Roman" w:hAnsiTheme="majorHAnsi" w:cs="Arial"/>
          <w:sz w:val="20"/>
          <w:szCs w:val="20"/>
        </w:rPr>
        <w:t xml:space="preserve">the State has the duty to: </w:t>
      </w:r>
      <w:r w:rsidRPr="00D65A97">
        <w:rPr>
          <w:rFonts w:asciiTheme="majorHAnsi" w:eastAsia="Times New Roman" w:hAnsiTheme="majorHAnsi" w:cs="Arial"/>
          <w:sz w:val="20"/>
          <w:szCs w:val="20"/>
        </w:rPr>
        <w:t xml:space="preserve">i) </w:t>
      </w:r>
      <w:r w:rsidR="000106AC">
        <w:rPr>
          <w:rFonts w:asciiTheme="majorHAnsi" w:eastAsia="Times New Roman" w:hAnsiTheme="majorHAnsi" w:cs="Arial"/>
          <w:sz w:val="20"/>
          <w:szCs w:val="20"/>
        </w:rPr>
        <w:t xml:space="preserve">safeguard the health and wellbeing of members of the military on active duty; </w:t>
      </w:r>
      <w:r w:rsidRPr="00D65A97">
        <w:rPr>
          <w:rFonts w:asciiTheme="majorHAnsi" w:eastAsia="Times New Roman" w:hAnsiTheme="majorHAnsi" w:cs="Arial"/>
          <w:sz w:val="20"/>
          <w:szCs w:val="20"/>
        </w:rPr>
        <w:t xml:space="preserve">ii) </w:t>
      </w:r>
      <w:r w:rsidR="000106AC">
        <w:rPr>
          <w:rFonts w:asciiTheme="majorHAnsi" w:eastAsia="Times New Roman" w:hAnsiTheme="majorHAnsi" w:cs="Arial"/>
          <w:sz w:val="20"/>
          <w:szCs w:val="20"/>
        </w:rPr>
        <w:t>ensure that the m</w:t>
      </w:r>
      <w:r w:rsidR="003B43AF">
        <w:rPr>
          <w:rFonts w:asciiTheme="majorHAnsi" w:eastAsia="Times New Roman" w:hAnsiTheme="majorHAnsi" w:cs="Arial"/>
          <w:sz w:val="20"/>
          <w:szCs w:val="20"/>
        </w:rPr>
        <w:t>anner and method of training do</w:t>
      </w:r>
      <w:r w:rsidR="000106AC">
        <w:rPr>
          <w:rFonts w:asciiTheme="majorHAnsi" w:eastAsia="Times New Roman" w:hAnsiTheme="majorHAnsi" w:cs="Arial"/>
          <w:sz w:val="20"/>
          <w:szCs w:val="20"/>
        </w:rPr>
        <w:t xml:space="preserve"> not exceed the unavoidable level of suffering inherent to that condition, and </w:t>
      </w:r>
      <w:r w:rsidRPr="00D65A97">
        <w:rPr>
          <w:rFonts w:asciiTheme="majorHAnsi" w:eastAsia="Times New Roman" w:hAnsiTheme="majorHAnsi" w:cs="Arial"/>
          <w:sz w:val="20"/>
          <w:szCs w:val="20"/>
        </w:rPr>
        <w:t xml:space="preserve">iii) </w:t>
      </w:r>
      <w:r w:rsidR="000106AC">
        <w:rPr>
          <w:rFonts w:asciiTheme="majorHAnsi" w:eastAsia="Times New Roman" w:hAnsiTheme="majorHAnsi" w:cs="Arial"/>
          <w:sz w:val="20"/>
          <w:szCs w:val="20"/>
        </w:rPr>
        <w:t>provide a satisfactory and convincing explanation</w:t>
      </w:r>
      <w:r w:rsidR="00286283">
        <w:rPr>
          <w:rFonts w:asciiTheme="majorHAnsi" w:eastAsia="Times New Roman" w:hAnsiTheme="majorHAnsi" w:cs="Arial"/>
          <w:sz w:val="20"/>
          <w:szCs w:val="20"/>
        </w:rPr>
        <w:t xml:space="preserve"> about any </w:t>
      </w:r>
      <w:r w:rsidR="00B37C3A">
        <w:rPr>
          <w:rFonts w:asciiTheme="majorHAnsi" w:eastAsia="Times New Roman" w:hAnsiTheme="majorHAnsi" w:cs="Arial"/>
          <w:sz w:val="20"/>
          <w:szCs w:val="20"/>
        </w:rPr>
        <w:t xml:space="preserve">adverse affects on </w:t>
      </w:r>
      <w:r w:rsidR="000748FB">
        <w:rPr>
          <w:rFonts w:asciiTheme="majorHAnsi" w:eastAsia="Times New Roman" w:hAnsiTheme="majorHAnsi" w:cs="Arial"/>
          <w:sz w:val="20"/>
          <w:szCs w:val="20"/>
        </w:rPr>
        <w:t>the health or life that may be presented by</w:t>
      </w:r>
      <w:r w:rsidR="005A080A">
        <w:rPr>
          <w:rFonts w:asciiTheme="majorHAnsi" w:eastAsia="Times New Roman" w:hAnsiTheme="majorHAnsi" w:cs="Arial"/>
          <w:sz w:val="20"/>
          <w:szCs w:val="20"/>
        </w:rPr>
        <w:t xml:space="preserve"> persons who are in a special situation of subordination </w:t>
      </w:r>
      <w:r w:rsidR="001713CF">
        <w:rPr>
          <w:rFonts w:asciiTheme="majorHAnsi" w:eastAsia="Times New Roman" w:hAnsiTheme="majorHAnsi" w:cs="Arial"/>
          <w:sz w:val="20"/>
          <w:szCs w:val="20"/>
        </w:rPr>
        <w:t xml:space="preserve">in the </w:t>
      </w:r>
      <w:r w:rsidR="00B37C3A">
        <w:rPr>
          <w:rFonts w:asciiTheme="majorHAnsi" w:eastAsia="Times New Roman" w:hAnsiTheme="majorHAnsi" w:cs="Arial"/>
          <w:sz w:val="20"/>
          <w:szCs w:val="20"/>
        </w:rPr>
        <w:t>military sphere, whether they are</w:t>
      </w:r>
      <w:r w:rsidR="001713CF">
        <w:rPr>
          <w:rFonts w:asciiTheme="majorHAnsi" w:eastAsia="Times New Roman" w:hAnsiTheme="majorHAnsi" w:cs="Arial"/>
          <w:sz w:val="20"/>
          <w:szCs w:val="20"/>
        </w:rPr>
        <w:t xml:space="preserve"> </w:t>
      </w:r>
      <w:r w:rsidR="002A41BD">
        <w:rPr>
          <w:rFonts w:asciiTheme="majorHAnsi" w:eastAsia="Times New Roman" w:hAnsiTheme="majorHAnsi" w:cs="Arial"/>
          <w:sz w:val="20"/>
          <w:szCs w:val="20"/>
        </w:rPr>
        <w:t xml:space="preserve">performing </w:t>
      </w:r>
      <w:r w:rsidR="001713CF">
        <w:rPr>
          <w:rFonts w:asciiTheme="majorHAnsi" w:eastAsia="Times New Roman" w:hAnsiTheme="majorHAnsi" w:cs="Arial"/>
          <w:sz w:val="20"/>
          <w:szCs w:val="20"/>
        </w:rPr>
        <w:t>voluntary or compulsory</w:t>
      </w:r>
      <w:r w:rsidR="0097567C">
        <w:rPr>
          <w:rFonts w:asciiTheme="majorHAnsi" w:eastAsia="Times New Roman" w:hAnsiTheme="majorHAnsi" w:cs="Arial"/>
          <w:sz w:val="20"/>
          <w:szCs w:val="20"/>
        </w:rPr>
        <w:t xml:space="preserve"> military service, or they have enrolled in the armed forces as cadets or holding any higher rank in the military scale of hierarchy. Consequently, </w:t>
      </w:r>
      <w:r w:rsidR="00B410CD">
        <w:rPr>
          <w:rFonts w:asciiTheme="majorHAnsi" w:eastAsia="Times New Roman" w:hAnsiTheme="majorHAnsi" w:cs="Arial"/>
          <w:sz w:val="20"/>
          <w:szCs w:val="20"/>
        </w:rPr>
        <w:t xml:space="preserve">the State must be considered responsible for </w:t>
      </w:r>
      <w:r w:rsidR="00A65754">
        <w:rPr>
          <w:rFonts w:asciiTheme="majorHAnsi" w:eastAsia="Times New Roman" w:hAnsiTheme="majorHAnsi" w:cs="Arial"/>
          <w:sz w:val="20"/>
          <w:szCs w:val="20"/>
        </w:rPr>
        <w:t xml:space="preserve">harm to </w:t>
      </w:r>
      <w:r w:rsidR="00B410CD">
        <w:rPr>
          <w:rFonts w:asciiTheme="majorHAnsi" w:eastAsia="Times New Roman" w:hAnsiTheme="majorHAnsi" w:cs="Arial"/>
          <w:sz w:val="20"/>
          <w:szCs w:val="20"/>
        </w:rPr>
        <w:t>th</w:t>
      </w:r>
      <w:r w:rsidR="00E751A3">
        <w:rPr>
          <w:rFonts w:asciiTheme="majorHAnsi" w:eastAsia="Times New Roman" w:hAnsiTheme="majorHAnsi" w:cs="Arial"/>
          <w:sz w:val="20"/>
          <w:szCs w:val="20"/>
        </w:rPr>
        <w:t>e personal integrity and life suffered by</w:t>
      </w:r>
      <w:r w:rsidR="00B410CD">
        <w:rPr>
          <w:rFonts w:asciiTheme="majorHAnsi" w:eastAsia="Times New Roman" w:hAnsiTheme="majorHAnsi" w:cs="Arial"/>
          <w:sz w:val="20"/>
          <w:szCs w:val="20"/>
        </w:rPr>
        <w:t xml:space="preserve"> a person</w:t>
      </w:r>
      <w:r w:rsidR="00297F1E">
        <w:rPr>
          <w:rFonts w:asciiTheme="majorHAnsi" w:eastAsia="Times New Roman" w:hAnsiTheme="majorHAnsi" w:cs="Arial"/>
          <w:sz w:val="20"/>
          <w:szCs w:val="20"/>
        </w:rPr>
        <w:t>,</w:t>
      </w:r>
      <w:r w:rsidR="00B410CD">
        <w:rPr>
          <w:rFonts w:asciiTheme="majorHAnsi" w:eastAsia="Times New Roman" w:hAnsiTheme="majorHAnsi" w:cs="Arial"/>
          <w:sz w:val="20"/>
          <w:szCs w:val="20"/>
        </w:rPr>
        <w:t xml:space="preserve"> who has been under the authority and control of State officials</w:t>
      </w:r>
      <w:r w:rsidR="00297F1E">
        <w:rPr>
          <w:rFonts w:asciiTheme="majorHAnsi" w:eastAsia="Times New Roman" w:hAnsiTheme="majorHAnsi" w:cs="Arial"/>
          <w:sz w:val="20"/>
          <w:szCs w:val="20"/>
        </w:rPr>
        <w:t>,</w:t>
      </w:r>
      <w:r w:rsidR="00B410CD">
        <w:rPr>
          <w:rFonts w:asciiTheme="majorHAnsi" w:eastAsia="Times New Roman" w:hAnsiTheme="majorHAnsi" w:cs="Arial"/>
          <w:sz w:val="20"/>
          <w:szCs w:val="20"/>
        </w:rPr>
        <w:t xml:space="preserve"> </w:t>
      </w:r>
      <w:r w:rsidR="00D9752B">
        <w:rPr>
          <w:rFonts w:asciiTheme="majorHAnsi" w:eastAsia="Times New Roman" w:hAnsiTheme="majorHAnsi" w:cs="Arial"/>
          <w:sz w:val="20"/>
          <w:szCs w:val="20"/>
        </w:rPr>
        <w:t>such as those who participate in military instruction or schools.</w:t>
      </w:r>
      <w:r w:rsidRPr="00D65A97">
        <w:rPr>
          <w:rStyle w:val="FootnoteReference"/>
          <w:rFonts w:asciiTheme="majorHAnsi" w:eastAsia="Times New Roman" w:hAnsiTheme="majorHAnsi" w:cs="Arial"/>
          <w:sz w:val="20"/>
          <w:szCs w:val="20"/>
        </w:rPr>
        <w:footnoteReference w:id="65"/>
      </w:r>
    </w:p>
    <w:p w14:paraId="3132570B" w14:textId="77777777" w:rsidR="00300D46" w:rsidRPr="00D65A97" w:rsidRDefault="00300D46" w:rsidP="00300D46">
      <w:pPr>
        <w:jc w:val="both"/>
        <w:rPr>
          <w:rFonts w:asciiTheme="majorHAnsi" w:hAnsiTheme="majorHAnsi"/>
          <w:sz w:val="20"/>
          <w:szCs w:val="20"/>
        </w:rPr>
      </w:pPr>
    </w:p>
    <w:p w14:paraId="734211B1" w14:textId="77777777" w:rsidR="00300D46" w:rsidRPr="00D65A97" w:rsidRDefault="00300D46" w:rsidP="00300D46">
      <w:pPr>
        <w:rPr>
          <w:rFonts w:asciiTheme="majorHAnsi" w:hAnsiTheme="majorHAnsi"/>
          <w:b/>
          <w:sz w:val="20"/>
          <w:szCs w:val="20"/>
        </w:rPr>
      </w:pPr>
      <w:r w:rsidRPr="00D65A97">
        <w:rPr>
          <w:rFonts w:asciiTheme="majorHAnsi" w:hAnsiTheme="majorHAnsi"/>
          <w:b/>
          <w:sz w:val="20"/>
          <w:szCs w:val="20"/>
        </w:rPr>
        <w:br w:type="page"/>
      </w:r>
    </w:p>
    <w:p w14:paraId="48ADA531" w14:textId="603904F7" w:rsidR="00300D46" w:rsidRPr="00D65A97" w:rsidRDefault="002B29C4" w:rsidP="00A17B98">
      <w:pPr>
        <w:pStyle w:val="Heading3"/>
        <w:rPr>
          <w:lang w:val="en-US"/>
        </w:rPr>
      </w:pPr>
      <w:bookmarkStart w:id="19" w:name="_Toc506095179"/>
      <w:r>
        <w:rPr>
          <w:lang w:val="en-US"/>
        </w:rPr>
        <w:lastRenderedPageBreak/>
        <w:t xml:space="preserve">Explanation of the death of </w:t>
      </w:r>
      <w:r w:rsidR="00300D46" w:rsidRPr="00D65A97">
        <w:rPr>
          <w:lang w:val="en-US"/>
        </w:rPr>
        <w:t>Vicente Ariel Noguera</w:t>
      </w:r>
      <w:bookmarkEnd w:id="19"/>
    </w:p>
    <w:p w14:paraId="48A7263C" w14:textId="77777777" w:rsidR="00300D46" w:rsidRPr="00D65A97" w:rsidRDefault="00300D46" w:rsidP="00300D46">
      <w:pPr>
        <w:ind w:left="630"/>
        <w:jc w:val="both"/>
        <w:rPr>
          <w:rFonts w:asciiTheme="majorHAnsi" w:hAnsiTheme="majorHAnsi"/>
          <w:b/>
          <w:sz w:val="20"/>
          <w:szCs w:val="20"/>
        </w:rPr>
      </w:pPr>
    </w:p>
    <w:p w14:paraId="4F72B90B" w14:textId="3B64593E" w:rsidR="00300D46" w:rsidRPr="00D65A97" w:rsidRDefault="00D21017"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In this section the Commission will examine </w:t>
      </w:r>
      <w:r w:rsidR="009B2238">
        <w:rPr>
          <w:rFonts w:asciiTheme="majorHAnsi" w:hAnsiTheme="majorHAnsi"/>
          <w:sz w:val="20"/>
          <w:szCs w:val="20"/>
        </w:rPr>
        <w:t>whether</w:t>
      </w:r>
      <w:r>
        <w:rPr>
          <w:rFonts w:asciiTheme="majorHAnsi" w:hAnsiTheme="majorHAnsi"/>
          <w:sz w:val="20"/>
          <w:szCs w:val="20"/>
        </w:rPr>
        <w:t xml:space="preserve"> the explanation regarding the death of Vicente Ariel Noguera </w:t>
      </w:r>
      <w:r w:rsidR="009B2238">
        <w:rPr>
          <w:rFonts w:asciiTheme="majorHAnsi" w:hAnsiTheme="majorHAnsi"/>
          <w:sz w:val="20"/>
          <w:szCs w:val="20"/>
        </w:rPr>
        <w:t>provided</w:t>
      </w:r>
      <w:r>
        <w:rPr>
          <w:rFonts w:asciiTheme="majorHAnsi" w:hAnsiTheme="majorHAnsi"/>
          <w:sz w:val="20"/>
          <w:szCs w:val="20"/>
        </w:rPr>
        <w:t xml:space="preserve"> by Paraguay meet the</w:t>
      </w:r>
      <w:r w:rsidR="00D014AB">
        <w:rPr>
          <w:rFonts w:asciiTheme="majorHAnsi" w:hAnsiTheme="majorHAnsi"/>
          <w:sz w:val="20"/>
          <w:szCs w:val="20"/>
        </w:rPr>
        <w:t xml:space="preserve"> standards </w:t>
      </w:r>
      <w:r w:rsidR="00D526B5">
        <w:rPr>
          <w:rFonts w:asciiTheme="majorHAnsi" w:hAnsiTheme="majorHAnsi"/>
          <w:sz w:val="20"/>
          <w:szCs w:val="20"/>
        </w:rPr>
        <w:t>on States’</w:t>
      </w:r>
      <w:r w:rsidR="005407B2">
        <w:rPr>
          <w:rFonts w:asciiTheme="majorHAnsi" w:hAnsiTheme="majorHAnsi"/>
          <w:sz w:val="20"/>
          <w:szCs w:val="20"/>
        </w:rPr>
        <w:t xml:space="preserve"> obligations, </w:t>
      </w:r>
      <w:r w:rsidR="00D014AB">
        <w:rPr>
          <w:rFonts w:asciiTheme="majorHAnsi" w:hAnsiTheme="majorHAnsi"/>
          <w:sz w:val="20"/>
          <w:szCs w:val="20"/>
        </w:rPr>
        <w:t>particular</w:t>
      </w:r>
      <w:r w:rsidR="005407B2">
        <w:rPr>
          <w:rFonts w:asciiTheme="majorHAnsi" w:hAnsiTheme="majorHAnsi"/>
          <w:sz w:val="20"/>
          <w:szCs w:val="20"/>
        </w:rPr>
        <w:t>ly</w:t>
      </w:r>
      <w:r w:rsidR="005B32DA">
        <w:rPr>
          <w:rFonts w:asciiTheme="majorHAnsi" w:hAnsiTheme="majorHAnsi"/>
          <w:sz w:val="20"/>
          <w:szCs w:val="20"/>
        </w:rPr>
        <w:t>,</w:t>
      </w:r>
      <w:r w:rsidR="00D014AB">
        <w:rPr>
          <w:rFonts w:asciiTheme="majorHAnsi" w:hAnsiTheme="majorHAnsi"/>
          <w:sz w:val="20"/>
          <w:szCs w:val="20"/>
        </w:rPr>
        <w:t xml:space="preserve"> </w:t>
      </w:r>
      <w:r w:rsidR="005B32DA">
        <w:rPr>
          <w:rFonts w:asciiTheme="majorHAnsi" w:hAnsiTheme="majorHAnsi"/>
          <w:sz w:val="20"/>
          <w:szCs w:val="20"/>
        </w:rPr>
        <w:t xml:space="preserve">regarding </w:t>
      </w:r>
      <w:r w:rsidR="00D014AB">
        <w:rPr>
          <w:rFonts w:asciiTheme="majorHAnsi" w:hAnsiTheme="majorHAnsi"/>
          <w:sz w:val="20"/>
          <w:szCs w:val="20"/>
        </w:rPr>
        <w:t xml:space="preserve">children, and the burden of proof </w:t>
      </w:r>
      <w:r w:rsidR="007964F1">
        <w:rPr>
          <w:rFonts w:asciiTheme="majorHAnsi" w:hAnsiTheme="majorHAnsi"/>
          <w:sz w:val="20"/>
          <w:szCs w:val="20"/>
        </w:rPr>
        <w:t xml:space="preserve">described above for </w:t>
      </w:r>
      <w:r w:rsidR="002742AD">
        <w:rPr>
          <w:rFonts w:asciiTheme="majorHAnsi" w:hAnsiTheme="majorHAnsi"/>
          <w:sz w:val="20"/>
          <w:szCs w:val="20"/>
        </w:rPr>
        <w:t xml:space="preserve">cases </w:t>
      </w:r>
      <w:r w:rsidR="007964F1">
        <w:rPr>
          <w:rFonts w:asciiTheme="majorHAnsi" w:hAnsiTheme="majorHAnsi"/>
          <w:sz w:val="20"/>
          <w:szCs w:val="20"/>
        </w:rPr>
        <w:t>of persons under the custody of the State, including persons performing military service</w:t>
      </w:r>
      <w:r w:rsidR="009B2238">
        <w:rPr>
          <w:rFonts w:asciiTheme="majorHAnsi" w:hAnsiTheme="majorHAnsi"/>
          <w:sz w:val="20"/>
          <w:szCs w:val="20"/>
        </w:rPr>
        <w:t>.</w:t>
      </w:r>
    </w:p>
    <w:p w14:paraId="7F31AE63" w14:textId="77777777" w:rsidR="00300D46" w:rsidRPr="00D65A97" w:rsidRDefault="00300D46" w:rsidP="00300D46">
      <w:pPr>
        <w:ind w:left="360" w:firstLine="720"/>
        <w:jc w:val="both"/>
        <w:rPr>
          <w:rFonts w:asciiTheme="majorHAnsi" w:hAnsiTheme="majorHAnsi"/>
          <w:sz w:val="20"/>
          <w:szCs w:val="20"/>
        </w:rPr>
      </w:pPr>
    </w:p>
    <w:p w14:paraId="2FFC128A" w14:textId="6DD0BF95" w:rsidR="00300D46" w:rsidRPr="00D65A97" w:rsidRDefault="005D3AC4"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Commission notes that the State’s position regarding the reasons that gave rise to the death of the alleged victim, is based on the autopsy reports that were introduced in the case file, one report in the context of the military jurisdiction investigation and the other one in the context of the ordinary jurisdiction. </w:t>
      </w:r>
      <w:r w:rsidR="000C7AE1">
        <w:rPr>
          <w:rFonts w:asciiTheme="majorHAnsi" w:hAnsiTheme="majorHAnsi"/>
          <w:sz w:val="20"/>
          <w:szCs w:val="20"/>
        </w:rPr>
        <w:t xml:space="preserve">In this regard, the only explanation provided by the State is related to the supposed medical cause of death of Vicente Ariel Noguera, but not </w:t>
      </w:r>
      <w:r w:rsidR="00F07E95">
        <w:rPr>
          <w:rFonts w:asciiTheme="majorHAnsi" w:hAnsiTheme="majorHAnsi"/>
          <w:sz w:val="20"/>
          <w:szCs w:val="20"/>
        </w:rPr>
        <w:t xml:space="preserve">to </w:t>
      </w:r>
      <w:r w:rsidR="00C9567D">
        <w:rPr>
          <w:rFonts w:asciiTheme="majorHAnsi" w:hAnsiTheme="majorHAnsi"/>
          <w:sz w:val="20"/>
          <w:szCs w:val="20"/>
        </w:rPr>
        <w:t xml:space="preserve">the </w:t>
      </w:r>
      <w:r w:rsidR="000C7AE1">
        <w:rPr>
          <w:rFonts w:asciiTheme="majorHAnsi" w:hAnsiTheme="majorHAnsi"/>
          <w:sz w:val="20"/>
          <w:szCs w:val="20"/>
        </w:rPr>
        <w:t xml:space="preserve">circumstances of mode, time and place that </w:t>
      </w:r>
      <w:r w:rsidR="000A3EB8">
        <w:rPr>
          <w:rFonts w:asciiTheme="majorHAnsi" w:hAnsiTheme="majorHAnsi"/>
          <w:sz w:val="20"/>
          <w:szCs w:val="20"/>
        </w:rPr>
        <w:t xml:space="preserve">have given rise to these health problems. </w:t>
      </w:r>
    </w:p>
    <w:p w14:paraId="745FF44C" w14:textId="77777777" w:rsidR="00300D46" w:rsidRPr="00D65A97" w:rsidRDefault="00300D46" w:rsidP="00300D46">
      <w:pPr>
        <w:ind w:firstLine="720"/>
        <w:jc w:val="both"/>
        <w:rPr>
          <w:rFonts w:asciiTheme="majorHAnsi" w:hAnsiTheme="majorHAnsi"/>
          <w:sz w:val="20"/>
          <w:szCs w:val="20"/>
        </w:rPr>
      </w:pPr>
    </w:p>
    <w:p w14:paraId="202C0258" w14:textId="367D83B3" w:rsidR="00300D46" w:rsidRPr="00D65A97" w:rsidRDefault="009F608A"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Beyond the inadequate explanation of the State, based on the result of the autopsy reports, the Commission notes that investigations</w:t>
      </w:r>
      <w:r w:rsidR="00C25930">
        <w:rPr>
          <w:rFonts w:asciiTheme="majorHAnsi" w:hAnsiTheme="majorHAnsi"/>
          <w:sz w:val="20"/>
          <w:szCs w:val="20"/>
        </w:rPr>
        <w:t xml:space="preserve"> in the domestic jurisdiction</w:t>
      </w:r>
      <w:r>
        <w:rPr>
          <w:rFonts w:asciiTheme="majorHAnsi" w:hAnsiTheme="majorHAnsi"/>
          <w:sz w:val="20"/>
          <w:szCs w:val="20"/>
        </w:rPr>
        <w:t xml:space="preserve"> were </w:t>
      </w:r>
      <w:r w:rsidR="006D7F87">
        <w:rPr>
          <w:rFonts w:asciiTheme="majorHAnsi" w:hAnsiTheme="majorHAnsi"/>
          <w:sz w:val="20"/>
          <w:szCs w:val="20"/>
        </w:rPr>
        <w:t xml:space="preserve">unsuccessful at </w:t>
      </w:r>
      <w:r w:rsidR="000709EE">
        <w:rPr>
          <w:rFonts w:asciiTheme="majorHAnsi" w:hAnsiTheme="majorHAnsi"/>
          <w:sz w:val="20"/>
          <w:szCs w:val="20"/>
        </w:rPr>
        <w:t>get</w:t>
      </w:r>
      <w:r w:rsidR="006D7F87">
        <w:rPr>
          <w:rFonts w:asciiTheme="majorHAnsi" w:hAnsiTheme="majorHAnsi"/>
          <w:sz w:val="20"/>
          <w:szCs w:val="20"/>
        </w:rPr>
        <w:t>ting</w:t>
      </w:r>
      <w:r w:rsidR="000709EE">
        <w:rPr>
          <w:rFonts w:asciiTheme="majorHAnsi" w:hAnsiTheme="majorHAnsi"/>
          <w:sz w:val="20"/>
          <w:szCs w:val="20"/>
        </w:rPr>
        <w:t xml:space="preserve"> to the bottom of the circumstances </w:t>
      </w:r>
      <w:r w:rsidR="006F76C1">
        <w:rPr>
          <w:rFonts w:asciiTheme="majorHAnsi" w:hAnsiTheme="majorHAnsi"/>
          <w:sz w:val="20"/>
          <w:szCs w:val="20"/>
        </w:rPr>
        <w:t xml:space="preserve">of the death of Vicente Ariel Noguera. </w:t>
      </w:r>
      <w:r w:rsidR="00B57148">
        <w:rPr>
          <w:rFonts w:asciiTheme="majorHAnsi" w:hAnsiTheme="majorHAnsi"/>
          <w:sz w:val="20"/>
          <w:szCs w:val="20"/>
        </w:rPr>
        <w:t xml:space="preserve">In the respective section of the instant report, the IACHR </w:t>
      </w:r>
      <w:r w:rsidR="00954679">
        <w:rPr>
          <w:rFonts w:asciiTheme="majorHAnsi" w:hAnsiTheme="majorHAnsi"/>
          <w:sz w:val="20"/>
          <w:szCs w:val="20"/>
        </w:rPr>
        <w:t xml:space="preserve">will </w:t>
      </w:r>
      <w:r w:rsidR="002558DE">
        <w:rPr>
          <w:rFonts w:asciiTheme="majorHAnsi" w:hAnsiTheme="majorHAnsi"/>
          <w:sz w:val="20"/>
          <w:szCs w:val="20"/>
        </w:rPr>
        <w:t xml:space="preserve">delve deeper into </w:t>
      </w:r>
      <w:r w:rsidR="0093463A">
        <w:rPr>
          <w:rFonts w:asciiTheme="majorHAnsi" w:hAnsiTheme="majorHAnsi"/>
          <w:sz w:val="20"/>
          <w:szCs w:val="20"/>
        </w:rPr>
        <w:t xml:space="preserve">the problems with these investigations in light of due process of law and judicial protection. </w:t>
      </w:r>
      <w:r w:rsidR="007E54CF">
        <w:rPr>
          <w:rFonts w:asciiTheme="majorHAnsi" w:hAnsiTheme="majorHAnsi"/>
          <w:sz w:val="20"/>
          <w:szCs w:val="20"/>
        </w:rPr>
        <w:t xml:space="preserve">For purposes of this point, the Commission notes that the State has been unable to offer a satisfactory explanation of the death of the alleged victim under its custody either to the IACHR or in the context of domestic investigations and, therefore, said </w:t>
      </w:r>
      <w:r w:rsidR="00D42F06">
        <w:rPr>
          <w:rFonts w:asciiTheme="majorHAnsi" w:hAnsiTheme="majorHAnsi"/>
          <w:sz w:val="20"/>
          <w:szCs w:val="20"/>
        </w:rPr>
        <w:t xml:space="preserve">death </w:t>
      </w:r>
      <w:r w:rsidR="007E54CF">
        <w:rPr>
          <w:rFonts w:asciiTheme="majorHAnsi" w:hAnsiTheme="majorHAnsi"/>
          <w:sz w:val="20"/>
          <w:szCs w:val="20"/>
        </w:rPr>
        <w:t xml:space="preserve">can be attributed to it under the standards cited above. </w:t>
      </w:r>
    </w:p>
    <w:p w14:paraId="5362B1D3" w14:textId="77777777" w:rsidR="00300D46" w:rsidRPr="00D65A97" w:rsidRDefault="00300D46" w:rsidP="00300D46">
      <w:pPr>
        <w:jc w:val="both"/>
        <w:rPr>
          <w:rFonts w:asciiTheme="majorHAnsi" w:hAnsiTheme="majorHAnsi"/>
          <w:sz w:val="20"/>
          <w:szCs w:val="20"/>
        </w:rPr>
      </w:pPr>
    </w:p>
    <w:p w14:paraId="0C4CCCEA" w14:textId="4DE22EEF" w:rsidR="00300D46" w:rsidRPr="00D65A97" w:rsidRDefault="001177F2" w:rsidP="00A17B98">
      <w:pPr>
        <w:pStyle w:val="Heading3"/>
        <w:rPr>
          <w:lang w:val="en-US"/>
        </w:rPr>
      </w:pPr>
      <w:bookmarkStart w:id="20" w:name="_Toc506095180"/>
      <w:r>
        <w:rPr>
          <w:lang w:val="en-US"/>
        </w:rPr>
        <w:t xml:space="preserve">Evidence of responsibility in the death of </w:t>
      </w:r>
      <w:r w:rsidR="00300D46" w:rsidRPr="00D65A97">
        <w:rPr>
          <w:lang w:val="en-US"/>
        </w:rPr>
        <w:t>Vicente Ariel Noguera</w:t>
      </w:r>
      <w:bookmarkEnd w:id="20"/>
    </w:p>
    <w:p w14:paraId="795DD7A4" w14:textId="77777777" w:rsidR="00300D46" w:rsidRPr="00D65A97" w:rsidRDefault="00300D46" w:rsidP="00300D46">
      <w:pPr>
        <w:ind w:left="630"/>
        <w:jc w:val="both"/>
        <w:rPr>
          <w:rFonts w:asciiTheme="majorHAnsi" w:hAnsiTheme="majorHAnsi"/>
          <w:sz w:val="20"/>
          <w:szCs w:val="20"/>
        </w:rPr>
      </w:pPr>
      <w:r w:rsidRPr="00D65A97">
        <w:rPr>
          <w:rFonts w:asciiTheme="majorHAnsi" w:hAnsiTheme="majorHAnsi"/>
          <w:b/>
          <w:sz w:val="20"/>
          <w:szCs w:val="20"/>
        </w:rPr>
        <w:t xml:space="preserve"> </w:t>
      </w:r>
    </w:p>
    <w:p w14:paraId="202695FB" w14:textId="723C74BA" w:rsidR="00300D46" w:rsidRPr="00D65A97" w:rsidRDefault="001177F2"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Commission notes that in the instant case there is other evidence that points to State responsibility, including information about his good health status, al</w:t>
      </w:r>
      <w:r w:rsidR="00371D58">
        <w:rPr>
          <w:rFonts w:asciiTheme="majorHAnsi" w:hAnsiTheme="majorHAnsi"/>
          <w:sz w:val="20"/>
          <w:szCs w:val="20"/>
        </w:rPr>
        <w:t xml:space="preserve">legations, statements and other </w:t>
      </w:r>
      <w:r w:rsidR="006A70D2">
        <w:rPr>
          <w:rFonts w:asciiTheme="majorHAnsi" w:hAnsiTheme="majorHAnsi"/>
          <w:sz w:val="20"/>
          <w:szCs w:val="20"/>
        </w:rPr>
        <w:t xml:space="preserve">indications </w:t>
      </w:r>
      <w:r>
        <w:rPr>
          <w:rFonts w:asciiTheme="majorHAnsi" w:hAnsiTheme="majorHAnsi"/>
          <w:sz w:val="20"/>
          <w:szCs w:val="20"/>
        </w:rPr>
        <w:t xml:space="preserve">that cite physical punishment and other potential </w:t>
      </w:r>
      <w:r w:rsidR="004A04EE">
        <w:rPr>
          <w:rFonts w:asciiTheme="majorHAnsi" w:hAnsiTheme="majorHAnsi"/>
          <w:sz w:val="20"/>
          <w:szCs w:val="20"/>
        </w:rPr>
        <w:t>acts of aggression</w:t>
      </w:r>
      <w:r>
        <w:rPr>
          <w:rFonts w:asciiTheme="majorHAnsi" w:hAnsiTheme="majorHAnsi"/>
          <w:sz w:val="20"/>
          <w:szCs w:val="20"/>
        </w:rPr>
        <w:t>, which were not investigated in the domestic courts and in the context of military service</w:t>
      </w:r>
      <w:r w:rsidR="008919D9">
        <w:rPr>
          <w:rFonts w:asciiTheme="majorHAnsi" w:hAnsiTheme="majorHAnsi"/>
          <w:sz w:val="20"/>
          <w:szCs w:val="20"/>
        </w:rPr>
        <w:t xml:space="preserve">, strictly speaking. </w:t>
      </w:r>
    </w:p>
    <w:p w14:paraId="03548B24" w14:textId="77777777" w:rsidR="00300D46" w:rsidRPr="00D65A97" w:rsidRDefault="00300D46" w:rsidP="00300D46">
      <w:pPr>
        <w:pStyle w:val="ListParagraph"/>
        <w:ind w:firstLine="720"/>
        <w:rPr>
          <w:rFonts w:asciiTheme="majorHAnsi" w:hAnsiTheme="majorHAnsi"/>
          <w:sz w:val="20"/>
          <w:szCs w:val="20"/>
        </w:rPr>
      </w:pPr>
    </w:p>
    <w:p w14:paraId="5D6A8618" w14:textId="379CB448" w:rsidR="00300D46" w:rsidRPr="00D65A97" w:rsidRDefault="00ED6C0C"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Firstly, the Commission recalls that at the time of the events of the case, there was a context of infringements of the right to life and humane treatment of </w:t>
      </w:r>
      <w:r w:rsidR="00853D61">
        <w:rPr>
          <w:rFonts w:asciiTheme="majorHAnsi" w:hAnsiTheme="majorHAnsi"/>
          <w:sz w:val="20"/>
          <w:szCs w:val="20"/>
        </w:rPr>
        <w:t>cadets (</w:t>
      </w:r>
      <w:r>
        <w:rPr>
          <w:rFonts w:asciiTheme="majorHAnsi" w:hAnsiTheme="majorHAnsi"/>
          <w:sz w:val="20"/>
          <w:szCs w:val="20"/>
        </w:rPr>
        <w:t>candidates for corporal</w:t>
      </w:r>
      <w:r w:rsidR="00853D61">
        <w:rPr>
          <w:rFonts w:asciiTheme="majorHAnsi" w:hAnsiTheme="majorHAnsi"/>
          <w:sz w:val="20"/>
          <w:szCs w:val="20"/>
        </w:rPr>
        <w:t>)</w:t>
      </w:r>
      <w:r>
        <w:rPr>
          <w:rFonts w:asciiTheme="majorHAnsi" w:hAnsiTheme="majorHAnsi"/>
          <w:sz w:val="20"/>
          <w:szCs w:val="20"/>
        </w:rPr>
        <w:t xml:space="preserve">, who were doing </w:t>
      </w:r>
      <w:r w:rsidR="001249E3">
        <w:rPr>
          <w:rFonts w:asciiTheme="majorHAnsi" w:hAnsiTheme="majorHAnsi"/>
          <w:sz w:val="20"/>
          <w:szCs w:val="20"/>
        </w:rPr>
        <w:t xml:space="preserve">their </w:t>
      </w:r>
      <w:r>
        <w:rPr>
          <w:rFonts w:asciiTheme="majorHAnsi" w:hAnsiTheme="majorHAnsi"/>
          <w:sz w:val="20"/>
          <w:szCs w:val="20"/>
        </w:rPr>
        <w:t xml:space="preserve">military service in Paraguay. </w:t>
      </w:r>
      <w:r w:rsidR="00B647B9">
        <w:rPr>
          <w:rFonts w:asciiTheme="majorHAnsi" w:hAnsiTheme="majorHAnsi"/>
          <w:sz w:val="20"/>
          <w:szCs w:val="20"/>
        </w:rPr>
        <w:t xml:space="preserve"> In view of </w:t>
      </w:r>
      <w:r w:rsidR="00F359B5">
        <w:rPr>
          <w:rFonts w:asciiTheme="majorHAnsi" w:hAnsiTheme="majorHAnsi"/>
          <w:sz w:val="20"/>
          <w:szCs w:val="20"/>
        </w:rPr>
        <w:t>this context</w:t>
      </w:r>
      <w:r w:rsidR="00B647B9">
        <w:rPr>
          <w:rFonts w:asciiTheme="majorHAnsi" w:hAnsiTheme="majorHAnsi"/>
          <w:sz w:val="20"/>
          <w:szCs w:val="20"/>
        </w:rPr>
        <w:t xml:space="preserve">, </w:t>
      </w:r>
      <w:r w:rsidR="003B27F0">
        <w:rPr>
          <w:rFonts w:asciiTheme="majorHAnsi" w:hAnsiTheme="majorHAnsi"/>
          <w:sz w:val="20"/>
          <w:szCs w:val="20"/>
        </w:rPr>
        <w:t>the</w:t>
      </w:r>
      <w:r w:rsidR="006D5C48">
        <w:rPr>
          <w:rFonts w:asciiTheme="majorHAnsi" w:hAnsiTheme="majorHAnsi"/>
          <w:sz w:val="20"/>
          <w:szCs w:val="20"/>
        </w:rPr>
        <w:t xml:space="preserve"> death of Vicente Ariel Noguera</w:t>
      </w:r>
      <w:r w:rsidR="003B27F0">
        <w:rPr>
          <w:rFonts w:asciiTheme="majorHAnsi" w:hAnsiTheme="majorHAnsi"/>
          <w:sz w:val="20"/>
          <w:szCs w:val="20"/>
        </w:rPr>
        <w:t xml:space="preserve"> cannot be </w:t>
      </w:r>
      <w:r w:rsidR="00C16B48">
        <w:rPr>
          <w:rFonts w:asciiTheme="majorHAnsi" w:hAnsiTheme="majorHAnsi"/>
          <w:sz w:val="20"/>
          <w:szCs w:val="20"/>
        </w:rPr>
        <w:t>considered</w:t>
      </w:r>
      <w:r w:rsidR="00961A75">
        <w:rPr>
          <w:rFonts w:asciiTheme="majorHAnsi" w:hAnsiTheme="majorHAnsi"/>
          <w:sz w:val="20"/>
          <w:szCs w:val="20"/>
        </w:rPr>
        <w:t xml:space="preserve"> </w:t>
      </w:r>
      <w:r w:rsidR="008213DD">
        <w:rPr>
          <w:rFonts w:asciiTheme="majorHAnsi" w:hAnsiTheme="majorHAnsi"/>
          <w:sz w:val="20"/>
          <w:szCs w:val="20"/>
        </w:rPr>
        <w:t xml:space="preserve">an isolated incident. </w:t>
      </w:r>
      <w:r w:rsidR="003B27F0">
        <w:rPr>
          <w:rFonts w:asciiTheme="majorHAnsi" w:hAnsiTheme="majorHAnsi"/>
          <w:sz w:val="20"/>
          <w:szCs w:val="20"/>
        </w:rPr>
        <w:t xml:space="preserve"> </w:t>
      </w:r>
      <w:r w:rsidR="00FE25CD">
        <w:rPr>
          <w:rFonts w:asciiTheme="majorHAnsi" w:hAnsiTheme="majorHAnsi"/>
          <w:sz w:val="20"/>
          <w:szCs w:val="20"/>
        </w:rPr>
        <w:t>This context is n</w:t>
      </w:r>
      <w:r w:rsidR="00FC314B">
        <w:rPr>
          <w:rFonts w:asciiTheme="majorHAnsi" w:hAnsiTheme="majorHAnsi"/>
          <w:sz w:val="20"/>
          <w:szCs w:val="20"/>
        </w:rPr>
        <w:t xml:space="preserve">ot </w:t>
      </w:r>
      <w:r w:rsidR="003B27F0">
        <w:rPr>
          <w:rFonts w:asciiTheme="majorHAnsi" w:hAnsiTheme="majorHAnsi"/>
          <w:sz w:val="20"/>
          <w:szCs w:val="20"/>
        </w:rPr>
        <w:t xml:space="preserve">only </w:t>
      </w:r>
      <w:r w:rsidR="007045A1">
        <w:rPr>
          <w:rFonts w:asciiTheme="majorHAnsi" w:hAnsiTheme="majorHAnsi"/>
          <w:sz w:val="20"/>
          <w:szCs w:val="20"/>
        </w:rPr>
        <w:t xml:space="preserve">the </w:t>
      </w:r>
      <w:r w:rsidR="003B27F0">
        <w:rPr>
          <w:rFonts w:asciiTheme="majorHAnsi" w:hAnsiTheme="majorHAnsi"/>
          <w:sz w:val="20"/>
          <w:szCs w:val="20"/>
        </w:rPr>
        <w:t xml:space="preserve">point of departure </w:t>
      </w:r>
      <w:r w:rsidR="007045A1">
        <w:rPr>
          <w:rFonts w:asciiTheme="majorHAnsi" w:hAnsiTheme="majorHAnsi"/>
          <w:sz w:val="20"/>
          <w:szCs w:val="20"/>
        </w:rPr>
        <w:t xml:space="preserve">for </w:t>
      </w:r>
      <w:r w:rsidR="003B27F0">
        <w:rPr>
          <w:rFonts w:asciiTheme="majorHAnsi" w:hAnsiTheme="majorHAnsi"/>
          <w:sz w:val="20"/>
          <w:szCs w:val="20"/>
        </w:rPr>
        <w:t xml:space="preserve">this analysis, but </w:t>
      </w:r>
      <w:r w:rsidR="00635A39">
        <w:rPr>
          <w:rFonts w:asciiTheme="majorHAnsi" w:hAnsiTheme="majorHAnsi"/>
          <w:sz w:val="20"/>
          <w:szCs w:val="20"/>
        </w:rPr>
        <w:t xml:space="preserve">we must </w:t>
      </w:r>
      <w:r w:rsidR="003B27F0">
        <w:rPr>
          <w:rFonts w:asciiTheme="majorHAnsi" w:hAnsiTheme="majorHAnsi"/>
          <w:sz w:val="20"/>
          <w:szCs w:val="20"/>
        </w:rPr>
        <w:t xml:space="preserve">also </w:t>
      </w:r>
      <w:r w:rsidR="00635A39">
        <w:rPr>
          <w:rFonts w:asciiTheme="majorHAnsi" w:hAnsiTheme="majorHAnsi"/>
          <w:sz w:val="20"/>
          <w:szCs w:val="20"/>
        </w:rPr>
        <w:t xml:space="preserve">take into consideration that </w:t>
      </w:r>
      <w:r w:rsidR="00AC0A31">
        <w:rPr>
          <w:rFonts w:asciiTheme="majorHAnsi" w:hAnsiTheme="majorHAnsi"/>
          <w:sz w:val="20"/>
          <w:szCs w:val="20"/>
        </w:rPr>
        <w:t xml:space="preserve">because </w:t>
      </w:r>
      <w:r w:rsidR="008D0275">
        <w:rPr>
          <w:rFonts w:asciiTheme="majorHAnsi" w:hAnsiTheme="majorHAnsi"/>
          <w:sz w:val="20"/>
          <w:szCs w:val="20"/>
        </w:rPr>
        <w:t xml:space="preserve">he was under </w:t>
      </w:r>
      <w:r w:rsidR="00330797">
        <w:rPr>
          <w:rFonts w:asciiTheme="majorHAnsi" w:hAnsiTheme="majorHAnsi"/>
          <w:sz w:val="20"/>
          <w:szCs w:val="20"/>
        </w:rPr>
        <w:t xml:space="preserve">the </w:t>
      </w:r>
      <w:r w:rsidR="008D0275">
        <w:rPr>
          <w:rFonts w:asciiTheme="majorHAnsi" w:hAnsiTheme="majorHAnsi"/>
          <w:sz w:val="20"/>
          <w:szCs w:val="20"/>
        </w:rPr>
        <w:t>custody of the State in a situ</w:t>
      </w:r>
      <w:r w:rsidR="00AC0A31">
        <w:rPr>
          <w:rFonts w:asciiTheme="majorHAnsi" w:hAnsiTheme="majorHAnsi"/>
          <w:sz w:val="20"/>
          <w:szCs w:val="20"/>
        </w:rPr>
        <w:t xml:space="preserve">ation of special vulnerability, and in </w:t>
      </w:r>
      <w:r w:rsidR="004803A7">
        <w:rPr>
          <w:rFonts w:asciiTheme="majorHAnsi" w:hAnsiTheme="majorHAnsi"/>
          <w:sz w:val="20"/>
          <w:szCs w:val="20"/>
        </w:rPr>
        <w:t xml:space="preserve">such a </w:t>
      </w:r>
      <w:r w:rsidR="00F92CA4">
        <w:rPr>
          <w:rFonts w:asciiTheme="majorHAnsi" w:hAnsiTheme="majorHAnsi"/>
          <w:sz w:val="20"/>
          <w:szCs w:val="20"/>
        </w:rPr>
        <w:t xml:space="preserve">context, </w:t>
      </w:r>
      <w:r w:rsidR="007C4754">
        <w:rPr>
          <w:rFonts w:asciiTheme="majorHAnsi" w:hAnsiTheme="majorHAnsi"/>
          <w:sz w:val="20"/>
          <w:szCs w:val="20"/>
        </w:rPr>
        <w:t xml:space="preserve">it </w:t>
      </w:r>
      <w:r w:rsidR="00006FC6">
        <w:rPr>
          <w:rFonts w:asciiTheme="majorHAnsi" w:hAnsiTheme="majorHAnsi"/>
          <w:sz w:val="20"/>
          <w:szCs w:val="20"/>
        </w:rPr>
        <w:t xml:space="preserve">should have triggered </w:t>
      </w:r>
      <w:r w:rsidR="00C35CFF">
        <w:rPr>
          <w:rFonts w:asciiTheme="majorHAnsi" w:hAnsiTheme="majorHAnsi"/>
          <w:sz w:val="20"/>
          <w:szCs w:val="20"/>
        </w:rPr>
        <w:t xml:space="preserve">a </w:t>
      </w:r>
      <w:r w:rsidR="00006FC6">
        <w:rPr>
          <w:rFonts w:asciiTheme="majorHAnsi" w:hAnsiTheme="majorHAnsi"/>
          <w:sz w:val="20"/>
          <w:szCs w:val="20"/>
        </w:rPr>
        <w:t>heightened duty of due diligence</w:t>
      </w:r>
      <w:r w:rsidR="00DF5839">
        <w:rPr>
          <w:rFonts w:asciiTheme="majorHAnsi" w:hAnsiTheme="majorHAnsi"/>
          <w:sz w:val="20"/>
          <w:szCs w:val="20"/>
        </w:rPr>
        <w:t xml:space="preserve"> in </w:t>
      </w:r>
      <w:r w:rsidR="00780C77">
        <w:rPr>
          <w:rFonts w:asciiTheme="majorHAnsi" w:hAnsiTheme="majorHAnsi"/>
          <w:sz w:val="20"/>
          <w:szCs w:val="20"/>
        </w:rPr>
        <w:t>the investigations, whic</w:t>
      </w:r>
      <w:r w:rsidR="00E166E3">
        <w:rPr>
          <w:rFonts w:asciiTheme="majorHAnsi" w:hAnsiTheme="majorHAnsi"/>
          <w:sz w:val="20"/>
          <w:szCs w:val="20"/>
        </w:rPr>
        <w:t xml:space="preserve">h </w:t>
      </w:r>
      <w:r w:rsidR="00D2759F">
        <w:rPr>
          <w:rFonts w:asciiTheme="majorHAnsi" w:hAnsiTheme="majorHAnsi"/>
          <w:sz w:val="20"/>
          <w:szCs w:val="20"/>
        </w:rPr>
        <w:t>was not the case</w:t>
      </w:r>
      <w:r w:rsidR="00E166E3">
        <w:rPr>
          <w:rFonts w:asciiTheme="majorHAnsi" w:hAnsiTheme="majorHAnsi"/>
          <w:sz w:val="20"/>
          <w:szCs w:val="20"/>
        </w:rPr>
        <w:t xml:space="preserve">, as will be </w:t>
      </w:r>
      <w:r w:rsidR="00D2444B">
        <w:rPr>
          <w:rFonts w:asciiTheme="majorHAnsi" w:hAnsiTheme="majorHAnsi"/>
          <w:sz w:val="20"/>
          <w:szCs w:val="20"/>
        </w:rPr>
        <w:t xml:space="preserve">further </w:t>
      </w:r>
      <w:r w:rsidR="00E166E3">
        <w:rPr>
          <w:rFonts w:asciiTheme="majorHAnsi" w:hAnsiTheme="majorHAnsi"/>
          <w:sz w:val="20"/>
          <w:szCs w:val="20"/>
        </w:rPr>
        <w:t>examined hereunder</w:t>
      </w:r>
      <w:r w:rsidR="00D2759F">
        <w:rPr>
          <w:rFonts w:asciiTheme="majorHAnsi" w:hAnsiTheme="majorHAnsi"/>
          <w:sz w:val="20"/>
          <w:szCs w:val="20"/>
        </w:rPr>
        <w:t xml:space="preserve">. </w:t>
      </w:r>
    </w:p>
    <w:p w14:paraId="5AA73264" w14:textId="77777777" w:rsidR="00300D46" w:rsidRPr="00D65A97" w:rsidRDefault="00300D46" w:rsidP="00300D46">
      <w:pPr>
        <w:pStyle w:val="ListParagraph"/>
        <w:ind w:firstLine="720"/>
        <w:rPr>
          <w:rFonts w:asciiTheme="majorHAnsi" w:hAnsiTheme="majorHAnsi"/>
          <w:sz w:val="20"/>
          <w:szCs w:val="20"/>
        </w:rPr>
      </w:pPr>
    </w:p>
    <w:p w14:paraId="5B4517D8" w14:textId="4550AEC8" w:rsidR="00300D46" w:rsidRPr="00D65A97" w:rsidRDefault="00E91DD0"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Secondly, the Commission has determined that there is no dispute that, up until the day before his death, the alleged victim was in good health. Furthermore, based on the statements</w:t>
      </w:r>
      <w:r w:rsidR="008C5B29">
        <w:rPr>
          <w:rFonts w:asciiTheme="majorHAnsi" w:hAnsiTheme="majorHAnsi"/>
          <w:sz w:val="20"/>
          <w:szCs w:val="20"/>
        </w:rPr>
        <w:t xml:space="preserve"> provided by witnesses</w:t>
      </w:r>
      <w:r>
        <w:rPr>
          <w:rFonts w:asciiTheme="majorHAnsi" w:hAnsiTheme="majorHAnsi"/>
          <w:sz w:val="20"/>
          <w:szCs w:val="20"/>
        </w:rPr>
        <w:t xml:space="preserve">, the Commission takes note that </w:t>
      </w:r>
      <w:r w:rsidR="00884DB0">
        <w:rPr>
          <w:rFonts w:asciiTheme="majorHAnsi" w:hAnsiTheme="majorHAnsi"/>
          <w:sz w:val="20"/>
          <w:szCs w:val="20"/>
        </w:rPr>
        <w:t>Vicent</w:t>
      </w:r>
      <w:r w:rsidR="006B5A1C">
        <w:rPr>
          <w:rFonts w:asciiTheme="majorHAnsi" w:hAnsiTheme="majorHAnsi"/>
          <w:sz w:val="20"/>
          <w:szCs w:val="20"/>
        </w:rPr>
        <w:t>e</w:t>
      </w:r>
      <w:r w:rsidR="00884DB0">
        <w:rPr>
          <w:rFonts w:asciiTheme="majorHAnsi" w:hAnsiTheme="majorHAnsi"/>
          <w:sz w:val="20"/>
          <w:szCs w:val="20"/>
        </w:rPr>
        <w:t xml:space="preserve"> Ariel Noguera’s </w:t>
      </w:r>
      <w:r w:rsidR="000304CF">
        <w:rPr>
          <w:rFonts w:asciiTheme="majorHAnsi" w:hAnsiTheme="majorHAnsi"/>
          <w:sz w:val="20"/>
          <w:szCs w:val="20"/>
        </w:rPr>
        <w:t xml:space="preserve">physical </w:t>
      </w:r>
      <w:r w:rsidR="00572FF6">
        <w:rPr>
          <w:rFonts w:asciiTheme="majorHAnsi" w:hAnsiTheme="majorHAnsi"/>
          <w:sz w:val="20"/>
          <w:szCs w:val="20"/>
        </w:rPr>
        <w:t>fortitude</w:t>
      </w:r>
      <w:r w:rsidR="000A6169">
        <w:rPr>
          <w:rFonts w:asciiTheme="majorHAnsi" w:hAnsiTheme="majorHAnsi"/>
          <w:sz w:val="20"/>
          <w:szCs w:val="20"/>
        </w:rPr>
        <w:t xml:space="preserve"> </w:t>
      </w:r>
      <w:r w:rsidR="00A4280B">
        <w:rPr>
          <w:rFonts w:asciiTheme="majorHAnsi" w:hAnsiTheme="majorHAnsi"/>
          <w:sz w:val="20"/>
          <w:szCs w:val="20"/>
        </w:rPr>
        <w:t>was a trait that his classmates</w:t>
      </w:r>
      <w:r w:rsidR="0029537F">
        <w:rPr>
          <w:rFonts w:asciiTheme="majorHAnsi" w:hAnsiTheme="majorHAnsi"/>
          <w:sz w:val="20"/>
          <w:szCs w:val="20"/>
        </w:rPr>
        <w:t xml:space="preserve"> noticed </w:t>
      </w:r>
      <w:r w:rsidR="00766861">
        <w:rPr>
          <w:rFonts w:asciiTheme="majorHAnsi" w:hAnsiTheme="majorHAnsi"/>
          <w:sz w:val="20"/>
          <w:szCs w:val="20"/>
        </w:rPr>
        <w:t xml:space="preserve">about him </w:t>
      </w:r>
      <w:r w:rsidR="00F95CF4">
        <w:rPr>
          <w:rFonts w:asciiTheme="majorHAnsi" w:hAnsiTheme="majorHAnsi"/>
          <w:sz w:val="20"/>
          <w:szCs w:val="20"/>
        </w:rPr>
        <w:t xml:space="preserve">and that on January 10, 1996, the day before his death, </w:t>
      </w:r>
      <w:r w:rsidR="00C60251">
        <w:rPr>
          <w:rFonts w:asciiTheme="majorHAnsi" w:hAnsiTheme="majorHAnsi"/>
          <w:sz w:val="20"/>
          <w:szCs w:val="20"/>
        </w:rPr>
        <w:t xml:space="preserve">he was in fine health, and showed no sign of any illness. </w:t>
      </w:r>
      <w:r w:rsidR="00CC60EE">
        <w:rPr>
          <w:rFonts w:asciiTheme="majorHAnsi" w:hAnsiTheme="majorHAnsi"/>
          <w:sz w:val="20"/>
          <w:szCs w:val="20"/>
        </w:rPr>
        <w:t>This single fact raises serious doubts about the versions that his death was caused by an infectious process, when a few hours before his death, Vicente Ariel Noguera did not present any sym</w:t>
      </w:r>
      <w:r w:rsidR="003C013C">
        <w:rPr>
          <w:rFonts w:asciiTheme="majorHAnsi" w:hAnsiTheme="majorHAnsi"/>
          <w:sz w:val="20"/>
          <w:szCs w:val="20"/>
        </w:rPr>
        <w:t xml:space="preserve">ptom whatsoever. </w:t>
      </w:r>
    </w:p>
    <w:p w14:paraId="04B09A6E" w14:textId="77777777" w:rsidR="00300D46" w:rsidRPr="00D65A97" w:rsidRDefault="00300D46" w:rsidP="00300D46">
      <w:pPr>
        <w:ind w:firstLine="720"/>
        <w:jc w:val="both"/>
        <w:rPr>
          <w:rFonts w:asciiTheme="majorHAnsi" w:hAnsiTheme="majorHAnsi"/>
          <w:sz w:val="20"/>
          <w:szCs w:val="20"/>
        </w:rPr>
      </w:pPr>
    </w:p>
    <w:p w14:paraId="06212317" w14:textId="28325F3F" w:rsidR="00300D46" w:rsidRPr="00D65A97" w:rsidRDefault="00102283"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In any case, even if it were the cause of death, </w:t>
      </w:r>
      <w:r w:rsidR="00F2477F">
        <w:rPr>
          <w:rFonts w:asciiTheme="majorHAnsi" w:hAnsiTheme="majorHAnsi"/>
          <w:sz w:val="20"/>
          <w:szCs w:val="20"/>
        </w:rPr>
        <w:t xml:space="preserve">because of </w:t>
      </w:r>
      <w:r>
        <w:rPr>
          <w:rFonts w:asciiTheme="majorHAnsi" w:hAnsiTheme="majorHAnsi"/>
          <w:sz w:val="20"/>
          <w:szCs w:val="20"/>
        </w:rPr>
        <w:t xml:space="preserve">the alleged </w:t>
      </w:r>
      <w:r w:rsidR="00E65854">
        <w:rPr>
          <w:rFonts w:asciiTheme="majorHAnsi" w:hAnsiTheme="majorHAnsi"/>
          <w:sz w:val="20"/>
          <w:szCs w:val="20"/>
        </w:rPr>
        <w:t xml:space="preserve">victim’s </w:t>
      </w:r>
      <w:r>
        <w:rPr>
          <w:rFonts w:asciiTheme="majorHAnsi" w:hAnsiTheme="majorHAnsi"/>
          <w:sz w:val="20"/>
          <w:szCs w:val="20"/>
        </w:rPr>
        <w:t xml:space="preserve">condition as a minor, </w:t>
      </w:r>
      <w:r w:rsidR="00321823">
        <w:rPr>
          <w:rFonts w:asciiTheme="majorHAnsi" w:hAnsiTheme="majorHAnsi"/>
          <w:sz w:val="20"/>
          <w:szCs w:val="20"/>
        </w:rPr>
        <w:t xml:space="preserve">he </w:t>
      </w:r>
      <w:r>
        <w:rPr>
          <w:rFonts w:asciiTheme="majorHAnsi" w:hAnsiTheme="majorHAnsi"/>
          <w:sz w:val="20"/>
          <w:szCs w:val="20"/>
        </w:rPr>
        <w:t>was under the custody of the State and it had the obligat</w:t>
      </w:r>
      <w:r w:rsidR="00D44919">
        <w:rPr>
          <w:rFonts w:asciiTheme="majorHAnsi" w:hAnsiTheme="majorHAnsi"/>
          <w:sz w:val="20"/>
          <w:szCs w:val="20"/>
        </w:rPr>
        <w:t>ion to prove</w:t>
      </w:r>
      <w:r>
        <w:rPr>
          <w:rFonts w:asciiTheme="majorHAnsi" w:hAnsiTheme="majorHAnsi"/>
          <w:sz w:val="20"/>
          <w:szCs w:val="20"/>
        </w:rPr>
        <w:t xml:space="preserve"> that it fulfilled several </w:t>
      </w:r>
      <w:r w:rsidR="008834DC">
        <w:rPr>
          <w:rFonts w:asciiTheme="majorHAnsi" w:hAnsiTheme="majorHAnsi"/>
          <w:sz w:val="20"/>
          <w:szCs w:val="20"/>
        </w:rPr>
        <w:t xml:space="preserve">duties that are inherent to its special </w:t>
      </w:r>
      <w:r w:rsidR="00691098">
        <w:rPr>
          <w:rFonts w:asciiTheme="majorHAnsi" w:hAnsiTheme="majorHAnsi"/>
          <w:sz w:val="20"/>
          <w:szCs w:val="20"/>
        </w:rPr>
        <w:t xml:space="preserve">role </w:t>
      </w:r>
      <w:r w:rsidR="008834DC">
        <w:rPr>
          <w:rFonts w:asciiTheme="majorHAnsi" w:hAnsiTheme="majorHAnsi"/>
          <w:sz w:val="20"/>
          <w:szCs w:val="20"/>
        </w:rPr>
        <w:t xml:space="preserve">as guarantor in these circumstances. </w:t>
      </w:r>
    </w:p>
    <w:p w14:paraId="404BD484" w14:textId="77777777" w:rsidR="00300D46" w:rsidRPr="00D65A97" w:rsidRDefault="00300D46" w:rsidP="00300D46">
      <w:pPr>
        <w:pStyle w:val="ListParagraph"/>
        <w:ind w:firstLine="720"/>
        <w:rPr>
          <w:rFonts w:asciiTheme="majorHAnsi" w:hAnsiTheme="majorHAnsi"/>
          <w:sz w:val="20"/>
          <w:szCs w:val="20"/>
        </w:rPr>
      </w:pPr>
    </w:p>
    <w:p w14:paraId="38249768" w14:textId="742E2167" w:rsidR="00300D46" w:rsidRPr="00D65A97" w:rsidRDefault="00352281"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The Commission notes that beginning in 1994 </w:t>
      </w:r>
      <w:r w:rsidR="00300D46" w:rsidRPr="00D65A97">
        <w:rPr>
          <w:rFonts w:asciiTheme="majorHAnsi" w:hAnsiTheme="majorHAnsi"/>
          <w:sz w:val="20"/>
          <w:szCs w:val="20"/>
        </w:rPr>
        <w:t xml:space="preserve">Vicente Ariel Noguera </w:t>
      </w:r>
      <w:r>
        <w:rPr>
          <w:rFonts w:asciiTheme="majorHAnsi" w:hAnsiTheme="majorHAnsi"/>
          <w:sz w:val="20"/>
          <w:szCs w:val="20"/>
        </w:rPr>
        <w:t xml:space="preserve">was subject to </w:t>
      </w:r>
      <w:r w:rsidR="0030368F">
        <w:rPr>
          <w:rFonts w:asciiTheme="majorHAnsi" w:hAnsiTheme="majorHAnsi"/>
          <w:sz w:val="20"/>
          <w:szCs w:val="20"/>
        </w:rPr>
        <w:t xml:space="preserve">typical </w:t>
      </w:r>
      <w:r>
        <w:rPr>
          <w:rFonts w:asciiTheme="majorHAnsi" w:hAnsiTheme="majorHAnsi"/>
          <w:sz w:val="20"/>
          <w:szCs w:val="20"/>
        </w:rPr>
        <w:t>rules of a</w:t>
      </w:r>
      <w:r w:rsidR="0045434C">
        <w:rPr>
          <w:rFonts w:asciiTheme="majorHAnsi" w:hAnsiTheme="majorHAnsi"/>
          <w:sz w:val="20"/>
          <w:szCs w:val="20"/>
        </w:rPr>
        <w:t xml:space="preserve"> barracks-based</w:t>
      </w:r>
      <w:r>
        <w:rPr>
          <w:rFonts w:asciiTheme="majorHAnsi" w:hAnsiTheme="majorHAnsi"/>
          <w:sz w:val="20"/>
          <w:szCs w:val="20"/>
        </w:rPr>
        <w:t xml:space="preserve"> military training regime</w:t>
      </w:r>
      <w:r w:rsidR="00300D46" w:rsidRPr="00D65A97">
        <w:rPr>
          <w:rFonts w:asciiTheme="majorHAnsi" w:hAnsiTheme="majorHAnsi"/>
          <w:sz w:val="20"/>
          <w:szCs w:val="20"/>
        </w:rPr>
        <w:t xml:space="preserve">, </w:t>
      </w:r>
      <w:r w:rsidR="00A009C6">
        <w:rPr>
          <w:rFonts w:asciiTheme="majorHAnsi" w:hAnsiTheme="majorHAnsi"/>
          <w:sz w:val="20"/>
          <w:szCs w:val="20"/>
        </w:rPr>
        <w:t xml:space="preserve">where </w:t>
      </w:r>
      <w:r w:rsidR="00D02651">
        <w:rPr>
          <w:rFonts w:asciiTheme="majorHAnsi" w:hAnsiTheme="majorHAnsi"/>
          <w:sz w:val="20"/>
          <w:szCs w:val="20"/>
        </w:rPr>
        <w:t>demonstration of physical strength, hierarchical obedi</w:t>
      </w:r>
      <w:r w:rsidR="009337C7">
        <w:rPr>
          <w:rFonts w:asciiTheme="majorHAnsi" w:hAnsiTheme="majorHAnsi"/>
          <w:sz w:val="20"/>
          <w:szCs w:val="20"/>
        </w:rPr>
        <w:t>ence and physical punishment is</w:t>
      </w:r>
      <w:r w:rsidR="00D02651">
        <w:rPr>
          <w:rFonts w:asciiTheme="majorHAnsi" w:hAnsiTheme="majorHAnsi"/>
          <w:sz w:val="20"/>
          <w:szCs w:val="20"/>
        </w:rPr>
        <w:t xml:space="preserve"> very</w:t>
      </w:r>
      <w:r w:rsidR="00F24F7C">
        <w:rPr>
          <w:rFonts w:asciiTheme="majorHAnsi" w:hAnsiTheme="majorHAnsi"/>
          <w:sz w:val="20"/>
          <w:szCs w:val="20"/>
        </w:rPr>
        <w:t xml:space="preserve"> conspicuous</w:t>
      </w:r>
      <w:r w:rsidR="00F400D1">
        <w:rPr>
          <w:rFonts w:asciiTheme="majorHAnsi" w:hAnsiTheme="majorHAnsi"/>
          <w:sz w:val="20"/>
          <w:szCs w:val="20"/>
        </w:rPr>
        <w:t xml:space="preserve">. </w:t>
      </w:r>
      <w:r w:rsidR="00594A9F">
        <w:rPr>
          <w:rFonts w:asciiTheme="majorHAnsi" w:hAnsiTheme="majorHAnsi"/>
          <w:sz w:val="20"/>
          <w:szCs w:val="20"/>
        </w:rPr>
        <w:t>Taking into account the State’s</w:t>
      </w:r>
      <w:r w:rsidR="00A43091">
        <w:rPr>
          <w:rFonts w:asciiTheme="majorHAnsi" w:hAnsiTheme="majorHAnsi"/>
          <w:sz w:val="20"/>
          <w:szCs w:val="20"/>
        </w:rPr>
        <w:t xml:space="preserve"> duty of strict diligence with respect to children who perform military service</w:t>
      </w:r>
      <w:r w:rsidR="00515498">
        <w:rPr>
          <w:rFonts w:asciiTheme="majorHAnsi" w:hAnsiTheme="majorHAnsi"/>
          <w:sz w:val="20"/>
          <w:szCs w:val="20"/>
        </w:rPr>
        <w:t xml:space="preserve">, the Commission finds that over past two </w:t>
      </w:r>
      <w:r w:rsidR="00515498">
        <w:rPr>
          <w:rFonts w:asciiTheme="majorHAnsi" w:hAnsiTheme="majorHAnsi"/>
          <w:sz w:val="20"/>
          <w:szCs w:val="20"/>
        </w:rPr>
        <w:lastRenderedPageBreak/>
        <w:t xml:space="preserve">years of the life of Vicente </w:t>
      </w:r>
      <w:r w:rsidR="00300D46" w:rsidRPr="00D65A97">
        <w:rPr>
          <w:rFonts w:asciiTheme="majorHAnsi" w:hAnsiTheme="majorHAnsi"/>
          <w:sz w:val="20"/>
          <w:szCs w:val="20"/>
        </w:rPr>
        <w:t xml:space="preserve">Ariel Noguera, </w:t>
      </w:r>
      <w:r w:rsidR="009B2238">
        <w:rPr>
          <w:rFonts w:asciiTheme="majorHAnsi" w:hAnsiTheme="majorHAnsi"/>
          <w:sz w:val="20"/>
          <w:szCs w:val="20"/>
        </w:rPr>
        <w:t xml:space="preserve">during his military service, </w:t>
      </w:r>
      <w:r w:rsidR="002A01EC">
        <w:rPr>
          <w:rFonts w:asciiTheme="majorHAnsi" w:hAnsiTheme="majorHAnsi"/>
          <w:sz w:val="20"/>
          <w:szCs w:val="20"/>
        </w:rPr>
        <w:t xml:space="preserve">the State was the entity with the capacity to </w:t>
      </w:r>
      <w:r w:rsidR="004410E4">
        <w:rPr>
          <w:rFonts w:asciiTheme="majorHAnsi" w:hAnsiTheme="majorHAnsi"/>
          <w:sz w:val="20"/>
          <w:szCs w:val="20"/>
        </w:rPr>
        <w:t xml:space="preserve">know </w:t>
      </w:r>
      <w:r w:rsidR="002A01EC">
        <w:rPr>
          <w:rFonts w:asciiTheme="majorHAnsi" w:hAnsiTheme="majorHAnsi"/>
          <w:sz w:val="20"/>
          <w:szCs w:val="20"/>
        </w:rPr>
        <w:t>his true health</w:t>
      </w:r>
      <w:r w:rsidR="00A0394C">
        <w:rPr>
          <w:rFonts w:asciiTheme="majorHAnsi" w:hAnsiTheme="majorHAnsi"/>
          <w:sz w:val="20"/>
          <w:szCs w:val="20"/>
        </w:rPr>
        <w:t xml:space="preserve"> status, through a formative process whereby the alleged victim would be able to notify</w:t>
      </w:r>
      <w:r w:rsidR="009D5711">
        <w:rPr>
          <w:rFonts w:asciiTheme="majorHAnsi" w:hAnsiTheme="majorHAnsi"/>
          <w:sz w:val="20"/>
          <w:szCs w:val="20"/>
        </w:rPr>
        <w:t xml:space="preserve"> it</w:t>
      </w:r>
      <w:r w:rsidR="00A0394C">
        <w:rPr>
          <w:rFonts w:asciiTheme="majorHAnsi" w:hAnsiTheme="majorHAnsi"/>
          <w:sz w:val="20"/>
          <w:szCs w:val="20"/>
        </w:rPr>
        <w:t xml:space="preserve"> about the existence of a disease or</w:t>
      </w:r>
      <w:r w:rsidR="00DD4E74">
        <w:rPr>
          <w:rFonts w:asciiTheme="majorHAnsi" w:hAnsiTheme="majorHAnsi"/>
          <w:sz w:val="20"/>
          <w:szCs w:val="20"/>
        </w:rPr>
        <w:t xml:space="preserve"> ailment</w:t>
      </w:r>
      <w:r w:rsidR="00CF500E">
        <w:rPr>
          <w:rFonts w:asciiTheme="majorHAnsi" w:hAnsiTheme="majorHAnsi"/>
          <w:sz w:val="20"/>
          <w:szCs w:val="20"/>
        </w:rPr>
        <w:t xml:space="preserve"> without any fear of retaliation, as well as </w:t>
      </w:r>
      <w:r w:rsidR="00F807D9">
        <w:rPr>
          <w:rFonts w:asciiTheme="majorHAnsi" w:hAnsiTheme="majorHAnsi"/>
          <w:sz w:val="20"/>
          <w:szCs w:val="20"/>
        </w:rPr>
        <w:t xml:space="preserve">undergoing </w:t>
      </w:r>
      <w:r w:rsidR="00CF500E">
        <w:rPr>
          <w:rFonts w:asciiTheme="majorHAnsi" w:hAnsiTheme="majorHAnsi"/>
          <w:sz w:val="20"/>
          <w:szCs w:val="20"/>
        </w:rPr>
        <w:t xml:space="preserve">routine medical examinations. </w:t>
      </w:r>
      <w:r w:rsidR="005658AE">
        <w:rPr>
          <w:rFonts w:asciiTheme="majorHAnsi" w:hAnsiTheme="majorHAnsi"/>
          <w:sz w:val="20"/>
          <w:szCs w:val="20"/>
        </w:rPr>
        <w:t xml:space="preserve">Thus, the Commission finds that even if it accepts that there was a prior infection developing, the State did not demonstrate </w:t>
      </w:r>
      <w:r w:rsidR="00102356">
        <w:rPr>
          <w:rFonts w:asciiTheme="majorHAnsi" w:hAnsiTheme="majorHAnsi"/>
          <w:sz w:val="20"/>
          <w:szCs w:val="20"/>
        </w:rPr>
        <w:t xml:space="preserve">that it complied </w:t>
      </w:r>
      <w:r w:rsidR="005658AE">
        <w:rPr>
          <w:rFonts w:asciiTheme="majorHAnsi" w:hAnsiTheme="majorHAnsi"/>
          <w:sz w:val="20"/>
          <w:szCs w:val="20"/>
        </w:rPr>
        <w:t xml:space="preserve">with its duty of due diligence in diagnosing </w:t>
      </w:r>
      <w:r w:rsidR="00B240E5">
        <w:rPr>
          <w:rFonts w:asciiTheme="majorHAnsi" w:hAnsiTheme="majorHAnsi"/>
          <w:sz w:val="20"/>
          <w:szCs w:val="20"/>
        </w:rPr>
        <w:t xml:space="preserve">the situation and preventing the death. </w:t>
      </w:r>
    </w:p>
    <w:p w14:paraId="6ED1473F" w14:textId="77777777" w:rsidR="00300D46" w:rsidRPr="00D65A97" w:rsidRDefault="00300D46" w:rsidP="00300D46">
      <w:pPr>
        <w:pStyle w:val="ListParagraph"/>
        <w:ind w:firstLine="720"/>
        <w:rPr>
          <w:rFonts w:asciiTheme="majorHAnsi" w:hAnsiTheme="majorHAnsi"/>
          <w:b/>
          <w:sz w:val="20"/>
          <w:szCs w:val="20"/>
        </w:rPr>
      </w:pPr>
    </w:p>
    <w:p w14:paraId="6DA72D40" w14:textId="4B04263A" w:rsidR="00300D46" w:rsidRPr="00D65A97" w:rsidRDefault="00153EB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Thirdly, </w:t>
      </w:r>
      <w:r w:rsidR="005F08D1">
        <w:rPr>
          <w:rFonts w:asciiTheme="majorHAnsi" w:hAnsiTheme="majorHAnsi"/>
          <w:sz w:val="20"/>
          <w:szCs w:val="20"/>
        </w:rPr>
        <w:t xml:space="preserve">the Commission </w:t>
      </w:r>
      <w:r w:rsidR="005C4B8F">
        <w:rPr>
          <w:rFonts w:asciiTheme="majorHAnsi" w:hAnsiTheme="majorHAnsi"/>
          <w:sz w:val="20"/>
          <w:szCs w:val="20"/>
        </w:rPr>
        <w:t>finds that there are versions of the death of Vicente Ariel Noguera recounting excessive physical exercise the day before his death, as a result of punishment inflicted in the context of performance of military service. In the context of infringements of the lives and safety of</w:t>
      </w:r>
      <w:r w:rsidR="007465E9">
        <w:rPr>
          <w:rFonts w:asciiTheme="majorHAnsi" w:hAnsiTheme="majorHAnsi"/>
          <w:sz w:val="20"/>
          <w:szCs w:val="20"/>
        </w:rPr>
        <w:t xml:space="preserve"> </w:t>
      </w:r>
      <w:r w:rsidR="001A7A6B">
        <w:rPr>
          <w:rFonts w:asciiTheme="majorHAnsi" w:hAnsiTheme="majorHAnsi"/>
          <w:sz w:val="20"/>
          <w:szCs w:val="20"/>
        </w:rPr>
        <w:t xml:space="preserve">the </w:t>
      </w:r>
      <w:r w:rsidR="00CD45A1">
        <w:rPr>
          <w:rFonts w:asciiTheme="majorHAnsi" w:hAnsiTheme="majorHAnsi"/>
          <w:sz w:val="20"/>
          <w:szCs w:val="20"/>
        </w:rPr>
        <w:t xml:space="preserve">cadets </w:t>
      </w:r>
      <w:r w:rsidR="007465E9">
        <w:rPr>
          <w:rFonts w:asciiTheme="majorHAnsi" w:hAnsiTheme="majorHAnsi"/>
          <w:sz w:val="20"/>
          <w:szCs w:val="20"/>
        </w:rPr>
        <w:t>of the military service mentioned above and inasmuch as “descuereo” [</w:t>
      </w:r>
      <w:r w:rsidR="004E5CFD">
        <w:rPr>
          <w:rFonts w:asciiTheme="majorHAnsi" w:hAnsiTheme="majorHAnsi"/>
          <w:sz w:val="20"/>
          <w:szCs w:val="20"/>
        </w:rPr>
        <w:t>‘</w:t>
      </w:r>
      <w:r w:rsidR="007465E9">
        <w:rPr>
          <w:rFonts w:asciiTheme="majorHAnsi" w:hAnsiTheme="majorHAnsi"/>
          <w:sz w:val="20"/>
          <w:szCs w:val="20"/>
        </w:rPr>
        <w:t>roughing up</w:t>
      </w:r>
      <w:r w:rsidR="004E5CFD">
        <w:rPr>
          <w:rFonts w:asciiTheme="majorHAnsi" w:hAnsiTheme="majorHAnsi"/>
          <w:sz w:val="20"/>
          <w:szCs w:val="20"/>
        </w:rPr>
        <w:t>’</w:t>
      </w:r>
      <w:r w:rsidR="007465E9">
        <w:rPr>
          <w:rFonts w:asciiTheme="majorHAnsi" w:hAnsiTheme="majorHAnsi"/>
          <w:sz w:val="20"/>
          <w:szCs w:val="20"/>
        </w:rPr>
        <w:t xml:space="preserve">] is a common practice described in the </w:t>
      </w:r>
      <w:r w:rsidR="002D48DE">
        <w:rPr>
          <w:rFonts w:asciiTheme="majorHAnsi" w:hAnsiTheme="majorHAnsi"/>
          <w:sz w:val="20"/>
          <w:szCs w:val="20"/>
        </w:rPr>
        <w:t>testimonies of the corporals-in-</w:t>
      </w:r>
      <w:r w:rsidR="007465E9">
        <w:rPr>
          <w:rFonts w:asciiTheme="majorHAnsi" w:hAnsiTheme="majorHAnsi"/>
          <w:sz w:val="20"/>
          <w:szCs w:val="20"/>
        </w:rPr>
        <w:t>training</w:t>
      </w:r>
      <w:r w:rsidR="002D48DE">
        <w:rPr>
          <w:rFonts w:asciiTheme="majorHAnsi" w:hAnsiTheme="majorHAnsi"/>
          <w:sz w:val="20"/>
          <w:szCs w:val="20"/>
        </w:rPr>
        <w:t xml:space="preserve"> </w:t>
      </w:r>
      <w:r w:rsidR="007874EF">
        <w:rPr>
          <w:rFonts w:asciiTheme="majorHAnsi" w:hAnsiTheme="majorHAnsi"/>
          <w:sz w:val="20"/>
          <w:szCs w:val="20"/>
        </w:rPr>
        <w:t>(</w:t>
      </w:r>
      <w:r w:rsidR="002D48DE">
        <w:rPr>
          <w:rFonts w:asciiTheme="majorHAnsi" w:hAnsiTheme="majorHAnsi"/>
          <w:sz w:val="20"/>
          <w:szCs w:val="20"/>
        </w:rPr>
        <w:t>cadets</w:t>
      </w:r>
      <w:r w:rsidR="007874EF">
        <w:rPr>
          <w:rFonts w:asciiTheme="majorHAnsi" w:hAnsiTheme="majorHAnsi"/>
          <w:sz w:val="20"/>
          <w:szCs w:val="20"/>
        </w:rPr>
        <w:t>)</w:t>
      </w:r>
      <w:r w:rsidR="007465E9">
        <w:rPr>
          <w:rFonts w:asciiTheme="majorHAnsi" w:hAnsiTheme="majorHAnsi"/>
          <w:sz w:val="20"/>
          <w:szCs w:val="20"/>
        </w:rPr>
        <w:t xml:space="preserve">, as cited by the petitioner, the Commission highlights that the allegation of physical punishments in light of said context was not investigated. </w:t>
      </w:r>
      <w:r w:rsidR="006716A5">
        <w:rPr>
          <w:rFonts w:asciiTheme="majorHAnsi" w:hAnsiTheme="majorHAnsi"/>
          <w:sz w:val="20"/>
          <w:szCs w:val="20"/>
        </w:rPr>
        <w:t xml:space="preserve">Additionally, this case was not tied to other potential cases of abuses in this context at the specific barracks </w:t>
      </w:r>
      <w:r w:rsidR="00C070A5">
        <w:rPr>
          <w:rFonts w:asciiTheme="majorHAnsi" w:hAnsiTheme="majorHAnsi"/>
          <w:sz w:val="20"/>
          <w:szCs w:val="20"/>
        </w:rPr>
        <w:t xml:space="preserve">or in general. </w:t>
      </w:r>
      <w:r w:rsidR="008E3AB1">
        <w:rPr>
          <w:rFonts w:asciiTheme="majorHAnsi" w:hAnsiTheme="majorHAnsi"/>
          <w:sz w:val="20"/>
          <w:szCs w:val="20"/>
        </w:rPr>
        <w:t xml:space="preserve">Similarly, despite the specific </w:t>
      </w:r>
      <w:r w:rsidR="007839BC">
        <w:rPr>
          <w:rFonts w:asciiTheme="majorHAnsi" w:hAnsiTheme="majorHAnsi"/>
          <w:sz w:val="20"/>
          <w:szCs w:val="20"/>
        </w:rPr>
        <w:t xml:space="preserve">complaint of sexual violence made by </w:t>
      </w:r>
      <w:r w:rsidR="00300D46" w:rsidRPr="00D65A97">
        <w:rPr>
          <w:rFonts w:asciiTheme="majorHAnsi" w:hAnsiTheme="majorHAnsi"/>
          <w:sz w:val="20"/>
          <w:szCs w:val="20"/>
        </w:rPr>
        <w:t xml:space="preserve">María Noguera, </w:t>
      </w:r>
      <w:r w:rsidR="007839BC">
        <w:rPr>
          <w:rFonts w:asciiTheme="majorHAnsi" w:hAnsiTheme="majorHAnsi"/>
          <w:sz w:val="20"/>
          <w:szCs w:val="20"/>
        </w:rPr>
        <w:t>the Commission has not been able to identify that it had been investigated,</w:t>
      </w:r>
      <w:r w:rsidR="00BF5C60">
        <w:rPr>
          <w:rFonts w:asciiTheme="majorHAnsi" w:hAnsiTheme="majorHAnsi"/>
          <w:sz w:val="20"/>
          <w:szCs w:val="20"/>
        </w:rPr>
        <w:t xml:space="preserve"> given that the Order to Open a</w:t>
      </w:r>
      <w:r w:rsidR="007839BC">
        <w:rPr>
          <w:rFonts w:asciiTheme="majorHAnsi" w:hAnsiTheme="majorHAnsi"/>
          <w:sz w:val="20"/>
          <w:szCs w:val="20"/>
        </w:rPr>
        <w:t xml:space="preserve"> Preliminary Inquiry only dealt with the investigation into homicide, bodily harm and abuse of authority. </w:t>
      </w:r>
      <w:r w:rsidR="00E251BA">
        <w:rPr>
          <w:rFonts w:asciiTheme="majorHAnsi" w:hAnsiTheme="majorHAnsi"/>
          <w:sz w:val="20"/>
          <w:szCs w:val="20"/>
        </w:rPr>
        <w:t xml:space="preserve">The State has not refuted nor provided any evidence of having investigated with diligence whether </w:t>
      </w:r>
      <w:r w:rsidR="00300D46" w:rsidRPr="00D65A97">
        <w:rPr>
          <w:rFonts w:asciiTheme="majorHAnsi" w:hAnsiTheme="majorHAnsi"/>
          <w:sz w:val="20"/>
          <w:szCs w:val="20"/>
        </w:rPr>
        <w:t xml:space="preserve">Vicente Ariel Noguera </w:t>
      </w:r>
      <w:r w:rsidR="001A1D5A">
        <w:rPr>
          <w:rFonts w:asciiTheme="majorHAnsi" w:hAnsiTheme="majorHAnsi"/>
          <w:sz w:val="20"/>
          <w:szCs w:val="20"/>
        </w:rPr>
        <w:t xml:space="preserve">was subjected to punishment the day before his death. </w:t>
      </w:r>
    </w:p>
    <w:p w14:paraId="417FE9B6" w14:textId="77777777" w:rsidR="00300D46" w:rsidRPr="00D65A97" w:rsidRDefault="00300D46" w:rsidP="00300D46">
      <w:pPr>
        <w:ind w:firstLine="720"/>
        <w:jc w:val="both"/>
        <w:rPr>
          <w:rFonts w:asciiTheme="majorHAnsi" w:hAnsiTheme="majorHAnsi"/>
          <w:sz w:val="20"/>
          <w:szCs w:val="20"/>
        </w:rPr>
      </w:pPr>
    </w:p>
    <w:p w14:paraId="6335AF86" w14:textId="69453952" w:rsidR="00300D46" w:rsidRPr="00D65A97" w:rsidRDefault="007202E8"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Likewise, the Commission notes </w:t>
      </w:r>
      <w:r w:rsidR="002A1741">
        <w:rPr>
          <w:rFonts w:asciiTheme="majorHAnsi" w:hAnsiTheme="majorHAnsi"/>
          <w:sz w:val="20"/>
          <w:szCs w:val="20"/>
        </w:rPr>
        <w:t xml:space="preserve">that the mother, in her two letters addressed to the Office of the Prosecutor and in the formal private criminal complaint brought by her in </w:t>
      </w:r>
      <w:r w:rsidR="002474E7">
        <w:rPr>
          <w:rFonts w:asciiTheme="majorHAnsi" w:hAnsiTheme="majorHAnsi"/>
          <w:sz w:val="20"/>
          <w:szCs w:val="20"/>
        </w:rPr>
        <w:t>the ordinary juris</w:t>
      </w:r>
      <w:r w:rsidR="002A1741">
        <w:rPr>
          <w:rFonts w:asciiTheme="majorHAnsi" w:hAnsiTheme="majorHAnsi"/>
          <w:sz w:val="20"/>
          <w:szCs w:val="20"/>
        </w:rPr>
        <w:t xml:space="preserve">diction, indicates the possibility that the death of the alleged victim was the result of </w:t>
      </w:r>
      <w:r w:rsidR="0076152F">
        <w:rPr>
          <w:rFonts w:asciiTheme="majorHAnsi" w:hAnsiTheme="majorHAnsi"/>
          <w:sz w:val="20"/>
          <w:szCs w:val="20"/>
        </w:rPr>
        <w:t>an act of violence</w:t>
      </w:r>
      <w:r w:rsidR="002A1741">
        <w:rPr>
          <w:rFonts w:asciiTheme="majorHAnsi" w:hAnsiTheme="majorHAnsi"/>
          <w:sz w:val="20"/>
          <w:szCs w:val="20"/>
        </w:rPr>
        <w:t xml:space="preserve">. </w:t>
      </w:r>
      <w:r w:rsidR="00870782">
        <w:rPr>
          <w:rFonts w:asciiTheme="majorHAnsi" w:hAnsiTheme="majorHAnsi"/>
          <w:sz w:val="20"/>
          <w:szCs w:val="20"/>
        </w:rPr>
        <w:t xml:space="preserve">This situation </w:t>
      </w:r>
      <w:r w:rsidR="00A1025D">
        <w:rPr>
          <w:rFonts w:asciiTheme="majorHAnsi" w:hAnsiTheme="majorHAnsi"/>
          <w:sz w:val="20"/>
          <w:szCs w:val="20"/>
        </w:rPr>
        <w:t xml:space="preserve">is also documented by the local press, and at least one deputy gave recorded testimony that was introduced into the case file </w:t>
      </w:r>
      <w:r w:rsidR="00267648">
        <w:rPr>
          <w:rFonts w:asciiTheme="majorHAnsi" w:hAnsiTheme="majorHAnsi"/>
          <w:sz w:val="20"/>
          <w:szCs w:val="20"/>
        </w:rPr>
        <w:t xml:space="preserve">that he personally was aware of these parallel statements that described a violent death. </w:t>
      </w:r>
      <w:r w:rsidR="0031709A">
        <w:rPr>
          <w:rFonts w:asciiTheme="majorHAnsi" w:hAnsiTheme="majorHAnsi"/>
          <w:sz w:val="20"/>
          <w:szCs w:val="20"/>
        </w:rPr>
        <w:t>In these circumstances</w:t>
      </w:r>
      <w:r w:rsidR="00CD36E8">
        <w:rPr>
          <w:rFonts w:asciiTheme="majorHAnsi" w:hAnsiTheme="majorHAnsi"/>
          <w:sz w:val="20"/>
          <w:szCs w:val="20"/>
        </w:rPr>
        <w:t>, the Commission finds that in view of this information, it was the State’s duty to design and exhaust to the utmost the respective line of investigation</w:t>
      </w:r>
      <w:r w:rsidR="00533984">
        <w:rPr>
          <w:rFonts w:asciiTheme="majorHAnsi" w:hAnsiTheme="majorHAnsi"/>
          <w:sz w:val="20"/>
          <w:szCs w:val="20"/>
        </w:rPr>
        <w:t xml:space="preserve">, including </w:t>
      </w:r>
      <w:r w:rsidR="00B60CE0">
        <w:rPr>
          <w:rFonts w:asciiTheme="majorHAnsi" w:hAnsiTheme="majorHAnsi"/>
          <w:sz w:val="20"/>
          <w:szCs w:val="20"/>
        </w:rPr>
        <w:t xml:space="preserve">to provide </w:t>
      </w:r>
      <w:r w:rsidR="000B1319">
        <w:rPr>
          <w:rFonts w:asciiTheme="majorHAnsi" w:hAnsiTheme="majorHAnsi"/>
          <w:sz w:val="20"/>
          <w:szCs w:val="20"/>
        </w:rPr>
        <w:t>protection</w:t>
      </w:r>
      <w:r w:rsidR="00533984">
        <w:rPr>
          <w:rFonts w:asciiTheme="majorHAnsi" w:hAnsiTheme="majorHAnsi"/>
          <w:sz w:val="20"/>
          <w:szCs w:val="20"/>
        </w:rPr>
        <w:t xml:space="preserve"> so that the witnesses could </w:t>
      </w:r>
      <w:r w:rsidR="000B1319">
        <w:rPr>
          <w:rFonts w:asciiTheme="majorHAnsi" w:hAnsiTheme="majorHAnsi"/>
          <w:sz w:val="20"/>
          <w:szCs w:val="20"/>
        </w:rPr>
        <w:t xml:space="preserve">give </w:t>
      </w:r>
      <w:r w:rsidR="00533984">
        <w:rPr>
          <w:rFonts w:asciiTheme="majorHAnsi" w:hAnsiTheme="majorHAnsi"/>
          <w:sz w:val="20"/>
          <w:szCs w:val="20"/>
        </w:rPr>
        <w:t xml:space="preserve">statements without fear of retaliation or exposure to punishment, </w:t>
      </w:r>
      <w:r w:rsidR="00C23254">
        <w:rPr>
          <w:rFonts w:asciiTheme="majorHAnsi" w:hAnsiTheme="majorHAnsi"/>
          <w:sz w:val="20"/>
          <w:szCs w:val="20"/>
        </w:rPr>
        <w:t xml:space="preserve">and thus </w:t>
      </w:r>
      <w:r w:rsidR="00533984">
        <w:rPr>
          <w:rFonts w:asciiTheme="majorHAnsi" w:hAnsiTheme="majorHAnsi"/>
          <w:sz w:val="20"/>
          <w:szCs w:val="20"/>
        </w:rPr>
        <w:t>make it possible to either accept or rule out the parallel version circulating</w:t>
      </w:r>
      <w:r w:rsidR="00C23254">
        <w:rPr>
          <w:rFonts w:asciiTheme="majorHAnsi" w:hAnsiTheme="majorHAnsi"/>
          <w:sz w:val="20"/>
          <w:szCs w:val="20"/>
        </w:rPr>
        <w:t xml:space="preserve"> which</w:t>
      </w:r>
      <w:r w:rsidR="00533984">
        <w:rPr>
          <w:rFonts w:asciiTheme="majorHAnsi" w:hAnsiTheme="majorHAnsi"/>
          <w:sz w:val="20"/>
          <w:szCs w:val="20"/>
        </w:rPr>
        <w:t xml:space="preserve">, additionally, is consistent with the evidence of the good health and the absence of any symptoms of the alleged victim immediately </w:t>
      </w:r>
      <w:r w:rsidR="00111D22">
        <w:rPr>
          <w:rFonts w:asciiTheme="majorHAnsi" w:hAnsiTheme="majorHAnsi"/>
          <w:sz w:val="20"/>
          <w:szCs w:val="20"/>
        </w:rPr>
        <w:t>prior to his death, as well as the</w:t>
      </w:r>
      <w:r w:rsidR="00533984">
        <w:rPr>
          <w:rFonts w:asciiTheme="majorHAnsi" w:hAnsiTheme="majorHAnsi"/>
          <w:sz w:val="20"/>
          <w:szCs w:val="20"/>
        </w:rPr>
        <w:t xml:space="preserve"> particular context described above</w:t>
      </w:r>
      <w:r w:rsidR="00300D46" w:rsidRPr="00D65A97">
        <w:rPr>
          <w:rFonts w:asciiTheme="majorHAnsi" w:hAnsiTheme="majorHAnsi"/>
          <w:sz w:val="20"/>
          <w:szCs w:val="20"/>
        </w:rPr>
        <w:t xml:space="preserve">. </w:t>
      </w:r>
    </w:p>
    <w:p w14:paraId="1D9BA1AA" w14:textId="77777777" w:rsidR="00300D46" w:rsidRPr="00D65A97" w:rsidRDefault="00300D46" w:rsidP="00300D46">
      <w:pPr>
        <w:jc w:val="both"/>
        <w:rPr>
          <w:rFonts w:asciiTheme="majorHAnsi" w:hAnsiTheme="majorHAnsi"/>
          <w:b/>
          <w:sz w:val="20"/>
          <w:szCs w:val="20"/>
        </w:rPr>
      </w:pPr>
    </w:p>
    <w:p w14:paraId="7695C581" w14:textId="2776CD69" w:rsidR="00300D46" w:rsidRPr="00D65A97" w:rsidRDefault="00A7753C" w:rsidP="00A17B98">
      <w:pPr>
        <w:pStyle w:val="Heading3"/>
        <w:rPr>
          <w:lang w:val="en-US"/>
        </w:rPr>
      </w:pPr>
      <w:bookmarkStart w:id="21" w:name="_Toc506095181"/>
      <w:r>
        <w:rPr>
          <w:lang w:val="en-US"/>
        </w:rPr>
        <w:t>Conclusio</w:t>
      </w:r>
      <w:r w:rsidR="00300D46" w:rsidRPr="00D65A97">
        <w:rPr>
          <w:lang w:val="en-US"/>
        </w:rPr>
        <w:t>n</w:t>
      </w:r>
      <w:bookmarkEnd w:id="21"/>
    </w:p>
    <w:p w14:paraId="6AC6E264" w14:textId="77777777" w:rsidR="00300D46" w:rsidRPr="00D65A97" w:rsidRDefault="00300D46" w:rsidP="00300D46">
      <w:pPr>
        <w:ind w:left="630"/>
        <w:jc w:val="both"/>
        <w:rPr>
          <w:rFonts w:asciiTheme="majorHAnsi" w:hAnsiTheme="majorHAnsi"/>
          <w:b/>
          <w:sz w:val="20"/>
          <w:szCs w:val="20"/>
        </w:rPr>
      </w:pPr>
    </w:p>
    <w:p w14:paraId="6AE81255" w14:textId="2188ACDA" w:rsidR="00300D46" w:rsidRPr="00D65A97" w:rsidRDefault="009A3F6C"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Based on the foregoing conclusions, the Commission finds that the State of Paraguay did </w:t>
      </w:r>
      <w:r w:rsidR="00A425B3">
        <w:rPr>
          <w:rFonts w:asciiTheme="majorHAnsi" w:hAnsiTheme="majorHAnsi"/>
          <w:sz w:val="20"/>
          <w:szCs w:val="20"/>
        </w:rPr>
        <w:t>not provide</w:t>
      </w:r>
      <w:r>
        <w:rPr>
          <w:rFonts w:asciiTheme="majorHAnsi" w:hAnsiTheme="majorHAnsi"/>
          <w:sz w:val="20"/>
          <w:szCs w:val="20"/>
        </w:rPr>
        <w:t xml:space="preserve"> a satisfactory explanation for the death of the minor Vicente Ariel Noguera, who was under its custody and therefore, </w:t>
      </w:r>
      <w:r w:rsidR="00D00F25">
        <w:rPr>
          <w:rFonts w:asciiTheme="majorHAnsi" w:hAnsiTheme="majorHAnsi"/>
          <w:sz w:val="20"/>
          <w:szCs w:val="20"/>
        </w:rPr>
        <w:t>it has failed disprove</w:t>
      </w:r>
      <w:r>
        <w:rPr>
          <w:rFonts w:asciiTheme="majorHAnsi" w:hAnsiTheme="majorHAnsi"/>
          <w:sz w:val="20"/>
          <w:szCs w:val="20"/>
        </w:rPr>
        <w:t xml:space="preserve"> the pre</w:t>
      </w:r>
      <w:r w:rsidR="00D8206E">
        <w:rPr>
          <w:rFonts w:asciiTheme="majorHAnsi" w:hAnsiTheme="majorHAnsi"/>
          <w:sz w:val="20"/>
          <w:szCs w:val="20"/>
        </w:rPr>
        <w:t xml:space="preserve">sumption of responsibility for said death. </w:t>
      </w:r>
      <w:r w:rsidR="00306CB9">
        <w:rPr>
          <w:rFonts w:asciiTheme="majorHAnsi" w:hAnsiTheme="majorHAnsi"/>
          <w:sz w:val="20"/>
          <w:szCs w:val="20"/>
        </w:rPr>
        <w:t xml:space="preserve">Additionally, the Commission concludes that there is additional </w:t>
      </w:r>
      <w:r w:rsidR="005203B4">
        <w:rPr>
          <w:rFonts w:asciiTheme="majorHAnsi" w:hAnsiTheme="majorHAnsi"/>
          <w:sz w:val="20"/>
          <w:szCs w:val="20"/>
        </w:rPr>
        <w:t xml:space="preserve">consistent </w:t>
      </w:r>
      <w:r w:rsidR="00306CB9">
        <w:rPr>
          <w:rFonts w:asciiTheme="majorHAnsi" w:hAnsiTheme="majorHAnsi"/>
          <w:sz w:val="20"/>
          <w:szCs w:val="20"/>
        </w:rPr>
        <w:t>evidence, which strengthen</w:t>
      </w:r>
      <w:r w:rsidR="005203B4">
        <w:rPr>
          <w:rFonts w:asciiTheme="majorHAnsi" w:hAnsiTheme="majorHAnsi"/>
          <w:sz w:val="20"/>
          <w:szCs w:val="20"/>
        </w:rPr>
        <w:t>s</w:t>
      </w:r>
      <w:r w:rsidR="00306CB9">
        <w:rPr>
          <w:rFonts w:asciiTheme="majorHAnsi" w:hAnsiTheme="majorHAnsi"/>
          <w:sz w:val="20"/>
          <w:szCs w:val="20"/>
        </w:rPr>
        <w:t xml:space="preserve"> said conclusion in the specific case. </w:t>
      </w:r>
      <w:r w:rsidR="0080279B">
        <w:rPr>
          <w:rFonts w:asciiTheme="majorHAnsi" w:hAnsiTheme="majorHAnsi"/>
          <w:sz w:val="20"/>
          <w:szCs w:val="20"/>
        </w:rPr>
        <w:t>This evidence points to the</w:t>
      </w:r>
      <w:r w:rsidR="00A32CD0">
        <w:rPr>
          <w:rFonts w:asciiTheme="majorHAnsi" w:hAnsiTheme="majorHAnsi"/>
          <w:sz w:val="20"/>
          <w:szCs w:val="20"/>
        </w:rPr>
        <w:t xml:space="preserve"> death as a result of physical punishment and other abuses. </w:t>
      </w:r>
      <w:r w:rsidR="00491FCB">
        <w:rPr>
          <w:rFonts w:asciiTheme="majorHAnsi" w:hAnsiTheme="majorHAnsi"/>
          <w:sz w:val="20"/>
          <w:szCs w:val="20"/>
        </w:rPr>
        <w:t>For these reasons, in particular</w:t>
      </w:r>
      <w:r w:rsidR="005203B4">
        <w:rPr>
          <w:rFonts w:asciiTheme="majorHAnsi" w:hAnsiTheme="majorHAnsi"/>
          <w:sz w:val="20"/>
          <w:szCs w:val="20"/>
        </w:rPr>
        <w:t>,</w:t>
      </w:r>
      <w:r w:rsidR="00491FCB">
        <w:rPr>
          <w:rFonts w:asciiTheme="majorHAnsi" w:hAnsiTheme="majorHAnsi"/>
          <w:sz w:val="20"/>
          <w:szCs w:val="20"/>
        </w:rPr>
        <w:t xml:space="preserve"> ther</w:t>
      </w:r>
      <w:r w:rsidR="005203B4">
        <w:rPr>
          <w:rFonts w:asciiTheme="majorHAnsi" w:hAnsiTheme="majorHAnsi"/>
          <w:sz w:val="20"/>
          <w:szCs w:val="20"/>
        </w:rPr>
        <w:t>e were complaints</w:t>
      </w:r>
      <w:r w:rsidR="00491FCB">
        <w:rPr>
          <w:rFonts w:asciiTheme="majorHAnsi" w:hAnsiTheme="majorHAnsi"/>
          <w:sz w:val="20"/>
          <w:szCs w:val="20"/>
        </w:rPr>
        <w:t xml:space="preserve"> and several pieces of evidence that the death was caused by physical punishment and other abuses, and </w:t>
      </w:r>
      <w:r w:rsidR="005F55DE">
        <w:rPr>
          <w:rFonts w:asciiTheme="majorHAnsi" w:hAnsiTheme="majorHAnsi"/>
          <w:sz w:val="20"/>
          <w:szCs w:val="20"/>
        </w:rPr>
        <w:t xml:space="preserve">because </w:t>
      </w:r>
      <w:r w:rsidR="00491FCB">
        <w:rPr>
          <w:rFonts w:asciiTheme="majorHAnsi" w:hAnsiTheme="majorHAnsi"/>
          <w:sz w:val="20"/>
          <w:szCs w:val="20"/>
        </w:rPr>
        <w:t xml:space="preserve">the State has not offered an adequate explanation to </w:t>
      </w:r>
      <w:r w:rsidR="00A80EEB">
        <w:rPr>
          <w:rFonts w:asciiTheme="majorHAnsi" w:hAnsiTheme="majorHAnsi"/>
          <w:sz w:val="20"/>
          <w:szCs w:val="20"/>
        </w:rPr>
        <w:t xml:space="preserve">uncover the cause of </w:t>
      </w:r>
      <w:r w:rsidR="00491FCB">
        <w:rPr>
          <w:rFonts w:asciiTheme="majorHAnsi" w:hAnsiTheme="majorHAnsi"/>
          <w:sz w:val="20"/>
          <w:szCs w:val="20"/>
        </w:rPr>
        <w:t xml:space="preserve">the death and </w:t>
      </w:r>
      <w:r w:rsidR="00977665">
        <w:rPr>
          <w:rFonts w:asciiTheme="majorHAnsi" w:hAnsiTheme="majorHAnsi"/>
          <w:sz w:val="20"/>
          <w:szCs w:val="20"/>
        </w:rPr>
        <w:t xml:space="preserve">elucidate </w:t>
      </w:r>
      <w:r w:rsidR="00491FCB">
        <w:rPr>
          <w:rFonts w:asciiTheme="majorHAnsi" w:hAnsiTheme="majorHAnsi"/>
          <w:sz w:val="20"/>
          <w:szCs w:val="20"/>
        </w:rPr>
        <w:t xml:space="preserve">the </w:t>
      </w:r>
      <w:r w:rsidR="0041352F">
        <w:rPr>
          <w:rFonts w:asciiTheme="majorHAnsi" w:hAnsiTheme="majorHAnsi"/>
          <w:sz w:val="20"/>
          <w:szCs w:val="20"/>
        </w:rPr>
        <w:t xml:space="preserve">charges of </w:t>
      </w:r>
      <w:r w:rsidR="00491FCB">
        <w:rPr>
          <w:rFonts w:asciiTheme="majorHAnsi" w:hAnsiTheme="majorHAnsi"/>
          <w:sz w:val="20"/>
          <w:szCs w:val="20"/>
        </w:rPr>
        <w:t xml:space="preserve">abuses. </w:t>
      </w:r>
      <w:r w:rsidR="00560BAC">
        <w:rPr>
          <w:rFonts w:asciiTheme="majorHAnsi" w:hAnsiTheme="majorHAnsi"/>
          <w:sz w:val="20"/>
          <w:szCs w:val="20"/>
        </w:rPr>
        <w:t>Accordingly, the Commission finds the Paraguayan State violated the right to life, to humane treatment and the rights of the child established in Articles 4.1, 5.2 and 19 of the American Convention</w:t>
      </w:r>
      <w:r w:rsidR="00C70AF5">
        <w:rPr>
          <w:rFonts w:asciiTheme="majorHAnsi" w:hAnsiTheme="majorHAnsi"/>
          <w:sz w:val="20"/>
          <w:szCs w:val="20"/>
        </w:rPr>
        <w:t>,</w:t>
      </w:r>
      <w:r w:rsidR="00560BAC">
        <w:rPr>
          <w:rFonts w:asciiTheme="majorHAnsi" w:hAnsiTheme="majorHAnsi"/>
          <w:sz w:val="20"/>
          <w:szCs w:val="20"/>
        </w:rPr>
        <w:t xml:space="preserve"> in connection with its duties </w:t>
      </w:r>
      <w:r w:rsidR="00B31E18">
        <w:rPr>
          <w:rFonts w:asciiTheme="majorHAnsi" w:hAnsiTheme="majorHAnsi"/>
          <w:sz w:val="20"/>
          <w:szCs w:val="20"/>
        </w:rPr>
        <w:t xml:space="preserve">to respect and ensure enshrined in Article 1.1 of the same instrument to the detriment of Vicente Ariel Noguera. </w:t>
      </w:r>
    </w:p>
    <w:p w14:paraId="64143865" w14:textId="77777777" w:rsidR="00300D46" w:rsidRPr="00D65A97" w:rsidRDefault="00300D46" w:rsidP="00300D46">
      <w:pPr>
        <w:jc w:val="both"/>
        <w:rPr>
          <w:rFonts w:asciiTheme="majorHAnsi" w:hAnsiTheme="majorHAnsi"/>
          <w:b/>
          <w:sz w:val="20"/>
          <w:szCs w:val="20"/>
        </w:rPr>
      </w:pPr>
    </w:p>
    <w:p w14:paraId="76C45BB8" w14:textId="77777777" w:rsidR="00300D46" w:rsidRPr="00D65A97" w:rsidRDefault="00300D46" w:rsidP="00300D46">
      <w:pPr>
        <w:rPr>
          <w:rFonts w:asciiTheme="majorHAnsi" w:hAnsiTheme="majorHAnsi"/>
          <w:b/>
          <w:sz w:val="20"/>
          <w:szCs w:val="20"/>
        </w:rPr>
      </w:pPr>
      <w:bookmarkStart w:id="22" w:name="_Toc482341471"/>
      <w:r w:rsidRPr="00D65A97">
        <w:rPr>
          <w:rFonts w:asciiTheme="majorHAnsi" w:hAnsiTheme="majorHAnsi"/>
          <w:b/>
          <w:sz w:val="20"/>
          <w:szCs w:val="20"/>
        </w:rPr>
        <w:br w:type="page"/>
      </w:r>
    </w:p>
    <w:p w14:paraId="65FFAAA9" w14:textId="5FFBDECA" w:rsidR="00300D46" w:rsidRPr="00D65A97" w:rsidRDefault="002D37FA" w:rsidP="00A17B98">
      <w:pPr>
        <w:pStyle w:val="Heading2"/>
        <w:ind w:hanging="720"/>
      </w:pPr>
      <w:bookmarkStart w:id="23" w:name="_Toc506095182"/>
      <w:r>
        <w:lastRenderedPageBreak/>
        <w:t xml:space="preserve">The right to a fair trial and judicial protection (Articles </w:t>
      </w:r>
      <w:r w:rsidR="00300D46" w:rsidRPr="00D65A97">
        <w:t>8</w:t>
      </w:r>
      <w:r w:rsidR="009B2238">
        <w:t>.1</w:t>
      </w:r>
      <w:r w:rsidR="00300D46" w:rsidRPr="002D37FA">
        <w:rPr>
          <w:vertAlign w:val="superscript"/>
        </w:rPr>
        <w:footnoteReference w:id="66"/>
      </w:r>
      <w:r w:rsidRPr="002D37FA">
        <w:rPr>
          <w:vertAlign w:val="superscript"/>
        </w:rPr>
        <w:t xml:space="preserve"> </w:t>
      </w:r>
      <w:r>
        <w:t>and Article</w:t>
      </w:r>
      <w:r w:rsidR="00300D46" w:rsidRPr="00D65A97">
        <w:t xml:space="preserve"> 25.1</w:t>
      </w:r>
      <w:r w:rsidR="00300D46" w:rsidRPr="002D37FA">
        <w:rPr>
          <w:vertAlign w:val="superscript"/>
        </w:rPr>
        <w:footnoteReference w:id="67"/>
      </w:r>
      <w:r w:rsidR="00300D46" w:rsidRPr="00D65A97">
        <w:t>)</w:t>
      </w:r>
      <w:bookmarkEnd w:id="22"/>
      <w:r w:rsidR="00300D46" w:rsidRPr="00D65A97">
        <w:t xml:space="preserve"> </w:t>
      </w:r>
      <w:r>
        <w:t xml:space="preserve">in connection with Article </w:t>
      </w:r>
      <w:r w:rsidR="00300D46" w:rsidRPr="00D65A97">
        <w:t xml:space="preserve">1.1 </w:t>
      </w:r>
      <w:r>
        <w:t xml:space="preserve">of the American Convention </w:t>
      </w:r>
      <w:bookmarkEnd w:id="23"/>
    </w:p>
    <w:p w14:paraId="1C430950" w14:textId="77777777" w:rsidR="00300D46" w:rsidRPr="00D65A97" w:rsidRDefault="00300D46" w:rsidP="00300D46">
      <w:pPr>
        <w:ind w:left="1440" w:hanging="720"/>
        <w:rPr>
          <w:rFonts w:asciiTheme="majorHAnsi" w:hAnsiTheme="majorHAnsi"/>
          <w:b/>
          <w:sz w:val="20"/>
          <w:szCs w:val="20"/>
        </w:rPr>
      </w:pPr>
    </w:p>
    <w:p w14:paraId="52C8F576" w14:textId="01553410" w:rsidR="00300D46" w:rsidRPr="00D65A97" w:rsidRDefault="00E70C29" w:rsidP="00064655">
      <w:pPr>
        <w:pStyle w:val="Heading3"/>
        <w:numPr>
          <w:ilvl w:val="0"/>
          <w:numId w:val="62"/>
        </w:numPr>
        <w:ind w:hanging="720"/>
        <w:rPr>
          <w:lang w:val="en-US"/>
        </w:rPr>
      </w:pPr>
      <w:bookmarkStart w:id="24" w:name="_Toc506095183"/>
      <w:r>
        <w:rPr>
          <w:lang w:val="en-US"/>
        </w:rPr>
        <w:t>General considerations on the duty to investigate, military jurisdiction and reasonable period of time</w:t>
      </w:r>
      <w:bookmarkEnd w:id="24"/>
    </w:p>
    <w:p w14:paraId="027DA0F0" w14:textId="77777777" w:rsidR="00300D46" w:rsidRPr="00D65A97" w:rsidRDefault="00300D46" w:rsidP="00300D46">
      <w:pPr>
        <w:ind w:left="630"/>
        <w:jc w:val="both"/>
        <w:rPr>
          <w:rFonts w:asciiTheme="majorHAnsi" w:hAnsiTheme="majorHAnsi"/>
          <w:b/>
          <w:sz w:val="20"/>
          <w:szCs w:val="20"/>
        </w:rPr>
      </w:pPr>
    </w:p>
    <w:p w14:paraId="2893CE56" w14:textId="5FE3AE38" w:rsidR="00300D46" w:rsidRPr="00D65A97" w:rsidRDefault="000C134A"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rPr>
      </w:pPr>
      <w:r>
        <w:rPr>
          <w:rFonts w:asciiTheme="majorHAnsi" w:hAnsiTheme="majorHAnsi" w:cs="Verdana"/>
          <w:sz w:val="20"/>
          <w:szCs w:val="20"/>
        </w:rPr>
        <w:t xml:space="preserve">The Commission will </w:t>
      </w:r>
      <w:r w:rsidR="00903834">
        <w:rPr>
          <w:rFonts w:asciiTheme="majorHAnsi" w:hAnsiTheme="majorHAnsi" w:cs="Verdana"/>
          <w:sz w:val="20"/>
          <w:szCs w:val="20"/>
        </w:rPr>
        <w:t xml:space="preserve">now </w:t>
      </w:r>
      <w:r w:rsidR="00704311">
        <w:rPr>
          <w:rFonts w:asciiTheme="majorHAnsi" w:hAnsiTheme="majorHAnsi" w:cs="Verdana"/>
          <w:sz w:val="20"/>
          <w:szCs w:val="20"/>
        </w:rPr>
        <w:t xml:space="preserve">proceed to </w:t>
      </w:r>
      <w:r>
        <w:rPr>
          <w:rFonts w:asciiTheme="majorHAnsi" w:hAnsiTheme="majorHAnsi" w:cs="Verdana"/>
          <w:sz w:val="20"/>
          <w:szCs w:val="20"/>
        </w:rPr>
        <w:t xml:space="preserve">address previously-established standards in the Inter-American system </w:t>
      </w:r>
      <w:r w:rsidR="004732DA">
        <w:rPr>
          <w:rFonts w:asciiTheme="majorHAnsi" w:hAnsiTheme="majorHAnsi" w:cs="Verdana"/>
          <w:sz w:val="20"/>
          <w:szCs w:val="20"/>
        </w:rPr>
        <w:t xml:space="preserve">regarding </w:t>
      </w:r>
      <w:r>
        <w:rPr>
          <w:rFonts w:asciiTheme="majorHAnsi" w:hAnsiTheme="majorHAnsi" w:cs="Verdana"/>
          <w:sz w:val="20"/>
          <w:szCs w:val="20"/>
        </w:rPr>
        <w:t>the investigation of human right</w:t>
      </w:r>
      <w:r w:rsidR="005C7D5C">
        <w:rPr>
          <w:rFonts w:asciiTheme="majorHAnsi" w:hAnsiTheme="majorHAnsi" w:cs="Verdana"/>
          <w:sz w:val="20"/>
          <w:szCs w:val="20"/>
        </w:rPr>
        <w:t>s violations by military courts,</w:t>
      </w:r>
      <w:r>
        <w:rPr>
          <w:rFonts w:asciiTheme="majorHAnsi" w:hAnsiTheme="majorHAnsi" w:cs="Verdana"/>
          <w:sz w:val="20"/>
          <w:szCs w:val="20"/>
        </w:rPr>
        <w:t xml:space="preserve"> conducting investigations in cases of the death of persons under the custody of the State</w:t>
      </w:r>
      <w:r w:rsidR="005C7D5C">
        <w:rPr>
          <w:rFonts w:asciiTheme="majorHAnsi" w:hAnsiTheme="majorHAnsi" w:cs="Verdana"/>
          <w:sz w:val="20"/>
          <w:szCs w:val="20"/>
        </w:rPr>
        <w:t>,</w:t>
      </w:r>
      <w:r>
        <w:rPr>
          <w:rFonts w:asciiTheme="majorHAnsi" w:hAnsiTheme="majorHAnsi" w:cs="Verdana"/>
          <w:sz w:val="20"/>
          <w:szCs w:val="20"/>
        </w:rPr>
        <w:t xml:space="preserve"> and the criteria to determine a reasonable </w:t>
      </w:r>
      <w:r w:rsidR="00F56B61">
        <w:rPr>
          <w:rFonts w:asciiTheme="majorHAnsi" w:hAnsiTheme="majorHAnsi" w:cs="Verdana"/>
          <w:sz w:val="20"/>
          <w:szCs w:val="20"/>
        </w:rPr>
        <w:t xml:space="preserve">length of </w:t>
      </w:r>
      <w:r>
        <w:rPr>
          <w:rFonts w:asciiTheme="majorHAnsi" w:hAnsiTheme="majorHAnsi" w:cs="Verdana"/>
          <w:sz w:val="20"/>
          <w:szCs w:val="20"/>
        </w:rPr>
        <w:t xml:space="preserve">time for an investigation and a judicial proceeding. </w:t>
      </w:r>
    </w:p>
    <w:p w14:paraId="495F8718" w14:textId="77777777" w:rsidR="00300D46" w:rsidRPr="00D65A97" w:rsidRDefault="00300D46" w:rsidP="00300D46">
      <w:pPr>
        <w:ind w:left="360" w:firstLine="720"/>
        <w:jc w:val="both"/>
        <w:rPr>
          <w:rFonts w:asciiTheme="majorHAnsi" w:hAnsiTheme="majorHAnsi" w:cs="Verdana"/>
          <w:sz w:val="20"/>
          <w:szCs w:val="20"/>
        </w:rPr>
      </w:pPr>
    </w:p>
    <w:p w14:paraId="70CE89FE" w14:textId="464DC436" w:rsidR="00300D46" w:rsidRPr="00D65A97" w:rsidRDefault="007B2B49"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cs="Verdana"/>
          <w:sz w:val="20"/>
          <w:szCs w:val="20"/>
        </w:rPr>
        <w:t xml:space="preserve">The Commission recalls that special jurisdictions, such as </w:t>
      </w:r>
      <w:r w:rsidR="00DB3238">
        <w:rPr>
          <w:rFonts w:asciiTheme="majorHAnsi" w:hAnsiTheme="majorHAnsi" w:cs="Verdana"/>
          <w:sz w:val="20"/>
          <w:szCs w:val="20"/>
        </w:rPr>
        <w:t xml:space="preserve">military </w:t>
      </w:r>
      <w:r w:rsidR="00FD65F1">
        <w:rPr>
          <w:rFonts w:asciiTheme="majorHAnsi" w:hAnsiTheme="majorHAnsi" w:cs="Verdana"/>
          <w:sz w:val="20"/>
          <w:szCs w:val="20"/>
        </w:rPr>
        <w:t xml:space="preserve">criminal </w:t>
      </w:r>
      <w:r w:rsidR="00DB3238">
        <w:rPr>
          <w:rFonts w:asciiTheme="majorHAnsi" w:hAnsiTheme="majorHAnsi" w:cs="Verdana"/>
          <w:sz w:val="20"/>
          <w:szCs w:val="20"/>
        </w:rPr>
        <w:t>courts</w:t>
      </w:r>
      <w:r>
        <w:rPr>
          <w:rFonts w:asciiTheme="majorHAnsi" w:hAnsiTheme="majorHAnsi" w:cs="Verdana"/>
          <w:sz w:val="20"/>
          <w:szCs w:val="20"/>
        </w:rPr>
        <w:t xml:space="preserve">, must have a restrictive and exceptional scope and be aimed at the protection of special legal interests, </w:t>
      </w:r>
      <w:r w:rsidR="008B2328">
        <w:rPr>
          <w:rFonts w:asciiTheme="majorHAnsi" w:hAnsiTheme="majorHAnsi" w:cs="Verdana"/>
          <w:sz w:val="20"/>
          <w:szCs w:val="20"/>
        </w:rPr>
        <w:t xml:space="preserve">which </w:t>
      </w:r>
      <w:r w:rsidR="00DB3238">
        <w:rPr>
          <w:rFonts w:asciiTheme="majorHAnsi" w:hAnsiTheme="majorHAnsi" w:cs="Verdana"/>
          <w:sz w:val="20"/>
          <w:szCs w:val="20"/>
        </w:rPr>
        <w:t xml:space="preserve">are tied </w:t>
      </w:r>
      <w:r>
        <w:rPr>
          <w:rFonts w:asciiTheme="majorHAnsi" w:hAnsiTheme="majorHAnsi" w:cs="Verdana"/>
          <w:sz w:val="20"/>
          <w:szCs w:val="20"/>
        </w:rPr>
        <w:t>to the</w:t>
      </w:r>
      <w:r w:rsidR="00DB3238">
        <w:rPr>
          <w:rFonts w:asciiTheme="majorHAnsi" w:hAnsiTheme="majorHAnsi" w:cs="Verdana"/>
          <w:sz w:val="20"/>
          <w:szCs w:val="20"/>
        </w:rPr>
        <w:t xml:space="preserve"> armed forces themselves.</w:t>
      </w:r>
      <w:r w:rsidR="00300D46" w:rsidRPr="00D65A97">
        <w:rPr>
          <w:rStyle w:val="FootnoteReference"/>
          <w:rFonts w:asciiTheme="majorHAnsi" w:hAnsiTheme="majorHAnsi"/>
          <w:sz w:val="20"/>
          <w:szCs w:val="20"/>
        </w:rPr>
        <w:footnoteReference w:id="68"/>
      </w:r>
      <w:r w:rsidR="008B2328">
        <w:rPr>
          <w:rFonts w:asciiTheme="majorHAnsi" w:hAnsiTheme="majorHAnsi"/>
          <w:sz w:val="20"/>
          <w:szCs w:val="20"/>
        </w:rPr>
        <w:t xml:space="preserve"> Similarly, the Inter-American Court has held that when it comes to special jurisdictions, such as military courts, only active soldiers shall be prosecuted within military jurisdiction “for the commission of crimes or offenses that based on their own nature threaten the juridical rights of the military order itself.”</w:t>
      </w:r>
      <w:r w:rsidR="00300D46" w:rsidRPr="00D65A97">
        <w:rPr>
          <w:rStyle w:val="FootnoteReference"/>
          <w:rFonts w:asciiTheme="majorHAnsi" w:hAnsiTheme="majorHAnsi"/>
          <w:sz w:val="20"/>
          <w:szCs w:val="20"/>
        </w:rPr>
        <w:footnoteReference w:id="69"/>
      </w:r>
      <w:r w:rsidR="00300D46" w:rsidRPr="00D65A97">
        <w:rPr>
          <w:rFonts w:asciiTheme="majorHAnsi" w:hAnsiTheme="majorHAnsi"/>
          <w:sz w:val="20"/>
          <w:szCs w:val="20"/>
        </w:rPr>
        <w:t xml:space="preserve"> </w:t>
      </w:r>
      <w:r w:rsidR="008B2328">
        <w:rPr>
          <w:rFonts w:asciiTheme="majorHAnsi" w:hAnsiTheme="majorHAnsi"/>
          <w:sz w:val="20"/>
          <w:szCs w:val="20"/>
        </w:rPr>
        <w:t>In short, human rights violations must be investigated, tried and punished according to the law by ordinary criminal courts.</w:t>
      </w:r>
      <w:r w:rsidR="00300D46" w:rsidRPr="00D65A97">
        <w:rPr>
          <w:rStyle w:val="FootnoteReference"/>
          <w:rFonts w:asciiTheme="majorHAnsi" w:hAnsiTheme="majorHAnsi" w:cs="Verdana"/>
          <w:sz w:val="20"/>
          <w:szCs w:val="20"/>
        </w:rPr>
        <w:footnoteReference w:id="70"/>
      </w:r>
      <w:r w:rsidR="00300D46" w:rsidRPr="00D65A97">
        <w:rPr>
          <w:rFonts w:asciiTheme="majorHAnsi" w:hAnsiTheme="majorHAnsi" w:cs="Verdana"/>
          <w:sz w:val="20"/>
          <w:szCs w:val="20"/>
        </w:rPr>
        <w:t xml:space="preserve"> </w:t>
      </w:r>
    </w:p>
    <w:p w14:paraId="3E90D327" w14:textId="77777777" w:rsidR="00300D46" w:rsidRPr="00D65A97" w:rsidRDefault="00300D46" w:rsidP="00300D46">
      <w:pPr>
        <w:ind w:left="360" w:firstLine="720"/>
        <w:jc w:val="both"/>
        <w:rPr>
          <w:rFonts w:asciiTheme="majorHAnsi" w:hAnsiTheme="majorHAnsi" w:cs="Verdana"/>
          <w:sz w:val="20"/>
          <w:szCs w:val="20"/>
        </w:rPr>
      </w:pPr>
    </w:p>
    <w:p w14:paraId="55015F00" w14:textId="77D76E1F" w:rsidR="00300D46" w:rsidRPr="00D65A97" w:rsidRDefault="008A33F0"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rPr>
      </w:pPr>
      <w:r>
        <w:rPr>
          <w:rFonts w:asciiTheme="majorHAnsi" w:hAnsiTheme="majorHAnsi" w:cs="Verdana"/>
          <w:sz w:val="20"/>
          <w:szCs w:val="20"/>
        </w:rPr>
        <w:t>Additionally, the Inter-American Court has held that in case</w:t>
      </w:r>
      <w:r w:rsidR="005D2AE6">
        <w:rPr>
          <w:rFonts w:asciiTheme="majorHAnsi" w:hAnsiTheme="majorHAnsi" w:cs="Verdana"/>
          <w:sz w:val="20"/>
          <w:szCs w:val="20"/>
        </w:rPr>
        <w:t>s</w:t>
      </w:r>
      <w:r>
        <w:rPr>
          <w:rFonts w:asciiTheme="majorHAnsi" w:hAnsiTheme="majorHAnsi" w:cs="Verdana"/>
          <w:sz w:val="20"/>
          <w:szCs w:val="20"/>
        </w:rPr>
        <w:t xml:space="preserve"> of the investigation into the death of a person who was in State custody, the corresponding authorities </w:t>
      </w:r>
      <w:r w:rsidR="00E424C7">
        <w:rPr>
          <w:rFonts w:asciiTheme="majorHAnsi" w:hAnsiTheme="majorHAnsi" w:cs="Verdana"/>
          <w:sz w:val="20"/>
          <w:szCs w:val="20"/>
        </w:rPr>
        <w:t xml:space="preserve">must initiate </w:t>
      </w:r>
      <w:r w:rsidR="00E424C7">
        <w:rPr>
          <w:rFonts w:asciiTheme="majorHAnsi" w:hAnsiTheme="majorHAnsi" w:cs="Verdana"/>
          <w:i/>
          <w:sz w:val="20"/>
          <w:szCs w:val="20"/>
        </w:rPr>
        <w:t xml:space="preserve">ex officio </w:t>
      </w:r>
      <w:r w:rsidR="00E424C7">
        <w:rPr>
          <w:rFonts w:asciiTheme="majorHAnsi" w:hAnsiTheme="majorHAnsi" w:cs="Verdana"/>
          <w:sz w:val="20"/>
          <w:szCs w:val="20"/>
        </w:rPr>
        <w:t>and without delay</w:t>
      </w:r>
      <w:r w:rsidR="00931891">
        <w:rPr>
          <w:rFonts w:asciiTheme="majorHAnsi" w:hAnsiTheme="majorHAnsi" w:cs="Verdana"/>
          <w:sz w:val="20"/>
          <w:szCs w:val="20"/>
        </w:rPr>
        <w:t xml:space="preserve">, a serious, impartial, and effective investigation. </w:t>
      </w:r>
      <w:r w:rsidR="003A374D">
        <w:rPr>
          <w:rFonts w:asciiTheme="majorHAnsi" w:hAnsiTheme="majorHAnsi" w:cs="Verdana"/>
          <w:sz w:val="20"/>
          <w:szCs w:val="20"/>
        </w:rPr>
        <w:t>Pursuant to the Court’s legal precedents, “this investigation must be conducted using all available legal means to determine the truth and to investigate, prosecute and punish all those responsible for the facts, especially when State agents are or may be involved.</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71"/>
      </w:r>
      <w:r w:rsidR="003A374D">
        <w:rPr>
          <w:rFonts w:asciiTheme="majorHAnsi" w:hAnsiTheme="majorHAnsi"/>
          <w:sz w:val="20"/>
          <w:szCs w:val="20"/>
        </w:rPr>
        <w:t xml:space="preserve"> </w:t>
      </w:r>
      <w:r w:rsidR="00300D46" w:rsidRPr="00D65A97">
        <w:rPr>
          <w:rFonts w:asciiTheme="majorHAnsi" w:hAnsiTheme="majorHAnsi"/>
          <w:sz w:val="20"/>
          <w:szCs w:val="20"/>
        </w:rPr>
        <w:t xml:space="preserve">  </w:t>
      </w:r>
      <w:r w:rsidR="003A374D">
        <w:rPr>
          <w:rFonts w:asciiTheme="majorHAnsi" w:hAnsiTheme="majorHAnsi"/>
          <w:sz w:val="20"/>
          <w:szCs w:val="20"/>
        </w:rPr>
        <w:t xml:space="preserve">Accordingly, the duty to investigate </w:t>
      </w:r>
      <w:r w:rsidR="00B03A0E">
        <w:rPr>
          <w:rFonts w:asciiTheme="majorHAnsi" w:hAnsiTheme="majorHAnsi"/>
          <w:sz w:val="20"/>
          <w:szCs w:val="20"/>
        </w:rPr>
        <w:t xml:space="preserve">must be undertaken in a serious manner and not as a mere formality preordained </w:t>
      </w:r>
      <w:r w:rsidR="00A44371">
        <w:rPr>
          <w:rFonts w:asciiTheme="majorHAnsi" w:hAnsiTheme="majorHAnsi"/>
          <w:sz w:val="20"/>
          <w:szCs w:val="20"/>
        </w:rPr>
        <w:t xml:space="preserve">to be ineffective </w:t>
      </w:r>
      <w:r w:rsidR="00E24320">
        <w:rPr>
          <w:rFonts w:asciiTheme="majorHAnsi" w:hAnsiTheme="majorHAnsi"/>
          <w:sz w:val="20"/>
          <w:szCs w:val="20"/>
        </w:rPr>
        <w:t>and it must have an objective and be assumed by the State as its own legal duty, not as a step taken by private interests.</w:t>
      </w:r>
      <w:r w:rsidR="00300D46" w:rsidRPr="00D65A97">
        <w:rPr>
          <w:rStyle w:val="FootnoteReference"/>
          <w:rFonts w:asciiTheme="majorHAnsi" w:hAnsiTheme="majorHAnsi"/>
          <w:sz w:val="20"/>
          <w:szCs w:val="20"/>
        </w:rPr>
        <w:footnoteReference w:id="72"/>
      </w:r>
    </w:p>
    <w:p w14:paraId="30A6690E" w14:textId="77777777" w:rsidR="00300D46" w:rsidRPr="00D65A97" w:rsidRDefault="00300D46" w:rsidP="00300D46">
      <w:pPr>
        <w:pStyle w:val="ListParagraph"/>
        <w:ind w:firstLine="720"/>
        <w:rPr>
          <w:rFonts w:asciiTheme="majorHAnsi" w:hAnsiTheme="majorHAnsi" w:cs="Verdana"/>
          <w:sz w:val="20"/>
          <w:szCs w:val="20"/>
        </w:rPr>
      </w:pPr>
    </w:p>
    <w:p w14:paraId="7B1900B2" w14:textId="2245BE24" w:rsidR="00300D46" w:rsidRPr="00D65A97" w:rsidRDefault="00AC0C8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rPr>
      </w:pPr>
      <w:r>
        <w:rPr>
          <w:rFonts w:asciiTheme="majorHAnsi" w:hAnsiTheme="majorHAnsi" w:cs="Verdana"/>
          <w:sz w:val="20"/>
          <w:szCs w:val="20"/>
        </w:rPr>
        <w:t>In this same vein, for the purpose of ensu</w:t>
      </w:r>
      <w:r w:rsidR="00ED6039">
        <w:rPr>
          <w:rFonts w:asciiTheme="majorHAnsi" w:hAnsiTheme="majorHAnsi" w:cs="Verdana"/>
          <w:sz w:val="20"/>
          <w:szCs w:val="20"/>
        </w:rPr>
        <w:t>ring due diligence in conducting</w:t>
      </w:r>
      <w:r>
        <w:rPr>
          <w:rFonts w:asciiTheme="majorHAnsi" w:hAnsiTheme="majorHAnsi" w:cs="Verdana"/>
          <w:sz w:val="20"/>
          <w:szCs w:val="20"/>
        </w:rPr>
        <w:t xml:space="preserve"> an exhaustive and impartial investigation into a death in dubious circumstances, involving agents of the State, the Commission underscores a few standards of the Minnesota Protocol, an instrument establishing </w:t>
      </w:r>
      <w:r w:rsidR="00056FC6">
        <w:rPr>
          <w:rFonts w:asciiTheme="majorHAnsi" w:hAnsiTheme="majorHAnsi" w:cs="Verdana"/>
          <w:sz w:val="20"/>
          <w:szCs w:val="20"/>
        </w:rPr>
        <w:t>mi</w:t>
      </w:r>
      <w:r w:rsidR="00446A8A">
        <w:rPr>
          <w:rFonts w:asciiTheme="majorHAnsi" w:hAnsiTheme="majorHAnsi" w:cs="Verdana"/>
          <w:sz w:val="20"/>
          <w:szCs w:val="20"/>
        </w:rPr>
        <w:t>nimum investigatory requirements such as</w:t>
      </w:r>
      <w:r w:rsidR="00300D46" w:rsidRPr="00D65A97">
        <w:rPr>
          <w:rFonts w:asciiTheme="majorHAnsi" w:hAnsiTheme="majorHAnsi" w:cs="Tahoma"/>
          <w:color w:val="000000"/>
          <w:sz w:val="20"/>
          <w:szCs w:val="20"/>
        </w:rPr>
        <w:t xml:space="preserve">: </w:t>
      </w:r>
      <w:r w:rsidR="007A581D">
        <w:rPr>
          <w:rFonts w:asciiTheme="majorHAnsi" w:hAnsiTheme="majorHAnsi" w:cs="Tahoma"/>
          <w:color w:val="000000"/>
          <w:sz w:val="20"/>
          <w:szCs w:val="20"/>
        </w:rPr>
        <w:t xml:space="preserve">identification of </w:t>
      </w:r>
      <w:r w:rsidR="00CA363D">
        <w:rPr>
          <w:rFonts w:asciiTheme="majorHAnsi" w:hAnsiTheme="majorHAnsi" w:cs="Tahoma"/>
          <w:color w:val="000000"/>
          <w:sz w:val="20"/>
          <w:szCs w:val="20"/>
        </w:rPr>
        <w:t>the victim, collection and preservation of evidence</w:t>
      </w:r>
      <w:r w:rsidR="007A581D">
        <w:rPr>
          <w:rFonts w:asciiTheme="majorHAnsi" w:hAnsiTheme="majorHAnsi" w:cs="Tahoma"/>
          <w:color w:val="000000"/>
          <w:sz w:val="20"/>
          <w:szCs w:val="20"/>
        </w:rPr>
        <w:t xml:space="preserve"> related to the death in order to aid in potential prosecution of those responsible, identification of</w:t>
      </w:r>
      <w:r w:rsidR="00003BB4">
        <w:rPr>
          <w:rFonts w:asciiTheme="majorHAnsi" w:hAnsiTheme="majorHAnsi" w:cs="Tahoma"/>
          <w:color w:val="000000"/>
          <w:sz w:val="20"/>
          <w:szCs w:val="20"/>
        </w:rPr>
        <w:t xml:space="preserve"> potential witnesses</w:t>
      </w:r>
      <w:r w:rsidR="00CD1354">
        <w:rPr>
          <w:rFonts w:asciiTheme="majorHAnsi" w:hAnsiTheme="majorHAnsi" w:cs="Tahoma"/>
          <w:color w:val="000000"/>
          <w:sz w:val="20"/>
          <w:szCs w:val="20"/>
        </w:rPr>
        <w:t xml:space="preserve"> and taking their statements in relation to the death, determination of the cause, manner, place and time of death, as well as any pattern or practice that may have provoked the death, differentiation between natural death, suicide and homicide, identification and apprehension of the individuals involved </w:t>
      </w:r>
      <w:r w:rsidR="00333F0E">
        <w:rPr>
          <w:rFonts w:asciiTheme="majorHAnsi" w:hAnsiTheme="majorHAnsi" w:cs="Tahoma"/>
          <w:color w:val="000000"/>
          <w:sz w:val="20"/>
          <w:szCs w:val="20"/>
        </w:rPr>
        <w:t>in the death and bringing the alleged perpetrators before a competent court established by law.</w:t>
      </w:r>
      <w:r w:rsidR="00300D46" w:rsidRPr="00D65A97">
        <w:rPr>
          <w:rStyle w:val="FootnoteReference"/>
          <w:rFonts w:asciiTheme="majorHAnsi" w:hAnsiTheme="majorHAnsi"/>
          <w:sz w:val="20"/>
          <w:szCs w:val="20"/>
        </w:rPr>
        <w:footnoteReference w:id="73"/>
      </w:r>
      <w:r w:rsidR="000810BB">
        <w:rPr>
          <w:rFonts w:asciiTheme="majorHAnsi" w:hAnsiTheme="majorHAnsi"/>
          <w:sz w:val="20"/>
          <w:szCs w:val="20"/>
        </w:rPr>
        <w:t xml:space="preserve"> </w:t>
      </w:r>
      <w:r w:rsidR="00300D46" w:rsidRPr="00D65A97">
        <w:rPr>
          <w:rFonts w:asciiTheme="majorHAnsi" w:hAnsiTheme="majorHAnsi"/>
          <w:sz w:val="20"/>
          <w:szCs w:val="20"/>
        </w:rPr>
        <w:t xml:space="preserve"> </w:t>
      </w:r>
      <w:r w:rsidR="00034DEF">
        <w:rPr>
          <w:rFonts w:asciiTheme="majorHAnsi" w:hAnsiTheme="majorHAnsi"/>
          <w:sz w:val="20"/>
          <w:szCs w:val="20"/>
        </w:rPr>
        <w:t xml:space="preserve">In accordance with these standards, “When necessary, and subject to the consent of the individuals(s) concerned, investigators should take steps </w:t>
      </w:r>
      <w:r w:rsidR="00034DEF">
        <w:rPr>
          <w:rFonts w:asciiTheme="majorHAnsi" w:hAnsiTheme="majorHAnsi"/>
          <w:sz w:val="20"/>
          <w:szCs w:val="20"/>
        </w:rPr>
        <w:lastRenderedPageBreak/>
        <w:t>to protect an interviewee and others from ill-treatment or intimidation as a consequence of providing information.</w:t>
      </w:r>
      <w:r w:rsidR="00300D46" w:rsidRPr="00D65A97">
        <w:rPr>
          <w:rFonts w:asciiTheme="majorHAnsi" w:hAnsiTheme="majorHAnsi" w:cs="Verdana"/>
          <w:sz w:val="20"/>
          <w:szCs w:val="20"/>
        </w:rPr>
        <w:t>”</w:t>
      </w:r>
      <w:r w:rsidR="00300D46" w:rsidRPr="00D65A97">
        <w:rPr>
          <w:rStyle w:val="FootnoteReference"/>
          <w:rFonts w:asciiTheme="majorHAnsi" w:hAnsiTheme="majorHAnsi" w:cs="Verdana"/>
          <w:sz w:val="20"/>
          <w:szCs w:val="20"/>
        </w:rPr>
        <w:footnoteReference w:id="74"/>
      </w:r>
    </w:p>
    <w:p w14:paraId="093C98DD" w14:textId="77777777" w:rsidR="00300D46" w:rsidRPr="00D65A97" w:rsidRDefault="00300D46" w:rsidP="00300D46">
      <w:pPr>
        <w:ind w:left="360" w:firstLine="720"/>
        <w:jc w:val="both"/>
        <w:rPr>
          <w:rFonts w:asciiTheme="majorHAnsi" w:hAnsiTheme="majorHAnsi" w:cs="Verdana"/>
          <w:sz w:val="20"/>
          <w:szCs w:val="20"/>
        </w:rPr>
      </w:pPr>
    </w:p>
    <w:p w14:paraId="74C114D9" w14:textId="33C2D349" w:rsidR="00300D46" w:rsidRPr="00D65A97" w:rsidRDefault="0085661B"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rPr>
      </w:pPr>
      <w:r>
        <w:rPr>
          <w:rFonts w:asciiTheme="majorHAnsi" w:hAnsiTheme="majorHAnsi" w:cs="Verdana"/>
          <w:sz w:val="20"/>
          <w:szCs w:val="20"/>
        </w:rPr>
        <w:t>Likewise, in accordance with the above-mentioned Protocol, it is established as a general principle of autopsies, in cases of suspicious deaths,</w:t>
      </w:r>
      <w:r w:rsidR="00B96F6A">
        <w:rPr>
          <w:rFonts w:asciiTheme="majorHAnsi" w:hAnsiTheme="majorHAnsi" w:cs="Verdana"/>
          <w:sz w:val="20"/>
          <w:szCs w:val="20"/>
        </w:rPr>
        <w:t xml:space="preserve"> that</w:t>
      </w:r>
      <w:r>
        <w:rPr>
          <w:rFonts w:asciiTheme="majorHAnsi" w:hAnsiTheme="majorHAnsi" w:cs="Verdana"/>
          <w:sz w:val="20"/>
          <w:szCs w:val="20"/>
        </w:rPr>
        <w:t xml:space="preserve"> </w:t>
      </w:r>
      <w:r w:rsidR="0098418D">
        <w:rPr>
          <w:rFonts w:asciiTheme="majorHAnsi" w:hAnsiTheme="majorHAnsi" w:cs="Verdana"/>
          <w:sz w:val="20"/>
          <w:szCs w:val="20"/>
        </w:rPr>
        <w:t>a key duty of forensic personnel</w:t>
      </w:r>
      <w:r>
        <w:rPr>
          <w:rFonts w:asciiTheme="majorHAnsi" w:hAnsiTheme="majorHAnsi" w:cs="Verdana"/>
          <w:sz w:val="20"/>
          <w:szCs w:val="20"/>
        </w:rPr>
        <w:t xml:space="preserve"> is to </w:t>
      </w:r>
      <w:r w:rsidR="009F4D2F">
        <w:rPr>
          <w:rFonts w:asciiTheme="majorHAnsi" w:hAnsiTheme="majorHAnsi" w:cs="Verdana"/>
          <w:sz w:val="20"/>
          <w:szCs w:val="20"/>
        </w:rPr>
        <w:t>help ensure that the cause</w:t>
      </w:r>
      <w:r w:rsidR="0098418D">
        <w:rPr>
          <w:rFonts w:asciiTheme="majorHAnsi" w:hAnsiTheme="majorHAnsi" w:cs="Verdana"/>
          <w:sz w:val="20"/>
          <w:szCs w:val="20"/>
        </w:rPr>
        <w:t xml:space="preserve"> and circumstances of the death</w:t>
      </w:r>
      <w:r w:rsidR="005018BA">
        <w:rPr>
          <w:rFonts w:asciiTheme="majorHAnsi" w:hAnsiTheme="majorHAnsi" w:cs="Verdana"/>
          <w:sz w:val="20"/>
          <w:szCs w:val="20"/>
        </w:rPr>
        <w:t xml:space="preserve"> are </w:t>
      </w:r>
      <w:r w:rsidR="009F4D2F">
        <w:rPr>
          <w:rFonts w:asciiTheme="majorHAnsi" w:hAnsiTheme="majorHAnsi" w:cs="Verdana"/>
          <w:sz w:val="20"/>
          <w:szCs w:val="20"/>
        </w:rPr>
        <w:t>revealed and to draw conclusions as to the cause of death and contributing</w:t>
      </w:r>
      <w:r w:rsidR="00082B35">
        <w:rPr>
          <w:rFonts w:asciiTheme="majorHAnsi" w:hAnsiTheme="majorHAnsi" w:cs="Verdana"/>
          <w:sz w:val="20"/>
          <w:szCs w:val="20"/>
        </w:rPr>
        <w:t xml:space="preserve"> factors. </w:t>
      </w:r>
      <w:r w:rsidR="006E5ACA">
        <w:rPr>
          <w:rFonts w:asciiTheme="majorHAnsi" w:hAnsiTheme="majorHAnsi" w:cs="Verdana"/>
          <w:sz w:val="20"/>
          <w:szCs w:val="20"/>
        </w:rPr>
        <w:t xml:space="preserve">In this same vein, the Protocol recognizes that in very few cases can the cause of death be determined only on the basis of the autopsy with no other information about the death and, therefore, the autopsy report must list what injuries were found and interpret and explain how the injuries occurred. </w:t>
      </w:r>
      <w:r w:rsidR="005A58CF">
        <w:rPr>
          <w:rFonts w:asciiTheme="majorHAnsi" w:hAnsiTheme="majorHAnsi" w:cs="Verdana"/>
          <w:sz w:val="20"/>
          <w:szCs w:val="20"/>
        </w:rPr>
        <w:t>Lastly, the Protocol establishes that it is particularly important with autopsies in this type of situation to</w:t>
      </w:r>
      <w:r w:rsidR="00436291">
        <w:rPr>
          <w:rFonts w:asciiTheme="majorHAnsi" w:hAnsiTheme="majorHAnsi" w:cs="Verdana"/>
          <w:sz w:val="20"/>
          <w:szCs w:val="20"/>
        </w:rPr>
        <w:t xml:space="preserve"> </w:t>
      </w:r>
      <w:r w:rsidR="00B3080C">
        <w:rPr>
          <w:rFonts w:asciiTheme="majorHAnsi" w:hAnsiTheme="majorHAnsi" w:cs="Verdana"/>
          <w:sz w:val="20"/>
          <w:szCs w:val="20"/>
        </w:rPr>
        <w:t xml:space="preserve">make </w:t>
      </w:r>
      <w:r w:rsidR="00436291">
        <w:rPr>
          <w:rFonts w:asciiTheme="majorHAnsi" w:hAnsiTheme="majorHAnsi" w:cs="Verdana"/>
          <w:sz w:val="20"/>
          <w:szCs w:val="20"/>
        </w:rPr>
        <w:t>record</w:t>
      </w:r>
      <w:r w:rsidR="00B3080C">
        <w:rPr>
          <w:rFonts w:asciiTheme="majorHAnsi" w:hAnsiTheme="majorHAnsi" w:cs="Verdana"/>
          <w:sz w:val="20"/>
          <w:szCs w:val="20"/>
        </w:rPr>
        <w:t>s</w:t>
      </w:r>
      <w:r w:rsidR="00436291">
        <w:rPr>
          <w:rFonts w:asciiTheme="majorHAnsi" w:hAnsiTheme="majorHAnsi" w:cs="Verdana"/>
          <w:sz w:val="20"/>
          <w:szCs w:val="20"/>
        </w:rPr>
        <w:t xml:space="preserve"> </w:t>
      </w:r>
      <w:r w:rsidR="00123E81">
        <w:rPr>
          <w:rFonts w:asciiTheme="majorHAnsi" w:hAnsiTheme="majorHAnsi" w:cs="Verdana"/>
          <w:sz w:val="20"/>
          <w:szCs w:val="20"/>
        </w:rPr>
        <w:t xml:space="preserve">in </w:t>
      </w:r>
      <w:r w:rsidR="00DC706C">
        <w:rPr>
          <w:rFonts w:asciiTheme="majorHAnsi" w:hAnsiTheme="majorHAnsi" w:cs="Verdana"/>
          <w:sz w:val="20"/>
          <w:szCs w:val="20"/>
        </w:rPr>
        <w:t xml:space="preserve">the form of </w:t>
      </w:r>
      <w:r w:rsidR="00123E81">
        <w:rPr>
          <w:rFonts w:asciiTheme="majorHAnsi" w:hAnsiTheme="majorHAnsi" w:cs="Verdana"/>
          <w:sz w:val="20"/>
          <w:szCs w:val="20"/>
        </w:rPr>
        <w:t>images</w:t>
      </w:r>
      <w:r w:rsidR="00436291">
        <w:rPr>
          <w:rFonts w:asciiTheme="majorHAnsi" w:hAnsiTheme="majorHAnsi" w:cs="Verdana"/>
          <w:sz w:val="20"/>
          <w:szCs w:val="20"/>
        </w:rPr>
        <w:t xml:space="preserve">, </w:t>
      </w:r>
      <w:r w:rsidR="00123E81">
        <w:rPr>
          <w:rFonts w:asciiTheme="majorHAnsi" w:hAnsiTheme="majorHAnsi" w:cs="Verdana"/>
          <w:sz w:val="20"/>
          <w:szCs w:val="20"/>
        </w:rPr>
        <w:t>using both adequate photography</w:t>
      </w:r>
      <w:r w:rsidR="00FF57C3">
        <w:rPr>
          <w:rFonts w:asciiTheme="majorHAnsi" w:hAnsiTheme="majorHAnsi" w:cs="Verdana"/>
          <w:sz w:val="20"/>
          <w:szCs w:val="20"/>
        </w:rPr>
        <w:t xml:space="preserve"> for documentation and independent review, and full body radiological imaging (X-rays).</w:t>
      </w:r>
      <w:r w:rsidR="00300D46" w:rsidRPr="00D65A97">
        <w:rPr>
          <w:rStyle w:val="FootnoteReference"/>
          <w:rFonts w:asciiTheme="majorHAnsi" w:hAnsiTheme="majorHAnsi" w:cs="Verdana"/>
          <w:sz w:val="20"/>
          <w:szCs w:val="20"/>
        </w:rPr>
        <w:footnoteReference w:id="75"/>
      </w:r>
      <w:r w:rsidR="00300D46" w:rsidRPr="00D65A97">
        <w:rPr>
          <w:rFonts w:asciiTheme="majorHAnsi" w:hAnsiTheme="majorHAnsi" w:cs="Verdana"/>
          <w:sz w:val="20"/>
          <w:szCs w:val="20"/>
        </w:rPr>
        <w:t xml:space="preserve"> </w:t>
      </w:r>
    </w:p>
    <w:p w14:paraId="2E49BC5F" w14:textId="77777777" w:rsidR="00300D46" w:rsidRPr="00D65A97" w:rsidRDefault="00300D46" w:rsidP="00300D46">
      <w:pPr>
        <w:ind w:left="360"/>
        <w:jc w:val="both"/>
        <w:rPr>
          <w:rFonts w:asciiTheme="majorHAnsi" w:hAnsiTheme="majorHAnsi" w:cs="Verdana"/>
          <w:sz w:val="20"/>
          <w:szCs w:val="20"/>
        </w:rPr>
      </w:pPr>
    </w:p>
    <w:p w14:paraId="5DCC65F2" w14:textId="065A3698" w:rsidR="00300D46" w:rsidRPr="00D65A97" w:rsidRDefault="00FF57C3"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rPr>
      </w:pPr>
      <w:r>
        <w:rPr>
          <w:rFonts w:asciiTheme="majorHAnsi" w:hAnsiTheme="majorHAnsi" w:cs="Verdana"/>
          <w:sz w:val="20"/>
          <w:szCs w:val="20"/>
        </w:rPr>
        <w:t xml:space="preserve">Lastly, with regard to the reasonable period of time set forth in Article 8.1 of the American Convention, the Inter-American Court has established that three elements must be taken into account to determine reasonableness of the period of time over which a </w:t>
      </w:r>
      <w:r w:rsidR="007D493C">
        <w:rPr>
          <w:rFonts w:asciiTheme="majorHAnsi" w:hAnsiTheme="majorHAnsi" w:cs="Verdana"/>
          <w:sz w:val="20"/>
          <w:szCs w:val="20"/>
        </w:rPr>
        <w:t xml:space="preserve">case </w:t>
      </w:r>
      <w:r>
        <w:rPr>
          <w:rFonts w:asciiTheme="majorHAnsi" w:hAnsiTheme="majorHAnsi" w:cs="Verdana"/>
          <w:sz w:val="20"/>
          <w:szCs w:val="20"/>
        </w:rPr>
        <w:t xml:space="preserve">is carried out: </w:t>
      </w:r>
      <w:r w:rsidR="00300D46" w:rsidRPr="00D65A97">
        <w:rPr>
          <w:rFonts w:asciiTheme="majorHAnsi" w:hAnsiTheme="majorHAnsi" w:cs="Verdana"/>
          <w:sz w:val="20"/>
          <w:szCs w:val="20"/>
        </w:rPr>
        <w:t xml:space="preserve">a) </w:t>
      </w:r>
      <w:r w:rsidR="007E50D3">
        <w:rPr>
          <w:rFonts w:asciiTheme="majorHAnsi" w:hAnsiTheme="majorHAnsi" w:cs="Verdana"/>
          <w:sz w:val="20"/>
          <w:szCs w:val="20"/>
        </w:rPr>
        <w:t xml:space="preserve">the complexity of the matter, </w:t>
      </w:r>
      <w:r w:rsidR="00300D46" w:rsidRPr="00D65A97">
        <w:rPr>
          <w:rFonts w:asciiTheme="majorHAnsi" w:hAnsiTheme="majorHAnsi" w:cs="Verdana"/>
          <w:sz w:val="20"/>
          <w:szCs w:val="20"/>
        </w:rPr>
        <w:t xml:space="preserve">b) </w:t>
      </w:r>
      <w:r w:rsidR="002B0E4B">
        <w:rPr>
          <w:rFonts w:asciiTheme="majorHAnsi" w:hAnsiTheme="majorHAnsi" w:cs="Verdana"/>
          <w:sz w:val="20"/>
          <w:szCs w:val="20"/>
        </w:rPr>
        <w:t>the procedural activity carried out by</w:t>
      </w:r>
      <w:r w:rsidR="007E50D3">
        <w:rPr>
          <w:rFonts w:asciiTheme="majorHAnsi" w:hAnsiTheme="majorHAnsi" w:cs="Verdana"/>
          <w:sz w:val="20"/>
          <w:szCs w:val="20"/>
        </w:rPr>
        <w:t xml:space="preserve"> the interested party, and</w:t>
      </w:r>
      <w:r w:rsidR="00300D46" w:rsidRPr="00D65A97">
        <w:rPr>
          <w:rFonts w:asciiTheme="majorHAnsi" w:hAnsiTheme="majorHAnsi" w:cs="Verdana"/>
          <w:sz w:val="20"/>
          <w:szCs w:val="20"/>
        </w:rPr>
        <w:t xml:space="preserve"> c) </w:t>
      </w:r>
      <w:r w:rsidR="007E50D3">
        <w:rPr>
          <w:rFonts w:asciiTheme="majorHAnsi" w:hAnsiTheme="majorHAnsi" w:cs="Verdana"/>
          <w:sz w:val="20"/>
          <w:szCs w:val="20"/>
        </w:rPr>
        <w:t>the conduct of judicial authorities.</w:t>
      </w:r>
      <w:r w:rsidR="00300D46" w:rsidRPr="00D65A97">
        <w:rPr>
          <w:rStyle w:val="FootnoteReference"/>
          <w:rFonts w:asciiTheme="majorHAnsi" w:hAnsiTheme="majorHAnsi" w:cs="Verdana"/>
          <w:sz w:val="20"/>
          <w:szCs w:val="20"/>
        </w:rPr>
        <w:footnoteReference w:id="76"/>
      </w:r>
      <w:r w:rsidR="007E50D3">
        <w:rPr>
          <w:rFonts w:asciiTheme="majorHAnsi" w:hAnsiTheme="majorHAnsi" w:cs="Verdana"/>
          <w:sz w:val="20"/>
          <w:szCs w:val="20"/>
        </w:rPr>
        <w:t xml:space="preserve"> The Commission and the Court have also found that the </w:t>
      </w:r>
      <w:r w:rsidR="00470E2A">
        <w:rPr>
          <w:rFonts w:asciiTheme="majorHAnsi" w:hAnsiTheme="majorHAnsi" w:cs="Verdana"/>
          <w:sz w:val="20"/>
          <w:szCs w:val="20"/>
        </w:rPr>
        <w:t xml:space="preserve">adverse effect of the duration of the proceedings </w:t>
      </w:r>
      <w:r w:rsidR="007E50D3">
        <w:rPr>
          <w:rFonts w:asciiTheme="majorHAnsi" w:hAnsiTheme="majorHAnsi" w:cs="Verdana"/>
          <w:sz w:val="20"/>
          <w:szCs w:val="20"/>
        </w:rPr>
        <w:t>must also be taken into consideration.</w:t>
      </w:r>
      <w:r w:rsidR="00300D46" w:rsidRPr="00D65A97">
        <w:rPr>
          <w:rStyle w:val="FootnoteReference"/>
          <w:rFonts w:asciiTheme="majorHAnsi" w:hAnsiTheme="majorHAnsi" w:cs="Verdana"/>
          <w:sz w:val="20"/>
          <w:szCs w:val="20"/>
        </w:rPr>
        <w:footnoteReference w:id="77"/>
      </w:r>
      <w:r w:rsidR="00300D46" w:rsidRPr="00D65A97">
        <w:rPr>
          <w:rFonts w:asciiTheme="majorHAnsi" w:hAnsiTheme="majorHAnsi" w:cs="Verdana"/>
          <w:sz w:val="20"/>
          <w:szCs w:val="20"/>
        </w:rPr>
        <w:t xml:space="preserve"> </w:t>
      </w:r>
    </w:p>
    <w:p w14:paraId="056FE22A" w14:textId="77777777" w:rsidR="00300D46" w:rsidRPr="00D65A97" w:rsidRDefault="00300D46" w:rsidP="00300D46">
      <w:pPr>
        <w:ind w:left="630"/>
        <w:jc w:val="both"/>
        <w:rPr>
          <w:rFonts w:asciiTheme="majorHAnsi" w:hAnsiTheme="majorHAnsi"/>
          <w:b/>
          <w:sz w:val="20"/>
          <w:szCs w:val="20"/>
        </w:rPr>
      </w:pPr>
    </w:p>
    <w:p w14:paraId="3044124A" w14:textId="640C74D1" w:rsidR="00300D46" w:rsidRPr="00D65A97" w:rsidRDefault="00470E2A" w:rsidP="00A17B98">
      <w:pPr>
        <w:pStyle w:val="Heading3"/>
        <w:rPr>
          <w:lang w:val="en-US"/>
        </w:rPr>
      </w:pPr>
      <w:bookmarkStart w:id="25" w:name="_Toc506095184"/>
      <w:r>
        <w:rPr>
          <w:lang w:val="en-US"/>
        </w:rPr>
        <w:t xml:space="preserve">The investigation into the death of </w:t>
      </w:r>
      <w:r w:rsidR="00300D46" w:rsidRPr="00D65A97">
        <w:rPr>
          <w:lang w:val="en-US"/>
        </w:rPr>
        <w:t xml:space="preserve">Vicente Ariel Noguera </w:t>
      </w:r>
      <w:r w:rsidR="001E3EE1">
        <w:rPr>
          <w:lang w:val="en-US"/>
        </w:rPr>
        <w:t>under</w:t>
      </w:r>
      <w:r w:rsidR="00EE111D">
        <w:rPr>
          <w:lang w:val="en-US"/>
        </w:rPr>
        <w:t xml:space="preserve"> the military </w:t>
      </w:r>
      <w:bookmarkEnd w:id="25"/>
      <w:r w:rsidR="00CB4573">
        <w:rPr>
          <w:lang w:val="en-US"/>
        </w:rPr>
        <w:t>jurisdiction</w:t>
      </w:r>
    </w:p>
    <w:p w14:paraId="3E7E8117" w14:textId="77777777" w:rsidR="00300D46" w:rsidRPr="00D65A97" w:rsidRDefault="00300D46" w:rsidP="00300D46">
      <w:pPr>
        <w:ind w:left="630"/>
        <w:jc w:val="both"/>
        <w:rPr>
          <w:rFonts w:asciiTheme="majorHAnsi" w:hAnsiTheme="majorHAnsi"/>
          <w:b/>
          <w:sz w:val="20"/>
          <w:szCs w:val="20"/>
        </w:rPr>
      </w:pPr>
      <w:r w:rsidRPr="00D65A97">
        <w:rPr>
          <w:rFonts w:asciiTheme="majorHAnsi" w:hAnsiTheme="majorHAnsi"/>
          <w:b/>
          <w:sz w:val="20"/>
          <w:szCs w:val="20"/>
        </w:rPr>
        <w:t xml:space="preserve"> </w:t>
      </w:r>
    </w:p>
    <w:p w14:paraId="162B31E4" w14:textId="6B17E675" w:rsidR="00300D46" w:rsidRPr="00D65A97" w:rsidRDefault="00925FF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The Commission finds that the only investigation that was opened </w:t>
      </w:r>
      <w:r>
        <w:rPr>
          <w:rFonts w:asciiTheme="majorHAnsi" w:hAnsiTheme="majorHAnsi"/>
          <w:i/>
          <w:sz w:val="20"/>
          <w:szCs w:val="20"/>
        </w:rPr>
        <w:t>ex officio</w:t>
      </w:r>
      <w:r w:rsidR="00315B65">
        <w:rPr>
          <w:rFonts w:asciiTheme="majorHAnsi" w:hAnsiTheme="majorHAnsi"/>
          <w:i/>
          <w:sz w:val="20"/>
          <w:szCs w:val="20"/>
        </w:rPr>
        <w:t xml:space="preserve"> </w:t>
      </w:r>
      <w:r w:rsidR="00C56E5E">
        <w:rPr>
          <w:rFonts w:asciiTheme="majorHAnsi" w:hAnsiTheme="majorHAnsi"/>
          <w:sz w:val="20"/>
          <w:szCs w:val="20"/>
        </w:rPr>
        <w:t xml:space="preserve">to elucidate the death of Vicente Ariel Noguera took place under the military jurisdiction, on the same day of his death. </w:t>
      </w:r>
      <w:r w:rsidR="004625D2">
        <w:rPr>
          <w:rFonts w:asciiTheme="majorHAnsi" w:hAnsiTheme="majorHAnsi"/>
          <w:sz w:val="20"/>
          <w:szCs w:val="20"/>
        </w:rPr>
        <w:t>While the Commission recognizes that</w:t>
      </w:r>
      <w:r w:rsidR="00164B08">
        <w:rPr>
          <w:rFonts w:asciiTheme="majorHAnsi" w:hAnsiTheme="majorHAnsi"/>
          <w:sz w:val="20"/>
          <w:szCs w:val="20"/>
        </w:rPr>
        <w:t>,</w:t>
      </w:r>
      <w:r w:rsidR="004625D2">
        <w:rPr>
          <w:rFonts w:asciiTheme="majorHAnsi" w:hAnsiTheme="majorHAnsi"/>
          <w:sz w:val="20"/>
          <w:szCs w:val="20"/>
        </w:rPr>
        <w:t xml:space="preserve"> in the context of this investigation</w:t>
      </w:r>
      <w:r w:rsidR="00164B08">
        <w:rPr>
          <w:rFonts w:asciiTheme="majorHAnsi" w:hAnsiTheme="majorHAnsi"/>
          <w:sz w:val="20"/>
          <w:szCs w:val="20"/>
        </w:rPr>
        <w:t>,</w:t>
      </w:r>
      <w:r w:rsidR="004625D2">
        <w:rPr>
          <w:rFonts w:asciiTheme="majorHAnsi" w:hAnsiTheme="majorHAnsi"/>
          <w:sz w:val="20"/>
          <w:szCs w:val="20"/>
        </w:rPr>
        <w:t xml:space="preserve"> testimonial, forensic, toxicological evidence was gathered, as was cited earlier, the standards of the Inter-American system, which have been repeatedly upheld, </w:t>
      </w:r>
      <w:r w:rsidR="00A92054">
        <w:rPr>
          <w:rFonts w:asciiTheme="majorHAnsi" w:hAnsiTheme="majorHAnsi"/>
          <w:sz w:val="20"/>
          <w:szCs w:val="20"/>
        </w:rPr>
        <w:t xml:space="preserve">have determined that military jurisdictions lack </w:t>
      </w:r>
      <w:r w:rsidR="00164B08">
        <w:rPr>
          <w:rFonts w:asciiTheme="majorHAnsi" w:hAnsiTheme="majorHAnsi"/>
          <w:sz w:val="20"/>
          <w:szCs w:val="20"/>
        </w:rPr>
        <w:t xml:space="preserve">the </w:t>
      </w:r>
      <w:r w:rsidR="00A92054">
        <w:rPr>
          <w:rFonts w:asciiTheme="majorHAnsi" w:hAnsiTheme="majorHAnsi"/>
          <w:sz w:val="20"/>
          <w:szCs w:val="20"/>
        </w:rPr>
        <w:t xml:space="preserve">independence and impartiality </w:t>
      </w:r>
      <w:r w:rsidR="00164B08">
        <w:rPr>
          <w:rFonts w:asciiTheme="majorHAnsi" w:hAnsiTheme="majorHAnsi"/>
          <w:sz w:val="20"/>
          <w:szCs w:val="20"/>
        </w:rPr>
        <w:t xml:space="preserve">necessary </w:t>
      </w:r>
      <w:r w:rsidR="00A92054">
        <w:rPr>
          <w:rFonts w:asciiTheme="majorHAnsi" w:hAnsiTheme="majorHAnsi"/>
          <w:sz w:val="20"/>
          <w:szCs w:val="20"/>
        </w:rPr>
        <w:t xml:space="preserve">to hear cases of potential human rights violations relating to legally protected interests, which cannot be defined as military per se, such as in the case at hand, </w:t>
      </w:r>
      <w:r w:rsidR="0088451B">
        <w:rPr>
          <w:rFonts w:asciiTheme="majorHAnsi" w:hAnsiTheme="majorHAnsi"/>
          <w:sz w:val="20"/>
          <w:szCs w:val="20"/>
        </w:rPr>
        <w:t>the right to life.</w:t>
      </w:r>
    </w:p>
    <w:p w14:paraId="1225A5D6" w14:textId="77777777" w:rsidR="00300D46" w:rsidRPr="00D65A97" w:rsidRDefault="00300D46" w:rsidP="00300D46">
      <w:pPr>
        <w:ind w:left="360" w:firstLine="720"/>
        <w:jc w:val="both"/>
        <w:rPr>
          <w:rFonts w:asciiTheme="majorHAnsi" w:hAnsiTheme="majorHAnsi"/>
          <w:b/>
          <w:sz w:val="20"/>
          <w:szCs w:val="20"/>
        </w:rPr>
      </w:pPr>
    </w:p>
    <w:p w14:paraId="4957CA73" w14:textId="547F092D" w:rsidR="00300D46" w:rsidRPr="00D65A97" w:rsidRDefault="00924E12"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In view of the foregoing, the Commission finds that the investigation in the military jurisdiction into the death of Vicente Ariel Noguera constituted a violation of the right to a competent, independent and impartial authority</w:t>
      </w:r>
      <w:r w:rsidR="00B4435A">
        <w:rPr>
          <w:rFonts w:asciiTheme="majorHAnsi" w:hAnsiTheme="majorHAnsi"/>
          <w:sz w:val="20"/>
          <w:szCs w:val="20"/>
        </w:rPr>
        <w:t xml:space="preserve">. </w:t>
      </w:r>
      <w:r w:rsidR="0018003E">
        <w:rPr>
          <w:rFonts w:asciiTheme="majorHAnsi" w:hAnsiTheme="majorHAnsi"/>
          <w:sz w:val="20"/>
          <w:szCs w:val="20"/>
        </w:rPr>
        <w:t xml:space="preserve">Moreover, the collection of evidence </w:t>
      </w:r>
      <w:r w:rsidR="00C84BDE">
        <w:rPr>
          <w:rFonts w:asciiTheme="majorHAnsi" w:hAnsiTheme="majorHAnsi"/>
          <w:sz w:val="20"/>
          <w:szCs w:val="20"/>
        </w:rPr>
        <w:t>under a jurisdiction that does not provide for these minimum protections, not only raises serious doubts about the e</w:t>
      </w:r>
      <w:r w:rsidR="0059420A">
        <w:rPr>
          <w:rFonts w:asciiTheme="majorHAnsi" w:hAnsiTheme="majorHAnsi"/>
          <w:sz w:val="20"/>
          <w:szCs w:val="20"/>
        </w:rPr>
        <w:t>ffectiveness of the evidence from</w:t>
      </w:r>
      <w:r w:rsidR="00C84BDE">
        <w:rPr>
          <w:rFonts w:asciiTheme="majorHAnsi" w:hAnsiTheme="majorHAnsi"/>
          <w:sz w:val="20"/>
          <w:szCs w:val="20"/>
        </w:rPr>
        <w:t xml:space="preserve"> such an investigation, but it cannot be </w:t>
      </w:r>
      <w:r w:rsidR="00FB162D">
        <w:rPr>
          <w:rFonts w:asciiTheme="majorHAnsi" w:hAnsiTheme="majorHAnsi"/>
          <w:sz w:val="20"/>
          <w:szCs w:val="20"/>
        </w:rPr>
        <w:t xml:space="preserve">regarded </w:t>
      </w:r>
      <w:r w:rsidR="00C84BDE">
        <w:rPr>
          <w:rFonts w:asciiTheme="majorHAnsi" w:hAnsiTheme="majorHAnsi"/>
          <w:sz w:val="20"/>
          <w:szCs w:val="20"/>
        </w:rPr>
        <w:t>as effective in light of the obligation of due diligence required for the inve</w:t>
      </w:r>
      <w:r w:rsidR="00146FEC">
        <w:rPr>
          <w:rFonts w:asciiTheme="majorHAnsi" w:hAnsiTheme="majorHAnsi"/>
          <w:sz w:val="20"/>
          <w:szCs w:val="20"/>
        </w:rPr>
        <w:t xml:space="preserve">stigation of the </w:t>
      </w:r>
      <w:r w:rsidR="00C84BDE">
        <w:rPr>
          <w:rFonts w:asciiTheme="majorHAnsi" w:hAnsiTheme="majorHAnsi"/>
          <w:sz w:val="20"/>
          <w:szCs w:val="20"/>
        </w:rPr>
        <w:t xml:space="preserve">death of </w:t>
      </w:r>
      <w:r w:rsidR="00146FEC">
        <w:rPr>
          <w:rFonts w:asciiTheme="majorHAnsi" w:hAnsiTheme="majorHAnsi"/>
          <w:sz w:val="20"/>
          <w:szCs w:val="20"/>
        </w:rPr>
        <w:t>a person</w:t>
      </w:r>
      <w:r w:rsidR="00C84BDE">
        <w:rPr>
          <w:rFonts w:asciiTheme="majorHAnsi" w:hAnsiTheme="majorHAnsi"/>
          <w:sz w:val="20"/>
          <w:szCs w:val="20"/>
        </w:rPr>
        <w:t xml:space="preserve"> under the custody of the State. </w:t>
      </w:r>
      <w:r>
        <w:rPr>
          <w:rFonts w:asciiTheme="majorHAnsi" w:hAnsiTheme="majorHAnsi"/>
          <w:sz w:val="20"/>
          <w:szCs w:val="20"/>
        </w:rPr>
        <w:t xml:space="preserve"> </w:t>
      </w:r>
    </w:p>
    <w:p w14:paraId="47FE7119" w14:textId="77777777" w:rsidR="00300D46" w:rsidRPr="00D65A97" w:rsidRDefault="00300D46" w:rsidP="00300D46">
      <w:pPr>
        <w:jc w:val="both"/>
        <w:rPr>
          <w:rFonts w:asciiTheme="majorHAnsi" w:hAnsiTheme="majorHAnsi"/>
          <w:b/>
          <w:sz w:val="20"/>
          <w:szCs w:val="20"/>
        </w:rPr>
      </w:pPr>
    </w:p>
    <w:p w14:paraId="0745A553" w14:textId="5A0382E6" w:rsidR="00300D46" w:rsidRPr="00D65A97" w:rsidRDefault="008752A5" w:rsidP="00A17B98">
      <w:pPr>
        <w:pStyle w:val="Heading3"/>
        <w:rPr>
          <w:lang w:val="en-US"/>
        </w:rPr>
      </w:pPr>
      <w:bookmarkStart w:id="26" w:name="_Toc506095185"/>
      <w:r>
        <w:rPr>
          <w:lang w:val="en-US"/>
        </w:rPr>
        <w:t xml:space="preserve">Due diligence in the investigation into the death of </w:t>
      </w:r>
      <w:r w:rsidR="00300D46" w:rsidRPr="00D65A97">
        <w:rPr>
          <w:lang w:val="en-US"/>
        </w:rPr>
        <w:t xml:space="preserve">Vicente Ariel Noguera </w:t>
      </w:r>
      <w:r>
        <w:rPr>
          <w:lang w:val="en-US"/>
        </w:rPr>
        <w:t xml:space="preserve">under the ordinary jurisdiction </w:t>
      </w:r>
      <w:bookmarkEnd w:id="26"/>
    </w:p>
    <w:p w14:paraId="15E42172" w14:textId="77777777" w:rsidR="00300D46" w:rsidRPr="00D65A97" w:rsidRDefault="00300D46" w:rsidP="00300D46">
      <w:pPr>
        <w:ind w:left="630"/>
        <w:jc w:val="both"/>
        <w:rPr>
          <w:rFonts w:asciiTheme="majorHAnsi" w:hAnsiTheme="majorHAnsi"/>
          <w:b/>
          <w:sz w:val="20"/>
          <w:szCs w:val="20"/>
        </w:rPr>
      </w:pPr>
      <w:r w:rsidRPr="00D65A97">
        <w:rPr>
          <w:rFonts w:asciiTheme="majorHAnsi" w:hAnsiTheme="majorHAnsi"/>
          <w:b/>
          <w:sz w:val="20"/>
          <w:szCs w:val="20"/>
        </w:rPr>
        <w:t xml:space="preserve"> </w:t>
      </w:r>
    </w:p>
    <w:p w14:paraId="6BE3C00B" w14:textId="56983AA3" w:rsidR="00300D46" w:rsidRPr="00D65A97" w:rsidRDefault="00E82834"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The Commission will examine whether the State fulfilled its duty to investigate the death of Vicente Ariel</w:t>
      </w:r>
      <w:r w:rsidR="00315DA7">
        <w:rPr>
          <w:rFonts w:asciiTheme="majorHAnsi" w:hAnsiTheme="majorHAnsi"/>
          <w:sz w:val="20"/>
          <w:szCs w:val="20"/>
        </w:rPr>
        <w:t xml:space="preserve"> </w:t>
      </w:r>
      <w:r w:rsidR="00E56058">
        <w:rPr>
          <w:rFonts w:asciiTheme="majorHAnsi" w:hAnsiTheme="majorHAnsi"/>
          <w:sz w:val="20"/>
          <w:szCs w:val="20"/>
        </w:rPr>
        <w:t>Noguera with the due diligence required</w:t>
      </w:r>
      <w:r>
        <w:rPr>
          <w:rFonts w:asciiTheme="majorHAnsi" w:hAnsiTheme="majorHAnsi"/>
          <w:sz w:val="20"/>
          <w:szCs w:val="20"/>
        </w:rPr>
        <w:t xml:space="preserve"> </w:t>
      </w:r>
      <w:r w:rsidR="00E56058">
        <w:rPr>
          <w:rFonts w:asciiTheme="majorHAnsi" w:hAnsiTheme="majorHAnsi"/>
          <w:sz w:val="20"/>
          <w:szCs w:val="20"/>
        </w:rPr>
        <w:t>in cases of deaths of persons under the custody of the State</w:t>
      </w:r>
      <w:r w:rsidR="00300D46" w:rsidRPr="00D65A97">
        <w:rPr>
          <w:rFonts w:asciiTheme="majorHAnsi" w:hAnsiTheme="majorHAnsi"/>
          <w:sz w:val="20"/>
          <w:szCs w:val="20"/>
        </w:rPr>
        <w:t xml:space="preserve">. </w:t>
      </w:r>
      <w:r w:rsidR="00E56058">
        <w:rPr>
          <w:rFonts w:asciiTheme="majorHAnsi" w:hAnsiTheme="majorHAnsi"/>
          <w:sz w:val="20"/>
          <w:szCs w:val="20"/>
        </w:rPr>
        <w:t xml:space="preserve">In this regard, the examination will focus on the obligation to conduct an </w:t>
      </w:r>
      <w:r w:rsidR="00E56058">
        <w:rPr>
          <w:rFonts w:asciiTheme="majorHAnsi" w:hAnsiTheme="majorHAnsi"/>
          <w:i/>
          <w:sz w:val="20"/>
          <w:szCs w:val="20"/>
        </w:rPr>
        <w:t xml:space="preserve">ex officio </w:t>
      </w:r>
      <w:r w:rsidR="00E56058">
        <w:rPr>
          <w:rFonts w:asciiTheme="majorHAnsi" w:hAnsiTheme="majorHAnsi"/>
          <w:sz w:val="20"/>
          <w:szCs w:val="20"/>
        </w:rPr>
        <w:t xml:space="preserve">investigation, the collection of evidence, testimony and forensics, and pursuit of logical lines of investigation. </w:t>
      </w:r>
    </w:p>
    <w:p w14:paraId="1B4B5797" w14:textId="77777777" w:rsidR="00300D46" w:rsidRPr="00D65A97" w:rsidRDefault="00300D46" w:rsidP="00300D46">
      <w:pPr>
        <w:ind w:left="360" w:firstLine="720"/>
        <w:jc w:val="both"/>
        <w:rPr>
          <w:rFonts w:asciiTheme="majorHAnsi" w:hAnsiTheme="majorHAnsi"/>
          <w:sz w:val="20"/>
          <w:szCs w:val="20"/>
        </w:rPr>
      </w:pPr>
    </w:p>
    <w:p w14:paraId="346BFD6B" w14:textId="5187B876" w:rsidR="00300D46" w:rsidRPr="00D65A97" w:rsidRDefault="00FA46E1"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lastRenderedPageBreak/>
        <w:t xml:space="preserve">Firstly, the Commission notes that the death of Vicente Ariel Noguera occurred on January 11, 1996, and that the first judicial action in the ordinary jurisdiction was taken on August 2, 1996, in other words, almost seven months after his death, when the Attorney General of the State, requested the Judge on Rotation to authorize the exhumation of the body to perform a </w:t>
      </w:r>
      <w:r w:rsidR="009B5B8D">
        <w:rPr>
          <w:rFonts w:asciiTheme="majorHAnsi" w:hAnsiTheme="majorHAnsi"/>
          <w:sz w:val="20"/>
          <w:szCs w:val="20"/>
        </w:rPr>
        <w:t>second</w:t>
      </w:r>
      <w:r>
        <w:rPr>
          <w:rFonts w:asciiTheme="majorHAnsi" w:hAnsiTheme="majorHAnsi"/>
          <w:sz w:val="20"/>
          <w:szCs w:val="20"/>
        </w:rPr>
        <w:t xml:space="preserve"> autopsy. </w:t>
      </w:r>
      <w:r w:rsidR="006D5BCF">
        <w:rPr>
          <w:rFonts w:asciiTheme="majorHAnsi" w:hAnsiTheme="majorHAnsi"/>
          <w:sz w:val="20"/>
          <w:szCs w:val="20"/>
        </w:rPr>
        <w:t>After the first step taken by the Prosecutor, the mother of the alleged victim filed a formal privat</w:t>
      </w:r>
      <w:r w:rsidR="00D81CC7">
        <w:rPr>
          <w:rFonts w:asciiTheme="majorHAnsi" w:hAnsiTheme="majorHAnsi"/>
          <w:sz w:val="20"/>
          <w:szCs w:val="20"/>
        </w:rPr>
        <w:t>e</w:t>
      </w:r>
      <w:r w:rsidR="006D5BCF">
        <w:rPr>
          <w:rFonts w:asciiTheme="majorHAnsi" w:hAnsiTheme="majorHAnsi"/>
          <w:sz w:val="20"/>
          <w:szCs w:val="20"/>
        </w:rPr>
        <w:t xml:space="preserve"> criminal complaint</w:t>
      </w:r>
      <w:r w:rsidR="00D81CC7">
        <w:rPr>
          <w:rFonts w:asciiTheme="majorHAnsi" w:hAnsiTheme="majorHAnsi"/>
          <w:sz w:val="20"/>
          <w:szCs w:val="20"/>
        </w:rPr>
        <w:t xml:space="preserve"> with the Judge on Rotation on September 6, 1996. The Commission takes as the form</w:t>
      </w:r>
      <w:r w:rsidR="00D034F1">
        <w:rPr>
          <w:rFonts w:asciiTheme="majorHAnsi" w:hAnsiTheme="majorHAnsi"/>
          <w:sz w:val="20"/>
          <w:szCs w:val="20"/>
        </w:rPr>
        <w:t>al</w:t>
      </w:r>
      <w:r w:rsidR="00D81CC7">
        <w:rPr>
          <w:rFonts w:asciiTheme="majorHAnsi" w:hAnsiTheme="majorHAnsi"/>
          <w:sz w:val="20"/>
          <w:szCs w:val="20"/>
        </w:rPr>
        <w:t xml:space="preserve"> opening of the investigation into the death of Vicente Ariel Noguera in the ordinary jurisdiction, the decision to Order the Opening of the Preliminary Inquiry </w:t>
      </w:r>
      <w:r w:rsidR="007B128C">
        <w:rPr>
          <w:rFonts w:asciiTheme="majorHAnsi" w:hAnsiTheme="majorHAnsi"/>
          <w:sz w:val="20"/>
          <w:szCs w:val="20"/>
        </w:rPr>
        <w:t xml:space="preserve">on October 2, 1996, </w:t>
      </w:r>
      <w:r w:rsidR="005F387D">
        <w:rPr>
          <w:rFonts w:asciiTheme="majorHAnsi" w:hAnsiTheme="majorHAnsi"/>
          <w:sz w:val="20"/>
          <w:szCs w:val="20"/>
        </w:rPr>
        <w:t xml:space="preserve">triggered by </w:t>
      </w:r>
      <w:r w:rsidR="007B128C">
        <w:rPr>
          <w:rFonts w:asciiTheme="majorHAnsi" w:hAnsiTheme="majorHAnsi"/>
          <w:sz w:val="20"/>
          <w:szCs w:val="20"/>
        </w:rPr>
        <w:t xml:space="preserve">the private criminal complaint </w:t>
      </w:r>
      <w:r w:rsidR="00531A86">
        <w:rPr>
          <w:rFonts w:asciiTheme="majorHAnsi" w:hAnsiTheme="majorHAnsi"/>
          <w:sz w:val="20"/>
          <w:szCs w:val="20"/>
        </w:rPr>
        <w:t xml:space="preserve">filed by the mother. </w:t>
      </w:r>
      <w:r w:rsidR="000A63A0">
        <w:rPr>
          <w:rFonts w:asciiTheme="majorHAnsi" w:hAnsiTheme="majorHAnsi"/>
          <w:sz w:val="20"/>
          <w:szCs w:val="20"/>
        </w:rPr>
        <w:t xml:space="preserve">In this regard, the Commission notes a considerable delay in the opening of </w:t>
      </w:r>
      <w:r w:rsidR="000A63A0" w:rsidRPr="00BA0C4A">
        <w:rPr>
          <w:rFonts w:asciiTheme="majorHAnsi" w:hAnsiTheme="majorHAnsi"/>
          <w:i/>
          <w:sz w:val="20"/>
          <w:szCs w:val="20"/>
        </w:rPr>
        <w:t>ex officio</w:t>
      </w:r>
      <w:r w:rsidR="000A63A0">
        <w:rPr>
          <w:rFonts w:asciiTheme="majorHAnsi" w:hAnsiTheme="majorHAnsi"/>
          <w:sz w:val="20"/>
          <w:szCs w:val="20"/>
        </w:rPr>
        <w:t xml:space="preserve"> investigations under ordinary ju</w:t>
      </w:r>
      <w:r w:rsidR="00043426">
        <w:rPr>
          <w:rFonts w:asciiTheme="majorHAnsi" w:hAnsiTheme="majorHAnsi"/>
          <w:sz w:val="20"/>
          <w:szCs w:val="20"/>
        </w:rPr>
        <w:t>risdiction</w:t>
      </w:r>
      <w:r w:rsidR="00300D46" w:rsidRPr="00D65A97">
        <w:rPr>
          <w:rFonts w:asciiTheme="majorHAnsi" w:hAnsiTheme="majorHAnsi"/>
          <w:sz w:val="20"/>
          <w:szCs w:val="20"/>
        </w:rPr>
        <w:t xml:space="preserve">. </w:t>
      </w:r>
    </w:p>
    <w:p w14:paraId="2DE5C93D" w14:textId="77777777" w:rsidR="00300D46" w:rsidRPr="00D65A97" w:rsidRDefault="00300D46" w:rsidP="00300D46">
      <w:pPr>
        <w:ind w:left="360" w:firstLine="720"/>
        <w:jc w:val="both"/>
        <w:rPr>
          <w:rFonts w:asciiTheme="majorHAnsi" w:hAnsiTheme="majorHAnsi"/>
          <w:sz w:val="20"/>
          <w:szCs w:val="20"/>
        </w:rPr>
      </w:pPr>
    </w:p>
    <w:p w14:paraId="6365FB0E" w14:textId="26B59662" w:rsidR="00300D46" w:rsidRPr="00D65A97" w:rsidRDefault="00493262"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Secondly, </w:t>
      </w:r>
      <w:r w:rsidR="00AE6C71">
        <w:rPr>
          <w:rFonts w:asciiTheme="majorHAnsi" w:hAnsiTheme="majorHAnsi"/>
          <w:sz w:val="20"/>
          <w:szCs w:val="20"/>
        </w:rPr>
        <w:t>as for the taking of testimonial evidence, the Commission finds that from the time the order to open the preliminary inquiry was issued (October 2, 1996) until the archiving of the complain</w:t>
      </w:r>
      <w:r w:rsidR="00411CE9">
        <w:rPr>
          <w:rFonts w:asciiTheme="majorHAnsi" w:hAnsiTheme="majorHAnsi"/>
          <w:sz w:val="20"/>
          <w:szCs w:val="20"/>
        </w:rPr>
        <w:t>t</w:t>
      </w:r>
      <w:r w:rsidR="00AE6C71">
        <w:rPr>
          <w:rFonts w:asciiTheme="majorHAnsi" w:hAnsiTheme="majorHAnsi"/>
          <w:sz w:val="20"/>
          <w:szCs w:val="20"/>
        </w:rPr>
        <w:t xml:space="preserve"> (Nov</w:t>
      </w:r>
      <w:r w:rsidR="00411CE9">
        <w:rPr>
          <w:rFonts w:asciiTheme="majorHAnsi" w:hAnsiTheme="majorHAnsi"/>
          <w:sz w:val="20"/>
          <w:szCs w:val="20"/>
        </w:rPr>
        <w:t>em</w:t>
      </w:r>
      <w:r w:rsidR="00AE6C71">
        <w:rPr>
          <w:rFonts w:asciiTheme="majorHAnsi" w:hAnsiTheme="majorHAnsi"/>
          <w:sz w:val="20"/>
          <w:szCs w:val="20"/>
        </w:rPr>
        <w:t xml:space="preserve">ber 6, 2002), of the almost 20 witnesses summoned </w:t>
      </w:r>
      <w:r w:rsidR="00300D46" w:rsidRPr="00D65A97">
        <w:rPr>
          <w:rFonts w:asciiTheme="majorHAnsi" w:hAnsiTheme="majorHAnsi"/>
          <w:sz w:val="20"/>
          <w:szCs w:val="20"/>
        </w:rPr>
        <w:t>–</w:t>
      </w:r>
      <w:r w:rsidR="00AE6C71">
        <w:rPr>
          <w:rFonts w:asciiTheme="majorHAnsi" w:hAnsiTheme="majorHAnsi"/>
          <w:sz w:val="20"/>
          <w:szCs w:val="20"/>
        </w:rPr>
        <w:t xml:space="preserve">including </w:t>
      </w:r>
      <w:r w:rsidR="00BE69B2">
        <w:rPr>
          <w:rFonts w:asciiTheme="majorHAnsi" w:hAnsiTheme="majorHAnsi"/>
          <w:sz w:val="20"/>
          <w:szCs w:val="20"/>
        </w:rPr>
        <w:t xml:space="preserve">fellow </w:t>
      </w:r>
      <w:r w:rsidR="00323B5C">
        <w:rPr>
          <w:rFonts w:asciiTheme="majorHAnsi" w:hAnsiTheme="majorHAnsi"/>
          <w:sz w:val="20"/>
          <w:szCs w:val="20"/>
        </w:rPr>
        <w:t xml:space="preserve">cadets </w:t>
      </w:r>
      <w:r w:rsidR="00BE69B2">
        <w:rPr>
          <w:rFonts w:asciiTheme="majorHAnsi" w:hAnsiTheme="majorHAnsi"/>
          <w:sz w:val="20"/>
          <w:szCs w:val="20"/>
        </w:rPr>
        <w:t>and officers of CIMEFOR at the base of Mariscal Estigarribia</w:t>
      </w:r>
      <w:r w:rsidR="00300D46" w:rsidRPr="00D65A97">
        <w:rPr>
          <w:rFonts w:asciiTheme="majorHAnsi" w:hAnsiTheme="majorHAnsi"/>
          <w:sz w:val="20"/>
          <w:szCs w:val="20"/>
        </w:rPr>
        <w:t xml:space="preserve">– </w:t>
      </w:r>
      <w:r w:rsidR="00BE69B2">
        <w:rPr>
          <w:rFonts w:asciiTheme="majorHAnsi" w:hAnsiTheme="majorHAnsi"/>
          <w:sz w:val="20"/>
          <w:szCs w:val="20"/>
        </w:rPr>
        <w:t xml:space="preserve">only two interviews were actually conducted. </w:t>
      </w:r>
      <w:r w:rsidR="00A412A4">
        <w:rPr>
          <w:rFonts w:asciiTheme="majorHAnsi" w:hAnsiTheme="majorHAnsi"/>
          <w:sz w:val="20"/>
          <w:szCs w:val="20"/>
        </w:rPr>
        <w:t xml:space="preserve">It should be noted that, taking into consideration the situation of subordination and potential intimidation to which the witness were subjected </w:t>
      </w:r>
      <w:r w:rsidR="00EC324E">
        <w:rPr>
          <w:rFonts w:asciiTheme="majorHAnsi" w:hAnsiTheme="majorHAnsi"/>
          <w:sz w:val="20"/>
          <w:szCs w:val="20"/>
        </w:rPr>
        <w:t xml:space="preserve">by their superiors </w:t>
      </w:r>
      <w:r w:rsidR="00A412A4">
        <w:rPr>
          <w:rFonts w:asciiTheme="majorHAnsi" w:hAnsiTheme="majorHAnsi"/>
          <w:sz w:val="20"/>
          <w:szCs w:val="20"/>
        </w:rPr>
        <w:t>in their st</w:t>
      </w:r>
      <w:r w:rsidR="00A71F6B">
        <w:rPr>
          <w:rFonts w:asciiTheme="majorHAnsi" w:hAnsiTheme="majorHAnsi"/>
          <w:sz w:val="20"/>
          <w:szCs w:val="20"/>
        </w:rPr>
        <w:t xml:space="preserve">atus as candidates for corporal, the State did not report on any </w:t>
      </w:r>
      <w:r w:rsidR="00850D9F">
        <w:rPr>
          <w:rFonts w:asciiTheme="majorHAnsi" w:hAnsiTheme="majorHAnsi"/>
          <w:sz w:val="20"/>
          <w:szCs w:val="20"/>
        </w:rPr>
        <w:t xml:space="preserve">measures of </w:t>
      </w:r>
      <w:r w:rsidR="00A71F6B">
        <w:rPr>
          <w:rFonts w:asciiTheme="majorHAnsi" w:hAnsiTheme="majorHAnsi"/>
          <w:sz w:val="20"/>
          <w:szCs w:val="20"/>
        </w:rPr>
        <w:t xml:space="preserve">protection </w:t>
      </w:r>
      <w:r w:rsidR="00850D9F">
        <w:rPr>
          <w:rFonts w:asciiTheme="majorHAnsi" w:hAnsiTheme="majorHAnsi"/>
          <w:sz w:val="20"/>
          <w:szCs w:val="20"/>
        </w:rPr>
        <w:t xml:space="preserve">that were taken </w:t>
      </w:r>
      <w:r w:rsidR="00A71F6B">
        <w:rPr>
          <w:rFonts w:asciiTheme="majorHAnsi" w:hAnsiTheme="majorHAnsi"/>
          <w:sz w:val="20"/>
          <w:szCs w:val="20"/>
        </w:rPr>
        <w:t xml:space="preserve">to ensure </w:t>
      </w:r>
      <w:r w:rsidR="009F70A1">
        <w:rPr>
          <w:rFonts w:asciiTheme="majorHAnsi" w:hAnsiTheme="majorHAnsi"/>
          <w:sz w:val="20"/>
          <w:szCs w:val="20"/>
        </w:rPr>
        <w:t xml:space="preserve">that they would be able to freely testify. </w:t>
      </w:r>
      <w:r w:rsidR="00A772B8">
        <w:rPr>
          <w:rFonts w:asciiTheme="majorHAnsi" w:hAnsiTheme="majorHAnsi"/>
          <w:sz w:val="20"/>
          <w:szCs w:val="20"/>
        </w:rPr>
        <w:t>I</w:t>
      </w:r>
      <w:r w:rsidR="00B15DAE">
        <w:rPr>
          <w:rFonts w:asciiTheme="majorHAnsi" w:hAnsiTheme="majorHAnsi"/>
          <w:sz w:val="20"/>
          <w:szCs w:val="20"/>
        </w:rPr>
        <w:t xml:space="preserve">n light of the specific information provided </w:t>
      </w:r>
      <w:r w:rsidR="009B5B8D">
        <w:rPr>
          <w:rFonts w:asciiTheme="majorHAnsi" w:hAnsiTheme="majorHAnsi"/>
          <w:sz w:val="20"/>
          <w:szCs w:val="20"/>
        </w:rPr>
        <w:t xml:space="preserve">by a deputy </w:t>
      </w:r>
      <w:r w:rsidR="009B5B8D" w:rsidRPr="00D65A97">
        <w:rPr>
          <w:rFonts w:asciiTheme="majorHAnsi" w:hAnsiTheme="majorHAnsi"/>
          <w:sz w:val="20"/>
          <w:szCs w:val="20"/>
        </w:rPr>
        <w:t>(</w:t>
      </w:r>
      <w:r w:rsidR="009B5B8D" w:rsidRPr="00D65A97">
        <w:rPr>
          <w:rFonts w:asciiTheme="majorHAnsi" w:hAnsiTheme="majorHAnsi"/>
          <w:i/>
          <w:sz w:val="20"/>
          <w:szCs w:val="20"/>
        </w:rPr>
        <w:t>infra</w:t>
      </w:r>
      <w:r w:rsidR="009B5B8D">
        <w:rPr>
          <w:rFonts w:asciiTheme="majorHAnsi" w:hAnsiTheme="majorHAnsi"/>
          <w:i/>
          <w:sz w:val="20"/>
          <w:szCs w:val="20"/>
        </w:rPr>
        <w:t xml:space="preserve"> </w:t>
      </w:r>
      <w:r w:rsidR="009B5B8D">
        <w:rPr>
          <w:rFonts w:asciiTheme="majorHAnsi" w:hAnsiTheme="majorHAnsi"/>
          <w:sz w:val="20"/>
          <w:szCs w:val="20"/>
        </w:rPr>
        <w:t xml:space="preserve">par. 33), </w:t>
      </w:r>
      <w:r w:rsidR="00B15DAE">
        <w:rPr>
          <w:rFonts w:asciiTheme="majorHAnsi" w:hAnsiTheme="majorHAnsi"/>
          <w:sz w:val="20"/>
          <w:szCs w:val="20"/>
        </w:rPr>
        <w:t xml:space="preserve">by the press </w:t>
      </w:r>
      <w:r w:rsidR="00300D46" w:rsidRPr="00D65A97">
        <w:rPr>
          <w:rFonts w:asciiTheme="majorHAnsi" w:hAnsiTheme="majorHAnsi"/>
          <w:sz w:val="20"/>
          <w:szCs w:val="20"/>
        </w:rPr>
        <w:t>(</w:t>
      </w:r>
      <w:r w:rsidR="00300D46" w:rsidRPr="00D65A97">
        <w:rPr>
          <w:rFonts w:asciiTheme="majorHAnsi" w:hAnsiTheme="majorHAnsi"/>
          <w:i/>
          <w:sz w:val="20"/>
          <w:szCs w:val="20"/>
        </w:rPr>
        <w:t>infra</w:t>
      </w:r>
      <w:r w:rsidR="009B5B8D">
        <w:rPr>
          <w:rFonts w:asciiTheme="majorHAnsi" w:hAnsiTheme="majorHAnsi"/>
          <w:i/>
          <w:sz w:val="20"/>
          <w:szCs w:val="20"/>
        </w:rPr>
        <w:t xml:space="preserve"> </w:t>
      </w:r>
      <w:r w:rsidR="009B5B8D">
        <w:rPr>
          <w:rFonts w:asciiTheme="majorHAnsi" w:hAnsiTheme="majorHAnsi"/>
          <w:sz w:val="20"/>
          <w:szCs w:val="20"/>
        </w:rPr>
        <w:t>par. 36</w:t>
      </w:r>
      <w:r w:rsidR="00300D46" w:rsidRPr="00D65A97">
        <w:rPr>
          <w:rFonts w:asciiTheme="majorHAnsi" w:hAnsiTheme="majorHAnsi"/>
          <w:sz w:val="20"/>
          <w:szCs w:val="20"/>
        </w:rPr>
        <w:t>),</w:t>
      </w:r>
      <w:r w:rsidR="009B5B8D">
        <w:rPr>
          <w:rFonts w:asciiTheme="majorHAnsi" w:hAnsiTheme="majorHAnsi"/>
          <w:sz w:val="20"/>
          <w:szCs w:val="20"/>
        </w:rPr>
        <w:t xml:space="preserve"> and by the mother </w:t>
      </w:r>
      <w:r w:rsidR="009B5B8D" w:rsidRPr="00D65A97">
        <w:rPr>
          <w:rFonts w:asciiTheme="majorHAnsi" w:hAnsiTheme="majorHAnsi"/>
          <w:sz w:val="20"/>
          <w:szCs w:val="20"/>
        </w:rPr>
        <w:t>(</w:t>
      </w:r>
      <w:r w:rsidR="009B5B8D" w:rsidRPr="00D65A97">
        <w:rPr>
          <w:rFonts w:asciiTheme="majorHAnsi" w:hAnsiTheme="majorHAnsi"/>
          <w:i/>
          <w:sz w:val="20"/>
          <w:szCs w:val="20"/>
        </w:rPr>
        <w:t>infra</w:t>
      </w:r>
      <w:r w:rsidR="009B5B8D">
        <w:rPr>
          <w:rFonts w:asciiTheme="majorHAnsi" w:hAnsiTheme="majorHAnsi"/>
          <w:i/>
          <w:sz w:val="20"/>
          <w:szCs w:val="20"/>
        </w:rPr>
        <w:t xml:space="preserve"> </w:t>
      </w:r>
      <w:r w:rsidR="009B5B8D">
        <w:rPr>
          <w:rFonts w:asciiTheme="majorHAnsi" w:hAnsiTheme="majorHAnsi"/>
          <w:sz w:val="20"/>
          <w:szCs w:val="20"/>
        </w:rPr>
        <w:t>par. 44)</w:t>
      </w:r>
      <w:r w:rsidR="00300D46" w:rsidRPr="00D65A97">
        <w:rPr>
          <w:rFonts w:asciiTheme="majorHAnsi" w:hAnsiTheme="majorHAnsi"/>
          <w:sz w:val="20"/>
          <w:szCs w:val="20"/>
        </w:rPr>
        <w:t xml:space="preserve"> </w:t>
      </w:r>
      <w:r w:rsidR="00B15DAE">
        <w:rPr>
          <w:rFonts w:asciiTheme="majorHAnsi" w:hAnsiTheme="majorHAnsi"/>
          <w:sz w:val="20"/>
          <w:szCs w:val="20"/>
        </w:rPr>
        <w:t>regarding the witnesses possibly being afraid of giving a statement</w:t>
      </w:r>
      <w:r w:rsidR="00BB1915">
        <w:rPr>
          <w:rFonts w:asciiTheme="majorHAnsi" w:hAnsiTheme="majorHAnsi"/>
          <w:sz w:val="20"/>
          <w:szCs w:val="20"/>
        </w:rPr>
        <w:t>, it</w:t>
      </w:r>
      <w:r w:rsidR="00666A2D">
        <w:rPr>
          <w:rFonts w:asciiTheme="majorHAnsi" w:hAnsiTheme="majorHAnsi"/>
          <w:sz w:val="20"/>
          <w:szCs w:val="20"/>
        </w:rPr>
        <w:t xml:space="preserve"> was</w:t>
      </w:r>
      <w:r w:rsidR="00BB1915">
        <w:rPr>
          <w:rFonts w:asciiTheme="majorHAnsi" w:hAnsiTheme="majorHAnsi"/>
          <w:sz w:val="20"/>
          <w:szCs w:val="20"/>
        </w:rPr>
        <w:t xml:space="preserve"> even more necessary to take such measures</w:t>
      </w:r>
      <w:r w:rsidR="00B15DAE">
        <w:rPr>
          <w:rFonts w:asciiTheme="majorHAnsi" w:hAnsiTheme="majorHAnsi"/>
          <w:sz w:val="20"/>
          <w:szCs w:val="20"/>
        </w:rPr>
        <w:t>.</w:t>
      </w:r>
      <w:r w:rsidR="00300D46" w:rsidRPr="00D65A97">
        <w:rPr>
          <w:rFonts w:asciiTheme="majorHAnsi" w:hAnsiTheme="majorHAnsi"/>
          <w:sz w:val="20"/>
          <w:szCs w:val="20"/>
        </w:rPr>
        <w:t xml:space="preserve"> </w:t>
      </w:r>
    </w:p>
    <w:p w14:paraId="5A5D3661" w14:textId="77777777" w:rsidR="00300D46" w:rsidRPr="00D65A97" w:rsidRDefault="00300D46" w:rsidP="00300D46">
      <w:pPr>
        <w:pStyle w:val="ListParagraph"/>
        <w:ind w:firstLine="720"/>
        <w:rPr>
          <w:rFonts w:asciiTheme="majorHAnsi" w:hAnsiTheme="majorHAnsi"/>
          <w:sz w:val="20"/>
          <w:szCs w:val="20"/>
        </w:rPr>
      </w:pPr>
    </w:p>
    <w:p w14:paraId="44FC0F77" w14:textId="444D4ADD" w:rsidR="00300D46" w:rsidRPr="00D65A97" w:rsidRDefault="00105C6B"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Additionally</w:t>
      </w:r>
      <w:r w:rsidR="0000203E">
        <w:rPr>
          <w:rFonts w:asciiTheme="majorHAnsi" w:hAnsiTheme="majorHAnsi"/>
          <w:sz w:val="20"/>
          <w:szCs w:val="20"/>
        </w:rPr>
        <w:t>, the Commission notes that during the investigation, the Office of the Prosecutor</w:t>
      </w:r>
      <w:r w:rsidR="00603142">
        <w:rPr>
          <w:rFonts w:asciiTheme="majorHAnsi" w:hAnsiTheme="majorHAnsi"/>
          <w:sz w:val="20"/>
          <w:szCs w:val="20"/>
        </w:rPr>
        <w:t xml:space="preserve"> shifted the burden of proof to the mother of the alleged victim to provide </w:t>
      </w:r>
      <w:r w:rsidR="005F21A2">
        <w:rPr>
          <w:rFonts w:asciiTheme="majorHAnsi" w:hAnsiTheme="majorHAnsi"/>
          <w:sz w:val="20"/>
          <w:szCs w:val="20"/>
        </w:rPr>
        <w:t xml:space="preserve">the addresses of the </w:t>
      </w:r>
      <w:r w:rsidR="00657F1A">
        <w:rPr>
          <w:rFonts w:asciiTheme="majorHAnsi" w:hAnsiTheme="majorHAnsi"/>
          <w:sz w:val="20"/>
          <w:szCs w:val="20"/>
        </w:rPr>
        <w:t xml:space="preserve">cadets, </w:t>
      </w:r>
      <w:r w:rsidR="005F21A2">
        <w:rPr>
          <w:rFonts w:asciiTheme="majorHAnsi" w:hAnsiTheme="majorHAnsi"/>
          <w:sz w:val="20"/>
          <w:szCs w:val="20"/>
        </w:rPr>
        <w:t>whose testimony was required to reconstruct events through testimonial evidence (</w:t>
      </w:r>
      <w:r w:rsidR="00657F1A">
        <w:rPr>
          <w:rFonts w:asciiTheme="majorHAnsi" w:hAnsiTheme="majorHAnsi"/>
          <w:sz w:val="20"/>
          <w:szCs w:val="20"/>
        </w:rPr>
        <w:t xml:space="preserve">under </w:t>
      </w:r>
      <w:r w:rsidR="005F21A2">
        <w:rPr>
          <w:rFonts w:asciiTheme="majorHAnsi" w:hAnsiTheme="majorHAnsi"/>
          <w:sz w:val="20"/>
          <w:szCs w:val="20"/>
        </w:rPr>
        <w:t xml:space="preserve">two orders in 2000), despite her reply that </w:t>
      </w:r>
      <w:r w:rsidR="00A06019">
        <w:rPr>
          <w:rFonts w:asciiTheme="majorHAnsi" w:hAnsiTheme="majorHAnsi"/>
          <w:sz w:val="20"/>
          <w:szCs w:val="20"/>
        </w:rPr>
        <w:t xml:space="preserve">said </w:t>
      </w:r>
      <w:r w:rsidR="005F21A2">
        <w:rPr>
          <w:rFonts w:asciiTheme="majorHAnsi" w:hAnsiTheme="majorHAnsi"/>
          <w:sz w:val="20"/>
          <w:szCs w:val="20"/>
        </w:rPr>
        <w:t xml:space="preserve">information must be requested from the Chief of the Armed Forces, and was </w:t>
      </w:r>
      <w:r w:rsidR="00FC01E4">
        <w:rPr>
          <w:rFonts w:asciiTheme="majorHAnsi" w:hAnsiTheme="majorHAnsi"/>
          <w:sz w:val="20"/>
          <w:szCs w:val="20"/>
        </w:rPr>
        <w:t xml:space="preserve">indeed </w:t>
      </w:r>
      <w:r w:rsidR="005F21A2">
        <w:rPr>
          <w:rFonts w:asciiTheme="majorHAnsi" w:hAnsiTheme="majorHAnsi"/>
          <w:sz w:val="20"/>
          <w:szCs w:val="20"/>
        </w:rPr>
        <w:t xml:space="preserve">finally provided by the Supreme Military Court in 2001.  In this regard, the Commission deems it necessary to recall that in </w:t>
      </w:r>
      <w:r w:rsidR="00D373BC">
        <w:rPr>
          <w:rFonts w:asciiTheme="majorHAnsi" w:hAnsiTheme="majorHAnsi"/>
          <w:sz w:val="20"/>
          <w:szCs w:val="20"/>
        </w:rPr>
        <w:t>the Inter-American system, dating back to its</w:t>
      </w:r>
      <w:r w:rsidR="005F21A2">
        <w:rPr>
          <w:rFonts w:asciiTheme="majorHAnsi" w:hAnsiTheme="majorHAnsi"/>
          <w:sz w:val="20"/>
          <w:szCs w:val="20"/>
        </w:rPr>
        <w:t xml:space="preserve"> earliest legal precedents, it has been </w:t>
      </w:r>
      <w:r w:rsidR="00D373BC">
        <w:rPr>
          <w:rFonts w:asciiTheme="majorHAnsi" w:hAnsiTheme="majorHAnsi"/>
          <w:sz w:val="20"/>
          <w:szCs w:val="20"/>
        </w:rPr>
        <w:t xml:space="preserve">established </w:t>
      </w:r>
      <w:r w:rsidR="005F21A2">
        <w:rPr>
          <w:rFonts w:asciiTheme="majorHAnsi" w:hAnsiTheme="majorHAnsi"/>
          <w:sz w:val="20"/>
          <w:szCs w:val="20"/>
        </w:rPr>
        <w:t xml:space="preserve">that investigations of human rights violations </w:t>
      </w:r>
      <w:r w:rsidR="004274A8">
        <w:rPr>
          <w:rFonts w:asciiTheme="majorHAnsi" w:hAnsiTheme="majorHAnsi"/>
          <w:sz w:val="20"/>
          <w:szCs w:val="20"/>
        </w:rPr>
        <w:t xml:space="preserve">must not </w:t>
      </w:r>
      <w:r w:rsidR="005F21A2">
        <w:rPr>
          <w:rFonts w:asciiTheme="majorHAnsi" w:hAnsiTheme="majorHAnsi"/>
          <w:sz w:val="20"/>
          <w:szCs w:val="20"/>
        </w:rPr>
        <w:t xml:space="preserve">depend on </w:t>
      </w:r>
      <w:r w:rsidR="00E854E5">
        <w:rPr>
          <w:rFonts w:asciiTheme="majorHAnsi" w:hAnsiTheme="majorHAnsi"/>
          <w:sz w:val="20"/>
          <w:szCs w:val="20"/>
        </w:rPr>
        <w:t>the procedural initiative of the family members of victims or</w:t>
      </w:r>
      <w:r w:rsidR="00326AED">
        <w:rPr>
          <w:rFonts w:asciiTheme="majorHAnsi" w:hAnsiTheme="majorHAnsi"/>
          <w:sz w:val="20"/>
          <w:szCs w:val="20"/>
        </w:rPr>
        <w:t xml:space="preserve"> upon the offer of </w:t>
      </w:r>
      <w:r w:rsidR="00E854E5">
        <w:rPr>
          <w:rFonts w:asciiTheme="majorHAnsi" w:hAnsiTheme="majorHAnsi"/>
          <w:sz w:val="20"/>
          <w:szCs w:val="20"/>
        </w:rPr>
        <w:t>evidence</w:t>
      </w:r>
      <w:r w:rsidR="00326AED">
        <w:rPr>
          <w:rFonts w:asciiTheme="majorHAnsi" w:hAnsiTheme="majorHAnsi"/>
          <w:sz w:val="20"/>
          <w:szCs w:val="20"/>
        </w:rPr>
        <w:t xml:space="preserve"> by private parties</w:t>
      </w:r>
      <w:r w:rsidR="00E854E5">
        <w:rPr>
          <w:rFonts w:asciiTheme="majorHAnsi" w:hAnsiTheme="majorHAnsi"/>
          <w:sz w:val="20"/>
          <w:szCs w:val="20"/>
        </w:rPr>
        <w:t xml:space="preserve">, without </w:t>
      </w:r>
      <w:r w:rsidR="00602549">
        <w:rPr>
          <w:rFonts w:asciiTheme="majorHAnsi" w:hAnsiTheme="majorHAnsi"/>
          <w:sz w:val="20"/>
          <w:szCs w:val="20"/>
        </w:rPr>
        <w:t>an effective search for the truth by the government</w:t>
      </w:r>
      <w:r w:rsidR="003F0FC6">
        <w:rPr>
          <w:rFonts w:asciiTheme="majorHAnsi" w:hAnsiTheme="majorHAnsi"/>
          <w:sz w:val="20"/>
          <w:szCs w:val="20"/>
        </w:rPr>
        <w:t>.</w:t>
      </w:r>
      <w:r w:rsidR="00300D46" w:rsidRPr="00D65A97">
        <w:rPr>
          <w:rStyle w:val="FootnoteReference"/>
          <w:rFonts w:asciiTheme="majorHAnsi" w:hAnsiTheme="majorHAnsi"/>
          <w:sz w:val="20"/>
          <w:szCs w:val="20"/>
        </w:rPr>
        <w:footnoteReference w:id="78"/>
      </w:r>
      <w:r w:rsidR="00466CAA">
        <w:rPr>
          <w:rFonts w:asciiTheme="majorHAnsi" w:hAnsiTheme="majorHAnsi"/>
          <w:sz w:val="20"/>
          <w:szCs w:val="20"/>
        </w:rPr>
        <w:t xml:space="preserve"> Besides, in this case, this requirement gave rise to such crucial information to the investigation </w:t>
      </w:r>
      <w:r w:rsidR="00F847FE">
        <w:rPr>
          <w:rFonts w:asciiTheme="majorHAnsi" w:hAnsiTheme="majorHAnsi"/>
          <w:sz w:val="20"/>
          <w:szCs w:val="20"/>
        </w:rPr>
        <w:t xml:space="preserve">not </w:t>
      </w:r>
      <w:r w:rsidR="00466CAA">
        <w:rPr>
          <w:rFonts w:asciiTheme="majorHAnsi" w:hAnsiTheme="majorHAnsi"/>
          <w:sz w:val="20"/>
          <w:szCs w:val="20"/>
        </w:rPr>
        <w:t>being obtained</w:t>
      </w:r>
      <w:r w:rsidR="00F847FE">
        <w:rPr>
          <w:rFonts w:asciiTheme="majorHAnsi" w:hAnsiTheme="majorHAnsi"/>
          <w:sz w:val="20"/>
          <w:szCs w:val="20"/>
        </w:rPr>
        <w:t xml:space="preserve"> until 2001. The Commission notes as well that the there is no evidence in the case file that the State has exhausted all efforts, once it received said information, to ensure that the witnesses showed up to provide a statement. </w:t>
      </w:r>
    </w:p>
    <w:p w14:paraId="14EA151C" w14:textId="77777777" w:rsidR="00300D46" w:rsidRPr="00D65A97" w:rsidRDefault="00300D46" w:rsidP="00300D46">
      <w:pPr>
        <w:pStyle w:val="ListParagraph"/>
        <w:ind w:left="0" w:firstLine="720"/>
        <w:rPr>
          <w:rFonts w:asciiTheme="majorHAnsi" w:hAnsiTheme="majorHAnsi"/>
          <w:sz w:val="20"/>
          <w:szCs w:val="20"/>
        </w:rPr>
      </w:pPr>
    </w:p>
    <w:p w14:paraId="73389495" w14:textId="631769F5" w:rsidR="00300D46" w:rsidRPr="00D65A97" w:rsidRDefault="00E276EF"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In view of</w:t>
      </w:r>
      <w:r w:rsidR="00501E67">
        <w:rPr>
          <w:rFonts w:asciiTheme="majorHAnsi" w:hAnsiTheme="majorHAnsi"/>
          <w:sz w:val="20"/>
          <w:szCs w:val="20"/>
        </w:rPr>
        <w:t xml:space="preserve"> the foregoing considerations, the Commission finds that it was the State’s responsibility </w:t>
      </w:r>
      <w:r w:rsidR="00771881">
        <w:rPr>
          <w:rFonts w:asciiTheme="majorHAnsi" w:hAnsiTheme="majorHAnsi"/>
          <w:sz w:val="20"/>
          <w:szCs w:val="20"/>
        </w:rPr>
        <w:t>to build and consolidate</w:t>
      </w:r>
      <w:r w:rsidR="00501E67">
        <w:rPr>
          <w:rFonts w:asciiTheme="majorHAnsi" w:hAnsiTheme="majorHAnsi"/>
          <w:sz w:val="20"/>
          <w:szCs w:val="20"/>
        </w:rPr>
        <w:t xml:space="preserve"> the body of testimonial evidence to help to get to get to the bottom of the death of Vicente Ariel Noguera. This responsibility entails both obtaining the addresses of the witnesses</w:t>
      </w:r>
      <w:r w:rsidR="00EE5448">
        <w:rPr>
          <w:rFonts w:asciiTheme="majorHAnsi" w:hAnsiTheme="majorHAnsi"/>
          <w:sz w:val="20"/>
          <w:szCs w:val="20"/>
        </w:rPr>
        <w:t xml:space="preserve">, summoning them to testify, as well as putting mechanisms of protection into place to provide security and </w:t>
      </w:r>
      <w:r w:rsidR="007B76C2">
        <w:rPr>
          <w:rFonts w:asciiTheme="majorHAnsi" w:hAnsiTheme="majorHAnsi"/>
          <w:sz w:val="20"/>
          <w:szCs w:val="20"/>
        </w:rPr>
        <w:t xml:space="preserve">trust </w:t>
      </w:r>
      <w:r w:rsidR="00EE5448">
        <w:rPr>
          <w:rFonts w:asciiTheme="majorHAnsi" w:hAnsiTheme="majorHAnsi"/>
          <w:sz w:val="20"/>
          <w:szCs w:val="20"/>
        </w:rPr>
        <w:t xml:space="preserve">for the </w:t>
      </w:r>
      <w:r w:rsidR="000C6A66">
        <w:rPr>
          <w:rFonts w:asciiTheme="majorHAnsi" w:hAnsiTheme="majorHAnsi"/>
          <w:sz w:val="20"/>
          <w:szCs w:val="20"/>
        </w:rPr>
        <w:t xml:space="preserve">cadets to </w:t>
      </w:r>
      <w:r>
        <w:rPr>
          <w:rFonts w:asciiTheme="majorHAnsi" w:hAnsiTheme="majorHAnsi"/>
          <w:sz w:val="20"/>
          <w:szCs w:val="20"/>
        </w:rPr>
        <w:t xml:space="preserve">cooperate with the judicial investigations without any fear of retaliation or reprisal from their superiors. </w:t>
      </w:r>
      <w:r w:rsidR="00501E67">
        <w:rPr>
          <w:rFonts w:asciiTheme="majorHAnsi" w:hAnsiTheme="majorHAnsi"/>
          <w:sz w:val="20"/>
          <w:szCs w:val="20"/>
        </w:rPr>
        <w:t xml:space="preserve"> </w:t>
      </w:r>
      <w:r w:rsidR="00457863">
        <w:rPr>
          <w:rFonts w:asciiTheme="majorHAnsi" w:hAnsiTheme="majorHAnsi"/>
          <w:sz w:val="20"/>
          <w:szCs w:val="20"/>
        </w:rPr>
        <w:t>Based on the foregoing, along with</w:t>
      </w:r>
      <w:r w:rsidR="00B063D8">
        <w:rPr>
          <w:rFonts w:asciiTheme="majorHAnsi" w:hAnsiTheme="majorHAnsi"/>
          <w:sz w:val="20"/>
          <w:szCs w:val="20"/>
        </w:rPr>
        <w:t xml:space="preserve"> the fact that over the course of</w:t>
      </w:r>
      <w:r w:rsidR="00457863">
        <w:rPr>
          <w:rFonts w:asciiTheme="majorHAnsi" w:hAnsiTheme="majorHAnsi"/>
          <w:sz w:val="20"/>
          <w:szCs w:val="20"/>
        </w:rPr>
        <w:t xml:space="preserve"> almost seven years only two formal statements were </w:t>
      </w:r>
      <w:r w:rsidR="004F517B">
        <w:rPr>
          <w:rFonts w:asciiTheme="majorHAnsi" w:hAnsiTheme="majorHAnsi"/>
          <w:sz w:val="20"/>
          <w:szCs w:val="20"/>
        </w:rPr>
        <w:t xml:space="preserve">successfully </w:t>
      </w:r>
      <w:r w:rsidR="00457863">
        <w:rPr>
          <w:rFonts w:asciiTheme="majorHAnsi" w:hAnsiTheme="majorHAnsi"/>
          <w:sz w:val="20"/>
          <w:szCs w:val="20"/>
        </w:rPr>
        <w:t xml:space="preserve">taken, the Commission finds that the State breached its duty of due diligence with regard to obtaining and building testimonial evidence to successfully conduct the investigation. </w:t>
      </w:r>
    </w:p>
    <w:p w14:paraId="5CA907EC" w14:textId="77777777" w:rsidR="00300D46" w:rsidRPr="00D65A97" w:rsidRDefault="00300D46" w:rsidP="00300D46">
      <w:pPr>
        <w:ind w:firstLine="720"/>
        <w:jc w:val="both"/>
        <w:rPr>
          <w:rFonts w:asciiTheme="majorHAnsi" w:hAnsiTheme="majorHAnsi"/>
          <w:sz w:val="20"/>
          <w:szCs w:val="20"/>
        </w:rPr>
      </w:pPr>
    </w:p>
    <w:p w14:paraId="5BA1C2DF" w14:textId="4DC9ACAA" w:rsidR="00300D46" w:rsidRPr="00D65A97" w:rsidRDefault="0076632D"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Thirdly, with respect to how the autopsies were conducted, in the two autopsy reports in the case file, the Commission finds that the stated cause of death is expressed and attribute</w:t>
      </w:r>
      <w:r w:rsidR="001069B9">
        <w:rPr>
          <w:rFonts w:asciiTheme="majorHAnsi" w:hAnsiTheme="majorHAnsi"/>
          <w:sz w:val="20"/>
          <w:szCs w:val="20"/>
        </w:rPr>
        <w:t xml:space="preserve">d only to a pulmonary infection, but </w:t>
      </w:r>
      <w:r w:rsidR="00B61BA3">
        <w:rPr>
          <w:rFonts w:asciiTheme="majorHAnsi" w:hAnsiTheme="majorHAnsi"/>
          <w:sz w:val="20"/>
          <w:szCs w:val="20"/>
        </w:rPr>
        <w:t xml:space="preserve">there is no analysis to connect the disease to the contextual surroundings and the </w:t>
      </w:r>
      <w:r w:rsidR="001E60FE">
        <w:rPr>
          <w:rFonts w:asciiTheme="majorHAnsi" w:hAnsiTheme="majorHAnsi"/>
          <w:sz w:val="20"/>
          <w:szCs w:val="20"/>
        </w:rPr>
        <w:t xml:space="preserve">living </w:t>
      </w:r>
      <w:r w:rsidR="00B61BA3">
        <w:rPr>
          <w:rFonts w:asciiTheme="majorHAnsi" w:hAnsiTheme="majorHAnsi"/>
          <w:sz w:val="20"/>
          <w:szCs w:val="20"/>
        </w:rPr>
        <w:t xml:space="preserve">conditions of the alleged victim.  Additionally, with respect to imaging records of the autopsy, the Commission notes that no X-ray evidence was taken in either of the autopsies. </w:t>
      </w:r>
      <w:r w:rsidR="00FA1064">
        <w:rPr>
          <w:rFonts w:asciiTheme="majorHAnsi" w:hAnsiTheme="majorHAnsi"/>
          <w:sz w:val="20"/>
          <w:szCs w:val="20"/>
        </w:rPr>
        <w:t xml:space="preserve">It also </w:t>
      </w:r>
      <w:r w:rsidR="00E9497E">
        <w:rPr>
          <w:rFonts w:asciiTheme="majorHAnsi" w:hAnsiTheme="majorHAnsi"/>
          <w:sz w:val="20"/>
          <w:szCs w:val="20"/>
        </w:rPr>
        <w:t xml:space="preserve">noteworthy to </w:t>
      </w:r>
      <w:r w:rsidR="004822D0">
        <w:rPr>
          <w:rFonts w:asciiTheme="majorHAnsi" w:hAnsiTheme="majorHAnsi"/>
          <w:sz w:val="20"/>
          <w:szCs w:val="20"/>
        </w:rPr>
        <w:t xml:space="preserve">the Commission </w:t>
      </w:r>
      <w:r w:rsidR="00FA1064">
        <w:rPr>
          <w:rFonts w:asciiTheme="majorHAnsi" w:hAnsiTheme="majorHAnsi"/>
          <w:sz w:val="20"/>
          <w:szCs w:val="20"/>
        </w:rPr>
        <w:t xml:space="preserve">that </w:t>
      </w:r>
      <w:r w:rsidR="00531B8B">
        <w:rPr>
          <w:rFonts w:asciiTheme="majorHAnsi" w:hAnsiTheme="majorHAnsi"/>
          <w:sz w:val="20"/>
          <w:szCs w:val="20"/>
        </w:rPr>
        <w:t>the investigating magistrate had to request photographs of the autopsy</w:t>
      </w:r>
      <w:r w:rsidR="005A1A58">
        <w:rPr>
          <w:rFonts w:asciiTheme="majorHAnsi" w:hAnsiTheme="majorHAnsi"/>
          <w:sz w:val="20"/>
          <w:szCs w:val="20"/>
        </w:rPr>
        <w:t xml:space="preserve"> from the media</w:t>
      </w:r>
      <w:r w:rsidR="00531B8B">
        <w:rPr>
          <w:rFonts w:asciiTheme="majorHAnsi" w:hAnsiTheme="majorHAnsi"/>
          <w:sz w:val="20"/>
          <w:szCs w:val="20"/>
        </w:rPr>
        <w:t xml:space="preserve">, in view of the fact that no photographs were included in the medical report or in the military court case file. The absence of </w:t>
      </w:r>
      <w:r w:rsidR="004427B2">
        <w:rPr>
          <w:rFonts w:asciiTheme="majorHAnsi" w:hAnsiTheme="majorHAnsi"/>
          <w:sz w:val="20"/>
          <w:szCs w:val="20"/>
        </w:rPr>
        <w:lastRenderedPageBreak/>
        <w:t xml:space="preserve">autopsy </w:t>
      </w:r>
      <w:r w:rsidR="00531B8B">
        <w:rPr>
          <w:rFonts w:asciiTheme="majorHAnsi" w:hAnsiTheme="majorHAnsi"/>
          <w:sz w:val="20"/>
          <w:szCs w:val="20"/>
        </w:rPr>
        <w:t xml:space="preserve">photographs </w:t>
      </w:r>
      <w:r w:rsidR="004427B2">
        <w:rPr>
          <w:rFonts w:asciiTheme="majorHAnsi" w:hAnsiTheme="majorHAnsi"/>
          <w:sz w:val="20"/>
          <w:szCs w:val="20"/>
        </w:rPr>
        <w:t xml:space="preserve">to </w:t>
      </w:r>
      <w:r w:rsidR="0059329D">
        <w:rPr>
          <w:rFonts w:asciiTheme="majorHAnsi" w:hAnsiTheme="majorHAnsi"/>
          <w:sz w:val="20"/>
          <w:szCs w:val="20"/>
        </w:rPr>
        <w:t xml:space="preserve">comprise </w:t>
      </w:r>
      <w:r w:rsidR="004427B2">
        <w:rPr>
          <w:rFonts w:asciiTheme="majorHAnsi" w:hAnsiTheme="majorHAnsi"/>
          <w:sz w:val="20"/>
          <w:szCs w:val="20"/>
        </w:rPr>
        <w:t xml:space="preserve">a tangible record of the forensic findings </w:t>
      </w:r>
      <w:r w:rsidR="00C81CAB">
        <w:rPr>
          <w:rFonts w:asciiTheme="majorHAnsi" w:hAnsiTheme="majorHAnsi"/>
          <w:sz w:val="20"/>
          <w:szCs w:val="20"/>
        </w:rPr>
        <w:t xml:space="preserve">and allow for independent review has not been explained either by the State. </w:t>
      </w:r>
    </w:p>
    <w:p w14:paraId="67BDD28E" w14:textId="77777777" w:rsidR="00300D46" w:rsidRPr="00D65A97" w:rsidRDefault="00300D46" w:rsidP="00300D46">
      <w:pPr>
        <w:ind w:firstLine="720"/>
        <w:jc w:val="both"/>
        <w:rPr>
          <w:rFonts w:asciiTheme="majorHAnsi" w:hAnsiTheme="majorHAnsi"/>
          <w:sz w:val="20"/>
          <w:szCs w:val="20"/>
        </w:rPr>
      </w:pPr>
    </w:p>
    <w:p w14:paraId="784380DA" w14:textId="710DC3BA" w:rsidR="00300D46" w:rsidRPr="00D65A97" w:rsidRDefault="0014478C"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Fourthly, the Commission notes that the mother of the alleged victim mentioned to the Attorney General and the Investigating Magistrate, as of h</w:t>
      </w:r>
      <w:r w:rsidR="00FF008D">
        <w:rPr>
          <w:rFonts w:asciiTheme="majorHAnsi" w:hAnsiTheme="majorHAnsi"/>
          <w:sz w:val="20"/>
          <w:szCs w:val="20"/>
        </w:rPr>
        <w:t>er first written submissions</w:t>
      </w:r>
      <w:r w:rsidR="00FF4185">
        <w:rPr>
          <w:rFonts w:asciiTheme="majorHAnsi" w:hAnsiTheme="majorHAnsi"/>
          <w:sz w:val="20"/>
          <w:szCs w:val="20"/>
        </w:rPr>
        <w:t xml:space="preserve">, that the statements of persons present at the death of Vicente Ariel Noguera existed, which described that his death was not an accidental event or sudden death but rather the result of a violent act, which along with the context of abuses during military service in Paraguay, should have immediately triggered </w:t>
      </w:r>
      <w:r w:rsidR="00A77C57">
        <w:rPr>
          <w:rFonts w:asciiTheme="majorHAnsi" w:hAnsiTheme="majorHAnsi"/>
          <w:sz w:val="20"/>
          <w:szCs w:val="20"/>
        </w:rPr>
        <w:t xml:space="preserve">the </w:t>
      </w:r>
      <w:r w:rsidR="00754494">
        <w:rPr>
          <w:rFonts w:asciiTheme="majorHAnsi" w:hAnsiTheme="majorHAnsi"/>
          <w:sz w:val="20"/>
          <w:szCs w:val="20"/>
        </w:rPr>
        <w:t xml:space="preserve">conceptualization </w:t>
      </w:r>
      <w:r w:rsidR="00A77C57">
        <w:rPr>
          <w:rFonts w:asciiTheme="majorHAnsi" w:hAnsiTheme="majorHAnsi"/>
          <w:sz w:val="20"/>
          <w:szCs w:val="20"/>
        </w:rPr>
        <w:t xml:space="preserve">and exhaustion of a logical line of investigation. </w:t>
      </w:r>
      <w:r w:rsidR="005404D2">
        <w:rPr>
          <w:rFonts w:asciiTheme="majorHAnsi" w:hAnsiTheme="majorHAnsi"/>
          <w:sz w:val="20"/>
          <w:szCs w:val="20"/>
        </w:rPr>
        <w:t xml:space="preserve">Despite </w:t>
      </w:r>
      <w:r w:rsidR="0008714E">
        <w:rPr>
          <w:rFonts w:asciiTheme="majorHAnsi" w:hAnsiTheme="majorHAnsi"/>
          <w:sz w:val="20"/>
          <w:szCs w:val="20"/>
        </w:rPr>
        <w:t xml:space="preserve">this, no investigatory strategy at all can be </w:t>
      </w:r>
      <w:r w:rsidR="000D2352">
        <w:rPr>
          <w:rFonts w:asciiTheme="majorHAnsi" w:hAnsiTheme="majorHAnsi"/>
          <w:sz w:val="20"/>
          <w:szCs w:val="20"/>
        </w:rPr>
        <w:t xml:space="preserve">found in the case </w:t>
      </w:r>
      <w:r w:rsidR="001E0971">
        <w:rPr>
          <w:rFonts w:asciiTheme="majorHAnsi" w:hAnsiTheme="majorHAnsi"/>
          <w:sz w:val="20"/>
          <w:szCs w:val="20"/>
        </w:rPr>
        <w:t>file, based on this information, aimed at corroborating or ruling out these parallel versions</w:t>
      </w:r>
      <w:r w:rsidR="002F6D50">
        <w:rPr>
          <w:rFonts w:asciiTheme="majorHAnsi" w:hAnsiTheme="majorHAnsi"/>
          <w:sz w:val="20"/>
          <w:szCs w:val="20"/>
        </w:rPr>
        <w:t>,</w:t>
      </w:r>
      <w:r w:rsidR="001E0971">
        <w:rPr>
          <w:rFonts w:asciiTheme="majorHAnsi" w:hAnsiTheme="majorHAnsi"/>
          <w:sz w:val="20"/>
          <w:szCs w:val="20"/>
        </w:rPr>
        <w:t xml:space="preserve"> which were reported to the Investigating Magistrate formally and in a timely manner. </w:t>
      </w:r>
    </w:p>
    <w:p w14:paraId="50B32148" w14:textId="77777777" w:rsidR="00300D46" w:rsidRPr="00D65A97" w:rsidRDefault="00300D46" w:rsidP="00300D46">
      <w:pPr>
        <w:pStyle w:val="ListParagraph"/>
        <w:ind w:firstLine="720"/>
        <w:rPr>
          <w:rFonts w:asciiTheme="majorHAnsi" w:hAnsiTheme="majorHAnsi"/>
          <w:sz w:val="20"/>
          <w:szCs w:val="20"/>
        </w:rPr>
      </w:pPr>
    </w:p>
    <w:p w14:paraId="0310AB31" w14:textId="484438EC" w:rsidR="00300D46" w:rsidRPr="00D65A97" w:rsidRDefault="00526EC2"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Fifthly, the Commission notices that on November 6, 2002, the decision was made to archive the private criminal complaint </w:t>
      </w:r>
      <w:r w:rsidR="008F0B4E">
        <w:rPr>
          <w:rFonts w:asciiTheme="majorHAnsi" w:hAnsiTheme="majorHAnsi"/>
          <w:sz w:val="20"/>
          <w:szCs w:val="20"/>
        </w:rPr>
        <w:t xml:space="preserve">on the grounds </w:t>
      </w:r>
      <w:r>
        <w:rPr>
          <w:rFonts w:asciiTheme="majorHAnsi" w:hAnsiTheme="majorHAnsi"/>
          <w:sz w:val="20"/>
          <w:szCs w:val="20"/>
        </w:rPr>
        <w:t>of</w:t>
      </w:r>
      <w:r w:rsidR="00EE49D6">
        <w:rPr>
          <w:rFonts w:asciiTheme="majorHAnsi" w:hAnsiTheme="majorHAnsi"/>
          <w:sz w:val="20"/>
          <w:szCs w:val="20"/>
        </w:rPr>
        <w:t xml:space="preserve"> the ina</w:t>
      </w:r>
      <w:r w:rsidR="00D80E0F">
        <w:rPr>
          <w:rFonts w:asciiTheme="majorHAnsi" w:hAnsiTheme="majorHAnsi"/>
          <w:sz w:val="20"/>
          <w:szCs w:val="20"/>
        </w:rPr>
        <w:t>ctivity of the parties</w:t>
      </w:r>
      <w:r w:rsidR="00300D46" w:rsidRPr="00D65A97">
        <w:rPr>
          <w:rFonts w:asciiTheme="majorHAnsi" w:hAnsiTheme="majorHAnsi"/>
          <w:sz w:val="20"/>
          <w:szCs w:val="20"/>
        </w:rPr>
        <w:t>.</w:t>
      </w:r>
      <w:r w:rsidR="00D80E0F">
        <w:rPr>
          <w:rFonts w:asciiTheme="majorHAnsi" w:hAnsiTheme="majorHAnsi"/>
          <w:sz w:val="20"/>
          <w:szCs w:val="20"/>
        </w:rPr>
        <w:t xml:space="preserve"> Pursuant to the rules governing archiving at the time of the events, </w:t>
      </w:r>
      <w:r w:rsidR="008B4382">
        <w:rPr>
          <w:rFonts w:asciiTheme="majorHAnsi" w:hAnsiTheme="majorHAnsi"/>
          <w:sz w:val="20"/>
          <w:szCs w:val="20"/>
        </w:rPr>
        <w:t xml:space="preserve">procedural inactivity of the parties was </w:t>
      </w:r>
      <w:r w:rsidR="00D51E4C">
        <w:rPr>
          <w:rFonts w:asciiTheme="majorHAnsi" w:hAnsiTheme="majorHAnsi"/>
          <w:sz w:val="20"/>
          <w:szCs w:val="20"/>
        </w:rPr>
        <w:t xml:space="preserve">indeed statutory </w:t>
      </w:r>
      <w:r w:rsidR="008B4382">
        <w:rPr>
          <w:rFonts w:asciiTheme="majorHAnsi" w:hAnsiTheme="majorHAnsi"/>
          <w:sz w:val="20"/>
          <w:szCs w:val="20"/>
        </w:rPr>
        <w:t>grounds</w:t>
      </w:r>
      <w:r w:rsidR="00D51E4C">
        <w:rPr>
          <w:rFonts w:asciiTheme="majorHAnsi" w:hAnsiTheme="majorHAnsi"/>
          <w:sz w:val="20"/>
          <w:szCs w:val="20"/>
        </w:rPr>
        <w:t xml:space="preserve"> </w:t>
      </w:r>
      <w:r w:rsidR="008B4382">
        <w:rPr>
          <w:rFonts w:asciiTheme="majorHAnsi" w:hAnsiTheme="majorHAnsi"/>
          <w:sz w:val="20"/>
          <w:szCs w:val="20"/>
        </w:rPr>
        <w:t xml:space="preserve">for </w:t>
      </w:r>
      <w:r w:rsidR="00AA367A">
        <w:rPr>
          <w:rFonts w:asciiTheme="majorHAnsi" w:hAnsiTheme="majorHAnsi"/>
          <w:sz w:val="20"/>
          <w:szCs w:val="20"/>
        </w:rPr>
        <w:t xml:space="preserve">the </w:t>
      </w:r>
      <w:r w:rsidR="008B4382">
        <w:rPr>
          <w:rFonts w:asciiTheme="majorHAnsi" w:hAnsiTheme="majorHAnsi"/>
          <w:sz w:val="20"/>
          <w:szCs w:val="20"/>
        </w:rPr>
        <w:t>arch</w:t>
      </w:r>
      <w:r w:rsidR="004F55CC">
        <w:rPr>
          <w:rFonts w:asciiTheme="majorHAnsi" w:hAnsiTheme="majorHAnsi"/>
          <w:sz w:val="20"/>
          <w:szCs w:val="20"/>
        </w:rPr>
        <w:t xml:space="preserve">iving </w:t>
      </w:r>
      <w:r w:rsidR="000F6E5C">
        <w:rPr>
          <w:rFonts w:asciiTheme="majorHAnsi" w:hAnsiTheme="majorHAnsi"/>
          <w:sz w:val="20"/>
          <w:szCs w:val="20"/>
        </w:rPr>
        <w:t xml:space="preserve">of </w:t>
      </w:r>
      <w:r w:rsidR="004F55CC">
        <w:rPr>
          <w:rFonts w:asciiTheme="majorHAnsi" w:hAnsiTheme="majorHAnsi"/>
          <w:sz w:val="20"/>
          <w:szCs w:val="20"/>
        </w:rPr>
        <w:t xml:space="preserve">a case. </w:t>
      </w:r>
      <w:r w:rsidR="00463353">
        <w:rPr>
          <w:rFonts w:asciiTheme="majorHAnsi" w:hAnsiTheme="majorHAnsi"/>
          <w:sz w:val="20"/>
          <w:szCs w:val="20"/>
        </w:rPr>
        <w:t>The Commission finds that, even though the decision to archive</w:t>
      </w:r>
      <w:r w:rsidR="001479F0">
        <w:rPr>
          <w:rFonts w:asciiTheme="majorHAnsi" w:hAnsiTheme="majorHAnsi"/>
          <w:sz w:val="20"/>
          <w:szCs w:val="20"/>
        </w:rPr>
        <w:t xml:space="preserve"> does not indicate </w:t>
      </w:r>
      <w:r w:rsidR="00D06882">
        <w:rPr>
          <w:rFonts w:asciiTheme="majorHAnsi" w:hAnsiTheme="majorHAnsi"/>
          <w:sz w:val="20"/>
          <w:szCs w:val="20"/>
        </w:rPr>
        <w:t xml:space="preserve">to </w:t>
      </w:r>
      <w:r w:rsidR="001479F0">
        <w:rPr>
          <w:rFonts w:asciiTheme="majorHAnsi" w:hAnsiTheme="majorHAnsi"/>
          <w:sz w:val="20"/>
          <w:szCs w:val="20"/>
        </w:rPr>
        <w:t xml:space="preserve">which party specifically the inactivity is attributed, the inactivity of the mother could not be the grounds for the State to archive a criminal case, </w:t>
      </w:r>
      <w:r w:rsidR="00DA02D9">
        <w:rPr>
          <w:rFonts w:asciiTheme="majorHAnsi" w:hAnsiTheme="majorHAnsi"/>
          <w:sz w:val="20"/>
          <w:szCs w:val="20"/>
        </w:rPr>
        <w:t xml:space="preserve">inasmuch as </w:t>
      </w:r>
      <w:r w:rsidR="002B1688">
        <w:rPr>
          <w:rFonts w:asciiTheme="majorHAnsi" w:hAnsiTheme="majorHAnsi"/>
          <w:sz w:val="20"/>
          <w:szCs w:val="20"/>
        </w:rPr>
        <w:t xml:space="preserve">in accordance with Inter-American standards, it is the responsibility of State authorities to move forward in the </w:t>
      </w:r>
      <w:r w:rsidR="000C74D0">
        <w:rPr>
          <w:rFonts w:asciiTheme="majorHAnsi" w:hAnsiTheme="majorHAnsi"/>
          <w:sz w:val="20"/>
          <w:szCs w:val="20"/>
        </w:rPr>
        <w:t xml:space="preserve">investigation </w:t>
      </w:r>
      <w:r w:rsidR="002B1688">
        <w:rPr>
          <w:rFonts w:asciiTheme="majorHAnsi" w:hAnsiTheme="majorHAnsi"/>
          <w:sz w:val="20"/>
          <w:szCs w:val="20"/>
        </w:rPr>
        <w:t xml:space="preserve">proceedings, not the responsibility of the victims or </w:t>
      </w:r>
      <w:r w:rsidR="00F60BBE">
        <w:rPr>
          <w:rFonts w:asciiTheme="majorHAnsi" w:hAnsiTheme="majorHAnsi"/>
          <w:sz w:val="20"/>
          <w:szCs w:val="20"/>
        </w:rPr>
        <w:t xml:space="preserve">their </w:t>
      </w:r>
      <w:r w:rsidR="002B1688">
        <w:rPr>
          <w:rFonts w:asciiTheme="majorHAnsi" w:hAnsiTheme="majorHAnsi"/>
          <w:sz w:val="20"/>
          <w:szCs w:val="20"/>
        </w:rPr>
        <w:t>family members</w:t>
      </w:r>
      <w:r w:rsidR="00F60BBE">
        <w:rPr>
          <w:rFonts w:asciiTheme="majorHAnsi" w:hAnsiTheme="majorHAnsi"/>
          <w:sz w:val="20"/>
          <w:szCs w:val="20"/>
        </w:rPr>
        <w:t xml:space="preserve">. In this same vein, if the decision to archive is based on the inactivity of the prosecutor, this could be indicative precisely </w:t>
      </w:r>
      <w:r w:rsidR="009C3F0C">
        <w:rPr>
          <w:rFonts w:asciiTheme="majorHAnsi" w:hAnsiTheme="majorHAnsi"/>
          <w:sz w:val="20"/>
          <w:szCs w:val="20"/>
        </w:rPr>
        <w:t xml:space="preserve">of </w:t>
      </w:r>
      <w:r w:rsidR="00F60BBE">
        <w:rPr>
          <w:rFonts w:asciiTheme="majorHAnsi" w:hAnsiTheme="majorHAnsi"/>
          <w:sz w:val="20"/>
          <w:szCs w:val="20"/>
        </w:rPr>
        <w:t xml:space="preserve">a breach of the duty to investigate with due diligence. </w:t>
      </w:r>
    </w:p>
    <w:p w14:paraId="318416B9" w14:textId="77777777" w:rsidR="00300D46" w:rsidRPr="00D65A97" w:rsidRDefault="00300D46" w:rsidP="00300D46">
      <w:pPr>
        <w:ind w:left="360" w:firstLine="720"/>
        <w:jc w:val="both"/>
        <w:rPr>
          <w:rFonts w:asciiTheme="majorHAnsi" w:hAnsiTheme="majorHAnsi"/>
          <w:sz w:val="20"/>
          <w:szCs w:val="20"/>
        </w:rPr>
      </w:pPr>
    </w:p>
    <w:p w14:paraId="33687939" w14:textId="1ECA6DC6" w:rsidR="00300D46" w:rsidRPr="00D65A97" w:rsidRDefault="00B7314A"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Sixthly and lastly, the Commission finds that six months is too short </w:t>
      </w:r>
      <w:r w:rsidR="00BF0B73">
        <w:rPr>
          <w:rFonts w:asciiTheme="majorHAnsi" w:hAnsiTheme="majorHAnsi"/>
          <w:sz w:val="20"/>
          <w:szCs w:val="20"/>
        </w:rPr>
        <w:t xml:space="preserve">of </w:t>
      </w:r>
      <w:r>
        <w:rPr>
          <w:rFonts w:asciiTheme="majorHAnsi" w:hAnsiTheme="majorHAnsi"/>
          <w:sz w:val="20"/>
          <w:szCs w:val="20"/>
        </w:rPr>
        <w:t xml:space="preserve">a period to be able to complete evidence collection. </w:t>
      </w:r>
      <w:r w:rsidR="00AC782A">
        <w:rPr>
          <w:rFonts w:asciiTheme="majorHAnsi" w:hAnsiTheme="majorHAnsi"/>
          <w:sz w:val="20"/>
          <w:szCs w:val="20"/>
        </w:rPr>
        <w:t xml:space="preserve">Only two statements were taken, </w:t>
      </w:r>
      <w:r w:rsidR="001E0C2C">
        <w:rPr>
          <w:rFonts w:asciiTheme="majorHAnsi" w:hAnsiTheme="majorHAnsi"/>
          <w:sz w:val="20"/>
          <w:szCs w:val="20"/>
        </w:rPr>
        <w:t xml:space="preserve">protections </w:t>
      </w:r>
      <w:r w:rsidR="00AC782A">
        <w:rPr>
          <w:rFonts w:asciiTheme="majorHAnsi" w:hAnsiTheme="majorHAnsi"/>
          <w:sz w:val="20"/>
          <w:szCs w:val="20"/>
        </w:rPr>
        <w:t xml:space="preserve">were not put in place </w:t>
      </w:r>
      <w:r w:rsidR="005504A3">
        <w:rPr>
          <w:rFonts w:asciiTheme="majorHAnsi" w:hAnsiTheme="majorHAnsi"/>
          <w:sz w:val="20"/>
          <w:szCs w:val="20"/>
        </w:rPr>
        <w:t xml:space="preserve">for witness </w:t>
      </w:r>
      <w:r w:rsidR="00AC782A">
        <w:rPr>
          <w:rFonts w:asciiTheme="majorHAnsi" w:hAnsiTheme="majorHAnsi"/>
          <w:sz w:val="20"/>
          <w:szCs w:val="20"/>
        </w:rPr>
        <w:t xml:space="preserve">to be able to </w:t>
      </w:r>
      <w:r w:rsidR="005504A3">
        <w:rPr>
          <w:rFonts w:asciiTheme="majorHAnsi" w:hAnsiTheme="majorHAnsi"/>
          <w:sz w:val="20"/>
          <w:szCs w:val="20"/>
        </w:rPr>
        <w:t xml:space="preserve">provide statements </w:t>
      </w:r>
      <w:r w:rsidR="00AC782A">
        <w:rPr>
          <w:rFonts w:asciiTheme="majorHAnsi" w:hAnsiTheme="majorHAnsi"/>
          <w:sz w:val="20"/>
          <w:szCs w:val="20"/>
        </w:rPr>
        <w:t xml:space="preserve">free of fear and retaliation, no diligent autopsy was performed in keeping with applicable standards (Minnesota Protocol) and no </w:t>
      </w:r>
      <w:r w:rsidR="005504A3">
        <w:rPr>
          <w:rFonts w:asciiTheme="majorHAnsi" w:hAnsiTheme="majorHAnsi"/>
          <w:sz w:val="20"/>
          <w:szCs w:val="20"/>
        </w:rPr>
        <w:t xml:space="preserve">line of investigation was followed </w:t>
      </w:r>
      <w:r w:rsidR="00AC782A">
        <w:rPr>
          <w:rFonts w:asciiTheme="majorHAnsi" w:hAnsiTheme="majorHAnsi"/>
          <w:sz w:val="20"/>
          <w:szCs w:val="20"/>
        </w:rPr>
        <w:t>to address</w:t>
      </w:r>
      <w:r w:rsidR="005504A3">
        <w:rPr>
          <w:rFonts w:asciiTheme="majorHAnsi" w:hAnsiTheme="majorHAnsi"/>
          <w:sz w:val="20"/>
          <w:szCs w:val="20"/>
        </w:rPr>
        <w:t xml:space="preserve"> information about a possible violent death stemming from the fact that the death of Vicente Ariel Noguera took place </w:t>
      </w:r>
      <w:r w:rsidR="00A8346F">
        <w:rPr>
          <w:rFonts w:asciiTheme="majorHAnsi" w:hAnsiTheme="majorHAnsi"/>
          <w:sz w:val="20"/>
          <w:szCs w:val="20"/>
        </w:rPr>
        <w:t xml:space="preserve">in a specific context as a </w:t>
      </w:r>
      <w:r w:rsidR="001E0C2C">
        <w:rPr>
          <w:rFonts w:asciiTheme="majorHAnsi" w:hAnsiTheme="majorHAnsi"/>
          <w:sz w:val="20"/>
          <w:szCs w:val="20"/>
        </w:rPr>
        <w:t xml:space="preserve">cadet </w:t>
      </w:r>
      <w:r w:rsidR="00A8346F">
        <w:rPr>
          <w:rFonts w:asciiTheme="majorHAnsi" w:hAnsiTheme="majorHAnsi"/>
          <w:sz w:val="20"/>
          <w:szCs w:val="20"/>
        </w:rPr>
        <w:t xml:space="preserve">while doing military service under the custody of the State. </w:t>
      </w:r>
      <w:r w:rsidR="00404FE2">
        <w:rPr>
          <w:rFonts w:asciiTheme="majorHAnsi" w:hAnsiTheme="majorHAnsi"/>
          <w:sz w:val="20"/>
          <w:szCs w:val="20"/>
        </w:rPr>
        <w:t>Furthermore, during the investigation, the very little photographic evidence of the first autopsy</w:t>
      </w:r>
      <w:r w:rsidR="00AD7D88">
        <w:rPr>
          <w:rFonts w:asciiTheme="majorHAnsi" w:hAnsiTheme="majorHAnsi"/>
          <w:sz w:val="20"/>
          <w:szCs w:val="20"/>
        </w:rPr>
        <w:t xml:space="preserve"> had to be requested from the press, and the rest of the information </w:t>
      </w:r>
      <w:r w:rsidR="002567B2">
        <w:rPr>
          <w:rFonts w:asciiTheme="majorHAnsi" w:hAnsiTheme="majorHAnsi"/>
          <w:sz w:val="20"/>
          <w:szCs w:val="20"/>
        </w:rPr>
        <w:t xml:space="preserve">was requested from CIMEFOR (reports on the day of death of the alleged victim) and from the Supreme Military Court (military jurisdiction case file), </w:t>
      </w:r>
      <w:r w:rsidR="004B4D41">
        <w:rPr>
          <w:rFonts w:asciiTheme="majorHAnsi" w:hAnsiTheme="majorHAnsi"/>
          <w:sz w:val="20"/>
          <w:szCs w:val="20"/>
        </w:rPr>
        <w:t xml:space="preserve">and </w:t>
      </w:r>
      <w:r w:rsidR="002567B2">
        <w:rPr>
          <w:rFonts w:asciiTheme="majorHAnsi" w:hAnsiTheme="majorHAnsi"/>
          <w:sz w:val="20"/>
          <w:szCs w:val="20"/>
        </w:rPr>
        <w:t xml:space="preserve">was never assessed because the complaint was archived, as was noted above, </w:t>
      </w:r>
      <w:r w:rsidR="001121B0">
        <w:rPr>
          <w:rFonts w:asciiTheme="majorHAnsi" w:hAnsiTheme="majorHAnsi"/>
          <w:sz w:val="20"/>
          <w:szCs w:val="20"/>
        </w:rPr>
        <w:t xml:space="preserve">on the grounds </w:t>
      </w:r>
      <w:r w:rsidR="002567B2">
        <w:rPr>
          <w:rFonts w:asciiTheme="majorHAnsi" w:hAnsiTheme="majorHAnsi"/>
          <w:sz w:val="20"/>
          <w:szCs w:val="20"/>
        </w:rPr>
        <w:t xml:space="preserve">of the </w:t>
      </w:r>
      <w:r w:rsidR="00F8641C">
        <w:rPr>
          <w:rFonts w:asciiTheme="majorHAnsi" w:hAnsiTheme="majorHAnsi"/>
          <w:sz w:val="20"/>
          <w:szCs w:val="20"/>
        </w:rPr>
        <w:t xml:space="preserve">procedural </w:t>
      </w:r>
      <w:r w:rsidR="002567B2">
        <w:rPr>
          <w:rFonts w:asciiTheme="majorHAnsi" w:hAnsiTheme="majorHAnsi"/>
          <w:sz w:val="20"/>
          <w:szCs w:val="20"/>
        </w:rPr>
        <w:t xml:space="preserve">inactivity of the mother. </w:t>
      </w:r>
      <w:r w:rsidR="00981CB0">
        <w:rPr>
          <w:rFonts w:asciiTheme="majorHAnsi" w:hAnsiTheme="majorHAnsi"/>
          <w:sz w:val="20"/>
          <w:szCs w:val="20"/>
        </w:rPr>
        <w:t xml:space="preserve">In this regard, the Commission finds that the State’s actions regarding evidence collection and examination, over the course of six months, does not meet the standards of due diligence for deaths </w:t>
      </w:r>
      <w:r w:rsidR="00573DC0">
        <w:rPr>
          <w:rFonts w:asciiTheme="majorHAnsi" w:hAnsiTheme="majorHAnsi"/>
          <w:sz w:val="20"/>
          <w:szCs w:val="20"/>
        </w:rPr>
        <w:t xml:space="preserve">of persons </w:t>
      </w:r>
      <w:r w:rsidR="00981CB0">
        <w:rPr>
          <w:rFonts w:asciiTheme="majorHAnsi" w:hAnsiTheme="majorHAnsi"/>
          <w:sz w:val="20"/>
          <w:szCs w:val="20"/>
        </w:rPr>
        <w:t xml:space="preserve">under the custody of the State. </w:t>
      </w:r>
    </w:p>
    <w:p w14:paraId="49FF4B29" w14:textId="77777777" w:rsidR="00300D46" w:rsidRPr="00D65A97" w:rsidRDefault="00300D46" w:rsidP="00300D46">
      <w:pPr>
        <w:jc w:val="both"/>
        <w:rPr>
          <w:rFonts w:asciiTheme="majorHAnsi" w:hAnsiTheme="majorHAnsi"/>
          <w:sz w:val="20"/>
          <w:szCs w:val="20"/>
        </w:rPr>
      </w:pPr>
    </w:p>
    <w:p w14:paraId="61F33A5C" w14:textId="265B39BC" w:rsidR="00300D46" w:rsidRPr="00D65A97" w:rsidRDefault="0048610B" w:rsidP="00A17B98">
      <w:pPr>
        <w:pStyle w:val="Heading3"/>
        <w:rPr>
          <w:lang w:val="en-US"/>
        </w:rPr>
      </w:pPr>
      <w:bookmarkStart w:id="27" w:name="_Toc506095186"/>
      <w:r>
        <w:rPr>
          <w:lang w:val="en-US"/>
        </w:rPr>
        <w:t xml:space="preserve">Reasonable </w:t>
      </w:r>
      <w:r w:rsidR="00787717">
        <w:rPr>
          <w:lang w:val="en-US"/>
        </w:rPr>
        <w:t>time in</w:t>
      </w:r>
      <w:r>
        <w:rPr>
          <w:lang w:val="en-US"/>
        </w:rPr>
        <w:t xml:space="preserve"> the investigation into the death of Vicente Ariel Noguera </w:t>
      </w:r>
      <w:bookmarkEnd w:id="27"/>
    </w:p>
    <w:p w14:paraId="4B12CCCA" w14:textId="77777777" w:rsidR="00300D46" w:rsidRPr="00D65A97" w:rsidRDefault="00300D46" w:rsidP="00300D46">
      <w:pPr>
        <w:ind w:left="630"/>
        <w:jc w:val="both"/>
        <w:rPr>
          <w:rFonts w:asciiTheme="majorHAnsi" w:hAnsiTheme="majorHAnsi"/>
          <w:b/>
          <w:sz w:val="20"/>
          <w:szCs w:val="20"/>
        </w:rPr>
      </w:pPr>
    </w:p>
    <w:p w14:paraId="2B473468" w14:textId="09FC143F" w:rsidR="00300D46" w:rsidRPr="00D65A97" w:rsidRDefault="0048610B"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The Commission takes note that the investigation was conducted over the course of almost six years </w:t>
      </w:r>
      <w:r w:rsidR="00300D46" w:rsidRPr="00D65A97">
        <w:rPr>
          <w:rFonts w:asciiTheme="majorHAnsi" w:hAnsiTheme="majorHAnsi"/>
          <w:sz w:val="20"/>
          <w:szCs w:val="20"/>
        </w:rPr>
        <w:t xml:space="preserve">(1996 - 2002) </w:t>
      </w:r>
      <w:r>
        <w:rPr>
          <w:rFonts w:asciiTheme="majorHAnsi" w:hAnsiTheme="majorHAnsi"/>
          <w:sz w:val="20"/>
          <w:szCs w:val="20"/>
        </w:rPr>
        <w:t>prior to being archived.</w:t>
      </w:r>
      <w:r w:rsidR="007C3563">
        <w:rPr>
          <w:rFonts w:asciiTheme="majorHAnsi" w:hAnsiTheme="majorHAnsi"/>
          <w:sz w:val="20"/>
          <w:szCs w:val="20"/>
        </w:rPr>
        <w:t xml:space="preserve"> As to the complexity of the matter, the Commission notes that it was not a particularly complex</w:t>
      </w:r>
      <w:r w:rsidR="00202FBA">
        <w:rPr>
          <w:rFonts w:asciiTheme="majorHAnsi" w:hAnsiTheme="majorHAnsi"/>
          <w:sz w:val="20"/>
          <w:szCs w:val="20"/>
        </w:rPr>
        <w:t xml:space="preserve"> case</w:t>
      </w:r>
      <w:r w:rsidR="007C3563">
        <w:rPr>
          <w:rFonts w:asciiTheme="majorHAnsi" w:hAnsiTheme="majorHAnsi"/>
          <w:sz w:val="20"/>
          <w:szCs w:val="20"/>
        </w:rPr>
        <w:t xml:space="preserve">, taking into account that it involved the death of just </w:t>
      </w:r>
      <w:r w:rsidR="00B720AF">
        <w:rPr>
          <w:rFonts w:asciiTheme="majorHAnsi" w:hAnsiTheme="majorHAnsi"/>
          <w:sz w:val="20"/>
          <w:szCs w:val="20"/>
        </w:rPr>
        <w:t>one person and that there is no</w:t>
      </w:r>
      <w:r w:rsidR="007C3563">
        <w:rPr>
          <w:rFonts w:asciiTheme="majorHAnsi" w:hAnsiTheme="majorHAnsi"/>
          <w:sz w:val="20"/>
          <w:szCs w:val="20"/>
        </w:rPr>
        <w:t xml:space="preserve"> dispute as to the fact that it took place under the custody of the State at the above-referenced military</w:t>
      </w:r>
      <w:r w:rsidR="004429AB">
        <w:rPr>
          <w:rFonts w:asciiTheme="majorHAnsi" w:hAnsiTheme="majorHAnsi"/>
          <w:sz w:val="20"/>
          <w:szCs w:val="20"/>
        </w:rPr>
        <w:t xml:space="preserve"> facility</w:t>
      </w:r>
      <w:r w:rsidR="007C3563">
        <w:rPr>
          <w:rFonts w:asciiTheme="majorHAnsi" w:hAnsiTheme="majorHAnsi"/>
          <w:sz w:val="20"/>
          <w:szCs w:val="20"/>
        </w:rPr>
        <w:t xml:space="preserve">. </w:t>
      </w:r>
      <w:r w:rsidR="00C20D49">
        <w:rPr>
          <w:rFonts w:asciiTheme="majorHAnsi" w:hAnsiTheme="majorHAnsi"/>
          <w:sz w:val="20"/>
          <w:szCs w:val="20"/>
        </w:rPr>
        <w:t xml:space="preserve">In any case, the State did not </w:t>
      </w:r>
      <w:r w:rsidR="001E635B">
        <w:rPr>
          <w:rFonts w:asciiTheme="majorHAnsi" w:hAnsiTheme="majorHAnsi"/>
          <w:sz w:val="20"/>
          <w:szCs w:val="20"/>
        </w:rPr>
        <w:t xml:space="preserve">provide any arguments as to possible complexity, nor did </w:t>
      </w:r>
      <w:r w:rsidR="006849B8">
        <w:rPr>
          <w:rFonts w:asciiTheme="majorHAnsi" w:hAnsiTheme="majorHAnsi"/>
          <w:sz w:val="20"/>
          <w:szCs w:val="20"/>
        </w:rPr>
        <w:t xml:space="preserve">it specifically link these delays to such complexity. </w:t>
      </w:r>
    </w:p>
    <w:p w14:paraId="65B23725" w14:textId="77777777" w:rsidR="00300D46" w:rsidRPr="00D65A97" w:rsidRDefault="00300D46" w:rsidP="00300D46">
      <w:pPr>
        <w:ind w:left="360" w:firstLine="720"/>
        <w:jc w:val="both"/>
        <w:rPr>
          <w:rFonts w:asciiTheme="majorHAnsi" w:hAnsiTheme="majorHAnsi"/>
          <w:b/>
          <w:sz w:val="20"/>
          <w:szCs w:val="20"/>
        </w:rPr>
      </w:pPr>
    </w:p>
    <w:p w14:paraId="00FA7D95" w14:textId="65FFA257" w:rsidR="00300D46" w:rsidRPr="00D65A97" w:rsidRDefault="00450984"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As for the actions of th</w:t>
      </w:r>
      <w:r w:rsidR="00D36A05">
        <w:rPr>
          <w:rFonts w:asciiTheme="majorHAnsi" w:hAnsiTheme="majorHAnsi"/>
          <w:sz w:val="20"/>
          <w:szCs w:val="20"/>
        </w:rPr>
        <w:t>e interested party, the Commissi</w:t>
      </w:r>
      <w:r>
        <w:rPr>
          <w:rFonts w:asciiTheme="majorHAnsi" w:hAnsiTheme="majorHAnsi"/>
          <w:sz w:val="20"/>
          <w:szCs w:val="20"/>
        </w:rPr>
        <w:t xml:space="preserve">on notes that </w:t>
      </w:r>
      <w:r w:rsidR="00C671E6">
        <w:rPr>
          <w:rFonts w:asciiTheme="majorHAnsi" w:hAnsiTheme="majorHAnsi"/>
          <w:sz w:val="20"/>
          <w:szCs w:val="20"/>
        </w:rPr>
        <w:t xml:space="preserve">there is no information whatsoever in the case file to </w:t>
      </w:r>
      <w:r w:rsidR="001C0B83">
        <w:rPr>
          <w:rFonts w:asciiTheme="majorHAnsi" w:hAnsiTheme="majorHAnsi"/>
          <w:sz w:val="20"/>
          <w:szCs w:val="20"/>
        </w:rPr>
        <w:t xml:space="preserve">indicate that the victim’s mother hampered in any way the investigations. </w:t>
      </w:r>
      <w:r w:rsidR="00A6419A">
        <w:rPr>
          <w:rFonts w:asciiTheme="majorHAnsi" w:hAnsiTheme="majorHAnsi"/>
          <w:sz w:val="20"/>
          <w:szCs w:val="20"/>
        </w:rPr>
        <w:t xml:space="preserve">On the contrary, the investigations were conducted at her initiative and she provided the information that was available to her. </w:t>
      </w:r>
      <w:r w:rsidR="00A64EEA">
        <w:rPr>
          <w:rFonts w:asciiTheme="majorHAnsi" w:hAnsiTheme="majorHAnsi"/>
          <w:sz w:val="20"/>
          <w:szCs w:val="20"/>
        </w:rPr>
        <w:t>As to the archiving of the case, the IACHR has previously established in this report that it runs counter to the Con</w:t>
      </w:r>
      <w:r w:rsidR="00B35D4E">
        <w:rPr>
          <w:rFonts w:asciiTheme="majorHAnsi" w:hAnsiTheme="majorHAnsi"/>
          <w:sz w:val="20"/>
          <w:szCs w:val="20"/>
        </w:rPr>
        <w:t xml:space="preserve">vention to use the inactivity, either </w:t>
      </w:r>
      <w:r w:rsidR="00A64EEA">
        <w:rPr>
          <w:rFonts w:asciiTheme="majorHAnsi" w:hAnsiTheme="majorHAnsi"/>
          <w:sz w:val="20"/>
          <w:szCs w:val="20"/>
        </w:rPr>
        <w:t>of the mothe</w:t>
      </w:r>
      <w:r w:rsidR="00B35D4E">
        <w:rPr>
          <w:rFonts w:asciiTheme="majorHAnsi" w:hAnsiTheme="majorHAnsi"/>
          <w:sz w:val="20"/>
          <w:szCs w:val="20"/>
        </w:rPr>
        <w:t>r or of the Prosecutor’s Office,</w:t>
      </w:r>
      <w:r w:rsidR="00A64EEA">
        <w:rPr>
          <w:rFonts w:asciiTheme="majorHAnsi" w:hAnsiTheme="majorHAnsi"/>
          <w:sz w:val="20"/>
          <w:szCs w:val="20"/>
        </w:rPr>
        <w:t xml:space="preserve"> to </w:t>
      </w:r>
      <w:r w:rsidR="00CB56BB">
        <w:rPr>
          <w:rFonts w:asciiTheme="majorHAnsi" w:hAnsiTheme="majorHAnsi"/>
          <w:sz w:val="20"/>
          <w:szCs w:val="20"/>
        </w:rPr>
        <w:t xml:space="preserve">discontinue </w:t>
      </w:r>
      <w:r w:rsidR="008A1EC9">
        <w:rPr>
          <w:rFonts w:asciiTheme="majorHAnsi" w:hAnsiTheme="majorHAnsi"/>
          <w:sz w:val="20"/>
          <w:szCs w:val="20"/>
        </w:rPr>
        <w:t xml:space="preserve">the investigation into the death of the alleged victim before exercising due diligence. </w:t>
      </w:r>
    </w:p>
    <w:p w14:paraId="24B06943" w14:textId="77777777" w:rsidR="00300D46" w:rsidRPr="00D65A97" w:rsidRDefault="00300D46" w:rsidP="00300D46">
      <w:pPr>
        <w:ind w:left="360" w:firstLine="720"/>
        <w:jc w:val="both"/>
        <w:rPr>
          <w:rFonts w:asciiTheme="majorHAnsi" w:hAnsiTheme="majorHAnsi"/>
          <w:b/>
          <w:sz w:val="20"/>
          <w:szCs w:val="20"/>
        </w:rPr>
      </w:pPr>
    </w:p>
    <w:p w14:paraId="1EC308A8" w14:textId="033E1491" w:rsidR="00300D46" w:rsidRPr="00D65A97" w:rsidRDefault="00A670B7"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With respect to the procedural conduct of the State, the Commission finds that two elements of fact </w:t>
      </w:r>
      <w:r w:rsidR="00B46355">
        <w:rPr>
          <w:rFonts w:asciiTheme="majorHAnsi" w:hAnsiTheme="majorHAnsi"/>
          <w:sz w:val="20"/>
          <w:szCs w:val="20"/>
        </w:rPr>
        <w:t xml:space="preserve">illustrate </w:t>
      </w:r>
      <w:r w:rsidR="00183578">
        <w:rPr>
          <w:rFonts w:asciiTheme="majorHAnsi" w:hAnsiTheme="majorHAnsi"/>
          <w:sz w:val="20"/>
          <w:szCs w:val="20"/>
        </w:rPr>
        <w:t xml:space="preserve">the </w:t>
      </w:r>
      <w:r w:rsidR="00B46355">
        <w:rPr>
          <w:rFonts w:asciiTheme="majorHAnsi" w:hAnsiTheme="majorHAnsi"/>
          <w:sz w:val="20"/>
          <w:szCs w:val="20"/>
        </w:rPr>
        <w:t>delay,</w:t>
      </w:r>
      <w:r w:rsidR="00965B5C">
        <w:rPr>
          <w:rFonts w:asciiTheme="majorHAnsi" w:hAnsiTheme="majorHAnsi"/>
          <w:sz w:val="20"/>
          <w:szCs w:val="20"/>
        </w:rPr>
        <w:t xml:space="preserve"> among other ones, and these are</w:t>
      </w:r>
      <w:r w:rsidR="00B46355">
        <w:rPr>
          <w:rFonts w:asciiTheme="majorHAnsi" w:hAnsiTheme="majorHAnsi"/>
          <w:sz w:val="20"/>
          <w:szCs w:val="20"/>
        </w:rPr>
        <w:t xml:space="preserve">: </w:t>
      </w:r>
      <w:r w:rsidR="004A3AE6">
        <w:rPr>
          <w:rFonts w:asciiTheme="majorHAnsi" w:hAnsiTheme="majorHAnsi"/>
          <w:sz w:val="20"/>
          <w:szCs w:val="20"/>
        </w:rPr>
        <w:t xml:space="preserve">calling the witnesses to provide statements and </w:t>
      </w:r>
      <w:r w:rsidR="00B46355">
        <w:rPr>
          <w:rFonts w:asciiTheme="majorHAnsi" w:hAnsiTheme="majorHAnsi"/>
          <w:sz w:val="20"/>
          <w:szCs w:val="20"/>
        </w:rPr>
        <w:t>the jurisdictional dispute</w:t>
      </w:r>
      <w:r w:rsidR="00801CDD">
        <w:rPr>
          <w:rFonts w:asciiTheme="majorHAnsi" w:hAnsiTheme="majorHAnsi"/>
          <w:sz w:val="20"/>
          <w:szCs w:val="20"/>
        </w:rPr>
        <w:t>,</w:t>
      </w:r>
      <w:r w:rsidR="004A3AE6">
        <w:rPr>
          <w:rFonts w:asciiTheme="majorHAnsi" w:hAnsiTheme="majorHAnsi"/>
          <w:sz w:val="20"/>
          <w:szCs w:val="20"/>
        </w:rPr>
        <w:t xml:space="preserve"> which took place </w:t>
      </w:r>
      <w:r w:rsidR="008A2207">
        <w:rPr>
          <w:rFonts w:asciiTheme="majorHAnsi" w:hAnsiTheme="majorHAnsi"/>
          <w:sz w:val="20"/>
          <w:szCs w:val="20"/>
        </w:rPr>
        <w:t xml:space="preserve">in the context of the main investigation. </w:t>
      </w:r>
    </w:p>
    <w:p w14:paraId="3B2FE7CA" w14:textId="77777777" w:rsidR="00300D46" w:rsidRPr="00D65A97" w:rsidRDefault="00300D46" w:rsidP="00300D46">
      <w:pPr>
        <w:ind w:firstLine="720"/>
        <w:jc w:val="both"/>
        <w:rPr>
          <w:rFonts w:asciiTheme="majorHAnsi" w:hAnsiTheme="majorHAnsi"/>
          <w:sz w:val="20"/>
          <w:szCs w:val="20"/>
        </w:rPr>
      </w:pPr>
    </w:p>
    <w:p w14:paraId="37DC0EE8" w14:textId="4AA9D89A" w:rsidR="00300D46" w:rsidRPr="00D65A97" w:rsidRDefault="00C2691D"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Regarding the first</w:t>
      </w:r>
      <w:r w:rsidR="00396780">
        <w:rPr>
          <w:rFonts w:asciiTheme="majorHAnsi" w:hAnsiTheme="majorHAnsi"/>
          <w:sz w:val="20"/>
          <w:szCs w:val="20"/>
        </w:rPr>
        <w:t xml:space="preserve"> point</w:t>
      </w:r>
      <w:r>
        <w:rPr>
          <w:rFonts w:asciiTheme="majorHAnsi" w:hAnsiTheme="majorHAnsi"/>
          <w:sz w:val="20"/>
          <w:szCs w:val="20"/>
        </w:rPr>
        <w:t xml:space="preserve">, the IACHR established earlier that the State breached its duty to successfully </w:t>
      </w:r>
      <w:r w:rsidR="00B94F50">
        <w:rPr>
          <w:rFonts w:asciiTheme="majorHAnsi" w:hAnsiTheme="majorHAnsi"/>
          <w:sz w:val="20"/>
          <w:szCs w:val="20"/>
        </w:rPr>
        <w:t xml:space="preserve">collect </w:t>
      </w:r>
      <w:r>
        <w:rPr>
          <w:rFonts w:asciiTheme="majorHAnsi" w:hAnsiTheme="majorHAnsi"/>
          <w:sz w:val="20"/>
          <w:szCs w:val="20"/>
        </w:rPr>
        <w:t xml:space="preserve">testimonial evidence, </w:t>
      </w:r>
      <w:r>
        <w:rPr>
          <w:rFonts w:asciiTheme="majorHAnsi" w:hAnsiTheme="majorHAnsi"/>
          <w:i/>
          <w:sz w:val="20"/>
          <w:szCs w:val="20"/>
        </w:rPr>
        <w:t xml:space="preserve">ex officio, </w:t>
      </w:r>
      <w:r>
        <w:rPr>
          <w:rFonts w:asciiTheme="majorHAnsi" w:hAnsiTheme="majorHAnsi"/>
          <w:sz w:val="20"/>
          <w:szCs w:val="20"/>
        </w:rPr>
        <w:t xml:space="preserve">in view of the fact that it was its duty to </w:t>
      </w:r>
      <w:r w:rsidR="00446B57">
        <w:rPr>
          <w:rFonts w:asciiTheme="majorHAnsi" w:hAnsiTheme="majorHAnsi"/>
          <w:sz w:val="20"/>
          <w:szCs w:val="20"/>
        </w:rPr>
        <w:t xml:space="preserve">obtain, on its own initiative, the addresses of the </w:t>
      </w:r>
      <w:r w:rsidR="0057537E">
        <w:rPr>
          <w:rFonts w:asciiTheme="majorHAnsi" w:hAnsiTheme="majorHAnsi"/>
          <w:sz w:val="20"/>
          <w:szCs w:val="20"/>
        </w:rPr>
        <w:t>cadet witnesses.</w:t>
      </w:r>
      <w:r w:rsidR="00446B57">
        <w:rPr>
          <w:rFonts w:asciiTheme="majorHAnsi" w:hAnsiTheme="majorHAnsi"/>
          <w:sz w:val="20"/>
          <w:szCs w:val="20"/>
        </w:rPr>
        <w:t xml:space="preserve"> </w:t>
      </w:r>
      <w:r w:rsidR="005820A5">
        <w:rPr>
          <w:rFonts w:asciiTheme="majorHAnsi" w:hAnsiTheme="majorHAnsi"/>
          <w:sz w:val="20"/>
          <w:szCs w:val="20"/>
        </w:rPr>
        <w:t xml:space="preserve">The Commission notes that it was not until August 31, 2001 that the Supreme Court provided the addresses of the </w:t>
      </w:r>
      <w:r w:rsidR="0088643D">
        <w:rPr>
          <w:rFonts w:asciiTheme="majorHAnsi" w:hAnsiTheme="majorHAnsi"/>
          <w:sz w:val="20"/>
          <w:szCs w:val="20"/>
        </w:rPr>
        <w:t xml:space="preserve">cadets, </w:t>
      </w:r>
      <w:r w:rsidR="005820A5">
        <w:rPr>
          <w:rFonts w:asciiTheme="majorHAnsi" w:hAnsiTheme="majorHAnsi"/>
          <w:sz w:val="20"/>
          <w:szCs w:val="20"/>
        </w:rPr>
        <w:t xml:space="preserve">who were to be interviewed. The State did not provide at any time to the Commission reasons to justify this delay in contacting and summoning Vicente Ariel Noguera’s classmates, or why over the course of the years that the investigation was active did it only manage to take two witnesses’ statements. </w:t>
      </w:r>
    </w:p>
    <w:p w14:paraId="1034A643" w14:textId="77777777" w:rsidR="00300D46" w:rsidRPr="00D65A97" w:rsidRDefault="00300D46" w:rsidP="00300D46">
      <w:pPr>
        <w:ind w:left="360" w:firstLine="720"/>
        <w:jc w:val="both"/>
        <w:rPr>
          <w:rFonts w:asciiTheme="majorHAnsi" w:hAnsiTheme="majorHAnsi"/>
          <w:b/>
          <w:sz w:val="20"/>
          <w:szCs w:val="20"/>
        </w:rPr>
      </w:pPr>
    </w:p>
    <w:p w14:paraId="4EDB12DC" w14:textId="72CF8E87" w:rsidR="00300D46" w:rsidRPr="00D65A97" w:rsidRDefault="008C2D97"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Moreover, with regard to the second point, the Commission takes note that </w:t>
      </w:r>
      <w:r w:rsidR="00DD0437">
        <w:rPr>
          <w:rFonts w:asciiTheme="majorHAnsi" w:hAnsiTheme="majorHAnsi"/>
          <w:sz w:val="20"/>
          <w:szCs w:val="20"/>
        </w:rPr>
        <w:t xml:space="preserve">there was a jurisdictional dispute to determine which competent authority was to </w:t>
      </w:r>
      <w:r w:rsidR="00682DB7">
        <w:rPr>
          <w:rFonts w:asciiTheme="majorHAnsi" w:hAnsiTheme="majorHAnsi"/>
          <w:sz w:val="20"/>
          <w:szCs w:val="20"/>
        </w:rPr>
        <w:t>conduct the investigation.  This dispute began in 1998, was settled on February 26, 1999, with the prosecutorial inquiries actually resuming</w:t>
      </w:r>
      <w:r w:rsidR="00BD70BF">
        <w:rPr>
          <w:rFonts w:asciiTheme="majorHAnsi" w:hAnsiTheme="majorHAnsi"/>
          <w:sz w:val="20"/>
          <w:szCs w:val="20"/>
        </w:rPr>
        <w:t xml:space="preserve"> on April 9, 1999. </w:t>
      </w:r>
      <w:r w:rsidR="001A6AF0">
        <w:rPr>
          <w:rFonts w:asciiTheme="majorHAnsi" w:hAnsiTheme="majorHAnsi"/>
          <w:sz w:val="20"/>
          <w:szCs w:val="20"/>
        </w:rPr>
        <w:t xml:space="preserve">Once the case resumed, it is noted that the first efforts of the prosecutor’s office were aimed at identifying the addresses of the students </w:t>
      </w:r>
      <w:r w:rsidR="00F15CE3">
        <w:rPr>
          <w:rFonts w:asciiTheme="majorHAnsi" w:hAnsiTheme="majorHAnsi"/>
          <w:sz w:val="20"/>
          <w:szCs w:val="20"/>
        </w:rPr>
        <w:t xml:space="preserve">causing </w:t>
      </w:r>
      <w:r w:rsidR="001A6AF0">
        <w:rPr>
          <w:rFonts w:asciiTheme="majorHAnsi" w:hAnsiTheme="majorHAnsi"/>
          <w:sz w:val="20"/>
          <w:szCs w:val="20"/>
        </w:rPr>
        <w:t xml:space="preserve">the additional delays described above. </w:t>
      </w:r>
    </w:p>
    <w:p w14:paraId="456F5671" w14:textId="77777777" w:rsidR="00300D46" w:rsidRPr="00D65A97" w:rsidRDefault="00300D46" w:rsidP="00300D46">
      <w:pPr>
        <w:pStyle w:val="ListParagraph"/>
        <w:ind w:firstLine="720"/>
        <w:rPr>
          <w:rFonts w:asciiTheme="majorHAnsi" w:hAnsiTheme="majorHAnsi"/>
          <w:b/>
          <w:sz w:val="20"/>
          <w:szCs w:val="20"/>
        </w:rPr>
      </w:pPr>
    </w:p>
    <w:p w14:paraId="5B5402B1" w14:textId="08305749" w:rsidR="00300D46" w:rsidRPr="00D65A97" w:rsidRDefault="001A65C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As such, the Commission </w:t>
      </w:r>
      <w:r w:rsidR="009B2FF2">
        <w:rPr>
          <w:rFonts w:asciiTheme="majorHAnsi" w:hAnsiTheme="majorHAnsi"/>
          <w:sz w:val="20"/>
          <w:szCs w:val="20"/>
        </w:rPr>
        <w:t xml:space="preserve">finds </w:t>
      </w:r>
      <w:r>
        <w:rPr>
          <w:rFonts w:asciiTheme="majorHAnsi" w:hAnsiTheme="majorHAnsi"/>
          <w:sz w:val="20"/>
          <w:szCs w:val="20"/>
        </w:rPr>
        <w:t>that, tak</w:t>
      </w:r>
      <w:r w:rsidR="00912C62">
        <w:rPr>
          <w:rFonts w:asciiTheme="majorHAnsi" w:hAnsiTheme="majorHAnsi"/>
          <w:sz w:val="20"/>
          <w:szCs w:val="20"/>
        </w:rPr>
        <w:t xml:space="preserve">ing into consideration that the procedural initiative </w:t>
      </w:r>
      <w:r w:rsidR="000C5AF8">
        <w:rPr>
          <w:rFonts w:asciiTheme="majorHAnsi" w:hAnsiTheme="majorHAnsi"/>
          <w:sz w:val="20"/>
          <w:szCs w:val="20"/>
        </w:rPr>
        <w:t xml:space="preserve">is the responsibility of the State in this type of investigation, the procedural behavior of the State </w:t>
      </w:r>
      <w:r w:rsidR="00A247A1">
        <w:rPr>
          <w:rFonts w:asciiTheme="majorHAnsi" w:hAnsiTheme="majorHAnsi"/>
          <w:sz w:val="20"/>
          <w:szCs w:val="20"/>
        </w:rPr>
        <w:t xml:space="preserve">evinces </w:t>
      </w:r>
      <w:r w:rsidR="000C5AF8">
        <w:rPr>
          <w:rFonts w:asciiTheme="majorHAnsi" w:hAnsiTheme="majorHAnsi"/>
          <w:sz w:val="20"/>
          <w:szCs w:val="20"/>
        </w:rPr>
        <w:t xml:space="preserve">periods of procedural inactivity (1997) and that in the periods of procedural inactivity (1998-2001) the main actions that are observed are with regard to jurisdiction and </w:t>
      </w:r>
      <w:r w:rsidR="00C61300">
        <w:rPr>
          <w:rFonts w:asciiTheme="majorHAnsi" w:hAnsiTheme="majorHAnsi"/>
          <w:sz w:val="20"/>
          <w:szCs w:val="20"/>
        </w:rPr>
        <w:t xml:space="preserve">do not </w:t>
      </w:r>
      <w:r w:rsidR="00517B15">
        <w:rPr>
          <w:rFonts w:asciiTheme="majorHAnsi" w:hAnsiTheme="majorHAnsi"/>
          <w:sz w:val="20"/>
          <w:szCs w:val="20"/>
        </w:rPr>
        <w:t xml:space="preserve">entail any </w:t>
      </w:r>
      <w:r w:rsidR="00C61300">
        <w:rPr>
          <w:rFonts w:asciiTheme="majorHAnsi" w:hAnsiTheme="majorHAnsi"/>
          <w:sz w:val="20"/>
          <w:szCs w:val="20"/>
        </w:rPr>
        <w:t xml:space="preserve">significant advancement in collecting evidence to get to the bottom of the case. </w:t>
      </w:r>
      <w:r w:rsidR="00EA10F2">
        <w:rPr>
          <w:rFonts w:asciiTheme="majorHAnsi" w:hAnsiTheme="majorHAnsi"/>
          <w:sz w:val="20"/>
          <w:szCs w:val="20"/>
        </w:rPr>
        <w:t>In these conditions, the Commission finds that the principle of a reasonable period of time</w:t>
      </w:r>
      <w:r w:rsidR="002C1FD6">
        <w:rPr>
          <w:rFonts w:asciiTheme="majorHAnsi" w:hAnsiTheme="majorHAnsi"/>
          <w:sz w:val="20"/>
          <w:szCs w:val="20"/>
        </w:rPr>
        <w:t xml:space="preserve"> </w:t>
      </w:r>
      <w:r w:rsidR="00EA10F2">
        <w:rPr>
          <w:rFonts w:asciiTheme="majorHAnsi" w:hAnsiTheme="majorHAnsi"/>
          <w:sz w:val="20"/>
          <w:szCs w:val="20"/>
        </w:rPr>
        <w:t xml:space="preserve">in the investigation was violated. </w:t>
      </w:r>
    </w:p>
    <w:p w14:paraId="40F831BE" w14:textId="77777777" w:rsidR="00300D46" w:rsidRPr="00D65A97" w:rsidRDefault="00300D46" w:rsidP="00300D46">
      <w:pPr>
        <w:jc w:val="both"/>
        <w:rPr>
          <w:rFonts w:asciiTheme="majorHAnsi" w:hAnsiTheme="majorHAnsi"/>
          <w:b/>
          <w:sz w:val="20"/>
          <w:szCs w:val="20"/>
        </w:rPr>
      </w:pPr>
    </w:p>
    <w:p w14:paraId="0C992004" w14:textId="539A4057" w:rsidR="00300D46" w:rsidRPr="00D65A97" w:rsidRDefault="00CF795B" w:rsidP="00A17B98">
      <w:pPr>
        <w:pStyle w:val="Heading3"/>
        <w:rPr>
          <w:lang w:val="en-US"/>
        </w:rPr>
      </w:pPr>
      <w:bookmarkStart w:id="28" w:name="_Toc506095187"/>
      <w:r>
        <w:rPr>
          <w:lang w:val="en-US"/>
        </w:rPr>
        <w:t>Conclusio</w:t>
      </w:r>
      <w:r w:rsidR="00300D46" w:rsidRPr="00D65A97">
        <w:rPr>
          <w:lang w:val="en-US"/>
        </w:rPr>
        <w:t>n</w:t>
      </w:r>
      <w:bookmarkEnd w:id="28"/>
      <w:r w:rsidR="00300D46" w:rsidRPr="00D65A97">
        <w:rPr>
          <w:lang w:val="en-US"/>
        </w:rPr>
        <w:t xml:space="preserve"> </w:t>
      </w:r>
    </w:p>
    <w:p w14:paraId="696DF2B2" w14:textId="77777777" w:rsidR="00300D46" w:rsidRPr="00D65A97" w:rsidRDefault="00300D46" w:rsidP="00300D46">
      <w:pPr>
        <w:ind w:left="630"/>
        <w:jc w:val="both"/>
        <w:rPr>
          <w:rFonts w:asciiTheme="majorHAnsi" w:hAnsiTheme="majorHAnsi"/>
          <w:b/>
          <w:sz w:val="20"/>
          <w:szCs w:val="20"/>
        </w:rPr>
      </w:pPr>
    </w:p>
    <w:p w14:paraId="3A048E2D" w14:textId="2FBF669D" w:rsidR="00300D46" w:rsidRPr="00D65A97" w:rsidRDefault="00835591"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Based on the foregoing considerations, the Commission concludes that the State of Paraguay violated the right to a fair trial and judicial protection </w:t>
      </w:r>
      <w:r w:rsidR="00CA528D">
        <w:rPr>
          <w:rFonts w:asciiTheme="majorHAnsi" w:hAnsiTheme="majorHAnsi"/>
          <w:sz w:val="20"/>
          <w:szCs w:val="20"/>
        </w:rPr>
        <w:t xml:space="preserve">set forth </w:t>
      </w:r>
      <w:r>
        <w:rPr>
          <w:rFonts w:asciiTheme="majorHAnsi" w:hAnsiTheme="majorHAnsi"/>
          <w:sz w:val="20"/>
          <w:szCs w:val="20"/>
        </w:rPr>
        <w:t>in Articles 8.1 and 25.1 of the American Convention in connection with the obligations</w:t>
      </w:r>
      <w:r w:rsidR="004643D7">
        <w:rPr>
          <w:rFonts w:asciiTheme="majorHAnsi" w:hAnsiTheme="majorHAnsi"/>
          <w:sz w:val="20"/>
          <w:szCs w:val="20"/>
        </w:rPr>
        <w:t xml:space="preserve"> enshrined in Article 1.1 of the same instrument, to the detriment of </w:t>
      </w:r>
      <w:r w:rsidR="00A60D2D">
        <w:rPr>
          <w:rFonts w:asciiTheme="majorHAnsi" w:hAnsiTheme="majorHAnsi"/>
          <w:sz w:val="20"/>
          <w:szCs w:val="20"/>
        </w:rPr>
        <w:t xml:space="preserve">the mother of Vicente Ariel Noguera. </w:t>
      </w:r>
    </w:p>
    <w:p w14:paraId="5BCF2352" w14:textId="77777777" w:rsidR="00300D46" w:rsidRPr="00D65A97" w:rsidRDefault="00300D46" w:rsidP="00300D46">
      <w:pPr>
        <w:ind w:left="1440" w:hanging="720"/>
        <w:rPr>
          <w:rFonts w:asciiTheme="majorHAnsi" w:hAnsiTheme="majorHAnsi"/>
          <w:b/>
          <w:sz w:val="20"/>
          <w:szCs w:val="20"/>
        </w:rPr>
      </w:pPr>
    </w:p>
    <w:p w14:paraId="348AEBDD" w14:textId="34569861" w:rsidR="00300D46" w:rsidRPr="00D65A97" w:rsidRDefault="001742C0" w:rsidP="00A17B98">
      <w:pPr>
        <w:pStyle w:val="Heading2"/>
        <w:ind w:hanging="720"/>
      </w:pPr>
      <w:bookmarkStart w:id="29" w:name="_Toc506095188"/>
      <w:r>
        <w:t>Military service by children and the rights of the child (Article 19) in connection with Article</w:t>
      </w:r>
      <w:r w:rsidR="008113CC">
        <w:t>s</w:t>
      </w:r>
      <w:r>
        <w:t xml:space="preserve"> 1.1 and 2 of the American Convention. </w:t>
      </w:r>
      <w:bookmarkEnd w:id="29"/>
    </w:p>
    <w:p w14:paraId="5087466A" w14:textId="77777777" w:rsidR="00300D46" w:rsidRPr="00D65A97" w:rsidRDefault="00300D46" w:rsidP="00300D46">
      <w:pPr>
        <w:jc w:val="both"/>
        <w:rPr>
          <w:rFonts w:asciiTheme="majorHAnsi" w:hAnsiTheme="majorHAnsi"/>
          <w:b/>
          <w:sz w:val="20"/>
          <w:szCs w:val="20"/>
        </w:rPr>
      </w:pPr>
    </w:p>
    <w:p w14:paraId="70A53522" w14:textId="7A44CC24" w:rsidR="00300D46" w:rsidRPr="00D65A97" w:rsidRDefault="008D6AD6"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Pr>
          <w:rFonts w:asciiTheme="majorHAnsi" w:hAnsiTheme="majorHAnsi"/>
          <w:sz w:val="20"/>
          <w:szCs w:val="20"/>
        </w:rPr>
        <w:t xml:space="preserve">The Inter-American Commission and Court have </w:t>
      </w:r>
      <w:r w:rsidR="00D74559">
        <w:rPr>
          <w:rFonts w:asciiTheme="majorHAnsi" w:hAnsiTheme="majorHAnsi"/>
          <w:sz w:val="20"/>
          <w:szCs w:val="20"/>
        </w:rPr>
        <w:t xml:space="preserve">found </w:t>
      </w:r>
      <w:r w:rsidR="00DF24E1">
        <w:rPr>
          <w:rFonts w:asciiTheme="majorHAnsi" w:hAnsiTheme="majorHAnsi"/>
          <w:sz w:val="20"/>
          <w:szCs w:val="20"/>
        </w:rPr>
        <w:t xml:space="preserve">that </w:t>
      </w:r>
      <w:r w:rsidR="00D74559">
        <w:rPr>
          <w:rFonts w:asciiTheme="majorHAnsi" w:hAnsiTheme="majorHAnsi"/>
          <w:sz w:val="20"/>
          <w:szCs w:val="20"/>
        </w:rPr>
        <w:t>for the analysis of Article 19 of the American Convention, it is important to resort by reference to other international instruments, which set forth more specific provisions regar</w:t>
      </w:r>
      <w:r w:rsidR="00931B8C">
        <w:rPr>
          <w:rFonts w:asciiTheme="majorHAnsi" w:hAnsiTheme="majorHAnsi"/>
          <w:sz w:val="20"/>
          <w:szCs w:val="20"/>
        </w:rPr>
        <w:t>ding the protection of children</w:t>
      </w:r>
      <w:r w:rsidR="00D74559">
        <w:rPr>
          <w:rFonts w:asciiTheme="majorHAnsi" w:hAnsiTheme="majorHAnsi"/>
          <w:sz w:val="20"/>
          <w:szCs w:val="20"/>
        </w:rPr>
        <w:t xml:space="preserve"> and</w:t>
      </w:r>
      <w:r w:rsidR="00931B8C">
        <w:rPr>
          <w:rFonts w:asciiTheme="majorHAnsi" w:hAnsiTheme="majorHAnsi"/>
          <w:sz w:val="20"/>
          <w:szCs w:val="20"/>
        </w:rPr>
        <w:t xml:space="preserve"> as </w:t>
      </w:r>
      <w:r w:rsidR="002A3B11">
        <w:rPr>
          <w:rFonts w:asciiTheme="majorHAnsi" w:hAnsiTheme="majorHAnsi"/>
          <w:sz w:val="20"/>
          <w:szCs w:val="20"/>
        </w:rPr>
        <w:t xml:space="preserve">a </w:t>
      </w:r>
      <w:r w:rsidR="00931B8C">
        <w:rPr>
          <w:rFonts w:asciiTheme="majorHAnsi" w:hAnsiTheme="majorHAnsi"/>
          <w:sz w:val="20"/>
          <w:szCs w:val="20"/>
        </w:rPr>
        <w:t>whole</w:t>
      </w:r>
      <w:r w:rsidR="00D74559">
        <w:rPr>
          <w:rFonts w:asciiTheme="majorHAnsi" w:hAnsiTheme="majorHAnsi"/>
          <w:sz w:val="20"/>
          <w:szCs w:val="20"/>
        </w:rPr>
        <w:t xml:space="preserve"> comprise the </w:t>
      </w:r>
      <w:r w:rsidR="00D74559">
        <w:rPr>
          <w:rFonts w:asciiTheme="majorHAnsi" w:hAnsiTheme="majorHAnsi"/>
          <w:i/>
          <w:sz w:val="20"/>
          <w:szCs w:val="20"/>
        </w:rPr>
        <w:t xml:space="preserve">corpus juris </w:t>
      </w:r>
      <w:r w:rsidR="00D74559">
        <w:rPr>
          <w:rFonts w:asciiTheme="majorHAnsi" w:hAnsiTheme="majorHAnsi"/>
          <w:sz w:val="20"/>
          <w:szCs w:val="20"/>
        </w:rPr>
        <w:t>of the human rights of children and adolescents</w:t>
      </w:r>
      <w:r w:rsidR="00197AA5">
        <w:rPr>
          <w:rFonts w:asciiTheme="majorHAnsi" w:hAnsiTheme="majorHAnsi"/>
          <w:sz w:val="20"/>
          <w:szCs w:val="20"/>
        </w:rPr>
        <w:t>.</w:t>
      </w:r>
      <w:r w:rsidR="00300D46" w:rsidRPr="00D65A97">
        <w:rPr>
          <w:rStyle w:val="FootnoteReference"/>
          <w:rFonts w:asciiTheme="majorHAnsi" w:hAnsiTheme="majorHAnsi"/>
          <w:sz w:val="20"/>
          <w:szCs w:val="20"/>
        </w:rPr>
        <w:footnoteReference w:id="79"/>
      </w:r>
      <w:r w:rsidR="00300D46" w:rsidRPr="00D65A97">
        <w:rPr>
          <w:rFonts w:asciiTheme="majorHAnsi" w:hAnsiTheme="majorHAnsi"/>
          <w:sz w:val="20"/>
          <w:szCs w:val="20"/>
        </w:rPr>
        <w:t xml:space="preserve"> </w:t>
      </w:r>
    </w:p>
    <w:p w14:paraId="0CF45762" w14:textId="77777777" w:rsidR="00300D46" w:rsidRPr="00D65A97" w:rsidRDefault="00300D46" w:rsidP="00300D46">
      <w:pPr>
        <w:ind w:firstLine="720"/>
        <w:jc w:val="both"/>
        <w:rPr>
          <w:rFonts w:asciiTheme="majorHAnsi" w:hAnsiTheme="majorHAnsi"/>
          <w:sz w:val="20"/>
          <w:szCs w:val="20"/>
        </w:rPr>
      </w:pPr>
    </w:p>
    <w:p w14:paraId="14C91229" w14:textId="2D80491B" w:rsidR="00300D46" w:rsidRPr="00D65A97" w:rsidRDefault="001112AE"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International law generally prohibits recruitment into military service under 15 years of age,</w:t>
      </w:r>
      <w:r w:rsidR="00300D46" w:rsidRPr="00D65A97">
        <w:rPr>
          <w:rStyle w:val="FootnoteReference"/>
          <w:rFonts w:asciiTheme="majorHAnsi" w:hAnsiTheme="majorHAnsi"/>
          <w:sz w:val="20"/>
          <w:szCs w:val="20"/>
        </w:rPr>
        <w:footnoteReference w:id="80"/>
      </w:r>
      <w:r>
        <w:rPr>
          <w:rFonts w:asciiTheme="majorHAnsi" w:hAnsiTheme="majorHAnsi"/>
          <w:sz w:val="20"/>
          <w:szCs w:val="20"/>
        </w:rPr>
        <w:t xml:space="preserve"> but it does</w:t>
      </w:r>
      <w:r w:rsidR="00B31904">
        <w:rPr>
          <w:rFonts w:asciiTheme="majorHAnsi" w:hAnsiTheme="majorHAnsi"/>
          <w:sz w:val="20"/>
          <w:szCs w:val="20"/>
        </w:rPr>
        <w:t xml:space="preserve"> permit voluntary recruitment of </w:t>
      </w:r>
      <w:r w:rsidR="00D16FAB">
        <w:rPr>
          <w:rFonts w:asciiTheme="majorHAnsi" w:hAnsiTheme="majorHAnsi"/>
          <w:sz w:val="20"/>
          <w:szCs w:val="20"/>
        </w:rPr>
        <w:t xml:space="preserve">minors from </w:t>
      </w:r>
      <w:r w:rsidR="003D208D">
        <w:rPr>
          <w:rFonts w:asciiTheme="majorHAnsi" w:hAnsiTheme="majorHAnsi"/>
          <w:sz w:val="20"/>
          <w:szCs w:val="20"/>
        </w:rPr>
        <w:t>15 to 18 year</w:t>
      </w:r>
      <w:r w:rsidR="00B31904">
        <w:rPr>
          <w:rFonts w:asciiTheme="majorHAnsi" w:hAnsiTheme="majorHAnsi"/>
          <w:sz w:val="20"/>
          <w:szCs w:val="20"/>
        </w:rPr>
        <w:t>s</w:t>
      </w:r>
      <w:r w:rsidR="003D208D">
        <w:rPr>
          <w:rFonts w:asciiTheme="majorHAnsi" w:hAnsiTheme="majorHAnsi"/>
          <w:sz w:val="20"/>
          <w:szCs w:val="20"/>
        </w:rPr>
        <w:t xml:space="preserve"> of age</w:t>
      </w:r>
      <w:r w:rsidR="00981F85">
        <w:rPr>
          <w:rFonts w:asciiTheme="majorHAnsi" w:hAnsiTheme="majorHAnsi"/>
          <w:sz w:val="20"/>
          <w:szCs w:val="20"/>
        </w:rPr>
        <w:t xml:space="preserve">, when domestic law does not </w:t>
      </w:r>
      <w:r w:rsidR="00BD2BF7">
        <w:rPr>
          <w:rFonts w:asciiTheme="majorHAnsi" w:hAnsiTheme="majorHAnsi"/>
          <w:sz w:val="20"/>
          <w:szCs w:val="20"/>
        </w:rPr>
        <w:t xml:space="preserve">provide </w:t>
      </w:r>
      <w:r w:rsidR="00981F85">
        <w:rPr>
          <w:rFonts w:asciiTheme="majorHAnsi" w:hAnsiTheme="majorHAnsi"/>
          <w:sz w:val="20"/>
          <w:szCs w:val="20"/>
        </w:rPr>
        <w:t>otherwise</w:t>
      </w:r>
      <w:r w:rsidR="00300D46" w:rsidRPr="00D65A97">
        <w:rPr>
          <w:rFonts w:asciiTheme="majorHAnsi" w:hAnsiTheme="majorHAnsi"/>
          <w:sz w:val="20"/>
          <w:szCs w:val="20"/>
        </w:rPr>
        <w:t>.</w:t>
      </w:r>
      <w:r w:rsidR="00BD2BF7">
        <w:rPr>
          <w:rFonts w:asciiTheme="majorHAnsi" w:hAnsiTheme="majorHAnsi"/>
          <w:sz w:val="20"/>
          <w:szCs w:val="20"/>
        </w:rPr>
        <w:t xml:space="preserve"> In this regard, </w:t>
      </w:r>
      <w:r w:rsidR="00CF3850">
        <w:rPr>
          <w:rFonts w:asciiTheme="majorHAnsi" w:hAnsiTheme="majorHAnsi"/>
          <w:sz w:val="20"/>
          <w:szCs w:val="20"/>
        </w:rPr>
        <w:t xml:space="preserve">even though </w:t>
      </w:r>
      <w:r w:rsidR="00BD2BF7">
        <w:rPr>
          <w:rFonts w:asciiTheme="majorHAnsi" w:hAnsiTheme="majorHAnsi"/>
          <w:sz w:val="20"/>
          <w:szCs w:val="20"/>
        </w:rPr>
        <w:t xml:space="preserve">recruitment of 15 to 18 year-olds was legal at the time of the events of </w:t>
      </w:r>
      <w:r w:rsidR="004B2D41">
        <w:rPr>
          <w:rFonts w:asciiTheme="majorHAnsi" w:hAnsiTheme="majorHAnsi"/>
          <w:sz w:val="20"/>
          <w:szCs w:val="20"/>
        </w:rPr>
        <w:t>the case, the obligation to ensur</w:t>
      </w:r>
      <w:r w:rsidR="00BD2BF7">
        <w:rPr>
          <w:rFonts w:asciiTheme="majorHAnsi" w:hAnsiTheme="majorHAnsi"/>
          <w:sz w:val="20"/>
          <w:szCs w:val="20"/>
        </w:rPr>
        <w:t>e special protection</w:t>
      </w:r>
      <w:r w:rsidR="005A489F">
        <w:rPr>
          <w:rFonts w:asciiTheme="majorHAnsi" w:hAnsiTheme="majorHAnsi"/>
          <w:sz w:val="20"/>
          <w:szCs w:val="20"/>
        </w:rPr>
        <w:t xml:space="preserve"> for children is still applicable and, therefore, minors must receive the same treatment as recruits who have </w:t>
      </w:r>
      <w:r w:rsidR="00A3257F">
        <w:rPr>
          <w:rFonts w:asciiTheme="majorHAnsi" w:hAnsiTheme="majorHAnsi"/>
          <w:sz w:val="20"/>
          <w:szCs w:val="20"/>
        </w:rPr>
        <w:t xml:space="preserve">reached </w:t>
      </w:r>
      <w:r w:rsidR="005A489F">
        <w:rPr>
          <w:rFonts w:asciiTheme="majorHAnsi" w:hAnsiTheme="majorHAnsi"/>
          <w:sz w:val="20"/>
          <w:szCs w:val="20"/>
        </w:rPr>
        <w:t>18 years of age.</w:t>
      </w:r>
      <w:r w:rsidR="00300D46" w:rsidRPr="00D65A97">
        <w:rPr>
          <w:rStyle w:val="FootnoteReference"/>
          <w:rFonts w:asciiTheme="majorHAnsi" w:hAnsiTheme="majorHAnsi"/>
          <w:sz w:val="20"/>
          <w:szCs w:val="20"/>
        </w:rPr>
        <w:footnoteReference w:id="81"/>
      </w:r>
      <w:r w:rsidR="00300D46" w:rsidRPr="00D65A97">
        <w:rPr>
          <w:rFonts w:asciiTheme="majorHAnsi" w:hAnsiTheme="majorHAnsi"/>
          <w:sz w:val="20"/>
          <w:szCs w:val="20"/>
        </w:rPr>
        <w:t xml:space="preserve"> </w:t>
      </w:r>
    </w:p>
    <w:p w14:paraId="00CA7448" w14:textId="77777777" w:rsidR="00300D46" w:rsidRPr="00D65A97" w:rsidRDefault="00300D46" w:rsidP="00300D46">
      <w:pPr>
        <w:ind w:firstLine="720"/>
        <w:jc w:val="both"/>
        <w:rPr>
          <w:rFonts w:asciiTheme="majorHAnsi" w:hAnsiTheme="majorHAnsi"/>
          <w:sz w:val="20"/>
          <w:szCs w:val="20"/>
        </w:rPr>
      </w:pPr>
    </w:p>
    <w:p w14:paraId="71DBA946" w14:textId="61C0D361" w:rsidR="00300D46" w:rsidRPr="00D65A97" w:rsidRDefault="00907F0E"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b/>
          <w:sz w:val="20"/>
          <w:szCs w:val="20"/>
        </w:rPr>
      </w:pPr>
      <w:r>
        <w:rPr>
          <w:rFonts w:asciiTheme="majorHAnsi" w:hAnsiTheme="majorHAnsi"/>
          <w:sz w:val="20"/>
          <w:szCs w:val="20"/>
        </w:rPr>
        <w:t>As such</w:t>
      </w:r>
      <w:r w:rsidR="000708C8">
        <w:rPr>
          <w:rFonts w:asciiTheme="majorHAnsi" w:hAnsiTheme="majorHAnsi"/>
          <w:sz w:val="20"/>
          <w:szCs w:val="20"/>
        </w:rPr>
        <w:t>, the Commission has repeatedly examined</w:t>
      </w:r>
      <w:r w:rsidR="00300D46" w:rsidRPr="00D65A97">
        <w:rPr>
          <w:rStyle w:val="FootnoteReference"/>
          <w:rFonts w:asciiTheme="majorHAnsi" w:hAnsiTheme="majorHAnsi"/>
          <w:sz w:val="20"/>
          <w:szCs w:val="20"/>
        </w:rPr>
        <w:footnoteReference w:id="82"/>
      </w:r>
      <w:r w:rsidR="00300D46" w:rsidRPr="00D65A97">
        <w:rPr>
          <w:rFonts w:asciiTheme="majorHAnsi" w:hAnsiTheme="majorHAnsi"/>
          <w:sz w:val="20"/>
          <w:szCs w:val="20"/>
        </w:rPr>
        <w:t xml:space="preserve"> </w:t>
      </w:r>
      <w:r w:rsidR="000708C8">
        <w:rPr>
          <w:rFonts w:asciiTheme="majorHAnsi" w:hAnsiTheme="majorHAnsi"/>
          <w:sz w:val="20"/>
          <w:szCs w:val="20"/>
        </w:rPr>
        <w:t xml:space="preserve">the legal framework </w:t>
      </w:r>
      <w:r w:rsidR="00A55E43">
        <w:rPr>
          <w:rFonts w:asciiTheme="majorHAnsi" w:hAnsiTheme="majorHAnsi"/>
          <w:sz w:val="20"/>
          <w:szCs w:val="20"/>
        </w:rPr>
        <w:t xml:space="preserve">governing the subject matter in Paraguay in light of international instruments and holdings regarding participation of </w:t>
      </w:r>
      <w:r w:rsidR="00A55E43">
        <w:rPr>
          <w:rFonts w:asciiTheme="majorHAnsi" w:hAnsiTheme="majorHAnsi"/>
          <w:sz w:val="20"/>
          <w:szCs w:val="20"/>
        </w:rPr>
        <w:lastRenderedPageBreak/>
        <w:t>children in military service and has concluded that “the tendency under international law is that children of less than 18 years of age should not b</w:t>
      </w:r>
      <w:r w:rsidR="00526F4C">
        <w:rPr>
          <w:rFonts w:asciiTheme="majorHAnsi" w:hAnsiTheme="majorHAnsi"/>
          <w:sz w:val="20"/>
          <w:szCs w:val="20"/>
        </w:rPr>
        <w:t>e inducted into the Armed Force</w:t>
      </w:r>
      <w:r w:rsidR="00A55E43">
        <w:rPr>
          <w:rFonts w:asciiTheme="majorHAnsi" w:hAnsiTheme="majorHAnsi"/>
          <w:sz w:val="20"/>
          <w:szCs w:val="20"/>
        </w:rPr>
        <w:t>s and that in any event, children less than 18 years of age should not participate dire</w:t>
      </w:r>
      <w:r w:rsidR="00526F4C">
        <w:rPr>
          <w:rFonts w:asciiTheme="majorHAnsi" w:hAnsiTheme="majorHAnsi"/>
          <w:sz w:val="20"/>
          <w:szCs w:val="20"/>
        </w:rPr>
        <w:t>ctly in hostilities and must rec</w:t>
      </w:r>
      <w:r w:rsidR="00A55E43">
        <w:rPr>
          <w:rFonts w:asciiTheme="majorHAnsi" w:hAnsiTheme="majorHAnsi"/>
          <w:sz w:val="20"/>
          <w:szCs w:val="20"/>
        </w:rPr>
        <w:t xml:space="preserve">eive special treatment that takes into account their age and corresponding requirements </w:t>
      </w:r>
      <w:r w:rsidR="00300D46" w:rsidRPr="00D65A97">
        <w:rPr>
          <w:rFonts w:asciiTheme="majorHAnsi" w:hAnsiTheme="majorHAnsi"/>
          <w:sz w:val="20"/>
          <w:szCs w:val="20"/>
        </w:rPr>
        <w:t>(….)</w:t>
      </w:r>
      <w:r w:rsidR="00C3405F">
        <w:rPr>
          <w:rFonts w:asciiTheme="majorHAnsi" w:hAnsiTheme="majorHAnsi"/>
          <w:sz w:val="20"/>
          <w:szCs w:val="20"/>
        </w:rPr>
        <w:t>.</w:t>
      </w:r>
      <w:r w:rsidR="00300D46" w:rsidRPr="00D65A97">
        <w:rPr>
          <w:rFonts w:asciiTheme="majorHAnsi" w:hAnsiTheme="majorHAnsi"/>
          <w:sz w:val="20"/>
          <w:szCs w:val="20"/>
        </w:rPr>
        <w:t>”</w:t>
      </w:r>
      <w:r w:rsidR="00300D46" w:rsidRPr="00D65A97">
        <w:rPr>
          <w:rStyle w:val="FootnoteReference"/>
          <w:rFonts w:asciiTheme="majorHAnsi" w:hAnsiTheme="majorHAnsi"/>
          <w:sz w:val="20"/>
          <w:szCs w:val="20"/>
        </w:rPr>
        <w:footnoteReference w:id="83"/>
      </w:r>
      <w:r w:rsidR="00C3405F">
        <w:rPr>
          <w:rFonts w:asciiTheme="majorHAnsi" w:hAnsiTheme="majorHAnsi"/>
          <w:sz w:val="20"/>
          <w:szCs w:val="20"/>
        </w:rPr>
        <w:t xml:space="preserve"> </w:t>
      </w:r>
      <w:r w:rsidR="00867B66">
        <w:rPr>
          <w:rFonts w:asciiTheme="majorHAnsi" w:hAnsiTheme="majorHAnsi"/>
          <w:sz w:val="20"/>
          <w:szCs w:val="20"/>
        </w:rPr>
        <w:t xml:space="preserve">In addition to the foregoing consideration, the Commission finds that the special </w:t>
      </w:r>
      <w:r w:rsidR="007C613B">
        <w:rPr>
          <w:rFonts w:asciiTheme="majorHAnsi" w:hAnsiTheme="majorHAnsi"/>
          <w:sz w:val="20"/>
          <w:szCs w:val="20"/>
        </w:rPr>
        <w:t xml:space="preserve">role </w:t>
      </w:r>
      <w:r w:rsidR="00867B66">
        <w:rPr>
          <w:rFonts w:asciiTheme="majorHAnsi" w:hAnsiTheme="majorHAnsi"/>
          <w:sz w:val="20"/>
          <w:szCs w:val="20"/>
        </w:rPr>
        <w:t xml:space="preserve">as guarantor set forth in Article 19 of the American Convention </w:t>
      </w:r>
      <w:r w:rsidR="007F6F14">
        <w:rPr>
          <w:rFonts w:asciiTheme="majorHAnsi" w:hAnsiTheme="majorHAnsi"/>
          <w:sz w:val="20"/>
          <w:szCs w:val="20"/>
        </w:rPr>
        <w:t xml:space="preserve">imposes </w:t>
      </w:r>
      <w:r w:rsidR="0014554F">
        <w:rPr>
          <w:rFonts w:asciiTheme="majorHAnsi" w:hAnsiTheme="majorHAnsi"/>
          <w:sz w:val="20"/>
          <w:szCs w:val="20"/>
        </w:rPr>
        <w:t xml:space="preserve">on States the duty to provide </w:t>
      </w:r>
      <w:r w:rsidR="007F6F14">
        <w:rPr>
          <w:rFonts w:asciiTheme="majorHAnsi" w:hAnsiTheme="majorHAnsi"/>
          <w:sz w:val="20"/>
          <w:szCs w:val="20"/>
        </w:rPr>
        <w:t>specific safeguards to ensure that recruitment takes into consideration the degree of development of the child and his or her progressive autonomy to make decision</w:t>
      </w:r>
      <w:r w:rsidR="00593DC8">
        <w:rPr>
          <w:rFonts w:asciiTheme="majorHAnsi" w:hAnsiTheme="majorHAnsi"/>
          <w:sz w:val="20"/>
          <w:szCs w:val="20"/>
        </w:rPr>
        <w:t>s</w:t>
      </w:r>
      <w:r w:rsidR="007F6F14">
        <w:rPr>
          <w:rFonts w:asciiTheme="majorHAnsi" w:hAnsiTheme="majorHAnsi"/>
          <w:sz w:val="20"/>
          <w:szCs w:val="20"/>
        </w:rPr>
        <w:t xml:space="preserve"> about himself or herself, to make sure that the enlistment is truly voluntary.</w:t>
      </w:r>
      <w:r w:rsidR="00300D46" w:rsidRPr="00D65A97">
        <w:rPr>
          <w:rStyle w:val="FootnoteReference"/>
          <w:rFonts w:asciiTheme="majorHAnsi" w:hAnsiTheme="majorHAnsi"/>
          <w:sz w:val="20"/>
          <w:szCs w:val="20"/>
        </w:rPr>
        <w:footnoteReference w:id="84"/>
      </w:r>
    </w:p>
    <w:p w14:paraId="12F9C856" w14:textId="77777777" w:rsidR="00300D46" w:rsidRPr="00D65A97" w:rsidRDefault="00300D46" w:rsidP="00300D46">
      <w:pPr>
        <w:ind w:firstLine="720"/>
        <w:jc w:val="both"/>
        <w:rPr>
          <w:rFonts w:asciiTheme="majorHAnsi" w:hAnsiTheme="majorHAnsi"/>
          <w:b/>
          <w:sz w:val="20"/>
          <w:szCs w:val="20"/>
        </w:rPr>
      </w:pPr>
    </w:p>
    <w:p w14:paraId="13874B75" w14:textId="028ABE0E" w:rsidR="00300D46" w:rsidRPr="00D65A97" w:rsidRDefault="00F2504C"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b/>
          <w:sz w:val="20"/>
          <w:szCs w:val="20"/>
        </w:rPr>
      </w:pPr>
      <w:r>
        <w:rPr>
          <w:rFonts w:asciiTheme="majorHAnsi" w:hAnsiTheme="majorHAnsi"/>
          <w:sz w:val="20"/>
          <w:szCs w:val="20"/>
        </w:rPr>
        <w:t>In the case before it, the Commission takes note that</w:t>
      </w:r>
      <w:r w:rsidR="00300D46" w:rsidRPr="00D65A97">
        <w:rPr>
          <w:rFonts w:asciiTheme="majorHAnsi" w:hAnsiTheme="majorHAnsi"/>
          <w:sz w:val="20"/>
          <w:szCs w:val="20"/>
        </w:rPr>
        <w:t xml:space="preserve"> Vicente Ariel Noguera </w:t>
      </w:r>
      <w:r>
        <w:rPr>
          <w:rFonts w:asciiTheme="majorHAnsi" w:hAnsiTheme="majorHAnsi"/>
          <w:sz w:val="20"/>
          <w:szCs w:val="20"/>
        </w:rPr>
        <w:t xml:space="preserve">was born on April 29, 1978, </w:t>
      </w:r>
      <w:r w:rsidR="00EE5FF4">
        <w:rPr>
          <w:rFonts w:asciiTheme="majorHAnsi" w:hAnsiTheme="majorHAnsi"/>
          <w:sz w:val="20"/>
          <w:szCs w:val="20"/>
        </w:rPr>
        <w:t>his military record lists as his date of enrol</w:t>
      </w:r>
      <w:r w:rsidR="00311C8C">
        <w:rPr>
          <w:rFonts w:asciiTheme="majorHAnsi" w:hAnsiTheme="majorHAnsi"/>
          <w:sz w:val="20"/>
          <w:szCs w:val="20"/>
        </w:rPr>
        <w:t>l</w:t>
      </w:r>
      <w:r w:rsidR="00EE5FF4">
        <w:rPr>
          <w:rFonts w:asciiTheme="majorHAnsi" w:hAnsiTheme="majorHAnsi"/>
          <w:sz w:val="20"/>
          <w:szCs w:val="20"/>
        </w:rPr>
        <w:t>ment April 19, 1994</w:t>
      </w:r>
      <w:r w:rsidR="00311C8C">
        <w:rPr>
          <w:rFonts w:asciiTheme="majorHAnsi" w:hAnsiTheme="majorHAnsi"/>
          <w:sz w:val="20"/>
          <w:szCs w:val="20"/>
        </w:rPr>
        <w:t>,</w:t>
      </w:r>
      <w:r w:rsidR="00EE5FF4">
        <w:rPr>
          <w:rFonts w:asciiTheme="majorHAnsi" w:hAnsiTheme="majorHAnsi"/>
          <w:sz w:val="20"/>
          <w:szCs w:val="20"/>
        </w:rPr>
        <w:t xml:space="preserve"> and his enlistment card </w:t>
      </w:r>
      <w:r w:rsidR="00311C8C">
        <w:rPr>
          <w:rFonts w:asciiTheme="majorHAnsi" w:hAnsiTheme="majorHAnsi"/>
          <w:sz w:val="20"/>
          <w:szCs w:val="20"/>
        </w:rPr>
        <w:t xml:space="preserve">notes </w:t>
      </w:r>
      <w:r w:rsidR="00EE5FF4">
        <w:rPr>
          <w:rFonts w:asciiTheme="majorHAnsi" w:hAnsiTheme="majorHAnsi"/>
          <w:sz w:val="20"/>
          <w:szCs w:val="20"/>
        </w:rPr>
        <w:t xml:space="preserve">under the “seniority” box, the date of December 1, 1994. </w:t>
      </w:r>
    </w:p>
    <w:p w14:paraId="48669488" w14:textId="77777777" w:rsidR="00300D46" w:rsidRPr="00D65A97" w:rsidRDefault="00300D46" w:rsidP="00300D46">
      <w:pPr>
        <w:tabs>
          <w:tab w:val="left" w:pos="810"/>
        </w:tabs>
        <w:ind w:left="360" w:firstLine="720"/>
        <w:jc w:val="both"/>
        <w:rPr>
          <w:rFonts w:asciiTheme="majorHAnsi" w:hAnsiTheme="majorHAnsi"/>
          <w:b/>
          <w:sz w:val="20"/>
          <w:szCs w:val="20"/>
        </w:rPr>
      </w:pPr>
    </w:p>
    <w:p w14:paraId="225CF4C2" w14:textId="3BBC26B1" w:rsidR="00300D46" w:rsidRPr="00D65A97" w:rsidRDefault="007F1EB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b/>
          <w:sz w:val="20"/>
          <w:szCs w:val="20"/>
        </w:rPr>
      </w:pPr>
      <w:r>
        <w:rPr>
          <w:rFonts w:asciiTheme="majorHAnsi" w:hAnsiTheme="majorHAnsi"/>
          <w:sz w:val="20"/>
          <w:szCs w:val="20"/>
        </w:rPr>
        <w:t xml:space="preserve">Based on the foregoing, the Commission finds that the State did not violate the general prohibition of recruitment </w:t>
      </w:r>
      <w:r w:rsidR="00F14C3D">
        <w:rPr>
          <w:rFonts w:asciiTheme="majorHAnsi" w:hAnsiTheme="majorHAnsi"/>
          <w:sz w:val="20"/>
          <w:szCs w:val="20"/>
        </w:rPr>
        <w:t xml:space="preserve">of persons </w:t>
      </w:r>
      <w:r w:rsidR="00A67514">
        <w:rPr>
          <w:rFonts w:asciiTheme="majorHAnsi" w:hAnsiTheme="majorHAnsi"/>
          <w:sz w:val="20"/>
          <w:szCs w:val="20"/>
        </w:rPr>
        <w:t xml:space="preserve">under </w:t>
      </w:r>
      <w:r>
        <w:rPr>
          <w:rFonts w:asciiTheme="majorHAnsi" w:hAnsiTheme="majorHAnsi"/>
          <w:sz w:val="20"/>
          <w:szCs w:val="20"/>
        </w:rPr>
        <w:t xml:space="preserve">15 years old into military service </w:t>
      </w:r>
      <w:r w:rsidR="00EB0FE0">
        <w:rPr>
          <w:rFonts w:asciiTheme="majorHAnsi" w:hAnsiTheme="majorHAnsi"/>
          <w:sz w:val="20"/>
          <w:szCs w:val="20"/>
        </w:rPr>
        <w:t xml:space="preserve">nor did </w:t>
      </w:r>
      <w:r w:rsidR="00FF137F">
        <w:rPr>
          <w:rFonts w:asciiTheme="majorHAnsi" w:hAnsiTheme="majorHAnsi"/>
          <w:sz w:val="20"/>
          <w:szCs w:val="20"/>
        </w:rPr>
        <w:t xml:space="preserve">Vicente Ariel Noguera’s </w:t>
      </w:r>
      <w:r>
        <w:rPr>
          <w:rFonts w:asciiTheme="majorHAnsi" w:hAnsiTheme="majorHAnsi"/>
          <w:sz w:val="20"/>
          <w:szCs w:val="20"/>
        </w:rPr>
        <w:t>enrollment</w:t>
      </w:r>
      <w:r w:rsidR="00FF137F">
        <w:rPr>
          <w:rFonts w:asciiTheme="majorHAnsi" w:hAnsiTheme="majorHAnsi"/>
          <w:sz w:val="20"/>
          <w:szCs w:val="20"/>
        </w:rPr>
        <w:t xml:space="preserve"> in the armed services run</w:t>
      </w:r>
      <w:r>
        <w:rPr>
          <w:rFonts w:asciiTheme="majorHAnsi" w:hAnsiTheme="majorHAnsi"/>
          <w:sz w:val="20"/>
          <w:szCs w:val="20"/>
        </w:rPr>
        <w:t xml:space="preserve"> afoul of the Convention. </w:t>
      </w:r>
      <w:r w:rsidR="004C7CCF">
        <w:rPr>
          <w:rFonts w:asciiTheme="majorHAnsi" w:hAnsiTheme="majorHAnsi"/>
          <w:sz w:val="20"/>
          <w:szCs w:val="20"/>
        </w:rPr>
        <w:t xml:space="preserve">However, based on the case file, it cannot be determined whether </w:t>
      </w:r>
      <w:r w:rsidR="001E6634">
        <w:rPr>
          <w:rFonts w:asciiTheme="majorHAnsi" w:hAnsiTheme="majorHAnsi"/>
          <w:sz w:val="20"/>
          <w:szCs w:val="20"/>
        </w:rPr>
        <w:t>differential measures were</w:t>
      </w:r>
      <w:r w:rsidR="00921AA7">
        <w:rPr>
          <w:rFonts w:asciiTheme="majorHAnsi" w:hAnsiTheme="majorHAnsi"/>
          <w:sz w:val="20"/>
          <w:szCs w:val="20"/>
        </w:rPr>
        <w:t xml:space="preserve"> taken</w:t>
      </w:r>
      <w:r w:rsidR="00CA0BC4">
        <w:rPr>
          <w:rFonts w:asciiTheme="majorHAnsi" w:hAnsiTheme="majorHAnsi"/>
          <w:sz w:val="20"/>
          <w:szCs w:val="20"/>
        </w:rPr>
        <w:t>, in order to be able</w:t>
      </w:r>
      <w:r w:rsidR="001E6634">
        <w:rPr>
          <w:rFonts w:asciiTheme="majorHAnsi" w:hAnsiTheme="majorHAnsi"/>
          <w:sz w:val="20"/>
          <w:szCs w:val="20"/>
        </w:rPr>
        <w:t xml:space="preserve"> to conclude that the State, in its special role as guarantor, took into consideration the condition as a child of Vicente Ariel Noguera or that it took special actions, in light of the practice known as “descuereo” [</w:t>
      </w:r>
      <w:r w:rsidR="007F135F">
        <w:rPr>
          <w:rFonts w:asciiTheme="majorHAnsi" w:hAnsiTheme="majorHAnsi"/>
          <w:sz w:val="20"/>
          <w:szCs w:val="20"/>
        </w:rPr>
        <w:t>‘</w:t>
      </w:r>
      <w:r w:rsidR="00B11934">
        <w:rPr>
          <w:rFonts w:asciiTheme="majorHAnsi" w:hAnsiTheme="majorHAnsi"/>
          <w:sz w:val="20"/>
          <w:szCs w:val="20"/>
        </w:rPr>
        <w:t>flay</w:t>
      </w:r>
      <w:r w:rsidR="001E6634">
        <w:rPr>
          <w:rFonts w:asciiTheme="majorHAnsi" w:hAnsiTheme="majorHAnsi"/>
          <w:sz w:val="20"/>
          <w:szCs w:val="20"/>
        </w:rPr>
        <w:t>ing</w:t>
      </w:r>
      <w:r w:rsidR="007F135F">
        <w:rPr>
          <w:rFonts w:asciiTheme="majorHAnsi" w:hAnsiTheme="majorHAnsi"/>
          <w:sz w:val="20"/>
          <w:szCs w:val="20"/>
        </w:rPr>
        <w:t>’</w:t>
      </w:r>
      <w:r w:rsidR="001D04A1">
        <w:rPr>
          <w:rFonts w:asciiTheme="majorHAnsi" w:hAnsiTheme="majorHAnsi"/>
          <w:sz w:val="20"/>
          <w:szCs w:val="20"/>
        </w:rPr>
        <w:t>], which was widely used at the facility</w:t>
      </w:r>
      <w:r w:rsidR="001E6634">
        <w:rPr>
          <w:rFonts w:asciiTheme="majorHAnsi" w:hAnsiTheme="majorHAnsi"/>
          <w:sz w:val="20"/>
          <w:szCs w:val="20"/>
        </w:rPr>
        <w:t>, for his protection in terms of his level of development during his military training at CIMEFOR</w:t>
      </w:r>
      <w:r w:rsidR="001E60FE">
        <w:rPr>
          <w:rFonts w:asciiTheme="majorHAnsi" w:hAnsiTheme="majorHAnsi"/>
          <w:sz w:val="20"/>
          <w:szCs w:val="20"/>
        </w:rPr>
        <w:t>, after his recruitment</w:t>
      </w:r>
      <w:r w:rsidR="001E6634">
        <w:rPr>
          <w:rFonts w:asciiTheme="majorHAnsi" w:hAnsiTheme="majorHAnsi"/>
          <w:sz w:val="20"/>
          <w:szCs w:val="20"/>
        </w:rPr>
        <w:t xml:space="preserve">. </w:t>
      </w:r>
      <w:r w:rsidR="003B0A39">
        <w:rPr>
          <w:rFonts w:asciiTheme="majorHAnsi" w:hAnsiTheme="majorHAnsi"/>
          <w:sz w:val="20"/>
          <w:szCs w:val="20"/>
        </w:rPr>
        <w:t xml:space="preserve">In view of the foregoing considerations, the Commission concludes that the State of Paraguay violated the rights of the child as established in Article 19 of the American Convention in connection with the obligations established in Articles 1.1 and 2 of the same instrument, to the detriment of Vicente Ariel Noguera. </w:t>
      </w:r>
    </w:p>
    <w:p w14:paraId="632677AA" w14:textId="77777777" w:rsidR="00300D46" w:rsidRPr="00D65A97" w:rsidRDefault="00300D46" w:rsidP="00300D46">
      <w:pPr>
        <w:ind w:left="720"/>
        <w:rPr>
          <w:rFonts w:asciiTheme="majorHAnsi" w:hAnsiTheme="majorHAnsi"/>
          <w:b/>
          <w:sz w:val="20"/>
          <w:szCs w:val="20"/>
        </w:rPr>
      </w:pPr>
    </w:p>
    <w:p w14:paraId="55C98FA5" w14:textId="33FD1E60" w:rsidR="00300D46" w:rsidRPr="00D65A97" w:rsidRDefault="00960F9B" w:rsidP="00C5127E">
      <w:pPr>
        <w:pStyle w:val="Heading2"/>
        <w:ind w:hanging="720"/>
      </w:pPr>
      <w:bookmarkStart w:id="30" w:name="_Toc506095189"/>
      <w:r>
        <w:t xml:space="preserve">The right to humane treatment of the family of Vicente Ariel Noguera (Article </w:t>
      </w:r>
      <w:r w:rsidR="00300D46" w:rsidRPr="00D65A97">
        <w:t>5.1</w:t>
      </w:r>
      <w:r w:rsidR="00300D46" w:rsidRPr="00960F9B">
        <w:rPr>
          <w:vertAlign w:val="superscript"/>
        </w:rPr>
        <w:footnoteReference w:id="85"/>
      </w:r>
      <w:r w:rsidR="00D557DC">
        <w:t xml:space="preserve">) </w:t>
      </w:r>
      <w:r>
        <w:t>in connection with Article 1.1 of the American Convention</w:t>
      </w:r>
      <w:bookmarkEnd w:id="30"/>
    </w:p>
    <w:p w14:paraId="30989372" w14:textId="77777777" w:rsidR="00300D46" w:rsidRPr="00D65A97" w:rsidRDefault="00300D46" w:rsidP="00300D46">
      <w:pPr>
        <w:ind w:left="720"/>
        <w:rPr>
          <w:rFonts w:asciiTheme="majorHAnsi" w:hAnsiTheme="majorHAnsi"/>
          <w:b/>
          <w:sz w:val="20"/>
          <w:szCs w:val="20"/>
        </w:rPr>
      </w:pPr>
    </w:p>
    <w:p w14:paraId="685D4278" w14:textId="137FBC63" w:rsidR="00300D46" w:rsidRPr="00D65A97" w:rsidRDefault="000E2625"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sz w:val="20"/>
          <w:szCs w:val="20"/>
        </w:rPr>
      </w:pPr>
      <w:r>
        <w:rPr>
          <w:rFonts w:asciiTheme="majorHAnsi" w:hAnsiTheme="majorHAnsi"/>
          <w:sz w:val="20"/>
          <w:szCs w:val="20"/>
        </w:rPr>
        <w:t>T</w:t>
      </w:r>
      <w:r w:rsidR="002E03F4">
        <w:rPr>
          <w:rFonts w:asciiTheme="majorHAnsi" w:hAnsiTheme="majorHAnsi"/>
          <w:sz w:val="20"/>
          <w:szCs w:val="20"/>
        </w:rPr>
        <w:t xml:space="preserve">he Inter-American Commission and Court have held that </w:t>
      </w:r>
      <w:r w:rsidR="00DC323E">
        <w:rPr>
          <w:rFonts w:asciiTheme="majorHAnsi" w:hAnsiTheme="majorHAnsi"/>
          <w:sz w:val="20"/>
          <w:szCs w:val="20"/>
        </w:rPr>
        <w:t xml:space="preserve">the next of </w:t>
      </w:r>
      <w:r>
        <w:rPr>
          <w:rFonts w:asciiTheme="majorHAnsi" w:hAnsiTheme="majorHAnsi"/>
          <w:sz w:val="20"/>
          <w:szCs w:val="20"/>
        </w:rPr>
        <w:t xml:space="preserve">kin of the victims of </w:t>
      </w:r>
      <w:r w:rsidR="008351CA">
        <w:rPr>
          <w:rFonts w:asciiTheme="majorHAnsi" w:hAnsiTheme="majorHAnsi"/>
          <w:sz w:val="20"/>
          <w:szCs w:val="20"/>
        </w:rPr>
        <w:t>certain human rights violations</w:t>
      </w:r>
      <w:r>
        <w:rPr>
          <w:rFonts w:asciiTheme="majorHAnsi" w:hAnsiTheme="majorHAnsi"/>
          <w:sz w:val="20"/>
          <w:szCs w:val="20"/>
        </w:rPr>
        <w:t xml:space="preserve"> can</w:t>
      </w:r>
      <w:r w:rsidR="008351CA">
        <w:rPr>
          <w:rFonts w:asciiTheme="majorHAnsi" w:hAnsiTheme="majorHAnsi"/>
          <w:sz w:val="20"/>
          <w:szCs w:val="20"/>
        </w:rPr>
        <w:t>, in turn,</w:t>
      </w:r>
      <w:r>
        <w:rPr>
          <w:rFonts w:asciiTheme="majorHAnsi" w:hAnsiTheme="majorHAnsi"/>
          <w:sz w:val="20"/>
          <w:szCs w:val="20"/>
        </w:rPr>
        <w:t xml:space="preserve"> </w:t>
      </w:r>
      <w:r w:rsidR="008351CA">
        <w:rPr>
          <w:rFonts w:asciiTheme="majorHAnsi" w:hAnsiTheme="majorHAnsi"/>
          <w:sz w:val="20"/>
          <w:szCs w:val="20"/>
        </w:rPr>
        <w:t xml:space="preserve">be </w:t>
      </w:r>
      <w:r w:rsidR="002E03F4">
        <w:rPr>
          <w:rFonts w:asciiTheme="majorHAnsi" w:hAnsiTheme="majorHAnsi"/>
          <w:sz w:val="20"/>
          <w:szCs w:val="20"/>
        </w:rPr>
        <w:t>victims.</w:t>
      </w:r>
      <w:r w:rsidR="00300D46" w:rsidRPr="00D65A97">
        <w:rPr>
          <w:rFonts w:asciiTheme="majorHAnsi" w:hAnsiTheme="majorHAnsi"/>
          <w:sz w:val="20"/>
          <w:szCs w:val="20"/>
          <w:vertAlign w:val="superscript"/>
        </w:rPr>
        <w:footnoteReference w:id="86"/>
      </w:r>
      <w:r w:rsidR="00300D46" w:rsidRPr="00D65A97">
        <w:rPr>
          <w:rFonts w:asciiTheme="majorHAnsi" w:hAnsiTheme="majorHAnsi"/>
          <w:sz w:val="20"/>
          <w:szCs w:val="20"/>
        </w:rPr>
        <w:t xml:space="preserve"> </w:t>
      </w:r>
      <w:r w:rsidR="004448A2">
        <w:rPr>
          <w:rFonts w:asciiTheme="majorHAnsi" w:hAnsiTheme="majorHAnsi"/>
          <w:sz w:val="20"/>
          <w:szCs w:val="20"/>
        </w:rPr>
        <w:t xml:space="preserve"> In this regard, the Court has found that </w:t>
      </w:r>
      <w:r w:rsidR="00D557DC">
        <w:rPr>
          <w:rFonts w:asciiTheme="majorHAnsi" w:hAnsiTheme="majorHAnsi"/>
          <w:sz w:val="20"/>
          <w:szCs w:val="20"/>
        </w:rPr>
        <w:t>the right to mental and moral integrity of the next of kin of victims has been violated b</w:t>
      </w:r>
      <w:r w:rsidR="0008602A">
        <w:rPr>
          <w:rFonts w:asciiTheme="majorHAnsi" w:hAnsiTheme="majorHAnsi"/>
          <w:sz w:val="20"/>
          <w:szCs w:val="20"/>
        </w:rPr>
        <w:t>a</w:t>
      </w:r>
      <w:r w:rsidR="00D557DC">
        <w:rPr>
          <w:rFonts w:asciiTheme="majorHAnsi" w:hAnsiTheme="majorHAnsi"/>
          <w:sz w:val="20"/>
          <w:szCs w:val="20"/>
        </w:rPr>
        <w:t xml:space="preserve">sed on the additional suffering they have endured as a result of the particular circumstances of the violations perpetrated against </w:t>
      </w:r>
      <w:r w:rsidR="00923AF5">
        <w:rPr>
          <w:rFonts w:asciiTheme="majorHAnsi" w:hAnsiTheme="majorHAnsi"/>
          <w:sz w:val="20"/>
          <w:szCs w:val="20"/>
        </w:rPr>
        <w:t xml:space="preserve">the victims </w:t>
      </w:r>
      <w:r w:rsidR="00D557DC">
        <w:rPr>
          <w:rFonts w:asciiTheme="majorHAnsi" w:hAnsiTheme="majorHAnsi"/>
          <w:sz w:val="20"/>
          <w:szCs w:val="20"/>
        </w:rPr>
        <w:t xml:space="preserve">and of subsequent acts or omissions of the </w:t>
      </w:r>
      <w:r w:rsidR="00C959DC">
        <w:rPr>
          <w:rFonts w:asciiTheme="majorHAnsi" w:hAnsiTheme="majorHAnsi"/>
          <w:sz w:val="20"/>
          <w:szCs w:val="20"/>
        </w:rPr>
        <w:t xml:space="preserve">State </w:t>
      </w:r>
      <w:r w:rsidR="00D557DC">
        <w:rPr>
          <w:rFonts w:asciiTheme="majorHAnsi" w:hAnsiTheme="majorHAnsi"/>
          <w:sz w:val="20"/>
          <w:szCs w:val="20"/>
        </w:rPr>
        <w:t>authorities in relation to the facts.</w:t>
      </w:r>
      <w:r w:rsidR="00300D46" w:rsidRPr="00D65A97">
        <w:rPr>
          <w:rFonts w:asciiTheme="majorHAnsi" w:hAnsiTheme="majorHAnsi"/>
          <w:sz w:val="20"/>
          <w:szCs w:val="20"/>
          <w:vertAlign w:val="superscript"/>
        </w:rPr>
        <w:footnoteReference w:id="87"/>
      </w:r>
    </w:p>
    <w:p w14:paraId="5CCBEF6D" w14:textId="77777777" w:rsidR="00300D46" w:rsidRPr="00D65A97" w:rsidRDefault="00300D46" w:rsidP="00300D46">
      <w:pPr>
        <w:ind w:left="360" w:firstLine="720"/>
        <w:jc w:val="both"/>
        <w:rPr>
          <w:rFonts w:asciiTheme="majorHAnsi" w:hAnsiTheme="majorHAnsi"/>
          <w:sz w:val="20"/>
          <w:szCs w:val="20"/>
        </w:rPr>
      </w:pPr>
    </w:p>
    <w:p w14:paraId="16AD0FC7" w14:textId="6447DA90" w:rsidR="00300D46" w:rsidRPr="00D65A97" w:rsidRDefault="0008602A"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sz w:val="20"/>
          <w:szCs w:val="20"/>
        </w:rPr>
      </w:pPr>
      <w:r>
        <w:rPr>
          <w:rFonts w:asciiTheme="majorHAnsi" w:hAnsiTheme="majorHAnsi"/>
          <w:sz w:val="20"/>
          <w:szCs w:val="20"/>
        </w:rPr>
        <w:t>In the instant case, the Commission found as established fact that Vicente Ariel Noguera lost his life under the custody of the State in</w:t>
      </w:r>
      <w:r w:rsidR="009F4105">
        <w:rPr>
          <w:rFonts w:asciiTheme="majorHAnsi" w:hAnsiTheme="majorHAnsi"/>
          <w:sz w:val="20"/>
          <w:szCs w:val="20"/>
        </w:rPr>
        <w:t xml:space="preserve"> circumstances that were</w:t>
      </w:r>
      <w:r>
        <w:rPr>
          <w:rFonts w:asciiTheme="majorHAnsi" w:hAnsiTheme="majorHAnsi"/>
          <w:sz w:val="20"/>
          <w:szCs w:val="20"/>
        </w:rPr>
        <w:t xml:space="preserve"> unclear </w:t>
      </w:r>
      <w:r w:rsidR="002901CB">
        <w:rPr>
          <w:rFonts w:asciiTheme="majorHAnsi" w:hAnsiTheme="majorHAnsi"/>
          <w:sz w:val="20"/>
          <w:szCs w:val="20"/>
        </w:rPr>
        <w:t xml:space="preserve">and </w:t>
      </w:r>
      <w:r w:rsidR="009F4105">
        <w:rPr>
          <w:rFonts w:asciiTheme="majorHAnsi" w:hAnsiTheme="majorHAnsi"/>
          <w:sz w:val="20"/>
          <w:szCs w:val="20"/>
        </w:rPr>
        <w:t xml:space="preserve">were not investigated with due diligence. These circumstances </w:t>
      </w:r>
      <w:r w:rsidR="007B0CA1">
        <w:rPr>
          <w:rFonts w:asciiTheme="majorHAnsi" w:hAnsiTheme="majorHAnsi"/>
          <w:sz w:val="20"/>
          <w:szCs w:val="20"/>
        </w:rPr>
        <w:t xml:space="preserve">autonomously </w:t>
      </w:r>
      <w:r w:rsidR="009F4105">
        <w:rPr>
          <w:rFonts w:asciiTheme="majorHAnsi" w:hAnsiTheme="majorHAnsi"/>
          <w:sz w:val="20"/>
          <w:szCs w:val="20"/>
        </w:rPr>
        <w:t xml:space="preserve">constitute </w:t>
      </w:r>
      <w:r w:rsidR="007B0CA1">
        <w:rPr>
          <w:rFonts w:asciiTheme="majorHAnsi" w:hAnsiTheme="majorHAnsi"/>
          <w:sz w:val="20"/>
          <w:szCs w:val="20"/>
        </w:rPr>
        <w:t xml:space="preserve">a source of suffering and powerlessness </w:t>
      </w:r>
      <w:r w:rsidR="00F43349">
        <w:rPr>
          <w:rFonts w:asciiTheme="majorHAnsi" w:hAnsiTheme="majorHAnsi"/>
          <w:sz w:val="20"/>
          <w:szCs w:val="20"/>
        </w:rPr>
        <w:t xml:space="preserve">to his next of kin, who as of the present date do not have certainty as to the cause and circumstances of his death. </w:t>
      </w:r>
      <w:r w:rsidR="00FD2350">
        <w:rPr>
          <w:rFonts w:asciiTheme="majorHAnsi" w:hAnsiTheme="majorHAnsi"/>
          <w:sz w:val="20"/>
          <w:szCs w:val="20"/>
        </w:rPr>
        <w:t xml:space="preserve">In that </w:t>
      </w:r>
      <w:r w:rsidR="00FD2350">
        <w:rPr>
          <w:rFonts w:asciiTheme="majorHAnsi" w:hAnsiTheme="majorHAnsi"/>
          <w:sz w:val="20"/>
          <w:szCs w:val="20"/>
        </w:rPr>
        <w:lastRenderedPageBreak/>
        <w:t>type of circumstance</w:t>
      </w:r>
      <w:r w:rsidR="00B41B08">
        <w:rPr>
          <w:rFonts w:asciiTheme="majorHAnsi" w:hAnsiTheme="majorHAnsi"/>
          <w:sz w:val="20"/>
          <w:szCs w:val="20"/>
        </w:rPr>
        <w:t xml:space="preserve">, the Court has held that: </w:t>
      </w:r>
      <w:r w:rsidR="00300D46" w:rsidRPr="00D65A97">
        <w:rPr>
          <w:rFonts w:asciiTheme="majorHAnsi" w:hAnsiTheme="majorHAnsi"/>
          <w:sz w:val="20"/>
          <w:szCs w:val="20"/>
        </w:rPr>
        <w:t xml:space="preserve">[…] </w:t>
      </w:r>
      <w:r w:rsidR="00A80619">
        <w:rPr>
          <w:rFonts w:asciiTheme="majorHAnsi" w:hAnsiTheme="majorHAnsi"/>
          <w:sz w:val="20"/>
          <w:szCs w:val="20"/>
        </w:rPr>
        <w:t>the absence of a complete and effective investigation into the facts constitute</w:t>
      </w:r>
      <w:r w:rsidR="00FD2350">
        <w:rPr>
          <w:rFonts w:asciiTheme="majorHAnsi" w:hAnsiTheme="majorHAnsi"/>
          <w:sz w:val="20"/>
          <w:szCs w:val="20"/>
        </w:rPr>
        <w:t>s a source of additional suffer</w:t>
      </w:r>
      <w:r w:rsidR="00A80619">
        <w:rPr>
          <w:rFonts w:asciiTheme="majorHAnsi" w:hAnsiTheme="majorHAnsi"/>
          <w:sz w:val="20"/>
          <w:szCs w:val="20"/>
        </w:rPr>
        <w:t xml:space="preserve">ing and anguish for victims and their next of kin, who have the right to know the truth of what happened. </w:t>
      </w:r>
      <w:r w:rsidR="00DE35CD">
        <w:rPr>
          <w:rFonts w:asciiTheme="majorHAnsi" w:hAnsiTheme="majorHAnsi"/>
          <w:sz w:val="20"/>
          <w:szCs w:val="20"/>
        </w:rPr>
        <w:t>This right to the truth requires a procedural determination of the most complete historical truth possible, including the determination of patterns of collective action and of all those who, in different ways, took part in those violations, as well as their corresponding responsibilities.</w:t>
      </w:r>
      <w:r w:rsidR="00FD2350">
        <w:rPr>
          <w:rFonts w:asciiTheme="majorHAnsi" w:hAnsiTheme="majorHAnsi"/>
          <w:sz w:val="20"/>
          <w:szCs w:val="20"/>
        </w:rPr>
        <w:t>”</w:t>
      </w:r>
      <w:r w:rsidR="00300D46" w:rsidRPr="00D65A97">
        <w:rPr>
          <w:rFonts w:asciiTheme="majorHAnsi" w:hAnsiTheme="majorHAnsi"/>
          <w:sz w:val="20"/>
          <w:szCs w:val="20"/>
          <w:vertAlign w:val="superscript"/>
        </w:rPr>
        <w:footnoteReference w:id="88"/>
      </w:r>
      <w:r w:rsidR="00300D46" w:rsidRPr="00D65A97">
        <w:rPr>
          <w:rFonts w:asciiTheme="majorHAnsi" w:hAnsiTheme="majorHAnsi"/>
          <w:sz w:val="20"/>
          <w:szCs w:val="20"/>
        </w:rPr>
        <w:t xml:space="preserve">  </w:t>
      </w:r>
    </w:p>
    <w:p w14:paraId="0842FD58" w14:textId="77777777" w:rsidR="00300D46" w:rsidRPr="00D65A97" w:rsidRDefault="00300D46" w:rsidP="00300D46">
      <w:pPr>
        <w:ind w:left="360" w:firstLine="720"/>
        <w:jc w:val="both"/>
        <w:rPr>
          <w:rFonts w:asciiTheme="majorHAnsi" w:hAnsiTheme="majorHAnsi"/>
          <w:sz w:val="20"/>
          <w:szCs w:val="20"/>
        </w:rPr>
      </w:pPr>
    </w:p>
    <w:p w14:paraId="0CFDC75A" w14:textId="1BB1D0B4" w:rsidR="00300D46" w:rsidRPr="00D65A97" w:rsidRDefault="002C1710"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sz w:val="20"/>
          <w:szCs w:val="20"/>
        </w:rPr>
      </w:pPr>
      <w:r>
        <w:rPr>
          <w:rFonts w:asciiTheme="majorHAnsi" w:hAnsiTheme="majorHAnsi"/>
          <w:sz w:val="20"/>
          <w:szCs w:val="20"/>
        </w:rPr>
        <w:t xml:space="preserve">Based on the foregoing, the Commission finds that the loss of her loved one in circumstances such as those described in the instant report, as well as the absence of truth and justice, cause suffering and anguish </w:t>
      </w:r>
      <w:r w:rsidR="007C21C9">
        <w:rPr>
          <w:rFonts w:asciiTheme="majorHAnsi" w:hAnsiTheme="majorHAnsi"/>
          <w:sz w:val="20"/>
          <w:szCs w:val="20"/>
        </w:rPr>
        <w:t>to the family members of Vicente Ar</w:t>
      </w:r>
      <w:r w:rsidR="00217315">
        <w:rPr>
          <w:rFonts w:asciiTheme="majorHAnsi" w:hAnsiTheme="majorHAnsi"/>
          <w:sz w:val="20"/>
          <w:szCs w:val="20"/>
        </w:rPr>
        <w:t>iel Noguera, in violation of their</w:t>
      </w:r>
      <w:r w:rsidR="007C21C9">
        <w:rPr>
          <w:rFonts w:asciiTheme="majorHAnsi" w:hAnsiTheme="majorHAnsi"/>
          <w:sz w:val="20"/>
          <w:szCs w:val="20"/>
        </w:rPr>
        <w:t xml:space="preserve"> right to </w:t>
      </w:r>
      <w:r w:rsidR="00586D06">
        <w:rPr>
          <w:rFonts w:asciiTheme="majorHAnsi" w:hAnsiTheme="majorHAnsi"/>
          <w:sz w:val="20"/>
          <w:szCs w:val="20"/>
        </w:rPr>
        <w:t xml:space="preserve">mental </w:t>
      </w:r>
      <w:r w:rsidR="007C21C9">
        <w:rPr>
          <w:rFonts w:asciiTheme="majorHAnsi" w:hAnsiTheme="majorHAnsi"/>
          <w:sz w:val="20"/>
          <w:szCs w:val="20"/>
        </w:rPr>
        <w:t xml:space="preserve">and moral integrity </w:t>
      </w:r>
      <w:r w:rsidR="00FF2E9E">
        <w:rPr>
          <w:rFonts w:asciiTheme="majorHAnsi" w:hAnsiTheme="majorHAnsi"/>
          <w:sz w:val="20"/>
          <w:szCs w:val="20"/>
        </w:rPr>
        <w:t xml:space="preserve">established in Article 5.1 of the American Convention in connection with the obligations set forth in Article 1.1 of the same instrument. </w:t>
      </w:r>
    </w:p>
    <w:p w14:paraId="7ED58BE0" w14:textId="77777777" w:rsidR="00300D46" w:rsidRPr="00D65A97" w:rsidRDefault="00300D46" w:rsidP="00300D46">
      <w:pPr>
        <w:jc w:val="both"/>
        <w:rPr>
          <w:rFonts w:asciiTheme="majorHAnsi" w:hAnsiTheme="majorHAnsi"/>
          <w:sz w:val="20"/>
          <w:szCs w:val="20"/>
        </w:rPr>
      </w:pPr>
    </w:p>
    <w:p w14:paraId="61641BD1" w14:textId="3A25AB4B" w:rsidR="00300D46" w:rsidRPr="00D65A97" w:rsidRDefault="00FD1C65" w:rsidP="00300D46">
      <w:pPr>
        <w:pStyle w:val="Heading1"/>
      </w:pPr>
      <w:bookmarkStart w:id="31" w:name="_Toc506095190"/>
      <w:r>
        <w:t>CONCLUSIONS AND RECOMMENDATIONS</w:t>
      </w:r>
      <w:bookmarkEnd w:id="31"/>
    </w:p>
    <w:p w14:paraId="588BFC1D" w14:textId="77777777" w:rsidR="00300D46" w:rsidRPr="00D65A97" w:rsidRDefault="00300D46" w:rsidP="00300D46">
      <w:pPr>
        <w:ind w:left="864"/>
        <w:rPr>
          <w:rFonts w:asciiTheme="majorHAnsi" w:hAnsiTheme="majorHAnsi"/>
          <w:b/>
          <w:sz w:val="20"/>
          <w:szCs w:val="20"/>
        </w:rPr>
      </w:pPr>
    </w:p>
    <w:p w14:paraId="0D53C08D" w14:textId="7BE618FC" w:rsidR="00300D46" w:rsidRPr="00D65A97" w:rsidRDefault="00E752B7" w:rsidP="0006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sz w:val="20"/>
          <w:szCs w:val="20"/>
        </w:rPr>
      </w:pPr>
      <w:r>
        <w:rPr>
          <w:rFonts w:asciiTheme="majorHAnsi" w:hAnsiTheme="majorHAnsi"/>
          <w:sz w:val="20"/>
          <w:szCs w:val="20"/>
        </w:rPr>
        <w:t xml:space="preserve">Based on the determinations of fact and law, the Inter-American Commission concluded that the State is responsible for the violation of Article 4.1 (right to life), 5.2 (right to humane treatment), 8.1 (right to a fair trial), 25.1 (judicial protection), and 19 (rights of the child), in connection with the obligations established in Article 1.1 of the same instrument, to the detriment of Vicente Ariel Noguera and his family, as set forth throughout the instant merits report. </w:t>
      </w:r>
    </w:p>
    <w:p w14:paraId="610E96CB" w14:textId="77777777" w:rsidR="00300D46" w:rsidRPr="00D65A97" w:rsidRDefault="00300D46" w:rsidP="00300D46">
      <w:pPr>
        <w:tabs>
          <w:tab w:val="left" w:pos="1440"/>
        </w:tabs>
        <w:jc w:val="both"/>
        <w:rPr>
          <w:rFonts w:asciiTheme="majorHAnsi" w:hAnsiTheme="majorHAnsi"/>
          <w:sz w:val="20"/>
          <w:szCs w:val="20"/>
        </w:rPr>
      </w:pPr>
    </w:p>
    <w:p w14:paraId="07BBE515" w14:textId="120D679B" w:rsidR="00300D46" w:rsidRPr="00D65A97" w:rsidRDefault="00205CBD" w:rsidP="00300D46">
      <w:pPr>
        <w:ind w:firstLine="360"/>
        <w:jc w:val="both"/>
        <w:rPr>
          <w:rFonts w:asciiTheme="majorHAnsi" w:hAnsiTheme="majorHAnsi" w:cs="Arial"/>
          <w:b/>
          <w:sz w:val="20"/>
          <w:szCs w:val="20"/>
        </w:rPr>
      </w:pPr>
      <w:r>
        <w:rPr>
          <w:rFonts w:asciiTheme="majorHAnsi" w:hAnsiTheme="majorHAnsi" w:cs="Arial"/>
          <w:b/>
          <w:sz w:val="20"/>
          <w:szCs w:val="20"/>
        </w:rPr>
        <w:t>THE INTER-AMERICAN COMMISSION ON HUMAN RIGHTS RECOMMENDS THE STATE OF PARAGUAY,</w:t>
      </w:r>
    </w:p>
    <w:p w14:paraId="4E50095B" w14:textId="77777777" w:rsidR="00300D46" w:rsidRPr="00D65A97" w:rsidRDefault="00300D46" w:rsidP="00300D46">
      <w:pPr>
        <w:ind w:firstLine="360"/>
        <w:jc w:val="both"/>
        <w:rPr>
          <w:rFonts w:asciiTheme="majorHAnsi" w:hAnsiTheme="majorHAnsi" w:cs="Verdana"/>
          <w:b/>
          <w:sz w:val="20"/>
          <w:szCs w:val="20"/>
          <w:lang w:bidi="en-US"/>
        </w:rPr>
      </w:pPr>
    </w:p>
    <w:p w14:paraId="6F83C0C5" w14:textId="11498884" w:rsidR="00300D46" w:rsidRPr="00D65A97" w:rsidRDefault="00205CBD" w:rsidP="000646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trike/>
          <w:sz w:val="20"/>
          <w:szCs w:val="20"/>
        </w:rPr>
      </w:pPr>
      <w:r>
        <w:rPr>
          <w:rFonts w:asciiTheme="majorHAnsi" w:hAnsiTheme="majorHAnsi"/>
          <w:sz w:val="20"/>
          <w:szCs w:val="20"/>
        </w:rPr>
        <w:t xml:space="preserve">To fully redress the human rights violations </w:t>
      </w:r>
      <w:r w:rsidR="00233276">
        <w:rPr>
          <w:rFonts w:asciiTheme="majorHAnsi" w:hAnsiTheme="majorHAnsi"/>
          <w:sz w:val="20"/>
          <w:szCs w:val="20"/>
        </w:rPr>
        <w:t xml:space="preserve">found in the instant report, </w:t>
      </w:r>
      <w:r w:rsidR="00646BC3">
        <w:rPr>
          <w:rFonts w:asciiTheme="majorHAnsi" w:hAnsiTheme="majorHAnsi"/>
          <w:sz w:val="20"/>
          <w:szCs w:val="20"/>
        </w:rPr>
        <w:t xml:space="preserve">for </w:t>
      </w:r>
      <w:r w:rsidR="00233276">
        <w:rPr>
          <w:rFonts w:asciiTheme="majorHAnsi" w:hAnsiTheme="majorHAnsi"/>
          <w:sz w:val="20"/>
          <w:szCs w:val="20"/>
        </w:rPr>
        <w:t xml:space="preserve">both </w:t>
      </w:r>
      <w:r w:rsidR="00646BC3">
        <w:rPr>
          <w:rFonts w:asciiTheme="majorHAnsi" w:hAnsiTheme="majorHAnsi"/>
          <w:sz w:val="20"/>
          <w:szCs w:val="20"/>
        </w:rPr>
        <w:t>physical and moral damages. The State must adopt measures of economic compensation and satisfaction. At the time of assessment of compliance with the recommendations of the instant report on the merits, the Commission will take into account effectively implemented measures in the context of the</w:t>
      </w:r>
      <w:r w:rsidR="00646BC3" w:rsidRPr="00646BC3">
        <w:rPr>
          <w:rFonts w:asciiTheme="majorHAnsi" w:hAnsiTheme="majorHAnsi"/>
          <w:sz w:val="20"/>
          <w:szCs w:val="20"/>
        </w:rPr>
        <w:t xml:space="preserve"> </w:t>
      </w:r>
      <w:r w:rsidR="00646BC3">
        <w:rPr>
          <w:rFonts w:asciiTheme="majorHAnsi" w:hAnsiTheme="majorHAnsi"/>
          <w:sz w:val="20"/>
          <w:szCs w:val="20"/>
        </w:rPr>
        <w:t>friendly settlement negotiations</w:t>
      </w:r>
      <w:r w:rsidR="00745E63">
        <w:rPr>
          <w:rFonts w:asciiTheme="majorHAnsi" w:hAnsiTheme="majorHAnsi"/>
          <w:sz w:val="20"/>
          <w:szCs w:val="20"/>
        </w:rPr>
        <w:t xml:space="preserve">, without prejudice to any complementary measures that must be adopted in order to meet the standard of full reparation. </w:t>
      </w:r>
      <w:r w:rsidR="00646BC3">
        <w:rPr>
          <w:rFonts w:asciiTheme="majorHAnsi" w:hAnsiTheme="majorHAnsi"/>
          <w:sz w:val="20"/>
          <w:szCs w:val="20"/>
        </w:rPr>
        <w:t xml:space="preserve"> </w:t>
      </w:r>
    </w:p>
    <w:p w14:paraId="2C87482B" w14:textId="77777777" w:rsidR="00300D46" w:rsidRPr="00D65A97" w:rsidRDefault="00300D46" w:rsidP="00300D46">
      <w:pPr>
        <w:ind w:left="720" w:firstLine="720"/>
        <w:jc w:val="both"/>
        <w:rPr>
          <w:rFonts w:asciiTheme="majorHAnsi" w:hAnsiTheme="majorHAnsi"/>
          <w:strike/>
          <w:sz w:val="20"/>
          <w:szCs w:val="20"/>
        </w:rPr>
      </w:pPr>
    </w:p>
    <w:p w14:paraId="5CE8642C" w14:textId="39A40D73" w:rsidR="00300D46" w:rsidRPr="00D65A97" w:rsidRDefault="003D12EF" w:rsidP="000646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To provide the necessary measures of physical and mental health care for the rehabilitation of María Noguera, should she </w:t>
      </w:r>
      <w:r w:rsidR="008B51EE">
        <w:rPr>
          <w:rFonts w:asciiTheme="majorHAnsi" w:hAnsiTheme="majorHAnsi"/>
          <w:sz w:val="20"/>
          <w:szCs w:val="20"/>
        </w:rPr>
        <w:t xml:space="preserve">so desire and in concert with her. </w:t>
      </w:r>
    </w:p>
    <w:p w14:paraId="5A57E1EC" w14:textId="77777777" w:rsidR="00300D46" w:rsidRPr="00D65A97" w:rsidRDefault="00300D46" w:rsidP="00300D46">
      <w:pPr>
        <w:pStyle w:val="ListParagraph"/>
        <w:ind w:firstLine="720"/>
        <w:rPr>
          <w:rFonts w:asciiTheme="majorHAnsi" w:hAnsiTheme="majorHAnsi"/>
          <w:sz w:val="20"/>
          <w:szCs w:val="20"/>
        </w:rPr>
      </w:pPr>
    </w:p>
    <w:p w14:paraId="7882F0D3" w14:textId="214ECF06" w:rsidR="00300D46" w:rsidRPr="00D65A97" w:rsidRDefault="00332945" w:rsidP="000646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To f</w:t>
      </w:r>
      <w:r w:rsidR="005D212A">
        <w:rPr>
          <w:rFonts w:asciiTheme="majorHAnsi" w:hAnsiTheme="majorHAnsi"/>
          <w:sz w:val="20"/>
          <w:szCs w:val="20"/>
        </w:rPr>
        <w:t>urther and conclude the criminal investigation</w:t>
      </w:r>
      <w:r w:rsidR="001D1019">
        <w:rPr>
          <w:rFonts w:asciiTheme="majorHAnsi" w:hAnsiTheme="majorHAnsi"/>
          <w:sz w:val="20"/>
          <w:szCs w:val="20"/>
        </w:rPr>
        <w:t xml:space="preserve">, which </w:t>
      </w:r>
      <w:r w:rsidR="005D212A">
        <w:rPr>
          <w:rFonts w:asciiTheme="majorHAnsi" w:hAnsiTheme="majorHAnsi"/>
          <w:sz w:val="20"/>
          <w:szCs w:val="20"/>
        </w:rPr>
        <w:t xml:space="preserve">the State reported to the Commission during the processing of the case </w:t>
      </w:r>
      <w:r w:rsidR="005915D0">
        <w:rPr>
          <w:rFonts w:asciiTheme="majorHAnsi" w:hAnsiTheme="majorHAnsi"/>
          <w:sz w:val="20"/>
          <w:szCs w:val="20"/>
        </w:rPr>
        <w:t xml:space="preserve">had been </w:t>
      </w:r>
      <w:r w:rsidR="00673C83">
        <w:rPr>
          <w:rFonts w:asciiTheme="majorHAnsi" w:hAnsiTheme="majorHAnsi"/>
          <w:sz w:val="20"/>
          <w:szCs w:val="20"/>
        </w:rPr>
        <w:t>reopened on May 28, 2012,</w:t>
      </w:r>
      <w:r w:rsidR="005D212A">
        <w:rPr>
          <w:rFonts w:asciiTheme="majorHAnsi" w:hAnsiTheme="majorHAnsi"/>
          <w:sz w:val="20"/>
          <w:szCs w:val="20"/>
        </w:rPr>
        <w:t xml:space="preserve"> diligently, effectively and within a reasonable period of time in order to thoroughly elucidate the</w:t>
      </w:r>
      <w:r w:rsidR="007C4EDE">
        <w:rPr>
          <w:rFonts w:asciiTheme="majorHAnsi" w:hAnsiTheme="majorHAnsi"/>
          <w:sz w:val="20"/>
          <w:szCs w:val="20"/>
        </w:rPr>
        <w:t xml:space="preserve"> facts, identify those who may be responsible and impose punishment accordingly for the human rights violations found in the instant report. </w:t>
      </w:r>
      <w:r w:rsidR="005D212A">
        <w:rPr>
          <w:rFonts w:asciiTheme="majorHAnsi" w:hAnsiTheme="majorHAnsi"/>
          <w:sz w:val="20"/>
          <w:szCs w:val="20"/>
        </w:rPr>
        <w:t xml:space="preserve"> </w:t>
      </w:r>
    </w:p>
    <w:p w14:paraId="525DC38A" w14:textId="77777777" w:rsidR="00300D46" w:rsidRPr="00D65A97" w:rsidRDefault="00300D46" w:rsidP="00300D46">
      <w:pPr>
        <w:pStyle w:val="ListParagraph"/>
        <w:ind w:firstLine="720"/>
        <w:rPr>
          <w:rFonts w:asciiTheme="majorHAnsi" w:hAnsiTheme="majorHAnsi"/>
          <w:sz w:val="20"/>
          <w:szCs w:val="20"/>
        </w:rPr>
      </w:pPr>
    </w:p>
    <w:p w14:paraId="30597945" w14:textId="77777777" w:rsidR="0051574A" w:rsidRDefault="00332945" w:rsidP="0051574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To take the</w:t>
      </w:r>
      <w:r w:rsidR="00597538">
        <w:rPr>
          <w:rFonts w:asciiTheme="majorHAnsi" w:hAnsiTheme="majorHAnsi"/>
          <w:sz w:val="20"/>
          <w:szCs w:val="20"/>
        </w:rPr>
        <w:t xml:space="preserve"> necessary measures to prevent the repetition of the human rights violations found in the instant report, including</w:t>
      </w:r>
      <w:r w:rsidR="00300D46" w:rsidRPr="00D65A97">
        <w:rPr>
          <w:rFonts w:asciiTheme="majorHAnsi" w:hAnsiTheme="majorHAnsi"/>
          <w:sz w:val="20"/>
          <w:szCs w:val="20"/>
        </w:rPr>
        <w:t xml:space="preserve">: i) </w:t>
      </w:r>
      <w:r w:rsidR="00597538">
        <w:rPr>
          <w:rFonts w:asciiTheme="majorHAnsi" w:hAnsiTheme="majorHAnsi"/>
          <w:sz w:val="20"/>
          <w:szCs w:val="20"/>
        </w:rPr>
        <w:t>training of members of the</w:t>
      </w:r>
      <w:r w:rsidR="00065D85">
        <w:rPr>
          <w:rFonts w:asciiTheme="majorHAnsi" w:hAnsiTheme="majorHAnsi"/>
          <w:sz w:val="20"/>
          <w:szCs w:val="20"/>
        </w:rPr>
        <w:t xml:space="preserve"> armed forces in charge of </w:t>
      </w:r>
      <w:r w:rsidR="001E60FE">
        <w:rPr>
          <w:rFonts w:asciiTheme="majorHAnsi" w:hAnsiTheme="majorHAnsi"/>
          <w:sz w:val="20"/>
          <w:szCs w:val="20"/>
        </w:rPr>
        <w:t>persons</w:t>
      </w:r>
      <w:r w:rsidR="00065D85">
        <w:rPr>
          <w:rFonts w:asciiTheme="majorHAnsi" w:hAnsiTheme="majorHAnsi"/>
          <w:sz w:val="20"/>
          <w:szCs w:val="20"/>
        </w:rPr>
        <w:t xml:space="preserve"> who are performing military service, specifically with regard to international standards on its special role as guarantor for these persons, and regarding the </w:t>
      </w:r>
      <w:r w:rsidR="008D3E7B">
        <w:rPr>
          <w:rFonts w:asciiTheme="majorHAnsi" w:hAnsiTheme="majorHAnsi"/>
          <w:sz w:val="20"/>
          <w:szCs w:val="20"/>
        </w:rPr>
        <w:t xml:space="preserve">limitations </w:t>
      </w:r>
      <w:r w:rsidR="00065D85">
        <w:rPr>
          <w:rFonts w:asciiTheme="majorHAnsi" w:hAnsiTheme="majorHAnsi"/>
          <w:sz w:val="20"/>
          <w:szCs w:val="20"/>
        </w:rPr>
        <w:t>imposed by international law on</w:t>
      </w:r>
      <w:r w:rsidR="0023121C">
        <w:rPr>
          <w:rFonts w:asciiTheme="majorHAnsi" w:hAnsiTheme="majorHAnsi"/>
          <w:sz w:val="20"/>
          <w:szCs w:val="20"/>
        </w:rPr>
        <w:t xml:space="preserve"> methods of military discipline</w:t>
      </w:r>
      <w:r w:rsidR="00300D46" w:rsidRPr="00D65A97">
        <w:rPr>
          <w:rFonts w:asciiTheme="majorHAnsi" w:hAnsiTheme="majorHAnsi"/>
          <w:sz w:val="20"/>
          <w:szCs w:val="20"/>
        </w:rPr>
        <w:t xml:space="preserve">; ii) </w:t>
      </w:r>
      <w:r w:rsidR="00065D85">
        <w:rPr>
          <w:rFonts w:asciiTheme="majorHAnsi" w:hAnsiTheme="majorHAnsi"/>
          <w:sz w:val="20"/>
          <w:szCs w:val="20"/>
        </w:rPr>
        <w:t xml:space="preserve">creation of independent, suitable and effective mechanisms </w:t>
      </w:r>
      <w:r w:rsidR="00F22C19">
        <w:rPr>
          <w:rFonts w:asciiTheme="majorHAnsi" w:hAnsiTheme="majorHAnsi"/>
          <w:sz w:val="20"/>
          <w:szCs w:val="20"/>
        </w:rPr>
        <w:t xml:space="preserve">of accountability with regard to abuses in the sphere of military service; and </w:t>
      </w:r>
      <w:r w:rsidR="00300D46" w:rsidRPr="00D65A97">
        <w:rPr>
          <w:rFonts w:asciiTheme="majorHAnsi" w:hAnsiTheme="majorHAnsi"/>
          <w:sz w:val="20"/>
          <w:szCs w:val="20"/>
        </w:rPr>
        <w:t xml:space="preserve">iii) </w:t>
      </w:r>
      <w:r w:rsidR="0023121C">
        <w:rPr>
          <w:rFonts w:asciiTheme="majorHAnsi" w:hAnsiTheme="majorHAnsi"/>
          <w:sz w:val="20"/>
          <w:szCs w:val="20"/>
        </w:rPr>
        <w:t>the elimination of the use of military justice and the strengthening of the capacity to investigate deaths and other abuses that take place under the custody of the State in the context of performance of military service.</w:t>
      </w:r>
    </w:p>
    <w:p w14:paraId="2D42FE9F" w14:textId="77777777" w:rsidR="0051574A" w:rsidRDefault="0051574A" w:rsidP="0051574A">
      <w:pPr>
        <w:pStyle w:val="ListParagraph"/>
        <w:rPr>
          <w:color w:val="222222"/>
          <w:sz w:val="20"/>
          <w:szCs w:val="20"/>
          <w:shd w:val="clear" w:color="auto" w:fill="FFFFFF"/>
        </w:rPr>
      </w:pPr>
    </w:p>
    <w:p w14:paraId="54103055" w14:textId="39F65179" w:rsidR="00C55560" w:rsidRDefault="0051574A" w:rsidP="0051574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222222"/>
          <w:sz w:val="20"/>
          <w:szCs w:val="20"/>
          <w:shd w:val="clear" w:color="auto" w:fill="FFFFFF"/>
        </w:rPr>
      </w:pPr>
      <w:proofErr w:type="gramStart"/>
      <w:r w:rsidRPr="0051574A">
        <w:rPr>
          <w:rFonts w:ascii="Cambria" w:hAnsi="Cambria"/>
          <w:color w:val="222222"/>
          <w:sz w:val="20"/>
          <w:szCs w:val="20"/>
          <w:shd w:val="clear" w:color="auto" w:fill="FFFFFF"/>
        </w:rPr>
        <w:t>Adopted by the Inter-American Commission on Human Rights in the city of Bogota, Colombia on February 24, 2018.</w:t>
      </w:r>
      <w:proofErr w:type="gramEnd"/>
      <w:r w:rsidRPr="0051574A">
        <w:rPr>
          <w:rFonts w:ascii="Cambria" w:hAnsi="Cambria"/>
          <w:color w:val="222222"/>
          <w:sz w:val="20"/>
          <w:szCs w:val="20"/>
          <w:shd w:val="clear" w:color="auto" w:fill="FFFFFF"/>
        </w:rPr>
        <w:t xml:space="preserve"> (Signed): </w:t>
      </w:r>
      <w:proofErr w:type="spellStart"/>
      <w:r w:rsidRPr="0051574A">
        <w:rPr>
          <w:rFonts w:ascii="Cambria" w:hAnsi="Cambria"/>
          <w:color w:val="222222"/>
          <w:sz w:val="20"/>
          <w:szCs w:val="20"/>
          <w:shd w:val="clear" w:color="auto" w:fill="FFFFFF"/>
        </w:rPr>
        <w:t>Margarette</w:t>
      </w:r>
      <w:proofErr w:type="spellEnd"/>
      <w:r w:rsidRPr="0051574A">
        <w:rPr>
          <w:rFonts w:ascii="Cambria" w:hAnsi="Cambria"/>
          <w:color w:val="222222"/>
          <w:sz w:val="20"/>
          <w:szCs w:val="20"/>
          <w:shd w:val="clear" w:color="auto" w:fill="FFFFFF"/>
        </w:rPr>
        <w:t xml:space="preserve"> May Macaulay, President; Esmeralda E. </w:t>
      </w:r>
      <w:proofErr w:type="spellStart"/>
      <w:r w:rsidRPr="0051574A">
        <w:rPr>
          <w:rFonts w:ascii="Cambria" w:hAnsi="Cambria"/>
          <w:color w:val="222222"/>
          <w:sz w:val="20"/>
          <w:szCs w:val="20"/>
          <w:shd w:val="clear" w:color="auto" w:fill="FFFFFF"/>
        </w:rPr>
        <w:t>Arosemena</w:t>
      </w:r>
      <w:proofErr w:type="spellEnd"/>
      <w:r w:rsidRPr="0051574A">
        <w:rPr>
          <w:rFonts w:ascii="Cambria" w:hAnsi="Cambria"/>
          <w:color w:val="222222"/>
          <w:sz w:val="20"/>
          <w:szCs w:val="20"/>
          <w:shd w:val="clear" w:color="auto" w:fill="FFFFFF"/>
        </w:rPr>
        <w:t xml:space="preserve"> Bernal de </w:t>
      </w:r>
      <w:proofErr w:type="spellStart"/>
      <w:r w:rsidRPr="0051574A">
        <w:rPr>
          <w:rFonts w:ascii="Cambria" w:hAnsi="Cambria"/>
          <w:color w:val="222222"/>
          <w:sz w:val="20"/>
          <w:szCs w:val="20"/>
          <w:shd w:val="clear" w:color="auto" w:fill="FFFFFF"/>
        </w:rPr>
        <w:lastRenderedPageBreak/>
        <w:t>Troitiño</w:t>
      </w:r>
      <w:proofErr w:type="spellEnd"/>
      <w:r w:rsidRPr="0051574A">
        <w:rPr>
          <w:rFonts w:ascii="Cambria" w:hAnsi="Cambria"/>
          <w:color w:val="222222"/>
          <w:sz w:val="20"/>
          <w:szCs w:val="20"/>
          <w:shd w:val="clear" w:color="auto" w:fill="FFFFFF"/>
        </w:rPr>
        <w:t>, Firs</w:t>
      </w:r>
      <w:r>
        <w:rPr>
          <w:rFonts w:ascii="Cambria" w:hAnsi="Cambria"/>
          <w:color w:val="222222"/>
          <w:sz w:val="20"/>
          <w:szCs w:val="20"/>
          <w:shd w:val="clear" w:color="auto" w:fill="FFFFFF"/>
        </w:rPr>
        <w:t>t</w:t>
      </w:r>
      <w:r w:rsidRPr="0051574A">
        <w:rPr>
          <w:rFonts w:ascii="Cambria" w:hAnsi="Cambria"/>
          <w:color w:val="222222"/>
          <w:sz w:val="20"/>
          <w:szCs w:val="20"/>
          <w:shd w:val="clear" w:color="auto" w:fill="FFFFFF"/>
        </w:rPr>
        <w:t xml:space="preserve"> Vice-president; Luis Ernesto Vargas Silva, Second Vice-president; Francisco José </w:t>
      </w:r>
      <w:proofErr w:type="spellStart"/>
      <w:r w:rsidRPr="0051574A">
        <w:rPr>
          <w:rFonts w:ascii="Cambria" w:hAnsi="Cambria"/>
          <w:color w:val="222222"/>
          <w:sz w:val="20"/>
          <w:szCs w:val="20"/>
          <w:shd w:val="clear" w:color="auto" w:fill="FFFFFF"/>
        </w:rPr>
        <w:t>Eguiguren</w:t>
      </w:r>
      <w:proofErr w:type="spellEnd"/>
      <w:r w:rsidRPr="0051574A">
        <w:rPr>
          <w:rFonts w:ascii="Cambria" w:hAnsi="Cambria"/>
          <w:color w:val="222222"/>
          <w:sz w:val="20"/>
          <w:szCs w:val="20"/>
          <w:shd w:val="clear" w:color="auto" w:fill="FFFFFF"/>
        </w:rPr>
        <w:t xml:space="preserve"> </w:t>
      </w:r>
      <w:proofErr w:type="spellStart"/>
      <w:r w:rsidRPr="0051574A">
        <w:rPr>
          <w:rFonts w:ascii="Cambria" w:hAnsi="Cambria"/>
          <w:color w:val="222222"/>
          <w:sz w:val="20"/>
          <w:szCs w:val="20"/>
          <w:shd w:val="clear" w:color="auto" w:fill="FFFFFF"/>
        </w:rPr>
        <w:t>Praeli</w:t>
      </w:r>
      <w:proofErr w:type="spellEnd"/>
      <w:r w:rsidRPr="0051574A">
        <w:rPr>
          <w:rFonts w:ascii="Cambria" w:hAnsi="Cambria"/>
          <w:color w:val="222222"/>
          <w:sz w:val="20"/>
          <w:szCs w:val="20"/>
          <w:shd w:val="clear" w:color="auto" w:fill="FFFFFF"/>
        </w:rPr>
        <w:t xml:space="preserve">, Joel Hernández </w:t>
      </w:r>
      <w:proofErr w:type="spellStart"/>
      <w:r w:rsidRPr="0051574A">
        <w:rPr>
          <w:rFonts w:ascii="Cambria" w:hAnsi="Cambria"/>
          <w:color w:val="222222"/>
          <w:sz w:val="20"/>
          <w:szCs w:val="20"/>
          <w:shd w:val="clear" w:color="auto" w:fill="FFFFFF"/>
        </w:rPr>
        <w:t>García</w:t>
      </w:r>
      <w:proofErr w:type="spellEnd"/>
      <w:r w:rsidRPr="0051574A">
        <w:rPr>
          <w:rFonts w:ascii="Cambria" w:hAnsi="Cambria"/>
          <w:color w:val="222222"/>
          <w:sz w:val="20"/>
          <w:szCs w:val="20"/>
          <w:shd w:val="clear" w:color="auto" w:fill="FFFFFF"/>
        </w:rPr>
        <w:t xml:space="preserve">, Antonia Urrejola y </w:t>
      </w:r>
      <w:proofErr w:type="spellStart"/>
      <w:r w:rsidRPr="0051574A">
        <w:rPr>
          <w:rFonts w:ascii="Cambria" w:hAnsi="Cambria"/>
          <w:color w:val="222222"/>
          <w:sz w:val="20"/>
          <w:szCs w:val="20"/>
          <w:shd w:val="clear" w:color="auto" w:fill="FFFFFF"/>
        </w:rPr>
        <w:t>Flávia</w:t>
      </w:r>
      <w:proofErr w:type="spellEnd"/>
      <w:r w:rsidRPr="0051574A">
        <w:rPr>
          <w:rFonts w:ascii="Cambria" w:hAnsi="Cambria"/>
          <w:color w:val="222222"/>
          <w:sz w:val="20"/>
          <w:szCs w:val="20"/>
          <w:shd w:val="clear" w:color="auto" w:fill="FFFFFF"/>
        </w:rPr>
        <w:t xml:space="preserve"> </w:t>
      </w:r>
      <w:proofErr w:type="spellStart"/>
      <w:r w:rsidRPr="0051574A">
        <w:rPr>
          <w:rFonts w:ascii="Cambria" w:hAnsi="Cambria"/>
          <w:color w:val="222222"/>
          <w:sz w:val="20"/>
          <w:szCs w:val="20"/>
          <w:shd w:val="clear" w:color="auto" w:fill="FFFFFF"/>
        </w:rPr>
        <w:t>Piovesan</w:t>
      </w:r>
      <w:proofErr w:type="spellEnd"/>
      <w:r w:rsidRPr="0051574A">
        <w:rPr>
          <w:rFonts w:ascii="Cambria" w:hAnsi="Cambria"/>
          <w:color w:val="222222"/>
          <w:sz w:val="20"/>
          <w:szCs w:val="20"/>
          <w:shd w:val="clear" w:color="auto" w:fill="FFFFFF"/>
        </w:rPr>
        <w:t>,</w:t>
      </w:r>
      <w:r>
        <w:rPr>
          <w:rFonts w:ascii="Cambria" w:hAnsi="Cambria"/>
          <w:color w:val="222222"/>
          <w:sz w:val="20"/>
          <w:szCs w:val="20"/>
          <w:shd w:val="clear" w:color="auto" w:fill="FFFFFF"/>
        </w:rPr>
        <w:t xml:space="preserve"> members of the </w:t>
      </w:r>
      <w:r w:rsidR="00C37686">
        <w:rPr>
          <w:rFonts w:ascii="Cambria" w:hAnsi="Cambria"/>
          <w:color w:val="222222"/>
          <w:sz w:val="20"/>
          <w:szCs w:val="20"/>
          <w:shd w:val="clear" w:color="auto" w:fill="FFFFFF"/>
        </w:rPr>
        <w:t>Commission</w:t>
      </w:r>
      <w:r>
        <w:rPr>
          <w:rFonts w:ascii="Cambria" w:hAnsi="Cambria"/>
          <w:color w:val="222222"/>
          <w:sz w:val="20"/>
          <w:szCs w:val="20"/>
          <w:shd w:val="clear" w:color="auto" w:fill="FFFFFF"/>
        </w:rPr>
        <w:t>.</w:t>
      </w:r>
    </w:p>
    <w:p w14:paraId="39A0511F" w14:textId="77777777" w:rsidR="00C37686" w:rsidRDefault="00C37686" w:rsidP="0051574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222222"/>
          <w:sz w:val="20"/>
          <w:szCs w:val="20"/>
          <w:shd w:val="clear" w:color="auto" w:fill="FFFFFF"/>
        </w:rPr>
      </w:pPr>
    </w:p>
    <w:p w14:paraId="5654D4A6" w14:textId="18B99272" w:rsidR="00C37686" w:rsidRDefault="00C37686" w:rsidP="0051574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222222"/>
          <w:sz w:val="20"/>
          <w:szCs w:val="20"/>
          <w:shd w:val="clear" w:color="auto" w:fill="FFFFFF"/>
        </w:rPr>
      </w:pPr>
      <w:r>
        <w:rPr>
          <w:rFonts w:ascii="Cambria" w:hAnsi="Cambria"/>
          <w:color w:val="222222"/>
          <w:sz w:val="20"/>
          <w:szCs w:val="20"/>
          <w:shd w:val="clear" w:color="auto" w:fill="FFFFFF"/>
        </w:rPr>
        <w:t xml:space="preserve">I, the undersigned, Elizabeth Abi-Mershed, in </w:t>
      </w:r>
      <w:r w:rsidR="00917526">
        <w:rPr>
          <w:rFonts w:ascii="Cambria" w:hAnsi="Cambria"/>
          <w:color w:val="222222"/>
          <w:sz w:val="20"/>
          <w:szCs w:val="20"/>
          <w:shd w:val="clear" w:color="auto" w:fill="FFFFFF"/>
        </w:rPr>
        <w:t xml:space="preserve">my </w:t>
      </w:r>
      <w:r>
        <w:rPr>
          <w:rFonts w:ascii="Cambria" w:hAnsi="Cambria"/>
          <w:color w:val="222222"/>
          <w:sz w:val="20"/>
          <w:szCs w:val="20"/>
          <w:shd w:val="clear" w:color="auto" w:fill="FFFFFF"/>
        </w:rPr>
        <w:t xml:space="preserve">capacity as Assistant Executive Secretary </w:t>
      </w:r>
      <w:r w:rsidR="00917526">
        <w:rPr>
          <w:rFonts w:ascii="Cambria" w:hAnsi="Cambria"/>
          <w:color w:val="222222"/>
          <w:sz w:val="20"/>
          <w:szCs w:val="20"/>
          <w:shd w:val="clear" w:color="auto" w:fill="FFFFFF"/>
        </w:rPr>
        <w:t xml:space="preserve">of the Inter-American Commission on Human Rights, in accordance with article 49 of the Rules of Procedure, certify that </w:t>
      </w:r>
      <w:r w:rsidR="00801B63">
        <w:rPr>
          <w:rFonts w:ascii="Cambria" w:hAnsi="Cambria"/>
          <w:color w:val="222222"/>
          <w:sz w:val="20"/>
          <w:szCs w:val="20"/>
          <w:shd w:val="clear" w:color="auto" w:fill="FFFFFF"/>
        </w:rPr>
        <w:t xml:space="preserve">is a true copy of the original deposited in the archives of the Executive Secretary of the IACHR. </w:t>
      </w:r>
    </w:p>
    <w:p w14:paraId="60C0D67B" w14:textId="77777777" w:rsidR="0051574A" w:rsidRDefault="0051574A" w:rsidP="0051574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222222"/>
          <w:sz w:val="20"/>
          <w:szCs w:val="20"/>
          <w:shd w:val="clear" w:color="auto" w:fill="FFFFFF"/>
        </w:rPr>
      </w:pPr>
    </w:p>
    <w:p w14:paraId="4F8043D9" w14:textId="77777777" w:rsidR="00801B63" w:rsidRDefault="00801B63" w:rsidP="0051574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222222"/>
          <w:sz w:val="20"/>
          <w:szCs w:val="20"/>
          <w:shd w:val="clear" w:color="auto" w:fill="FFFFFF"/>
        </w:rPr>
      </w:pPr>
    </w:p>
    <w:p w14:paraId="06B7B41A" w14:textId="77777777" w:rsidR="00801B63" w:rsidRDefault="00801B63" w:rsidP="0051574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222222"/>
          <w:sz w:val="20"/>
          <w:szCs w:val="20"/>
          <w:shd w:val="clear" w:color="auto" w:fill="FFFFFF"/>
        </w:rPr>
      </w:pPr>
    </w:p>
    <w:p w14:paraId="60F118F4" w14:textId="1C244A24" w:rsidR="0051574A" w:rsidRPr="00801B63" w:rsidRDefault="00801B63" w:rsidP="00801B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rPr>
      </w:pPr>
      <w:r w:rsidRPr="00801B63">
        <w:rPr>
          <w:rFonts w:asciiTheme="majorHAnsi" w:hAnsiTheme="majorHAnsi"/>
          <w:sz w:val="20"/>
          <w:szCs w:val="20"/>
        </w:rPr>
        <w:t>Elizabeth Abi-Mershed</w:t>
      </w:r>
    </w:p>
    <w:p w14:paraId="77C00247" w14:textId="69606AB2" w:rsidR="00DD15DF" w:rsidRDefault="00801B63" w:rsidP="00801B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olor w:val="222222"/>
          <w:sz w:val="20"/>
          <w:szCs w:val="20"/>
          <w:shd w:val="clear" w:color="auto" w:fill="FFFFFF"/>
        </w:rPr>
      </w:pPr>
      <w:r>
        <w:rPr>
          <w:rFonts w:ascii="Cambria" w:hAnsi="Cambria"/>
          <w:color w:val="222222"/>
          <w:sz w:val="20"/>
          <w:szCs w:val="20"/>
          <w:shd w:val="clear" w:color="auto" w:fill="FFFFFF"/>
        </w:rPr>
        <w:t>Assistant Executive Secretary</w:t>
      </w:r>
    </w:p>
    <w:p w14:paraId="32EA2BCC" w14:textId="77777777" w:rsidR="00DD15DF" w:rsidRDefault="00DD15DF">
      <w:pPr>
        <w:rPr>
          <w:rFonts w:ascii="Cambria" w:hAnsi="Cambria"/>
          <w:color w:val="222222"/>
          <w:sz w:val="20"/>
          <w:szCs w:val="20"/>
          <w:shd w:val="clear" w:color="auto" w:fill="FFFFFF"/>
        </w:rPr>
      </w:pPr>
      <w:r>
        <w:rPr>
          <w:rFonts w:ascii="Cambria" w:hAnsi="Cambria"/>
          <w:color w:val="222222"/>
          <w:sz w:val="20"/>
          <w:szCs w:val="20"/>
          <w:shd w:val="clear" w:color="auto" w:fill="FFFFFF"/>
        </w:rPr>
        <w:br w:type="page"/>
      </w:r>
    </w:p>
    <w:p w14:paraId="5C9EF19F" w14:textId="01C20CF7" w:rsidR="00DD15DF" w:rsidRPr="00375943" w:rsidRDefault="00DD15DF" w:rsidP="00DD15DF">
      <w:pPr>
        <w:jc w:val="center"/>
        <w:rPr>
          <w:rFonts w:asciiTheme="majorHAnsi" w:hAnsiTheme="majorHAnsi"/>
          <w:b/>
        </w:rPr>
      </w:pPr>
      <w:r w:rsidRPr="00375943">
        <w:rPr>
          <w:rFonts w:asciiTheme="majorHAnsi" w:hAnsiTheme="majorHAnsi"/>
          <w:b/>
        </w:rPr>
        <w:lastRenderedPageBreak/>
        <w:t>An</w:t>
      </w:r>
      <w:r w:rsidRPr="00375943">
        <w:rPr>
          <w:rFonts w:asciiTheme="majorHAnsi" w:hAnsiTheme="majorHAnsi"/>
          <w:b/>
        </w:rPr>
        <w:t>nexe</w:t>
      </w:r>
      <w:r w:rsidRPr="00375943">
        <w:rPr>
          <w:rFonts w:asciiTheme="majorHAnsi" w:hAnsiTheme="majorHAnsi"/>
          <w:b/>
        </w:rPr>
        <w:t>s</w:t>
      </w:r>
    </w:p>
    <w:p w14:paraId="58A849A9" w14:textId="77777777" w:rsidR="00DD15DF" w:rsidRPr="00375943" w:rsidRDefault="00DD15DF" w:rsidP="00DD15DF">
      <w:pPr>
        <w:rPr>
          <w:rFonts w:asciiTheme="majorHAnsi" w:hAnsiTheme="majorHAnsi"/>
          <w:b/>
        </w:rPr>
      </w:pPr>
    </w:p>
    <w:p w14:paraId="7A4242FF"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1. </w:t>
      </w:r>
      <w:proofErr w:type="gramStart"/>
      <w:r w:rsidRPr="00375943">
        <w:rPr>
          <w:rFonts w:asciiTheme="majorHAnsi" w:hAnsiTheme="majorHAnsi"/>
        </w:rPr>
        <w:t>Initial petition of September 19, 2000.</w:t>
      </w:r>
      <w:proofErr w:type="gramEnd"/>
      <w:r w:rsidRPr="00375943">
        <w:rPr>
          <w:rFonts w:asciiTheme="majorHAnsi" w:hAnsiTheme="majorHAnsi"/>
        </w:rPr>
        <w:t xml:space="preserve"> </w:t>
      </w:r>
    </w:p>
    <w:p w14:paraId="5B112AEB" w14:textId="77777777" w:rsidR="00375943" w:rsidRPr="00375943" w:rsidRDefault="00375943" w:rsidP="00375943">
      <w:pPr>
        <w:jc w:val="both"/>
        <w:rPr>
          <w:rFonts w:asciiTheme="majorHAnsi" w:hAnsiTheme="majorHAnsi"/>
          <w:sz w:val="20"/>
          <w:szCs w:val="20"/>
        </w:rPr>
      </w:pPr>
    </w:p>
    <w:p w14:paraId="3CA863FF" w14:textId="77777777" w:rsidR="00375943" w:rsidRPr="00375943" w:rsidRDefault="00375943" w:rsidP="00375943">
      <w:pPr>
        <w:pStyle w:val="FootnoteText"/>
        <w:pBdr>
          <w:bottom w:val="nil"/>
        </w:pBdr>
        <w:jc w:val="both"/>
        <w:rPr>
          <w:rFonts w:asciiTheme="majorHAnsi" w:hAnsiTheme="majorHAnsi"/>
        </w:rPr>
      </w:pPr>
      <w:r w:rsidRPr="00375943">
        <w:rPr>
          <w:rFonts w:asciiTheme="majorHAnsi" w:hAnsiTheme="majorHAnsi"/>
        </w:rPr>
        <w:t xml:space="preserve">Annex 2. </w:t>
      </w:r>
      <w:proofErr w:type="gramStart"/>
      <w:r w:rsidRPr="00375943">
        <w:rPr>
          <w:rFonts w:asciiTheme="majorHAnsi" w:hAnsiTheme="majorHAnsi"/>
        </w:rPr>
        <w:t>Registration form for recruitment and service registration.</w:t>
      </w:r>
      <w:proofErr w:type="gramEnd"/>
      <w:r w:rsidRPr="00375943">
        <w:rPr>
          <w:rFonts w:asciiTheme="majorHAnsi" w:hAnsiTheme="majorHAnsi"/>
        </w:rPr>
        <w:t xml:space="preserve"> Annex to State’s submission No. 653-04/MPP-OEA of September 26, 2004.</w:t>
      </w:r>
    </w:p>
    <w:p w14:paraId="2310F352" w14:textId="77777777" w:rsidR="00375943" w:rsidRPr="00375943" w:rsidRDefault="00375943" w:rsidP="00375943">
      <w:pPr>
        <w:pStyle w:val="FootnoteText"/>
        <w:pBdr>
          <w:bottom w:val="nil"/>
        </w:pBdr>
        <w:jc w:val="both"/>
        <w:rPr>
          <w:rFonts w:asciiTheme="majorHAnsi" w:hAnsiTheme="majorHAnsi"/>
        </w:rPr>
      </w:pPr>
    </w:p>
    <w:p w14:paraId="5C5367C8" w14:textId="77777777" w:rsidR="00375943" w:rsidRPr="00375943" w:rsidRDefault="00375943" w:rsidP="00375943">
      <w:pPr>
        <w:pStyle w:val="FootnoteText"/>
        <w:pBdr>
          <w:bottom w:val="nil"/>
        </w:pBdr>
        <w:jc w:val="both"/>
        <w:rPr>
          <w:rFonts w:asciiTheme="majorHAnsi" w:hAnsiTheme="majorHAnsi"/>
        </w:rPr>
      </w:pPr>
      <w:r w:rsidRPr="00375943">
        <w:rPr>
          <w:rFonts w:asciiTheme="majorHAnsi" w:hAnsiTheme="majorHAnsi"/>
        </w:rPr>
        <w:t xml:space="preserve">Annex 3. </w:t>
      </w:r>
      <w:proofErr w:type="gramStart"/>
      <w:r w:rsidRPr="00375943">
        <w:rPr>
          <w:rFonts w:asciiTheme="majorHAnsi" w:hAnsiTheme="majorHAnsi"/>
        </w:rPr>
        <w:t xml:space="preserve">Report of the </w:t>
      </w:r>
      <w:proofErr w:type="spellStart"/>
      <w:r w:rsidRPr="00375943">
        <w:rPr>
          <w:rFonts w:asciiTheme="majorHAnsi" w:hAnsiTheme="majorHAnsi"/>
        </w:rPr>
        <w:t>Tcnl</w:t>
      </w:r>
      <w:proofErr w:type="spellEnd"/>
      <w:r w:rsidRPr="00375943">
        <w:rPr>
          <w:rFonts w:asciiTheme="majorHAnsi" w:hAnsiTheme="majorHAnsi"/>
        </w:rPr>
        <w:t xml:space="preserve">. </w:t>
      </w:r>
      <w:proofErr w:type="spellStart"/>
      <w:r w:rsidRPr="00375943">
        <w:rPr>
          <w:rFonts w:asciiTheme="majorHAnsi" w:hAnsiTheme="majorHAnsi"/>
        </w:rPr>
        <w:t>Cmdte</w:t>
      </w:r>
      <w:proofErr w:type="spellEnd"/>
      <w:r w:rsidRPr="00375943">
        <w:rPr>
          <w:rFonts w:asciiTheme="majorHAnsi" w:hAnsiTheme="majorHAnsi"/>
        </w:rPr>
        <w:t>.</w:t>
      </w:r>
      <w:proofErr w:type="gramEnd"/>
      <w:r w:rsidRPr="00375943">
        <w:rPr>
          <w:rFonts w:asciiTheme="majorHAnsi" w:hAnsiTheme="majorHAnsi"/>
        </w:rPr>
        <w:t xml:space="preserve"> Escobar Division CIMEFOR under the direction of the Commander of the CIMEFOR Center III of January 11, 1996. Annex to State’s submission No. 653-04/MPP-OEA of September 26, 2004.</w:t>
      </w:r>
    </w:p>
    <w:p w14:paraId="06C13914" w14:textId="77777777" w:rsidR="00375943" w:rsidRPr="00375943" w:rsidRDefault="00375943" w:rsidP="00375943">
      <w:pPr>
        <w:pStyle w:val="FootnoteText"/>
        <w:pBdr>
          <w:bottom w:val="nil"/>
        </w:pBdr>
        <w:jc w:val="both"/>
        <w:rPr>
          <w:rFonts w:asciiTheme="majorHAnsi" w:hAnsiTheme="majorHAnsi"/>
        </w:rPr>
      </w:pPr>
    </w:p>
    <w:p w14:paraId="3DB76A70" w14:textId="77777777" w:rsidR="00375943" w:rsidRPr="00375943" w:rsidRDefault="00375943" w:rsidP="00375943">
      <w:pPr>
        <w:pStyle w:val="FootnoteText"/>
        <w:pBdr>
          <w:bottom w:val="nil"/>
        </w:pBdr>
        <w:jc w:val="both"/>
        <w:rPr>
          <w:rFonts w:asciiTheme="majorHAnsi" w:hAnsiTheme="majorHAnsi"/>
        </w:rPr>
      </w:pPr>
      <w:r w:rsidRPr="00375943">
        <w:rPr>
          <w:rFonts w:asciiTheme="majorHAnsi" w:hAnsiTheme="majorHAnsi"/>
        </w:rPr>
        <w:t xml:space="preserve">Annex 4. </w:t>
      </w:r>
      <w:proofErr w:type="gramStart"/>
      <w:r w:rsidRPr="00375943">
        <w:rPr>
          <w:rFonts w:asciiTheme="majorHAnsi" w:hAnsiTheme="majorHAnsi"/>
        </w:rPr>
        <w:t xml:space="preserve">Report of First Lieutenant of Inf. </w:t>
      </w:r>
      <w:proofErr w:type="spellStart"/>
      <w:r w:rsidRPr="00375943">
        <w:rPr>
          <w:rFonts w:asciiTheme="majorHAnsi" w:hAnsiTheme="majorHAnsi"/>
        </w:rPr>
        <w:t>Cmdte</w:t>
      </w:r>
      <w:proofErr w:type="spellEnd"/>
      <w:r w:rsidRPr="00375943">
        <w:rPr>
          <w:rFonts w:asciiTheme="majorHAnsi" w:hAnsiTheme="majorHAnsi"/>
        </w:rPr>
        <w:t>.</w:t>
      </w:r>
      <w:proofErr w:type="gramEnd"/>
      <w:r w:rsidRPr="00375943">
        <w:rPr>
          <w:rFonts w:asciiTheme="majorHAnsi" w:hAnsiTheme="majorHAnsi"/>
        </w:rPr>
        <w:t xml:space="preserve"> </w:t>
      </w:r>
      <w:proofErr w:type="gramStart"/>
      <w:r w:rsidRPr="00375943">
        <w:rPr>
          <w:rFonts w:asciiTheme="majorHAnsi" w:hAnsiTheme="majorHAnsi"/>
        </w:rPr>
        <w:t>1</w:t>
      </w:r>
      <w:r w:rsidRPr="00375943">
        <w:rPr>
          <w:rFonts w:asciiTheme="majorHAnsi" w:hAnsiTheme="majorHAnsi"/>
          <w:vertAlign w:val="superscript"/>
        </w:rPr>
        <w:t>st</w:t>
      </w:r>
      <w:r w:rsidRPr="00375943">
        <w:rPr>
          <w:rFonts w:asciiTheme="majorHAnsi" w:hAnsiTheme="majorHAnsi"/>
        </w:rPr>
        <w:t xml:space="preserve">  </w:t>
      </w:r>
      <w:proofErr w:type="spellStart"/>
      <w:r w:rsidRPr="00375943">
        <w:rPr>
          <w:rFonts w:asciiTheme="majorHAnsi" w:hAnsiTheme="majorHAnsi"/>
        </w:rPr>
        <w:t>Pel</w:t>
      </w:r>
      <w:proofErr w:type="spellEnd"/>
      <w:proofErr w:type="gramEnd"/>
      <w:r w:rsidRPr="00375943">
        <w:rPr>
          <w:rFonts w:asciiTheme="majorHAnsi" w:hAnsiTheme="majorHAnsi"/>
        </w:rPr>
        <w:t xml:space="preserve">. </w:t>
      </w:r>
      <w:proofErr w:type="spellStart"/>
      <w:proofErr w:type="gramStart"/>
      <w:r w:rsidRPr="00375943">
        <w:rPr>
          <w:rFonts w:asciiTheme="majorHAnsi" w:hAnsiTheme="majorHAnsi"/>
        </w:rPr>
        <w:t>Bareiro</w:t>
      </w:r>
      <w:proofErr w:type="spellEnd"/>
      <w:r w:rsidRPr="00375943">
        <w:rPr>
          <w:rFonts w:asciiTheme="majorHAnsi" w:hAnsiTheme="majorHAnsi"/>
        </w:rPr>
        <w:t xml:space="preserve"> under the direction of the Commander of the CIMEFOR Center III of January 11, 1996.</w:t>
      </w:r>
      <w:proofErr w:type="gramEnd"/>
      <w:r w:rsidRPr="00375943">
        <w:rPr>
          <w:rFonts w:asciiTheme="majorHAnsi" w:hAnsiTheme="majorHAnsi"/>
        </w:rPr>
        <w:t xml:space="preserve"> Annex to State’s submission No. 653-04/MPP-OEA of September 26, 2004. </w:t>
      </w:r>
    </w:p>
    <w:p w14:paraId="407B310A" w14:textId="77777777" w:rsidR="00375943" w:rsidRPr="00375943" w:rsidRDefault="00375943" w:rsidP="00375943">
      <w:pPr>
        <w:jc w:val="both"/>
        <w:rPr>
          <w:rFonts w:asciiTheme="majorHAnsi" w:hAnsiTheme="majorHAnsi"/>
          <w:sz w:val="20"/>
          <w:szCs w:val="20"/>
        </w:rPr>
      </w:pPr>
    </w:p>
    <w:p w14:paraId="51152B1E" w14:textId="77777777" w:rsidR="00375943" w:rsidRPr="00375943" w:rsidRDefault="00375943" w:rsidP="00375943">
      <w:pPr>
        <w:jc w:val="both"/>
        <w:rPr>
          <w:rFonts w:asciiTheme="majorHAnsi" w:hAnsiTheme="majorHAnsi"/>
          <w:sz w:val="20"/>
          <w:szCs w:val="20"/>
        </w:rPr>
      </w:pPr>
      <w:r w:rsidRPr="00375943">
        <w:rPr>
          <w:rFonts w:asciiTheme="majorHAnsi" w:hAnsiTheme="majorHAnsi"/>
          <w:sz w:val="20"/>
          <w:szCs w:val="20"/>
        </w:rPr>
        <w:t xml:space="preserve">Annex 5. </w:t>
      </w:r>
      <w:proofErr w:type="spellStart"/>
      <w:r w:rsidRPr="00375943">
        <w:rPr>
          <w:rFonts w:asciiTheme="majorHAnsi" w:hAnsiTheme="majorHAnsi"/>
          <w:sz w:val="20"/>
          <w:szCs w:val="20"/>
          <w:lang w:val="fr-CA"/>
        </w:rPr>
        <w:t>Formal</w:t>
      </w:r>
      <w:proofErr w:type="spellEnd"/>
      <w:r w:rsidRPr="00375943">
        <w:rPr>
          <w:rFonts w:asciiTheme="majorHAnsi" w:hAnsiTheme="majorHAnsi"/>
          <w:sz w:val="20"/>
          <w:szCs w:val="20"/>
          <w:lang w:val="fr-CA"/>
        </w:rPr>
        <w:t xml:space="preserve"> </w:t>
      </w:r>
      <w:proofErr w:type="spellStart"/>
      <w:r w:rsidRPr="00375943">
        <w:rPr>
          <w:rFonts w:asciiTheme="majorHAnsi" w:hAnsiTheme="majorHAnsi"/>
          <w:sz w:val="20"/>
          <w:szCs w:val="20"/>
          <w:lang w:val="fr-CA"/>
        </w:rPr>
        <w:t>private</w:t>
      </w:r>
      <w:proofErr w:type="spellEnd"/>
      <w:r w:rsidRPr="00375943">
        <w:rPr>
          <w:rFonts w:asciiTheme="majorHAnsi" w:hAnsiTheme="majorHAnsi"/>
          <w:sz w:val="20"/>
          <w:szCs w:val="20"/>
          <w:lang w:val="fr-CA"/>
        </w:rPr>
        <w:t xml:space="preserve"> </w:t>
      </w:r>
      <w:proofErr w:type="spellStart"/>
      <w:r w:rsidRPr="00375943">
        <w:rPr>
          <w:rFonts w:asciiTheme="majorHAnsi" w:hAnsiTheme="majorHAnsi"/>
          <w:sz w:val="20"/>
          <w:szCs w:val="20"/>
          <w:lang w:val="fr-CA"/>
        </w:rPr>
        <w:t>criminal</w:t>
      </w:r>
      <w:proofErr w:type="spellEnd"/>
      <w:r w:rsidRPr="00375943">
        <w:rPr>
          <w:rFonts w:asciiTheme="majorHAnsi" w:hAnsiTheme="majorHAnsi"/>
          <w:sz w:val="20"/>
          <w:szCs w:val="20"/>
          <w:lang w:val="fr-CA"/>
        </w:rPr>
        <w:t xml:space="preserve"> complaint (</w:t>
      </w:r>
      <w:r w:rsidRPr="00375943">
        <w:rPr>
          <w:rFonts w:asciiTheme="majorHAnsi" w:hAnsiTheme="majorHAnsi"/>
          <w:i/>
          <w:sz w:val="20"/>
          <w:szCs w:val="20"/>
          <w:lang w:val="fr-CA"/>
        </w:rPr>
        <w:t>querella</w:t>
      </w:r>
      <w:r w:rsidRPr="00375943">
        <w:rPr>
          <w:rFonts w:asciiTheme="majorHAnsi" w:hAnsiTheme="majorHAnsi"/>
          <w:sz w:val="20"/>
          <w:szCs w:val="20"/>
          <w:lang w:val="fr-CA"/>
        </w:rPr>
        <w:t xml:space="preserve">). </w:t>
      </w:r>
      <w:r w:rsidRPr="00375943">
        <w:rPr>
          <w:rFonts w:asciiTheme="majorHAnsi" w:hAnsiTheme="majorHAnsi"/>
          <w:sz w:val="20"/>
          <w:szCs w:val="20"/>
        </w:rPr>
        <w:t>Annex to State’s submission of September 16, 2004.</w:t>
      </w:r>
    </w:p>
    <w:p w14:paraId="3423F99D" w14:textId="77777777" w:rsidR="00375943" w:rsidRPr="00375943" w:rsidRDefault="00375943" w:rsidP="00375943">
      <w:pPr>
        <w:jc w:val="both"/>
        <w:rPr>
          <w:rFonts w:asciiTheme="majorHAnsi" w:hAnsiTheme="majorHAnsi"/>
          <w:sz w:val="20"/>
          <w:szCs w:val="20"/>
        </w:rPr>
      </w:pPr>
    </w:p>
    <w:p w14:paraId="632BBC19" w14:textId="77777777" w:rsidR="00375943" w:rsidRPr="00375943" w:rsidRDefault="00375943" w:rsidP="00375943">
      <w:pPr>
        <w:pStyle w:val="FootnoteText"/>
        <w:jc w:val="both"/>
        <w:rPr>
          <w:rFonts w:asciiTheme="majorHAnsi" w:hAnsiTheme="majorHAnsi"/>
        </w:rPr>
      </w:pPr>
      <w:proofErr w:type="spellStart"/>
      <w:r w:rsidRPr="00375943">
        <w:rPr>
          <w:rFonts w:asciiTheme="majorHAnsi" w:hAnsiTheme="majorHAnsi"/>
          <w:lang w:val="fr-CA"/>
        </w:rPr>
        <w:t>Annex</w:t>
      </w:r>
      <w:proofErr w:type="spellEnd"/>
      <w:r w:rsidRPr="00375943">
        <w:rPr>
          <w:rFonts w:asciiTheme="majorHAnsi" w:hAnsiTheme="majorHAnsi"/>
          <w:lang w:val="fr-CA"/>
        </w:rPr>
        <w:t xml:space="preserve"> 5. </w:t>
      </w:r>
      <w:proofErr w:type="spellStart"/>
      <w:r w:rsidRPr="00375943">
        <w:rPr>
          <w:rFonts w:asciiTheme="majorHAnsi" w:hAnsiTheme="majorHAnsi"/>
          <w:lang w:val="fr-CA"/>
        </w:rPr>
        <w:t>Formal</w:t>
      </w:r>
      <w:proofErr w:type="spellEnd"/>
      <w:r w:rsidRPr="00375943">
        <w:rPr>
          <w:rFonts w:asciiTheme="majorHAnsi" w:hAnsiTheme="majorHAnsi"/>
          <w:lang w:val="fr-CA"/>
        </w:rPr>
        <w:t xml:space="preserve"> </w:t>
      </w:r>
      <w:proofErr w:type="spellStart"/>
      <w:r w:rsidRPr="00375943">
        <w:rPr>
          <w:rFonts w:asciiTheme="majorHAnsi" w:hAnsiTheme="majorHAnsi"/>
          <w:lang w:val="fr-CA"/>
        </w:rPr>
        <w:t>private</w:t>
      </w:r>
      <w:proofErr w:type="spellEnd"/>
      <w:r w:rsidRPr="00375943">
        <w:rPr>
          <w:rFonts w:asciiTheme="majorHAnsi" w:hAnsiTheme="majorHAnsi"/>
          <w:lang w:val="fr-CA"/>
        </w:rPr>
        <w:t xml:space="preserve"> </w:t>
      </w:r>
      <w:proofErr w:type="spellStart"/>
      <w:r w:rsidRPr="00375943">
        <w:rPr>
          <w:rFonts w:asciiTheme="majorHAnsi" w:hAnsiTheme="majorHAnsi"/>
          <w:lang w:val="fr-CA"/>
        </w:rPr>
        <w:t>criminal</w:t>
      </w:r>
      <w:proofErr w:type="spellEnd"/>
      <w:r w:rsidRPr="00375943">
        <w:rPr>
          <w:rFonts w:asciiTheme="majorHAnsi" w:hAnsiTheme="majorHAnsi"/>
          <w:lang w:val="fr-CA"/>
        </w:rPr>
        <w:t xml:space="preserve"> complaint (</w:t>
      </w:r>
      <w:r w:rsidRPr="00375943">
        <w:rPr>
          <w:rFonts w:asciiTheme="majorHAnsi" w:hAnsiTheme="majorHAnsi"/>
          <w:i/>
          <w:lang w:val="fr-CA"/>
        </w:rPr>
        <w:t>querella</w:t>
      </w:r>
      <w:r w:rsidRPr="00375943">
        <w:rPr>
          <w:rFonts w:asciiTheme="majorHAnsi" w:hAnsiTheme="majorHAnsi"/>
          <w:lang w:val="fr-CA"/>
        </w:rPr>
        <w:t xml:space="preserve">). </w:t>
      </w:r>
      <w:r w:rsidRPr="00375943">
        <w:rPr>
          <w:rFonts w:asciiTheme="majorHAnsi" w:hAnsiTheme="majorHAnsi"/>
        </w:rPr>
        <w:t>Annex to State’s submission of September 16, 2004.</w:t>
      </w:r>
    </w:p>
    <w:p w14:paraId="1FDBF08A" w14:textId="77777777" w:rsidR="00375943" w:rsidRPr="00375943" w:rsidRDefault="00375943" w:rsidP="00375943">
      <w:pPr>
        <w:pStyle w:val="FootnoteText"/>
        <w:jc w:val="both"/>
        <w:rPr>
          <w:rFonts w:asciiTheme="majorHAnsi" w:hAnsiTheme="majorHAnsi"/>
        </w:rPr>
      </w:pPr>
    </w:p>
    <w:p w14:paraId="53A78F5C"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6. Interview with Deputy Sergio </w:t>
      </w:r>
      <w:proofErr w:type="spellStart"/>
      <w:r w:rsidRPr="00375943">
        <w:rPr>
          <w:rFonts w:asciiTheme="majorHAnsi" w:hAnsiTheme="majorHAnsi"/>
        </w:rPr>
        <w:t>López</w:t>
      </w:r>
      <w:proofErr w:type="spellEnd"/>
      <w:r w:rsidRPr="00375943">
        <w:rPr>
          <w:rFonts w:asciiTheme="majorHAnsi" w:hAnsiTheme="majorHAnsi"/>
        </w:rPr>
        <w:t xml:space="preserve"> of September 1996. </w:t>
      </w:r>
      <w:proofErr w:type="gramStart"/>
      <w:r w:rsidRPr="00375943">
        <w:rPr>
          <w:rFonts w:asciiTheme="majorHAnsi" w:hAnsiTheme="majorHAnsi"/>
        </w:rPr>
        <w:t>Cassette 1.</w:t>
      </w:r>
      <w:proofErr w:type="gramEnd"/>
      <w:r w:rsidRPr="00375943">
        <w:rPr>
          <w:rFonts w:asciiTheme="majorHAnsi" w:hAnsiTheme="majorHAnsi"/>
        </w:rPr>
        <w:t xml:space="preserve"> Tape submitted by the petitioner. </w:t>
      </w:r>
    </w:p>
    <w:p w14:paraId="5E33A339" w14:textId="77777777" w:rsidR="00375943" w:rsidRPr="00375943" w:rsidRDefault="00375943" w:rsidP="00375943">
      <w:pPr>
        <w:pStyle w:val="FootnoteText"/>
        <w:jc w:val="both"/>
        <w:rPr>
          <w:rFonts w:asciiTheme="majorHAnsi" w:hAnsiTheme="majorHAnsi"/>
        </w:rPr>
      </w:pPr>
    </w:p>
    <w:p w14:paraId="7E09A3A3"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7. </w:t>
      </w:r>
      <w:proofErr w:type="gramStart"/>
      <w:r w:rsidRPr="00375943">
        <w:rPr>
          <w:rFonts w:asciiTheme="majorHAnsi" w:hAnsiTheme="majorHAnsi"/>
        </w:rPr>
        <w:t>Interview of Cadet De la Cueva of September 1996.</w:t>
      </w:r>
      <w:proofErr w:type="gramEnd"/>
      <w:r w:rsidRPr="00375943">
        <w:rPr>
          <w:rFonts w:asciiTheme="majorHAnsi" w:hAnsiTheme="majorHAnsi"/>
        </w:rPr>
        <w:t xml:space="preserve"> </w:t>
      </w:r>
      <w:proofErr w:type="gramStart"/>
      <w:r w:rsidRPr="00375943">
        <w:rPr>
          <w:rFonts w:asciiTheme="majorHAnsi" w:hAnsiTheme="majorHAnsi"/>
        </w:rPr>
        <w:t>Cassette 1.</w:t>
      </w:r>
      <w:proofErr w:type="gramEnd"/>
      <w:r w:rsidRPr="00375943">
        <w:rPr>
          <w:rFonts w:asciiTheme="majorHAnsi" w:hAnsiTheme="majorHAnsi"/>
        </w:rPr>
        <w:t xml:space="preserve"> Tape submitted by the petitioner.</w:t>
      </w:r>
    </w:p>
    <w:p w14:paraId="52D78D90" w14:textId="77777777" w:rsidR="00375943" w:rsidRPr="00375943" w:rsidRDefault="00375943" w:rsidP="00375943">
      <w:pPr>
        <w:pStyle w:val="FootnoteText"/>
        <w:jc w:val="both"/>
        <w:rPr>
          <w:rFonts w:asciiTheme="majorHAnsi" w:hAnsiTheme="majorHAnsi"/>
        </w:rPr>
      </w:pPr>
    </w:p>
    <w:p w14:paraId="325EB5FD"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8. Statements to the Military Investigating Magistrate of the First Rotation given by Cadets Antonio </w:t>
      </w:r>
      <w:proofErr w:type="spellStart"/>
      <w:r w:rsidRPr="00375943">
        <w:rPr>
          <w:rFonts w:asciiTheme="majorHAnsi" w:hAnsiTheme="majorHAnsi"/>
        </w:rPr>
        <w:t>Arza</w:t>
      </w:r>
      <w:proofErr w:type="spellEnd"/>
      <w:r w:rsidRPr="00375943">
        <w:rPr>
          <w:rFonts w:asciiTheme="majorHAnsi" w:hAnsiTheme="majorHAnsi"/>
        </w:rPr>
        <w:t xml:space="preserve"> </w:t>
      </w:r>
      <w:proofErr w:type="spellStart"/>
      <w:r w:rsidRPr="00375943">
        <w:rPr>
          <w:rFonts w:asciiTheme="majorHAnsi" w:hAnsiTheme="majorHAnsi"/>
        </w:rPr>
        <w:t>Galeano</w:t>
      </w:r>
      <w:proofErr w:type="spellEnd"/>
      <w:r w:rsidRPr="00375943">
        <w:rPr>
          <w:rFonts w:asciiTheme="majorHAnsi" w:hAnsiTheme="majorHAnsi"/>
        </w:rPr>
        <w:t xml:space="preserve">, Carlos </w:t>
      </w:r>
      <w:proofErr w:type="spellStart"/>
      <w:r w:rsidRPr="00375943">
        <w:rPr>
          <w:rFonts w:asciiTheme="majorHAnsi" w:hAnsiTheme="majorHAnsi"/>
        </w:rPr>
        <w:t>Taboada</w:t>
      </w:r>
      <w:proofErr w:type="spellEnd"/>
      <w:r w:rsidRPr="00375943">
        <w:rPr>
          <w:rFonts w:asciiTheme="majorHAnsi" w:hAnsiTheme="majorHAnsi"/>
        </w:rPr>
        <w:t xml:space="preserve"> </w:t>
      </w:r>
      <w:proofErr w:type="spellStart"/>
      <w:r w:rsidRPr="00375943">
        <w:rPr>
          <w:rFonts w:asciiTheme="majorHAnsi" w:hAnsiTheme="majorHAnsi"/>
        </w:rPr>
        <w:t>Zamudio</w:t>
      </w:r>
      <w:proofErr w:type="spellEnd"/>
      <w:r w:rsidRPr="00375943">
        <w:rPr>
          <w:rFonts w:asciiTheme="majorHAnsi" w:hAnsiTheme="majorHAnsi"/>
        </w:rPr>
        <w:t xml:space="preserve">, Oscar Daniel Maldonado, Gustavo Enrique Saucedo Duarte, Jorge </w:t>
      </w:r>
      <w:proofErr w:type="spellStart"/>
      <w:r w:rsidRPr="00375943">
        <w:rPr>
          <w:rFonts w:asciiTheme="majorHAnsi" w:hAnsiTheme="majorHAnsi"/>
        </w:rPr>
        <w:t>Darío</w:t>
      </w:r>
      <w:proofErr w:type="spellEnd"/>
      <w:r w:rsidRPr="00375943">
        <w:rPr>
          <w:rFonts w:asciiTheme="majorHAnsi" w:hAnsiTheme="majorHAnsi"/>
        </w:rPr>
        <w:t xml:space="preserve"> Pereira </w:t>
      </w:r>
      <w:proofErr w:type="spellStart"/>
      <w:r w:rsidRPr="00375943">
        <w:rPr>
          <w:rFonts w:asciiTheme="majorHAnsi" w:hAnsiTheme="majorHAnsi"/>
        </w:rPr>
        <w:t>Escurra</w:t>
      </w:r>
      <w:proofErr w:type="spellEnd"/>
      <w:r w:rsidRPr="00375943">
        <w:rPr>
          <w:rFonts w:asciiTheme="majorHAnsi" w:hAnsiTheme="majorHAnsi"/>
        </w:rPr>
        <w:t xml:space="preserve">, </w:t>
      </w:r>
      <w:proofErr w:type="spellStart"/>
      <w:r w:rsidRPr="00375943">
        <w:rPr>
          <w:rFonts w:asciiTheme="majorHAnsi" w:hAnsiTheme="majorHAnsi"/>
        </w:rPr>
        <w:t>Héctor</w:t>
      </w:r>
      <w:proofErr w:type="spellEnd"/>
      <w:r w:rsidRPr="00375943">
        <w:rPr>
          <w:rFonts w:asciiTheme="majorHAnsi" w:hAnsiTheme="majorHAnsi"/>
        </w:rPr>
        <w:t xml:space="preserve"> Fabián Ojeda </w:t>
      </w:r>
      <w:proofErr w:type="spellStart"/>
      <w:r w:rsidRPr="00375943">
        <w:rPr>
          <w:rFonts w:asciiTheme="majorHAnsi" w:hAnsiTheme="majorHAnsi"/>
        </w:rPr>
        <w:t>Chaparro</w:t>
      </w:r>
      <w:proofErr w:type="spellEnd"/>
      <w:r w:rsidRPr="00375943">
        <w:rPr>
          <w:rFonts w:asciiTheme="majorHAnsi" w:hAnsiTheme="majorHAnsi"/>
        </w:rPr>
        <w:t xml:space="preserve">, </w:t>
      </w:r>
      <w:proofErr w:type="spellStart"/>
      <w:r w:rsidRPr="00375943">
        <w:rPr>
          <w:rFonts w:asciiTheme="majorHAnsi" w:hAnsiTheme="majorHAnsi"/>
        </w:rPr>
        <w:t>Ángel</w:t>
      </w:r>
      <w:proofErr w:type="spellEnd"/>
      <w:r w:rsidRPr="00375943">
        <w:rPr>
          <w:rFonts w:asciiTheme="majorHAnsi" w:hAnsiTheme="majorHAnsi"/>
        </w:rPr>
        <w:t xml:space="preserve"> </w:t>
      </w:r>
      <w:proofErr w:type="spellStart"/>
      <w:r w:rsidRPr="00375943">
        <w:rPr>
          <w:rFonts w:asciiTheme="majorHAnsi" w:hAnsiTheme="majorHAnsi"/>
        </w:rPr>
        <w:t>Adid</w:t>
      </w:r>
      <w:proofErr w:type="spellEnd"/>
      <w:r w:rsidRPr="00375943">
        <w:rPr>
          <w:rFonts w:asciiTheme="majorHAnsi" w:hAnsiTheme="majorHAnsi"/>
        </w:rPr>
        <w:t xml:space="preserve"> </w:t>
      </w:r>
      <w:proofErr w:type="spellStart"/>
      <w:r w:rsidRPr="00375943">
        <w:rPr>
          <w:rFonts w:asciiTheme="majorHAnsi" w:hAnsiTheme="majorHAnsi"/>
        </w:rPr>
        <w:t>Quiñones</w:t>
      </w:r>
      <w:proofErr w:type="spellEnd"/>
      <w:r w:rsidRPr="00375943">
        <w:rPr>
          <w:rFonts w:asciiTheme="majorHAnsi" w:hAnsiTheme="majorHAnsi"/>
        </w:rPr>
        <w:t xml:space="preserve"> </w:t>
      </w:r>
      <w:proofErr w:type="spellStart"/>
      <w:r w:rsidRPr="00375943">
        <w:rPr>
          <w:rFonts w:asciiTheme="majorHAnsi" w:hAnsiTheme="majorHAnsi"/>
        </w:rPr>
        <w:t>Morán</w:t>
      </w:r>
      <w:proofErr w:type="spellEnd"/>
      <w:r w:rsidRPr="00375943">
        <w:rPr>
          <w:rFonts w:asciiTheme="majorHAnsi" w:hAnsiTheme="majorHAnsi"/>
        </w:rPr>
        <w:t xml:space="preserve">, </w:t>
      </w:r>
      <w:proofErr w:type="spellStart"/>
      <w:r w:rsidRPr="00375943">
        <w:rPr>
          <w:rFonts w:asciiTheme="majorHAnsi" w:hAnsiTheme="majorHAnsi"/>
        </w:rPr>
        <w:t>Arnaldo</w:t>
      </w:r>
      <w:proofErr w:type="spellEnd"/>
      <w:r w:rsidRPr="00375943">
        <w:rPr>
          <w:rFonts w:asciiTheme="majorHAnsi" w:hAnsiTheme="majorHAnsi"/>
        </w:rPr>
        <w:t xml:space="preserve"> </w:t>
      </w:r>
      <w:proofErr w:type="spellStart"/>
      <w:r w:rsidRPr="00375943">
        <w:rPr>
          <w:rFonts w:asciiTheme="majorHAnsi" w:hAnsiTheme="majorHAnsi"/>
        </w:rPr>
        <w:t>Melgarejo</w:t>
      </w:r>
      <w:proofErr w:type="spellEnd"/>
      <w:r w:rsidRPr="00375943">
        <w:rPr>
          <w:rFonts w:asciiTheme="majorHAnsi" w:hAnsiTheme="majorHAnsi"/>
        </w:rPr>
        <w:t xml:space="preserve"> </w:t>
      </w:r>
      <w:proofErr w:type="spellStart"/>
      <w:r w:rsidRPr="00375943">
        <w:rPr>
          <w:rFonts w:asciiTheme="majorHAnsi" w:hAnsiTheme="majorHAnsi"/>
        </w:rPr>
        <w:t>Martínez</w:t>
      </w:r>
      <w:proofErr w:type="spellEnd"/>
      <w:r w:rsidRPr="00375943">
        <w:rPr>
          <w:rFonts w:asciiTheme="majorHAnsi" w:hAnsiTheme="majorHAnsi"/>
        </w:rPr>
        <w:t xml:space="preserve">, Julián Paul </w:t>
      </w:r>
      <w:proofErr w:type="spellStart"/>
      <w:r w:rsidRPr="00375943">
        <w:rPr>
          <w:rFonts w:asciiTheme="majorHAnsi" w:hAnsiTheme="majorHAnsi"/>
        </w:rPr>
        <w:t>Figueredo</w:t>
      </w:r>
      <w:proofErr w:type="spellEnd"/>
      <w:r w:rsidRPr="00375943">
        <w:rPr>
          <w:rFonts w:asciiTheme="majorHAnsi" w:hAnsiTheme="majorHAnsi"/>
        </w:rPr>
        <w:t xml:space="preserve"> </w:t>
      </w:r>
      <w:proofErr w:type="spellStart"/>
      <w:r w:rsidRPr="00375943">
        <w:rPr>
          <w:rFonts w:asciiTheme="majorHAnsi" w:hAnsiTheme="majorHAnsi"/>
        </w:rPr>
        <w:t>Díaz</w:t>
      </w:r>
      <w:proofErr w:type="spellEnd"/>
      <w:r w:rsidRPr="00375943">
        <w:rPr>
          <w:rFonts w:asciiTheme="majorHAnsi" w:hAnsiTheme="majorHAnsi"/>
        </w:rPr>
        <w:t xml:space="preserve">, Carlos Alberto </w:t>
      </w:r>
      <w:proofErr w:type="spellStart"/>
      <w:r w:rsidRPr="00375943">
        <w:rPr>
          <w:rFonts w:asciiTheme="majorHAnsi" w:hAnsiTheme="majorHAnsi"/>
        </w:rPr>
        <w:t>Villalba</w:t>
      </w:r>
      <w:proofErr w:type="spellEnd"/>
      <w:r w:rsidRPr="00375943">
        <w:rPr>
          <w:rFonts w:asciiTheme="majorHAnsi" w:hAnsiTheme="majorHAnsi"/>
        </w:rPr>
        <w:t xml:space="preserve"> Vega, </w:t>
      </w:r>
      <w:proofErr w:type="spellStart"/>
      <w:r w:rsidRPr="00375943">
        <w:rPr>
          <w:rFonts w:asciiTheme="majorHAnsi" w:hAnsiTheme="majorHAnsi"/>
        </w:rPr>
        <w:t>Milciades</w:t>
      </w:r>
      <w:proofErr w:type="spellEnd"/>
      <w:r w:rsidRPr="00375943">
        <w:rPr>
          <w:rFonts w:asciiTheme="majorHAnsi" w:hAnsiTheme="majorHAnsi"/>
        </w:rPr>
        <w:t xml:space="preserve"> </w:t>
      </w:r>
      <w:proofErr w:type="spellStart"/>
      <w:r w:rsidRPr="00375943">
        <w:rPr>
          <w:rFonts w:asciiTheme="majorHAnsi" w:hAnsiTheme="majorHAnsi"/>
        </w:rPr>
        <w:t>Díaz</w:t>
      </w:r>
      <w:proofErr w:type="spellEnd"/>
      <w:r w:rsidRPr="00375943">
        <w:rPr>
          <w:rFonts w:asciiTheme="majorHAnsi" w:hAnsiTheme="majorHAnsi"/>
        </w:rPr>
        <w:t xml:space="preserve"> </w:t>
      </w:r>
      <w:proofErr w:type="spellStart"/>
      <w:r w:rsidRPr="00375943">
        <w:rPr>
          <w:rFonts w:asciiTheme="majorHAnsi" w:hAnsiTheme="majorHAnsi"/>
        </w:rPr>
        <w:t>Solís</w:t>
      </w:r>
      <w:proofErr w:type="spellEnd"/>
      <w:r w:rsidRPr="00375943">
        <w:rPr>
          <w:rFonts w:asciiTheme="majorHAnsi" w:hAnsiTheme="majorHAnsi"/>
        </w:rPr>
        <w:t xml:space="preserve">, </w:t>
      </w:r>
      <w:proofErr w:type="spellStart"/>
      <w:r w:rsidRPr="00375943">
        <w:rPr>
          <w:rFonts w:asciiTheme="majorHAnsi" w:hAnsiTheme="majorHAnsi"/>
        </w:rPr>
        <w:t>Néstor</w:t>
      </w:r>
      <w:proofErr w:type="spellEnd"/>
      <w:r w:rsidRPr="00375943">
        <w:rPr>
          <w:rFonts w:asciiTheme="majorHAnsi" w:hAnsiTheme="majorHAnsi"/>
        </w:rPr>
        <w:t xml:space="preserve"> Fabián Romero, </w:t>
      </w:r>
      <w:proofErr w:type="spellStart"/>
      <w:r w:rsidRPr="00375943">
        <w:rPr>
          <w:rFonts w:asciiTheme="majorHAnsi" w:hAnsiTheme="majorHAnsi"/>
        </w:rPr>
        <w:t>Osmar</w:t>
      </w:r>
      <w:proofErr w:type="spellEnd"/>
      <w:r w:rsidRPr="00375943">
        <w:rPr>
          <w:rFonts w:asciiTheme="majorHAnsi" w:hAnsiTheme="majorHAnsi"/>
        </w:rPr>
        <w:t xml:space="preserve"> </w:t>
      </w:r>
      <w:proofErr w:type="spellStart"/>
      <w:r w:rsidRPr="00375943">
        <w:rPr>
          <w:rFonts w:asciiTheme="majorHAnsi" w:hAnsiTheme="majorHAnsi"/>
        </w:rPr>
        <w:t>Garcete</w:t>
      </w:r>
      <w:proofErr w:type="spellEnd"/>
      <w:r w:rsidRPr="00375943">
        <w:rPr>
          <w:rFonts w:asciiTheme="majorHAnsi" w:hAnsiTheme="majorHAnsi"/>
        </w:rPr>
        <w:t xml:space="preserve"> González, </w:t>
      </w:r>
      <w:proofErr w:type="spellStart"/>
      <w:r w:rsidRPr="00375943">
        <w:rPr>
          <w:rFonts w:asciiTheme="majorHAnsi" w:hAnsiTheme="majorHAnsi"/>
        </w:rPr>
        <w:t>Germán</w:t>
      </w:r>
      <w:proofErr w:type="spellEnd"/>
      <w:r w:rsidRPr="00375943">
        <w:rPr>
          <w:rFonts w:asciiTheme="majorHAnsi" w:hAnsiTheme="majorHAnsi"/>
        </w:rPr>
        <w:t xml:space="preserve"> </w:t>
      </w:r>
      <w:proofErr w:type="spellStart"/>
      <w:r w:rsidRPr="00375943">
        <w:rPr>
          <w:rFonts w:asciiTheme="majorHAnsi" w:hAnsiTheme="majorHAnsi"/>
        </w:rPr>
        <w:t>Ramírez</w:t>
      </w:r>
      <w:proofErr w:type="spellEnd"/>
      <w:r w:rsidRPr="00375943">
        <w:rPr>
          <w:rFonts w:asciiTheme="majorHAnsi" w:hAnsiTheme="majorHAnsi"/>
        </w:rPr>
        <w:t xml:space="preserve"> Cardozo, Omar Ricardo Popovich </w:t>
      </w:r>
      <w:proofErr w:type="spellStart"/>
      <w:r w:rsidRPr="00375943">
        <w:rPr>
          <w:rFonts w:asciiTheme="majorHAnsi" w:hAnsiTheme="majorHAnsi"/>
        </w:rPr>
        <w:t>Jara</w:t>
      </w:r>
      <w:proofErr w:type="spellEnd"/>
      <w:r w:rsidRPr="00375943">
        <w:rPr>
          <w:rFonts w:asciiTheme="majorHAnsi" w:hAnsiTheme="majorHAnsi"/>
        </w:rPr>
        <w:t xml:space="preserve">, Marcelo </w:t>
      </w:r>
      <w:proofErr w:type="spellStart"/>
      <w:r w:rsidRPr="00375943">
        <w:rPr>
          <w:rFonts w:asciiTheme="majorHAnsi" w:hAnsiTheme="majorHAnsi"/>
        </w:rPr>
        <w:t>Raúl</w:t>
      </w:r>
      <w:proofErr w:type="spellEnd"/>
      <w:r w:rsidRPr="00375943">
        <w:rPr>
          <w:rFonts w:asciiTheme="majorHAnsi" w:hAnsiTheme="majorHAnsi"/>
        </w:rPr>
        <w:t xml:space="preserve"> Romero Cáceres, Luis Alberto </w:t>
      </w:r>
      <w:proofErr w:type="spellStart"/>
      <w:r w:rsidRPr="00375943">
        <w:rPr>
          <w:rFonts w:asciiTheme="majorHAnsi" w:hAnsiTheme="majorHAnsi"/>
        </w:rPr>
        <w:t>Scolari</w:t>
      </w:r>
      <w:proofErr w:type="spellEnd"/>
      <w:r w:rsidRPr="00375943">
        <w:rPr>
          <w:rFonts w:asciiTheme="majorHAnsi" w:hAnsiTheme="majorHAnsi"/>
        </w:rPr>
        <w:t xml:space="preserve"> Gómez, Hugo César Rojas </w:t>
      </w:r>
      <w:proofErr w:type="spellStart"/>
      <w:r w:rsidRPr="00375943">
        <w:rPr>
          <w:rFonts w:asciiTheme="majorHAnsi" w:hAnsiTheme="majorHAnsi"/>
        </w:rPr>
        <w:t>Zelaya</w:t>
      </w:r>
      <w:proofErr w:type="spellEnd"/>
      <w:r w:rsidRPr="00375943">
        <w:rPr>
          <w:rFonts w:asciiTheme="majorHAnsi" w:hAnsiTheme="majorHAnsi"/>
        </w:rPr>
        <w:t xml:space="preserve">, </w:t>
      </w:r>
      <w:proofErr w:type="spellStart"/>
      <w:r w:rsidRPr="00375943">
        <w:rPr>
          <w:rFonts w:asciiTheme="majorHAnsi" w:hAnsiTheme="majorHAnsi"/>
        </w:rPr>
        <w:t>Germán</w:t>
      </w:r>
      <w:proofErr w:type="spellEnd"/>
      <w:r w:rsidRPr="00375943">
        <w:rPr>
          <w:rFonts w:asciiTheme="majorHAnsi" w:hAnsiTheme="majorHAnsi"/>
        </w:rPr>
        <w:t xml:space="preserve"> Antonio Sosa Cardozo and Ever Mario Pico Duarte; and of First Lieutenant Art. Hernan </w:t>
      </w:r>
      <w:proofErr w:type="spellStart"/>
      <w:r w:rsidRPr="00375943">
        <w:rPr>
          <w:rFonts w:asciiTheme="majorHAnsi" w:hAnsiTheme="majorHAnsi"/>
        </w:rPr>
        <w:t>Darío</w:t>
      </w:r>
      <w:proofErr w:type="spellEnd"/>
      <w:r w:rsidRPr="00375943">
        <w:rPr>
          <w:rFonts w:asciiTheme="majorHAnsi" w:hAnsiTheme="majorHAnsi"/>
        </w:rPr>
        <w:t xml:space="preserve"> </w:t>
      </w:r>
      <w:proofErr w:type="spellStart"/>
      <w:r w:rsidRPr="00375943">
        <w:rPr>
          <w:rFonts w:asciiTheme="majorHAnsi" w:hAnsiTheme="majorHAnsi"/>
        </w:rPr>
        <w:t>Alcaraz</w:t>
      </w:r>
      <w:proofErr w:type="spellEnd"/>
      <w:proofErr w:type="gramStart"/>
      <w:r w:rsidRPr="00375943">
        <w:rPr>
          <w:rFonts w:asciiTheme="majorHAnsi" w:hAnsiTheme="majorHAnsi"/>
        </w:rPr>
        <w:t>,.</w:t>
      </w:r>
      <w:proofErr w:type="gramEnd"/>
      <w:r w:rsidRPr="00375943">
        <w:rPr>
          <w:rFonts w:asciiTheme="majorHAnsi" w:hAnsiTheme="majorHAnsi"/>
        </w:rPr>
        <w:t xml:space="preserve"> </w:t>
      </w:r>
    </w:p>
    <w:p w14:paraId="76787B3B" w14:textId="77777777" w:rsidR="00375943" w:rsidRPr="00375943" w:rsidRDefault="00375943" w:rsidP="00375943">
      <w:pPr>
        <w:pStyle w:val="FootnoteText"/>
        <w:jc w:val="both"/>
        <w:rPr>
          <w:rFonts w:asciiTheme="majorHAnsi" w:hAnsiTheme="majorHAnsi"/>
        </w:rPr>
      </w:pPr>
    </w:p>
    <w:p w14:paraId="071C7BDA"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9. </w:t>
      </w:r>
      <w:proofErr w:type="gramStart"/>
      <w:r w:rsidRPr="00375943">
        <w:rPr>
          <w:rFonts w:asciiTheme="majorHAnsi" w:hAnsiTheme="majorHAnsi"/>
        </w:rPr>
        <w:t>Article in the daily newspaper ABC of January 12, 1996, p.2.</w:t>
      </w:r>
      <w:proofErr w:type="gramEnd"/>
      <w:r w:rsidRPr="00375943">
        <w:rPr>
          <w:rFonts w:asciiTheme="majorHAnsi" w:hAnsiTheme="majorHAnsi"/>
        </w:rPr>
        <w:t xml:space="preserve"> Press dossier attached by the petitioner. Additionally: La </w:t>
      </w:r>
      <w:proofErr w:type="spellStart"/>
      <w:r w:rsidRPr="00375943">
        <w:rPr>
          <w:rFonts w:asciiTheme="majorHAnsi" w:hAnsiTheme="majorHAnsi"/>
        </w:rPr>
        <w:t>Nación</w:t>
      </w:r>
      <w:proofErr w:type="spellEnd"/>
      <w:r w:rsidRPr="00375943">
        <w:rPr>
          <w:rFonts w:asciiTheme="majorHAnsi" w:hAnsiTheme="majorHAnsi"/>
        </w:rPr>
        <w:t xml:space="preserve"> of January 12, 1996, p.4, among other ones. </w:t>
      </w:r>
    </w:p>
    <w:p w14:paraId="6AC7FF95" w14:textId="77777777" w:rsidR="00375943" w:rsidRPr="00375943" w:rsidRDefault="00375943" w:rsidP="00375943">
      <w:pPr>
        <w:pStyle w:val="FootnoteText"/>
        <w:jc w:val="both"/>
        <w:rPr>
          <w:rFonts w:asciiTheme="majorHAnsi" w:hAnsiTheme="majorHAnsi"/>
        </w:rPr>
      </w:pPr>
    </w:p>
    <w:p w14:paraId="15A4E979"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10. </w:t>
      </w:r>
      <w:proofErr w:type="gramStart"/>
      <w:r w:rsidRPr="00375943">
        <w:rPr>
          <w:rFonts w:asciiTheme="majorHAnsi" w:hAnsiTheme="majorHAnsi"/>
        </w:rPr>
        <w:t xml:space="preserve">Article in the daily newspaper El </w:t>
      </w:r>
      <w:proofErr w:type="spellStart"/>
      <w:r w:rsidRPr="00375943">
        <w:rPr>
          <w:rFonts w:asciiTheme="majorHAnsi" w:hAnsiTheme="majorHAnsi"/>
        </w:rPr>
        <w:t>Día</w:t>
      </w:r>
      <w:proofErr w:type="spellEnd"/>
      <w:r w:rsidRPr="00375943">
        <w:rPr>
          <w:rFonts w:asciiTheme="majorHAnsi" w:hAnsiTheme="majorHAnsi"/>
        </w:rPr>
        <w:t xml:space="preserve"> of January 12, 1996, pg. 4.</w:t>
      </w:r>
      <w:proofErr w:type="gramEnd"/>
      <w:r w:rsidRPr="00375943">
        <w:rPr>
          <w:rFonts w:asciiTheme="majorHAnsi" w:hAnsiTheme="majorHAnsi"/>
        </w:rPr>
        <w:t xml:space="preserve"> Press dossier attached by the petitioner. </w:t>
      </w:r>
    </w:p>
    <w:p w14:paraId="729D8179" w14:textId="77777777" w:rsidR="00375943" w:rsidRPr="00375943" w:rsidRDefault="00375943" w:rsidP="00375943">
      <w:pPr>
        <w:jc w:val="both"/>
        <w:rPr>
          <w:rFonts w:asciiTheme="majorHAnsi" w:hAnsiTheme="majorHAnsi"/>
          <w:sz w:val="20"/>
          <w:szCs w:val="20"/>
        </w:rPr>
      </w:pPr>
    </w:p>
    <w:p w14:paraId="1F7CF9D7" w14:textId="77777777" w:rsidR="00375943" w:rsidRPr="00375943" w:rsidRDefault="00375943" w:rsidP="00375943">
      <w:pPr>
        <w:jc w:val="both"/>
        <w:rPr>
          <w:rFonts w:asciiTheme="majorHAnsi" w:hAnsiTheme="majorHAnsi"/>
          <w:sz w:val="20"/>
          <w:szCs w:val="20"/>
        </w:rPr>
      </w:pPr>
      <w:r w:rsidRPr="00375943">
        <w:rPr>
          <w:rFonts w:asciiTheme="majorHAnsi" w:hAnsiTheme="majorHAnsi"/>
          <w:sz w:val="20"/>
          <w:szCs w:val="20"/>
        </w:rPr>
        <w:t xml:space="preserve">Annex 11. Article in the daily newspaper El </w:t>
      </w:r>
      <w:proofErr w:type="spellStart"/>
      <w:r w:rsidRPr="00375943">
        <w:rPr>
          <w:rFonts w:asciiTheme="majorHAnsi" w:hAnsiTheme="majorHAnsi"/>
          <w:sz w:val="20"/>
          <w:szCs w:val="20"/>
        </w:rPr>
        <w:t>Día</w:t>
      </w:r>
      <w:proofErr w:type="spellEnd"/>
      <w:r w:rsidRPr="00375943">
        <w:rPr>
          <w:rFonts w:asciiTheme="majorHAnsi" w:hAnsiTheme="majorHAnsi"/>
          <w:sz w:val="20"/>
          <w:szCs w:val="20"/>
        </w:rPr>
        <w:t xml:space="preserve"> of January 12, 1996, p.a5, Article in La </w:t>
      </w:r>
      <w:proofErr w:type="spellStart"/>
      <w:r w:rsidRPr="00375943">
        <w:rPr>
          <w:rFonts w:asciiTheme="majorHAnsi" w:hAnsiTheme="majorHAnsi"/>
          <w:sz w:val="20"/>
          <w:szCs w:val="20"/>
        </w:rPr>
        <w:t>Nación</w:t>
      </w:r>
      <w:proofErr w:type="spellEnd"/>
      <w:r w:rsidRPr="00375943">
        <w:rPr>
          <w:rFonts w:asciiTheme="majorHAnsi" w:hAnsiTheme="majorHAnsi"/>
          <w:sz w:val="20"/>
          <w:szCs w:val="20"/>
        </w:rPr>
        <w:t xml:space="preserve"> of January 12, 1996, p.5, Press dossier attached by the petitioner</w:t>
      </w:r>
    </w:p>
    <w:p w14:paraId="188982C0" w14:textId="77777777" w:rsidR="00375943" w:rsidRPr="00375943" w:rsidRDefault="00375943" w:rsidP="00375943">
      <w:pPr>
        <w:jc w:val="both"/>
        <w:rPr>
          <w:rFonts w:asciiTheme="majorHAnsi" w:hAnsiTheme="majorHAnsi"/>
          <w:sz w:val="20"/>
          <w:szCs w:val="20"/>
        </w:rPr>
      </w:pPr>
    </w:p>
    <w:p w14:paraId="6E69CAD3"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12. </w:t>
      </w:r>
      <w:proofErr w:type="gramStart"/>
      <w:r w:rsidRPr="00375943">
        <w:rPr>
          <w:rFonts w:asciiTheme="majorHAnsi" w:hAnsiTheme="majorHAnsi"/>
        </w:rPr>
        <w:t xml:space="preserve">Case File “Preliminary Inquiry into the cause of death of candidate for corporal Vicente Ariel Noguera of Center No. 3 of CIMEFOR based in </w:t>
      </w:r>
      <w:proofErr w:type="spellStart"/>
      <w:r w:rsidRPr="00375943">
        <w:rPr>
          <w:rFonts w:asciiTheme="majorHAnsi" w:hAnsiTheme="majorHAnsi"/>
        </w:rPr>
        <w:t>Mcal</w:t>
      </w:r>
      <w:proofErr w:type="spellEnd"/>
      <w:r w:rsidRPr="00375943">
        <w:rPr>
          <w:rFonts w:asciiTheme="majorHAnsi" w:hAnsiTheme="majorHAnsi"/>
        </w:rPr>
        <w:t>.</w:t>
      </w:r>
      <w:proofErr w:type="gramEnd"/>
      <w:r w:rsidRPr="00375943">
        <w:rPr>
          <w:rFonts w:asciiTheme="majorHAnsi" w:hAnsiTheme="majorHAnsi"/>
        </w:rPr>
        <w:t xml:space="preserve"> </w:t>
      </w:r>
      <w:proofErr w:type="spellStart"/>
      <w:proofErr w:type="gramStart"/>
      <w:r w:rsidRPr="00375943">
        <w:rPr>
          <w:rFonts w:asciiTheme="majorHAnsi" w:hAnsiTheme="majorHAnsi"/>
        </w:rPr>
        <w:t>Estigarribia</w:t>
      </w:r>
      <w:proofErr w:type="spellEnd"/>
      <w:r w:rsidRPr="00375943">
        <w:rPr>
          <w:rFonts w:asciiTheme="majorHAnsi" w:hAnsiTheme="majorHAnsi"/>
        </w:rPr>
        <w:t>”.</w:t>
      </w:r>
      <w:proofErr w:type="gramEnd"/>
      <w:r w:rsidRPr="00375943">
        <w:rPr>
          <w:rFonts w:asciiTheme="majorHAnsi" w:hAnsiTheme="majorHAnsi"/>
        </w:rPr>
        <w:t xml:space="preserve"> Annex to States submission No. 653-04/MPP-OEA of September 26, 2004.</w:t>
      </w:r>
    </w:p>
    <w:p w14:paraId="6B970101" w14:textId="77777777" w:rsidR="00375943" w:rsidRPr="00375943" w:rsidRDefault="00375943" w:rsidP="00375943">
      <w:pPr>
        <w:pStyle w:val="FootnoteText"/>
        <w:jc w:val="both"/>
        <w:rPr>
          <w:rFonts w:asciiTheme="majorHAnsi" w:hAnsiTheme="majorHAnsi"/>
        </w:rPr>
      </w:pPr>
    </w:p>
    <w:p w14:paraId="1B0E630D"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13. </w:t>
      </w:r>
      <w:proofErr w:type="gramStart"/>
      <w:r w:rsidRPr="00375943">
        <w:rPr>
          <w:rFonts w:asciiTheme="majorHAnsi" w:hAnsiTheme="majorHAnsi"/>
        </w:rPr>
        <w:t>Article daily newspaper ABC of January 12, 1996, pg.3.</w:t>
      </w:r>
      <w:proofErr w:type="gramEnd"/>
      <w:r w:rsidRPr="00375943">
        <w:rPr>
          <w:rFonts w:asciiTheme="majorHAnsi" w:hAnsiTheme="majorHAnsi"/>
        </w:rPr>
        <w:t xml:space="preserve"> Press dossier attached by the petitioner. Also see: La </w:t>
      </w:r>
      <w:proofErr w:type="spellStart"/>
      <w:r w:rsidRPr="00375943">
        <w:rPr>
          <w:rFonts w:asciiTheme="majorHAnsi" w:hAnsiTheme="majorHAnsi"/>
        </w:rPr>
        <w:t>Nación</w:t>
      </w:r>
      <w:proofErr w:type="spellEnd"/>
      <w:r w:rsidRPr="00375943">
        <w:rPr>
          <w:rFonts w:asciiTheme="majorHAnsi" w:hAnsiTheme="majorHAnsi"/>
        </w:rPr>
        <w:t xml:space="preserve"> of January 12, 1996, </w:t>
      </w:r>
      <w:proofErr w:type="gramStart"/>
      <w:r w:rsidRPr="00375943">
        <w:rPr>
          <w:rFonts w:asciiTheme="majorHAnsi" w:hAnsiTheme="majorHAnsi"/>
        </w:rPr>
        <w:t>pg.4.,</w:t>
      </w:r>
      <w:proofErr w:type="gramEnd"/>
      <w:r w:rsidRPr="00375943">
        <w:rPr>
          <w:rFonts w:asciiTheme="majorHAnsi" w:hAnsiTheme="majorHAnsi"/>
        </w:rPr>
        <w:t xml:space="preserve"> among other ones. </w:t>
      </w:r>
    </w:p>
    <w:p w14:paraId="11FA9B8E" w14:textId="77777777" w:rsidR="00375943" w:rsidRPr="00375943" w:rsidRDefault="00375943" w:rsidP="00375943">
      <w:pPr>
        <w:jc w:val="both"/>
        <w:rPr>
          <w:rFonts w:asciiTheme="majorHAnsi" w:hAnsiTheme="majorHAnsi"/>
          <w:sz w:val="20"/>
          <w:szCs w:val="20"/>
        </w:rPr>
      </w:pPr>
    </w:p>
    <w:p w14:paraId="562E420B" w14:textId="77777777" w:rsidR="00375943" w:rsidRPr="00375943" w:rsidRDefault="00375943" w:rsidP="00375943">
      <w:pPr>
        <w:jc w:val="both"/>
        <w:rPr>
          <w:rFonts w:asciiTheme="majorHAnsi" w:hAnsiTheme="majorHAnsi"/>
          <w:sz w:val="20"/>
          <w:szCs w:val="20"/>
        </w:rPr>
      </w:pPr>
      <w:r w:rsidRPr="00375943">
        <w:rPr>
          <w:rFonts w:asciiTheme="majorHAnsi" w:hAnsiTheme="majorHAnsi"/>
          <w:sz w:val="20"/>
          <w:szCs w:val="20"/>
        </w:rPr>
        <w:t>Annex 14. Report 24 of Military Prosecutor of March 13, 1996. Annex to State’s submission of September 16, 2004.</w:t>
      </w:r>
    </w:p>
    <w:p w14:paraId="47A88752" w14:textId="77777777" w:rsidR="00375943" w:rsidRPr="00375943" w:rsidRDefault="00375943" w:rsidP="00375943">
      <w:pPr>
        <w:jc w:val="both"/>
        <w:rPr>
          <w:rFonts w:asciiTheme="majorHAnsi" w:hAnsiTheme="majorHAnsi"/>
          <w:sz w:val="20"/>
          <w:szCs w:val="20"/>
        </w:rPr>
      </w:pPr>
    </w:p>
    <w:p w14:paraId="275C4123" w14:textId="047ED7C1" w:rsidR="00375943" w:rsidRPr="00375943" w:rsidRDefault="00375943" w:rsidP="00375943">
      <w:pPr>
        <w:pStyle w:val="FootnoteText"/>
        <w:jc w:val="both"/>
        <w:rPr>
          <w:rFonts w:asciiTheme="majorHAnsi" w:hAnsiTheme="majorHAnsi"/>
        </w:rPr>
      </w:pPr>
      <w:r w:rsidRPr="00375943">
        <w:rPr>
          <w:rFonts w:asciiTheme="majorHAnsi" w:hAnsiTheme="majorHAnsi"/>
        </w:rPr>
        <w:t>Annex 15. Alleged victim’s mother’s letter addressed to the Attorney General</w:t>
      </w:r>
      <w:r w:rsidR="00BA063C">
        <w:rPr>
          <w:rFonts w:asciiTheme="majorHAnsi" w:hAnsiTheme="majorHAnsi"/>
        </w:rPr>
        <w:t xml:space="preserve"> of January 17, 1996.</w:t>
      </w:r>
      <w:r w:rsidRPr="00375943">
        <w:rPr>
          <w:rFonts w:asciiTheme="majorHAnsi" w:hAnsiTheme="majorHAnsi"/>
        </w:rPr>
        <w:t xml:space="preserve"> Annex to State’s submission of September 16, 2004. </w:t>
      </w:r>
    </w:p>
    <w:p w14:paraId="193BA838" w14:textId="77777777" w:rsidR="00375943" w:rsidRPr="00375943" w:rsidRDefault="00375943" w:rsidP="00375943">
      <w:pPr>
        <w:pStyle w:val="FootnoteText"/>
        <w:jc w:val="both"/>
        <w:rPr>
          <w:rFonts w:asciiTheme="majorHAnsi" w:hAnsiTheme="majorHAnsi"/>
        </w:rPr>
      </w:pPr>
    </w:p>
    <w:p w14:paraId="5C72F634" w14:textId="1127C4DB" w:rsidR="00BA063C" w:rsidRPr="00375943" w:rsidRDefault="00375943" w:rsidP="00BA063C">
      <w:pPr>
        <w:pStyle w:val="FootnoteText"/>
        <w:jc w:val="both"/>
        <w:rPr>
          <w:rFonts w:asciiTheme="majorHAnsi" w:hAnsiTheme="majorHAnsi"/>
        </w:rPr>
      </w:pPr>
      <w:r w:rsidRPr="00375943">
        <w:rPr>
          <w:rFonts w:asciiTheme="majorHAnsi" w:hAnsiTheme="majorHAnsi"/>
        </w:rPr>
        <w:lastRenderedPageBreak/>
        <w:t>Annex 16. Alleged victim’s mother’s letter addressed to the Attorney General</w:t>
      </w:r>
      <w:r w:rsidR="00BA063C">
        <w:rPr>
          <w:rFonts w:asciiTheme="majorHAnsi" w:hAnsiTheme="majorHAnsi"/>
        </w:rPr>
        <w:t xml:space="preserve">. </w:t>
      </w:r>
      <w:r w:rsidR="00BA063C" w:rsidRPr="00375943">
        <w:rPr>
          <w:rFonts w:asciiTheme="majorHAnsi" w:hAnsiTheme="majorHAnsi"/>
        </w:rPr>
        <w:t xml:space="preserve">Annex to State’s submission of </w:t>
      </w:r>
      <w:r w:rsidR="00BA063C">
        <w:rPr>
          <w:rFonts w:asciiTheme="majorHAnsi" w:hAnsiTheme="majorHAnsi"/>
        </w:rPr>
        <w:t xml:space="preserve">January 29, 1996. </w:t>
      </w:r>
      <w:r w:rsidR="00BA063C" w:rsidRPr="00375943">
        <w:rPr>
          <w:rFonts w:asciiTheme="majorHAnsi" w:hAnsiTheme="majorHAnsi"/>
        </w:rPr>
        <w:t xml:space="preserve">September 16, 2004. </w:t>
      </w:r>
    </w:p>
    <w:p w14:paraId="48BC4ED4" w14:textId="77777777" w:rsidR="00375943" w:rsidRPr="00375943" w:rsidRDefault="00375943" w:rsidP="00375943">
      <w:pPr>
        <w:jc w:val="both"/>
        <w:rPr>
          <w:rFonts w:asciiTheme="majorHAnsi" w:hAnsiTheme="majorHAnsi"/>
          <w:sz w:val="20"/>
          <w:szCs w:val="20"/>
        </w:rPr>
      </w:pPr>
    </w:p>
    <w:p w14:paraId="7B28F347"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17. </w:t>
      </w:r>
      <w:proofErr w:type="gramStart"/>
      <w:r w:rsidRPr="00375943">
        <w:rPr>
          <w:rFonts w:asciiTheme="majorHAnsi" w:hAnsiTheme="majorHAnsi"/>
        </w:rPr>
        <w:t>Order to Open Inquiry.</w:t>
      </w:r>
      <w:proofErr w:type="gramEnd"/>
      <w:r w:rsidRPr="00375943">
        <w:rPr>
          <w:rFonts w:asciiTheme="majorHAnsi" w:hAnsiTheme="majorHAnsi"/>
        </w:rPr>
        <w:t xml:space="preserve"> Annex to State’s submission of September 16, 2004.</w:t>
      </w:r>
    </w:p>
    <w:p w14:paraId="6D09E9F2" w14:textId="77777777" w:rsidR="00375943" w:rsidRPr="00375943" w:rsidRDefault="00375943" w:rsidP="00375943">
      <w:pPr>
        <w:pStyle w:val="FootnoteText"/>
        <w:jc w:val="both"/>
        <w:rPr>
          <w:rFonts w:asciiTheme="majorHAnsi" w:hAnsiTheme="majorHAnsi"/>
        </w:rPr>
      </w:pPr>
    </w:p>
    <w:p w14:paraId="3060CC32" w14:textId="2D975AE0"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18. </w:t>
      </w:r>
      <w:proofErr w:type="gramStart"/>
      <w:r w:rsidRPr="00375943">
        <w:rPr>
          <w:rFonts w:asciiTheme="majorHAnsi" w:hAnsiTheme="majorHAnsi"/>
        </w:rPr>
        <w:t>Report No. 1007 of the Attorney General</w:t>
      </w:r>
      <w:r w:rsidR="00BA063C">
        <w:rPr>
          <w:rFonts w:asciiTheme="majorHAnsi" w:hAnsiTheme="majorHAnsi"/>
        </w:rPr>
        <w:t xml:space="preserve"> of August 2, 1996</w:t>
      </w:r>
      <w:r w:rsidRPr="00375943">
        <w:rPr>
          <w:rFonts w:asciiTheme="majorHAnsi" w:hAnsiTheme="majorHAnsi"/>
        </w:rPr>
        <w:t xml:space="preserve"> Annex to State’s submission of September 16, 2004.</w:t>
      </w:r>
      <w:proofErr w:type="gramEnd"/>
    </w:p>
    <w:p w14:paraId="0C866792" w14:textId="77777777" w:rsidR="00375943" w:rsidRPr="00375943" w:rsidRDefault="00375943" w:rsidP="00375943">
      <w:pPr>
        <w:pStyle w:val="FootnoteText"/>
        <w:jc w:val="both"/>
        <w:rPr>
          <w:rFonts w:asciiTheme="majorHAnsi" w:hAnsiTheme="majorHAnsi"/>
        </w:rPr>
      </w:pPr>
    </w:p>
    <w:p w14:paraId="1B3FF181"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19. </w:t>
      </w:r>
      <w:proofErr w:type="gramStart"/>
      <w:r w:rsidRPr="00375943">
        <w:rPr>
          <w:rFonts w:asciiTheme="majorHAnsi" w:hAnsiTheme="majorHAnsi"/>
        </w:rPr>
        <w:t>Record of exhumation of September 9, 1996.</w:t>
      </w:r>
      <w:proofErr w:type="gramEnd"/>
      <w:r w:rsidRPr="00375943">
        <w:rPr>
          <w:rFonts w:asciiTheme="majorHAnsi" w:hAnsiTheme="majorHAnsi"/>
        </w:rPr>
        <w:t xml:space="preserve"> Annex to State’s submission of September 16, 2004.</w:t>
      </w:r>
    </w:p>
    <w:p w14:paraId="7F20B4CE" w14:textId="77777777" w:rsidR="00375943" w:rsidRPr="00375943" w:rsidRDefault="00375943" w:rsidP="00375943">
      <w:pPr>
        <w:jc w:val="both"/>
        <w:rPr>
          <w:rFonts w:asciiTheme="majorHAnsi" w:hAnsiTheme="majorHAnsi"/>
          <w:sz w:val="20"/>
          <w:szCs w:val="20"/>
        </w:rPr>
      </w:pPr>
    </w:p>
    <w:p w14:paraId="24C545F6" w14:textId="77777777" w:rsidR="00375943" w:rsidRPr="00375943" w:rsidRDefault="00375943" w:rsidP="00375943">
      <w:pPr>
        <w:jc w:val="both"/>
        <w:rPr>
          <w:rFonts w:asciiTheme="majorHAnsi" w:hAnsiTheme="majorHAnsi"/>
          <w:sz w:val="20"/>
          <w:szCs w:val="20"/>
        </w:rPr>
      </w:pPr>
      <w:r w:rsidRPr="00375943">
        <w:rPr>
          <w:rFonts w:asciiTheme="majorHAnsi" w:hAnsiTheme="majorHAnsi"/>
          <w:sz w:val="20"/>
          <w:szCs w:val="20"/>
        </w:rPr>
        <w:t xml:space="preserve">Annex 20. </w:t>
      </w:r>
      <w:proofErr w:type="gramStart"/>
      <w:r w:rsidRPr="00375943">
        <w:rPr>
          <w:rFonts w:asciiTheme="majorHAnsi" w:hAnsiTheme="majorHAnsi"/>
          <w:sz w:val="20"/>
          <w:szCs w:val="20"/>
        </w:rPr>
        <w:t>Ruling of the Judge for Criminal Matters of September 05, 1996.</w:t>
      </w:r>
      <w:proofErr w:type="gramEnd"/>
      <w:r w:rsidRPr="00375943">
        <w:rPr>
          <w:rFonts w:asciiTheme="majorHAnsi" w:hAnsiTheme="majorHAnsi"/>
          <w:sz w:val="20"/>
          <w:szCs w:val="20"/>
        </w:rPr>
        <w:t xml:space="preserve"> Annex to State’s submission of September 16, 2004.</w:t>
      </w:r>
    </w:p>
    <w:p w14:paraId="3F19C343" w14:textId="77777777" w:rsidR="00375943" w:rsidRPr="00375943" w:rsidRDefault="00375943" w:rsidP="00375943">
      <w:pPr>
        <w:pStyle w:val="FootnoteText"/>
        <w:jc w:val="both"/>
        <w:rPr>
          <w:rFonts w:asciiTheme="majorHAnsi" w:hAnsiTheme="majorHAnsi"/>
        </w:rPr>
      </w:pPr>
    </w:p>
    <w:p w14:paraId="5A64B376"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21. </w:t>
      </w:r>
      <w:proofErr w:type="gramStart"/>
      <w:r w:rsidRPr="00375943">
        <w:rPr>
          <w:rFonts w:asciiTheme="majorHAnsi" w:hAnsiTheme="majorHAnsi"/>
        </w:rPr>
        <w:t>Swearing in of the forensic doctor by Criminal Judge of September 9, 1996.</w:t>
      </w:r>
      <w:proofErr w:type="gramEnd"/>
      <w:r w:rsidRPr="00375943">
        <w:rPr>
          <w:rFonts w:asciiTheme="majorHAnsi" w:hAnsiTheme="majorHAnsi"/>
        </w:rPr>
        <w:t xml:space="preserve"> Annex to State’s submission of September 16, 2004. </w:t>
      </w:r>
    </w:p>
    <w:p w14:paraId="644592B4" w14:textId="77777777" w:rsidR="00375943" w:rsidRPr="00375943" w:rsidRDefault="00375943" w:rsidP="00375943">
      <w:pPr>
        <w:pStyle w:val="FootnoteText"/>
        <w:jc w:val="both"/>
        <w:rPr>
          <w:rFonts w:asciiTheme="majorHAnsi" w:hAnsiTheme="majorHAnsi"/>
        </w:rPr>
      </w:pPr>
    </w:p>
    <w:p w14:paraId="5C19DF40"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Annex 22. Expert’s Autopsy Report of October 18, 1996. Annex to State’s submission of September 16, 2004.</w:t>
      </w:r>
    </w:p>
    <w:p w14:paraId="67968E9D" w14:textId="77777777" w:rsidR="00375943" w:rsidRPr="00375943" w:rsidRDefault="00375943" w:rsidP="00375943">
      <w:pPr>
        <w:pStyle w:val="FootnoteText"/>
        <w:jc w:val="both"/>
        <w:rPr>
          <w:rFonts w:asciiTheme="majorHAnsi" w:hAnsiTheme="majorHAnsi"/>
        </w:rPr>
      </w:pPr>
    </w:p>
    <w:p w14:paraId="15E9FA40"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1. </w:t>
      </w:r>
      <w:proofErr w:type="gramStart"/>
      <w:r w:rsidRPr="00375943">
        <w:rPr>
          <w:rFonts w:asciiTheme="majorHAnsi" w:hAnsiTheme="majorHAnsi"/>
        </w:rPr>
        <w:t>Initial petition of September 19, 2000.</w:t>
      </w:r>
      <w:proofErr w:type="gramEnd"/>
    </w:p>
    <w:p w14:paraId="4C321B3A" w14:textId="77777777" w:rsidR="00375943" w:rsidRPr="00375943" w:rsidRDefault="00375943" w:rsidP="00375943">
      <w:pPr>
        <w:pStyle w:val="FootnoteText"/>
        <w:jc w:val="both"/>
        <w:rPr>
          <w:rFonts w:asciiTheme="majorHAnsi" w:hAnsiTheme="majorHAnsi"/>
        </w:rPr>
      </w:pPr>
    </w:p>
    <w:p w14:paraId="394B5FD4"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23. </w:t>
      </w:r>
      <w:proofErr w:type="gramStart"/>
      <w:r w:rsidRPr="00375943">
        <w:rPr>
          <w:rFonts w:asciiTheme="majorHAnsi" w:hAnsiTheme="majorHAnsi"/>
        </w:rPr>
        <w:t>Filing for Removal of Judge of February 4, 1999.</w:t>
      </w:r>
      <w:proofErr w:type="gramEnd"/>
      <w:r w:rsidRPr="00375943">
        <w:rPr>
          <w:rFonts w:asciiTheme="majorHAnsi" w:hAnsiTheme="majorHAnsi"/>
        </w:rPr>
        <w:t xml:space="preserve"> Annex to State’s submission of September 16, 2004.</w:t>
      </w:r>
    </w:p>
    <w:p w14:paraId="1BA8271A" w14:textId="77777777" w:rsidR="00375943" w:rsidRPr="00375943" w:rsidRDefault="00375943" w:rsidP="00375943">
      <w:pPr>
        <w:pStyle w:val="FootnoteText"/>
        <w:jc w:val="both"/>
        <w:rPr>
          <w:rFonts w:asciiTheme="majorHAnsi" w:hAnsiTheme="majorHAnsi"/>
        </w:rPr>
      </w:pPr>
    </w:p>
    <w:p w14:paraId="1CF0D72E"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24. </w:t>
      </w:r>
      <w:proofErr w:type="gramStart"/>
      <w:r w:rsidRPr="00375943">
        <w:rPr>
          <w:rFonts w:asciiTheme="majorHAnsi" w:hAnsiTheme="majorHAnsi"/>
        </w:rPr>
        <w:t>Motion for Removal.</w:t>
      </w:r>
      <w:proofErr w:type="gramEnd"/>
      <w:r w:rsidRPr="00375943">
        <w:rPr>
          <w:rFonts w:asciiTheme="majorHAnsi" w:hAnsiTheme="majorHAnsi"/>
        </w:rPr>
        <w:t xml:space="preserve"> Annex to State’s submission of September 16, 2004.</w:t>
      </w:r>
    </w:p>
    <w:p w14:paraId="5E7BC52B" w14:textId="77777777" w:rsidR="00375943" w:rsidRPr="00375943" w:rsidRDefault="00375943" w:rsidP="00375943">
      <w:pPr>
        <w:pStyle w:val="FootnoteText"/>
        <w:jc w:val="both"/>
        <w:rPr>
          <w:rFonts w:asciiTheme="majorHAnsi" w:hAnsiTheme="majorHAnsi"/>
        </w:rPr>
      </w:pPr>
    </w:p>
    <w:p w14:paraId="4D47EB12" w14:textId="77E373B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25. Decision A.I. 157 of the Supreme Court of February 26, 1998. Annex to State’s submission of September 16, 2004. The Commission notes on the record that the year of issuance appearing is “1998,” but based on the information set forth therein </w:t>
      </w:r>
      <w:r w:rsidR="00BA063C">
        <w:rPr>
          <w:rFonts w:asciiTheme="majorHAnsi" w:hAnsiTheme="majorHAnsi"/>
        </w:rPr>
        <w:t xml:space="preserve">is evident </w:t>
      </w:r>
      <w:r w:rsidRPr="00375943">
        <w:rPr>
          <w:rFonts w:asciiTheme="majorHAnsi" w:hAnsiTheme="majorHAnsi"/>
        </w:rPr>
        <w:t xml:space="preserve">that said decision is from 1999. </w:t>
      </w:r>
    </w:p>
    <w:p w14:paraId="3BC44324" w14:textId="77777777" w:rsidR="00BA063C" w:rsidRDefault="00BA063C" w:rsidP="00375943">
      <w:pPr>
        <w:pStyle w:val="FootnoteText"/>
        <w:jc w:val="both"/>
        <w:rPr>
          <w:rFonts w:asciiTheme="majorHAnsi" w:hAnsiTheme="majorHAnsi"/>
        </w:rPr>
      </w:pPr>
    </w:p>
    <w:p w14:paraId="5B11F352"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t xml:space="preserve">Annex 26. Report No. 285 As/13/IV/99 of Prosecuting Attorney </w:t>
      </w:r>
      <w:proofErr w:type="spellStart"/>
      <w:r w:rsidRPr="00375943">
        <w:rPr>
          <w:rFonts w:asciiTheme="majorHAnsi" w:hAnsiTheme="majorHAnsi"/>
        </w:rPr>
        <w:t>Eladio</w:t>
      </w:r>
      <w:proofErr w:type="spellEnd"/>
      <w:r w:rsidRPr="00375943">
        <w:rPr>
          <w:rFonts w:asciiTheme="majorHAnsi" w:hAnsiTheme="majorHAnsi"/>
        </w:rPr>
        <w:t xml:space="preserve"> </w:t>
      </w:r>
      <w:proofErr w:type="spellStart"/>
      <w:r w:rsidRPr="00375943">
        <w:rPr>
          <w:rFonts w:asciiTheme="majorHAnsi" w:hAnsiTheme="majorHAnsi"/>
        </w:rPr>
        <w:t>Valiente</w:t>
      </w:r>
      <w:proofErr w:type="spellEnd"/>
      <w:r w:rsidRPr="00375943">
        <w:rPr>
          <w:rFonts w:asciiTheme="majorHAnsi" w:hAnsiTheme="majorHAnsi"/>
        </w:rPr>
        <w:t xml:space="preserve"> of April 09, 1999. Annex to State’s submission of September 16, 2004.</w:t>
      </w:r>
    </w:p>
    <w:p w14:paraId="5AB06C33" w14:textId="77777777" w:rsidR="00375943" w:rsidRPr="00375943" w:rsidRDefault="00375943" w:rsidP="00375943">
      <w:pPr>
        <w:jc w:val="both"/>
        <w:rPr>
          <w:rFonts w:asciiTheme="majorHAnsi" w:hAnsiTheme="majorHAnsi"/>
          <w:sz w:val="20"/>
          <w:szCs w:val="20"/>
        </w:rPr>
      </w:pPr>
    </w:p>
    <w:p w14:paraId="3D33D172" w14:textId="77777777" w:rsidR="00375943" w:rsidRPr="00375943" w:rsidRDefault="00375943" w:rsidP="00375943">
      <w:pPr>
        <w:jc w:val="both"/>
        <w:rPr>
          <w:rFonts w:asciiTheme="majorHAnsi" w:hAnsiTheme="majorHAnsi"/>
          <w:sz w:val="20"/>
          <w:szCs w:val="20"/>
        </w:rPr>
      </w:pPr>
      <w:r w:rsidRPr="00375943">
        <w:rPr>
          <w:rFonts w:asciiTheme="majorHAnsi" w:hAnsiTheme="majorHAnsi"/>
          <w:sz w:val="20"/>
          <w:szCs w:val="20"/>
        </w:rPr>
        <w:t xml:space="preserve">Annex 27. </w:t>
      </w:r>
      <w:proofErr w:type="gramStart"/>
      <w:r w:rsidRPr="00375943">
        <w:rPr>
          <w:rFonts w:asciiTheme="majorHAnsi" w:hAnsiTheme="majorHAnsi"/>
          <w:sz w:val="20"/>
          <w:szCs w:val="20"/>
        </w:rPr>
        <w:t>Submissions of the complainant in the request for investigation of February 6, 2000 and June 8, 2000.</w:t>
      </w:r>
      <w:proofErr w:type="gramEnd"/>
      <w:r w:rsidRPr="00375943">
        <w:rPr>
          <w:rFonts w:asciiTheme="majorHAnsi" w:hAnsiTheme="majorHAnsi"/>
          <w:sz w:val="20"/>
          <w:szCs w:val="20"/>
        </w:rPr>
        <w:t xml:space="preserve"> Annex to State’s submission of September 16, 2004.</w:t>
      </w:r>
    </w:p>
    <w:p w14:paraId="07F6D1FE" w14:textId="77777777" w:rsidR="00375943" w:rsidRPr="00375943" w:rsidRDefault="00375943" w:rsidP="00375943">
      <w:pPr>
        <w:pStyle w:val="FootnoteText"/>
        <w:jc w:val="both"/>
        <w:rPr>
          <w:rFonts w:asciiTheme="majorHAnsi" w:hAnsiTheme="majorHAnsi"/>
        </w:rPr>
      </w:pPr>
      <w:r w:rsidRPr="00375943">
        <w:rPr>
          <w:rFonts w:asciiTheme="majorHAnsi" w:hAnsiTheme="majorHAnsi"/>
        </w:rPr>
        <w:br/>
        <w:t>Annex 28. Prosecutor’s Report No. 226 of July 18, 2001. Annex to State’s submission of September 16, 2004.</w:t>
      </w:r>
    </w:p>
    <w:p w14:paraId="22E2AD01" w14:textId="77777777" w:rsidR="00375943" w:rsidRPr="00375943" w:rsidRDefault="00375943" w:rsidP="00375943">
      <w:pPr>
        <w:jc w:val="both"/>
        <w:rPr>
          <w:rFonts w:asciiTheme="majorHAnsi" w:hAnsiTheme="majorHAnsi"/>
          <w:sz w:val="20"/>
          <w:szCs w:val="20"/>
        </w:rPr>
      </w:pPr>
    </w:p>
    <w:p w14:paraId="6D13CDE3" w14:textId="77777777" w:rsidR="00375943" w:rsidRPr="00375943" w:rsidRDefault="00375943" w:rsidP="00375943">
      <w:pPr>
        <w:jc w:val="both"/>
        <w:rPr>
          <w:rFonts w:asciiTheme="majorHAnsi" w:hAnsiTheme="majorHAnsi"/>
          <w:sz w:val="20"/>
          <w:szCs w:val="20"/>
        </w:rPr>
      </w:pPr>
      <w:r w:rsidRPr="00375943">
        <w:rPr>
          <w:rFonts w:asciiTheme="majorHAnsi" w:hAnsiTheme="majorHAnsi"/>
          <w:sz w:val="20"/>
          <w:szCs w:val="20"/>
        </w:rPr>
        <w:t xml:space="preserve">Annex 29. </w:t>
      </w:r>
      <w:proofErr w:type="gramStart"/>
      <w:r w:rsidRPr="00375943">
        <w:rPr>
          <w:rFonts w:asciiTheme="majorHAnsi" w:hAnsiTheme="majorHAnsi"/>
          <w:sz w:val="20"/>
          <w:szCs w:val="20"/>
        </w:rPr>
        <w:t>A. No. 670 of Criminal Judge for Liquidations and Sentencing No 7 of November 6, 2002.</w:t>
      </w:r>
      <w:proofErr w:type="gramEnd"/>
      <w:r w:rsidRPr="00375943">
        <w:rPr>
          <w:rFonts w:asciiTheme="majorHAnsi" w:hAnsiTheme="majorHAnsi"/>
          <w:sz w:val="20"/>
          <w:szCs w:val="20"/>
        </w:rPr>
        <w:t xml:space="preserve"> Annex to State’s submission of September 16, 2004.</w:t>
      </w:r>
    </w:p>
    <w:p w14:paraId="16878E07" w14:textId="77777777" w:rsidR="00801B63" w:rsidRPr="00801B63" w:rsidRDefault="00801B63" w:rsidP="00801B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rPr>
      </w:pPr>
    </w:p>
    <w:sectPr w:rsidR="00801B63" w:rsidRPr="00801B63" w:rsidSect="00DC386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CFD8C" w14:textId="77777777" w:rsidR="009B5B8D" w:rsidRDefault="009B5B8D" w:rsidP="00036A8A">
      <w:r>
        <w:separator/>
      </w:r>
    </w:p>
  </w:endnote>
  <w:endnote w:type="continuationSeparator" w:id="0">
    <w:p w14:paraId="2197ED42" w14:textId="77777777" w:rsidR="009B5B8D" w:rsidRDefault="009B5B8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774A5913" w14:textId="77777777" w:rsidR="009B5B8D" w:rsidRPr="006311DA" w:rsidRDefault="009B5B8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A063C">
          <w:rPr>
            <w:noProof/>
            <w:sz w:val="16"/>
          </w:rPr>
          <w:t>2</w:t>
        </w:r>
        <w:r w:rsidRPr="006311DA">
          <w:rPr>
            <w:noProof/>
            <w:sz w:val="16"/>
          </w:rPr>
          <w:fldChar w:fldCharType="end"/>
        </w:r>
      </w:p>
    </w:sdtContent>
  </w:sdt>
  <w:p w14:paraId="7A482CE7" w14:textId="77777777" w:rsidR="009B5B8D" w:rsidRDefault="009B5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F0C5" w14:textId="77777777" w:rsidR="009B5B8D" w:rsidRDefault="009B5B8D">
    <w:pPr>
      <w:pStyle w:val="Footer"/>
      <w:jc w:val="center"/>
    </w:pPr>
  </w:p>
  <w:p w14:paraId="1B6080A6" w14:textId="77777777" w:rsidR="009B5B8D" w:rsidRDefault="009B5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AAB45" w14:textId="77777777" w:rsidR="009B5B8D" w:rsidRPr="00036A8A" w:rsidRDefault="009B5B8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F9D95D0" w14:textId="77777777" w:rsidR="009B5B8D" w:rsidRPr="00036A8A" w:rsidRDefault="009B5B8D" w:rsidP="00036A8A">
      <w:pPr>
        <w:rPr>
          <w:rFonts w:asciiTheme="majorHAnsi" w:hAnsiTheme="majorHAnsi"/>
          <w:sz w:val="16"/>
          <w:szCs w:val="16"/>
        </w:rPr>
      </w:pPr>
      <w:r w:rsidRPr="00036A8A">
        <w:rPr>
          <w:rFonts w:asciiTheme="majorHAnsi" w:hAnsiTheme="majorHAnsi"/>
          <w:sz w:val="16"/>
          <w:szCs w:val="16"/>
        </w:rPr>
        <w:separator/>
      </w:r>
    </w:p>
    <w:p w14:paraId="5B893EAD" w14:textId="77777777" w:rsidR="009B5B8D" w:rsidRPr="00036A8A" w:rsidRDefault="009B5B8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0D7A331" w14:textId="77777777" w:rsidR="009B5B8D" w:rsidRPr="0093441A" w:rsidRDefault="009B5B8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6D5AAF9" w14:textId="3DC62488"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Report No. 10/11, Case 12.329, Admissibility, Vicente</w:t>
      </w:r>
      <w:r>
        <w:rPr>
          <w:rFonts w:asciiTheme="majorHAnsi" w:hAnsiTheme="majorHAnsi"/>
          <w:sz w:val="16"/>
          <w:szCs w:val="16"/>
        </w:rPr>
        <w:t xml:space="preserve"> Ariel Noguera, Paraguay, March </w:t>
      </w:r>
      <w:r w:rsidRPr="00CE4DF7">
        <w:rPr>
          <w:rFonts w:asciiTheme="majorHAnsi" w:hAnsiTheme="majorHAnsi"/>
          <w:sz w:val="16"/>
          <w:szCs w:val="16"/>
        </w:rPr>
        <w:t>22, 2011.</w:t>
      </w:r>
    </w:p>
  </w:footnote>
  <w:footnote w:id="3">
    <w:p w14:paraId="7E0CF715" w14:textId="7B736A61"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The parties expressed their willingness to enter into a friendly settlement</w:t>
      </w:r>
      <w:r>
        <w:rPr>
          <w:rFonts w:asciiTheme="majorHAnsi" w:hAnsiTheme="majorHAnsi"/>
          <w:sz w:val="16"/>
          <w:szCs w:val="16"/>
        </w:rPr>
        <w:t xml:space="preserve"> agreement. The Commission observed </w:t>
      </w:r>
      <w:r w:rsidRPr="00CE4DF7">
        <w:rPr>
          <w:rFonts w:asciiTheme="majorHAnsi" w:hAnsiTheme="majorHAnsi"/>
          <w:sz w:val="16"/>
          <w:szCs w:val="16"/>
        </w:rPr>
        <w:t xml:space="preserve">that during the friendly settlement process, </w:t>
      </w:r>
      <w:r>
        <w:rPr>
          <w:rFonts w:asciiTheme="majorHAnsi" w:hAnsiTheme="majorHAnsi"/>
          <w:sz w:val="16"/>
          <w:szCs w:val="16"/>
        </w:rPr>
        <w:t xml:space="preserve">for which negotiations continued over </w:t>
      </w:r>
      <w:r w:rsidRPr="00CE4DF7">
        <w:rPr>
          <w:rFonts w:asciiTheme="majorHAnsi" w:hAnsiTheme="majorHAnsi"/>
          <w:sz w:val="16"/>
          <w:szCs w:val="16"/>
        </w:rPr>
        <w:t xml:space="preserve">approximately ten years, the petitioner </w:t>
      </w:r>
      <w:r>
        <w:rPr>
          <w:rFonts w:asciiTheme="majorHAnsi" w:hAnsiTheme="majorHAnsi"/>
          <w:sz w:val="16"/>
          <w:szCs w:val="16"/>
        </w:rPr>
        <w:t xml:space="preserve">reported </w:t>
      </w:r>
      <w:r w:rsidRPr="00CE4DF7">
        <w:rPr>
          <w:rFonts w:asciiTheme="majorHAnsi" w:hAnsiTheme="majorHAnsi"/>
          <w:sz w:val="16"/>
          <w:szCs w:val="16"/>
        </w:rPr>
        <w:t>on several occasions that she wished to w</w:t>
      </w:r>
      <w:r>
        <w:rPr>
          <w:rFonts w:asciiTheme="majorHAnsi" w:hAnsiTheme="majorHAnsi"/>
          <w:sz w:val="16"/>
          <w:szCs w:val="16"/>
        </w:rPr>
        <w:t>ithdraw from these negotiations</w:t>
      </w:r>
      <w:r w:rsidRPr="00CE4DF7">
        <w:rPr>
          <w:rFonts w:asciiTheme="majorHAnsi" w:hAnsiTheme="majorHAnsi"/>
          <w:sz w:val="16"/>
          <w:szCs w:val="16"/>
        </w:rPr>
        <w:t xml:space="preserve"> and</w:t>
      </w:r>
      <w:r>
        <w:rPr>
          <w:rFonts w:asciiTheme="majorHAnsi" w:hAnsiTheme="majorHAnsi"/>
          <w:sz w:val="16"/>
          <w:szCs w:val="16"/>
        </w:rPr>
        <w:t>,</w:t>
      </w:r>
      <w:r w:rsidRPr="00CE4DF7">
        <w:rPr>
          <w:rFonts w:asciiTheme="majorHAnsi" w:hAnsiTheme="majorHAnsi"/>
          <w:sz w:val="16"/>
          <w:szCs w:val="16"/>
        </w:rPr>
        <w:t xml:space="preserve"> on November 30, 2015, she did so for good. The Commission participated in the Friendly Sett</w:t>
      </w:r>
      <w:r>
        <w:rPr>
          <w:rFonts w:asciiTheme="majorHAnsi" w:hAnsiTheme="majorHAnsi"/>
          <w:sz w:val="16"/>
          <w:szCs w:val="16"/>
        </w:rPr>
        <w:t>lement Agreement negotiations, during</w:t>
      </w:r>
      <w:r w:rsidRPr="00CE4DF7">
        <w:rPr>
          <w:rFonts w:asciiTheme="majorHAnsi" w:hAnsiTheme="majorHAnsi"/>
          <w:sz w:val="16"/>
          <w:szCs w:val="16"/>
        </w:rPr>
        <w:t xml:space="preserve"> which the parties submitted information on compliance with some of the </w:t>
      </w:r>
      <w:r>
        <w:rPr>
          <w:rFonts w:asciiTheme="majorHAnsi" w:hAnsiTheme="majorHAnsi"/>
          <w:sz w:val="16"/>
          <w:szCs w:val="16"/>
        </w:rPr>
        <w:t xml:space="preserve">items they had </w:t>
      </w:r>
      <w:r w:rsidRPr="00CE4DF7">
        <w:rPr>
          <w:rFonts w:asciiTheme="majorHAnsi" w:hAnsiTheme="majorHAnsi"/>
          <w:sz w:val="16"/>
          <w:szCs w:val="16"/>
        </w:rPr>
        <w:t xml:space="preserve">agreed upon. The IACHR </w:t>
      </w:r>
      <w:r>
        <w:rPr>
          <w:rFonts w:asciiTheme="majorHAnsi" w:hAnsiTheme="majorHAnsi"/>
          <w:sz w:val="16"/>
          <w:szCs w:val="16"/>
        </w:rPr>
        <w:t xml:space="preserve">appreciates, nonetheless, </w:t>
      </w:r>
      <w:r w:rsidRPr="00CE4DF7">
        <w:rPr>
          <w:rFonts w:asciiTheme="majorHAnsi" w:hAnsiTheme="majorHAnsi"/>
          <w:sz w:val="16"/>
          <w:szCs w:val="16"/>
        </w:rPr>
        <w:t xml:space="preserve">the </w:t>
      </w:r>
      <w:r>
        <w:rPr>
          <w:rFonts w:asciiTheme="majorHAnsi" w:hAnsiTheme="majorHAnsi"/>
          <w:sz w:val="16"/>
          <w:szCs w:val="16"/>
        </w:rPr>
        <w:t xml:space="preserve">forward </w:t>
      </w:r>
      <w:r w:rsidRPr="00CE4DF7">
        <w:rPr>
          <w:rFonts w:asciiTheme="majorHAnsi" w:hAnsiTheme="majorHAnsi"/>
          <w:sz w:val="16"/>
          <w:szCs w:val="16"/>
        </w:rPr>
        <w:t xml:space="preserve">steps taken by the State in the aforementioned compliance with the commitments </w:t>
      </w:r>
      <w:r>
        <w:rPr>
          <w:rFonts w:asciiTheme="majorHAnsi" w:hAnsiTheme="majorHAnsi"/>
          <w:sz w:val="16"/>
          <w:szCs w:val="16"/>
        </w:rPr>
        <w:t xml:space="preserve">it undertook </w:t>
      </w:r>
      <w:r w:rsidRPr="00CE4DF7">
        <w:rPr>
          <w:rFonts w:asciiTheme="majorHAnsi" w:hAnsiTheme="majorHAnsi"/>
          <w:sz w:val="16"/>
          <w:szCs w:val="16"/>
        </w:rPr>
        <w:t xml:space="preserve">in the context of the friendly settlement process, which will be taken into account in the recommendations. </w:t>
      </w:r>
    </w:p>
  </w:footnote>
  <w:footnote w:id="4">
    <w:p w14:paraId="526FDEBC" w14:textId="4FBF5730"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 form of physical exercise-based punishment known by that term in t</w:t>
      </w:r>
      <w:r>
        <w:rPr>
          <w:rFonts w:asciiTheme="majorHAnsi" w:hAnsiTheme="majorHAnsi"/>
          <w:sz w:val="16"/>
          <w:szCs w:val="16"/>
        </w:rPr>
        <w:t>he military service in Paraguay, literally meaning ‘flaying or skinning.’</w:t>
      </w:r>
      <w:r w:rsidRPr="00CE4DF7">
        <w:rPr>
          <w:rFonts w:asciiTheme="majorHAnsi" w:hAnsiTheme="majorHAnsi"/>
          <w:sz w:val="16"/>
          <w:szCs w:val="16"/>
        </w:rPr>
        <w:t xml:space="preserve"> </w:t>
      </w:r>
    </w:p>
  </w:footnote>
  <w:footnote w:id="5">
    <w:p w14:paraId="28C0A0C0" w14:textId="0AD9D496"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w:t>
      </w:r>
      <w:r w:rsidRPr="00CE4DF7">
        <w:rPr>
          <w:rFonts w:asciiTheme="majorHAnsi" w:hAnsiTheme="majorHAnsi"/>
          <w:i/>
          <w:sz w:val="16"/>
          <w:szCs w:val="16"/>
        </w:rPr>
        <w:t xml:space="preserve">Third Report on the Situation of Human Rights in Paraguay. </w:t>
      </w:r>
      <w:r w:rsidRPr="00CE4DF7">
        <w:rPr>
          <w:rFonts w:asciiTheme="majorHAnsi" w:hAnsiTheme="majorHAnsi"/>
          <w:sz w:val="16"/>
          <w:szCs w:val="16"/>
        </w:rPr>
        <w:t xml:space="preserve">OEA/Ser./L/VII.110, doc. 52, March 9, 2001, pars. 37 and 38; IACHR. Report No. 85/09, Case 11.607, Report on the Merits (publication). Víctor Hugo Maciel, Paraguay, August 6, 2009, par. 67. </w:t>
      </w:r>
    </w:p>
  </w:footnote>
  <w:footnote w:id="6">
    <w:p w14:paraId="00E3A00C" w14:textId="372D9FE7"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Committee on the Rights of the Child. </w:t>
      </w:r>
      <w:r w:rsidRPr="00CE4DF7">
        <w:rPr>
          <w:rFonts w:asciiTheme="majorHAnsi" w:hAnsiTheme="majorHAnsi"/>
          <w:i/>
          <w:sz w:val="16"/>
          <w:szCs w:val="16"/>
        </w:rPr>
        <w:t>Concluding observations on the initial report of Paraguay submitted under article 8 of the Optional Protocol to the Convention on the Rights of the Child on the involvement of children in armed conflict, adopted by the Committee at its sixty-fourth session (16 September–4 October 2013)</w:t>
      </w:r>
      <w:r w:rsidRPr="00CE4DF7">
        <w:rPr>
          <w:rFonts w:asciiTheme="majorHAnsi" w:hAnsiTheme="majorHAnsi"/>
          <w:sz w:val="16"/>
          <w:szCs w:val="16"/>
        </w:rPr>
        <w:t>. CRC/C/OPAC/PRY/CO/1, October 25, 2013, Par. 14-1.</w:t>
      </w:r>
    </w:p>
  </w:footnote>
  <w:footnote w:id="7">
    <w:p w14:paraId="377FABF9" w14:textId="1FE3C9AA"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Committee against Torture. </w:t>
      </w:r>
      <w:r w:rsidRPr="00CE4DF7">
        <w:rPr>
          <w:rFonts w:asciiTheme="majorHAnsi" w:hAnsiTheme="majorHAnsi"/>
          <w:i/>
          <w:sz w:val="16"/>
          <w:szCs w:val="16"/>
        </w:rPr>
        <w:t xml:space="preserve">Conclusions and Recommendations of the Committee against Torture, Paraguay. </w:t>
      </w:r>
      <w:r w:rsidRPr="00CE4DF7">
        <w:rPr>
          <w:rFonts w:asciiTheme="majorHAnsi" w:hAnsiTheme="majorHAnsi"/>
          <w:sz w:val="16"/>
          <w:szCs w:val="16"/>
        </w:rPr>
        <w:t xml:space="preserve">A/55/44, May 10, 2000, pars.146-151; IACHR. </w:t>
      </w:r>
      <w:r w:rsidRPr="00CE4DF7">
        <w:rPr>
          <w:rFonts w:asciiTheme="majorHAnsi" w:hAnsiTheme="majorHAnsi"/>
          <w:i/>
          <w:sz w:val="16"/>
          <w:szCs w:val="16"/>
        </w:rPr>
        <w:t xml:space="preserve">Third Report on the Situation of Human Rights in Paraguay. Op. Cit. </w:t>
      </w:r>
      <w:r w:rsidRPr="00CE4DF7">
        <w:rPr>
          <w:rFonts w:asciiTheme="majorHAnsi" w:hAnsiTheme="majorHAnsi"/>
          <w:sz w:val="16"/>
          <w:szCs w:val="16"/>
        </w:rPr>
        <w:t xml:space="preserve">Pars. 39 et seq; United Nations Human Rights Committee. </w:t>
      </w:r>
      <w:r w:rsidRPr="00CE4DF7">
        <w:rPr>
          <w:rFonts w:asciiTheme="majorHAnsi" w:hAnsiTheme="majorHAnsi"/>
          <w:i/>
          <w:sz w:val="16"/>
          <w:szCs w:val="16"/>
        </w:rPr>
        <w:t xml:space="preserve">Consideration of reports submitted by the States Parties under Article 40 of the Covenant. </w:t>
      </w:r>
      <w:r w:rsidRPr="00CE4DF7">
        <w:rPr>
          <w:rFonts w:asciiTheme="majorHAnsi" w:hAnsiTheme="majorHAnsi"/>
          <w:sz w:val="16"/>
          <w:szCs w:val="16"/>
        </w:rPr>
        <w:t>CCPR/C/PRY/CO/2, April 24, 2006, par. 14.</w:t>
      </w:r>
    </w:p>
  </w:footnote>
  <w:footnote w:id="8">
    <w:p w14:paraId="37F55177" w14:textId="5D434CCE"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w:t>
      </w:r>
      <w:r w:rsidRPr="00CE4DF7">
        <w:rPr>
          <w:rFonts w:asciiTheme="majorHAnsi" w:hAnsiTheme="majorHAnsi"/>
          <w:i/>
          <w:sz w:val="16"/>
          <w:szCs w:val="16"/>
        </w:rPr>
        <w:t xml:space="preserve">Third Report on the Situation of Human Rights in Paraguay. </w:t>
      </w:r>
      <w:proofErr w:type="gramStart"/>
      <w:r w:rsidRPr="00CE4DF7">
        <w:rPr>
          <w:rFonts w:asciiTheme="majorHAnsi" w:hAnsiTheme="majorHAnsi"/>
          <w:sz w:val="16"/>
          <w:szCs w:val="16"/>
        </w:rPr>
        <w:t xml:space="preserve">OEA/Ser./L/VII.110, doc. 52, March 9, 2001, par. 40 and Annex </w:t>
      </w:r>
      <w:r w:rsidR="00030510">
        <w:rPr>
          <w:rFonts w:asciiTheme="majorHAnsi" w:hAnsiTheme="majorHAnsi"/>
          <w:sz w:val="16"/>
          <w:szCs w:val="16"/>
        </w:rPr>
        <w:t>1</w:t>
      </w:r>
      <w:r w:rsidRPr="00CE4DF7">
        <w:rPr>
          <w:rFonts w:asciiTheme="majorHAnsi" w:hAnsiTheme="majorHAnsi"/>
          <w:sz w:val="16"/>
          <w:szCs w:val="16"/>
        </w:rPr>
        <w:t>.</w:t>
      </w:r>
      <w:proofErr w:type="gramEnd"/>
      <w:r w:rsidRPr="00CE4DF7">
        <w:rPr>
          <w:rFonts w:asciiTheme="majorHAnsi" w:hAnsiTheme="majorHAnsi"/>
          <w:sz w:val="16"/>
          <w:szCs w:val="16"/>
        </w:rPr>
        <w:t xml:space="preserve"> Initial petition of September 19, 2000. </w:t>
      </w:r>
    </w:p>
  </w:footnote>
  <w:footnote w:id="9">
    <w:p w14:paraId="594317A6" w14:textId="3A86B75D"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Alternative Report to the First Report of the Paraguayan S</w:t>
      </w:r>
      <w:r>
        <w:rPr>
          <w:rFonts w:asciiTheme="majorHAnsi" w:hAnsiTheme="majorHAnsi"/>
          <w:sz w:val="16"/>
          <w:szCs w:val="16"/>
        </w:rPr>
        <w:t>tate on the Optional Protocol to</w:t>
      </w:r>
      <w:r w:rsidRPr="00CE4DF7">
        <w:rPr>
          <w:rFonts w:asciiTheme="majorHAnsi" w:hAnsiTheme="majorHAnsi"/>
          <w:sz w:val="16"/>
          <w:szCs w:val="16"/>
        </w:rPr>
        <w:t xml:space="preserve"> the Convention on the Rights of the Child </w:t>
      </w:r>
      <w:r>
        <w:rPr>
          <w:rFonts w:asciiTheme="majorHAnsi" w:hAnsiTheme="majorHAnsi"/>
          <w:sz w:val="16"/>
          <w:szCs w:val="16"/>
        </w:rPr>
        <w:t>on the involvement of c</w:t>
      </w:r>
      <w:r w:rsidRPr="00CE4DF7">
        <w:rPr>
          <w:rFonts w:asciiTheme="majorHAnsi" w:hAnsiTheme="majorHAnsi"/>
          <w:sz w:val="16"/>
          <w:szCs w:val="16"/>
        </w:rPr>
        <w:t xml:space="preserve">hildren </w:t>
      </w:r>
      <w:r>
        <w:rPr>
          <w:rFonts w:asciiTheme="majorHAnsi" w:hAnsiTheme="majorHAnsi"/>
          <w:sz w:val="16"/>
          <w:szCs w:val="16"/>
        </w:rPr>
        <w:t>in armed conflict</w:t>
      </w:r>
      <w:r w:rsidRPr="00CE4DF7">
        <w:rPr>
          <w:rFonts w:asciiTheme="majorHAnsi" w:hAnsiTheme="majorHAnsi"/>
          <w:sz w:val="16"/>
          <w:szCs w:val="16"/>
        </w:rPr>
        <w:t xml:space="preserve">, submitted by Plan Paraguay and the Coordinator for the Rights of Children and Adolescents (CDIA). July 2012, pg. 9.  </w:t>
      </w:r>
    </w:p>
  </w:footnote>
  <w:footnote w:id="10">
    <w:p w14:paraId="7DEF17D6" w14:textId="79D19E5F"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National Constitution of Paraguay of June 20, 1992.</w:t>
      </w:r>
    </w:p>
  </w:footnote>
  <w:footnote w:id="11">
    <w:p w14:paraId="58727975" w14:textId="0FDD6905"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Law of Compulsory Military Service of December 24, 1975.</w:t>
      </w:r>
    </w:p>
  </w:footnote>
  <w:footnote w:id="12">
    <w:p w14:paraId="3AAA5C24" w14:textId="3CC26871"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Law No. 1.444/99</w:t>
      </w:r>
      <w:r>
        <w:rPr>
          <w:rFonts w:asciiTheme="majorHAnsi" w:hAnsiTheme="majorHAnsi"/>
          <w:sz w:val="16"/>
          <w:szCs w:val="16"/>
        </w:rPr>
        <w:t>,</w:t>
      </w:r>
      <w:r w:rsidRPr="00CE4DF7">
        <w:rPr>
          <w:rFonts w:asciiTheme="majorHAnsi" w:hAnsiTheme="majorHAnsi"/>
          <w:sz w:val="16"/>
          <w:szCs w:val="16"/>
        </w:rPr>
        <w:t xml:space="preserve"> which governs the period of transition to the new criminal procedural system, enacted with the force of law by the Congress of the Nation of Paraguay on June 10, 1999. </w:t>
      </w:r>
    </w:p>
  </w:footnote>
  <w:footnote w:id="13">
    <w:p w14:paraId="349D945D" w14:textId="092D81AF"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Law No. 844</w:t>
      </w:r>
      <w:r>
        <w:rPr>
          <w:rFonts w:asciiTheme="majorHAnsi" w:hAnsiTheme="majorHAnsi"/>
          <w:sz w:val="16"/>
          <w:szCs w:val="16"/>
        </w:rPr>
        <w:t>,</w:t>
      </w:r>
      <w:r w:rsidRPr="00CE4DF7">
        <w:rPr>
          <w:rFonts w:asciiTheme="majorHAnsi" w:hAnsiTheme="majorHAnsi"/>
          <w:sz w:val="16"/>
          <w:szCs w:val="16"/>
        </w:rPr>
        <w:t xml:space="preserve"> which establishes the Military Code of Criminal Procedure in peacetime and wartime, December 18, 1980.  </w:t>
      </w:r>
    </w:p>
    <w:p w14:paraId="1C5191F9" w14:textId="77777777" w:rsidR="009B5B8D" w:rsidRPr="00CE4DF7" w:rsidRDefault="009B5B8D" w:rsidP="00300D46">
      <w:pPr>
        <w:pStyle w:val="FootnoteText"/>
        <w:jc w:val="both"/>
        <w:rPr>
          <w:rFonts w:asciiTheme="majorHAnsi" w:hAnsiTheme="majorHAnsi"/>
          <w:sz w:val="16"/>
          <w:szCs w:val="16"/>
        </w:rPr>
      </w:pPr>
    </w:p>
  </w:footnote>
  <w:footnote w:id="14">
    <w:p w14:paraId="0059BD4D" w14:textId="779A0F4A"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2</w:t>
      </w:r>
      <w:r w:rsidRPr="00CE4DF7">
        <w:rPr>
          <w:rFonts w:asciiTheme="majorHAnsi" w:hAnsiTheme="majorHAnsi"/>
          <w:sz w:val="16"/>
          <w:szCs w:val="16"/>
        </w:rPr>
        <w:t xml:space="preserve">. Registration form for recruitment and </w:t>
      </w:r>
      <w:r>
        <w:rPr>
          <w:rFonts w:asciiTheme="majorHAnsi" w:hAnsiTheme="majorHAnsi"/>
          <w:sz w:val="16"/>
          <w:szCs w:val="16"/>
        </w:rPr>
        <w:t xml:space="preserve">service </w:t>
      </w:r>
      <w:r w:rsidRPr="00CE4DF7">
        <w:rPr>
          <w:rFonts w:asciiTheme="majorHAnsi" w:hAnsiTheme="majorHAnsi"/>
          <w:sz w:val="16"/>
          <w:szCs w:val="16"/>
        </w:rPr>
        <w:t>registration. Annex to State’s submission No. 653-04/MPP-OEA of September 26, 2004.</w:t>
      </w:r>
    </w:p>
  </w:footnote>
  <w:footnote w:id="15">
    <w:p w14:paraId="0DBFDD29" w14:textId="582FCE9C"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1</w:t>
      </w:r>
      <w:r w:rsidRPr="00CE4DF7">
        <w:rPr>
          <w:rFonts w:asciiTheme="majorHAnsi" w:hAnsiTheme="majorHAnsi"/>
          <w:sz w:val="16"/>
          <w:szCs w:val="16"/>
        </w:rPr>
        <w:t>. Initial petition of September 19, 2000.</w:t>
      </w:r>
    </w:p>
  </w:footnote>
  <w:footnote w:id="16">
    <w:p w14:paraId="14942B7D" w14:textId="126D444D"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3</w:t>
      </w:r>
      <w:r w:rsidRPr="00CE4DF7">
        <w:rPr>
          <w:rFonts w:asciiTheme="majorHAnsi" w:hAnsiTheme="majorHAnsi"/>
          <w:sz w:val="16"/>
          <w:szCs w:val="16"/>
        </w:rPr>
        <w:t>. Report of the Tcnl. Cmdte. Escobar Division CIMEFOR under the direction of the Commander of the CIMEFOR Center III of January 11, 1996. Annex to State’s submission No. 653-04/MPP-OEA of September 26, 2004.</w:t>
      </w:r>
    </w:p>
  </w:footnote>
  <w:footnote w:id="17">
    <w:p w14:paraId="13552818" w14:textId="6A186489"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4</w:t>
      </w:r>
      <w:r w:rsidRPr="00CE4DF7">
        <w:rPr>
          <w:rFonts w:asciiTheme="majorHAnsi" w:hAnsiTheme="majorHAnsi"/>
          <w:sz w:val="16"/>
          <w:szCs w:val="16"/>
        </w:rPr>
        <w:t>. Report of First Lieutenant of Inf. Cmdte. 1</w:t>
      </w:r>
      <w:r w:rsidRPr="00CE4DF7">
        <w:rPr>
          <w:rFonts w:asciiTheme="majorHAnsi" w:hAnsiTheme="majorHAnsi"/>
          <w:sz w:val="16"/>
          <w:szCs w:val="16"/>
          <w:vertAlign w:val="superscript"/>
        </w:rPr>
        <w:t>st</w:t>
      </w:r>
      <w:r w:rsidRPr="00CE4DF7">
        <w:rPr>
          <w:rFonts w:asciiTheme="majorHAnsi" w:hAnsiTheme="majorHAnsi"/>
          <w:sz w:val="16"/>
          <w:szCs w:val="16"/>
        </w:rPr>
        <w:t xml:space="preserve">  Pel. Bareiro under the direction of the Commander of the CIMEFOR Center III of January 11, 1996. Annex to State’s submission No. 653-04/MPP-OEA of September 26, 2004. </w:t>
      </w:r>
    </w:p>
  </w:footnote>
  <w:footnote w:id="18">
    <w:p w14:paraId="44EFE9E8" w14:textId="4E7D806E"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4</w:t>
      </w:r>
      <w:r w:rsidRPr="00CE4DF7">
        <w:rPr>
          <w:rFonts w:asciiTheme="majorHAnsi" w:hAnsiTheme="majorHAnsi"/>
          <w:sz w:val="16"/>
          <w:szCs w:val="16"/>
        </w:rPr>
        <w:t xml:space="preserve">. </w:t>
      </w:r>
      <w:proofErr w:type="gramStart"/>
      <w:r w:rsidR="00030510" w:rsidRPr="00CE4DF7">
        <w:rPr>
          <w:rFonts w:asciiTheme="majorHAnsi" w:hAnsiTheme="majorHAnsi"/>
          <w:sz w:val="16"/>
          <w:szCs w:val="16"/>
        </w:rPr>
        <w:t xml:space="preserve">Report of First Lieutenant of Inf. </w:t>
      </w:r>
      <w:proofErr w:type="spellStart"/>
      <w:r w:rsidR="00030510" w:rsidRPr="00CE4DF7">
        <w:rPr>
          <w:rFonts w:asciiTheme="majorHAnsi" w:hAnsiTheme="majorHAnsi"/>
          <w:sz w:val="16"/>
          <w:szCs w:val="16"/>
        </w:rPr>
        <w:t>Cmdte</w:t>
      </w:r>
      <w:proofErr w:type="spellEnd"/>
      <w:r w:rsidR="00030510" w:rsidRPr="00CE4DF7">
        <w:rPr>
          <w:rFonts w:asciiTheme="majorHAnsi" w:hAnsiTheme="majorHAnsi"/>
          <w:sz w:val="16"/>
          <w:szCs w:val="16"/>
        </w:rPr>
        <w:t>.</w:t>
      </w:r>
      <w:proofErr w:type="gramEnd"/>
      <w:r w:rsidR="00030510" w:rsidRPr="00CE4DF7">
        <w:rPr>
          <w:rFonts w:asciiTheme="majorHAnsi" w:hAnsiTheme="majorHAnsi"/>
          <w:sz w:val="16"/>
          <w:szCs w:val="16"/>
        </w:rPr>
        <w:t xml:space="preserve"> </w:t>
      </w:r>
      <w:proofErr w:type="gramStart"/>
      <w:r w:rsidR="00030510" w:rsidRPr="00CE4DF7">
        <w:rPr>
          <w:rFonts w:asciiTheme="majorHAnsi" w:hAnsiTheme="majorHAnsi"/>
          <w:sz w:val="16"/>
          <w:szCs w:val="16"/>
        </w:rPr>
        <w:t>1</w:t>
      </w:r>
      <w:r w:rsidR="00030510" w:rsidRPr="00CE4DF7">
        <w:rPr>
          <w:rFonts w:asciiTheme="majorHAnsi" w:hAnsiTheme="majorHAnsi"/>
          <w:sz w:val="16"/>
          <w:szCs w:val="16"/>
          <w:vertAlign w:val="superscript"/>
        </w:rPr>
        <w:t>st</w:t>
      </w:r>
      <w:r w:rsidR="00030510" w:rsidRPr="00CE4DF7">
        <w:rPr>
          <w:rFonts w:asciiTheme="majorHAnsi" w:hAnsiTheme="majorHAnsi"/>
          <w:sz w:val="16"/>
          <w:szCs w:val="16"/>
        </w:rPr>
        <w:t xml:space="preserve">  </w:t>
      </w:r>
      <w:proofErr w:type="spellStart"/>
      <w:r w:rsidR="00030510" w:rsidRPr="00CE4DF7">
        <w:rPr>
          <w:rFonts w:asciiTheme="majorHAnsi" w:hAnsiTheme="majorHAnsi"/>
          <w:sz w:val="16"/>
          <w:szCs w:val="16"/>
        </w:rPr>
        <w:t>Pel</w:t>
      </w:r>
      <w:proofErr w:type="spellEnd"/>
      <w:proofErr w:type="gramEnd"/>
      <w:r w:rsidR="00030510" w:rsidRPr="00CE4DF7">
        <w:rPr>
          <w:rFonts w:asciiTheme="majorHAnsi" w:hAnsiTheme="majorHAnsi"/>
          <w:sz w:val="16"/>
          <w:szCs w:val="16"/>
        </w:rPr>
        <w:t xml:space="preserve">. </w:t>
      </w:r>
      <w:proofErr w:type="spellStart"/>
      <w:proofErr w:type="gramStart"/>
      <w:r w:rsidR="00030510" w:rsidRPr="00CE4DF7">
        <w:rPr>
          <w:rFonts w:asciiTheme="majorHAnsi" w:hAnsiTheme="majorHAnsi"/>
          <w:sz w:val="16"/>
          <w:szCs w:val="16"/>
        </w:rPr>
        <w:t>Bareiro</w:t>
      </w:r>
      <w:proofErr w:type="spellEnd"/>
      <w:r w:rsidR="00030510" w:rsidRPr="00CE4DF7">
        <w:rPr>
          <w:rFonts w:asciiTheme="majorHAnsi" w:hAnsiTheme="majorHAnsi"/>
          <w:sz w:val="16"/>
          <w:szCs w:val="16"/>
        </w:rPr>
        <w:t xml:space="preserve"> under the direction of the Commander of the CIMEFOR Center III of January 11, 1996.</w:t>
      </w:r>
      <w:proofErr w:type="gramEnd"/>
      <w:r w:rsidR="00030510" w:rsidRPr="00CE4DF7">
        <w:rPr>
          <w:rFonts w:asciiTheme="majorHAnsi" w:hAnsiTheme="majorHAnsi"/>
          <w:sz w:val="16"/>
          <w:szCs w:val="16"/>
        </w:rPr>
        <w:t xml:space="preserve"> Annex to State’s submission No. 653-04/MPP-OEA of September 26, 2004.</w:t>
      </w:r>
    </w:p>
  </w:footnote>
  <w:footnote w:id="19">
    <w:p w14:paraId="42ED365D" w14:textId="7376F9A6"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w:t>
      </w:r>
      <w:r w:rsidR="00030510" w:rsidRPr="00CE4DF7">
        <w:rPr>
          <w:rFonts w:asciiTheme="majorHAnsi" w:hAnsiTheme="majorHAnsi"/>
          <w:sz w:val="16"/>
          <w:szCs w:val="16"/>
        </w:rPr>
        <w:t xml:space="preserve">Annex </w:t>
      </w:r>
      <w:r w:rsidR="00030510">
        <w:rPr>
          <w:rFonts w:asciiTheme="majorHAnsi" w:hAnsiTheme="majorHAnsi"/>
          <w:sz w:val="16"/>
          <w:szCs w:val="16"/>
        </w:rPr>
        <w:t>4</w:t>
      </w:r>
      <w:r w:rsidR="00030510" w:rsidRPr="00CE4DF7">
        <w:rPr>
          <w:rFonts w:asciiTheme="majorHAnsi" w:hAnsiTheme="majorHAnsi"/>
          <w:sz w:val="16"/>
          <w:szCs w:val="16"/>
        </w:rPr>
        <w:t xml:space="preserve">. </w:t>
      </w:r>
      <w:proofErr w:type="gramStart"/>
      <w:r w:rsidR="00030510" w:rsidRPr="00CE4DF7">
        <w:rPr>
          <w:rFonts w:asciiTheme="majorHAnsi" w:hAnsiTheme="majorHAnsi"/>
          <w:sz w:val="16"/>
          <w:szCs w:val="16"/>
        </w:rPr>
        <w:t xml:space="preserve">Report of First Lieutenant of Inf. </w:t>
      </w:r>
      <w:proofErr w:type="spellStart"/>
      <w:r w:rsidR="00030510" w:rsidRPr="00CE4DF7">
        <w:rPr>
          <w:rFonts w:asciiTheme="majorHAnsi" w:hAnsiTheme="majorHAnsi"/>
          <w:sz w:val="16"/>
          <w:szCs w:val="16"/>
        </w:rPr>
        <w:t>Cmdte</w:t>
      </w:r>
      <w:proofErr w:type="spellEnd"/>
      <w:r w:rsidR="00030510" w:rsidRPr="00CE4DF7">
        <w:rPr>
          <w:rFonts w:asciiTheme="majorHAnsi" w:hAnsiTheme="majorHAnsi"/>
          <w:sz w:val="16"/>
          <w:szCs w:val="16"/>
        </w:rPr>
        <w:t>.</w:t>
      </w:r>
      <w:proofErr w:type="gramEnd"/>
      <w:r w:rsidR="00030510" w:rsidRPr="00CE4DF7">
        <w:rPr>
          <w:rFonts w:asciiTheme="majorHAnsi" w:hAnsiTheme="majorHAnsi"/>
          <w:sz w:val="16"/>
          <w:szCs w:val="16"/>
        </w:rPr>
        <w:t xml:space="preserve"> </w:t>
      </w:r>
      <w:proofErr w:type="gramStart"/>
      <w:r w:rsidR="00030510" w:rsidRPr="00CE4DF7">
        <w:rPr>
          <w:rFonts w:asciiTheme="majorHAnsi" w:hAnsiTheme="majorHAnsi"/>
          <w:sz w:val="16"/>
          <w:szCs w:val="16"/>
        </w:rPr>
        <w:t>1</w:t>
      </w:r>
      <w:r w:rsidR="00030510" w:rsidRPr="00CE4DF7">
        <w:rPr>
          <w:rFonts w:asciiTheme="majorHAnsi" w:hAnsiTheme="majorHAnsi"/>
          <w:sz w:val="16"/>
          <w:szCs w:val="16"/>
          <w:vertAlign w:val="superscript"/>
        </w:rPr>
        <w:t>st</w:t>
      </w:r>
      <w:r w:rsidR="00030510" w:rsidRPr="00CE4DF7">
        <w:rPr>
          <w:rFonts w:asciiTheme="majorHAnsi" w:hAnsiTheme="majorHAnsi"/>
          <w:sz w:val="16"/>
          <w:szCs w:val="16"/>
        </w:rPr>
        <w:t xml:space="preserve">  </w:t>
      </w:r>
      <w:proofErr w:type="spellStart"/>
      <w:r w:rsidR="00030510" w:rsidRPr="00CE4DF7">
        <w:rPr>
          <w:rFonts w:asciiTheme="majorHAnsi" w:hAnsiTheme="majorHAnsi"/>
          <w:sz w:val="16"/>
          <w:szCs w:val="16"/>
        </w:rPr>
        <w:t>Pel</w:t>
      </w:r>
      <w:proofErr w:type="spellEnd"/>
      <w:proofErr w:type="gramEnd"/>
      <w:r w:rsidR="00030510" w:rsidRPr="00CE4DF7">
        <w:rPr>
          <w:rFonts w:asciiTheme="majorHAnsi" w:hAnsiTheme="majorHAnsi"/>
          <w:sz w:val="16"/>
          <w:szCs w:val="16"/>
        </w:rPr>
        <w:t xml:space="preserve">. </w:t>
      </w:r>
      <w:proofErr w:type="spellStart"/>
      <w:proofErr w:type="gramStart"/>
      <w:r w:rsidR="00030510" w:rsidRPr="00CE4DF7">
        <w:rPr>
          <w:rFonts w:asciiTheme="majorHAnsi" w:hAnsiTheme="majorHAnsi"/>
          <w:sz w:val="16"/>
          <w:szCs w:val="16"/>
        </w:rPr>
        <w:t>Bareiro</w:t>
      </w:r>
      <w:proofErr w:type="spellEnd"/>
      <w:r w:rsidR="00030510" w:rsidRPr="00CE4DF7">
        <w:rPr>
          <w:rFonts w:asciiTheme="majorHAnsi" w:hAnsiTheme="majorHAnsi"/>
          <w:sz w:val="16"/>
          <w:szCs w:val="16"/>
        </w:rPr>
        <w:t xml:space="preserve"> under the direction of the Commander of the CIMEFOR Center III of January 11, 1996.</w:t>
      </w:r>
      <w:proofErr w:type="gramEnd"/>
      <w:r w:rsidR="00030510" w:rsidRPr="00CE4DF7">
        <w:rPr>
          <w:rFonts w:asciiTheme="majorHAnsi" w:hAnsiTheme="majorHAnsi"/>
          <w:sz w:val="16"/>
          <w:szCs w:val="16"/>
        </w:rPr>
        <w:t xml:space="preserve"> Annex to State’s submission No. 653-04/MPP-OEA of September 26, 2004.</w:t>
      </w:r>
    </w:p>
  </w:footnote>
  <w:footnote w:id="20">
    <w:p w14:paraId="214B6BF9" w14:textId="2DAD7BE6"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w:t>
      </w:r>
      <w:r w:rsidR="00030510" w:rsidRPr="00CE4DF7">
        <w:rPr>
          <w:rFonts w:asciiTheme="majorHAnsi" w:hAnsiTheme="majorHAnsi"/>
          <w:sz w:val="16"/>
          <w:szCs w:val="16"/>
        </w:rPr>
        <w:t xml:space="preserve">Annex </w:t>
      </w:r>
      <w:r w:rsidR="00030510">
        <w:rPr>
          <w:rFonts w:asciiTheme="majorHAnsi" w:hAnsiTheme="majorHAnsi"/>
          <w:sz w:val="16"/>
          <w:szCs w:val="16"/>
        </w:rPr>
        <w:t>4</w:t>
      </w:r>
      <w:r w:rsidR="00030510" w:rsidRPr="00CE4DF7">
        <w:rPr>
          <w:rFonts w:asciiTheme="majorHAnsi" w:hAnsiTheme="majorHAnsi"/>
          <w:sz w:val="16"/>
          <w:szCs w:val="16"/>
        </w:rPr>
        <w:t xml:space="preserve">. </w:t>
      </w:r>
      <w:proofErr w:type="gramStart"/>
      <w:r w:rsidR="00030510" w:rsidRPr="00CE4DF7">
        <w:rPr>
          <w:rFonts w:asciiTheme="majorHAnsi" w:hAnsiTheme="majorHAnsi"/>
          <w:sz w:val="16"/>
          <w:szCs w:val="16"/>
        </w:rPr>
        <w:t xml:space="preserve">Report of First Lieutenant of Inf. </w:t>
      </w:r>
      <w:proofErr w:type="spellStart"/>
      <w:r w:rsidR="00030510" w:rsidRPr="00CE4DF7">
        <w:rPr>
          <w:rFonts w:asciiTheme="majorHAnsi" w:hAnsiTheme="majorHAnsi"/>
          <w:sz w:val="16"/>
          <w:szCs w:val="16"/>
        </w:rPr>
        <w:t>Cmdte</w:t>
      </w:r>
      <w:proofErr w:type="spellEnd"/>
      <w:r w:rsidR="00030510" w:rsidRPr="00CE4DF7">
        <w:rPr>
          <w:rFonts w:asciiTheme="majorHAnsi" w:hAnsiTheme="majorHAnsi"/>
          <w:sz w:val="16"/>
          <w:szCs w:val="16"/>
        </w:rPr>
        <w:t>.</w:t>
      </w:r>
      <w:proofErr w:type="gramEnd"/>
      <w:r w:rsidR="00030510" w:rsidRPr="00CE4DF7">
        <w:rPr>
          <w:rFonts w:asciiTheme="majorHAnsi" w:hAnsiTheme="majorHAnsi"/>
          <w:sz w:val="16"/>
          <w:szCs w:val="16"/>
        </w:rPr>
        <w:t xml:space="preserve"> </w:t>
      </w:r>
      <w:proofErr w:type="gramStart"/>
      <w:r w:rsidR="00030510" w:rsidRPr="00CE4DF7">
        <w:rPr>
          <w:rFonts w:asciiTheme="majorHAnsi" w:hAnsiTheme="majorHAnsi"/>
          <w:sz w:val="16"/>
          <w:szCs w:val="16"/>
        </w:rPr>
        <w:t>1</w:t>
      </w:r>
      <w:r w:rsidR="00030510" w:rsidRPr="00CE4DF7">
        <w:rPr>
          <w:rFonts w:asciiTheme="majorHAnsi" w:hAnsiTheme="majorHAnsi"/>
          <w:sz w:val="16"/>
          <w:szCs w:val="16"/>
          <w:vertAlign w:val="superscript"/>
        </w:rPr>
        <w:t>st</w:t>
      </w:r>
      <w:r w:rsidR="00030510" w:rsidRPr="00CE4DF7">
        <w:rPr>
          <w:rFonts w:asciiTheme="majorHAnsi" w:hAnsiTheme="majorHAnsi"/>
          <w:sz w:val="16"/>
          <w:szCs w:val="16"/>
        </w:rPr>
        <w:t xml:space="preserve">  </w:t>
      </w:r>
      <w:proofErr w:type="spellStart"/>
      <w:r w:rsidR="00030510" w:rsidRPr="00CE4DF7">
        <w:rPr>
          <w:rFonts w:asciiTheme="majorHAnsi" w:hAnsiTheme="majorHAnsi"/>
          <w:sz w:val="16"/>
          <w:szCs w:val="16"/>
        </w:rPr>
        <w:t>Pel</w:t>
      </w:r>
      <w:proofErr w:type="spellEnd"/>
      <w:proofErr w:type="gramEnd"/>
      <w:r w:rsidR="00030510" w:rsidRPr="00CE4DF7">
        <w:rPr>
          <w:rFonts w:asciiTheme="majorHAnsi" w:hAnsiTheme="majorHAnsi"/>
          <w:sz w:val="16"/>
          <w:szCs w:val="16"/>
        </w:rPr>
        <w:t xml:space="preserve">. </w:t>
      </w:r>
      <w:proofErr w:type="spellStart"/>
      <w:proofErr w:type="gramStart"/>
      <w:r w:rsidR="00030510" w:rsidRPr="00CE4DF7">
        <w:rPr>
          <w:rFonts w:asciiTheme="majorHAnsi" w:hAnsiTheme="majorHAnsi"/>
          <w:sz w:val="16"/>
          <w:szCs w:val="16"/>
        </w:rPr>
        <w:t>Bareiro</w:t>
      </w:r>
      <w:proofErr w:type="spellEnd"/>
      <w:r w:rsidR="00030510" w:rsidRPr="00CE4DF7">
        <w:rPr>
          <w:rFonts w:asciiTheme="majorHAnsi" w:hAnsiTheme="majorHAnsi"/>
          <w:sz w:val="16"/>
          <w:szCs w:val="16"/>
        </w:rPr>
        <w:t xml:space="preserve"> under the direction of the Commander of the CIMEFOR Center III of January 11, 1996.</w:t>
      </w:r>
      <w:proofErr w:type="gramEnd"/>
      <w:r w:rsidR="00030510" w:rsidRPr="00CE4DF7">
        <w:rPr>
          <w:rFonts w:asciiTheme="majorHAnsi" w:hAnsiTheme="majorHAnsi"/>
          <w:sz w:val="16"/>
          <w:szCs w:val="16"/>
        </w:rPr>
        <w:t xml:space="preserve"> Annex to State’s submission No. 653-04/MPP-OEA of September 26, 2004.</w:t>
      </w:r>
    </w:p>
  </w:footnote>
  <w:footnote w:id="21">
    <w:p w14:paraId="6579EF4B" w14:textId="7639F352"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w:t>
      </w:r>
      <w:r w:rsidR="00030510" w:rsidRPr="00CE4DF7">
        <w:rPr>
          <w:rFonts w:asciiTheme="majorHAnsi" w:hAnsiTheme="majorHAnsi"/>
          <w:sz w:val="16"/>
          <w:szCs w:val="16"/>
        </w:rPr>
        <w:t xml:space="preserve">Annex </w:t>
      </w:r>
      <w:r w:rsidR="00030510">
        <w:rPr>
          <w:rFonts w:asciiTheme="majorHAnsi" w:hAnsiTheme="majorHAnsi"/>
          <w:sz w:val="16"/>
          <w:szCs w:val="16"/>
        </w:rPr>
        <w:t>4</w:t>
      </w:r>
      <w:r w:rsidR="00030510" w:rsidRPr="00CE4DF7">
        <w:rPr>
          <w:rFonts w:asciiTheme="majorHAnsi" w:hAnsiTheme="majorHAnsi"/>
          <w:sz w:val="16"/>
          <w:szCs w:val="16"/>
        </w:rPr>
        <w:t xml:space="preserve">. </w:t>
      </w:r>
      <w:proofErr w:type="gramStart"/>
      <w:r w:rsidR="00030510" w:rsidRPr="00CE4DF7">
        <w:rPr>
          <w:rFonts w:asciiTheme="majorHAnsi" w:hAnsiTheme="majorHAnsi"/>
          <w:sz w:val="16"/>
          <w:szCs w:val="16"/>
        </w:rPr>
        <w:t xml:space="preserve">Report of First Lieutenant of Inf. </w:t>
      </w:r>
      <w:proofErr w:type="spellStart"/>
      <w:r w:rsidR="00030510" w:rsidRPr="00CE4DF7">
        <w:rPr>
          <w:rFonts w:asciiTheme="majorHAnsi" w:hAnsiTheme="majorHAnsi"/>
          <w:sz w:val="16"/>
          <w:szCs w:val="16"/>
        </w:rPr>
        <w:t>Cmdte</w:t>
      </w:r>
      <w:proofErr w:type="spellEnd"/>
      <w:r w:rsidR="00030510" w:rsidRPr="00CE4DF7">
        <w:rPr>
          <w:rFonts w:asciiTheme="majorHAnsi" w:hAnsiTheme="majorHAnsi"/>
          <w:sz w:val="16"/>
          <w:szCs w:val="16"/>
        </w:rPr>
        <w:t>.</w:t>
      </w:r>
      <w:proofErr w:type="gramEnd"/>
      <w:r w:rsidR="00030510" w:rsidRPr="00CE4DF7">
        <w:rPr>
          <w:rFonts w:asciiTheme="majorHAnsi" w:hAnsiTheme="majorHAnsi"/>
          <w:sz w:val="16"/>
          <w:szCs w:val="16"/>
        </w:rPr>
        <w:t xml:space="preserve"> </w:t>
      </w:r>
      <w:proofErr w:type="gramStart"/>
      <w:r w:rsidR="00030510" w:rsidRPr="00CE4DF7">
        <w:rPr>
          <w:rFonts w:asciiTheme="majorHAnsi" w:hAnsiTheme="majorHAnsi"/>
          <w:sz w:val="16"/>
          <w:szCs w:val="16"/>
        </w:rPr>
        <w:t>1</w:t>
      </w:r>
      <w:r w:rsidR="00030510" w:rsidRPr="00CE4DF7">
        <w:rPr>
          <w:rFonts w:asciiTheme="majorHAnsi" w:hAnsiTheme="majorHAnsi"/>
          <w:sz w:val="16"/>
          <w:szCs w:val="16"/>
          <w:vertAlign w:val="superscript"/>
        </w:rPr>
        <w:t>st</w:t>
      </w:r>
      <w:r w:rsidR="00030510" w:rsidRPr="00CE4DF7">
        <w:rPr>
          <w:rFonts w:asciiTheme="majorHAnsi" w:hAnsiTheme="majorHAnsi"/>
          <w:sz w:val="16"/>
          <w:szCs w:val="16"/>
        </w:rPr>
        <w:t xml:space="preserve">  </w:t>
      </w:r>
      <w:proofErr w:type="spellStart"/>
      <w:r w:rsidR="00030510" w:rsidRPr="00CE4DF7">
        <w:rPr>
          <w:rFonts w:asciiTheme="majorHAnsi" w:hAnsiTheme="majorHAnsi"/>
          <w:sz w:val="16"/>
          <w:szCs w:val="16"/>
        </w:rPr>
        <w:t>Pel</w:t>
      </w:r>
      <w:proofErr w:type="spellEnd"/>
      <w:proofErr w:type="gramEnd"/>
      <w:r w:rsidR="00030510" w:rsidRPr="00CE4DF7">
        <w:rPr>
          <w:rFonts w:asciiTheme="majorHAnsi" w:hAnsiTheme="majorHAnsi"/>
          <w:sz w:val="16"/>
          <w:szCs w:val="16"/>
        </w:rPr>
        <w:t xml:space="preserve">. </w:t>
      </w:r>
      <w:proofErr w:type="spellStart"/>
      <w:proofErr w:type="gramStart"/>
      <w:r w:rsidR="00030510" w:rsidRPr="00CE4DF7">
        <w:rPr>
          <w:rFonts w:asciiTheme="majorHAnsi" w:hAnsiTheme="majorHAnsi"/>
          <w:sz w:val="16"/>
          <w:szCs w:val="16"/>
        </w:rPr>
        <w:t>Bareiro</w:t>
      </w:r>
      <w:proofErr w:type="spellEnd"/>
      <w:r w:rsidR="00030510" w:rsidRPr="00CE4DF7">
        <w:rPr>
          <w:rFonts w:asciiTheme="majorHAnsi" w:hAnsiTheme="majorHAnsi"/>
          <w:sz w:val="16"/>
          <w:szCs w:val="16"/>
        </w:rPr>
        <w:t xml:space="preserve"> under the direction of the Commander of the CIMEFOR Center III of January 11, 1996.</w:t>
      </w:r>
      <w:proofErr w:type="gramEnd"/>
      <w:r w:rsidR="00030510" w:rsidRPr="00CE4DF7">
        <w:rPr>
          <w:rFonts w:asciiTheme="majorHAnsi" w:hAnsiTheme="majorHAnsi"/>
          <w:sz w:val="16"/>
          <w:szCs w:val="16"/>
        </w:rPr>
        <w:t xml:space="preserve"> Annex to State’s submission No. 653-04/MPP-OEA of September 26, 2004.</w:t>
      </w:r>
    </w:p>
  </w:footnote>
  <w:footnote w:id="22">
    <w:p w14:paraId="11DE0729" w14:textId="7013401C"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The Commission </w:t>
      </w:r>
      <w:r>
        <w:rPr>
          <w:rFonts w:asciiTheme="majorHAnsi" w:hAnsiTheme="majorHAnsi"/>
          <w:sz w:val="16"/>
          <w:szCs w:val="16"/>
        </w:rPr>
        <w:t xml:space="preserve">clarifies for </w:t>
      </w:r>
      <w:r w:rsidRPr="00CE4DF7">
        <w:rPr>
          <w:rFonts w:asciiTheme="majorHAnsi" w:hAnsiTheme="majorHAnsi"/>
          <w:sz w:val="16"/>
          <w:szCs w:val="16"/>
        </w:rPr>
        <w:t>the record that María Noguera refers to her son indiscriminately as “Ariel” and “Vicente Ariel” and that these names always refer to the alleged victim.</w:t>
      </w:r>
    </w:p>
  </w:footnote>
  <w:footnote w:id="23">
    <w:p w14:paraId="0DC56D7D" w14:textId="0DF47415"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00030510">
        <w:rPr>
          <w:rFonts w:asciiTheme="majorHAnsi" w:hAnsiTheme="majorHAnsi"/>
          <w:sz w:val="16"/>
          <w:szCs w:val="16"/>
        </w:rPr>
        <w:t xml:space="preserve"> Annex 1</w:t>
      </w:r>
      <w:r w:rsidRPr="00CE4DF7">
        <w:rPr>
          <w:rFonts w:asciiTheme="majorHAnsi" w:hAnsiTheme="majorHAnsi"/>
          <w:sz w:val="16"/>
          <w:szCs w:val="16"/>
        </w:rPr>
        <w:t>. Initial petition of September 19, 2000.</w:t>
      </w:r>
    </w:p>
  </w:footnote>
  <w:footnote w:id="24">
    <w:p w14:paraId="6A0613B9" w14:textId="44F7C258" w:rsidR="009B5B8D" w:rsidRPr="00CE4DF7" w:rsidRDefault="009B5B8D" w:rsidP="00300D46">
      <w:pPr>
        <w:pStyle w:val="FootnoteText"/>
        <w:rPr>
          <w:rFonts w:asciiTheme="majorHAnsi" w:hAnsiTheme="majorHAnsi"/>
          <w:sz w:val="16"/>
          <w:szCs w:val="16"/>
        </w:rPr>
      </w:pPr>
      <w:r w:rsidRPr="00CE4DF7">
        <w:rPr>
          <w:rStyle w:val="FootnoteReference"/>
          <w:rFonts w:asciiTheme="majorHAnsi" w:hAnsiTheme="majorHAnsi"/>
          <w:sz w:val="16"/>
          <w:szCs w:val="16"/>
        </w:rPr>
        <w:footnoteRef/>
      </w:r>
      <w:r w:rsidRPr="00417E10">
        <w:rPr>
          <w:rFonts w:asciiTheme="majorHAnsi" w:hAnsiTheme="majorHAnsi"/>
          <w:sz w:val="16"/>
          <w:szCs w:val="16"/>
          <w:lang w:val="fr-CA"/>
        </w:rPr>
        <w:t xml:space="preserve"> </w:t>
      </w:r>
      <w:proofErr w:type="spellStart"/>
      <w:r w:rsidRPr="00417E10">
        <w:rPr>
          <w:rFonts w:asciiTheme="majorHAnsi" w:hAnsiTheme="majorHAnsi"/>
          <w:sz w:val="16"/>
          <w:szCs w:val="16"/>
          <w:lang w:val="fr-CA"/>
        </w:rPr>
        <w:t>Annex</w:t>
      </w:r>
      <w:proofErr w:type="spellEnd"/>
      <w:r w:rsidRPr="00417E10">
        <w:rPr>
          <w:rFonts w:asciiTheme="majorHAnsi" w:hAnsiTheme="majorHAnsi"/>
          <w:sz w:val="16"/>
          <w:szCs w:val="16"/>
          <w:lang w:val="fr-CA"/>
        </w:rPr>
        <w:t xml:space="preserve"> </w:t>
      </w:r>
      <w:r w:rsidR="00030510">
        <w:rPr>
          <w:rFonts w:asciiTheme="majorHAnsi" w:hAnsiTheme="majorHAnsi"/>
          <w:sz w:val="16"/>
          <w:szCs w:val="16"/>
          <w:lang w:val="fr-CA"/>
        </w:rPr>
        <w:t>5</w:t>
      </w:r>
      <w:r w:rsidRPr="00417E10">
        <w:rPr>
          <w:rFonts w:asciiTheme="majorHAnsi" w:hAnsiTheme="majorHAnsi"/>
          <w:sz w:val="16"/>
          <w:szCs w:val="16"/>
          <w:lang w:val="fr-CA"/>
        </w:rPr>
        <w:t xml:space="preserve">. </w:t>
      </w:r>
      <w:proofErr w:type="spellStart"/>
      <w:r w:rsidRPr="00417E10">
        <w:rPr>
          <w:rFonts w:asciiTheme="majorHAnsi" w:hAnsiTheme="majorHAnsi"/>
          <w:sz w:val="16"/>
          <w:szCs w:val="16"/>
          <w:lang w:val="fr-CA"/>
        </w:rPr>
        <w:t>Formal</w:t>
      </w:r>
      <w:proofErr w:type="spellEnd"/>
      <w:r w:rsidRPr="00417E10">
        <w:rPr>
          <w:rFonts w:asciiTheme="majorHAnsi" w:hAnsiTheme="majorHAnsi"/>
          <w:sz w:val="16"/>
          <w:szCs w:val="16"/>
          <w:lang w:val="fr-CA"/>
        </w:rPr>
        <w:t xml:space="preserve"> </w:t>
      </w:r>
      <w:proofErr w:type="spellStart"/>
      <w:r w:rsidRPr="00417E10">
        <w:rPr>
          <w:rFonts w:asciiTheme="majorHAnsi" w:hAnsiTheme="majorHAnsi"/>
          <w:sz w:val="16"/>
          <w:szCs w:val="16"/>
          <w:lang w:val="fr-CA"/>
        </w:rPr>
        <w:t>private</w:t>
      </w:r>
      <w:proofErr w:type="spellEnd"/>
      <w:r w:rsidRPr="00417E10">
        <w:rPr>
          <w:rFonts w:asciiTheme="majorHAnsi" w:hAnsiTheme="majorHAnsi"/>
          <w:sz w:val="16"/>
          <w:szCs w:val="16"/>
          <w:lang w:val="fr-CA"/>
        </w:rPr>
        <w:t xml:space="preserve"> </w:t>
      </w:r>
      <w:proofErr w:type="spellStart"/>
      <w:r w:rsidRPr="00417E10">
        <w:rPr>
          <w:rFonts w:asciiTheme="majorHAnsi" w:hAnsiTheme="majorHAnsi"/>
          <w:sz w:val="16"/>
          <w:szCs w:val="16"/>
          <w:lang w:val="fr-CA"/>
        </w:rPr>
        <w:t>criminal</w:t>
      </w:r>
      <w:proofErr w:type="spellEnd"/>
      <w:r w:rsidRPr="00417E10">
        <w:rPr>
          <w:rFonts w:asciiTheme="majorHAnsi" w:hAnsiTheme="majorHAnsi"/>
          <w:sz w:val="16"/>
          <w:szCs w:val="16"/>
          <w:lang w:val="fr-CA"/>
        </w:rPr>
        <w:t xml:space="preserve"> complaint (</w:t>
      </w:r>
      <w:r w:rsidRPr="00417E10">
        <w:rPr>
          <w:rFonts w:asciiTheme="majorHAnsi" w:hAnsiTheme="majorHAnsi"/>
          <w:i/>
          <w:sz w:val="16"/>
          <w:szCs w:val="16"/>
          <w:lang w:val="fr-CA"/>
        </w:rPr>
        <w:t>querella</w:t>
      </w:r>
      <w:r w:rsidRPr="00417E10">
        <w:rPr>
          <w:rFonts w:asciiTheme="majorHAnsi" w:hAnsiTheme="majorHAnsi"/>
          <w:sz w:val="16"/>
          <w:szCs w:val="16"/>
          <w:lang w:val="fr-CA"/>
        </w:rPr>
        <w:t xml:space="preserve">). </w:t>
      </w:r>
      <w:r w:rsidRPr="00CE4DF7">
        <w:rPr>
          <w:rFonts w:asciiTheme="majorHAnsi" w:hAnsiTheme="majorHAnsi"/>
          <w:sz w:val="16"/>
          <w:szCs w:val="16"/>
        </w:rPr>
        <w:t>Ann</w:t>
      </w:r>
      <w:r>
        <w:rPr>
          <w:rFonts w:asciiTheme="majorHAnsi" w:hAnsiTheme="majorHAnsi"/>
          <w:sz w:val="16"/>
          <w:szCs w:val="16"/>
        </w:rPr>
        <w:t xml:space="preserve">ex to State’s </w:t>
      </w:r>
      <w:r w:rsidRPr="00CE4DF7">
        <w:rPr>
          <w:rFonts w:asciiTheme="majorHAnsi" w:hAnsiTheme="majorHAnsi"/>
          <w:sz w:val="16"/>
          <w:szCs w:val="16"/>
        </w:rPr>
        <w:t>submission of September 16, 2004.</w:t>
      </w:r>
    </w:p>
  </w:footnote>
  <w:footnote w:id="25">
    <w:p w14:paraId="062F8CB5" w14:textId="1A3D0FAE"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00030510" w:rsidRPr="00030510">
        <w:rPr>
          <w:rFonts w:asciiTheme="majorHAnsi" w:hAnsiTheme="majorHAnsi"/>
          <w:sz w:val="16"/>
          <w:szCs w:val="16"/>
          <w:lang w:val="fr-CA"/>
        </w:rPr>
        <w:t xml:space="preserve"> </w:t>
      </w:r>
      <w:proofErr w:type="spellStart"/>
      <w:r w:rsidR="00030510" w:rsidRPr="00417E10">
        <w:rPr>
          <w:rFonts w:asciiTheme="majorHAnsi" w:hAnsiTheme="majorHAnsi"/>
          <w:sz w:val="16"/>
          <w:szCs w:val="16"/>
          <w:lang w:val="fr-CA"/>
        </w:rPr>
        <w:t>Annex</w:t>
      </w:r>
      <w:proofErr w:type="spellEnd"/>
      <w:r w:rsidR="00030510" w:rsidRPr="00417E10">
        <w:rPr>
          <w:rFonts w:asciiTheme="majorHAnsi" w:hAnsiTheme="majorHAnsi"/>
          <w:sz w:val="16"/>
          <w:szCs w:val="16"/>
          <w:lang w:val="fr-CA"/>
        </w:rPr>
        <w:t xml:space="preserve"> </w:t>
      </w:r>
      <w:r w:rsidR="00030510">
        <w:rPr>
          <w:rFonts w:asciiTheme="majorHAnsi" w:hAnsiTheme="majorHAnsi"/>
          <w:sz w:val="16"/>
          <w:szCs w:val="16"/>
          <w:lang w:val="fr-CA"/>
        </w:rPr>
        <w:t>5</w:t>
      </w:r>
      <w:r w:rsidR="00030510" w:rsidRPr="00417E10">
        <w:rPr>
          <w:rFonts w:asciiTheme="majorHAnsi" w:hAnsiTheme="majorHAnsi"/>
          <w:sz w:val="16"/>
          <w:szCs w:val="16"/>
          <w:lang w:val="fr-CA"/>
        </w:rPr>
        <w:t xml:space="preserve">. </w:t>
      </w:r>
      <w:proofErr w:type="spellStart"/>
      <w:r w:rsidR="00030510" w:rsidRPr="00417E10">
        <w:rPr>
          <w:rFonts w:asciiTheme="majorHAnsi" w:hAnsiTheme="majorHAnsi"/>
          <w:sz w:val="16"/>
          <w:szCs w:val="16"/>
          <w:lang w:val="fr-CA"/>
        </w:rPr>
        <w:t>Formal</w:t>
      </w:r>
      <w:proofErr w:type="spellEnd"/>
      <w:r w:rsidR="00030510" w:rsidRPr="00417E10">
        <w:rPr>
          <w:rFonts w:asciiTheme="majorHAnsi" w:hAnsiTheme="majorHAnsi"/>
          <w:sz w:val="16"/>
          <w:szCs w:val="16"/>
          <w:lang w:val="fr-CA"/>
        </w:rPr>
        <w:t xml:space="preserve"> </w:t>
      </w:r>
      <w:proofErr w:type="spellStart"/>
      <w:r w:rsidR="00030510" w:rsidRPr="00417E10">
        <w:rPr>
          <w:rFonts w:asciiTheme="majorHAnsi" w:hAnsiTheme="majorHAnsi"/>
          <w:sz w:val="16"/>
          <w:szCs w:val="16"/>
          <w:lang w:val="fr-CA"/>
        </w:rPr>
        <w:t>private</w:t>
      </w:r>
      <w:proofErr w:type="spellEnd"/>
      <w:r w:rsidR="00030510" w:rsidRPr="00417E10">
        <w:rPr>
          <w:rFonts w:asciiTheme="majorHAnsi" w:hAnsiTheme="majorHAnsi"/>
          <w:sz w:val="16"/>
          <w:szCs w:val="16"/>
          <w:lang w:val="fr-CA"/>
        </w:rPr>
        <w:t xml:space="preserve"> </w:t>
      </w:r>
      <w:proofErr w:type="spellStart"/>
      <w:r w:rsidR="00030510" w:rsidRPr="00417E10">
        <w:rPr>
          <w:rFonts w:asciiTheme="majorHAnsi" w:hAnsiTheme="majorHAnsi"/>
          <w:sz w:val="16"/>
          <w:szCs w:val="16"/>
          <w:lang w:val="fr-CA"/>
        </w:rPr>
        <w:t>criminal</w:t>
      </w:r>
      <w:proofErr w:type="spellEnd"/>
      <w:r w:rsidR="00030510" w:rsidRPr="00417E10">
        <w:rPr>
          <w:rFonts w:asciiTheme="majorHAnsi" w:hAnsiTheme="majorHAnsi"/>
          <w:sz w:val="16"/>
          <w:szCs w:val="16"/>
          <w:lang w:val="fr-CA"/>
        </w:rPr>
        <w:t xml:space="preserve"> complaint (</w:t>
      </w:r>
      <w:r w:rsidR="00030510" w:rsidRPr="00417E10">
        <w:rPr>
          <w:rFonts w:asciiTheme="majorHAnsi" w:hAnsiTheme="majorHAnsi"/>
          <w:i/>
          <w:sz w:val="16"/>
          <w:szCs w:val="16"/>
          <w:lang w:val="fr-CA"/>
        </w:rPr>
        <w:t>querella</w:t>
      </w:r>
      <w:r w:rsidR="00030510" w:rsidRPr="00417E10">
        <w:rPr>
          <w:rFonts w:asciiTheme="majorHAnsi" w:hAnsiTheme="majorHAnsi"/>
          <w:sz w:val="16"/>
          <w:szCs w:val="16"/>
          <w:lang w:val="fr-CA"/>
        </w:rPr>
        <w:t xml:space="preserve">). </w:t>
      </w:r>
      <w:r w:rsidR="00030510" w:rsidRPr="00CE4DF7">
        <w:rPr>
          <w:rFonts w:asciiTheme="majorHAnsi" w:hAnsiTheme="majorHAnsi"/>
          <w:sz w:val="16"/>
          <w:szCs w:val="16"/>
        </w:rPr>
        <w:t>Ann</w:t>
      </w:r>
      <w:r w:rsidR="00030510">
        <w:rPr>
          <w:rFonts w:asciiTheme="majorHAnsi" w:hAnsiTheme="majorHAnsi"/>
          <w:sz w:val="16"/>
          <w:szCs w:val="16"/>
        </w:rPr>
        <w:t xml:space="preserve">ex to State’s </w:t>
      </w:r>
      <w:r w:rsidR="00030510" w:rsidRPr="00CE4DF7">
        <w:rPr>
          <w:rFonts w:asciiTheme="majorHAnsi" w:hAnsiTheme="majorHAnsi"/>
          <w:sz w:val="16"/>
          <w:szCs w:val="16"/>
        </w:rPr>
        <w:t>submission of September 16, 2004.</w:t>
      </w:r>
    </w:p>
  </w:footnote>
  <w:footnote w:id="26">
    <w:p w14:paraId="6935AFD4" w14:textId="561C0B44"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00030510" w:rsidRPr="00030510">
        <w:rPr>
          <w:rFonts w:asciiTheme="majorHAnsi" w:hAnsiTheme="majorHAnsi"/>
          <w:sz w:val="16"/>
          <w:szCs w:val="16"/>
          <w:lang w:val="fr-CA"/>
        </w:rPr>
        <w:t xml:space="preserve"> </w:t>
      </w:r>
      <w:proofErr w:type="spellStart"/>
      <w:r w:rsidR="00030510" w:rsidRPr="00417E10">
        <w:rPr>
          <w:rFonts w:asciiTheme="majorHAnsi" w:hAnsiTheme="majorHAnsi"/>
          <w:sz w:val="16"/>
          <w:szCs w:val="16"/>
          <w:lang w:val="fr-CA"/>
        </w:rPr>
        <w:t>Annex</w:t>
      </w:r>
      <w:proofErr w:type="spellEnd"/>
      <w:r w:rsidR="00030510" w:rsidRPr="00417E10">
        <w:rPr>
          <w:rFonts w:asciiTheme="majorHAnsi" w:hAnsiTheme="majorHAnsi"/>
          <w:sz w:val="16"/>
          <w:szCs w:val="16"/>
          <w:lang w:val="fr-CA"/>
        </w:rPr>
        <w:t xml:space="preserve"> </w:t>
      </w:r>
      <w:r w:rsidR="00030510">
        <w:rPr>
          <w:rFonts w:asciiTheme="majorHAnsi" w:hAnsiTheme="majorHAnsi"/>
          <w:sz w:val="16"/>
          <w:szCs w:val="16"/>
          <w:lang w:val="fr-CA"/>
        </w:rPr>
        <w:t>5</w:t>
      </w:r>
      <w:r w:rsidR="00030510" w:rsidRPr="00417E10">
        <w:rPr>
          <w:rFonts w:asciiTheme="majorHAnsi" w:hAnsiTheme="majorHAnsi"/>
          <w:sz w:val="16"/>
          <w:szCs w:val="16"/>
          <w:lang w:val="fr-CA"/>
        </w:rPr>
        <w:t xml:space="preserve">. </w:t>
      </w:r>
      <w:proofErr w:type="spellStart"/>
      <w:r w:rsidR="00030510" w:rsidRPr="00417E10">
        <w:rPr>
          <w:rFonts w:asciiTheme="majorHAnsi" w:hAnsiTheme="majorHAnsi"/>
          <w:sz w:val="16"/>
          <w:szCs w:val="16"/>
          <w:lang w:val="fr-CA"/>
        </w:rPr>
        <w:t>Formal</w:t>
      </w:r>
      <w:proofErr w:type="spellEnd"/>
      <w:r w:rsidR="00030510" w:rsidRPr="00417E10">
        <w:rPr>
          <w:rFonts w:asciiTheme="majorHAnsi" w:hAnsiTheme="majorHAnsi"/>
          <w:sz w:val="16"/>
          <w:szCs w:val="16"/>
          <w:lang w:val="fr-CA"/>
        </w:rPr>
        <w:t xml:space="preserve"> </w:t>
      </w:r>
      <w:proofErr w:type="spellStart"/>
      <w:r w:rsidR="00030510" w:rsidRPr="00417E10">
        <w:rPr>
          <w:rFonts w:asciiTheme="majorHAnsi" w:hAnsiTheme="majorHAnsi"/>
          <w:sz w:val="16"/>
          <w:szCs w:val="16"/>
          <w:lang w:val="fr-CA"/>
        </w:rPr>
        <w:t>private</w:t>
      </w:r>
      <w:proofErr w:type="spellEnd"/>
      <w:r w:rsidR="00030510" w:rsidRPr="00417E10">
        <w:rPr>
          <w:rFonts w:asciiTheme="majorHAnsi" w:hAnsiTheme="majorHAnsi"/>
          <w:sz w:val="16"/>
          <w:szCs w:val="16"/>
          <w:lang w:val="fr-CA"/>
        </w:rPr>
        <w:t xml:space="preserve"> </w:t>
      </w:r>
      <w:proofErr w:type="spellStart"/>
      <w:r w:rsidR="00030510" w:rsidRPr="00417E10">
        <w:rPr>
          <w:rFonts w:asciiTheme="majorHAnsi" w:hAnsiTheme="majorHAnsi"/>
          <w:sz w:val="16"/>
          <w:szCs w:val="16"/>
          <w:lang w:val="fr-CA"/>
        </w:rPr>
        <w:t>criminal</w:t>
      </w:r>
      <w:proofErr w:type="spellEnd"/>
      <w:r w:rsidR="00030510" w:rsidRPr="00417E10">
        <w:rPr>
          <w:rFonts w:asciiTheme="majorHAnsi" w:hAnsiTheme="majorHAnsi"/>
          <w:sz w:val="16"/>
          <w:szCs w:val="16"/>
          <w:lang w:val="fr-CA"/>
        </w:rPr>
        <w:t xml:space="preserve"> complaint (</w:t>
      </w:r>
      <w:r w:rsidR="00030510" w:rsidRPr="00417E10">
        <w:rPr>
          <w:rFonts w:asciiTheme="majorHAnsi" w:hAnsiTheme="majorHAnsi"/>
          <w:i/>
          <w:sz w:val="16"/>
          <w:szCs w:val="16"/>
          <w:lang w:val="fr-CA"/>
        </w:rPr>
        <w:t>querella</w:t>
      </w:r>
      <w:r w:rsidR="00030510" w:rsidRPr="00417E10">
        <w:rPr>
          <w:rFonts w:asciiTheme="majorHAnsi" w:hAnsiTheme="majorHAnsi"/>
          <w:sz w:val="16"/>
          <w:szCs w:val="16"/>
          <w:lang w:val="fr-CA"/>
        </w:rPr>
        <w:t xml:space="preserve">). </w:t>
      </w:r>
      <w:r w:rsidR="00030510" w:rsidRPr="00CE4DF7">
        <w:rPr>
          <w:rFonts w:asciiTheme="majorHAnsi" w:hAnsiTheme="majorHAnsi"/>
          <w:sz w:val="16"/>
          <w:szCs w:val="16"/>
        </w:rPr>
        <w:t>Ann</w:t>
      </w:r>
      <w:r w:rsidR="00030510">
        <w:rPr>
          <w:rFonts w:asciiTheme="majorHAnsi" w:hAnsiTheme="majorHAnsi"/>
          <w:sz w:val="16"/>
          <w:szCs w:val="16"/>
        </w:rPr>
        <w:t xml:space="preserve">ex to State’s </w:t>
      </w:r>
      <w:r w:rsidR="00030510" w:rsidRPr="00CE4DF7">
        <w:rPr>
          <w:rFonts w:asciiTheme="majorHAnsi" w:hAnsiTheme="majorHAnsi"/>
          <w:sz w:val="16"/>
          <w:szCs w:val="16"/>
        </w:rPr>
        <w:t>submission of September 16, 2004.</w:t>
      </w:r>
    </w:p>
  </w:footnote>
  <w:footnote w:id="27">
    <w:p w14:paraId="4BA73B12" w14:textId="66954355"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6</w:t>
      </w:r>
      <w:r w:rsidRPr="00CE4DF7">
        <w:rPr>
          <w:rFonts w:asciiTheme="majorHAnsi" w:hAnsiTheme="majorHAnsi"/>
          <w:sz w:val="16"/>
          <w:szCs w:val="16"/>
        </w:rPr>
        <w:t xml:space="preserve">. Interview with Deputy Sergio López of September 1996. Cassette 1. Tape submitted by the petitioner. </w:t>
      </w:r>
    </w:p>
  </w:footnote>
  <w:footnote w:id="28">
    <w:p w14:paraId="69920052" w14:textId="7F9081C3"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7</w:t>
      </w:r>
      <w:r w:rsidRPr="00CE4DF7">
        <w:rPr>
          <w:rFonts w:asciiTheme="majorHAnsi" w:hAnsiTheme="majorHAnsi"/>
          <w:sz w:val="16"/>
          <w:szCs w:val="16"/>
        </w:rPr>
        <w:t xml:space="preserve">. Interview of </w:t>
      </w:r>
      <w:r>
        <w:rPr>
          <w:rFonts w:asciiTheme="majorHAnsi" w:hAnsiTheme="majorHAnsi"/>
          <w:sz w:val="16"/>
          <w:szCs w:val="16"/>
        </w:rPr>
        <w:t>Cadet D</w:t>
      </w:r>
      <w:r w:rsidRPr="00CE4DF7">
        <w:rPr>
          <w:rFonts w:asciiTheme="majorHAnsi" w:hAnsiTheme="majorHAnsi"/>
          <w:sz w:val="16"/>
          <w:szCs w:val="16"/>
        </w:rPr>
        <w:t>e la Cueva of September 1996. Cassette 1. Tape submitted by the petitioner.</w:t>
      </w:r>
    </w:p>
  </w:footnote>
  <w:footnote w:id="29">
    <w:p w14:paraId="21234160" w14:textId="569E5DF2"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8</w:t>
      </w:r>
      <w:r w:rsidRPr="00CE4DF7">
        <w:rPr>
          <w:rFonts w:asciiTheme="majorHAnsi" w:hAnsiTheme="majorHAnsi"/>
          <w:sz w:val="16"/>
          <w:szCs w:val="16"/>
        </w:rPr>
        <w:t xml:space="preserve">. Statements to the Military Investigating Magistrate of the First Rotation </w:t>
      </w:r>
      <w:r>
        <w:rPr>
          <w:rFonts w:asciiTheme="majorHAnsi" w:hAnsiTheme="majorHAnsi"/>
          <w:sz w:val="16"/>
          <w:szCs w:val="16"/>
        </w:rPr>
        <w:t xml:space="preserve">given by Cadets </w:t>
      </w:r>
      <w:r w:rsidRPr="00CE4DF7">
        <w:rPr>
          <w:rFonts w:asciiTheme="majorHAnsi" w:hAnsiTheme="majorHAnsi"/>
          <w:sz w:val="16"/>
          <w:szCs w:val="16"/>
        </w:rPr>
        <w:t xml:space="preserve">Antonio Arza Galeano, Carlos Taboada Zamudio, Oscar Daniel Maldonado, Gustavo Enrique Saucedo Duarte, Jorge Darío Pereira Escurra, Héctor Fabián Ojeda Chaparro, Ángel Adid Quiñones Morán, Arnaldo Melgarejo Martínez, Julián Paul Figueredo Díaz, Carlos Alberto Villalba Vega, Milciades Díaz Solís, Néstor Fabián Romero, Osmar Garcete González, Germán Ramírez Cardozo, Omar Ricardo Popovich Jara, Marcelo Raúl Romero Cáceres, Luis Alberto Scolari Gómez, Hugo César Rojas Zelaya, Germán Antonio Sosa Cardozo and Ever Mario Pico Duarte; and of First Lieutenant Art. Hernan Darío Alcaraz,. </w:t>
      </w:r>
    </w:p>
  </w:footnote>
  <w:footnote w:id="30">
    <w:p w14:paraId="608FD5D1" w14:textId="18A25104"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9</w:t>
      </w:r>
      <w:r w:rsidRPr="00CE4DF7">
        <w:rPr>
          <w:rFonts w:asciiTheme="majorHAnsi" w:hAnsiTheme="majorHAnsi"/>
          <w:sz w:val="16"/>
          <w:szCs w:val="16"/>
        </w:rPr>
        <w:t xml:space="preserve">. Article in the daily newspaper ABC of January 12, 1996, p.2. Press dossier attached by the petitioner. Additionally: La </w:t>
      </w:r>
      <w:r>
        <w:rPr>
          <w:rFonts w:asciiTheme="majorHAnsi" w:hAnsiTheme="majorHAnsi"/>
          <w:sz w:val="16"/>
          <w:szCs w:val="16"/>
        </w:rPr>
        <w:t>Nación of January 12, 1996, p.4</w:t>
      </w:r>
      <w:r w:rsidRPr="00CE4DF7">
        <w:rPr>
          <w:rFonts w:asciiTheme="majorHAnsi" w:hAnsiTheme="majorHAnsi"/>
          <w:sz w:val="16"/>
          <w:szCs w:val="16"/>
        </w:rPr>
        <w:t xml:space="preserve">, among other ones. </w:t>
      </w:r>
    </w:p>
  </w:footnote>
  <w:footnote w:id="31">
    <w:p w14:paraId="090A99E2" w14:textId="25637D52"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030510">
        <w:rPr>
          <w:rFonts w:asciiTheme="majorHAnsi" w:hAnsiTheme="majorHAnsi"/>
          <w:sz w:val="16"/>
          <w:szCs w:val="16"/>
        </w:rPr>
        <w:t>10</w:t>
      </w:r>
      <w:r w:rsidRPr="00CE4DF7">
        <w:rPr>
          <w:rFonts w:asciiTheme="majorHAnsi" w:hAnsiTheme="majorHAnsi"/>
          <w:sz w:val="16"/>
          <w:szCs w:val="16"/>
        </w:rPr>
        <w:t xml:space="preserve">. Article in the daily newspaper El Día of January 12, 1996, pg. 4. Press dossier attached by the petitioner. </w:t>
      </w:r>
    </w:p>
  </w:footnote>
  <w:footnote w:id="32">
    <w:p w14:paraId="76BE163D" w14:textId="6E51681E"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Annex </w:t>
      </w:r>
      <w:r w:rsidR="00030510">
        <w:rPr>
          <w:rFonts w:asciiTheme="majorHAnsi" w:hAnsiTheme="majorHAnsi"/>
          <w:sz w:val="16"/>
          <w:szCs w:val="16"/>
        </w:rPr>
        <w:t>11.</w:t>
      </w:r>
      <w:r w:rsidRPr="00CE4DF7">
        <w:rPr>
          <w:rFonts w:asciiTheme="majorHAnsi" w:hAnsiTheme="majorHAnsi"/>
          <w:sz w:val="16"/>
          <w:szCs w:val="16"/>
        </w:rPr>
        <w:t xml:space="preserve"> </w:t>
      </w:r>
      <w:proofErr w:type="gramStart"/>
      <w:r w:rsidRPr="00CE4DF7">
        <w:rPr>
          <w:rFonts w:asciiTheme="majorHAnsi" w:hAnsiTheme="majorHAnsi"/>
          <w:sz w:val="16"/>
          <w:szCs w:val="16"/>
        </w:rPr>
        <w:t>Article in the daily newspaper El Día of January 12, 1996, p.a5, Article in La Nación of January 12, 1996, p.5, Press dossier attached by the petitioner.</w:t>
      </w:r>
      <w:proofErr w:type="gramEnd"/>
      <w:r w:rsidRPr="00CE4DF7">
        <w:rPr>
          <w:rFonts w:asciiTheme="majorHAnsi" w:hAnsiTheme="majorHAnsi"/>
          <w:sz w:val="16"/>
          <w:szCs w:val="16"/>
        </w:rPr>
        <w:t xml:space="preserve"> </w:t>
      </w:r>
    </w:p>
  </w:footnote>
  <w:footnote w:id="33">
    <w:p w14:paraId="756829A1" w14:textId="5B7D9411"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B067E3">
        <w:rPr>
          <w:rFonts w:asciiTheme="majorHAnsi" w:hAnsiTheme="majorHAnsi"/>
          <w:sz w:val="16"/>
          <w:szCs w:val="16"/>
        </w:rPr>
        <w:t>12</w:t>
      </w:r>
      <w:r w:rsidRPr="00CE4DF7">
        <w:rPr>
          <w:rFonts w:asciiTheme="majorHAnsi" w:hAnsiTheme="majorHAnsi"/>
          <w:sz w:val="16"/>
          <w:szCs w:val="16"/>
        </w:rPr>
        <w:t>. Case File “Preliminary Inquiry into the cause of death of candidate for corporal Vicente Ariel Noguera of Center No. 3 of CIMEFOR based in Mcal. Estigarribia”. Annex to States submission No. 653-04/MPP-OEA of September 26, 2004.</w:t>
      </w:r>
    </w:p>
  </w:footnote>
  <w:footnote w:id="34">
    <w:p w14:paraId="3811EEEA" w14:textId="389E1F09"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00B067E3">
        <w:rPr>
          <w:rFonts w:asciiTheme="majorHAnsi" w:hAnsiTheme="majorHAnsi"/>
          <w:sz w:val="16"/>
          <w:szCs w:val="16"/>
        </w:rPr>
        <w:t xml:space="preserve"> </w:t>
      </w:r>
      <w:r w:rsidR="00B067E3" w:rsidRPr="00CE4DF7">
        <w:rPr>
          <w:rFonts w:asciiTheme="majorHAnsi" w:hAnsiTheme="majorHAnsi"/>
          <w:sz w:val="16"/>
          <w:szCs w:val="16"/>
        </w:rPr>
        <w:t xml:space="preserve">Annex </w:t>
      </w:r>
      <w:r w:rsidR="00B067E3">
        <w:rPr>
          <w:rFonts w:asciiTheme="majorHAnsi" w:hAnsiTheme="majorHAnsi"/>
          <w:sz w:val="16"/>
          <w:szCs w:val="16"/>
        </w:rPr>
        <w:t>12</w:t>
      </w:r>
      <w:r w:rsidR="00B067E3" w:rsidRPr="00CE4DF7">
        <w:rPr>
          <w:rFonts w:asciiTheme="majorHAnsi" w:hAnsiTheme="majorHAnsi"/>
          <w:sz w:val="16"/>
          <w:szCs w:val="16"/>
        </w:rPr>
        <w:t xml:space="preserve">. </w:t>
      </w:r>
      <w:proofErr w:type="gramStart"/>
      <w:r w:rsidR="00B067E3" w:rsidRPr="00CE4DF7">
        <w:rPr>
          <w:rFonts w:asciiTheme="majorHAnsi" w:hAnsiTheme="majorHAnsi"/>
          <w:sz w:val="16"/>
          <w:szCs w:val="16"/>
        </w:rPr>
        <w:t xml:space="preserve">Case File “Preliminary Inquiry into the cause of death of candidate for corporal Vicente Ariel Noguera of Center No. 3 of CIMEFOR based in </w:t>
      </w:r>
      <w:proofErr w:type="spellStart"/>
      <w:r w:rsidR="00B067E3" w:rsidRPr="00CE4DF7">
        <w:rPr>
          <w:rFonts w:asciiTheme="majorHAnsi" w:hAnsiTheme="majorHAnsi"/>
          <w:sz w:val="16"/>
          <w:szCs w:val="16"/>
        </w:rPr>
        <w:t>Mcal</w:t>
      </w:r>
      <w:proofErr w:type="spellEnd"/>
      <w:r w:rsidR="00B067E3" w:rsidRPr="00CE4DF7">
        <w:rPr>
          <w:rFonts w:asciiTheme="majorHAnsi" w:hAnsiTheme="majorHAnsi"/>
          <w:sz w:val="16"/>
          <w:szCs w:val="16"/>
        </w:rPr>
        <w:t>.</w:t>
      </w:r>
      <w:proofErr w:type="gramEnd"/>
      <w:r w:rsidR="00B067E3" w:rsidRPr="00CE4DF7">
        <w:rPr>
          <w:rFonts w:asciiTheme="majorHAnsi" w:hAnsiTheme="majorHAnsi"/>
          <w:sz w:val="16"/>
          <w:szCs w:val="16"/>
        </w:rPr>
        <w:t xml:space="preserve"> </w:t>
      </w:r>
      <w:proofErr w:type="spellStart"/>
      <w:proofErr w:type="gramStart"/>
      <w:r w:rsidR="00B067E3" w:rsidRPr="00CE4DF7">
        <w:rPr>
          <w:rFonts w:asciiTheme="majorHAnsi" w:hAnsiTheme="majorHAnsi"/>
          <w:sz w:val="16"/>
          <w:szCs w:val="16"/>
        </w:rPr>
        <w:t>Estigarribia</w:t>
      </w:r>
      <w:proofErr w:type="spellEnd"/>
      <w:r w:rsidR="00B067E3" w:rsidRPr="00CE4DF7">
        <w:rPr>
          <w:rFonts w:asciiTheme="majorHAnsi" w:hAnsiTheme="majorHAnsi"/>
          <w:sz w:val="16"/>
          <w:szCs w:val="16"/>
        </w:rPr>
        <w:t>”.</w:t>
      </w:r>
      <w:proofErr w:type="gramEnd"/>
      <w:r w:rsidR="00B067E3" w:rsidRPr="00CE4DF7">
        <w:rPr>
          <w:rFonts w:asciiTheme="majorHAnsi" w:hAnsiTheme="majorHAnsi"/>
          <w:sz w:val="16"/>
          <w:szCs w:val="16"/>
        </w:rPr>
        <w:t xml:space="preserve"> Annex to States submission No. 653-04/MPP-OEA of September 26, 2004.</w:t>
      </w:r>
    </w:p>
  </w:footnote>
  <w:footnote w:id="35">
    <w:p w14:paraId="2307505D" w14:textId="29A42F21"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w:t>
      </w:r>
      <w:r w:rsidR="00B067E3">
        <w:rPr>
          <w:rFonts w:asciiTheme="majorHAnsi" w:hAnsiTheme="majorHAnsi"/>
          <w:sz w:val="16"/>
          <w:szCs w:val="16"/>
        </w:rPr>
        <w:t xml:space="preserve"> 13</w:t>
      </w:r>
      <w:r w:rsidRPr="00CE4DF7">
        <w:rPr>
          <w:rFonts w:asciiTheme="majorHAnsi" w:hAnsiTheme="majorHAnsi"/>
          <w:sz w:val="16"/>
          <w:szCs w:val="16"/>
        </w:rPr>
        <w:t xml:space="preserve">. </w:t>
      </w:r>
      <w:proofErr w:type="gramStart"/>
      <w:r w:rsidRPr="00CE4DF7">
        <w:rPr>
          <w:rFonts w:asciiTheme="majorHAnsi" w:hAnsiTheme="majorHAnsi"/>
          <w:sz w:val="16"/>
          <w:szCs w:val="16"/>
        </w:rPr>
        <w:t>Article daily newspaper ABC of January 12, 1996, pg.3.</w:t>
      </w:r>
      <w:proofErr w:type="gramEnd"/>
      <w:r w:rsidRPr="00CE4DF7">
        <w:rPr>
          <w:rFonts w:asciiTheme="majorHAnsi" w:hAnsiTheme="majorHAnsi"/>
          <w:sz w:val="16"/>
          <w:szCs w:val="16"/>
        </w:rPr>
        <w:t xml:space="preserve"> Press dossier attached by the petitioner. Also see: La Nación of January 12, 1996, pg.4., among other ones. </w:t>
      </w:r>
    </w:p>
  </w:footnote>
  <w:footnote w:id="36">
    <w:p w14:paraId="6AA2D2F4" w14:textId="2D06DDDF"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Negative for cocaine, morphine, barbiturates, benzodiazepines, amphetamines and herbicides. </w:t>
      </w:r>
    </w:p>
  </w:footnote>
  <w:footnote w:id="37">
    <w:p w14:paraId="0383CC50" w14:textId="0A3C8C6A"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B067E3">
        <w:rPr>
          <w:rFonts w:asciiTheme="majorHAnsi" w:hAnsiTheme="majorHAnsi"/>
          <w:sz w:val="16"/>
          <w:szCs w:val="16"/>
        </w:rPr>
        <w:t>14</w:t>
      </w:r>
      <w:r w:rsidRPr="00CE4DF7">
        <w:rPr>
          <w:rFonts w:asciiTheme="majorHAnsi" w:hAnsiTheme="majorHAnsi"/>
          <w:sz w:val="16"/>
          <w:szCs w:val="16"/>
        </w:rPr>
        <w:t>. Report 24 of Military Prosecutor of March 13, 1996. Annex to State’s submission of September 16, 2004.</w:t>
      </w:r>
    </w:p>
  </w:footnote>
  <w:footnote w:id="38">
    <w:p w14:paraId="7241BB3A" w14:textId="54B2F56E"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00B067E3">
        <w:rPr>
          <w:rFonts w:asciiTheme="majorHAnsi" w:hAnsiTheme="majorHAnsi"/>
          <w:sz w:val="16"/>
          <w:szCs w:val="16"/>
        </w:rPr>
        <w:t xml:space="preserve"> Annex 15</w:t>
      </w:r>
      <w:r w:rsidR="00BA063C">
        <w:rPr>
          <w:rFonts w:asciiTheme="majorHAnsi" w:hAnsiTheme="majorHAnsi"/>
          <w:sz w:val="16"/>
          <w:szCs w:val="16"/>
        </w:rPr>
        <w:t xml:space="preserve">. </w:t>
      </w:r>
      <w:r w:rsidR="00BA063C" w:rsidRPr="00BA063C">
        <w:rPr>
          <w:rFonts w:asciiTheme="majorHAnsi" w:hAnsiTheme="majorHAnsi"/>
          <w:sz w:val="16"/>
          <w:szCs w:val="16"/>
        </w:rPr>
        <w:t>Alleged victim’s mother’s letter addressed to the Attorney General of January 17, 1996. Annex to State’s submission of September 16, 2004</w:t>
      </w:r>
      <w:r w:rsidR="00BA063C">
        <w:rPr>
          <w:rFonts w:asciiTheme="majorHAnsi" w:hAnsiTheme="majorHAnsi"/>
          <w:sz w:val="16"/>
          <w:szCs w:val="16"/>
        </w:rPr>
        <w:t>.</w:t>
      </w:r>
      <w:r w:rsidRPr="00CE4DF7">
        <w:rPr>
          <w:rFonts w:asciiTheme="majorHAnsi" w:hAnsiTheme="majorHAnsi"/>
          <w:sz w:val="16"/>
          <w:szCs w:val="16"/>
        </w:rPr>
        <w:t xml:space="preserve"> </w:t>
      </w:r>
    </w:p>
  </w:footnote>
  <w:footnote w:id="39">
    <w:p w14:paraId="5EB899AD" w14:textId="46DCD6DB"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B067E3">
        <w:rPr>
          <w:rFonts w:asciiTheme="majorHAnsi" w:hAnsiTheme="majorHAnsi"/>
          <w:sz w:val="16"/>
          <w:szCs w:val="16"/>
        </w:rPr>
        <w:t>16</w:t>
      </w:r>
      <w:r w:rsidRPr="00CE4DF7">
        <w:rPr>
          <w:rFonts w:asciiTheme="majorHAnsi" w:hAnsiTheme="majorHAnsi"/>
          <w:sz w:val="16"/>
          <w:szCs w:val="16"/>
        </w:rPr>
        <w:t xml:space="preserve">. </w:t>
      </w:r>
      <w:r w:rsidR="00BA063C" w:rsidRPr="00BA063C">
        <w:rPr>
          <w:rFonts w:asciiTheme="majorHAnsi" w:hAnsiTheme="majorHAnsi"/>
          <w:sz w:val="16"/>
          <w:szCs w:val="16"/>
        </w:rPr>
        <w:t>Alleged victim’s mother’s letter addressed to the Attorney General. Annex to State’s submission of January 29, 1996. September 16, 2004.</w:t>
      </w:r>
    </w:p>
  </w:footnote>
  <w:footnote w:id="40">
    <w:p w14:paraId="6AEC7A8E" w14:textId="737C96BC"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417E10">
        <w:rPr>
          <w:rFonts w:asciiTheme="majorHAnsi" w:hAnsiTheme="majorHAnsi"/>
          <w:sz w:val="16"/>
          <w:szCs w:val="16"/>
          <w:lang w:val="fr-CA"/>
        </w:rPr>
        <w:t xml:space="preserve"> </w:t>
      </w:r>
      <w:proofErr w:type="spellStart"/>
      <w:r w:rsidRPr="00417E10">
        <w:rPr>
          <w:rFonts w:asciiTheme="majorHAnsi" w:hAnsiTheme="majorHAnsi"/>
          <w:sz w:val="16"/>
          <w:szCs w:val="16"/>
          <w:lang w:val="fr-CA"/>
        </w:rPr>
        <w:t>Annex</w:t>
      </w:r>
      <w:proofErr w:type="spellEnd"/>
      <w:r w:rsidRPr="00417E10">
        <w:rPr>
          <w:rFonts w:asciiTheme="majorHAnsi" w:hAnsiTheme="majorHAnsi"/>
          <w:sz w:val="16"/>
          <w:szCs w:val="16"/>
          <w:lang w:val="fr-CA"/>
        </w:rPr>
        <w:t xml:space="preserve"> </w:t>
      </w:r>
      <w:r w:rsidR="00B067E3">
        <w:rPr>
          <w:rFonts w:asciiTheme="majorHAnsi" w:hAnsiTheme="majorHAnsi"/>
          <w:sz w:val="16"/>
          <w:szCs w:val="16"/>
          <w:lang w:val="fr-CA"/>
        </w:rPr>
        <w:t>5</w:t>
      </w:r>
      <w:r w:rsidRPr="00417E10">
        <w:rPr>
          <w:rFonts w:asciiTheme="majorHAnsi" w:hAnsiTheme="majorHAnsi"/>
          <w:sz w:val="16"/>
          <w:szCs w:val="16"/>
          <w:lang w:val="fr-CA"/>
        </w:rPr>
        <w:t xml:space="preserve">. </w:t>
      </w:r>
      <w:proofErr w:type="spellStart"/>
      <w:r w:rsidRPr="00417E10">
        <w:rPr>
          <w:rFonts w:asciiTheme="majorHAnsi" w:hAnsiTheme="majorHAnsi"/>
          <w:sz w:val="16"/>
          <w:szCs w:val="16"/>
          <w:lang w:val="fr-CA"/>
        </w:rPr>
        <w:t>Formal</w:t>
      </w:r>
      <w:proofErr w:type="spellEnd"/>
      <w:r w:rsidRPr="00417E10">
        <w:rPr>
          <w:rFonts w:asciiTheme="majorHAnsi" w:hAnsiTheme="majorHAnsi"/>
          <w:sz w:val="16"/>
          <w:szCs w:val="16"/>
          <w:lang w:val="fr-CA"/>
        </w:rPr>
        <w:t xml:space="preserve"> </w:t>
      </w:r>
      <w:proofErr w:type="spellStart"/>
      <w:r w:rsidRPr="00417E10">
        <w:rPr>
          <w:rFonts w:asciiTheme="majorHAnsi" w:hAnsiTheme="majorHAnsi"/>
          <w:sz w:val="16"/>
          <w:szCs w:val="16"/>
          <w:lang w:val="fr-CA"/>
        </w:rPr>
        <w:t>private</w:t>
      </w:r>
      <w:proofErr w:type="spellEnd"/>
      <w:r w:rsidRPr="00417E10">
        <w:rPr>
          <w:rFonts w:asciiTheme="majorHAnsi" w:hAnsiTheme="majorHAnsi"/>
          <w:sz w:val="16"/>
          <w:szCs w:val="16"/>
          <w:lang w:val="fr-CA"/>
        </w:rPr>
        <w:t xml:space="preserve"> </w:t>
      </w:r>
      <w:proofErr w:type="spellStart"/>
      <w:r w:rsidRPr="00417E10">
        <w:rPr>
          <w:rFonts w:asciiTheme="majorHAnsi" w:hAnsiTheme="majorHAnsi"/>
          <w:sz w:val="16"/>
          <w:szCs w:val="16"/>
          <w:lang w:val="fr-CA"/>
        </w:rPr>
        <w:t>criminal</w:t>
      </w:r>
      <w:proofErr w:type="spellEnd"/>
      <w:r w:rsidRPr="00417E10">
        <w:rPr>
          <w:rFonts w:asciiTheme="majorHAnsi" w:hAnsiTheme="majorHAnsi"/>
          <w:sz w:val="16"/>
          <w:szCs w:val="16"/>
          <w:lang w:val="fr-CA"/>
        </w:rPr>
        <w:t xml:space="preserve"> complaint. </w:t>
      </w:r>
      <w:r w:rsidRPr="00CE4DF7">
        <w:rPr>
          <w:rFonts w:asciiTheme="majorHAnsi" w:hAnsiTheme="majorHAnsi"/>
          <w:sz w:val="16"/>
          <w:szCs w:val="16"/>
        </w:rPr>
        <w:t>Annex to State’s submission of September 16, 2004.</w:t>
      </w:r>
    </w:p>
  </w:footnote>
  <w:footnote w:id="41">
    <w:p w14:paraId="0D268B55" w14:textId="23920BB0"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B067E3">
        <w:rPr>
          <w:rFonts w:asciiTheme="majorHAnsi" w:hAnsiTheme="majorHAnsi"/>
          <w:sz w:val="16"/>
          <w:szCs w:val="16"/>
        </w:rPr>
        <w:t>17</w:t>
      </w:r>
      <w:r w:rsidRPr="00CE4DF7">
        <w:rPr>
          <w:rFonts w:asciiTheme="majorHAnsi" w:hAnsiTheme="majorHAnsi"/>
          <w:sz w:val="16"/>
          <w:szCs w:val="16"/>
        </w:rPr>
        <w:t>. Order to Open Inquiry. Annex to State’s submission of September 16, 2004.</w:t>
      </w:r>
    </w:p>
  </w:footnote>
  <w:footnote w:id="42">
    <w:p w14:paraId="1ABBE52B" w14:textId="2C93434A"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B067E3">
        <w:rPr>
          <w:rFonts w:asciiTheme="majorHAnsi" w:hAnsiTheme="majorHAnsi"/>
          <w:sz w:val="16"/>
          <w:szCs w:val="16"/>
        </w:rPr>
        <w:t>18</w:t>
      </w:r>
      <w:r w:rsidRPr="00CE4DF7">
        <w:rPr>
          <w:rFonts w:asciiTheme="majorHAnsi" w:hAnsiTheme="majorHAnsi"/>
          <w:sz w:val="16"/>
          <w:szCs w:val="16"/>
        </w:rPr>
        <w:t>. Report No. 1007 of the Attorney General</w:t>
      </w:r>
      <w:r w:rsidR="00BA063C">
        <w:rPr>
          <w:rFonts w:asciiTheme="majorHAnsi" w:hAnsiTheme="majorHAnsi"/>
          <w:sz w:val="16"/>
          <w:szCs w:val="16"/>
        </w:rPr>
        <w:t xml:space="preserve"> of August 2, 1996</w:t>
      </w:r>
      <w:r w:rsidRPr="00CE4DF7">
        <w:rPr>
          <w:rFonts w:asciiTheme="majorHAnsi" w:hAnsiTheme="majorHAnsi"/>
          <w:sz w:val="16"/>
          <w:szCs w:val="16"/>
        </w:rPr>
        <w:t>. Annex to State’s submission of September 16, 2004.</w:t>
      </w:r>
    </w:p>
  </w:footnote>
  <w:footnote w:id="43">
    <w:p w14:paraId="35535952" w14:textId="7BFDBD29"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00B067E3">
        <w:rPr>
          <w:rFonts w:asciiTheme="majorHAnsi" w:hAnsiTheme="majorHAnsi"/>
          <w:sz w:val="16"/>
          <w:szCs w:val="16"/>
        </w:rPr>
        <w:t xml:space="preserve"> Annex 19</w:t>
      </w:r>
      <w:r w:rsidRPr="00CE4DF7">
        <w:rPr>
          <w:rFonts w:asciiTheme="majorHAnsi" w:hAnsiTheme="majorHAnsi"/>
          <w:sz w:val="16"/>
          <w:szCs w:val="16"/>
        </w:rPr>
        <w:t>. Record of exhumation of September 9, 1996. Annex to State’s submission of September 16, 2004.</w:t>
      </w:r>
    </w:p>
  </w:footnote>
  <w:footnote w:id="44">
    <w:p w14:paraId="59966931" w14:textId="7B64D9E5"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B067E3">
        <w:rPr>
          <w:rFonts w:asciiTheme="majorHAnsi" w:hAnsiTheme="majorHAnsi"/>
          <w:sz w:val="16"/>
          <w:szCs w:val="16"/>
        </w:rPr>
        <w:t>20</w:t>
      </w:r>
      <w:r w:rsidRPr="00CE4DF7">
        <w:rPr>
          <w:rFonts w:asciiTheme="majorHAnsi" w:hAnsiTheme="majorHAnsi"/>
          <w:sz w:val="16"/>
          <w:szCs w:val="16"/>
        </w:rPr>
        <w:t>. Ruling of the Judge for Criminal Matters of September 05, 1996. Annex to State’s submission of September 16, 2004.</w:t>
      </w:r>
    </w:p>
  </w:footnote>
  <w:footnote w:id="45">
    <w:p w14:paraId="7A4E64CC" w14:textId="64D4C33C"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375943">
        <w:rPr>
          <w:rFonts w:asciiTheme="majorHAnsi" w:hAnsiTheme="majorHAnsi"/>
          <w:sz w:val="16"/>
          <w:szCs w:val="16"/>
        </w:rPr>
        <w:t>21</w:t>
      </w:r>
      <w:r w:rsidRPr="00CE4DF7">
        <w:rPr>
          <w:rFonts w:asciiTheme="majorHAnsi" w:hAnsiTheme="majorHAnsi"/>
          <w:sz w:val="16"/>
          <w:szCs w:val="16"/>
        </w:rPr>
        <w:t xml:space="preserve">. Swearing in of the forensic doctor by Criminal Judge of September 9, 1996. Annex to State’s submission of September 16, 2004. </w:t>
      </w:r>
    </w:p>
  </w:footnote>
  <w:footnote w:id="46">
    <w:p w14:paraId="2C7DEACF" w14:textId="70C25E2E"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375943">
        <w:rPr>
          <w:rFonts w:asciiTheme="majorHAnsi" w:hAnsiTheme="majorHAnsi"/>
          <w:sz w:val="16"/>
          <w:szCs w:val="16"/>
        </w:rPr>
        <w:t>22</w:t>
      </w:r>
      <w:r w:rsidRPr="00CE4DF7">
        <w:rPr>
          <w:rFonts w:asciiTheme="majorHAnsi" w:hAnsiTheme="majorHAnsi"/>
          <w:sz w:val="16"/>
          <w:szCs w:val="16"/>
        </w:rPr>
        <w:t>. Expert’s Autopsy Report of October 18, 1996. Annex to State’s submission of September 16, 2004.</w:t>
      </w:r>
    </w:p>
  </w:footnote>
  <w:footnote w:id="47">
    <w:p w14:paraId="75A5D50C" w14:textId="6BA3F99A"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w:t>
      </w:r>
      <w:r w:rsidR="00375943">
        <w:rPr>
          <w:rFonts w:asciiTheme="majorHAnsi" w:hAnsiTheme="majorHAnsi"/>
          <w:sz w:val="16"/>
          <w:szCs w:val="16"/>
        </w:rPr>
        <w:t xml:space="preserve"> 1</w:t>
      </w:r>
      <w:r w:rsidRPr="00CE4DF7">
        <w:rPr>
          <w:rFonts w:asciiTheme="majorHAnsi" w:hAnsiTheme="majorHAnsi"/>
          <w:sz w:val="16"/>
          <w:szCs w:val="16"/>
        </w:rPr>
        <w:t>. Initial petition of September 19, 2000.</w:t>
      </w:r>
    </w:p>
  </w:footnote>
  <w:footnote w:id="48">
    <w:p w14:paraId="75EB22FE" w14:textId="2ABC53EF"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375943">
        <w:rPr>
          <w:rFonts w:asciiTheme="majorHAnsi" w:hAnsiTheme="majorHAnsi"/>
          <w:sz w:val="16"/>
          <w:szCs w:val="16"/>
        </w:rPr>
        <w:t>23</w:t>
      </w:r>
      <w:r w:rsidRPr="00CE4DF7">
        <w:rPr>
          <w:rFonts w:asciiTheme="majorHAnsi" w:hAnsiTheme="majorHAnsi"/>
          <w:sz w:val="16"/>
          <w:szCs w:val="16"/>
        </w:rPr>
        <w:t xml:space="preserve">. Filing for Removal </w:t>
      </w:r>
      <w:r>
        <w:rPr>
          <w:rFonts w:asciiTheme="majorHAnsi" w:hAnsiTheme="majorHAnsi"/>
          <w:sz w:val="16"/>
          <w:szCs w:val="16"/>
        </w:rPr>
        <w:t xml:space="preserve">of Judge </w:t>
      </w:r>
      <w:r w:rsidRPr="00CE4DF7">
        <w:rPr>
          <w:rFonts w:asciiTheme="majorHAnsi" w:hAnsiTheme="majorHAnsi"/>
          <w:sz w:val="16"/>
          <w:szCs w:val="16"/>
        </w:rPr>
        <w:t>of February 4, 1999. Annex to State’s submission of September 16, 2004.</w:t>
      </w:r>
    </w:p>
  </w:footnote>
  <w:footnote w:id="49">
    <w:p w14:paraId="58AA715E" w14:textId="37097164"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375943">
        <w:rPr>
          <w:rFonts w:asciiTheme="majorHAnsi" w:hAnsiTheme="majorHAnsi"/>
          <w:sz w:val="16"/>
          <w:szCs w:val="16"/>
        </w:rPr>
        <w:t>24</w:t>
      </w:r>
      <w:r w:rsidRPr="00CE4DF7">
        <w:rPr>
          <w:rFonts w:asciiTheme="majorHAnsi" w:hAnsiTheme="majorHAnsi"/>
          <w:sz w:val="16"/>
          <w:szCs w:val="16"/>
        </w:rPr>
        <w:t>. Motion for Removal. Annex to State’s submission of September 16, 2004.</w:t>
      </w:r>
    </w:p>
  </w:footnote>
  <w:footnote w:id="50">
    <w:p w14:paraId="1DCC102C" w14:textId="3FE2539B"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375943">
        <w:rPr>
          <w:rFonts w:asciiTheme="majorHAnsi" w:hAnsiTheme="majorHAnsi"/>
          <w:sz w:val="16"/>
          <w:szCs w:val="16"/>
        </w:rPr>
        <w:t>25</w:t>
      </w:r>
      <w:r w:rsidRPr="00CE4DF7">
        <w:rPr>
          <w:rFonts w:asciiTheme="majorHAnsi" w:hAnsiTheme="majorHAnsi"/>
          <w:sz w:val="16"/>
          <w:szCs w:val="16"/>
        </w:rPr>
        <w:t xml:space="preserve">. </w:t>
      </w:r>
      <w:r w:rsidR="00BA063C" w:rsidRPr="00BA063C">
        <w:rPr>
          <w:rFonts w:asciiTheme="majorHAnsi" w:hAnsiTheme="majorHAnsi"/>
          <w:sz w:val="16"/>
          <w:szCs w:val="16"/>
        </w:rPr>
        <w:t xml:space="preserve">Decision A.I. 157 of the Supreme Court of February 26, 1998. Annex to State’s submission of September 16, 2004. The Commission notes on the record that the year </w:t>
      </w:r>
      <w:bookmarkStart w:id="15" w:name="_GoBack"/>
      <w:bookmarkEnd w:id="15"/>
      <w:r w:rsidR="00BA063C" w:rsidRPr="00BA063C">
        <w:rPr>
          <w:rFonts w:asciiTheme="majorHAnsi" w:hAnsiTheme="majorHAnsi"/>
          <w:sz w:val="16"/>
          <w:szCs w:val="16"/>
        </w:rPr>
        <w:t>of issuance appearing is “1998,” but based on the information set forth therein is evident that said decision is from 1999.</w:t>
      </w:r>
    </w:p>
  </w:footnote>
  <w:footnote w:id="51">
    <w:p w14:paraId="3895267A" w14:textId="2A0684D0"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w:t>
      </w:r>
      <w:r>
        <w:rPr>
          <w:rFonts w:asciiTheme="majorHAnsi" w:hAnsiTheme="majorHAnsi"/>
          <w:sz w:val="16"/>
          <w:szCs w:val="16"/>
        </w:rPr>
        <w:t xml:space="preserve"> </w:t>
      </w:r>
      <w:r w:rsidR="00375943">
        <w:rPr>
          <w:rFonts w:asciiTheme="majorHAnsi" w:hAnsiTheme="majorHAnsi"/>
          <w:sz w:val="16"/>
          <w:szCs w:val="16"/>
        </w:rPr>
        <w:t>26</w:t>
      </w:r>
      <w:r>
        <w:rPr>
          <w:rFonts w:asciiTheme="majorHAnsi" w:hAnsiTheme="majorHAnsi"/>
          <w:sz w:val="16"/>
          <w:szCs w:val="16"/>
        </w:rPr>
        <w:t>. Report No. 285 As/13/IV/99</w:t>
      </w:r>
      <w:r w:rsidRPr="00CE4DF7">
        <w:rPr>
          <w:rFonts w:asciiTheme="majorHAnsi" w:hAnsiTheme="majorHAnsi"/>
          <w:sz w:val="16"/>
          <w:szCs w:val="16"/>
        </w:rPr>
        <w:t xml:space="preserve"> of Prosecuting Attorney Eladio Valiente of April 09, 1999. Annex to State’s submission of September 16, 2004.</w:t>
      </w:r>
    </w:p>
  </w:footnote>
  <w:footnote w:id="52">
    <w:p w14:paraId="4CF1DC87" w14:textId="4C7E00B2"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375943">
        <w:rPr>
          <w:rFonts w:asciiTheme="majorHAnsi" w:hAnsiTheme="majorHAnsi"/>
          <w:sz w:val="16"/>
          <w:szCs w:val="16"/>
        </w:rPr>
        <w:t>27</w:t>
      </w:r>
      <w:r w:rsidRPr="00CE4DF7">
        <w:rPr>
          <w:rFonts w:asciiTheme="majorHAnsi" w:hAnsiTheme="majorHAnsi"/>
          <w:sz w:val="16"/>
          <w:szCs w:val="16"/>
        </w:rPr>
        <w:t>. Submissions of the complainant in the request for investigation of February 6, 2000 and June 8, 2000. Annex to State’s submission of September 16, 2004.</w:t>
      </w:r>
    </w:p>
  </w:footnote>
  <w:footnote w:id="53">
    <w:p w14:paraId="75A60872" w14:textId="6A22E1FC"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375943">
        <w:rPr>
          <w:rFonts w:asciiTheme="majorHAnsi" w:hAnsiTheme="majorHAnsi"/>
          <w:sz w:val="16"/>
          <w:szCs w:val="16"/>
        </w:rPr>
        <w:t>28</w:t>
      </w:r>
      <w:r w:rsidRPr="00CE4DF7">
        <w:rPr>
          <w:rFonts w:asciiTheme="majorHAnsi" w:hAnsiTheme="majorHAnsi"/>
          <w:sz w:val="16"/>
          <w:szCs w:val="16"/>
        </w:rPr>
        <w:t>. Prosecutor’s Report No. 226 of July 18, 2001. Annex to State’s submission of September 16, 2004.</w:t>
      </w:r>
    </w:p>
  </w:footnote>
  <w:footnote w:id="54">
    <w:p w14:paraId="7D9F02B5" w14:textId="75380F07"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Annex </w:t>
      </w:r>
      <w:r w:rsidR="00375943">
        <w:rPr>
          <w:rFonts w:asciiTheme="majorHAnsi" w:hAnsiTheme="majorHAnsi"/>
          <w:sz w:val="16"/>
          <w:szCs w:val="16"/>
        </w:rPr>
        <w:t>29</w:t>
      </w:r>
      <w:r w:rsidRPr="00CE4DF7">
        <w:rPr>
          <w:rFonts w:asciiTheme="majorHAnsi" w:hAnsiTheme="majorHAnsi"/>
          <w:sz w:val="16"/>
          <w:szCs w:val="16"/>
        </w:rPr>
        <w:t>. A. No. 670 of Criminal Judge for Liquidations and Sentencing No 7 of November 6, 2002. Annex to State’s submission of September 16, 2004.</w:t>
      </w:r>
    </w:p>
  </w:footnote>
  <w:footnote w:id="55">
    <w:p w14:paraId="5837DF5A" w14:textId="692CA399"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Article 4 of the American Convention establishes the following in the relevant portion: 1. Every person has the right to have his life respected. This right shall be protected by law and, in general, from the moment of conception. No one shall be arbitrarily deprived of his life. (…)</w:t>
      </w:r>
    </w:p>
  </w:footnote>
  <w:footnote w:id="56">
    <w:p w14:paraId="72805470" w14:textId="348E7F39"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Article 5 of the American Convention establishes the following in the relevant portion: 2. No one shall be subjected to torture or to cruel, in human, or degrading punishment or treatment. All persons deprived of their liberty shall be treated with respect for the inherent dignity of the human person. </w:t>
      </w:r>
    </w:p>
  </w:footnote>
  <w:footnote w:id="57">
    <w:p w14:paraId="4034373C" w14:textId="5A973ECA"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Article 19 of the American Convention establishes the following in the relevant portion: Every minor child has the right to the measures of protection required by his condition as a minor on the part of his family, society, and the state. </w:t>
      </w:r>
    </w:p>
  </w:footnote>
  <w:footnote w:id="58">
    <w:p w14:paraId="2E37DE07" w14:textId="247E9993" w:rsidR="009B5B8D" w:rsidRPr="00CE4DF7" w:rsidRDefault="009B5B8D" w:rsidP="00300D46">
      <w:pPr>
        <w:pStyle w:val="FootnoteText"/>
        <w:tabs>
          <w:tab w:val="left" w:pos="720"/>
          <w:tab w:val="left" w:pos="900"/>
          <w:tab w:val="left" w:pos="1080"/>
        </w:tabs>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Case 12.270, Report No. 2/15, Merits, Johan Alexis Ortiz Hernández, Venezuela, January 29, 2015, par. 185.</w:t>
      </w:r>
    </w:p>
  </w:footnote>
  <w:footnote w:id="59">
    <w:p w14:paraId="304D753B" w14:textId="279F91C3" w:rsidR="009B5B8D" w:rsidRPr="00CE4DF7" w:rsidRDefault="009B5B8D" w:rsidP="00300D46">
      <w:pPr>
        <w:pStyle w:val="FootnoteText"/>
        <w:tabs>
          <w:tab w:val="left" w:pos="720"/>
          <w:tab w:val="left" w:pos="900"/>
          <w:tab w:val="left" w:pos="1080"/>
        </w:tabs>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 </w:t>
      </w:r>
      <w:r w:rsidRPr="00CE4DF7">
        <w:rPr>
          <w:rFonts w:asciiTheme="majorHAnsi" w:hAnsiTheme="majorHAnsi"/>
          <w:bCs/>
          <w:sz w:val="16"/>
          <w:szCs w:val="16"/>
        </w:rPr>
        <w:t xml:space="preserve">Case of Zambrano Vélez et al v. Ecuador. Merits, Reparations and Costs. Judgment of July 4, 2007. </w:t>
      </w:r>
      <w:r w:rsidRPr="00CE4DF7">
        <w:rPr>
          <w:rFonts w:asciiTheme="majorHAnsi" w:hAnsiTheme="majorHAnsi"/>
          <w:sz w:val="16"/>
          <w:szCs w:val="16"/>
        </w:rPr>
        <w:t>Series C No. 166, par. 80. Also see: IACHR, Case 12.270, Report No. 2/15, Merits, Johan Alexis Ortiz Hernández, Venezuela, January 29, 2015, par. 186.</w:t>
      </w:r>
    </w:p>
  </w:footnote>
  <w:footnote w:id="60">
    <w:p w14:paraId="2697253D" w14:textId="77777777" w:rsidR="009B5B8D" w:rsidRPr="00CE4DF7" w:rsidRDefault="009B5B8D" w:rsidP="00300D46">
      <w:pPr>
        <w:pStyle w:val="FootnoteText"/>
        <w:tabs>
          <w:tab w:val="left" w:pos="720"/>
          <w:tab w:val="left" w:pos="900"/>
          <w:tab w:val="left" w:pos="1080"/>
        </w:tabs>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ECHR, Case McCann and others v. The United Kingdom. Application No. 27229/95, 27 September 1995, § 146.</w:t>
      </w:r>
    </w:p>
  </w:footnote>
  <w:footnote w:id="61">
    <w:p w14:paraId="0F7C4F9C" w14:textId="402DD1AB" w:rsidR="009B5B8D" w:rsidRPr="00417E10" w:rsidRDefault="009B5B8D" w:rsidP="00300D46">
      <w:pPr>
        <w:pStyle w:val="FootnoteText"/>
        <w:jc w:val="both"/>
        <w:rPr>
          <w:rFonts w:asciiTheme="majorHAnsi" w:hAnsiTheme="majorHAnsi"/>
          <w:sz w:val="16"/>
          <w:szCs w:val="16"/>
          <w:lang w:val="fr-CA"/>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w:t>
      </w:r>
      <w:r w:rsidRPr="00CE4DF7">
        <w:rPr>
          <w:rFonts w:asciiTheme="majorHAnsi" w:hAnsiTheme="majorHAnsi"/>
          <w:i/>
          <w:sz w:val="16"/>
          <w:szCs w:val="16"/>
        </w:rPr>
        <w:t>Report on Violence, Children and Organized Crime</w:t>
      </w:r>
      <w:r w:rsidRPr="00CE4DF7">
        <w:rPr>
          <w:rFonts w:asciiTheme="majorHAnsi" w:hAnsiTheme="majorHAnsi"/>
          <w:sz w:val="16"/>
          <w:szCs w:val="16"/>
        </w:rPr>
        <w:t xml:space="preserve">. </w:t>
      </w:r>
      <w:r w:rsidRPr="00417E10">
        <w:rPr>
          <w:rFonts w:asciiTheme="majorHAnsi" w:hAnsiTheme="majorHAnsi"/>
          <w:sz w:val="16"/>
          <w:szCs w:val="16"/>
          <w:lang w:val="fr-CA"/>
        </w:rPr>
        <w:t>OEA/</w:t>
      </w:r>
      <w:proofErr w:type="spellStart"/>
      <w:r w:rsidRPr="00417E10">
        <w:rPr>
          <w:rFonts w:asciiTheme="majorHAnsi" w:hAnsiTheme="majorHAnsi"/>
          <w:sz w:val="16"/>
          <w:szCs w:val="16"/>
          <w:lang w:val="fr-CA"/>
        </w:rPr>
        <w:t>Ser.L</w:t>
      </w:r>
      <w:proofErr w:type="spellEnd"/>
      <w:r w:rsidRPr="00417E10">
        <w:rPr>
          <w:rFonts w:asciiTheme="majorHAnsi" w:hAnsiTheme="majorHAnsi"/>
          <w:sz w:val="16"/>
          <w:szCs w:val="16"/>
          <w:lang w:val="fr-CA"/>
        </w:rPr>
        <w:t xml:space="preserve">/V/II., Doc. 40/15, </w:t>
      </w:r>
      <w:proofErr w:type="spellStart"/>
      <w:r w:rsidRPr="00417E10">
        <w:rPr>
          <w:rFonts w:asciiTheme="majorHAnsi" w:hAnsiTheme="majorHAnsi"/>
          <w:sz w:val="16"/>
          <w:szCs w:val="16"/>
          <w:lang w:val="fr-CA"/>
        </w:rPr>
        <w:t>November</w:t>
      </w:r>
      <w:proofErr w:type="spellEnd"/>
      <w:r w:rsidRPr="00417E10">
        <w:rPr>
          <w:rFonts w:asciiTheme="majorHAnsi" w:hAnsiTheme="majorHAnsi"/>
          <w:sz w:val="16"/>
          <w:szCs w:val="16"/>
          <w:lang w:val="fr-CA"/>
        </w:rPr>
        <w:t xml:space="preserve"> 11, 2015, par. 271.</w:t>
      </w:r>
    </w:p>
  </w:footnote>
  <w:footnote w:id="62">
    <w:p w14:paraId="2F06BADC" w14:textId="03DEFC5A"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w:t>
      </w:r>
      <w:proofErr w:type="gramStart"/>
      <w:r w:rsidRPr="00CE4DF7">
        <w:rPr>
          <w:rFonts w:asciiTheme="majorHAnsi" w:hAnsiTheme="majorHAnsi"/>
          <w:sz w:val="16"/>
          <w:szCs w:val="16"/>
        </w:rPr>
        <w:t>IA Court of HR. Case of the “Juvenile Reeducation Institute” v. Paraguay.</w:t>
      </w:r>
      <w:proofErr w:type="gramEnd"/>
      <w:r w:rsidRPr="00CE4DF7">
        <w:rPr>
          <w:rFonts w:asciiTheme="majorHAnsi" w:hAnsiTheme="majorHAnsi"/>
          <w:sz w:val="16"/>
          <w:szCs w:val="16"/>
        </w:rPr>
        <w:t xml:space="preserve"> Preliminary Objections, Merits, Reparations and Costs. Judgment of September 2, 2004. Series C No. 112, par. 160.</w:t>
      </w:r>
    </w:p>
  </w:footnote>
  <w:footnote w:id="63">
    <w:p w14:paraId="303B63B0" w14:textId="1375791D"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 </w:t>
      </w:r>
      <w:r w:rsidRPr="00CE4DF7">
        <w:rPr>
          <w:rFonts w:asciiTheme="majorHAnsi" w:hAnsiTheme="majorHAnsi"/>
          <w:bCs/>
          <w:sz w:val="16"/>
          <w:szCs w:val="16"/>
        </w:rPr>
        <w:t xml:space="preserve">Case of Quispialaya Vilcapoma v. Peru. Preliminary Objections, Merits, Reparations and Costs. Judgment of November </w:t>
      </w:r>
      <w:r w:rsidRPr="00CE4DF7">
        <w:rPr>
          <w:rFonts w:asciiTheme="majorHAnsi" w:hAnsiTheme="majorHAnsi"/>
          <w:sz w:val="16"/>
          <w:szCs w:val="16"/>
        </w:rPr>
        <w:t xml:space="preserve">23, 2015. Series C No. 320, par. 115 y ss. </w:t>
      </w:r>
    </w:p>
  </w:footnote>
  <w:footnote w:id="64">
    <w:p w14:paraId="716C21A3" w14:textId="4AF8B5D1" w:rsidR="009B5B8D" w:rsidRPr="00417E10" w:rsidRDefault="009B5B8D" w:rsidP="00300D46">
      <w:pPr>
        <w:pStyle w:val="FootnoteText"/>
        <w:jc w:val="both"/>
        <w:rPr>
          <w:rFonts w:asciiTheme="majorHAnsi" w:hAnsiTheme="majorHAnsi"/>
          <w:sz w:val="16"/>
          <w:szCs w:val="16"/>
          <w:lang w:val="pt-BR"/>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w:t>
      </w:r>
      <w:r w:rsidRPr="00417E10">
        <w:rPr>
          <w:rFonts w:asciiTheme="majorHAnsi" w:hAnsiTheme="majorHAnsi"/>
          <w:sz w:val="16"/>
          <w:szCs w:val="16"/>
          <w:lang w:val="pt-BR"/>
        </w:rPr>
        <w:t>Case 12.482, Report No. 84/13, Merits, Valdemir Quispealaya Vilcapoma, Peru, November 4, 2013, par. 114.</w:t>
      </w:r>
    </w:p>
  </w:footnote>
  <w:footnote w:id="65">
    <w:p w14:paraId="5C536E16" w14:textId="1CFEAD55" w:rsidR="009B5B8D" w:rsidRPr="00CE4DF7" w:rsidRDefault="009B5B8D" w:rsidP="00300D46">
      <w:pPr>
        <w:jc w:val="both"/>
        <w:rPr>
          <w:rFonts w:asciiTheme="majorHAnsi" w:eastAsia="Times New Roman"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w:t>
      </w:r>
      <w:r w:rsidRPr="00CE4DF7">
        <w:rPr>
          <w:rFonts w:asciiTheme="majorHAnsi" w:eastAsia="Times New Roman" w:hAnsiTheme="majorHAnsi"/>
          <w:bCs/>
          <w:color w:val="000000"/>
          <w:sz w:val="16"/>
          <w:szCs w:val="16"/>
        </w:rPr>
        <w:t xml:space="preserve"> Case of Ortiz Hernández et al v. Venezuela. Merits, Reparations and Costs. Judgment of August 22, 2017. Series C No. 338. Par. 107. </w:t>
      </w:r>
    </w:p>
    <w:p w14:paraId="07B33636" w14:textId="77777777" w:rsidR="009B5B8D" w:rsidRPr="00CE4DF7" w:rsidRDefault="009B5B8D" w:rsidP="00300D46">
      <w:pPr>
        <w:pStyle w:val="FootnoteText"/>
        <w:jc w:val="both"/>
        <w:rPr>
          <w:rFonts w:asciiTheme="majorHAnsi" w:hAnsiTheme="majorHAnsi"/>
          <w:sz w:val="16"/>
          <w:szCs w:val="16"/>
        </w:rPr>
      </w:pPr>
    </w:p>
  </w:footnote>
  <w:footnote w:id="66">
    <w:p w14:paraId="01335E88" w14:textId="077D8DA6"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Article 8 of the American Convention provides, in the relevant portion: </w:t>
      </w:r>
      <w:r w:rsidRPr="00CE4DF7">
        <w:rPr>
          <w:rFonts w:asciiTheme="majorHAnsi" w:hAnsiTheme="majorHAnsi"/>
          <w:sz w:val="16"/>
          <w:szCs w:val="16"/>
          <w:lang w:bidi="en-US"/>
        </w:rPr>
        <w:t xml:space="preserve">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67">
    <w:p w14:paraId="2ABE41A1" w14:textId="7362BA8D"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Article 25 of the American Convention provides, in the relevant portion: 1. Everyone has the right to a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footnote>
  <w:footnote w:id="68">
    <w:p w14:paraId="5FE87622" w14:textId="2BFDE26E" w:rsidR="009B5B8D" w:rsidRPr="00CE4DF7" w:rsidRDefault="009B5B8D" w:rsidP="00300D46">
      <w:pPr>
        <w:pStyle w:val="FootnoteText"/>
        <w:tabs>
          <w:tab w:val="left" w:pos="720"/>
        </w:tabs>
        <w:jc w:val="both"/>
        <w:rPr>
          <w:rFonts w:asciiTheme="majorHAnsi" w:hAnsiTheme="majorHAnsi" w:cs="Arial"/>
          <w:sz w:val="16"/>
          <w:szCs w:val="16"/>
        </w:rPr>
      </w:pPr>
      <w:r w:rsidRPr="00CE4DF7">
        <w:rPr>
          <w:rStyle w:val="FootnoteReference"/>
          <w:rFonts w:asciiTheme="majorHAnsi" w:hAnsiTheme="majorHAnsi"/>
          <w:sz w:val="16"/>
          <w:szCs w:val="16"/>
        </w:rPr>
        <w:footnoteRef/>
      </w:r>
      <w:r w:rsidRPr="00417E10">
        <w:rPr>
          <w:rFonts w:asciiTheme="majorHAnsi" w:hAnsiTheme="majorHAnsi"/>
          <w:sz w:val="16"/>
          <w:szCs w:val="16"/>
          <w:lang w:val="es-ES"/>
        </w:rPr>
        <w:t xml:space="preserve"> IACHR. </w:t>
      </w:r>
      <w:proofErr w:type="spellStart"/>
      <w:r w:rsidRPr="00417E10">
        <w:rPr>
          <w:rFonts w:asciiTheme="majorHAnsi" w:hAnsiTheme="majorHAnsi"/>
          <w:sz w:val="16"/>
          <w:szCs w:val="16"/>
          <w:lang w:val="es-ES"/>
        </w:rPr>
        <w:t>Report</w:t>
      </w:r>
      <w:proofErr w:type="spellEnd"/>
      <w:r w:rsidRPr="00417E10">
        <w:rPr>
          <w:rFonts w:asciiTheme="majorHAnsi" w:hAnsiTheme="majorHAnsi"/>
          <w:sz w:val="16"/>
          <w:szCs w:val="16"/>
          <w:lang w:val="es-ES"/>
        </w:rPr>
        <w:t xml:space="preserve"> 53/01. Case 11.565. Ana, Beatriz and Cecilia González Pérez. </w:t>
      </w:r>
      <w:r w:rsidRPr="00CE4DF7">
        <w:rPr>
          <w:rFonts w:asciiTheme="majorHAnsi" w:hAnsiTheme="majorHAnsi"/>
          <w:sz w:val="16"/>
          <w:szCs w:val="16"/>
        </w:rPr>
        <w:t xml:space="preserve">Mexico. April 4, 2001, par. 81. </w:t>
      </w:r>
    </w:p>
  </w:footnote>
  <w:footnote w:id="69">
    <w:p w14:paraId="7408E7FA" w14:textId="73B76709" w:rsidR="009B5B8D" w:rsidRPr="00CE4DF7" w:rsidRDefault="009B5B8D" w:rsidP="00300D46">
      <w:pPr>
        <w:tabs>
          <w:tab w:val="left" w:pos="720"/>
          <w:tab w:val="left" w:pos="900"/>
          <w:tab w:val="left" w:pos="1080"/>
        </w:tabs>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 Case of Radilla Pacheco v. Mexico. Preliminary Objections, Merits, Reparations and Costs. Judgment of November 23, 2009. Series C No. 209, par. 272.</w:t>
      </w:r>
    </w:p>
  </w:footnote>
  <w:footnote w:id="70">
    <w:p w14:paraId="14B86074" w14:textId="48477032"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Report No. 84/13, Case 12.482, Merits, Valdemir Quispealaya Vilcapoma, Peru. November 4, 2013. Par. 131.</w:t>
      </w:r>
    </w:p>
  </w:footnote>
  <w:footnote w:id="71">
    <w:p w14:paraId="0058F4B9" w14:textId="06A0B0C4"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 </w:t>
      </w:r>
      <w:r w:rsidRPr="00CE4DF7">
        <w:rPr>
          <w:rFonts w:asciiTheme="majorHAnsi" w:hAnsiTheme="majorHAnsi"/>
          <w:i/>
          <w:sz w:val="16"/>
          <w:szCs w:val="16"/>
        </w:rPr>
        <w:t>Case of Mendoza et al v. Argentina</w:t>
      </w:r>
      <w:r w:rsidRPr="00CE4DF7">
        <w:rPr>
          <w:rFonts w:asciiTheme="majorHAnsi" w:hAnsiTheme="majorHAnsi"/>
          <w:sz w:val="16"/>
          <w:szCs w:val="16"/>
        </w:rPr>
        <w:t>. Preliminary Objections, Merits and Reparations. Judgment of May 14, 2013. Series C No. 260. Par. 218. Also see: Cfr. Case of Velásquez Rodríguez v. Honduras. Merits, par. 177, and Case of the Massacre of Santo Domingo v. Colombia, par. 157.</w:t>
      </w:r>
    </w:p>
  </w:footnote>
  <w:footnote w:id="72">
    <w:p w14:paraId="6FB1019F" w14:textId="1F17876A"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 </w:t>
      </w:r>
      <w:r w:rsidRPr="00CE4DF7">
        <w:rPr>
          <w:rFonts w:asciiTheme="majorHAnsi" w:hAnsiTheme="majorHAnsi"/>
          <w:i/>
          <w:sz w:val="16"/>
          <w:szCs w:val="16"/>
        </w:rPr>
        <w:t xml:space="preserve">Velásquez Rodríguez v. Honduras. </w:t>
      </w:r>
      <w:r w:rsidRPr="00CE4DF7">
        <w:rPr>
          <w:rFonts w:asciiTheme="majorHAnsi" w:hAnsiTheme="majorHAnsi"/>
          <w:sz w:val="16"/>
          <w:szCs w:val="16"/>
        </w:rPr>
        <w:t>Merits. Judgment of July 29, 1988. Series C, No. 6, par. 177.</w:t>
      </w:r>
    </w:p>
  </w:footnote>
  <w:footnote w:id="73">
    <w:p w14:paraId="7498153D" w14:textId="2C77437B"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w:t>
      </w:r>
      <w:r w:rsidRPr="00CE4DF7">
        <w:rPr>
          <w:rFonts w:asciiTheme="majorHAnsi" w:eastAsia="Times New Roman" w:hAnsiTheme="majorHAnsi"/>
          <w:bCs/>
          <w:sz w:val="16"/>
          <w:szCs w:val="16"/>
        </w:rPr>
        <w:t xml:space="preserve">. Case of Ortiz Hernández et al v. Venezuela. Merits, Reparations and Costs. Judgment of August 22, 2017. Series C No. 338. Par. 161. </w:t>
      </w:r>
    </w:p>
  </w:footnote>
  <w:footnote w:id="74">
    <w:p w14:paraId="0973C3B8" w14:textId="741D29B9"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UN. </w:t>
      </w:r>
      <w:r w:rsidRPr="00CE4DF7">
        <w:rPr>
          <w:rFonts w:asciiTheme="majorHAnsi" w:hAnsiTheme="majorHAnsi"/>
          <w:i/>
          <w:sz w:val="16"/>
          <w:szCs w:val="16"/>
        </w:rPr>
        <w:t>The Minnesota Protocol on the Investigation of Potentially Unlawful Death (2016)</w:t>
      </w:r>
      <w:r w:rsidRPr="00CE4DF7">
        <w:rPr>
          <w:rFonts w:asciiTheme="majorHAnsi" w:hAnsiTheme="majorHAnsi"/>
          <w:sz w:val="16"/>
          <w:szCs w:val="16"/>
        </w:rPr>
        <w:t>, Office of the United Nations High Commissioner for Human Rights, New York/Geneva, 2017. Par. 86</w:t>
      </w:r>
    </w:p>
  </w:footnote>
  <w:footnote w:id="75">
    <w:p w14:paraId="39281561" w14:textId="12E354A8"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Ibidem. Pars. 148-182 and 255, 264 266.</w:t>
      </w:r>
    </w:p>
  </w:footnote>
  <w:footnote w:id="76">
    <w:p w14:paraId="51C8F22B" w14:textId="22C8BA8B"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 </w:t>
      </w:r>
      <w:r w:rsidRPr="00CE4DF7">
        <w:rPr>
          <w:rFonts w:asciiTheme="majorHAnsi" w:hAnsiTheme="majorHAnsi"/>
          <w:i/>
          <w:sz w:val="16"/>
          <w:szCs w:val="16"/>
        </w:rPr>
        <w:t xml:space="preserve">Case of Vargas Areco v. Paraguay. </w:t>
      </w:r>
      <w:r w:rsidRPr="00CE4DF7">
        <w:rPr>
          <w:rFonts w:asciiTheme="majorHAnsi" w:hAnsiTheme="majorHAnsi"/>
          <w:sz w:val="16"/>
          <w:szCs w:val="16"/>
        </w:rPr>
        <w:t>Judgment of September 26, 2006. Series C No 155, par. 196</w:t>
      </w:r>
      <w:r w:rsidRPr="00CE4DF7">
        <w:rPr>
          <w:rStyle w:val="FootnoteTextChar"/>
          <w:rFonts w:asciiTheme="majorHAnsi" w:hAnsiTheme="majorHAnsi"/>
          <w:sz w:val="16"/>
          <w:szCs w:val="16"/>
        </w:rPr>
        <w:t xml:space="preserve">; </w:t>
      </w:r>
      <w:hyperlink r:id="rId1" w:history="1">
        <w:r w:rsidRPr="00CE4DF7">
          <w:rPr>
            <w:rStyle w:val="FootnoteTextChar"/>
            <w:rFonts w:asciiTheme="majorHAnsi" w:hAnsiTheme="majorHAnsi"/>
            <w:sz w:val="16"/>
            <w:szCs w:val="16"/>
          </w:rPr>
          <w:t>Case of the Massacres of  Ituango v. Colombia. Judgment of July 1, 2006 Series C No. 148, par. 289</w:t>
        </w:r>
      </w:hyperlink>
      <w:r w:rsidRPr="00CE4DF7">
        <w:rPr>
          <w:rStyle w:val="FootnoteTextChar"/>
          <w:rFonts w:asciiTheme="majorHAnsi" w:hAnsiTheme="majorHAnsi"/>
          <w:sz w:val="16"/>
          <w:szCs w:val="16"/>
        </w:rPr>
        <w:t xml:space="preserve">; and IA Court of HR. </w:t>
      </w:r>
      <w:r w:rsidRPr="00CE4DF7">
        <w:rPr>
          <w:rStyle w:val="FootnoteTextChar"/>
          <w:rFonts w:asciiTheme="majorHAnsi" w:hAnsiTheme="majorHAnsi"/>
          <w:i/>
          <w:sz w:val="16"/>
          <w:szCs w:val="16"/>
        </w:rPr>
        <w:t xml:space="preserve">Case of Baldeón García v. Peru. </w:t>
      </w:r>
      <w:r w:rsidRPr="00CE4DF7">
        <w:rPr>
          <w:rStyle w:val="FootnoteTextChar"/>
          <w:rFonts w:asciiTheme="majorHAnsi" w:hAnsiTheme="majorHAnsi"/>
          <w:sz w:val="16"/>
          <w:szCs w:val="16"/>
        </w:rPr>
        <w:t>Merits, Reparations and Costs. Judgment of April 6, 2006. Series C No. 147, par. 151.</w:t>
      </w:r>
    </w:p>
  </w:footnote>
  <w:footnote w:id="77">
    <w:p w14:paraId="24FF43D9" w14:textId="564D2E60"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w:t>
      </w:r>
      <w:r w:rsidRPr="00CE4DF7">
        <w:rPr>
          <w:rFonts w:asciiTheme="majorHAnsi" w:hAnsiTheme="majorHAnsi"/>
          <w:noProof/>
          <w:sz w:val="16"/>
          <w:szCs w:val="16"/>
        </w:rPr>
        <w:t xml:space="preserve"> </w:t>
      </w:r>
      <w:r w:rsidRPr="00417E10">
        <w:rPr>
          <w:rFonts w:asciiTheme="majorHAnsi" w:hAnsiTheme="majorHAnsi"/>
          <w:i/>
          <w:noProof/>
          <w:sz w:val="16"/>
          <w:szCs w:val="16"/>
          <w:lang w:val="es-ES"/>
        </w:rPr>
        <w:t>Case of Valle Jaramillo et al v. Colombia</w:t>
      </w:r>
      <w:r w:rsidRPr="00417E10">
        <w:rPr>
          <w:rFonts w:asciiTheme="majorHAnsi" w:hAnsiTheme="majorHAnsi"/>
          <w:noProof/>
          <w:sz w:val="16"/>
          <w:szCs w:val="16"/>
          <w:lang w:val="es-ES"/>
        </w:rPr>
        <w:t xml:space="preserve">. </w:t>
      </w:r>
      <w:r w:rsidRPr="00CE4DF7">
        <w:rPr>
          <w:rFonts w:asciiTheme="majorHAnsi" w:hAnsiTheme="majorHAnsi"/>
          <w:noProof/>
          <w:sz w:val="16"/>
          <w:szCs w:val="16"/>
        </w:rPr>
        <w:t>Merits, Reparations and Costs. Judgment of November 27, 2008. Series C No. 192, par. 155.</w:t>
      </w:r>
    </w:p>
  </w:footnote>
  <w:footnote w:id="78">
    <w:p w14:paraId="6FDAA8B5" w14:textId="4B5ECFB8"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 </w:t>
      </w:r>
      <w:r w:rsidRPr="00CE4DF7">
        <w:rPr>
          <w:rFonts w:asciiTheme="majorHAnsi" w:hAnsiTheme="majorHAnsi"/>
          <w:i/>
          <w:sz w:val="16"/>
          <w:szCs w:val="16"/>
        </w:rPr>
        <w:t xml:space="preserve">Velásquez Rodríguez v. Honduras. </w:t>
      </w:r>
      <w:r w:rsidRPr="00CE4DF7">
        <w:rPr>
          <w:rFonts w:asciiTheme="majorHAnsi" w:hAnsiTheme="majorHAnsi"/>
          <w:sz w:val="16"/>
          <w:szCs w:val="16"/>
        </w:rPr>
        <w:t>Merits. Judgment of July 29, 1988. Series C, No. 6, par. 177.</w:t>
      </w:r>
    </w:p>
  </w:footnote>
  <w:footnote w:id="79">
    <w:p w14:paraId="32870F88" w14:textId="320A202B" w:rsidR="009B5B8D" w:rsidRPr="00417E10" w:rsidRDefault="009B5B8D" w:rsidP="00300D46">
      <w:pPr>
        <w:pStyle w:val="FootnoteText"/>
        <w:jc w:val="both"/>
        <w:rPr>
          <w:rFonts w:asciiTheme="majorHAnsi" w:hAnsiTheme="majorHAnsi"/>
          <w:sz w:val="16"/>
          <w:szCs w:val="16"/>
          <w:lang w:val="fr-CA"/>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w:t>
      </w:r>
      <w:r w:rsidRPr="00CE4DF7">
        <w:rPr>
          <w:rFonts w:asciiTheme="majorHAnsi" w:hAnsiTheme="majorHAnsi"/>
          <w:i/>
          <w:sz w:val="16"/>
          <w:szCs w:val="16"/>
        </w:rPr>
        <w:t xml:space="preserve"> Report on the Right of Boys and Girls to a Family. Alternative Care. Ending Institutionalization in the Americas. </w:t>
      </w:r>
      <w:r w:rsidRPr="00417E10">
        <w:rPr>
          <w:rFonts w:asciiTheme="majorHAnsi" w:hAnsiTheme="majorHAnsi"/>
          <w:sz w:val="16"/>
          <w:szCs w:val="16"/>
          <w:lang w:val="fr-CA"/>
        </w:rPr>
        <w:t>OEA/</w:t>
      </w:r>
      <w:proofErr w:type="spellStart"/>
      <w:r w:rsidRPr="00417E10">
        <w:rPr>
          <w:rFonts w:asciiTheme="majorHAnsi" w:hAnsiTheme="majorHAnsi"/>
          <w:sz w:val="16"/>
          <w:szCs w:val="16"/>
          <w:lang w:val="fr-CA"/>
        </w:rPr>
        <w:t>Ser.L</w:t>
      </w:r>
      <w:proofErr w:type="spellEnd"/>
      <w:r w:rsidRPr="00417E10">
        <w:rPr>
          <w:rFonts w:asciiTheme="majorHAnsi" w:hAnsiTheme="majorHAnsi"/>
          <w:sz w:val="16"/>
          <w:szCs w:val="16"/>
          <w:lang w:val="fr-CA"/>
        </w:rPr>
        <w:t xml:space="preserve">/V/II. Doc.54/13 of </w:t>
      </w:r>
      <w:proofErr w:type="spellStart"/>
      <w:r w:rsidRPr="00417E10">
        <w:rPr>
          <w:rFonts w:asciiTheme="majorHAnsi" w:hAnsiTheme="majorHAnsi"/>
          <w:sz w:val="16"/>
          <w:szCs w:val="16"/>
          <w:lang w:val="fr-CA"/>
        </w:rPr>
        <w:t>October</w:t>
      </w:r>
      <w:proofErr w:type="spellEnd"/>
      <w:r w:rsidRPr="00417E10">
        <w:rPr>
          <w:rFonts w:asciiTheme="majorHAnsi" w:hAnsiTheme="majorHAnsi"/>
          <w:sz w:val="16"/>
          <w:szCs w:val="16"/>
          <w:lang w:val="fr-CA"/>
        </w:rPr>
        <w:t xml:space="preserve"> 17, 2013, par. 31 et </w:t>
      </w:r>
      <w:proofErr w:type="spellStart"/>
      <w:r w:rsidRPr="00417E10">
        <w:rPr>
          <w:rFonts w:asciiTheme="majorHAnsi" w:hAnsiTheme="majorHAnsi"/>
          <w:sz w:val="16"/>
          <w:szCs w:val="16"/>
          <w:lang w:val="fr-CA"/>
        </w:rPr>
        <w:t>seq</w:t>
      </w:r>
      <w:proofErr w:type="spellEnd"/>
      <w:r w:rsidRPr="00417E10">
        <w:rPr>
          <w:rFonts w:asciiTheme="majorHAnsi" w:hAnsiTheme="majorHAnsi"/>
          <w:sz w:val="16"/>
          <w:szCs w:val="16"/>
          <w:lang w:val="fr-CA"/>
        </w:rPr>
        <w:t xml:space="preserve">. </w:t>
      </w:r>
    </w:p>
  </w:footnote>
  <w:footnote w:id="80">
    <w:p w14:paraId="026B9DEA" w14:textId="76B90654"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Convention on the Rights of the Child in force from September 2, 1989, Article 38.3; Optional Protocol to the Convention on the Rights of the Child on the involvement of children in armed conflicts, in force since February 12, 2002, Article 3; Rome Statute, in force since July 1, 2002, Article 8.2.e.vii. Also, forced or compulsory recruitment of children is defined as one of the worst forms of child labor, pursuant to Article 3.a. of ILO Convention 182, in force since November 19, 2000.  </w:t>
      </w:r>
    </w:p>
  </w:footnote>
  <w:footnote w:id="81">
    <w:p w14:paraId="7595D4C0" w14:textId="30F3C484"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Third Report on the Situation of Human Rights in Colombia. OEA/Ser.L/V/II.102 Doc. 9 rev. 1. February 26, 1999, par. 66.</w:t>
      </w:r>
    </w:p>
  </w:footnote>
  <w:footnote w:id="82">
    <w:p w14:paraId="100FB32E" w14:textId="6ADD4FC4"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Report No. 85/09, Case 11.607, Report on the Merits (publication), Víctor Hugo Maciel, Paraguay, August 6, 2009 pars. 51-80; IACHR, Third Report on the Situation of Human Rights in Paraguay, OEA/Ser./L/VII.110 doc. 52, March 9, 2001, par. 37 et seq; IACHR, 1999 Annual Report of the Inter-American Commission on Human Rights, Chapter 6, Recommendation on eradication of the recruitment and participation of children in armed conflicts, OEA/Ser.L/V/II.106Doc. 3, April 13, 2000, pg. 1619. IACHR, Application of the IACHR to the IA Court of HR in the ca</w:t>
      </w:r>
      <w:r>
        <w:rPr>
          <w:rFonts w:asciiTheme="majorHAnsi" w:hAnsiTheme="majorHAnsi"/>
          <w:sz w:val="16"/>
          <w:szCs w:val="16"/>
        </w:rPr>
        <w:t>se of Gerardo Vargas Areco, Case</w:t>
      </w:r>
      <w:r w:rsidRPr="00CE4DF7">
        <w:rPr>
          <w:rFonts w:asciiTheme="majorHAnsi" w:hAnsiTheme="majorHAnsi"/>
          <w:sz w:val="16"/>
          <w:szCs w:val="16"/>
        </w:rPr>
        <w:t xml:space="preserve"> 12.300, Paraguay, March 27, 2005, par. 33-63.</w:t>
      </w:r>
    </w:p>
  </w:footnote>
  <w:footnote w:id="83">
    <w:p w14:paraId="4559A5A1" w14:textId="578FCBFC"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IACHR. Report No. 85/09, Case 11.607, Report on the Merits (publication), Víctor Hugo Maciel, Paraguay, August 6, 2009 par. 62.</w:t>
      </w:r>
    </w:p>
  </w:footnote>
  <w:footnote w:id="84">
    <w:p w14:paraId="1B33FAFD" w14:textId="69F58B71"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The Commission </w:t>
      </w:r>
      <w:r>
        <w:rPr>
          <w:rFonts w:asciiTheme="majorHAnsi" w:hAnsiTheme="majorHAnsi"/>
          <w:sz w:val="16"/>
          <w:szCs w:val="16"/>
        </w:rPr>
        <w:t xml:space="preserve">considers </w:t>
      </w:r>
      <w:r w:rsidRPr="00CE4DF7">
        <w:rPr>
          <w:rFonts w:asciiTheme="majorHAnsi" w:hAnsiTheme="majorHAnsi"/>
          <w:sz w:val="16"/>
          <w:szCs w:val="16"/>
        </w:rPr>
        <w:t xml:space="preserve">that on this subject matter, the Optional Protocol to the Convention on the Rights of the Child on the involvement of children in armed conflicts, in force for Paraguay since September 27, 2002, after the events of the instant case, establishes in Article 3.3. “States Parties that permit voluntary recruitment into their national armed forces under the age of 18 years shall maintain safeguards to ensure, as a minimum, that: a) Such recruitment is genuinely voluntary; b) Such recruitment is carried out with the informed consent of the person’s parents or legal guardians; c) </w:t>
      </w:r>
      <w:r>
        <w:rPr>
          <w:rFonts w:asciiTheme="majorHAnsi" w:hAnsiTheme="majorHAnsi"/>
          <w:sz w:val="16"/>
          <w:szCs w:val="16"/>
        </w:rPr>
        <w:t xml:space="preserve">Such </w:t>
      </w:r>
      <w:r w:rsidRPr="00CE4DF7">
        <w:rPr>
          <w:rFonts w:asciiTheme="majorHAnsi" w:hAnsiTheme="majorHAnsi"/>
          <w:sz w:val="16"/>
          <w:szCs w:val="16"/>
        </w:rPr>
        <w:t xml:space="preserve">persons </w:t>
      </w:r>
      <w:r>
        <w:rPr>
          <w:rFonts w:asciiTheme="majorHAnsi" w:hAnsiTheme="majorHAnsi"/>
          <w:sz w:val="16"/>
          <w:szCs w:val="16"/>
        </w:rPr>
        <w:t>are fully informed of the duties involved in such military service. d) Such</w:t>
      </w:r>
      <w:r w:rsidRPr="00CE4DF7">
        <w:rPr>
          <w:rFonts w:asciiTheme="majorHAnsi" w:hAnsiTheme="majorHAnsi"/>
          <w:sz w:val="16"/>
          <w:szCs w:val="16"/>
        </w:rPr>
        <w:t xml:space="preserve"> persons provide reliable proof of age prior to acceptance into national military service. </w:t>
      </w:r>
    </w:p>
  </w:footnote>
  <w:footnote w:id="85">
    <w:p w14:paraId="34308C29" w14:textId="62393CF4" w:rsidR="009B5B8D" w:rsidRPr="00CE4DF7" w:rsidRDefault="009B5B8D" w:rsidP="00300D46">
      <w:pPr>
        <w:pStyle w:val="FootnoteText"/>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Article 5 of the American Convention provides: </w:t>
      </w:r>
      <w:r w:rsidRPr="00CE4DF7">
        <w:rPr>
          <w:rFonts w:asciiTheme="majorHAnsi" w:hAnsiTheme="majorHAnsi" w:cs="Verdana"/>
          <w:sz w:val="16"/>
          <w:szCs w:val="16"/>
          <w:lang w:bidi="en-US"/>
        </w:rPr>
        <w:t xml:space="preserve">1. Every person has the right to have his physical, mental, and moral integrity respected. </w:t>
      </w:r>
    </w:p>
  </w:footnote>
  <w:footnote w:id="86">
    <w:p w14:paraId="457DC8FA" w14:textId="65D77793" w:rsidR="009B5B8D" w:rsidRPr="00CE4DF7" w:rsidRDefault="009B5B8D" w:rsidP="00300D46">
      <w:pPr>
        <w:tabs>
          <w:tab w:val="left" w:pos="720"/>
          <w:tab w:val="left" w:pos="900"/>
          <w:tab w:val="left" w:pos="1080"/>
        </w:tabs>
        <w:jc w:val="both"/>
        <w:rPr>
          <w:rFonts w:asciiTheme="majorHAnsi" w:hAnsiTheme="majorHAnsi"/>
          <w:sz w:val="16"/>
          <w:szCs w:val="16"/>
        </w:rPr>
      </w:pPr>
      <w:r w:rsidRPr="00CE4DF7">
        <w:rPr>
          <w:rStyle w:val="FootnoteReference"/>
          <w:rFonts w:asciiTheme="majorHAnsi" w:hAnsiTheme="majorHAnsi" w:cs="Arial"/>
          <w:sz w:val="16"/>
          <w:szCs w:val="16"/>
        </w:rPr>
        <w:footnoteRef/>
      </w:r>
      <w:r w:rsidRPr="00CE4DF7">
        <w:rPr>
          <w:rFonts w:asciiTheme="majorHAnsi" w:hAnsiTheme="majorHAnsi" w:cs="Arial"/>
          <w:sz w:val="16"/>
          <w:szCs w:val="16"/>
        </w:rPr>
        <w:t xml:space="preserve"> IACHR. Report </w:t>
      </w:r>
      <w:r w:rsidRPr="00CE4DF7">
        <w:rPr>
          <w:rFonts w:asciiTheme="majorHAnsi" w:hAnsiTheme="majorHAnsi"/>
          <w:sz w:val="16"/>
          <w:szCs w:val="16"/>
        </w:rPr>
        <w:t>No. 11/10. Case 12.488. Merits. Barrios Family Members. Venezuela. March 16, 2010. Par. 91. IACHR. Report on Terrorism and Human Rights. Par. 227; IA Court of HR.</w:t>
      </w:r>
      <w:r w:rsidRPr="00CE4DF7">
        <w:rPr>
          <w:rFonts w:asciiTheme="majorHAnsi" w:hAnsiTheme="majorHAnsi" w:cs="Arial"/>
          <w:sz w:val="16"/>
          <w:szCs w:val="16"/>
        </w:rPr>
        <w:t xml:space="preserve"> </w:t>
      </w:r>
      <w:r w:rsidRPr="00CE4DF7">
        <w:rPr>
          <w:rFonts w:asciiTheme="majorHAnsi" w:hAnsiTheme="majorHAnsi" w:cs="Arial"/>
          <w:bCs/>
          <w:sz w:val="16"/>
          <w:szCs w:val="16"/>
        </w:rPr>
        <w:t>Case of Cantoral Huamaní and García Santa Cruz v. Peru. Preliminary Objection</w:t>
      </w:r>
      <w:r w:rsidRPr="00CE4DF7">
        <w:rPr>
          <w:rFonts w:asciiTheme="majorHAnsi" w:hAnsiTheme="majorHAnsi" w:cs="Arial"/>
          <w:sz w:val="16"/>
          <w:szCs w:val="16"/>
        </w:rPr>
        <w:t xml:space="preserve">, Merits, Reparations and Costs. Judgment of July 10, 2007. Series C No. 167. par. 112; and Case of Bueno Alves v. Argentina. Merits, Reparations and Costs. Judgment of May 11, 2007. Series C. No. 164. par. 102. </w:t>
      </w:r>
    </w:p>
  </w:footnote>
  <w:footnote w:id="87">
    <w:p w14:paraId="0593EE9F" w14:textId="159F3D48" w:rsidR="009B5B8D" w:rsidRPr="00CE4DF7" w:rsidRDefault="009B5B8D" w:rsidP="00300D46">
      <w:pPr>
        <w:tabs>
          <w:tab w:val="left" w:pos="720"/>
          <w:tab w:val="left" w:pos="900"/>
          <w:tab w:val="left" w:pos="1080"/>
        </w:tabs>
        <w:jc w:val="both"/>
        <w:rPr>
          <w:rFonts w:asciiTheme="majorHAnsi" w:hAnsiTheme="majorHAnsi"/>
          <w:sz w:val="16"/>
          <w:szCs w:val="16"/>
        </w:rPr>
      </w:pPr>
      <w:r w:rsidRPr="00CE4DF7">
        <w:rPr>
          <w:rStyle w:val="FootnoteReference"/>
          <w:rFonts w:asciiTheme="majorHAnsi" w:hAnsiTheme="majorHAnsi" w:cs="Arial"/>
          <w:sz w:val="16"/>
          <w:szCs w:val="16"/>
        </w:rPr>
        <w:footnoteRef/>
      </w:r>
      <w:r w:rsidRPr="00CE4DF7">
        <w:rPr>
          <w:rFonts w:asciiTheme="majorHAnsi" w:hAnsiTheme="majorHAnsi" w:cs="Arial"/>
          <w:sz w:val="16"/>
          <w:szCs w:val="16"/>
        </w:rPr>
        <w:t xml:space="preserve"> IA Court of HR. </w:t>
      </w:r>
      <w:r w:rsidRPr="00CE4DF7">
        <w:rPr>
          <w:rFonts w:asciiTheme="majorHAnsi" w:hAnsiTheme="majorHAnsi" w:cs="Arial"/>
          <w:bCs/>
          <w:sz w:val="16"/>
          <w:szCs w:val="16"/>
        </w:rPr>
        <w:t>Case of Cantoral Huamaní and García Santa Cruz v. Peru. Preliminary Objection</w:t>
      </w:r>
      <w:r w:rsidRPr="00CE4DF7">
        <w:rPr>
          <w:rFonts w:asciiTheme="majorHAnsi" w:hAnsiTheme="majorHAnsi" w:cs="Arial"/>
          <w:sz w:val="16"/>
          <w:szCs w:val="16"/>
        </w:rPr>
        <w:t>, Merits, Reparations and Costs. Judgment of July 10, 2007. Series C No. 167. par. 112; and Case of Vargas Areco v. Paraguay. Judgment of September 26, 2006. Series C No. 155. par. 96.</w:t>
      </w:r>
    </w:p>
  </w:footnote>
  <w:footnote w:id="88">
    <w:p w14:paraId="17360E66" w14:textId="14D8FF9F" w:rsidR="009B5B8D" w:rsidRPr="00CE4DF7" w:rsidRDefault="009B5B8D" w:rsidP="00300D46">
      <w:pPr>
        <w:pStyle w:val="FootnoteText"/>
        <w:tabs>
          <w:tab w:val="left" w:pos="720"/>
          <w:tab w:val="left" w:pos="900"/>
          <w:tab w:val="left" w:pos="1080"/>
        </w:tabs>
        <w:jc w:val="both"/>
        <w:rPr>
          <w:rFonts w:asciiTheme="majorHAnsi" w:hAnsiTheme="majorHAnsi"/>
          <w:sz w:val="16"/>
          <w:szCs w:val="16"/>
        </w:rPr>
      </w:pPr>
      <w:r w:rsidRPr="00CE4DF7">
        <w:rPr>
          <w:rStyle w:val="FootnoteReference"/>
          <w:rFonts w:asciiTheme="majorHAnsi" w:hAnsiTheme="majorHAnsi"/>
          <w:sz w:val="16"/>
          <w:szCs w:val="16"/>
        </w:rPr>
        <w:footnoteRef/>
      </w:r>
      <w:r w:rsidRPr="00CE4DF7">
        <w:rPr>
          <w:rFonts w:asciiTheme="majorHAnsi" w:hAnsiTheme="majorHAnsi"/>
          <w:sz w:val="16"/>
          <w:szCs w:val="16"/>
        </w:rPr>
        <w:t xml:space="preserve"> IA Court of HR. </w:t>
      </w:r>
      <w:r w:rsidRPr="00417E10">
        <w:rPr>
          <w:rFonts w:asciiTheme="majorHAnsi" w:hAnsiTheme="majorHAnsi"/>
          <w:sz w:val="16"/>
          <w:szCs w:val="16"/>
          <w:lang w:val="es-ES"/>
        </w:rPr>
        <w:t>Case of</w:t>
      </w:r>
      <w:r w:rsidRPr="00417E10">
        <w:rPr>
          <w:rFonts w:asciiTheme="majorHAnsi" w:hAnsiTheme="majorHAnsi"/>
          <w:noProof/>
          <w:sz w:val="16"/>
          <w:szCs w:val="16"/>
          <w:lang w:val="es-ES"/>
        </w:rPr>
        <w:t xml:space="preserve"> Valle Jaramillo et al v. Colombia. </w:t>
      </w:r>
      <w:r w:rsidRPr="00CE4DF7">
        <w:rPr>
          <w:rFonts w:asciiTheme="majorHAnsi" w:hAnsiTheme="majorHAnsi"/>
          <w:noProof/>
          <w:sz w:val="16"/>
          <w:szCs w:val="16"/>
        </w:rPr>
        <w:t>Merits, Reparations and Costs. Judgment of November 27, 2008. Series C No. 192</w:t>
      </w:r>
      <w:r w:rsidRPr="00CE4DF7">
        <w:rPr>
          <w:rFonts w:asciiTheme="majorHAnsi" w:hAnsiTheme="majorHAnsi"/>
          <w:sz w:val="16"/>
          <w:szCs w:val="16"/>
        </w:rPr>
        <w:t>, par. 102; Case of the Massacre of la Rochela v. Colombia. Merits, Reparations and Costs. Judgment of May 11, 2007, Series C No. 163, par. 195; and Case of Heliodoro Portugal v. Panama. Preliminary Objections, Merits, Reparations and Costs. Judgment of August 12, 2008. Series C No. 186, par.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569F" w14:textId="77777777" w:rsidR="009B5B8D" w:rsidRDefault="009B5B8D" w:rsidP="0093403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C1BECCD" w14:textId="77777777" w:rsidR="009B5B8D" w:rsidRDefault="009B5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D90A" w14:textId="7A72F712" w:rsidR="009B5B8D" w:rsidRDefault="009B5B8D" w:rsidP="000043CF">
    <w:pPr>
      <w:pStyle w:val="Header"/>
      <w:tabs>
        <w:tab w:val="clear" w:pos="4320"/>
        <w:tab w:val="clear" w:pos="8640"/>
        <w:tab w:val="left" w:pos="2280"/>
        <w:tab w:val="center" w:pos="4680"/>
      </w:tabs>
      <w:rPr>
        <w:sz w:val="22"/>
        <w:szCs w:val="22"/>
      </w:rPr>
    </w:pPr>
    <w:r>
      <w:rPr>
        <w:sz w:val="22"/>
        <w:szCs w:val="22"/>
      </w:rPr>
      <w:tab/>
    </w:r>
    <w:r>
      <w:rPr>
        <w:sz w:val="22"/>
        <w:szCs w:val="22"/>
      </w:rPr>
      <w:tab/>
    </w:r>
    <w:r>
      <w:rPr>
        <w:noProof/>
        <w:sz w:val="22"/>
        <w:szCs w:val="22"/>
      </w:rPr>
      <w:drawing>
        <wp:inline distT="0" distB="0" distL="0" distR="0" wp14:anchorId="581790AF" wp14:editId="1B167EE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F7C28DB" w14:textId="77777777" w:rsidR="009B5B8D" w:rsidRPr="00EC7D62" w:rsidRDefault="009B5B8D" w:rsidP="002C1641">
    <w:pPr>
      <w:pStyle w:val="Header"/>
      <w:tabs>
        <w:tab w:val="clear" w:pos="4320"/>
        <w:tab w:val="clear" w:pos="8640"/>
      </w:tabs>
      <w:jc w:val="center"/>
      <w:rPr>
        <w:sz w:val="22"/>
        <w:szCs w:val="22"/>
      </w:rPr>
    </w:pPr>
    <w:r>
      <w:rPr>
        <w:sz w:val="22"/>
        <w:szCs w:val="22"/>
      </w:rPr>
      <w:pict w14:anchorId="490F9BB8">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40B287D"/>
    <w:multiLevelType w:val="hybridMultilevel"/>
    <w:tmpl w:val="6D92EC14"/>
    <w:lvl w:ilvl="0" w:tplc="1B76C76A">
      <w:start w:val="1"/>
      <w:numFmt w:val="decimal"/>
      <w:lvlText w:val="%1."/>
      <w:lvlJc w:val="left"/>
      <w:pPr>
        <w:ind w:left="720" w:hanging="360"/>
      </w:pPr>
      <w:rPr>
        <w:rFonts w:ascii="Cambria" w:hAnsi="Cambri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7B2A23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1EC15E9"/>
    <w:multiLevelType w:val="hybridMultilevel"/>
    <w:tmpl w:val="57E2DEF8"/>
    <w:lvl w:ilvl="0" w:tplc="2572DBAE">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43131F"/>
    <w:multiLevelType w:val="hybridMultilevel"/>
    <w:tmpl w:val="05A02A14"/>
    <w:lvl w:ilvl="0" w:tplc="95041DEC">
      <w:start w:val="1"/>
      <w:numFmt w:val="decimal"/>
      <w:pStyle w:val="Heading3"/>
      <w:lvlText w:val="%1."/>
      <w:lvlJc w:val="left"/>
      <w:pPr>
        <w:ind w:left="1440" w:hanging="360"/>
      </w:pPr>
      <w:rPr>
        <w:rFonts w:ascii="Cambria" w:hAnsi="Cambria"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7715820"/>
    <w:multiLevelType w:val="hybridMultilevel"/>
    <w:tmpl w:val="2B34AE08"/>
    <w:lvl w:ilvl="0" w:tplc="D396CFC2">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43E4FA48"/>
    <w:lvl w:ilvl="0" w:tplc="3A344E2A">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1"/>
  </w:num>
  <w:num w:numId="5">
    <w:abstractNumId w:val="46"/>
  </w:num>
  <w:num w:numId="6">
    <w:abstractNumId w:val="26"/>
  </w:num>
  <w:num w:numId="7">
    <w:abstractNumId w:val="6"/>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40"/>
  </w:num>
  <w:num w:numId="53">
    <w:abstractNumId w:val="49"/>
  </w:num>
  <w:num w:numId="54">
    <w:abstractNumId w:val="44"/>
  </w:num>
  <w:num w:numId="55">
    <w:abstractNumId w:val="5"/>
  </w:num>
  <w:num w:numId="56">
    <w:abstractNumId w:val="42"/>
  </w:num>
  <w:num w:numId="57">
    <w:abstractNumId w:val="12"/>
  </w:num>
  <w:num w:numId="58">
    <w:abstractNumId w:val="12"/>
    <w:lvlOverride w:ilvl="0">
      <w:startOverride w:val="1"/>
    </w:lvlOverride>
  </w:num>
  <w:num w:numId="59">
    <w:abstractNumId w:val="12"/>
    <w:lvlOverride w:ilvl="0">
      <w:startOverride w:val="1"/>
    </w:lvlOverride>
  </w:num>
  <w:num w:numId="60">
    <w:abstractNumId w:val="28"/>
  </w:num>
  <w:num w:numId="61">
    <w:abstractNumId w:val="28"/>
    <w:lvlOverride w:ilvl="0">
      <w:startOverride w:val="1"/>
    </w:lvlOverride>
  </w:num>
  <w:num w:numId="62">
    <w:abstractNumId w:val="28"/>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03E"/>
    <w:rsid w:val="000034CF"/>
    <w:rsid w:val="00003BB4"/>
    <w:rsid w:val="00003D14"/>
    <w:rsid w:val="000043CF"/>
    <w:rsid w:val="00006872"/>
    <w:rsid w:val="00006FC6"/>
    <w:rsid w:val="000070D7"/>
    <w:rsid w:val="000106AC"/>
    <w:rsid w:val="00010E1B"/>
    <w:rsid w:val="000111A8"/>
    <w:rsid w:val="000127F8"/>
    <w:rsid w:val="00013CE0"/>
    <w:rsid w:val="00014449"/>
    <w:rsid w:val="000144CE"/>
    <w:rsid w:val="00014C1D"/>
    <w:rsid w:val="00014D5E"/>
    <w:rsid w:val="00017688"/>
    <w:rsid w:val="0001788C"/>
    <w:rsid w:val="00022359"/>
    <w:rsid w:val="0002453D"/>
    <w:rsid w:val="00024A8B"/>
    <w:rsid w:val="000252C6"/>
    <w:rsid w:val="00025798"/>
    <w:rsid w:val="000269FA"/>
    <w:rsid w:val="0003028B"/>
    <w:rsid w:val="000304CF"/>
    <w:rsid w:val="00030510"/>
    <w:rsid w:val="0003128A"/>
    <w:rsid w:val="00033021"/>
    <w:rsid w:val="0003342D"/>
    <w:rsid w:val="00033BD0"/>
    <w:rsid w:val="00034DEF"/>
    <w:rsid w:val="00035397"/>
    <w:rsid w:val="00036A8A"/>
    <w:rsid w:val="0004079A"/>
    <w:rsid w:val="00040C3A"/>
    <w:rsid w:val="00043426"/>
    <w:rsid w:val="00044E14"/>
    <w:rsid w:val="0004735F"/>
    <w:rsid w:val="00050909"/>
    <w:rsid w:val="00053ED2"/>
    <w:rsid w:val="0005517F"/>
    <w:rsid w:val="000569B5"/>
    <w:rsid w:val="00056FC6"/>
    <w:rsid w:val="00057982"/>
    <w:rsid w:val="000601B7"/>
    <w:rsid w:val="000609B0"/>
    <w:rsid w:val="00060A5A"/>
    <w:rsid w:val="00060FF1"/>
    <w:rsid w:val="000610D9"/>
    <w:rsid w:val="00061108"/>
    <w:rsid w:val="00061868"/>
    <w:rsid w:val="00061ACB"/>
    <w:rsid w:val="000639C0"/>
    <w:rsid w:val="00063FEE"/>
    <w:rsid w:val="00064655"/>
    <w:rsid w:val="00065D85"/>
    <w:rsid w:val="00066745"/>
    <w:rsid w:val="000668F3"/>
    <w:rsid w:val="000708C8"/>
    <w:rsid w:val="000709EE"/>
    <w:rsid w:val="00070C79"/>
    <w:rsid w:val="00070E66"/>
    <w:rsid w:val="00070F3A"/>
    <w:rsid w:val="000716C5"/>
    <w:rsid w:val="0007393C"/>
    <w:rsid w:val="00073950"/>
    <w:rsid w:val="000748FB"/>
    <w:rsid w:val="00075E23"/>
    <w:rsid w:val="00077451"/>
    <w:rsid w:val="00077DF7"/>
    <w:rsid w:val="000810BB"/>
    <w:rsid w:val="00082B35"/>
    <w:rsid w:val="0008303C"/>
    <w:rsid w:val="00083E5B"/>
    <w:rsid w:val="00085E40"/>
    <w:rsid w:val="0008602A"/>
    <w:rsid w:val="0008714E"/>
    <w:rsid w:val="000872EE"/>
    <w:rsid w:val="00090F64"/>
    <w:rsid w:val="00091014"/>
    <w:rsid w:val="00092F32"/>
    <w:rsid w:val="0009344A"/>
    <w:rsid w:val="00093959"/>
    <w:rsid w:val="0009426E"/>
    <w:rsid w:val="000969DE"/>
    <w:rsid w:val="000A0DFB"/>
    <w:rsid w:val="000A1350"/>
    <w:rsid w:val="000A3488"/>
    <w:rsid w:val="000A3EB8"/>
    <w:rsid w:val="000A575F"/>
    <w:rsid w:val="000A6169"/>
    <w:rsid w:val="000A63A0"/>
    <w:rsid w:val="000B05E6"/>
    <w:rsid w:val="000B1319"/>
    <w:rsid w:val="000B4196"/>
    <w:rsid w:val="000B58C4"/>
    <w:rsid w:val="000B6205"/>
    <w:rsid w:val="000C11A1"/>
    <w:rsid w:val="000C134A"/>
    <w:rsid w:val="000C5AF8"/>
    <w:rsid w:val="000C5B68"/>
    <w:rsid w:val="000C62C7"/>
    <w:rsid w:val="000C6A66"/>
    <w:rsid w:val="000C6C28"/>
    <w:rsid w:val="000C74D0"/>
    <w:rsid w:val="000C7AE1"/>
    <w:rsid w:val="000D10DB"/>
    <w:rsid w:val="000D16E8"/>
    <w:rsid w:val="000D1BC7"/>
    <w:rsid w:val="000D1E09"/>
    <w:rsid w:val="000D2352"/>
    <w:rsid w:val="000D5386"/>
    <w:rsid w:val="000D5D70"/>
    <w:rsid w:val="000E0177"/>
    <w:rsid w:val="000E232D"/>
    <w:rsid w:val="000E2625"/>
    <w:rsid w:val="000E2A8C"/>
    <w:rsid w:val="000E34D9"/>
    <w:rsid w:val="000E5333"/>
    <w:rsid w:val="000E6842"/>
    <w:rsid w:val="000E7AA1"/>
    <w:rsid w:val="000E7E7A"/>
    <w:rsid w:val="000F4625"/>
    <w:rsid w:val="000F547F"/>
    <w:rsid w:val="000F5C09"/>
    <w:rsid w:val="000F69D1"/>
    <w:rsid w:val="000F6E5C"/>
    <w:rsid w:val="000F75E5"/>
    <w:rsid w:val="000F782D"/>
    <w:rsid w:val="0010038D"/>
    <w:rsid w:val="00101E04"/>
    <w:rsid w:val="00102248"/>
    <w:rsid w:val="00102283"/>
    <w:rsid w:val="00102356"/>
    <w:rsid w:val="00102ABF"/>
    <w:rsid w:val="00102BAC"/>
    <w:rsid w:val="00102FBD"/>
    <w:rsid w:val="0010316F"/>
    <w:rsid w:val="00103719"/>
    <w:rsid w:val="00105204"/>
    <w:rsid w:val="00105C6B"/>
    <w:rsid w:val="001069B9"/>
    <w:rsid w:val="00107D18"/>
    <w:rsid w:val="001112AE"/>
    <w:rsid w:val="00111D22"/>
    <w:rsid w:val="001121B0"/>
    <w:rsid w:val="00112FAB"/>
    <w:rsid w:val="00114346"/>
    <w:rsid w:val="00114F46"/>
    <w:rsid w:val="001159D5"/>
    <w:rsid w:val="0011624B"/>
    <w:rsid w:val="001177F2"/>
    <w:rsid w:val="0012204C"/>
    <w:rsid w:val="00122E61"/>
    <w:rsid w:val="00123E81"/>
    <w:rsid w:val="00123FE0"/>
    <w:rsid w:val="001249E3"/>
    <w:rsid w:val="00125E7A"/>
    <w:rsid w:val="00126C32"/>
    <w:rsid w:val="00127130"/>
    <w:rsid w:val="0013015D"/>
    <w:rsid w:val="0013039F"/>
    <w:rsid w:val="00130A59"/>
    <w:rsid w:val="0013104F"/>
    <w:rsid w:val="00131424"/>
    <w:rsid w:val="001316AC"/>
    <w:rsid w:val="0013260D"/>
    <w:rsid w:val="0013578B"/>
    <w:rsid w:val="001363DD"/>
    <w:rsid w:val="001366CC"/>
    <w:rsid w:val="001369CA"/>
    <w:rsid w:val="00137CE5"/>
    <w:rsid w:val="00137EBA"/>
    <w:rsid w:val="00141095"/>
    <w:rsid w:val="00141A39"/>
    <w:rsid w:val="0014478C"/>
    <w:rsid w:val="0014554F"/>
    <w:rsid w:val="00145EDC"/>
    <w:rsid w:val="001466E7"/>
    <w:rsid w:val="00146FEC"/>
    <w:rsid w:val="001479F0"/>
    <w:rsid w:val="0015047F"/>
    <w:rsid w:val="001512B2"/>
    <w:rsid w:val="00153EB6"/>
    <w:rsid w:val="001575AA"/>
    <w:rsid w:val="00164B08"/>
    <w:rsid w:val="00165B7A"/>
    <w:rsid w:val="00166233"/>
    <w:rsid w:val="00166F50"/>
    <w:rsid w:val="0016740E"/>
    <w:rsid w:val="0016742B"/>
    <w:rsid w:val="00167A34"/>
    <w:rsid w:val="00170A7D"/>
    <w:rsid w:val="001713CF"/>
    <w:rsid w:val="001731A6"/>
    <w:rsid w:val="00173C92"/>
    <w:rsid w:val="00173E5C"/>
    <w:rsid w:val="001742C0"/>
    <w:rsid w:val="00175CA3"/>
    <w:rsid w:val="0018003E"/>
    <w:rsid w:val="0018037F"/>
    <w:rsid w:val="00183578"/>
    <w:rsid w:val="001859CB"/>
    <w:rsid w:val="00187D31"/>
    <w:rsid w:val="00193278"/>
    <w:rsid w:val="00194E1C"/>
    <w:rsid w:val="001951EA"/>
    <w:rsid w:val="001957C1"/>
    <w:rsid w:val="00197AA5"/>
    <w:rsid w:val="001A1549"/>
    <w:rsid w:val="001A1D5A"/>
    <w:rsid w:val="001A5F27"/>
    <w:rsid w:val="001A5F74"/>
    <w:rsid w:val="001A65C5"/>
    <w:rsid w:val="001A6AF0"/>
    <w:rsid w:val="001A7220"/>
    <w:rsid w:val="001A7870"/>
    <w:rsid w:val="001A78DA"/>
    <w:rsid w:val="001A7A6B"/>
    <w:rsid w:val="001B3083"/>
    <w:rsid w:val="001C0B83"/>
    <w:rsid w:val="001C1B41"/>
    <w:rsid w:val="001C204B"/>
    <w:rsid w:val="001C3D04"/>
    <w:rsid w:val="001C6013"/>
    <w:rsid w:val="001C6C36"/>
    <w:rsid w:val="001D04A1"/>
    <w:rsid w:val="001D1019"/>
    <w:rsid w:val="001D13E2"/>
    <w:rsid w:val="001D23B9"/>
    <w:rsid w:val="001D32FB"/>
    <w:rsid w:val="001D3660"/>
    <w:rsid w:val="001D4948"/>
    <w:rsid w:val="001D4C7A"/>
    <w:rsid w:val="001D604D"/>
    <w:rsid w:val="001D732C"/>
    <w:rsid w:val="001D7C32"/>
    <w:rsid w:val="001E0971"/>
    <w:rsid w:val="001E0C2C"/>
    <w:rsid w:val="001E274A"/>
    <w:rsid w:val="001E3EE1"/>
    <w:rsid w:val="001E50F1"/>
    <w:rsid w:val="001E52B1"/>
    <w:rsid w:val="001E5F86"/>
    <w:rsid w:val="001E60FE"/>
    <w:rsid w:val="001E635B"/>
    <w:rsid w:val="001E6634"/>
    <w:rsid w:val="001F1AE0"/>
    <w:rsid w:val="001F27FB"/>
    <w:rsid w:val="001F2D06"/>
    <w:rsid w:val="001F3929"/>
    <w:rsid w:val="001F3CCA"/>
    <w:rsid w:val="001F497B"/>
    <w:rsid w:val="001F5604"/>
    <w:rsid w:val="00200417"/>
    <w:rsid w:val="00200B0E"/>
    <w:rsid w:val="002020C5"/>
    <w:rsid w:val="00202701"/>
    <w:rsid w:val="00202FBA"/>
    <w:rsid w:val="00203134"/>
    <w:rsid w:val="0020338B"/>
    <w:rsid w:val="002037A3"/>
    <w:rsid w:val="00205CBD"/>
    <w:rsid w:val="00210505"/>
    <w:rsid w:val="00210E0E"/>
    <w:rsid w:val="00210E4C"/>
    <w:rsid w:val="00213880"/>
    <w:rsid w:val="00215831"/>
    <w:rsid w:val="00217315"/>
    <w:rsid w:val="0022652F"/>
    <w:rsid w:val="002267A2"/>
    <w:rsid w:val="00227AD1"/>
    <w:rsid w:val="00230F00"/>
    <w:rsid w:val="0023121C"/>
    <w:rsid w:val="00233276"/>
    <w:rsid w:val="00233EFA"/>
    <w:rsid w:val="00234177"/>
    <w:rsid w:val="0023511A"/>
    <w:rsid w:val="0023752E"/>
    <w:rsid w:val="002377BA"/>
    <w:rsid w:val="00241E19"/>
    <w:rsid w:val="00246F13"/>
    <w:rsid w:val="00247403"/>
    <w:rsid w:val="002474E7"/>
    <w:rsid w:val="00247542"/>
    <w:rsid w:val="00251EFB"/>
    <w:rsid w:val="00251FF2"/>
    <w:rsid w:val="00253A4B"/>
    <w:rsid w:val="002558DE"/>
    <w:rsid w:val="002567B2"/>
    <w:rsid w:val="00257893"/>
    <w:rsid w:val="00257A50"/>
    <w:rsid w:val="00260FDB"/>
    <w:rsid w:val="00264545"/>
    <w:rsid w:val="0026454B"/>
    <w:rsid w:val="00266092"/>
    <w:rsid w:val="00266B61"/>
    <w:rsid w:val="0026712A"/>
    <w:rsid w:val="00267374"/>
    <w:rsid w:val="00267648"/>
    <w:rsid w:val="002704DB"/>
    <w:rsid w:val="00272161"/>
    <w:rsid w:val="00273160"/>
    <w:rsid w:val="002732E1"/>
    <w:rsid w:val="002738C0"/>
    <w:rsid w:val="002742AD"/>
    <w:rsid w:val="00274330"/>
    <w:rsid w:val="00277C0B"/>
    <w:rsid w:val="00280D85"/>
    <w:rsid w:val="00282465"/>
    <w:rsid w:val="00284721"/>
    <w:rsid w:val="0028623A"/>
    <w:rsid w:val="00286283"/>
    <w:rsid w:val="00287FE9"/>
    <w:rsid w:val="00290161"/>
    <w:rsid w:val="002901CB"/>
    <w:rsid w:val="0029059A"/>
    <w:rsid w:val="0029099C"/>
    <w:rsid w:val="002923CA"/>
    <w:rsid w:val="00292BE9"/>
    <w:rsid w:val="00292ED8"/>
    <w:rsid w:val="0029415F"/>
    <w:rsid w:val="0029530D"/>
    <w:rsid w:val="0029537F"/>
    <w:rsid w:val="00297F1E"/>
    <w:rsid w:val="002A01EC"/>
    <w:rsid w:val="002A1741"/>
    <w:rsid w:val="002A18E2"/>
    <w:rsid w:val="002A24BC"/>
    <w:rsid w:val="002A2D55"/>
    <w:rsid w:val="002A3002"/>
    <w:rsid w:val="002A3B11"/>
    <w:rsid w:val="002A3F43"/>
    <w:rsid w:val="002A41BD"/>
    <w:rsid w:val="002A4915"/>
    <w:rsid w:val="002A7778"/>
    <w:rsid w:val="002B0E4B"/>
    <w:rsid w:val="002B1688"/>
    <w:rsid w:val="002B29C4"/>
    <w:rsid w:val="002B3156"/>
    <w:rsid w:val="002B334F"/>
    <w:rsid w:val="002B5D3E"/>
    <w:rsid w:val="002C1641"/>
    <w:rsid w:val="002C1710"/>
    <w:rsid w:val="002C1FD6"/>
    <w:rsid w:val="002C331D"/>
    <w:rsid w:val="002C7355"/>
    <w:rsid w:val="002D16ED"/>
    <w:rsid w:val="002D20C9"/>
    <w:rsid w:val="002D37FA"/>
    <w:rsid w:val="002D422F"/>
    <w:rsid w:val="002D48DE"/>
    <w:rsid w:val="002D51DD"/>
    <w:rsid w:val="002D535B"/>
    <w:rsid w:val="002D55C2"/>
    <w:rsid w:val="002D5770"/>
    <w:rsid w:val="002D7EA2"/>
    <w:rsid w:val="002E01E5"/>
    <w:rsid w:val="002E03F4"/>
    <w:rsid w:val="002E07D9"/>
    <w:rsid w:val="002E15DF"/>
    <w:rsid w:val="002E187C"/>
    <w:rsid w:val="002E19FD"/>
    <w:rsid w:val="002E1C20"/>
    <w:rsid w:val="002E25CA"/>
    <w:rsid w:val="002E5AC8"/>
    <w:rsid w:val="002E6476"/>
    <w:rsid w:val="002E6E57"/>
    <w:rsid w:val="002F2C39"/>
    <w:rsid w:val="002F3708"/>
    <w:rsid w:val="002F4493"/>
    <w:rsid w:val="002F6D50"/>
    <w:rsid w:val="00300760"/>
    <w:rsid w:val="00300D46"/>
    <w:rsid w:val="00301075"/>
    <w:rsid w:val="003010F1"/>
    <w:rsid w:val="0030136F"/>
    <w:rsid w:val="00302710"/>
    <w:rsid w:val="00302733"/>
    <w:rsid w:val="0030361E"/>
    <w:rsid w:val="0030368F"/>
    <w:rsid w:val="00306CB9"/>
    <w:rsid w:val="0031052F"/>
    <w:rsid w:val="00311A4F"/>
    <w:rsid w:val="00311C8C"/>
    <w:rsid w:val="003124DD"/>
    <w:rsid w:val="003124E7"/>
    <w:rsid w:val="003126F3"/>
    <w:rsid w:val="00314078"/>
    <w:rsid w:val="00314A6C"/>
    <w:rsid w:val="0031529F"/>
    <w:rsid w:val="00315654"/>
    <w:rsid w:val="00315B65"/>
    <w:rsid w:val="00315DA7"/>
    <w:rsid w:val="0031709A"/>
    <w:rsid w:val="00321823"/>
    <w:rsid w:val="00322450"/>
    <w:rsid w:val="00323B5C"/>
    <w:rsid w:val="003246B5"/>
    <w:rsid w:val="00326095"/>
    <w:rsid w:val="00326AED"/>
    <w:rsid w:val="00327102"/>
    <w:rsid w:val="00330797"/>
    <w:rsid w:val="0033169F"/>
    <w:rsid w:val="00331BD7"/>
    <w:rsid w:val="00331D3B"/>
    <w:rsid w:val="00332945"/>
    <w:rsid w:val="00333B09"/>
    <w:rsid w:val="00333DB5"/>
    <w:rsid w:val="00333F0E"/>
    <w:rsid w:val="00334D2E"/>
    <w:rsid w:val="00335FA1"/>
    <w:rsid w:val="00336199"/>
    <w:rsid w:val="003414AC"/>
    <w:rsid w:val="00345316"/>
    <w:rsid w:val="003453CF"/>
    <w:rsid w:val="003472C9"/>
    <w:rsid w:val="00352281"/>
    <w:rsid w:val="003527BC"/>
    <w:rsid w:val="00354794"/>
    <w:rsid w:val="00355932"/>
    <w:rsid w:val="0035611B"/>
    <w:rsid w:val="00356185"/>
    <w:rsid w:val="00356678"/>
    <w:rsid w:val="00360380"/>
    <w:rsid w:val="0036073D"/>
    <w:rsid w:val="00360CD6"/>
    <w:rsid w:val="0036244C"/>
    <w:rsid w:val="00364480"/>
    <w:rsid w:val="00365BF6"/>
    <w:rsid w:val="00365E43"/>
    <w:rsid w:val="00366C4E"/>
    <w:rsid w:val="00367073"/>
    <w:rsid w:val="003679C8"/>
    <w:rsid w:val="0037080C"/>
    <w:rsid w:val="00371D58"/>
    <w:rsid w:val="00372A30"/>
    <w:rsid w:val="00375943"/>
    <w:rsid w:val="00375DE3"/>
    <w:rsid w:val="003774C5"/>
    <w:rsid w:val="003801E9"/>
    <w:rsid w:val="003806BD"/>
    <w:rsid w:val="00382143"/>
    <w:rsid w:val="00385163"/>
    <w:rsid w:val="00386CF0"/>
    <w:rsid w:val="0039088D"/>
    <w:rsid w:val="00393366"/>
    <w:rsid w:val="00393E02"/>
    <w:rsid w:val="00396780"/>
    <w:rsid w:val="00396E01"/>
    <w:rsid w:val="003A12EC"/>
    <w:rsid w:val="003A2879"/>
    <w:rsid w:val="003A369C"/>
    <w:rsid w:val="003A374D"/>
    <w:rsid w:val="003B0460"/>
    <w:rsid w:val="003B0A39"/>
    <w:rsid w:val="003B130C"/>
    <w:rsid w:val="003B1A2E"/>
    <w:rsid w:val="003B1DFC"/>
    <w:rsid w:val="003B258A"/>
    <w:rsid w:val="003B27F0"/>
    <w:rsid w:val="003B43AF"/>
    <w:rsid w:val="003B5998"/>
    <w:rsid w:val="003B5CE2"/>
    <w:rsid w:val="003B6693"/>
    <w:rsid w:val="003B6960"/>
    <w:rsid w:val="003C013C"/>
    <w:rsid w:val="003C32BC"/>
    <w:rsid w:val="003C3EBD"/>
    <w:rsid w:val="003C4673"/>
    <w:rsid w:val="003D0F20"/>
    <w:rsid w:val="003D12EF"/>
    <w:rsid w:val="003D1BBB"/>
    <w:rsid w:val="003D208D"/>
    <w:rsid w:val="003D3B62"/>
    <w:rsid w:val="003D5C3D"/>
    <w:rsid w:val="003E3106"/>
    <w:rsid w:val="003E5E59"/>
    <w:rsid w:val="003E7B13"/>
    <w:rsid w:val="003F0FC6"/>
    <w:rsid w:val="003F1BBF"/>
    <w:rsid w:val="003F2196"/>
    <w:rsid w:val="003F2313"/>
    <w:rsid w:val="003F5892"/>
    <w:rsid w:val="00401A10"/>
    <w:rsid w:val="00404C65"/>
    <w:rsid w:val="00404FE2"/>
    <w:rsid w:val="00405D0D"/>
    <w:rsid w:val="004116C1"/>
    <w:rsid w:val="00411CE9"/>
    <w:rsid w:val="0041352F"/>
    <w:rsid w:val="00415C12"/>
    <w:rsid w:val="004165C2"/>
    <w:rsid w:val="004166CF"/>
    <w:rsid w:val="00417E10"/>
    <w:rsid w:val="00421298"/>
    <w:rsid w:val="00421A3A"/>
    <w:rsid w:val="00422F1D"/>
    <w:rsid w:val="004232C5"/>
    <w:rsid w:val="0042456E"/>
    <w:rsid w:val="00425230"/>
    <w:rsid w:val="00426E75"/>
    <w:rsid w:val="004274A8"/>
    <w:rsid w:val="00427DAE"/>
    <w:rsid w:val="00430259"/>
    <w:rsid w:val="0043218E"/>
    <w:rsid w:val="00432CFB"/>
    <w:rsid w:val="00435A0B"/>
    <w:rsid w:val="00436150"/>
    <w:rsid w:val="00436291"/>
    <w:rsid w:val="004410E4"/>
    <w:rsid w:val="004427B2"/>
    <w:rsid w:val="004429AB"/>
    <w:rsid w:val="0044397A"/>
    <w:rsid w:val="004448A2"/>
    <w:rsid w:val="00446A8A"/>
    <w:rsid w:val="00446B57"/>
    <w:rsid w:val="00447EFC"/>
    <w:rsid w:val="00450984"/>
    <w:rsid w:val="00450A4A"/>
    <w:rsid w:val="00451F2D"/>
    <w:rsid w:val="00452CD2"/>
    <w:rsid w:val="0045434C"/>
    <w:rsid w:val="0045496A"/>
    <w:rsid w:val="00455627"/>
    <w:rsid w:val="004563F2"/>
    <w:rsid w:val="00457863"/>
    <w:rsid w:val="004601E7"/>
    <w:rsid w:val="004624A8"/>
    <w:rsid w:val="004625D2"/>
    <w:rsid w:val="004626FE"/>
    <w:rsid w:val="00463353"/>
    <w:rsid w:val="004643D7"/>
    <w:rsid w:val="00464731"/>
    <w:rsid w:val="00466079"/>
    <w:rsid w:val="004666FB"/>
    <w:rsid w:val="00466CAA"/>
    <w:rsid w:val="00467B7E"/>
    <w:rsid w:val="00470E2A"/>
    <w:rsid w:val="00472A14"/>
    <w:rsid w:val="004732DA"/>
    <w:rsid w:val="0047355D"/>
    <w:rsid w:val="00473831"/>
    <w:rsid w:val="00474703"/>
    <w:rsid w:val="004803A7"/>
    <w:rsid w:val="004822D0"/>
    <w:rsid w:val="004826E1"/>
    <w:rsid w:val="00482AB5"/>
    <w:rsid w:val="00482C2E"/>
    <w:rsid w:val="00485184"/>
    <w:rsid w:val="0048610B"/>
    <w:rsid w:val="0048616F"/>
    <w:rsid w:val="00486330"/>
    <w:rsid w:val="004911F2"/>
    <w:rsid w:val="00491FCB"/>
    <w:rsid w:val="00492906"/>
    <w:rsid w:val="00493202"/>
    <w:rsid w:val="00493262"/>
    <w:rsid w:val="00493D8C"/>
    <w:rsid w:val="0049419D"/>
    <w:rsid w:val="004A04EE"/>
    <w:rsid w:val="004A109F"/>
    <w:rsid w:val="004A1B57"/>
    <w:rsid w:val="004A3592"/>
    <w:rsid w:val="004A3AE6"/>
    <w:rsid w:val="004B1B3F"/>
    <w:rsid w:val="004B1C28"/>
    <w:rsid w:val="004B2762"/>
    <w:rsid w:val="004B2D41"/>
    <w:rsid w:val="004B2E0B"/>
    <w:rsid w:val="004B2E37"/>
    <w:rsid w:val="004B3275"/>
    <w:rsid w:val="004B4D41"/>
    <w:rsid w:val="004B7EB6"/>
    <w:rsid w:val="004B7FFA"/>
    <w:rsid w:val="004C00F0"/>
    <w:rsid w:val="004C4B62"/>
    <w:rsid w:val="004C4BB8"/>
    <w:rsid w:val="004C7BF2"/>
    <w:rsid w:val="004C7CCF"/>
    <w:rsid w:val="004C7F6B"/>
    <w:rsid w:val="004D388E"/>
    <w:rsid w:val="004D3947"/>
    <w:rsid w:val="004D59BD"/>
    <w:rsid w:val="004D5E77"/>
    <w:rsid w:val="004D6025"/>
    <w:rsid w:val="004D64FE"/>
    <w:rsid w:val="004D72BC"/>
    <w:rsid w:val="004E02F0"/>
    <w:rsid w:val="004E24B9"/>
    <w:rsid w:val="004E2CAC"/>
    <w:rsid w:val="004E514B"/>
    <w:rsid w:val="004E5CFD"/>
    <w:rsid w:val="004F35BD"/>
    <w:rsid w:val="004F39A3"/>
    <w:rsid w:val="004F3C88"/>
    <w:rsid w:val="004F4205"/>
    <w:rsid w:val="004F517B"/>
    <w:rsid w:val="004F55CC"/>
    <w:rsid w:val="004F6000"/>
    <w:rsid w:val="004F7D77"/>
    <w:rsid w:val="00500086"/>
    <w:rsid w:val="0050014E"/>
    <w:rsid w:val="00501399"/>
    <w:rsid w:val="005018BA"/>
    <w:rsid w:val="00501E67"/>
    <w:rsid w:val="00505EE3"/>
    <w:rsid w:val="00506A51"/>
    <w:rsid w:val="00507BC4"/>
    <w:rsid w:val="005108BB"/>
    <w:rsid w:val="00511AC6"/>
    <w:rsid w:val="00511FBA"/>
    <w:rsid w:val="0051278E"/>
    <w:rsid w:val="005128E4"/>
    <w:rsid w:val="00515498"/>
    <w:rsid w:val="0051574A"/>
    <w:rsid w:val="005162DE"/>
    <w:rsid w:val="00517B15"/>
    <w:rsid w:val="005203B4"/>
    <w:rsid w:val="00522EEB"/>
    <w:rsid w:val="00525560"/>
    <w:rsid w:val="00526EC2"/>
    <w:rsid w:val="00526F4C"/>
    <w:rsid w:val="00527C2D"/>
    <w:rsid w:val="005315EA"/>
    <w:rsid w:val="0053187B"/>
    <w:rsid w:val="00531A86"/>
    <w:rsid w:val="00531B8B"/>
    <w:rsid w:val="005338DC"/>
    <w:rsid w:val="00533984"/>
    <w:rsid w:val="005357A6"/>
    <w:rsid w:val="00537945"/>
    <w:rsid w:val="005404D2"/>
    <w:rsid w:val="005407B2"/>
    <w:rsid w:val="005425AC"/>
    <w:rsid w:val="0054369F"/>
    <w:rsid w:val="0054412C"/>
    <w:rsid w:val="00544C49"/>
    <w:rsid w:val="00545C50"/>
    <w:rsid w:val="0054668A"/>
    <w:rsid w:val="005504A3"/>
    <w:rsid w:val="005506E3"/>
    <w:rsid w:val="00551093"/>
    <w:rsid w:val="005543EA"/>
    <w:rsid w:val="00554798"/>
    <w:rsid w:val="00555F3D"/>
    <w:rsid w:val="00557FD5"/>
    <w:rsid w:val="00560A0C"/>
    <w:rsid w:val="00560BAC"/>
    <w:rsid w:val="0056247B"/>
    <w:rsid w:val="005658AE"/>
    <w:rsid w:val="0056597D"/>
    <w:rsid w:val="00567158"/>
    <w:rsid w:val="00567F3E"/>
    <w:rsid w:val="005727F7"/>
    <w:rsid w:val="00572FF6"/>
    <w:rsid w:val="00573DC0"/>
    <w:rsid w:val="0057402A"/>
    <w:rsid w:val="00574C2F"/>
    <w:rsid w:val="0057537E"/>
    <w:rsid w:val="00575DFF"/>
    <w:rsid w:val="005771D0"/>
    <w:rsid w:val="005778D8"/>
    <w:rsid w:val="005820A5"/>
    <w:rsid w:val="0058210F"/>
    <w:rsid w:val="00583386"/>
    <w:rsid w:val="0058373D"/>
    <w:rsid w:val="00583797"/>
    <w:rsid w:val="00586D06"/>
    <w:rsid w:val="00587F2D"/>
    <w:rsid w:val="00590383"/>
    <w:rsid w:val="00590A09"/>
    <w:rsid w:val="005915D0"/>
    <w:rsid w:val="0059191A"/>
    <w:rsid w:val="005921FF"/>
    <w:rsid w:val="0059329D"/>
    <w:rsid w:val="00593909"/>
    <w:rsid w:val="00593AB3"/>
    <w:rsid w:val="00593DC8"/>
    <w:rsid w:val="0059420A"/>
    <w:rsid w:val="00594727"/>
    <w:rsid w:val="00594A9F"/>
    <w:rsid w:val="0059628A"/>
    <w:rsid w:val="00597538"/>
    <w:rsid w:val="005A080A"/>
    <w:rsid w:val="005A0CB4"/>
    <w:rsid w:val="005A118D"/>
    <w:rsid w:val="005A1A58"/>
    <w:rsid w:val="005A3BB9"/>
    <w:rsid w:val="005A489F"/>
    <w:rsid w:val="005A58CF"/>
    <w:rsid w:val="005A6D0E"/>
    <w:rsid w:val="005B08AF"/>
    <w:rsid w:val="005B222D"/>
    <w:rsid w:val="005B227B"/>
    <w:rsid w:val="005B246F"/>
    <w:rsid w:val="005B32DA"/>
    <w:rsid w:val="005B52B0"/>
    <w:rsid w:val="005B5807"/>
    <w:rsid w:val="005B6806"/>
    <w:rsid w:val="005C00F9"/>
    <w:rsid w:val="005C0E4C"/>
    <w:rsid w:val="005C10E2"/>
    <w:rsid w:val="005C1130"/>
    <w:rsid w:val="005C347E"/>
    <w:rsid w:val="005C4225"/>
    <w:rsid w:val="005C4B8F"/>
    <w:rsid w:val="005C51BE"/>
    <w:rsid w:val="005C54CA"/>
    <w:rsid w:val="005C57D8"/>
    <w:rsid w:val="005C5F3F"/>
    <w:rsid w:val="005C76A6"/>
    <w:rsid w:val="005C7D5C"/>
    <w:rsid w:val="005D17B9"/>
    <w:rsid w:val="005D212A"/>
    <w:rsid w:val="005D2AE6"/>
    <w:rsid w:val="005D2DAC"/>
    <w:rsid w:val="005D3AC4"/>
    <w:rsid w:val="005D606F"/>
    <w:rsid w:val="005E1636"/>
    <w:rsid w:val="005E21BA"/>
    <w:rsid w:val="005E2E9E"/>
    <w:rsid w:val="005E48BD"/>
    <w:rsid w:val="005E5FD3"/>
    <w:rsid w:val="005E6744"/>
    <w:rsid w:val="005E7713"/>
    <w:rsid w:val="005E783C"/>
    <w:rsid w:val="005E7E43"/>
    <w:rsid w:val="005F08D1"/>
    <w:rsid w:val="005F0F33"/>
    <w:rsid w:val="005F21A2"/>
    <w:rsid w:val="005F231C"/>
    <w:rsid w:val="005F387D"/>
    <w:rsid w:val="005F5453"/>
    <w:rsid w:val="005F55DE"/>
    <w:rsid w:val="005F6E2D"/>
    <w:rsid w:val="005F72A7"/>
    <w:rsid w:val="006006EC"/>
    <w:rsid w:val="00600DEB"/>
    <w:rsid w:val="0060169E"/>
    <w:rsid w:val="00602549"/>
    <w:rsid w:val="00602E06"/>
    <w:rsid w:val="00603142"/>
    <w:rsid w:val="00605B68"/>
    <w:rsid w:val="00606599"/>
    <w:rsid w:val="00606E16"/>
    <w:rsid w:val="006103D5"/>
    <w:rsid w:val="00611707"/>
    <w:rsid w:val="00611BF9"/>
    <w:rsid w:val="00613027"/>
    <w:rsid w:val="0061358E"/>
    <w:rsid w:val="006149A1"/>
    <w:rsid w:val="00616AF4"/>
    <w:rsid w:val="00621719"/>
    <w:rsid w:val="0062306B"/>
    <w:rsid w:val="006234C7"/>
    <w:rsid w:val="00623D50"/>
    <w:rsid w:val="00624E88"/>
    <w:rsid w:val="00627C9F"/>
    <w:rsid w:val="006311DA"/>
    <w:rsid w:val="006311E9"/>
    <w:rsid w:val="00632354"/>
    <w:rsid w:val="00632970"/>
    <w:rsid w:val="00633A43"/>
    <w:rsid w:val="00635A39"/>
    <w:rsid w:val="00637130"/>
    <w:rsid w:val="006405DC"/>
    <w:rsid w:val="00640D7D"/>
    <w:rsid w:val="00641E59"/>
    <w:rsid w:val="00642810"/>
    <w:rsid w:val="00643159"/>
    <w:rsid w:val="0064550F"/>
    <w:rsid w:val="00646BC3"/>
    <w:rsid w:val="00650476"/>
    <w:rsid w:val="00652333"/>
    <w:rsid w:val="00653DBA"/>
    <w:rsid w:val="00655783"/>
    <w:rsid w:val="006572DA"/>
    <w:rsid w:val="00657334"/>
    <w:rsid w:val="006576C2"/>
    <w:rsid w:val="00657BD7"/>
    <w:rsid w:val="00657F1A"/>
    <w:rsid w:val="00660209"/>
    <w:rsid w:val="0066489D"/>
    <w:rsid w:val="00666586"/>
    <w:rsid w:val="00666A2D"/>
    <w:rsid w:val="0066736A"/>
    <w:rsid w:val="006716A5"/>
    <w:rsid w:val="00673C83"/>
    <w:rsid w:val="00674220"/>
    <w:rsid w:val="0068009E"/>
    <w:rsid w:val="0068181C"/>
    <w:rsid w:val="0068278A"/>
    <w:rsid w:val="00682DB7"/>
    <w:rsid w:val="006849B8"/>
    <w:rsid w:val="00685819"/>
    <w:rsid w:val="00685B3F"/>
    <w:rsid w:val="0068611C"/>
    <w:rsid w:val="006864C2"/>
    <w:rsid w:val="00687842"/>
    <w:rsid w:val="00687CC2"/>
    <w:rsid w:val="00691098"/>
    <w:rsid w:val="00691180"/>
    <w:rsid w:val="0069172D"/>
    <w:rsid w:val="0069211F"/>
    <w:rsid w:val="00692624"/>
    <w:rsid w:val="00692DB5"/>
    <w:rsid w:val="00693A0D"/>
    <w:rsid w:val="00694610"/>
    <w:rsid w:val="0069555A"/>
    <w:rsid w:val="00695ED5"/>
    <w:rsid w:val="006A002D"/>
    <w:rsid w:val="006A17D2"/>
    <w:rsid w:val="006A3B57"/>
    <w:rsid w:val="006A5855"/>
    <w:rsid w:val="006A6DCD"/>
    <w:rsid w:val="006A70D2"/>
    <w:rsid w:val="006A73E6"/>
    <w:rsid w:val="006B2D5C"/>
    <w:rsid w:val="006B3007"/>
    <w:rsid w:val="006B33DB"/>
    <w:rsid w:val="006B38BB"/>
    <w:rsid w:val="006B5771"/>
    <w:rsid w:val="006B5A1C"/>
    <w:rsid w:val="006C008C"/>
    <w:rsid w:val="006C1B0B"/>
    <w:rsid w:val="006C40EA"/>
    <w:rsid w:val="006C4EB1"/>
    <w:rsid w:val="006C65A5"/>
    <w:rsid w:val="006C78C8"/>
    <w:rsid w:val="006D04C3"/>
    <w:rsid w:val="006D0CBC"/>
    <w:rsid w:val="006D466A"/>
    <w:rsid w:val="006D5BCF"/>
    <w:rsid w:val="006D5C48"/>
    <w:rsid w:val="006D6AF9"/>
    <w:rsid w:val="006D7F87"/>
    <w:rsid w:val="006E0166"/>
    <w:rsid w:val="006E01CB"/>
    <w:rsid w:val="006E1A99"/>
    <w:rsid w:val="006E3868"/>
    <w:rsid w:val="006E5ACA"/>
    <w:rsid w:val="006E6997"/>
    <w:rsid w:val="006E7B34"/>
    <w:rsid w:val="006F0E28"/>
    <w:rsid w:val="006F7649"/>
    <w:rsid w:val="006F76C1"/>
    <w:rsid w:val="006F78D1"/>
    <w:rsid w:val="00701B24"/>
    <w:rsid w:val="00703098"/>
    <w:rsid w:val="00704311"/>
    <w:rsid w:val="007045A1"/>
    <w:rsid w:val="00710705"/>
    <w:rsid w:val="00714DF6"/>
    <w:rsid w:val="00716ED8"/>
    <w:rsid w:val="00717F22"/>
    <w:rsid w:val="0072026E"/>
    <w:rsid w:val="007202E8"/>
    <w:rsid w:val="0072205A"/>
    <w:rsid w:val="007221BC"/>
    <w:rsid w:val="007221D3"/>
    <w:rsid w:val="007228CA"/>
    <w:rsid w:val="007245BD"/>
    <w:rsid w:val="007272FA"/>
    <w:rsid w:val="00727BC9"/>
    <w:rsid w:val="00731B0C"/>
    <w:rsid w:val="007339AB"/>
    <w:rsid w:val="00734D31"/>
    <w:rsid w:val="00734EF1"/>
    <w:rsid w:val="00734FFB"/>
    <w:rsid w:val="007356E6"/>
    <w:rsid w:val="00741875"/>
    <w:rsid w:val="00741BB7"/>
    <w:rsid w:val="00745899"/>
    <w:rsid w:val="00745D1C"/>
    <w:rsid w:val="00745E63"/>
    <w:rsid w:val="007465E9"/>
    <w:rsid w:val="0075074E"/>
    <w:rsid w:val="00752808"/>
    <w:rsid w:val="00754494"/>
    <w:rsid w:val="00754BDE"/>
    <w:rsid w:val="00755BF2"/>
    <w:rsid w:val="0075603E"/>
    <w:rsid w:val="00756939"/>
    <w:rsid w:val="007607C4"/>
    <w:rsid w:val="007614E3"/>
    <w:rsid w:val="0076152F"/>
    <w:rsid w:val="00761AFB"/>
    <w:rsid w:val="0076632D"/>
    <w:rsid w:val="0076643F"/>
    <w:rsid w:val="00766861"/>
    <w:rsid w:val="007707A5"/>
    <w:rsid w:val="00771881"/>
    <w:rsid w:val="0077270E"/>
    <w:rsid w:val="00772E78"/>
    <w:rsid w:val="007737EA"/>
    <w:rsid w:val="00774129"/>
    <w:rsid w:val="00774686"/>
    <w:rsid w:val="00774DB8"/>
    <w:rsid w:val="00776708"/>
    <w:rsid w:val="00776CE4"/>
    <w:rsid w:val="00776EFC"/>
    <w:rsid w:val="00777715"/>
    <w:rsid w:val="0078087A"/>
    <w:rsid w:val="00780C77"/>
    <w:rsid w:val="007836A1"/>
    <w:rsid w:val="007839BC"/>
    <w:rsid w:val="00785207"/>
    <w:rsid w:val="007874EF"/>
    <w:rsid w:val="0078750D"/>
    <w:rsid w:val="00787717"/>
    <w:rsid w:val="00787EEC"/>
    <w:rsid w:val="007905DB"/>
    <w:rsid w:val="00790DEB"/>
    <w:rsid w:val="00791374"/>
    <w:rsid w:val="00793700"/>
    <w:rsid w:val="00795F09"/>
    <w:rsid w:val="007964F1"/>
    <w:rsid w:val="007973E8"/>
    <w:rsid w:val="007A1C71"/>
    <w:rsid w:val="007A2EEE"/>
    <w:rsid w:val="007A2F70"/>
    <w:rsid w:val="007A3B4E"/>
    <w:rsid w:val="007A581D"/>
    <w:rsid w:val="007A6060"/>
    <w:rsid w:val="007A6976"/>
    <w:rsid w:val="007A766E"/>
    <w:rsid w:val="007B0760"/>
    <w:rsid w:val="007B0CA1"/>
    <w:rsid w:val="007B128C"/>
    <w:rsid w:val="007B28B8"/>
    <w:rsid w:val="007B2B49"/>
    <w:rsid w:val="007B4E81"/>
    <w:rsid w:val="007B76C2"/>
    <w:rsid w:val="007C21C9"/>
    <w:rsid w:val="007C3334"/>
    <w:rsid w:val="007C34D7"/>
    <w:rsid w:val="007C3563"/>
    <w:rsid w:val="007C4754"/>
    <w:rsid w:val="007C4CAD"/>
    <w:rsid w:val="007C4EDE"/>
    <w:rsid w:val="007C52BB"/>
    <w:rsid w:val="007C613B"/>
    <w:rsid w:val="007C7DD2"/>
    <w:rsid w:val="007D2B98"/>
    <w:rsid w:val="007D3BFF"/>
    <w:rsid w:val="007D4351"/>
    <w:rsid w:val="007D4822"/>
    <w:rsid w:val="007D493C"/>
    <w:rsid w:val="007D5669"/>
    <w:rsid w:val="007D5731"/>
    <w:rsid w:val="007D731B"/>
    <w:rsid w:val="007E0930"/>
    <w:rsid w:val="007E1E2F"/>
    <w:rsid w:val="007E2912"/>
    <w:rsid w:val="007E46EA"/>
    <w:rsid w:val="007E50D3"/>
    <w:rsid w:val="007E54CF"/>
    <w:rsid w:val="007E7298"/>
    <w:rsid w:val="007F0C7D"/>
    <w:rsid w:val="007F1045"/>
    <w:rsid w:val="007F1255"/>
    <w:rsid w:val="007F135F"/>
    <w:rsid w:val="007F1EB5"/>
    <w:rsid w:val="007F35E3"/>
    <w:rsid w:val="007F4285"/>
    <w:rsid w:val="007F4745"/>
    <w:rsid w:val="007F4E15"/>
    <w:rsid w:val="007F6F14"/>
    <w:rsid w:val="007F7B02"/>
    <w:rsid w:val="00800DF7"/>
    <w:rsid w:val="00801B63"/>
    <w:rsid w:val="00801CDD"/>
    <w:rsid w:val="0080279B"/>
    <w:rsid w:val="00803F1C"/>
    <w:rsid w:val="0080600E"/>
    <w:rsid w:val="00810620"/>
    <w:rsid w:val="00810723"/>
    <w:rsid w:val="00810CDD"/>
    <w:rsid w:val="008113CC"/>
    <w:rsid w:val="0081186D"/>
    <w:rsid w:val="0081487C"/>
    <w:rsid w:val="00815440"/>
    <w:rsid w:val="008163D6"/>
    <w:rsid w:val="008167CF"/>
    <w:rsid w:val="00817612"/>
    <w:rsid w:val="008213DD"/>
    <w:rsid w:val="008246FD"/>
    <w:rsid w:val="00825805"/>
    <w:rsid w:val="00826BB3"/>
    <w:rsid w:val="008275C4"/>
    <w:rsid w:val="00830D42"/>
    <w:rsid w:val="00831F2D"/>
    <w:rsid w:val="0083227F"/>
    <w:rsid w:val="0083325B"/>
    <w:rsid w:val="008351CA"/>
    <w:rsid w:val="00835591"/>
    <w:rsid w:val="008356A3"/>
    <w:rsid w:val="00836D50"/>
    <w:rsid w:val="00837C45"/>
    <w:rsid w:val="00837D80"/>
    <w:rsid w:val="0084133B"/>
    <w:rsid w:val="0084198C"/>
    <w:rsid w:val="008436F0"/>
    <w:rsid w:val="00850D9F"/>
    <w:rsid w:val="008533B3"/>
    <w:rsid w:val="00853419"/>
    <w:rsid w:val="00853D61"/>
    <w:rsid w:val="0085661B"/>
    <w:rsid w:val="008573CE"/>
    <w:rsid w:val="00857534"/>
    <w:rsid w:val="00860D70"/>
    <w:rsid w:val="00861153"/>
    <w:rsid w:val="0086155A"/>
    <w:rsid w:val="0086177D"/>
    <w:rsid w:val="008619C0"/>
    <w:rsid w:val="00861F4E"/>
    <w:rsid w:val="0086261B"/>
    <w:rsid w:val="008626F7"/>
    <w:rsid w:val="0086288A"/>
    <w:rsid w:val="008643AC"/>
    <w:rsid w:val="008660F4"/>
    <w:rsid w:val="0086636D"/>
    <w:rsid w:val="00867B66"/>
    <w:rsid w:val="00867D32"/>
    <w:rsid w:val="00870782"/>
    <w:rsid w:val="008729DB"/>
    <w:rsid w:val="008752A5"/>
    <w:rsid w:val="008800E9"/>
    <w:rsid w:val="00882B8A"/>
    <w:rsid w:val="00882CF1"/>
    <w:rsid w:val="008834DC"/>
    <w:rsid w:val="00884140"/>
    <w:rsid w:val="0088423F"/>
    <w:rsid w:val="0088451B"/>
    <w:rsid w:val="00884DB0"/>
    <w:rsid w:val="0088643D"/>
    <w:rsid w:val="00890147"/>
    <w:rsid w:val="00890D8B"/>
    <w:rsid w:val="008919D9"/>
    <w:rsid w:val="00891EF7"/>
    <w:rsid w:val="0089243C"/>
    <w:rsid w:val="0089532B"/>
    <w:rsid w:val="00895B99"/>
    <w:rsid w:val="00896A68"/>
    <w:rsid w:val="00897E12"/>
    <w:rsid w:val="008A07A0"/>
    <w:rsid w:val="008A1EC9"/>
    <w:rsid w:val="008A2207"/>
    <w:rsid w:val="008A33F0"/>
    <w:rsid w:val="008A45B4"/>
    <w:rsid w:val="008A5122"/>
    <w:rsid w:val="008A6DC9"/>
    <w:rsid w:val="008B08A4"/>
    <w:rsid w:val="008B1155"/>
    <w:rsid w:val="008B1CC7"/>
    <w:rsid w:val="008B1F9A"/>
    <w:rsid w:val="008B2328"/>
    <w:rsid w:val="008B27AA"/>
    <w:rsid w:val="008B4159"/>
    <w:rsid w:val="008B4382"/>
    <w:rsid w:val="008B51EE"/>
    <w:rsid w:val="008B6416"/>
    <w:rsid w:val="008C1D82"/>
    <w:rsid w:val="008C1FA6"/>
    <w:rsid w:val="008C2CD4"/>
    <w:rsid w:val="008C2D97"/>
    <w:rsid w:val="008C369A"/>
    <w:rsid w:val="008C5B29"/>
    <w:rsid w:val="008D0275"/>
    <w:rsid w:val="008D2637"/>
    <w:rsid w:val="008D3DB0"/>
    <w:rsid w:val="008D3E7B"/>
    <w:rsid w:val="008D43BA"/>
    <w:rsid w:val="008D6069"/>
    <w:rsid w:val="008D6097"/>
    <w:rsid w:val="008D6AD6"/>
    <w:rsid w:val="008E046E"/>
    <w:rsid w:val="008E13D8"/>
    <w:rsid w:val="008E1DD1"/>
    <w:rsid w:val="008E1E58"/>
    <w:rsid w:val="008E224D"/>
    <w:rsid w:val="008E2DB7"/>
    <w:rsid w:val="008E32F5"/>
    <w:rsid w:val="008E3759"/>
    <w:rsid w:val="008E3AB1"/>
    <w:rsid w:val="008E4F99"/>
    <w:rsid w:val="008E6BAE"/>
    <w:rsid w:val="008F0B4E"/>
    <w:rsid w:val="008F2CF8"/>
    <w:rsid w:val="008F49E4"/>
    <w:rsid w:val="008F52E5"/>
    <w:rsid w:val="008F52EE"/>
    <w:rsid w:val="008F5436"/>
    <w:rsid w:val="008F5A1A"/>
    <w:rsid w:val="008F6FC0"/>
    <w:rsid w:val="008F776F"/>
    <w:rsid w:val="00903834"/>
    <w:rsid w:val="009041DC"/>
    <w:rsid w:val="00907045"/>
    <w:rsid w:val="009074D1"/>
    <w:rsid w:val="00907F0E"/>
    <w:rsid w:val="009104B4"/>
    <w:rsid w:val="00912C62"/>
    <w:rsid w:val="00914DA7"/>
    <w:rsid w:val="00917526"/>
    <w:rsid w:val="00920623"/>
    <w:rsid w:val="00920A97"/>
    <w:rsid w:val="00921A2A"/>
    <w:rsid w:val="00921AA7"/>
    <w:rsid w:val="00923AF5"/>
    <w:rsid w:val="00924E12"/>
    <w:rsid w:val="00925FCD"/>
    <w:rsid w:val="00925FF5"/>
    <w:rsid w:val="009267EC"/>
    <w:rsid w:val="00930080"/>
    <w:rsid w:val="0093065E"/>
    <w:rsid w:val="00931891"/>
    <w:rsid w:val="00931B8C"/>
    <w:rsid w:val="00932C02"/>
    <w:rsid w:val="009337C7"/>
    <w:rsid w:val="0093403B"/>
    <w:rsid w:val="0093441A"/>
    <w:rsid w:val="0093463A"/>
    <w:rsid w:val="009407D3"/>
    <w:rsid w:val="00941DE8"/>
    <w:rsid w:val="00943DFB"/>
    <w:rsid w:val="0094675D"/>
    <w:rsid w:val="00950154"/>
    <w:rsid w:val="00950224"/>
    <w:rsid w:val="0095059A"/>
    <w:rsid w:val="00950676"/>
    <w:rsid w:val="00950B43"/>
    <w:rsid w:val="009541BF"/>
    <w:rsid w:val="00954679"/>
    <w:rsid w:val="00954BF7"/>
    <w:rsid w:val="009573DF"/>
    <w:rsid w:val="009609EE"/>
    <w:rsid w:val="00960F9B"/>
    <w:rsid w:val="00961A75"/>
    <w:rsid w:val="0096310E"/>
    <w:rsid w:val="0096377C"/>
    <w:rsid w:val="00963C54"/>
    <w:rsid w:val="0096593A"/>
    <w:rsid w:val="00965B5C"/>
    <w:rsid w:val="00965E62"/>
    <w:rsid w:val="009669C4"/>
    <w:rsid w:val="0096706E"/>
    <w:rsid w:val="00970010"/>
    <w:rsid w:val="009744CD"/>
    <w:rsid w:val="0097481A"/>
    <w:rsid w:val="0097567C"/>
    <w:rsid w:val="009763BD"/>
    <w:rsid w:val="00977665"/>
    <w:rsid w:val="00981CB0"/>
    <w:rsid w:val="00981F85"/>
    <w:rsid w:val="00981FBA"/>
    <w:rsid w:val="0098418D"/>
    <w:rsid w:val="00984D6B"/>
    <w:rsid w:val="0098582D"/>
    <w:rsid w:val="009902B5"/>
    <w:rsid w:val="00990677"/>
    <w:rsid w:val="00991E85"/>
    <w:rsid w:val="00992E43"/>
    <w:rsid w:val="00994775"/>
    <w:rsid w:val="00994791"/>
    <w:rsid w:val="00994C6B"/>
    <w:rsid w:val="009976E3"/>
    <w:rsid w:val="009A1AD6"/>
    <w:rsid w:val="009A3F6C"/>
    <w:rsid w:val="009A5C33"/>
    <w:rsid w:val="009A5F94"/>
    <w:rsid w:val="009B2238"/>
    <w:rsid w:val="009B2FF2"/>
    <w:rsid w:val="009B381B"/>
    <w:rsid w:val="009B5B8D"/>
    <w:rsid w:val="009B65DA"/>
    <w:rsid w:val="009C0062"/>
    <w:rsid w:val="009C07F9"/>
    <w:rsid w:val="009C21E4"/>
    <w:rsid w:val="009C3B37"/>
    <w:rsid w:val="009C3F0C"/>
    <w:rsid w:val="009C492E"/>
    <w:rsid w:val="009C4AFB"/>
    <w:rsid w:val="009D2E88"/>
    <w:rsid w:val="009D3882"/>
    <w:rsid w:val="009D4A96"/>
    <w:rsid w:val="009D5711"/>
    <w:rsid w:val="009D72DC"/>
    <w:rsid w:val="009D7611"/>
    <w:rsid w:val="009E0388"/>
    <w:rsid w:val="009E0872"/>
    <w:rsid w:val="009E2EFF"/>
    <w:rsid w:val="009E37AF"/>
    <w:rsid w:val="009E53DE"/>
    <w:rsid w:val="009E70F7"/>
    <w:rsid w:val="009F009C"/>
    <w:rsid w:val="009F0871"/>
    <w:rsid w:val="009F0BEA"/>
    <w:rsid w:val="009F4105"/>
    <w:rsid w:val="009F4D2F"/>
    <w:rsid w:val="009F608A"/>
    <w:rsid w:val="009F70A1"/>
    <w:rsid w:val="00A006E7"/>
    <w:rsid w:val="00A009C6"/>
    <w:rsid w:val="00A010F1"/>
    <w:rsid w:val="00A024C3"/>
    <w:rsid w:val="00A0394C"/>
    <w:rsid w:val="00A05CA3"/>
    <w:rsid w:val="00A06019"/>
    <w:rsid w:val="00A06B44"/>
    <w:rsid w:val="00A06C51"/>
    <w:rsid w:val="00A100C2"/>
    <w:rsid w:val="00A1025D"/>
    <w:rsid w:val="00A103BA"/>
    <w:rsid w:val="00A11B15"/>
    <w:rsid w:val="00A15B06"/>
    <w:rsid w:val="00A17B98"/>
    <w:rsid w:val="00A20455"/>
    <w:rsid w:val="00A21BA2"/>
    <w:rsid w:val="00A22DA7"/>
    <w:rsid w:val="00A23A5B"/>
    <w:rsid w:val="00A247A1"/>
    <w:rsid w:val="00A30485"/>
    <w:rsid w:val="00A3257F"/>
    <w:rsid w:val="00A32CD0"/>
    <w:rsid w:val="00A34247"/>
    <w:rsid w:val="00A37847"/>
    <w:rsid w:val="00A40DEA"/>
    <w:rsid w:val="00A412A4"/>
    <w:rsid w:val="00A41D3E"/>
    <w:rsid w:val="00A42025"/>
    <w:rsid w:val="00A42578"/>
    <w:rsid w:val="00A425B3"/>
    <w:rsid w:val="00A4280B"/>
    <w:rsid w:val="00A43091"/>
    <w:rsid w:val="00A43458"/>
    <w:rsid w:val="00A43FC4"/>
    <w:rsid w:val="00A44371"/>
    <w:rsid w:val="00A4550C"/>
    <w:rsid w:val="00A51508"/>
    <w:rsid w:val="00A51998"/>
    <w:rsid w:val="00A528D1"/>
    <w:rsid w:val="00A52B99"/>
    <w:rsid w:val="00A55E43"/>
    <w:rsid w:val="00A60D2D"/>
    <w:rsid w:val="00A630A3"/>
    <w:rsid w:val="00A6419A"/>
    <w:rsid w:val="00A64A47"/>
    <w:rsid w:val="00A64EEA"/>
    <w:rsid w:val="00A65754"/>
    <w:rsid w:val="00A66BE5"/>
    <w:rsid w:val="00A670B7"/>
    <w:rsid w:val="00A67514"/>
    <w:rsid w:val="00A70CFA"/>
    <w:rsid w:val="00A7179A"/>
    <w:rsid w:val="00A718B2"/>
    <w:rsid w:val="00A71F6B"/>
    <w:rsid w:val="00A7336F"/>
    <w:rsid w:val="00A77067"/>
    <w:rsid w:val="00A772B8"/>
    <w:rsid w:val="00A7753C"/>
    <w:rsid w:val="00A77774"/>
    <w:rsid w:val="00A77C57"/>
    <w:rsid w:val="00A80619"/>
    <w:rsid w:val="00A80EEB"/>
    <w:rsid w:val="00A816D7"/>
    <w:rsid w:val="00A82847"/>
    <w:rsid w:val="00A82EA7"/>
    <w:rsid w:val="00A8346F"/>
    <w:rsid w:val="00A83893"/>
    <w:rsid w:val="00A85CED"/>
    <w:rsid w:val="00A86D16"/>
    <w:rsid w:val="00A92054"/>
    <w:rsid w:val="00A97894"/>
    <w:rsid w:val="00A97A59"/>
    <w:rsid w:val="00A97E08"/>
    <w:rsid w:val="00AA13A0"/>
    <w:rsid w:val="00AA349E"/>
    <w:rsid w:val="00AA367A"/>
    <w:rsid w:val="00AA4811"/>
    <w:rsid w:val="00AA5556"/>
    <w:rsid w:val="00AA5E2F"/>
    <w:rsid w:val="00AB00E4"/>
    <w:rsid w:val="00AB205C"/>
    <w:rsid w:val="00AB2925"/>
    <w:rsid w:val="00AB2F78"/>
    <w:rsid w:val="00AB4912"/>
    <w:rsid w:val="00AB79BB"/>
    <w:rsid w:val="00AC0A31"/>
    <w:rsid w:val="00AC0C86"/>
    <w:rsid w:val="00AC1CBE"/>
    <w:rsid w:val="00AC3527"/>
    <w:rsid w:val="00AC35BD"/>
    <w:rsid w:val="00AC3A6D"/>
    <w:rsid w:val="00AC47B6"/>
    <w:rsid w:val="00AC782A"/>
    <w:rsid w:val="00AD072B"/>
    <w:rsid w:val="00AD0C2F"/>
    <w:rsid w:val="00AD37C1"/>
    <w:rsid w:val="00AD3DFA"/>
    <w:rsid w:val="00AD425C"/>
    <w:rsid w:val="00AD63AE"/>
    <w:rsid w:val="00AD6763"/>
    <w:rsid w:val="00AD7D88"/>
    <w:rsid w:val="00AE0C3A"/>
    <w:rsid w:val="00AE194B"/>
    <w:rsid w:val="00AE2292"/>
    <w:rsid w:val="00AE4714"/>
    <w:rsid w:val="00AE498E"/>
    <w:rsid w:val="00AE4B99"/>
    <w:rsid w:val="00AE66EC"/>
    <w:rsid w:val="00AE6C71"/>
    <w:rsid w:val="00AE6F91"/>
    <w:rsid w:val="00AE743F"/>
    <w:rsid w:val="00AF4A03"/>
    <w:rsid w:val="00AF556D"/>
    <w:rsid w:val="00AF5571"/>
    <w:rsid w:val="00B00879"/>
    <w:rsid w:val="00B01004"/>
    <w:rsid w:val="00B037A7"/>
    <w:rsid w:val="00B03A0E"/>
    <w:rsid w:val="00B04DE3"/>
    <w:rsid w:val="00B05268"/>
    <w:rsid w:val="00B063D8"/>
    <w:rsid w:val="00B067E3"/>
    <w:rsid w:val="00B06CE9"/>
    <w:rsid w:val="00B06FC1"/>
    <w:rsid w:val="00B1024B"/>
    <w:rsid w:val="00B11934"/>
    <w:rsid w:val="00B13ECE"/>
    <w:rsid w:val="00B14D92"/>
    <w:rsid w:val="00B15DAE"/>
    <w:rsid w:val="00B167E9"/>
    <w:rsid w:val="00B207DE"/>
    <w:rsid w:val="00B240E5"/>
    <w:rsid w:val="00B25A0B"/>
    <w:rsid w:val="00B3080C"/>
    <w:rsid w:val="00B30A2D"/>
    <w:rsid w:val="00B314DB"/>
    <w:rsid w:val="00B31904"/>
    <w:rsid w:val="00B31E18"/>
    <w:rsid w:val="00B31EBE"/>
    <w:rsid w:val="00B35187"/>
    <w:rsid w:val="00B35D4E"/>
    <w:rsid w:val="00B3718B"/>
    <w:rsid w:val="00B37C3A"/>
    <w:rsid w:val="00B401A5"/>
    <w:rsid w:val="00B410CD"/>
    <w:rsid w:val="00B41B08"/>
    <w:rsid w:val="00B41F65"/>
    <w:rsid w:val="00B42434"/>
    <w:rsid w:val="00B42A92"/>
    <w:rsid w:val="00B4435A"/>
    <w:rsid w:val="00B4444E"/>
    <w:rsid w:val="00B446CC"/>
    <w:rsid w:val="00B46023"/>
    <w:rsid w:val="00B4632A"/>
    <w:rsid w:val="00B46355"/>
    <w:rsid w:val="00B53992"/>
    <w:rsid w:val="00B545CB"/>
    <w:rsid w:val="00B57148"/>
    <w:rsid w:val="00B603CE"/>
    <w:rsid w:val="00B60CE0"/>
    <w:rsid w:val="00B61039"/>
    <w:rsid w:val="00B615DE"/>
    <w:rsid w:val="00B61BA3"/>
    <w:rsid w:val="00B63353"/>
    <w:rsid w:val="00B6360B"/>
    <w:rsid w:val="00B647B9"/>
    <w:rsid w:val="00B67668"/>
    <w:rsid w:val="00B678A8"/>
    <w:rsid w:val="00B67C48"/>
    <w:rsid w:val="00B70BD9"/>
    <w:rsid w:val="00B70E95"/>
    <w:rsid w:val="00B720AF"/>
    <w:rsid w:val="00B7314A"/>
    <w:rsid w:val="00B81E55"/>
    <w:rsid w:val="00B833EA"/>
    <w:rsid w:val="00B86221"/>
    <w:rsid w:val="00B86629"/>
    <w:rsid w:val="00B86DEE"/>
    <w:rsid w:val="00B870AC"/>
    <w:rsid w:val="00B91C73"/>
    <w:rsid w:val="00B92795"/>
    <w:rsid w:val="00B930C1"/>
    <w:rsid w:val="00B944EA"/>
    <w:rsid w:val="00B94F50"/>
    <w:rsid w:val="00B96F6A"/>
    <w:rsid w:val="00B97514"/>
    <w:rsid w:val="00BA063C"/>
    <w:rsid w:val="00BA0C4A"/>
    <w:rsid w:val="00BA2721"/>
    <w:rsid w:val="00BA276C"/>
    <w:rsid w:val="00BA3524"/>
    <w:rsid w:val="00BA4E2E"/>
    <w:rsid w:val="00BA6B01"/>
    <w:rsid w:val="00BB1915"/>
    <w:rsid w:val="00BB306F"/>
    <w:rsid w:val="00BB57D1"/>
    <w:rsid w:val="00BB6B84"/>
    <w:rsid w:val="00BB735E"/>
    <w:rsid w:val="00BB7608"/>
    <w:rsid w:val="00BC1147"/>
    <w:rsid w:val="00BC1C11"/>
    <w:rsid w:val="00BC2408"/>
    <w:rsid w:val="00BC4433"/>
    <w:rsid w:val="00BC64A2"/>
    <w:rsid w:val="00BD232B"/>
    <w:rsid w:val="00BD2BF7"/>
    <w:rsid w:val="00BD4B89"/>
    <w:rsid w:val="00BD4C18"/>
    <w:rsid w:val="00BD6179"/>
    <w:rsid w:val="00BD70BF"/>
    <w:rsid w:val="00BE069C"/>
    <w:rsid w:val="00BE268A"/>
    <w:rsid w:val="00BE28BF"/>
    <w:rsid w:val="00BE352C"/>
    <w:rsid w:val="00BE3EBB"/>
    <w:rsid w:val="00BE53C5"/>
    <w:rsid w:val="00BE5839"/>
    <w:rsid w:val="00BE6575"/>
    <w:rsid w:val="00BE69B2"/>
    <w:rsid w:val="00BE6C9F"/>
    <w:rsid w:val="00BE7CB1"/>
    <w:rsid w:val="00BE7DE7"/>
    <w:rsid w:val="00BF04F3"/>
    <w:rsid w:val="00BF0B73"/>
    <w:rsid w:val="00BF0F0B"/>
    <w:rsid w:val="00BF10A4"/>
    <w:rsid w:val="00BF2692"/>
    <w:rsid w:val="00BF377E"/>
    <w:rsid w:val="00BF44BC"/>
    <w:rsid w:val="00BF46B7"/>
    <w:rsid w:val="00BF5B55"/>
    <w:rsid w:val="00BF5C60"/>
    <w:rsid w:val="00BF745C"/>
    <w:rsid w:val="00C01011"/>
    <w:rsid w:val="00C02B8E"/>
    <w:rsid w:val="00C0421A"/>
    <w:rsid w:val="00C0458B"/>
    <w:rsid w:val="00C070A5"/>
    <w:rsid w:val="00C10EDD"/>
    <w:rsid w:val="00C122EC"/>
    <w:rsid w:val="00C13D9C"/>
    <w:rsid w:val="00C13F74"/>
    <w:rsid w:val="00C16B48"/>
    <w:rsid w:val="00C17292"/>
    <w:rsid w:val="00C20D49"/>
    <w:rsid w:val="00C21762"/>
    <w:rsid w:val="00C21A45"/>
    <w:rsid w:val="00C23254"/>
    <w:rsid w:val="00C23B2E"/>
    <w:rsid w:val="00C24543"/>
    <w:rsid w:val="00C256A2"/>
    <w:rsid w:val="00C25930"/>
    <w:rsid w:val="00C259C4"/>
    <w:rsid w:val="00C25D43"/>
    <w:rsid w:val="00C2691D"/>
    <w:rsid w:val="00C26C41"/>
    <w:rsid w:val="00C31C93"/>
    <w:rsid w:val="00C3405F"/>
    <w:rsid w:val="00C3492D"/>
    <w:rsid w:val="00C34A43"/>
    <w:rsid w:val="00C35684"/>
    <w:rsid w:val="00C35C11"/>
    <w:rsid w:val="00C35CFF"/>
    <w:rsid w:val="00C36537"/>
    <w:rsid w:val="00C36A5A"/>
    <w:rsid w:val="00C37686"/>
    <w:rsid w:val="00C41577"/>
    <w:rsid w:val="00C436D1"/>
    <w:rsid w:val="00C44FCE"/>
    <w:rsid w:val="00C47E4C"/>
    <w:rsid w:val="00C47FCE"/>
    <w:rsid w:val="00C5127E"/>
    <w:rsid w:val="00C54021"/>
    <w:rsid w:val="00C55560"/>
    <w:rsid w:val="00C55B69"/>
    <w:rsid w:val="00C55E61"/>
    <w:rsid w:val="00C56D53"/>
    <w:rsid w:val="00C56E5E"/>
    <w:rsid w:val="00C60251"/>
    <w:rsid w:val="00C608E6"/>
    <w:rsid w:val="00C61300"/>
    <w:rsid w:val="00C61E8B"/>
    <w:rsid w:val="00C651CB"/>
    <w:rsid w:val="00C667FA"/>
    <w:rsid w:val="00C66B72"/>
    <w:rsid w:val="00C671E6"/>
    <w:rsid w:val="00C67E45"/>
    <w:rsid w:val="00C70AF5"/>
    <w:rsid w:val="00C72311"/>
    <w:rsid w:val="00C73092"/>
    <w:rsid w:val="00C7489A"/>
    <w:rsid w:val="00C76A97"/>
    <w:rsid w:val="00C81CAB"/>
    <w:rsid w:val="00C84BDE"/>
    <w:rsid w:val="00C85C94"/>
    <w:rsid w:val="00C873CB"/>
    <w:rsid w:val="00C87AF8"/>
    <w:rsid w:val="00C9119E"/>
    <w:rsid w:val="00C937F7"/>
    <w:rsid w:val="00C9567A"/>
    <w:rsid w:val="00C9567D"/>
    <w:rsid w:val="00C959DC"/>
    <w:rsid w:val="00C96734"/>
    <w:rsid w:val="00C9721C"/>
    <w:rsid w:val="00C9780E"/>
    <w:rsid w:val="00CA08C9"/>
    <w:rsid w:val="00CA0BC4"/>
    <w:rsid w:val="00CA0E98"/>
    <w:rsid w:val="00CA1A7C"/>
    <w:rsid w:val="00CA363D"/>
    <w:rsid w:val="00CA39BF"/>
    <w:rsid w:val="00CA40AB"/>
    <w:rsid w:val="00CA528D"/>
    <w:rsid w:val="00CB0188"/>
    <w:rsid w:val="00CB0EEB"/>
    <w:rsid w:val="00CB1D76"/>
    <w:rsid w:val="00CB2660"/>
    <w:rsid w:val="00CB4573"/>
    <w:rsid w:val="00CB5456"/>
    <w:rsid w:val="00CB56BB"/>
    <w:rsid w:val="00CB7F27"/>
    <w:rsid w:val="00CC0BF0"/>
    <w:rsid w:val="00CC2B7F"/>
    <w:rsid w:val="00CC43E0"/>
    <w:rsid w:val="00CC5E90"/>
    <w:rsid w:val="00CC60EE"/>
    <w:rsid w:val="00CC70BB"/>
    <w:rsid w:val="00CC7AFB"/>
    <w:rsid w:val="00CC7D7F"/>
    <w:rsid w:val="00CD046C"/>
    <w:rsid w:val="00CD0D9E"/>
    <w:rsid w:val="00CD1354"/>
    <w:rsid w:val="00CD1D95"/>
    <w:rsid w:val="00CD2F3C"/>
    <w:rsid w:val="00CD36E8"/>
    <w:rsid w:val="00CD3D0C"/>
    <w:rsid w:val="00CD40A6"/>
    <w:rsid w:val="00CD45A1"/>
    <w:rsid w:val="00CD4650"/>
    <w:rsid w:val="00CD4849"/>
    <w:rsid w:val="00CD50C7"/>
    <w:rsid w:val="00CD51FE"/>
    <w:rsid w:val="00CD6C16"/>
    <w:rsid w:val="00CD7BDF"/>
    <w:rsid w:val="00CE13DE"/>
    <w:rsid w:val="00CE2304"/>
    <w:rsid w:val="00CE27E4"/>
    <w:rsid w:val="00CE473E"/>
    <w:rsid w:val="00CE4DF7"/>
    <w:rsid w:val="00CE5199"/>
    <w:rsid w:val="00CE66D5"/>
    <w:rsid w:val="00CE6BF1"/>
    <w:rsid w:val="00CE6C09"/>
    <w:rsid w:val="00CF03B8"/>
    <w:rsid w:val="00CF0B02"/>
    <w:rsid w:val="00CF28F6"/>
    <w:rsid w:val="00CF3850"/>
    <w:rsid w:val="00CF3B56"/>
    <w:rsid w:val="00CF41D6"/>
    <w:rsid w:val="00CF4B9E"/>
    <w:rsid w:val="00CF500E"/>
    <w:rsid w:val="00CF54A4"/>
    <w:rsid w:val="00CF78F3"/>
    <w:rsid w:val="00CF795B"/>
    <w:rsid w:val="00D00F25"/>
    <w:rsid w:val="00D014AB"/>
    <w:rsid w:val="00D0244A"/>
    <w:rsid w:val="00D02651"/>
    <w:rsid w:val="00D02BFB"/>
    <w:rsid w:val="00D034F1"/>
    <w:rsid w:val="00D05537"/>
    <w:rsid w:val="00D06882"/>
    <w:rsid w:val="00D06983"/>
    <w:rsid w:val="00D10DC1"/>
    <w:rsid w:val="00D10EF4"/>
    <w:rsid w:val="00D13C4A"/>
    <w:rsid w:val="00D145FF"/>
    <w:rsid w:val="00D15A52"/>
    <w:rsid w:val="00D16C7E"/>
    <w:rsid w:val="00D16FAB"/>
    <w:rsid w:val="00D21017"/>
    <w:rsid w:val="00D22419"/>
    <w:rsid w:val="00D22CBC"/>
    <w:rsid w:val="00D24095"/>
    <w:rsid w:val="00D2444B"/>
    <w:rsid w:val="00D24E42"/>
    <w:rsid w:val="00D2759F"/>
    <w:rsid w:val="00D324F7"/>
    <w:rsid w:val="00D326B0"/>
    <w:rsid w:val="00D332E9"/>
    <w:rsid w:val="00D34786"/>
    <w:rsid w:val="00D362EE"/>
    <w:rsid w:val="00D36A05"/>
    <w:rsid w:val="00D373BC"/>
    <w:rsid w:val="00D40A1E"/>
    <w:rsid w:val="00D415A7"/>
    <w:rsid w:val="00D41F11"/>
    <w:rsid w:val="00D42817"/>
    <w:rsid w:val="00D42F06"/>
    <w:rsid w:val="00D43E3A"/>
    <w:rsid w:val="00D44919"/>
    <w:rsid w:val="00D44D96"/>
    <w:rsid w:val="00D45294"/>
    <w:rsid w:val="00D45534"/>
    <w:rsid w:val="00D4671D"/>
    <w:rsid w:val="00D46DE7"/>
    <w:rsid w:val="00D47051"/>
    <w:rsid w:val="00D51E4C"/>
    <w:rsid w:val="00D52574"/>
    <w:rsid w:val="00D526B5"/>
    <w:rsid w:val="00D52D67"/>
    <w:rsid w:val="00D54D32"/>
    <w:rsid w:val="00D557DC"/>
    <w:rsid w:val="00D56366"/>
    <w:rsid w:val="00D6093D"/>
    <w:rsid w:val="00D60C09"/>
    <w:rsid w:val="00D62403"/>
    <w:rsid w:val="00D63884"/>
    <w:rsid w:val="00D644E5"/>
    <w:rsid w:val="00D65A97"/>
    <w:rsid w:val="00D674E1"/>
    <w:rsid w:val="00D6751B"/>
    <w:rsid w:val="00D67784"/>
    <w:rsid w:val="00D712D3"/>
    <w:rsid w:val="00D71422"/>
    <w:rsid w:val="00D7145E"/>
    <w:rsid w:val="00D7338D"/>
    <w:rsid w:val="00D74559"/>
    <w:rsid w:val="00D7558D"/>
    <w:rsid w:val="00D7607D"/>
    <w:rsid w:val="00D76821"/>
    <w:rsid w:val="00D76A9C"/>
    <w:rsid w:val="00D77DAC"/>
    <w:rsid w:val="00D80A2D"/>
    <w:rsid w:val="00D80C75"/>
    <w:rsid w:val="00D80E0F"/>
    <w:rsid w:val="00D81293"/>
    <w:rsid w:val="00D81CC7"/>
    <w:rsid w:val="00D81D92"/>
    <w:rsid w:val="00D8206E"/>
    <w:rsid w:val="00D846E5"/>
    <w:rsid w:val="00D85B80"/>
    <w:rsid w:val="00D85CDE"/>
    <w:rsid w:val="00D8635E"/>
    <w:rsid w:val="00D8683A"/>
    <w:rsid w:val="00D911FF"/>
    <w:rsid w:val="00D91473"/>
    <w:rsid w:val="00D91FAB"/>
    <w:rsid w:val="00D93446"/>
    <w:rsid w:val="00D93FEB"/>
    <w:rsid w:val="00D9419E"/>
    <w:rsid w:val="00D952F7"/>
    <w:rsid w:val="00D95C80"/>
    <w:rsid w:val="00D9752B"/>
    <w:rsid w:val="00DA02D9"/>
    <w:rsid w:val="00DA2F68"/>
    <w:rsid w:val="00DA4DD5"/>
    <w:rsid w:val="00DA7B5F"/>
    <w:rsid w:val="00DB3238"/>
    <w:rsid w:val="00DB53F5"/>
    <w:rsid w:val="00DB64B8"/>
    <w:rsid w:val="00DB69C3"/>
    <w:rsid w:val="00DB7300"/>
    <w:rsid w:val="00DC07B1"/>
    <w:rsid w:val="00DC142E"/>
    <w:rsid w:val="00DC1CDB"/>
    <w:rsid w:val="00DC323E"/>
    <w:rsid w:val="00DC3867"/>
    <w:rsid w:val="00DC3908"/>
    <w:rsid w:val="00DC434F"/>
    <w:rsid w:val="00DC4978"/>
    <w:rsid w:val="00DC5F4F"/>
    <w:rsid w:val="00DC706C"/>
    <w:rsid w:val="00DD0437"/>
    <w:rsid w:val="00DD11ED"/>
    <w:rsid w:val="00DD15DF"/>
    <w:rsid w:val="00DD32D3"/>
    <w:rsid w:val="00DD4DE9"/>
    <w:rsid w:val="00DD4E74"/>
    <w:rsid w:val="00DE29B9"/>
    <w:rsid w:val="00DE35CD"/>
    <w:rsid w:val="00DE4E65"/>
    <w:rsid w:val="00DE6FB6"/>
    <w:rsid w:val="00DF0528"/>
    <w:rsid w:val="00DF1ABD"/>
    <w:rsid w:val="00DF2494"/>
    <w:rsid w:val="00DF24E1"/>
    <w:rsid w:val="00DF5839"/>
    <w:rsid w:val="00DF7773"/>
    <w:rsid w:val="00E00FD4"/>
    <w:rsid w:val="00E01053"/>
    <w:rsid w:val="00E01449"/>
    <w:rsid w:val="00E01752"/>
    <w:rsid w:val="00E0242B"/>
    <w:rsid w:val="00E04F26"/>
    <w:rsid w:val="00E11377"/>
    <w:rsid w:val="00E1228E"/>
    <w:rsid w:val="00E12878"/>
    <w:rsid w:val="00E12987"/>
    <w:rsid w:val="00E12B2C"/>
    <w:rsid w:val="00E1557C"/>
    <w:rsid w:val="00E166E3"/>
    <w:rsid w:val="00E16724"/>
    <w:rsid w:val="00E1764A"/>
    <w:rsid w:val="00E17C33"/>
    <w:rsid w:val="00E20565"/>
    <w:rsid w:val="00E20646"/>
    <w:rsid w:val="00E20E32"/>
    <w:rsid w:val="00E21F82"/>
    <w:rsid w:val="00E24320"/>
    <w:rsid w:val="00E2494C"/>
    <w:rsid w:val="00E251BA"/>
    <w:rsid w:val="00E26F4C"/>
    <w:rsid w:val="00E276EF"/>
    <w:rsid w:val="00E27CCB"/>
    <w:rsid w:val="00E30424"/>
    <w:rsid w:val="00E30F6F"/>
    <w:rsid w:val="00E349B7"/>
    <w:rsid w:val="00E421BB"/>
    <w:rsid w:val="00E424C7"/>
    <w:rsid w:val="00E42E68"/>
    <w:rsid w:val="00E43157"/>
    <w:rsid w:val="00E43BBE"/>
    <w:rsid w:val="00E457B8"/>
    <w:rsid w:val="00E4633E"/>
    <w:rsid w:val="00E472B3"/>
    <w:rsid w:val="00E479D5"/>
    <w:rsid w:val="00E51DE8"/>
    <w:rsid w:val="00E52C3D"/>
    <w:rsid w:val="00E533FF"/>
    <w:rsid w:val="00E53D91"/>
    <w:rsid w:val="00E54AB8"/>
    <w:rsid w:val="00E558CF"/>
    <w:rsid w:val="00E56058"/>
    <w:rsid w:val="00E5649F"/>
    <w:rsid w:val="00E57D49"/>
    <w:rsid w:val="00E60F3B"/>
    <w:rsid w:val="00E61FFF"/>
    <w:rsid w:val="00E6507E"/>
    <w:rsid w:val="00E65340"/>
    <w:rsid w:val="00E65854"/>
    <w:rsid w:val="00E67773"/>
    <w:rsid w:val="00E70679"/>
    <w:rsid w:val="00E709B3"/>
    <w:rsid w:val="00E70C29"/>
    <w:rsid w:val="00E729B0"/>
    <w:rsid w:val="00E751A3"/>
    <w:rsid w:val="00E752B7"/>
    <w:rsid w:val="00E760CF"/>
    <w:rsid w:val="00E76DB5"/>
    <w:rsid w:val="00E77B57"/>
    <w:rsid w:val="00E77D1B"/>
    <w:rsid w:val="00E81431"/>
    <w:rsid w:val="00E82834"/>
    <w:rsid w:val="00E832F9"/>
    <w:rsid w:val="00E83361"/>
    <w:rsid w:val="00E84C39"/>
    <w:rsid w:val="00E854E5"/>
    <w:rsid w:val="00E8789F"/>
    <w:rsid w:val="00E878CA"/>
    <w:rsid w:val="00E91DD0"/>
    <w:rsid w:val="00E91F60"/>
    <w:rsid w:val="00E929B2"/>
    <w:rsid w:val="00E92D18"/>
    <w:rsid w:val="00E9497E"/>
    <w:rsid w:val="00E97AD5"/>
    <w:rsid w:val="00E97B71"/>
    <w:rsid w:val="00E97DF7"/>
    <w:rsid w:val="00EA10F2"/>
    <w:rsid w:val="00EA1D97"/>
    <w:rsid w:val="00EA3025"/>
    <w:rsid w:val="00EA45D6"/>
    <w:rsid w:val="00EA5211"/>
    <w:rsid w:val="00EA6CCD"/>
    <w:rsid w:val="00EB0A6C"/>
    <w:rsid w:val="00EB0BB8"/>
    <w:rsid w:val="00EB0FE0"/>
    <w:rsid w:val="00EB172D"/>
    <w:rsid w:val="00EB2246"/>
    <w:rsid w:val="00EB454D"/>
    <w:rsid w:val="00EB5334"/>
    <w:rsid w:val="00EB67A6"/>
    <w:rsid w:val="00EC0542"/>
    <w:rsid w:val="00EC0B45"/>
    <w:rsid w:val="00EC0D44"/>
    <w:rsid w:val="00EC12C4"/>
    <w:rsid w:val="00EC324E"/>
    <w:rsid w:val="00EC419C"/>
    <w:rsid w:val="00EC5715"/>
    <w:rsid w:val="00ED2F03"/>
    <w:rsid w:val="00ED3D06"/>
    <w:rsid w:val="00ED3E3F"/>
    <w:rsid w:val="00ED4C3B"/>
    <w:rsid w:val="00ED5262"/>
    <w:rsid w:val="00ED6039"/>
    <w:rsid w:val="00ED6C0C"/>
    <w:rsid w:val="00EE04F3"/>
    <w:rsid w:val="00EE111D"/>
    <w:rsid w:val="00EE313E"/>
    <w:rsid w:val="00EE3522"/>
    <w:rsid w:val="00EE49D6"/>
    <w:rsid w:val="00EE5448"/>
    <w:rsid w:val="00EE5FF4"/>
    <w:rsid w:val="00EE67ED"/>
    <w:rsid w:val="00EE796D"/>
    <w:rsid w:val="00EE7B62"/>
    <w:rsid w:val="00EF02B3"/>
    <w:rsid w:val="00EF19CE"/>
    <w:rsid w:val="00EF5303"/>
    <w:rsid w:val="00EF5BF1"/>
    <w:rsid w:val="00EF619B"/>
    <w:rsid w:val="00EF6DDD"/>
    <w:rsid w:val="00F00B28"/>
    <w:rsid w:val="00F00B55"/>
    <w:rsid w:val="00F02E79"/>
    <w:rsid w:val="00F039E3"/>
    <w:rsid w:val="00F03AEE"/>
    <w:rsid w:val="00F06E28"/>
    <w:rsid w:val="00F075DC"/>
    <w:rsid w:val="00F07E95"/>
    <w:rsid w:val="00F1380F"/>
    <w:rsid w:val="00F14C3D"/>
    <w:rsid w:val="00F14F0E"/>
    <w:rsid w:val="00F14FC3"/>
    <w:rsid w:val="00F15CE3"/>
    <w:rsid w:val="00F20CC3"/>
    <w:rsid w:val="00F22C19"/>
    <w:rsid w:val="00F236DA"/>
    <w:rsid w:val="00F2477F"/>
    <w:rsid w:val="00F24C29"/>
    <w:rsid w:val="00F24F7C"/>
    <w:rsid w:val="00F2504C"/>
    <w:rsid w:val="00F253CC"/>
    <w:rsid w:val="00F27628"/>
    <w:rsid w:val="00F3093F"/>
    <w:rsid w:val="00F320E2"/>
    <w:rsid w:val="00F32158"/>
    <w:rsid w:val="00F324B2"/>
    <w:rsid w:val="00F359B5"/>
    <w:rsid w:val="00F36742"/>
    <w:rsid w:val="00F400D1"/>
    <w:rsid w:val="00F42C7A"/>
    <w:rsid w:val="00F43349"/>
    <w:rsid w:val="00F44C56"/>
    <w:rsid w:val="00F4612D"/>
    <w:rsid w:val="00F47531"/>
    <w:rsid w:val="00F47A74"/>
    <w:rsid w:val="00F47F0F"/>
    <w:rsid w:val="00F52948"/>
    <w:rsid w:val="00F5311B"/>
    <w:rsid w:val="00F535CB"/>
    <w:rsid w:val="00F5441F"/>
    <w:rsid w:val="00F54D48"/>
    <w:rsid w:val="00F55C32"/>
    <w:rsid w:val="00F56016"/>
    <w:rsid w:val="00F567D8"/>
    <w:rsid w:val="00F56B61"/>
    <w:rsid w:val="00F56BA5"/>
    <w:rsid w:val="00F6027E"/>
    <w:rsid w:val="00F60BBE"/>
    <w:rsid w:val="00F63341"/>
    <w:rsid w:val="00F644E6"/>
    <w:rsid w:val="00F6538A"/>
    <w:rsid w:val="00F66B97"/>
    <w:rsid w:val="00F676A1"/>
    <w:rsid w:val="00F70093"/>
    <w:rsid w:val="00F7085F"/>
    <w:rsid w:val="00F70DBA"/>
    <w:rsid w:val="00F70E5E"/>
    <w:rsid w:val="00F72304"/>
    <w:rsid w:val="00F73DA0"/>
    <w:rsid w:val="00F807D9"/>
    <w:rsid w:val="00F81DD3"/>
    <w:rsid w:val="00F83A6B"/>
    <w:rsid w:val="00F83B7C"/>
    <w:rsid w:val="00F847FE"/>
    <w:rsid w:val="00F85503"/>
    <w:rsid w:val="00F8641C"/>
    <w:rsid w:val="00F87917"/>
    <w:rsid w:val="00F92CA4"/>
    <w:rsid w:val="00F95CF4"/>
    <w:rsid w:val="00F9653B"/>
    <w:rsid w:val="00FA0C6C"/>
    <w:rsid w:val="00FA1064"/>
    <w:rsid w:val="00FA3C19"/>
    <w:rsid w:val="00FA46E1"/>
    <w:rsid w:val="00FA545C"/>
    <w:rsid w:val="00FB07D0"/>
    <w:rsid w:val="00FB162D"/>
    <w:rsid w:val="00FB1733"/>
    <w:rsid w:val="00FB1E8A"/>
    <w:rsid w:val="00FB2C4A"/>
    <w:rsid w:val="00FB3CFA"/>
    <w:rsid w:val="00FB53D4"/>
    <w:rsid w:val="00FB57F6"/>
    <w:rsid w:val="00FB5A86"/>
    <w:rsid w:val="00FB62CF"/>
    <w:rsid w:val="00FC01E4"/>
    <w:rsid w:val="00FC1131"/>
    <w:rsid w:val="00FC302C"/>
    <w:rsid w:val="00FC314B"/>
    <w:rsid w:val="00FC3EB4"/>
    <w:rsid w:val="00FC6C58"/>
    <w:rsid w:val="00FC7D48"/>
    <w:rsid w:val="00FD0281"/>
    <w:rsid w:val="00FD1C65"/>
    <w:rsid w:val="00FD2350"/>
    <w:rsid w:val="00FD2D9C"/>
    <w:rsid w:val="00FD30DD"/>
    <w:rsid w:val="00FD338C"/>
    <w:rsid w:val="00FD3819"/>
    <w:rsid w:val="00FD38DC"/>
    <w:rsid w:val="00FD65F1"/>
    <w:rsid w:val="00FD7A5D"/>
    <w:rsid w:val="00FE1063"/>
    <w:rsid w:val="00FE17A3"/>
    <w:rsid w:val="00FE25CD"/>
    <w:rsid w:val="00FE5758"/>
    <w:rsid w:val="00FE6B45"/>
    <w:rsid w:val="00FE75E0"/>
    <w:rsid w:val="00FE7AE8"/>
    <w:rsid w:val="00FF008D"/>
    <w:rsid w:val="00FF00E1"/>
    <w:rsid w:val="00FF122E"/>
    <w:rsid w:val="00FF137F"/>
    <w:rsid w:val="00FF1AE4"/>
    <w:rsid w:val="00FF1FC8"/>
    <w:rsid w:val="00FF2E9E"/>
    <w:rsid w:val="00FF4185"/>
    <w:rsid w:val="00FF57C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7CBC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00D46"/>
    <w:pPr>
      <w:numPr>
        <w:numId w:val="53"/>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iPriority w:val="9"/>
    <w:unhideWhenUsed/>
    <w:qFormat/>
    <w:rsid w:val="00300D46"/>
    <w:pPr>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nhideWhenUsed/>
    <w:qFormat/>
    <w:rsid w:val="00A17B98"/>
    <w:pPr>
      <w:numPr>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2"/>
    </w:pPr>
    <w:rPr>
      <w:rFonts w:asciiTheme="majorHAnsi" w:eastAsiaTheme="majorEastAsia" w:hAnsiTheme="majorHAnsi" w:cstheme="majorBidi"/>
      <w:b/>
      <w:bCs/>
      <w:sz w:val="20"/>
      <w:szCs w:val="20"/>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00D46"/>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300D46"/>
    <w:rPr>
      <w:rFonts w:asciiTheme="majorHAnsi" w:eastAsiaTheme="majorEastAsia" w:hAnsiTheme="majorHAnsi" w:cstheme="majorBidi"/>
      <w:b/>
      <w:bCs/>
      <w:szCs w:val="26"/>
      <w:lang w:val="en-US" w:eastAsia="en-US"/>
    </w:rPr>
  </w:style>
  <w:style w:type="character" w:customStyle="1" w:styleId="Heading3Char">
    <w:name w:val="Heading 3 Char"/>
    <w:basedOn w:val="DefaultParagraphFont"/>
    <w:link w:val="Heading3"/>
    <w:rsid w:val="00A17B98"/>
    <w:rPr>
      <w:rFonts w:asciiTheme="majorHAnsi" w:eastAsiaTheme="majorEastAsia" w:hAnsiTheme="majorHAnsi" w:cstheme="majorBidi"/>
      <w:b/>
      <w:bCs/>
      <w:lang w:eastAsia="en-US"/>
    </w:rPr>
  </w:style>
  <w:style w:type="numbering" w:customStyle="1" w:styleId="List211">
    <w:name w:val="List 211"/>
    <w:basedOn w:val="Estiloimportado19"/>
    <w:rsid w:val="0059628A"/>
    <w:pPr>
      <w:numPr>
        <w:numId w:val="35"/>
      </w:numPr>
    </w:pPr>
  </w:style>
  <w:style w:type="numbering" w:customStyle="1" w:styleId="List311">
    <w:name w:val="List 311"/>
    <w:basedOn w:val="Estiloimportado27"/>
    <w:rsid w:val="0059628A"/>
    <w:pPr>
      <w:numPr>
        <w:numId w:val="20"/>
      </w:numPr>
    </w:pPr>
  </w:style>
  <w:style w:type="numbering" w:customStyle="1" w:styleId="List411">
    <w:name w:val="List 411"/>
    <w:basedOn w:val="Estiloimportado37"/>
    <w:rsid w:val="0059628A"/>
    <w:pPr>
      <w:numPr>
        <w:numId w:val="40"/>
      </w:numPr>
    </w:pPr>
  </w:style>
  <w:style w:type="numbering" w:customStyle="1" w:styleId="List511">
    <w:name w:val="List 511"/>
    <w:basedOn w:val="Estiloimportado46"/>
    <w:rsid w:val="0059628A"/>
    <w:pPr>
      <w:numPr>
        <w:numId w:val="26"/>
      </w:numPr>
    </w:pPr>
  </w:style>
  <w:style w:type="paragraph" w:styleId="BodyTextIndent2">
    <w:name w:val="Body Text Indent 2"/>
    <w:basedOn w:val="Normal"/>
    <w:link w:val="BodyTextIndent2Char"/>
    <w:uiPriority w:val="99"/>
    <w:semiHidden/>
    <w:unhideWhenUsed/>
    <w:rsid w:val="0059628A"/>
    <w:pPr>
      <w:spacing w:after="120" w:line="480" w:lineRule="auto"/>
      <w:ind w:left="360"/>
    </w:pPr>
  </w:style>
  <w:style w:type="character" w:customStyle="1" w:styleId="BodyTextIndent2Char">
    <w:name w:val="Body Text Indent 2 Char"/>
    <w:basedOn w:val="DefaultParagraphFont"/>
    <w:link w:val="BodyTextIndent2"/>
    <w:uiPriority w:val="99"/>
    <w:semiHidden/>
    <w:rsid w:val="0059628A"/>
    <w:rPr>
      <w:sz w:val="24"/>
      <w:szCs w:val="24"/>
      <w:lang w:val="en-US" w:eastAsia="en-US"/>
    </w:rPr>
  </w:style>
  <w:style w:type="paragraph" w:customStyle="1" w:styleId="Default">
    <w:name w:val="Default"/>
    <w:link w:val="DefaultChar"/>
    <w:rsid w:val="005962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5962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59628A"/>
    <w:rPr>
      <w:rFonts w:eastAsia="Times New Roman"/>
      <w:sz w:val="24"/>
      <w:szCs w:val="24"/>
      <w:bdr w:val="none" w:sz="0" w:space="0" w:color="auto"/>
      <w:lang w:val="en-US" w:eastAsia="en-US"/>
    </w:rPr>
  </w:style>
  <w:style w:type="character" w:customStyle="1" w:styleId="DefaultChar">
    <w:name w:val="Default Char"/>
    <w:link w:val="Default"/>
    <w:rsid w:val="0059628A"/>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59628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59628A"/>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59628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59628A"/>
    <w:rPr>
      <w:sz w:val="18"/>
      <w:szCs w:val="18"/>
    </w:rPr>
  </w:style>
  <w:style w:type="paragraph" w:styleId="CommentText">
    <w:name w:val="annotation text"/>
    <w:basedOn w:val="Normal"/>
    <w:link w:val="CommentTextChar"/>
    <w:uiPriority w:val="99"/>
    <w:semiHidden/>
    <w:unhideWhenUsed/>
    <w:rsid w:val="0059628A"/>
  </w:style>
  <w:style w:type="character" w:customStyle="1" w:styleId="CommentTextChar">
    <w:name w:val="Comment Text Char"/>
    <w:basedOn w:val="DefaultParagraphFont"/>
    <w:link w:val="CommentText"/>
    <w:uiPriority w:val="99"/>
    <w:semiHidden/>
    <w:rsid w:val="0059628A"/>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59628A"/>
    <w:rPr>
      <w:b/>
      <w:bCs/>
      <w:sz w:val="20"/>
      <w:szCs w:val="20"/>
    </w:rPr>
  </w:style>
  <w:style w:type="character" w:customStyle="1" w:styleId="CommentSubjectChar">
    <w:name w:val="Comment Subject Char"/>
    <w:basedOn w:val="CommentTextChar"/>
    <w:link w:val="CommentSubject"/>
    <w:uiPriority w:val="99"/>
    <w:semiHidden/>
    <w:rsid w:val="0059628A"/>
    <w:rPr>
      <w:b/>
      <w:bCs/>
      <w:sz w:val="24"/>
      <w:szCs w:val="24"/>
      <w:lang w:val="en-US" w:eastAsia="en-US"/>
    </w:rPr>
  </w:style>
  <w:style w:type="paragraph" w:styleId="Revision">
    <w:name w:val="Revision"/>
    <w:hidden/>
    <w:uiPriority w:val="99"/>
    <w:semiHidden/>
    <w:rsid w:val="005962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1"/>
    <w:basedOn w:val="Normal"/>
    <w:rsid w:val="0059628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BodyTextIndent3">
    <w:name w:val="Body Text Indent 3"/>
    <w:basedOn w:val="Normal"/>
    <w:link w:val="BodyTextIndent3Char"/>
    <w:uiPriority w:val="99"/>
    <w:semiHidden/>
    <w:unhideWhenUsed/>
    <w:rsid w:val="005962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628A"/>
    <w:rPr>
      <w:sz w:val="16"/>
      <w:szCs w:val="16"/>
      <w:lang w:val="en-US" w:eastAsia="en-US"/>
    </w:rPr>
  </w:style>
  <w:style w:type="character" w:styleId="Strong">
    <w:name w:val="Strong"/>
    <w:uiPriority w:val="22"/>
    <w:qFormat/>
    <w:rsid w:val="0059628A"/>
    <w:rPr>
      <w:b/>
      <w:bCs/>
    </w:rPr>
  </w:style>
  <w:style w:type="paragraph" w:styleId="TOCHeading">
    <w:name w:val="TOC Heading"/>
    <w:basedOn w:val="Heading1"/>
    <w:next w:val="Normal"/>
    <w:uiPriority w:val="39"/>
    <w:semiHidden/>
    <w:unhideWhenUsed/>
    <w:qFormat/>
    <w:rsid w:val="0059628A"/>
    <w:pPr>
      <w:numPr>
        <w:numId w:val="0"/>
      </w:numPr>
      <w:spacing w:line="276" w:lineRule="auto"/>
      <w:outlineLvl w:val="9"/>
    </w:pPr>
    <w:rPr>
      <w:bdr w:val="none" w:sz="0" w:space="0" w:color="auto"/>
      <w:lang w:eastAsia="ja-JP"/>
    </w:rPr>
  </w:style>
  <w:style w:type="paragraph" w:styleId="NormalWeb">
    <w:name w:val="Normal (Web)"/>
    <w:basedOn w:val="Normal"/>
    <w:uiPriority w:val="99"/>
    <w:unhideWhenUsed/>
    <w:rsid w:val="00DC38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00D46"/>
    <w:pPr>
      <w:numPr>
        <w:numId w:val="53"/>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iPriority w:val="9"/>
    <w:unhideWhenUsed/>
    <w:qFormat/>
    <w:rsid w:val="00300D46"/>
    <w:pPr>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nhideWhenUsed/>
    <w:qFormat/>
    <w:rsid w:val="00A17B98"/>
    <w:pPr>
      <w:numPr>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2"/>
    </w:pPr>
    <w:rPr>
      <w:rFonts w:asciiTheme="majorHAnsi" w:eastAsiaTheme="majorEastAsia" w:hAnsiTheme="majorHAnsi" w:cstheme="majorBidi"/>
      <w:b/>
      <w:bCs/>
      <w:sz w:val="20"/>
      <w:szCs w:val="20"/>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00D46"/>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300D46"/>
    <w:rPr>
      <w:rFonts w:asciiTheme="majorHAnsi" w:eastAsiaTheme="majorEastAsia" w:hAnsiTheme="majorHAnsi" w:cstheme="majorBidi"/>
      <w:b/>
      <w:bCs/>
      <w:szCs w:val="26"/>
      <w:lang w:val="en-US" w:eastAsia="en-US"/>
    </w:rPr>
  </w:style>
  <w:style w:type="character" w:customStyle="1" w:styleId="Heading3Char">
    <w:name w:val="Heading 3 Char"/>
    <w:basedOn w:val="DefaultParagraphFont"/>
    <w:link w:val="Heading3"/>
    <w:rsid w:val="00A17B98"/>
    <w:rPr>
      <w:rFonts w:asciiTheme="majorHAnsi" w:eastAsiaTheme="majorEastAsia" w:hAnsiTheme="majorHAnsi" w:cstheme="majorBidi"/>
      <w:b/>
      <w:bCs/>
      <w:lang w:eastAsia="en-US"/>
    </w:rPr>
  </w:style>
  <w:style w:type="numbering" w:customStyle="1" w:styleId="List211">
    <w:name w:val="List 211"/>
    <w:basedOn w:val="Estiloimportado19"/>
    <w:rsid w:val="0059628A"/>
    <w:pPr>
      <w:numPr>
        <w:numId w:val="35"/>
      </w:numPr>
    </w:pPr>
  </w:style>
  <w:style w:type="numbering" w:customStyle="1" w:styleId="List311">
    <w:name w:val="List 311"/>
    <w:basedOn w:val="Estiloimportado27"/>
    <w:rsid w:val="0059628A"/>
    <w:pPr>
      <w:numPr>
        <w:numId w:val="20"/>
      </w:numPr>
    </w:pPr>
  </w:style>
  <w:style w:type="numbering" w:customStyle="1" w:styleId="List411">
    <w:name w:val="List 411"/>
    <w:basedOn w:val="Estiloimportado37"/>
    <w:rsid w:val="0059628A"/>
    <w:pPr>
      <w:numPr>
        <w:numId w:val="40"/>
      </w:numPr>
    </w:pPr>
  </w:style>
  <w:style w:type="numbering" w:customStyle="1" w:styleId="List511">
    <w:name w:val="List 511"/>
    <w:basedOn w:val="Estiloimportado46"/>
    <w:rsid w:val="0059628A"/>
    <w:pPr>
      <w:numPr>
        <w:numId w:val="26"/>
      </w:numPr>
    </w:pPr>
  </w:style>
  <w:style w:type="paragraph" w:styleId="BodyTextIndent2">
    <w:name w:val="Body Text Indent 2"/>
    <w:basedOn w:val="Normal"/>
    <w:link w:val="BodyTextIndent2Char"/>
    <w:uiPriority w:val="99"/>
    <w:semiHidden/>
    <w:unhideWhenUsed/>
    <w:rsid w:val="0059628A"/>
    <w:pPr>
      <w:spacing w:after="120" w:line="480" w:lineRule="auto"/>
      <w:ind w:left="360"/>
    </w:pPr>
  </w:style>
  <w:style w:type="character" w:customStyle="1" w:styleId="BodyTextIndent2Char">
    <w:name w:val="Body Text Indent 2 Char"/>
    <w:basedOn w:val="DefaultParagraphFont"/>
    <w:link w:val="BodyTextIndent2"/>
    <w:uiPriority w:val="99"/>
    <w:semiHidden/>
    <w:rsid w:val="0059628A"/>
    <w:rPr>
      <w:sz w:val="24"/>
      <w:szCs w:val="24"/>
      <w:lang w:val="en-US" w:eastAsia="en-US"/>
    </w:rPr>
  </w:style>
  <w:style w:type="paragraph" w:customStyle="1" w:styleId="Default">
    <w:name w:val="Default"/>
    <w:link w:val="DefaultChar"/>
    <w:rsid w:val="005962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5962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59628A"/>
    <w:rPr>
      <w:rFonts w:eastAsia="Times New Roman"/>
      <w:sz w:val="24"/>
      <w:szCs w:val="24"/>
      <w:bdr w:val="none" w:sz="0" w:space="0" w:color="auto"/>
      <w:lang w:val="en-US" w:eastAsia="en-US"/>
    </w:rPr>
  </w:style>
  <w:style w:type="character" w:customStyle="1" w:styleId="DefaultChar">
    <w:name w:val="Default Char"/>
    <w:link w:val="Default"/>
    <w:rsid w:val="0059628A"/>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59628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59628A"/>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59628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59628A"/>
    <w:rPr>
      <w:sz w:val="18"/>
      <w:szCs w:val="18"/>
    </w:rPr>
  </w:style>
  <w:style w:type="paragraph" w:styleId="CommentText">
    <w:name w:val="annotation text"/>
    <w:basedOn w:val="Normal"/>
    <w:link w:val="CommentTextChar"/>
    <w:uiPriority w:val="99"/>
    <w:semiHidden/>
    <w:unhideWhenUsed/>
    <w:rsid w:val="0059628A"/>
  </w:style>
  <w:style w:type="character" w:customStyle="1" w:styleId="CommentTextChar">
    <w:name w:val="Comment Text Char"/>
    <w:basedOn w:val="DefaultParagraphFont"/>
    <w:link w:val="CommentText"/>
    <w:uiPriority w:val="99"/>
    <w:semiHidden/>
    <w:rsid w:val="0059628A"/>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59628A"/>
    <w:rPr>
      <w:b/>
      <w:bCs/>
      <w:sz w:val="20"/>
      <w:szCs w:val="20"/>
    </w:rPr>
  </w:style>
  <w:style w:type="character" w:customStyle="1" w:styleId="CommentSubjectChar">
    <w:name w:val="Comment Subject Char"/>
    <w:basedOn w:val="CommentTextChar"/>
    <w:link w:val="CommentSubject"/>
    <w:uiPriority w:val="99"/>
    <w:semiHidden/>
    <w:rsid w:val="0059628A"/>
    <w:rPr>
      <w:b/>
      <w:bCs/>
      <w:sz w:val="24"/>
      <w:szCs w:val="24"/>
      <w:lang w:val="en-US" w:eastAsia="en-US"/>
    </w:rPr>
  </w:style>
  <w:style w:type="paragraph" w:styleId="Revision">
    <w:name w:val="Revision"/>
    <w:hidden/>
    <w:uiPriority w:val="99"/>
    <w:semiHidden/>
    <w:rsid w:val="005962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1"/>
    <w:basedOn w:val="Normal"/>
    <w:rsid w:val="0059628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BodyTextIndent3">
    <w:name w:val="Body Text Indent 3"/>
    <w:basedOn w:val="Normal"/>
    <w:link w:val="BodyTextIndent3Char"/>
    <w:uiPriority w:val="99"/>
    <w:semiHidden/>
    <w:unhideWhenUsed/>
    <w:rsid w:val="005962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628A"/>
    <w:rPr>
      <w:sz w:val="16"/>
      <w:szCs w:val="16"/>
      <w:lang w:val="en-US" w:eastAsia="en-US"/>
    </w:rPr>
  </w:style>
  <w:style w:type="character" w:styleId="Strong">
    <w:name w:val="Strong"/>
    <w:uiPriority w:val="22"/>
    <w:qFormat/>
    <w:rsid w:val="0059628A"/>
    <w:rPr>
      <w:b/>
      <w:bCs/>
    </w:rPr>
  </w:style>
  <w:style w:type="paragraph" w:styleId="TOCHeading">
    <w:name w:val="TOC Heading"/>
    <w:basedOn w:val="Heading1"/>
    <w:next w:val="Normal"/>
    <w:uiPriority w:val="39"/>
    <w:semiHidden/>
    <w:unhideWhenUsed/>
    <w:qFormat/>
    <w:rsid w:val="0059628A"/>
    <w:pPr>
      <w:numPr>
        <w:numId w:val="0"/>
      </w:numPr>
      <w:spacing w:line="276" w:lineRule="auto"/>
      <w:outlineLvl w:val="9"/>
    </w:pPr>
    <w:rPr>
      <w:bdr w:val="none" w:sz="0" w:space="0" w:color="auto"/>
      <w:lang w:eastAsia="ja-JP"/>
    </w:rPr>
  </w:style>
  <w:style w:type="paragraph" w:styleId="NormalWeb">
    <w:name w:val="Normal (Web)"/>
    <w:basedOn w:val="Normal"/>
    <w:uiPriority w:val="99"/>
    <w:unhideWhenUsed/>
    <w:rsid w:val="00DC38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jurisprudencia-oc-2/38-jurisprudencia/731-corte-idh-caso-de-las-masacres-de-ituango-vs-colombia-sentencia-de-1-de-julio-de-2006-serie-c-no-1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E101-D1A1-4560-B72E-7C8EF8B2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26</Pages>
  <Words>12720</Words>
  <Characters>72507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1648</cp:revision>
  <cp:lastPrinted>2014-06-04T21:22:00Z</cp:lastPrinted>
  <dcterms:created xsi:type="dcterms:W3CDTF">2018-02-11T11:43:00Z</dcterms:created>
  <dcterms:modified xsi:type="dcterms:W3CDTF">2018-04-18T18:45:00Z</dcterms:modified>
</cp:coreProperties>
</file>