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BC74F3" w:rsidRDefault="00322654" w:rsidP="00627C9F">
      <w:pPr>
        <w:jc w:val="both"/>
        <w:rPr>
          <w:rFonts w:ascii="Cambria" w:hAnsi="Cambria" w:cs="Univers"/>
          <w:b/>
          <w:bCs/>
          <w:sz w:val="22"/>
          <w:szCs w:val="22"/>
        </w:rPr>
      </w:pPr>
      <w:r>
        <w:rPr>
          <w:noProof/>
        </w:rPr>
        <w:pict>
          <v:rect id="Rectangle 1" o:spid="_x0000_s1033" style="position:absolute;left:0;text-align:left;margin-left:-32.7pt;margin-top:-28.05pt;width:111pt;height:706.9pt;z-index:251653632;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pCHl0CAACyBAAADgAAAGRycy9lMm9Eb2MueG1srFRLb9swDL4P2H8QdF+dpGnTBnGKIF2HAUVb&#10;LB16ZmTJNqDXKCVO9+tHyU7bdTsNu8ikSPHx8aMXVwej2V5iaJ0t+fhkxJm0wlWtrUv+/fHm0wVn&#10;IYKtQDsrS/4sA79afvyw6PxcTlzjdCWRURAb5p0veROjnxdFEI00EE6cl5aMyqGBSCrWRYXQUXSj&#10;i8lodF50DiuPTsgQ6Pa6N/Jljq+UFPFeqSAj0yWn2mI+MZ/bdBbLBcxrBN+0YigD/qEKA62lpC+h&#10;riEC22H7RyjTCnTBqXginCmcUq2QuQfqZjx6182mAS9zLwRO8C8whf8XVtztH5C1Fc2OMwuGRvSN&#10;QANba8nGCZ7Ohzl5bfwDDlogMfV6UGjSl7pghwzp8wuk8hCZoMvxdHQ5GxHygmwXl7PZ+WkGvXh9&#10;7jHEL9IZloSSI6XPUML+NkRKSa5Hl5QtON1WN63WWcF6u9bI9kDzPZ+tPp+uU8305Dc3bVlX8snZ&#10;NFcCxDOlIVJRxlPnwdacga6JwCJizm1dykCR+tzXEJo+Rw47pNA22WVm2VBqAquHJ0lbVz0Tuuh6&#10;2gUvblrq8RZCfAAknhEutDvxng6lHZXoBomzxuHPv90nfxo/WTnriLdU/o8doORMf7VEjMvxdJqI&#10;npXp2WxCCr61bN9a7M6sHUFHw6fqspj8oz6KCp15ohVbpaxkAisodw/UoKxjv0+0pEKuVtmNyO0h&#10;3tqNFyn4EcfHwxOgHwYdiSN37shxmL+bd++bXlq32kWn2kyGV1xpzEmhxcgDH5Y4bd5bPXu9/mqW&#10;vwAAAP//AwBQSwMEFAAGAAgAAAAhAF8yP7PkAAAADAEAAA8AAABkcnMvZG93bnJldi54bWxMj8tO&#10;wzAQRfdI/IM1SGxQ6xSIG4U4FY8iAVIXLV2UnRsPSURsR7Hz6N8zXcHujubozplsNZmGDdj52lkJ&#10;i3kEDG3hdG1LCfvP11kCzAdltWqcRQkn9LDKLy8ylWo32i0Ou1AyKrE+VRKqENqUc19UaJSfuxYt&#10;7b5dZ1SgsSu57tRI5abht1EkuFG1pQuVavG5wuJn1xsJyfjx9D6cNkl4W9/sX9bT4as/OCmvr6bH&#10;B2ABp/AHw1mf1CEnp6PrrfaskTAT8T2hFGKxAHYmYiGAHSncxcsl8Dzj/5/IfwEAAP//AwBQSwEC&#10;LQAUAAYACAAAACEA5JnDwPsAAADhAQAAEwAAAAAAAAAAAAAAAAAAAAAAW0NvbnRlbnRfVHlwZXNd&#10;LnhtbFBLAQItABQABgAIAAAAIQAjsmrh1wAAAJQBAAALAAAAAAAAAAAAAAAAACwBAABfcmVscy8u&#10;cmVsc1BLAQItABQABgAIAAAAIQByGkIeXQIAALIEAAAOAAAAAAAAAAAAAAAAACwCAABkcnMvZTJv&#10;RG9jLnhtbFBLAQItABQABgAIAAAAIQBfMj+z5AAAAAwBAAAPAAAAAAAAAAAAAAAAALUEAABkcnMv&#10;ZG93bnJldi54bWxQSwUGAAAAAAQABADzAAAAxgUAAAAA&#10;" fillcolor="#67ae3c" stroked="f" strokeweight="2pt"/>
        </w:pict>
      </w:r>
      <w:r>
        <w:rPr>
          <w:noProof/>
        </w:rPr>
        <w:pict>
          <v:shapetype id="_x0000_t202" coordsize="21600,21600" o:spt="202" path="m,l,21600r21600,l21600,xe">
            <v:stroke joinstyle="miter"/>
            <v:path gradientshapeok="t" o:connecttype="rect"/>
          </v:shapetype>
          <v:shape id="Text Box 11" o:spid="_x0000_s1032" type="#_x0000_t202" style="position:absolute;left:0;text-align:left;margin-left:90pt;margin-top:-29.2pt;width:353.25pt;height:59.25pt;z-index:25165772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tsnDICAABhBAAADgAAAGRycy9lMm9Eb2MueG1srFRNj9owEL1X6n+wfC8ByscWEVZ0V1SV0O5K&#10;UO3ZOA5ESjyubUjor++zE1i07anqxcxXnmfmPTO/b6qSnZR1BemUD3p9zpSWlBV6n/If29WnO86c&#10;FzoTJWmV8rNy/H7x8cO8NjM1pAOVmbIMINrNapPyg/dmliROHlQlXI+M0kjmZCvh4dp9kllRA70q&#10;k2G/P0lqspmxJJVziD62Sb6I+HmupH/Oc6c8K1OO3nw8bTx34UwWczHbW2EOhezaEP/QRSUKjUuv&#10;UI/CC3a0xR9QVSEtOcp9T1KVUJ4XUsUZMM2g/26azUEYFWfBcpy5rsn9P1j5dHqxrMjA3YAzLSpw&#10;tFWNZ1+pYQhhP7VxM5RtDAp9gzhqL3GHYBi7yW0VfjEQQx6bPl+3G9AkgqPR3WQ4HXMmkZuOhyPY&#10;gE/evjbW+W+KKhaMlFuwF5cqTmvn29JLSbhM06ooy8hgqVmd8snncT9+cM0AvNShVkUtdDBhorbz&#10;YPlm13Rj7ig7Y0pLrU6ckasCrayF8y/CQhgYDGL3zzjyknAldRZnB7K//hYP9eALWc5qCC3l7udR&#10;WMVZ+V2DyS+D0SgoMzqj8XQIx95mdrcZfaweCFoGWegumqHelxczt1S94k0sw61ICS1xd8r9xXzw&#10;rfzxpqRaLmMRtGiEX+uNkQE6LCwsetu8Cms6Njx4fKKLJMXsHSltbUvL8ugpLyJjYcHtVsF0cKDj&#10;yHn35sJDufVj1ds/w+I3AAAA//8DAFBLAwQUAAYACAAAACEAWjmOlOAAAAAKAQAADwAAAGRycy9k&#10;b3ducmV2LnhtbEyPT0vDQBTE74LfYXmCt3a3xYQlZlNKoAiih9ZevL1kt0lw/8Tsto1+ep8nPQ4z&#10;zPym3MzOsouZ4hC8gtVSADO+DXrwnYLj224hgcWEXqMN3ij4MhE21e1NiYUOV783l0PqGJX4WKCC&#10;PqWx4Dy2vXEYl2E0nrxTmBwmklPH9YRXKneWr4XIucPB00KPo6l7034czk7Bc717xX2zdvLb1k8v&#10;p+34eXzPlLq/m7ePwJKZ018YfvEJHSpiasLZ68gsaSnoS1KwyOQDMEpImWfAGgW5WAGvSv7/QvUD&#10;AAD//wMAUEsBAi0AFAAGAAgAAAAhAOSZw8D7AAAA4QEAABMAAAAAAAAAAAAAAAAAAAAAAFtDb250&#10;ZW50X1R5cGVzXS54bWxQSwECLQAUAAYACAAAACEAI7Jq4dcAAACUAQAACwAAAAAAAAAAAAAAAAAs&#10;AQAAX3JlbHMvLnJlbHNQSwECLQAUAAYACAAAACEAxytsnDICAABhBAAADgAAAAAAAAAAAAAAAAAs&#10;AgAAZHJzL2Uyb0RvYy54bWxQSwECLQAUAAYACAAAACEAWjmOlOAAAAAKAQAADwAAAAAAAAAAAAAA&#10;AACKBAAAZHJzL2Rvd25yZXYueG1sUEsFBgAAAAAEAAQA8wAAAJcFAAAAAA==&#10;" filled="f" stroked="f" strokeweight=".5pt">
            <v:textbox>
              <w:txbxContent>
                <w:p w:rsidR="00730246" w:rsidRDefault="00322654">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i1026" type="#_x0000_t75" alt="Description: C:\Users\mfontana\Documents\Eva Fontana\GRAFICA CIDH\cartas\logos\cidh-en.jpg" style="width:199pt;height:38.05pt;visibility:visible">
                        <v:imagedata r:id="rId9" o:title="cidh-en"/>
                      </v:shape>
                    </w:pict>
                  </w:r>
                  <w:r w:rsidR="00730246">
                    <w:t xml:space="preserve">                                               </w:t>
                  </w:r>
                </w:p>
              </w:txbxContent>
            </v:textbox>
          </v:shape>
        </w:pict>
      </w:r>
    </w:p>
    <w:p w:rsidR="00040C3A" w:rsidRPr="00BC74F3" w:rsidRDefault="00040C3A" w:rsidP="00040C3A">
      <w:pPr>
        <w:tabs>
          <w:tab w:val="center" w:pos="5400"/>
        </w:tabs>
        <w:suppressAutoHyphens/>
        <w:jc w:val="both"/>
        <w:rPr>
          <w:rFonts w:ascii="Cambria" w:hAnsi="Cambria"/>
          <w:sz w:val="22"/>
          <w:szCs w:val="22"/>
        </w:rPr>
      </w:pPr>
    </w:p>
    <w:p w:rsidR="00040C3A" w:rsidRPr="00BC74F3" w:rsidRDefault="00040C3A" w:rsidP="00040C3A">
      <w:pPr>
        <w:tabs>
          <w:tab w:val="center" w:pos="5400"/>
        </w:tabs>
        <w:suppressAutoHyphens/>
        <w:jc w:val="both"/>
        <w:rPr>
          <w:rFonts w:ascii="Cambria" w:hAnsi="Cambria"/>
          <w:sz w:val="22"/>
          <w:szCs w:val="22"/>
        </w:rPr>
      </w:pPr>
    </w:p>
    <w:p w:rsidR="005128E4" w:rsidRPr="00BC74F3" w:rsidRDefault="005128E4" w:rsidP="00040C3A">
      <w:pPr>
        <w:tabs>
          <w:tab w:val="center" w:pos="5400"/>
        </w:tabs>
        <w:suppressAutoHyphens/>
        <w:rPr>
          <w:rFonts w:ascii="Cambria" w:hAnsi="Cambria"/>
          <w:sz w:val="22"/>
          <w:szCs w:val="22"/>
        </w:rPr>
      </w:pPr>
    </w:p>
    <w:p w:rsidR="005128E4" w:rsidRPr="00BC74F3" w:rsidRDefault="005128E4" w:rsidP="00040C3A">
      <w:pPr>
        <w:tabs>
          <w:tab w:val="center" w:pos="5400"/>
        </w:tabs>
        <w:suppressAutoHyphens/>
        <w:rPr>
          <w:rFonts w:ascii="Cambria" w:hAnsi="Cambria"/>
          <w:sz w:val="22"/>
          <w:szCs w:val="22"/>
        </w:rPr>
      </w:pPr>
    </w:p>
    <w:p w:rsidR="005128E4" w:rsidRPr="00BC74F3" w:rsidRDefault="005128E4" w:rsidP="00040C3A">
      <w:pPr>
        <w:tabs>
          <w:tab w:val="center" w:pos="5400"/>
        </w:tabs>
        <w:suppressAutoHyphens/>
        <w:rPr>
          <w:rFonts w:ascii="Cambria" w:hAnsi="Cambria"/>
          <w:sz w:val="22"/>
          <w:szCs w:val="22"/>
        </w:rPr>
      </w:pPr>
    </w:p>
    <w:p w:rsidR="00040C3A" w:rsidRPr="00BC74F3" w:rsidRDefault="00040C3A" w:rsidP="005128E4">
      <w:pPr>
        <w:tabs>
          <w:tab w:val="center" w:pos="5400"/>
        </w:tabs>
        <w:suppressAutoHyphens/>
        <w:jc w:val="center"/>
        <w:rPr>
          <w:rFonts w:ascii="Cambria" w:hAnsi="Cambria"/>
          <w:sz w:val="22"/>
          <w:szCs w:val="22"/>
        </w:rPr>
      </w:pPr>
    </w:p>
    <w:p w:rsidR="00040C3A" w:rsidRPr="00BC74F3" w:rsidRDefault="00040C3A" w:rsidP="005128E4">
      <w:pPr>
        <w:tabs>
          <w:tab w:val="center" w:pos="5400"/>
        </w:tabs>
        <w:suppressAutoHyphens/>
        <w:jc w:val="center"/>
        <w:rPr>
          <w:rFonts w:ascii="Cambria" w:hAnsi="Cambria"/>
          <w:sz w:val="22"/>
          <w:szCs w:val="22"/>
        </w:rPr>
      </w:pPr>
    </w:p>
    <w:p w:rsidR="005B52B0" w:rsidRPr="00BC74F3" w:rsidRDefault="005B52B0" w:rsidP="005128E4">
      <w:pPr>
        <w:tabs>
          <w:tab w:val="center" w:pos="5400"/>
        </w:tabs>
        <w:suppressAutoHyphens/>
        <w:jc w:val="center"/>
        <w:rPr>
          <w:rFonts w:ascii="Cambria" w:hAnsi="Cambria"/>
          <w:sz w:val="22"/>
          <w:szCs w:val="22"/>
        </w:rPr>
      </w:pPr>
    </w:p>
    <w:p w:rsidR="005B52B0" w:rsidRPr="00BC74F3" w:rsidRDefault="005B52B0" w:rsidP="005128E4">
      <w:pPr>
        <w:tabs>
          <w:tab w:val="center" w:pos="5400"/>
        </w:tabs>
        <w:suppressAutoHyphens/>
        <w:jc w:val="center"/>
        <w:rPr>
          <w:rFonts w:ascii="Cambria" w:hAnsi="Cambria"/>
          <w:sz w:val="22"/>
          <w:szCs w:val="22"/>
        </w:rPr>
      </w:pPr>
    </w:p>
    <w:p w:rsidR="005B52B0" w:rsidRPr="00BC74F3" w:rsidRDefault="005B52B0" w:rsidP="005128E4">
      <w:pPr>
        <w:tabs>
          <w:tab w:val="center" w:pos="5400"/>
        </w:tabs>
        <w:suppressAutoHyphens/>
        <w:jc w:val="center"/>
        <w:rPr>
          <w:rFonts w:ascii="Cambria" w:hAnsi="Cambria"/>
          <w:sz w:val="22"/>
          <w:szCs w:val="22"/>
        </w:rPr>
      </w:pPr>
    </w:p>
    <w:p w:rsidR="00040C3A" w:rsidRPr="00BC74F3" w:rsidRDefault="00040C3A" w:rsidP="00040C3A">
      <w:pPr>
        <w:tabs>
          <w:tab w:val="center" w:pos="5400"/>
        </w:tabs>
        <w:suppressAutoHyphens/>
        <w:jc w:val="center"/>
        <w:rPr>
          <w:rFonts w:ascii="Cambria" w:hAnsi="Cambria"/>
          <w:sz w:val="22"/>
          <w:szCs w:val="22"/>
        </w:rPr>
      </w:pPr>
    </w:p>
    <w:p w:rsidR="00040C3A" w:rsidRPr="00BC74F3" w:rsidRDefault="00040C3A" w:rsidP="00040C3A">
      <w:pPr>
        <w:tabs>
          <w:tab w:val="center" w:pos="5400"/>
        </w:tabs>
        <w:suppressAutoHyphens/>
        <w:jc w:val="center"/>
        <w:rPr>
          <w:rFonts w:ascii="Cambria" w:hAnsi="Cambria"/>
          <w:sz w:val="22"/>
          <w:szCs w:val="22"/>
        </w:rPr>
      </w:pPr>
    </w:p>
    <w:p w:rsidR="00040C3A" w:rsidRPr="00BC74F3" w:rsidRDefault="00040C3A" w:rsidP="00040C3A">
      <w:pPr>
        <w:tabs>
          <w:tab w:val="center" w:pos="5400"/>
        </w:tabs>
        <w:suppressAutoHyphens/>
        <w:jc w:val="center"/>
        <w:rPr>
          <w:rFonts w:ascii="Cambria" w:hAnsi="Cambria"/>
          <w:sz w:val="22"/>
          <w:szCs w:val="22"/>
        </w:rPr>
      </w:pPr>
    </w:p>
    <w:p w:rsidR="00040C3A" w:rsidRPr="00BC74F3" w:rsidRDefault="00322654" w:rsidP="00040C3A">
      <w:pPr>
        <w:tabs>
          <w:tab w:val="center" w:pos="5400"/>
        </w:tabs>
        <w:suppressAutoHyphens/>
        <w:jc w:val="center"/>
        <w:rPr>
          <w:rFonts w:ascii="Cambria" w:hAnsi="Cambria"/>
          <w:sz w:val="22"/>
          <w:szCs w:val="22"/>
        </w:rPr>
      </w:pPr>
      <w:r>
        <w:rPr>
          <w:noProof/>
        </w:rPr>
        <w:pict>
          <v:shape id="Text Box 5" o:spid="_x0000_s1031" type="#_x0000_t202" style="position:absolute;left:0;text-align:left;margin-left:95.25pt;margin-top:6.25pt;width:341.25pt;height:185.1pt;z-index:25165465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G1hjYCAABnBAAADgAAAGRycy9lMm9Eb2MueG1srFRNb9swDL0P2H8QdF+cz6YN4hRZiwwDirZA&#10;MvSsyHJswBY1SYmd/fo9yUkadDsNu8gUSfHjPdLz+7au2EFZV5JO+aDX50xpSVmpdyn/sVl9ueXM&#10;eaEzUZFWKT8qx+8Xnz/NGzNTQyqoypRlCKLdrDEpL7w3syRxslC1cD0ySsOYk62Fx9XuksyKBtHr&#10;Khn2+zdJQzYzlqRyDtrHzsgXMX6eK+lf8twpz6qUozYfTxvPbTiTxVzMdlaYopSnMsQ/VFGLUiPp&#10;JdSj8ILtbflHqLqUlhzlviepTijPS6liD+hm0P/QzboQRsVeAI4zF5jc/wsrnw+vlpVZyiecaVGD&#10;oo1qPftKLZsEdBrjZnBaG7j5FmqwfNY7KEPTbW7r8EU7DHbgfLxgG4JJKMej0eh2iiQStuFo0p9O&#10;I/rJ+3Njnf+mqGZBSLkFeRFTcXhyHqXA9ewSsmlalVUVCaw0a1J+g6jxwcWCF5UOviqOwilMaKkr&#10;PUi+3bYRgEtbW8qO6NZSNy3OyFWJip6E86/CYjzQIEbev+DIK0JmOkmcFWR//U0f/MEarJw1GLeU&#10;u597YRVn1XcNPu8G43GYz3gZT6ZDXOy1ZXtt0fv6gTDRAyyXkVEM/r46i7ml+g2bsQxZYRJaInfK&#10;/Vl88N0SYLOkWi6jEybSCP+k10aG0AG3gPemfRPWnEjx4POZzoMpZh+46Xw7dpZ7T3kZiQs4d6iC&#10;xXDBNEc+T5sX1uX6Hr3e/w+L3wAAAP//AwBQSwMEFAAGAAgAAAAhAOqyh/3hAAAACgEAAA8AAABk&#10;cnMvZG93bnJldi54bWxMj0FPwzAMhe9I/IfISNxYSqexUppOU6UJCcFhYxdubpO1FYlTmmwr/HrM&#10;aZzsJz89f69YTc6KkxlD70nB/SwBYajxuqdWwf59c5eBCBFJo/VkFHybAKvy+qrAXPszbc1pF1vB&#10;IRRyVNDFOORShqYzDsPMD4b4dvCjw8hybKUe8czhzso0SR6kw574Q4eDqTrTfO6OTsFLtXnDbZ26&#10;7MdWz6+H9fC1/1godXszrZ9ARDPFixn+8BkdSmaq/ZF0EJb1Y7JgKy8pTzZkyzmXqxXMs3QJsizk&#10;/wrlLwAAAP//AwBQSwECLQAUAAYACAAAACEA5JnDwPsAAADhAQAAEwAAAAAAAAAAAAAAAAAAAAAA&#10;W0NvbnRlbnRfVHlwZXNdLnhtbFBLAQItABQABgAIAAAAIQAjsmrh1wAAAJQBAAALAAAAAAAAAAAA&#10;AAAAACwBAABfcmVscy8ucmVsc1BLAQItABQABgAIAAAAIQC+cbWGNgIAAGcEAAAOAAAAAAAAAAAA&#10;AAAAACwCAABkcnMvZTJvRG9jLnhtbFBLAQItABQABgAIAAAAIQDqsof94QAAAAoBAAAPAAAAAAAA&#10;AAAAAAAAAI4EAABkcnMvZG93bnJldi54bWxQSwUGAAAAAAQABADzAAAAnAUAAAAA&#10;" filled="f" stroked="f" strokeweight=".5pt">
            <v:textbox>
              <w:txbxContent>
                <w:p w:rsidR="00730246" w:rsidRPr="00BC74F3" w:rsidRDefault="00730246" w:rsidP="004B7EB6">
                  <w:pPr>
                    <w:spacing w:line="276" w:lineRule="auto"/>
                    <w:rPr>
                      <w:rFonts w:ascii="Cambria" w:hAnsi="Cambria" w:cs="Arial"/>
                      <w:b/>
                      <w:bCs/>
                      <w:color w:val="0D0D0D"/>
                      <w:sz w:val="36"/>
                      <w:szCs w:val="40"/>
                    </w:rPr>
                  </w:pPr>
                  <w:r w:rsidRPr="00BC74F3">
                    <w:rPr>
                      <w:rFonts w:ascii="Cambria" w:hAnsi="Cambria" w:cs="Arial"/>
                      <w:b/>
                      <w:bCs/>
                      <w:color w:val="0D0D0D"/>
                      <w:sz w:val="36"/>
                      <w:szCs w:val="40"/>
                    </w:rPr>
                    <w:t xml:space="preserve">REPORT No. </w:t>
                  </w:r>
                  <w:r w:rsidR="00322654">
                    <w:rPr>
                      <w:rFonts w:ascii="Cambria" w:hAnsi="Cambria" w:cs="Arial"/>
                      <w:b/>
                      <w:bCs/>
                      <w:color w:val="0D0D0D"/>
                      <w:sz w:val="36"/>
                      <w:szCs w:val="40"/>
                    </w:rPr>
                    <w:t>98</w:t>
                  </w:r>
                  <w:r w:rsidRPr="00BC74F3">
                    <w:rPr>
                      <w:rFonts w:ascii="Cambria" w:hAnsi="Cambria" w:cs="Arial"/>
                      <w:b/>
                      <w:bCs/>
                      <w:color w:val="0D0D0D"/>
                      <w:sz w:val="36"/>
                      <w:szCs w:val="40"/>
                    </w:rPr>
                    <w:t>/17</w:t>
                  </w:r>
                </w:p>
                <w:p w:rsidR="00730246" w:rsidRPr="00BC74F3" w:rsidRDefault="00730246" w:rsidP="004B7EB6">
                  <w:pPr>
                    <w:spacing w:line="276" w:lineRule="auto"/>
                    <w:rPr>
                      <w:rFonts w:ascii="Cambria" w:hAnsi="Cambria" w:cs="Arial"/>
                      <w:b/>
                      <w:bCs/>
                      <w:color w:val="0D0D0D"/>
                      <w:sz w:val="36"/>
                      <w:szCs w:val="40"/>
                    </w:rPr>
                  </w:pPr>
                  <w:r w:rsidRPr="00BC74F3">
                    <w:rPr>
                      <w:rFonts w:ascii="Cambria" w:hAnsi="Cambria" w:cs="Arial"/>
                      <w:b/>
                      <w:bCs/>
                      <w:color w:val="0D0D0D"/>
                      <w:sz w:val="36"/>
                      <w:szCs w:val="40"/>
                    </w:rPr>
                    <w:t>CASE 12.925</w:t>
                  </w:r>
                </w:p>
                <w:p w:rsidR="00730246" w:rsidRPr="00BC74F3" w:rsidRDefault="00730246" w:rsidP="00202702">
                  <w:pPr>
                    <w:spacing w:line="276" w:lineRule="auto"/>
                    <w:rPr>
                      <w:rFonts w:ascii="Cambria" w:hAnsi="Cambria" w:cs="Arial"/>
                      <w:color w:val="0D0D0D"/>
                      <w:szCs w:val="22"/>
                    </w:rPr>
                  </w:pPr>
                  <w:r w:rsidRPr="00BC74F3">
                    <w:rPr>
                      <w:rFonts w:ascii="Cambria" w:hAnsi="Cambria" w:cs="Arial"/>
                      <w:color w:val="0D0D0D"/>
                      <w:szCs w:val="22"/>
                    </w:rPr>
                    <w:t xml:space="preserve">REPORT ON MERITS </w:t>
                  </w:r>
                </w:p>
                <w:p w:rsidR="00730246" w:rsidRPr="00BC74F3" w:rsidRDefault="00730246" w:rsidP="004B7EB6">
                  <w:pPr>
                    <w:spacing w:line="276" w:lineRule="auto"/>
                    <w:rPr>
                      <w:rFonts w:ascii="Cambria" w:hAnsi="Cambria" w:cs="Arial"/>
                      <w:color w:val="0D0D0D"/>
                      <w:szCs w:val="22"/>
                    </w:rPr>
                  </w:pPr>
                </w:p>
                <w:p w:rsidR="00730246" w:rsidRPr="00BC74F3" w:rsidRDefault="00730246" w:rsidP="00202702">
                  <w:pPr>
                    <w:spacing w:line="276" w:lineRule="auto"/>
                    <w:rPr>
                      <w:rFonts w:ascii="Cambria" w:hAnsi="Cambria" w:cs="Arial"/>
                      <w:color w:val="0D0D0D"/>
                      <w:szCs w:val="22"/>
                    </w:rPr>
                  </w:pPr>
                  <w:r w:rsidRPr="00BC74F3">
                    <w:rPr>
                      <w:rFonts w:ascii="Cambria" w:hAnsi="Cambria" w:cs="Arial"/>
                      <w:color w:val="0D0D0D"/>
                      <w:szCs w:val="22"/>
                    </w:rPr>
                    <w:t>OSCAR RAÚL GORIGOITIA</w:t>
                  </w:r>
                </w:p>
                <w:p w:rsidR="00730246" w:rsidRPr="00BC74F3" w:rsidRDefault="00730246" w:rsidP="00202702">
                  <w:pPr>
                    <w:spacing w:line="276" w:lineRule="auto"/>
                    <w:rPr>
                      <w:rFonts w:ascii="Cambria" w:hAnsi="Cambria"/>
                      <w:color w:val="0D0D0D"/>
                      <w:lang w:val="es-ES_tradnl"/>
                    </w:rPr>
                  </w:pPr>
                  <w:r w:rsidRPr="00BC74F3">
                    <w:rPr>
                      <w:rFonts w:ascii="Cambria" w:hAnsi="Cambria" w:cs="Arial"/>
                      <w:color w:val="0D0D0D"/>
                      <w:szCs w:val="22"/>
                      <w:lang w:val="es-ES_tradnl"/>
                    </w:rPr>
                    <w:t>ARGENTINA</w:t>
                  </w:r>
                </w:p>
              </w:txbxContent>
            </v:textbox>
          </v:shape>
        </w:pict>
      </w:r>
      <w:r>
        <w:rPr>
          <w:noProof/>
        </w:rPr>
        <w:pict>
          <v:shape id="Text Box 8" o:spid="_x0000_s1030" type="#_x0000_t202" style="position:absolute;left:0;text-align:left;margin-left:-29.2pt;margin-top:10pt;width:105.05pt;height:108.45pt;z-index:25165670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Yi+DcCAABnBAAADgAAAGRycy9lMm9Eb2MueG1srFRNj9owEL1X6n+wfC8hBPYjIqzorqgqod2V&#10;oNqzcWwSyfG4tiGhv75jh7Bo21PVizPjGT973pvJ/KFrFDkK62rQBU1HY0qE5lDWel/QH9vVlztK&#10;nGe6ZAq0KOhJOPqw+Pxp3ppcTKACVQpLEES7vDUFrbw3eZI4XomGuREYoTEowTbMo2v3SWlZi+iN&#10;Sibj8U3Sgi2NBS6cw92nPkgXEV9Kwf2LlE54ogqKb/NxtXHdhTVZzFm+t8xUNT8/g/3DKxpWa7z0&#10;AvXEPCMHW/8B1dTcggPpRxyaBKSsuYg1YDXp+EM1m4oZEWtBcpy50OT+Hyx/Pr5aUpcFRaE0a1Ci&#10;reg8+QoduQvstMblmLQxmOY73EaVh32Hm6HoTtomfLEcgnHk+XThNoDxcCjLpmk2o4RjLM1ub7N0&#10;FnCS9+PGOv9NQEOCUVCL4kVO2XHtfJ86pITbNKxqpaKASpO2oDfZbBwPXCIIrnTIFbEVzjChpP7p&#10;wfLdrosETIaydlCesFoLfbc4w1c1vmjNnH9lFtsDC8SW9y+4SAV4M5wtSiqwv/62H/JRNYxS0mK7&#10;FdT9PDArKFHfNep5n06noT+jM53dTtCx15HddUQfmkfAjk5xuAyPZsj3ajClheYNJ2MZbsUQ0xzv&#10;LqgfzEffDwFOFhfLZUzCjjTMr/XG8AAdeAt8b7s3Zs1ZFI96PsPQmCz/oE2f26uzPHiQdRQu8Nyz&#10;ioIHB7s5Sn+evDAu137Mev8/LH4DAAD//wMAUEsDBBQABgAIAAAAIQBGv9aV4QAAAAoBAAAPAAAA&#10;ZHJzL2Rvd25yZXYueG1sTI/BTsJAEIbvJr7DZky8wRa0WGu3hDQhJkYPIBdv2+7QNnZna3eBytMz&#10;nPQ4M1/+/5tsOdpOHHHwrSMFs2kEAqlypqVawe5zPUlA+KDJ6M4RKvhFD8v89ibTqXEn2uBxG2rB&#10;IeRTraAJoU+l9FWDVvup65H4tneD1YHHoZZm0CcOt52cR9FCWt0SNzS6x6LB6nt7sAreivWH3pRz&#10;m5y74vV9v+p/dl+xUvd34+oFRMAx/MFw1Wd1yNmpdAcyXnQKJnHyyKgCrgFxBeLZE4iSFw+LZ5B5&#10;Jv+/kF8AAAD//wMAUEsBAi0AFAAGAAgAAAAhAOSZw8D7AAAA4QEAABMAAAAAAAAAAAAAAAAAAAAA&#10;AFtDb250ZW50X1R5cGVzXS54bWxQSwECLQAUAAYACAAAACEAI7Jq4dcAAACUAQAACwAAAAAAAAAA&#10;AAAAAAAsAQAAX3JlbHMvLnJlbHNQSwECLQAUAAYACAAAACEAFqYi+DcCAABnBAAADgAAAAAAAAAA&#10;AAAAAAAsAgAAZHJzL2Uyb0RvYy54bWxQSwECLQAUAAYACAAAACEARr/WleEAAAAKAQAADwAAAAAA&#10;AAAAAAAAAACPBAAAZHJzL2Rvd25yZXYueG1sUEsFBgAAAAAEAAQA8wAAAJ0FAAAAAA==&#10;" filled="f" stroked="f" strokeweight=".5pt">
            <v:textbox>
              <w:txbxContent>
                <w:p w:rsidR="00730246" w:rsidRPr="00BC74F3" w:rsidRDefault="00730246" w:rsidP="002C1641">
                  <w:pPr>
                    <w:jc w:val="right"/>
                    <w:rPr>
                      <w:rFonts w:ascii="Calibri" w:hAnsi="Calibri"/>
                      <w:color w:val="FFFFFF"/>
                      <w:sz w:val="22"/>
                      <w:lang w:val="pt-BR"/>
                    </w:rPr>
                  </w:pPr>
                  <w:r w:rsidRPr="00BC74F3">
                    <w:rPr>
                      <w:rFonts w:ascii="Calibri" w:hAnsi="Calibri"/>
                      <w:color w:val="FFFFFF"/>
                      <w:sz w:val="22"/>
                      <w:lang w:val="pt-BR"/>
                    </w:rPr>
                    <w:t>OEA/Ser.L/V/II.</w:t>
                  </w:r>
                  <w:r w:rsidR="00520E1A">
                    <w:rPr>
                      <w:rFonts w:ascii="Calibri" w:hAnsi="Calibri"/>
                      <w:color w:val="FFFFFF"/>
                      <w:sz w:val="22"/>
                      <w:lang w:val="pt-BR"/>
                    </w:rPr>
                    <w:t>164</w:t>
                  </w:r>
                </w:p>
                <w:p w:rsidR="00730246" w:rsidRPr="00BC74F3" w:rsidRDefault="00730246" w:rsidP="002C1641">
                  <w:pPr>
                    <w:jc w:val="right"/>
                    <w:rPr>
                      <w:rFonts w:ascii="Calibri" w:hAnsi="Calibri"/>
                      <w:color w:val="FFFFFF"/>
                      <w:sz w:val="22"/>
                      <w:lang w:val="pt-BR"/>
                    </w:rPr>
                  </w:pPr>
                  <w:r w:rsidRPr="00BC74F3">
                    <w:rPr>
                      <w:rFonts w:ascii="Calibri" w:hAnsi="Calibri"/>
                      <w:color w:val="FFFFFF"/>
                      <w:sz w:val="22"/>
                      <w:lang w:val="pt-BR"/>
                    </w:rPr>
                    <w:t xml:space="preserve">Doc. </w:t>
                  </w:r>
                  <w:r w:rsidR="00322654">
                    <w:rPr>
                      <w:rFonts w:ascii="Calibri" w:hAnsi="Calibri"/>
                      <w:color w:val="FFFFFF"/>
                      <w:sz w:val="22"/>
                      <w:lang w:val="pt-BR"/>
                    </w:rPr>
                    <w:t>116</w:t>
                  </w:r>
                </w:p>
                <w:p w:rsidR="00730246" w:rsidRPr="00BC74F3" w:rsidRDefault="00520E1A" w:rsidP="002C1641">
                  <w:pPr>
                    <w:jc w:val="right"/>
                    <w:rPr>
                      <w:rFonts w:ascii="Calibri" w:hAnsi="Calibri"/>
                      <w:color w:val="FFFFFF"/>
                      <w:sz w:val="22"/>
                    </w:rPr>
                  </w:pPr>
                  <w:r>
                    <w:rPr>
                      <w:rFonts w:ascii="Calibri" w:hAnsi="Calibri"/>
                      <w:color w:val="FFFFFF"/>
                      <w:sz w:val="22"/>
                    </w:rPr>
                    <w:t>September</w:t>
                  </w:r>
                  <w:r w:rsidR="00730246" w:rsidRPr="00BC74F3">
                    <w:rPr>
                      <w:rFonts w:ascii="Calibri" w:hAnsi="Calibri"/>
                      <w:color w:val="FFFFFF"/>
                      <w:sz w:val="22"/>
                    </w:rPr>
                    <w:t xml:space="preserve"> </w:t>
                  </w:r>
                  <w:r w:rsidR="00322654">
                    <w:rPr>
                      <w:rFonts w:ascii="Calibri" w:hAnsi="Calibri"/>
                      <w:color w:val="FFFFFF"/>
                      <w:sz w:val="22"/>
                    </w:rPr>
                    <w:t xml:space="preserve">5, </w:t>
                  </w:r>
                  <w:r w:rsidR="00730246" w:rsidRPr="00BC74F3">
                    <w:rPr>
                      <w:rFonts w:ascii="Calibri" w:hAnsi="Calibri"/>
                      <w:color w:val="FFFFFF"/>
                      <w:sz w:val="22"/>
                    </w:rPr>
                    <w:t>2017</w:t>
                  </w:r>
                </w:p>
                <w:p w:rsidR="00730246" w:rsidRPr="00BC74F3" w:rsidRDefault="00730246" w:rsidP="002C1641">
                  <w:pPr>
                    <w:jc w:val="right"/>
                    <w:rPr>
                      <w:rFonts w:ascii="Calibri" w:hAnsi="Calibri"/>
                      <w:color w:val="FFFFFF"/>
                      <w:sz w:val="22"/>
                    </w:rPr>
                  </w:pPr>
                  <w:r w:rsidRPr="00BC74F3">
                    <w:rPr>
                      <w:rFonts w:ascii="Calibri" w:hAnsi="Calibri"/>
                      <w:color w:val="FFFFFF"/>
                      <w:sz w:val="22"/>
                    </w:rPr>
                    <w:t>Original: Spanish</w:t>
                  </w:r>
                </w:p>
              </w:txbxContent>
            </v:textbox>
          </v:shape>
        </w:pict>
      </w:r>
    </w:p>
    <w:p w:rsidR="00040C3A" w:rsidRPr="00BC74F3" w:rsidRDefault="00040C3A" w:rsidP="00040C3A">
      <w:pPr>
        <w:tabs>
          <w:tab w:val="center" w:pos="5400"/>
        </w:tabs>
        <w:suppressAutoHyphens/>
        <w:jc w:val="center"/>
        <w:rPr>
          <w:rFonts w:ascii="Cambria" w:hAnsi="Cambria"/>
          <w:sz w:val="22"/>
          <w:szCs w:val="22"/>
        </w:rPr>
      </w:pPr>
    </w:p>
    <w:p w:rsidR="00040C3A" w:rsidRPr="00BC74F3" w:rsidRDefault="00040C3A" w:rsidP="00040C3A">
      <w:pPr>
        <w:tabs>
          <w:tab w:val="center" w:pos="5400"/>
        </w:tabs>
        <w:suppressAutoHyphens/>
        <w:jc w:val="center"/>
        <w:rPr>
          <w:rFonts w:ascii="Cambria" w:hAnsi="Cambria" w:cs="Arial"/>
          <w:sz w:val="22"/>
          <w:szCs w:val="22"/>
        </w:rPr>
      </w:pPr>
    </w:p>
    <w:p w:rsidR="00040C3A" w:rsidRPr="00BC74F3" w:rsidRDefault="00040C3A" w:rsidP="00040C3A">
      <w:pPr>
        <w:tabs>
          <w:tab w:val="center" w:pos="5400"/>
        </w:tabs>
        <w:suppressAutoHyphens/>
        <w:jc w:val="center"/>
        <w:rPr>
          <w:rFonts w:ascii="Cambria" w:hAnsi="Cambria"/>
          <w:sz w:val="22"/>
          <w:szCs w:val="22"/>
        </w:rPr>
      </w:pPr>
    </w:p>
    <w:p w:rsidR="00040C3A" w:rsidRPr="00BC74F3" w:rsidRDefault="00040C3A" w:rsidP="00040C3A">
      <w:pPr>
        <w:tabs>
          <w:tab w:val="center" w:pos="5400"/>
        </w:tabs>
        <w:suppressAutoHyphens/>
        <w:jc w:val="center"/>
        <w:rPr>
          <w:rFonts w:ascii="Cambria" w:hAnsi="Cambria"/>
          <w:sz w:val="22"/>
          <w:szCs w:val="22"/>
        </w:rPr>
      </w:pPr>
    </w:p>
    <w:p w:rsidR="00040C3A" w:rsidRPr="00BC74F3" w:rsidRDefault="00040C3A" w:rsidP="00040C3A">
      <w:pPr>
        <w:tabs>
          <w:tab w:val="center" w:pos="5400"/>
        </w:tabs>
        <w:suppressAutoHyphens/>
        <w:jc w:val="center"/>
        <w:rPr>
          <w:rFonts w:ascii="Cambria" w:hAnsi="Cambria"/>
          <w:sz w:val="22"/>
          <w:szCs w:val="22"/>
        </w:rPr>
      </w:pPr>
    </w:p>
    <w:p w:rsidR="00040C3A" w:rsidRPr="00BC74F3" w:rsidRDefault="00040C3A" w:rsidP="00040C3A">
      <w:pPr>
        <w:tabs>
          <w:tab w:val="center" w:pos="5400"/>
        </w:tabs>
        <w:suppressAutoHyphens/>
        <w:jc w:val="center"/>
        <w:rPr>
          <w:rFonts w:ascii="Cambria" w:hAnsi="Cambria"/>
          <w:sz w:val="22"/>
          <w:szCs w:val="22"/>
        </w:rPr>
      </w:pPr>
    </w:p>
    <w:p w:rsidR="005128E4" w:rsidRPr="00BC74F3" w:rsidRDefault="005128E4" w:rsidP="00040C3A">
      <w:pPr>
        <w:tabs>
          <w:tab w:val="center" w:pos="5400"/>
        </w:tabs>
        <w:suppressAutoHyphens/>
        <w:jc w:val="center"/>
        <w:rPr>
          <w:rFonts w:ascii="Cambria" w:hAnsi="Cambria"/>
          <w:sz w:val="22"/>
          <w:szCs w:val="22"/>
        </w:rPr>
      </w:pPr>
    </w:p>
    <w:p w:rsidR="00040C3A" w:rsidRPr="00BC74F3" w:rsidRDefault="00040C3A" w:rsidP="00040C3A">
      <w:pPr>
        <w:tabs>
          <w:tab w:val="center" w:pos="5400"/>
        </w:tabs>
        <w:suppressAutoHyphens/>
        <w:jc w:val="center"/>
        <w:rPr>
          <w:rFonts w:ascii="Cambria" w:hAnsi="Cambria"/>
          <w:sz w:val="22"/>
          <w:szCs w:val="22"/>
        </w:rPr>
      </w:pPr>
    </w:p>
    <w:p w:rsidR="005128E4" w:rsidRPr="00BC74F3" w:rsidRDefault="005128E4" w:rsidP="00040C3A">
      <w:pPr>
        <w:tabs>
          <w:tab w:val="center" w:pos="5400"/>
        </w:tabs>
        <w:suppressAutoHyphens/>
        <w:jc w:val="center"/>
        <w:rPr>
          <w:rFonts w:ascii="Cambria" w:hAnsi="Cambria"/>
          <w:sz w:val="22"/>
          <w:szCs w:val="22"/>
        </w:rPr>
      </w:pPr>
    </w:p>
    <w:p w:rsidR="005128E4" w:rsidRPr="00BC74F3" w:rsidRDefault="005128E4" w:rsidP="00040C3A">
      <w:pPr>
        <w:tabs>
          <w:tab w:val="center" w:pos="5400"/>
        </w:tabs>
        <w:suppressAutoHyphens/>
        <w:jc w:val="center"/>
        <w:rPr>
          <w:rFonts w:ascii="Cambria" w:hAnsi="Cambria"/>
          <w:sz w:val="22"/>
          <w:szCs w:val="22"/>
        </w:rPr>
      </w:pPr>
    </w:p>
    <w:p w:rsidR="005128E4" w:rsidRPr="00BC74F3" w:rsidRDefault="005128E4" w:rsidP="00040C3A">
      <w:pPr>
        <w:tabs>
          <w:tab w:val="center" w:pos="5400"/>
        </w:tabs>
        <w:suppressAutoHyphens/>
        <w:jc w:val="center"/>
        <w:rPr>
          <w:rFonts w:ascii="Cambria" w:hAnsi="Cambria"/>
          <w:sz w:val="22"/>
          <w:szCs w:val="22"/>
        </w:rPr>
      </w:pPr>
    </w:p>
    <w:p w:rsidR="00040C3A" w:rsidRPr="00BC74F3" w:rsidRDefault="00040C3A" w:rsidP="00040C3A">
      <w:pPr>
        <w:tabs>
          <w:tab w:val="center" w:pos="5400"/>
        </w:tabs>
        <w:suppressAutoHyphens/>
        <w:jc w:val="center"/>
        <w:rPr>
          <w:rFonts w:ascii="Cambria" w:hAnsi="Cambria"/>
          <w:sz w:val="22"/>
          <w:szCs w:val="22"/>
        </w:rPr>
      </w:pPr>
    </w:p>
    <w:p w:rsidR="00040C3A" w:rsidRPr="00BC74F3" w:rsidRDefault="00040C3A" w:rsidP="00040C3A">
      <w:pPr>
        <w:tabs>
          <w:tab w:val="center" w:pos="5400"/>
        </w:tabs>
        <w:suppressAutoHyphens/>
        <w:jc w:val="center"/>
        <w:rPr>
          <w:rFonts w:ascii="Cambria" w:hAnsi="Cambria"/>
          <w:sz w:val="22"/>
          <w:szCs w:val="22"/>
        </w:rPr>
      </w:pPr>
    </w:p>
    <w:p w:rsidR="002C1641" w:rsidRPr="00BC74F3" w:rsidRDefault="002C1641" w:rsidP="00040C3A">
      <w:pPr>
        <w:tabs>
          <w:tab w:val="center" w:pos="5400"/>
        </w:tabs>
        <w:suppressAutoHyphens/>
        <w:jc w:val="center"/>
        <w:rPr>
          <w:rFonts w:ascii="Cambria" w:hAnsi="Cambria"/>
          <w:sz w:val="18"/>
          <w:szCs w:val="22"/>
        </w:rPr>
      </w:pPr>
    </w:p>
    <w:p w:rsidR="002C1641" w:rsidRPr="00BC74F3" w:rsidRDefault="002C1641" w:rsidP="00040C3A">
      <w:pPr>
        <w:tabs>
          <w:tab w:val="center" w:pos="5400"/>
        </w:tabs>
        <w:suppressAutoHyphens/>
        <w:jc w:val="center"/>
        <w:rPr>
          <w:rFonts w:ascii="Cambria" w:hAnsi="Cambria"/>
          <w:sz w:val="18"/>
          <w:szCs w:val="22"/>
        </w:rPr>
      </w:pPr>
    </w:p>
    <w:p w:rsidR="002C1641" w:rsidRPr="00BC74F3" w:rsidRDefault="002C1641" w:rsidP="00040C3A">
      <w:pPr>
        <w:tabs>
          <w:tab w:val="center" w:pos="5400"/>
        </w:tabs>
        <w:suppressAutoHyphens/>
        <w:jc w:val="center"/>
        <w:rPr>
          <w:rFonts w:ascii="Cambria" w:hAnsi="Cambria"/>
          <w:sz w:val="18"/>
          <w:szCs w:val="22"/>
        </w:rPr>
      </w:pPr>
    </w:p>
    <w:p w:rsidR="002C1641" w:rsidRPr="00BC74F3" w:rsidRDefault="002C1641" w:rsidP="00040C3A">
      <w:pPr>
        <w:tabs>
          <w:tab w:val="center" w:pos="5400"/>
        </w:tabs>
        <w:suppressAutoHyphens/>
        <w:jc w:val="center"/>
        <w:rPr>
          <w:rFonts w:ascii="Cambria" w:hAnsi="Cambria"/>
          <w:sz w:val="18"/>
          <w:szCs w:val="22"/>
        </w:rPr>
      </w:pPr>
    </w:p>
    <w:p w:rsidR="002C1641" w:rsidRPr="00BC74F3" w:rsidRDefault="002C1641" w:rsidP="00040C3A">
      <w:pPr>
        <w:tabs>
          <w:tab w:val="center" w:pos="5400"/>
        </w:tabs>
        <w:suppressAutoHyphens/>
        <w:jc w:val="center"/>
        <w:rPr>
          <w:rFonts w:ascii="Cambria" w:hAnsi="Cambria"/>
          <w:sz w:val="18"/>
          <w:szCs w:val="22"/>
        </w:rPr>
      </w:pPr>
    </w:p>
    <w:p w:rsidR="002C1641" w:rsidRPr="00BC74F3" w:rsidRDefault="002C1641" w:rsidP="00040C3A">
      <w:pPr>
        <w:tabs>
          <w:tab w:val="center" w:pos="5400"/>
        </w:tabs>
        <w:suppressAutoHyphens/>
        <w:jc w:val="center"/>
        <w:rPr>
          <w:rFonts w:ascii="Cambria" w:hAnsi="Cambria"/>
          <w:sz w:val="18"/>
          <w:szCs w:val="22"/>
        </w:rPr>
      </w:pPr>
    </w:p>
    <w:p w:rsidR="002C1641" w:rsidRPr="00BC74F3" w:rsidRDefault="002C1641" w:rsidP="00040C3A">
      <w:pPr>
        <w:tabs>
          <w:tab w:val="center" w:pos="5400"/>
        </w:tabs>
        <w:suppressAutoHyphens/>
        <w:jc w:val="center"/>
        <w:rPr>
          <w:rFonts w:ascii="Cambria" w:hAnsi="Cambria"/>
          <w:sz w:val="18"/>
          <w:szCs w:val="22"/>
        </w:rPr>
      </w:pPr>
    </w:p>
    <w:p w:rsidR="002C1641" w:rsidRPr="00BC74F3" w:rsidRDefault="002C1641" w:rsidP="00040C3A">
      <w:pPr>
        <w:tabs>
          <w:tab w:val="center" w:pos="5400"/>
        </w:tabs>
        <w:suppressAutoHyphens/>
        <w:jc w:val="center"/>
        <w:rPr>
          <w:rFonts w:ascii="Cambria" w:hAnsi="Cambria"/>
          <w:sz w:val="18"/>
          <w:szCs w:val="22"/>
        </w:rPr>
      </w:pPr>
    </w:p>
    <w:p w:rsidR="002C1641" w:rsidRPr="00BC74F3" w:rsidRDefault="002C1641" w:rsidP="00040C3A">
      <w:pPr>
        <w:tabs>
          <w:tab w:val="center" w:pos="5400"/>
        </w:tabs>
        <w:suppressAutoHyphens/>
        <w:jc w:val="center"/>
        <w:rPr>
          <w:rFonts w:ascii="Cambria" w:hAnsi="Cambria"/>
          <w:sz w:val="18"/>
          <w:szCs w:val="22"/>
        </w:rPr>
      </w:pPr>
    </w:p>
    <w:p w:rsidR="002C1641" w:rsidRPr="00BC74F3" w:rsidRDefault="002C1641" w:rsidP="00040C3A">
      <w:pPr>
        <w:tabs>
          <w:tab w:val="center" w:pos="5400"/>
        </w:tabs>
        <w:suppressAutoHyphens/>
        <w:jc w:val="center"/>
        <w:rPr>
          <w:rFonts w:ascii="Cambria" w:hAnsi="Cambria"/>
          <w:sz w:val="18"/>
          <w:szCs w:val="22"/>
        </w:rPr>
      </w:pPr>
    </w:p>
    <w:p w:rsidR="002C1641" w:rsidRPr="00BC74F3" w:rsidRDefault="002C1641" w:rsidP="00040C3A">
      <w:pPr>
        <w:tabs>
          <w:tab w:val="center" w:pos="5400"/>
        </w:tabs>
        <w:suppressAutoHyphens/>
        <w:jc w:val="center"/>
        <w:rPr>
          <w:rFonts w:ascii="Cambria" w:hAnsi="Cambria"/>
          <w:sz w:val="18"/>
          <w:szCs w:val="22"/>
        </w:rPr>
      </w:pPr>
    </w:p>
    <w:p w:rsidR="002C1641" w:rsidRPr="00BC74F3" w:rsidRDefault="002C1641" w:rsidP="00040C3A">
      <w:pPr>
        <w:tabs>
          <w:tab w:val="center" w:pos="5400"/>
        </w:tabs>
        <w:suppressAutoHyphens/>
        <w:jc w:val="center"/>
        <w:rPr>
          <w:rFonts w:ascii="Cambria" w:hAnsi="Cambria"/>
          <w:sz w:val="18"/>
          <w:szCs w:val="22"/>
        </w:rPr>
      </w:pPr>
    </w:p>
    <w:p w:rsidR="002C1641" w:rsidRPr="00BC74F3" w:rsidRDefault="00322654" w:rsidP="00040C3A">
      <w:pPr>
        <w:tabs>
          <w:tab w:val="center" w:pos="5400"/>
        </w:tabs>
        <w:suppressAutoHyphens/>
        <w:jc w:val="center"/>
        <w:rPr>
          <w:rFonts w:ascii="Cambria" w:hAnsi="Cambria"/>
          <w:sz w:val="18"/>
          <w:szCs w:val="22"/>
        </w:rPr>
      </w:pPr>
      <w:r>
        <w:rPr>
          <w:noProof/>
        </w:rPr>
        <w:pict>
          <v:shape id="Text Box 7" o:spid="_x0000_s1029" type="#_x0000_t202" style="position:absolute;left:0;text-align:left;margin-left:95.25pt;margin-top:5.6pt;width:361.85pt;height:54.75pt;z-index:25165568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MYMlDUCAABmBAAADgAAAGRycy9lMm9Eb2MueG1srFRNj9owEL1X6n+wfC/hK8sSEVZ0V1SV0O5K&#10;UO3ZODaJ5Hhc25DQX9+xQ1i07anqxcxXnv3mzbB4aGtFTsK6CnROR4MhJUJzKCp9yOmP3frLPSXO&#10;M10wBVrk9CwcfVh+/rRoTCbGUIIqhCUIol3WmJyW3pssSRwvRc3cAIzQmJRga+bRtYeksKxB9Fol&#10;4+HwLmnAFsYCF85h9KlL0mXEl1Jw/yKlE56onOLbfDxtPPfhTJYLlh0sM2XFL89g//CKmlUaL71C&#10;PTHPyNFWf0DVFbfgQPoBhzoBKSsuIgdkMxp+YLMtmRGRCzbHmWub3P+D5c+nV0uqIqczSjSrUaKd&#10;aD35Ci2Zhe40xmVYtDVY5lsMo8p93GEwkG6lrcMv0iGYxz6fr70NYByD03SeTucpJRxzd/N0Mk4D&#10;TPL+tbHOfxNQk2Dk1KJ2saXstHG+K+1LwmUa1pVSUT+lSYOgk3QYP7hmEFzpUCviJFxgAqPu5cHy&#10;7b6N/Cc9qz0UZyRroRsWZ/i6whdtmPOvzOJ0ID+ceP+Ch1SAN8PFoqQE++tv8VCPomGWkganLafu&#10;55FZQYn6rlHO+Wg6DeMZnWk6G6NjbzP724w+1o+AAz3C3TI8mqHeq96UFuo3XIxVuBVTTHO8O6e+&#10;Nx99twO4WFysVrEIB9Iwv9FbwwN06Fvo9659Y9ZcRPEo5zP0c8myD9p0tZ06q6MHWUXhQp+7rqLg&#10;wcFhjtJfFi9sy60fq97/Hpa/AQ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OSZw8D7AAAA4QEAABMAAAAAAAAAAAAAAAAAAAAAAFtD&#10;b250ZW50X1R5cGVzXS54bWxQSwECLQAUAAYACAAAACEAI7Jq4dcAAACUAQAACwAAAAAAAAAAAAAA&#10;AAAsAQAAX3JlbHMvLnJlbHNQSwECLQAUAAYACAAAACEABMYMlDUCAABmBAAADgAAAAAAAAAAAAAA&#10;AAAsAgAAZHJzL2Uyb0RvYy54bWxQSwECLQAUAAYACAAAACEAMz1d1+AAAAAKAQAADwAAAAAAAAAA&#10;AAAAAACNBAAAZHJzL2Rvd25yZXYueG1sUEsFBgAAAAAEAAQA8wAAAJoFAAAAAA==&#10;" filled="f" stroked="f" strokeweight=".5pt">
            <v:textbox>
              <w:txbxContent>
                <w:p w:rsidR="00730246" w:rsidRPr="00BC74F3" w:rsidRDefault="00730246" w:rsidP="004165C2">
                  <w:pPr>
                    <w:tabs>
                      <w:tab w:val="center" w:pos="5400"/>
                    </w:tabs>
                    <w:suppressAutoHyphens/>
                    <w:spacing w:before="60"/>
                    <w:rPr>
                      <w:rFonts w:ascii="Cambria" w:hAnsi="Cambria"/>
                      <w:color w:val="0D0D0D"/>
                      <w:sz w:val="18"/>
                      <w:szCs w:val="22"/>
                    </w:rPr>
                  </w:pPr>
                  <w:r w:rsidRPr="00BC74F3">
                    <w:rPr>
                      <w:rFonts w:ascii="Cambria" w:hAnsi="Cambria"/>
                      <w:color w:val="0D0D0D"/>
                      <w:sz w:val="18"/>
                      <w:szCs w:val="20"/>
                    </w:rPr>
                    <w:t>Approved by the Commission at its session No. XX  held on XX,  XX, 2017</w:t>
                  </w:r>
                  <w:r w:rsidRPr="00BC74F3">
                    <w:rPr>
                      <w:rFonts w:ascii="Cambria" w:hAnsi="Cambria"/>
                      <w:color w:val="0D0D0D"/>
                      <w:sz w:val="18"/>
                      <w:szCs w:val="20"/>
                    </w:rPr>
                    <w:br/>
                  </w:r>
                  <w:r w:rsidRPr="00BC74F3">
                    <w:rPr>
                      <w:rFonts w:ascii="Cambria" w:hAnsi="Cambria" w:cs="Univers"/>
                      <w:color w:val="0D0D0D"/>
                      <w:sz w:val="18"/>
                      <w:szCs w:val="20"/>
                    </w:rPr>
                    <w:t>16</w:t>
                  </w:r>
                  <w:r w:rsidR="00322654">
                    <w:rPr>
                      <w:rFonts w:ascii="Cambria" w:hAnsi="Cambria" w:cs="Univers"/>
                      <w:color w:val="0D0D0D"/>
                      <w:sz w:val="18"/>
                      <w:szCs w:val="20"/>
                    </w:rPr>
                    <w:t xml:space="preserve">4 Extraordinary </w:t>
                  </w:r>
                  <w:r w:rsidRPr="00BC74F3">
                    <w:rPr>
                      <w:rFonts w:ascii="Cambria" w:hAnsi="Cambria" w:cs="Univers"/>
                      <w:color w:val="0D0D0D"/>
                      <w:sz w:val="18"/>
                      <w:szCs w:val="20"/>
                    </w:rPr>
                    <w:t>Period of Sessions</w:t>
                  </w:r>
                </w:p>
                <w:p w:rsidR="00730246" w:rsidRPr="00BC74F3" w:rsidRDefault="00730246" w:rsidP="004165C2">
                  <w:pPr>
                    <w:tabs>
                      <w:tab w:val="center" w:pos="5400"/>
                    </w:tabs>
                    <w:suppressAutoHyphens/>
                    <w:spacing w:before="60"/>
                    <w:rPr>
                      <w:rFonts w:ascii="Cambria" w:hAnsi="Cambria"/>
                      <w:color w:val="0D0D0D"/>
                      <w:sz w:val="18"/>
                      <w:szCs w:val="22"/>
                    </w:rPr>
                  </w:pPr>
                </w:p>
              </w:txbxContent>
            </v:textbox>
          </v:shape>
        </w:pict>
      </w:r>
    </w:p>
    <w:p w:rsidR="002C1641" w:rsidRPr="00BC74F3" w:rsidRDefault="002C1641" w:rsidP="00040C3A">
      <w:pPr>
        <w:tabs>
          <w:tab w:val="center" w:pos="5400"/>
        </w:tabs>
        <w:suppressAutoHyphens/>
        <w:jc w:val="center"/>
        <w:rPr>
          <w:rFonts w:ascii="Cambria" w:hAnsi="Cambria"/>
          <w:sz w:val="18"/>
          <w:szCs w:val="22"/>
        </w:rPr>
      </w:pPr>
    </w:p>
    <w:p w:rsidR="002C1641" w:rsidRPr="00BC74F3" w:rsidRDefault="002C1641" w:rsidP="00040C3A">
      <w:pPr>
        <w:tabs>
          <w:tab w:val="center" w:pos="5400"/>
        </w:tabs>
        <w:suppressAutoHyphens/>
        <w:jc w:val="center"/>
        <w:rPr>
          <w:rFonts w:ascii="Cambria" w:hAnsi="Cambria"/>
          <w:sz w:val="18"/>
          <w:szCs w:val="22"/>
        </w:rPr>
      </w:pPr>
    </w:p>
    <w:p w:rsidR="002C1641" w:rsidRPr="00BC74F3" w:rsidRDefault="002C1641" w:rsidP="00040C3A">
      <w:pPr>
        <w:tabs>
          <w:tab w:val="center" w:pos="5400"/>
        </w:tabs>
        <w:suppressAutoHyphens/>
        <w:jc w:val="center"/>
        <w:rPr>
          <w:rFonts w:ascii="Cambria" w:hAnsi="Cambria"/>
          <w:sz w:val="18"/>
          <w:szCs w:val="22"/>
        </w:rPr>
      </w:pPr>
    </w:p>
    <w:p w:rsidR="002C1641" w:rsidRPr="00BC74F3" w:rsidRDefault="002C1641" w:rsidP="00040C3A">
      <w:pPr>
        <w:tabs>
          <w:tab w:val="center" w:pos="5400"/>
        </w:tabs>
        <w:suppressAutoHyphens/>
        <w:jc w:val="center"/>
        <w:rPr>
          <w:rFonts w:ascii="Cambria" w:hAnsi="Cambria"/>
          <w:sz w:val="18"/>
          <w:szCs w:val="22"/>
        </w:rPr>
      </w:pPr>
    </w:p>
    <w:p w:rsidR="002C1641" w:rsidRPr="00BC74F3" w:rsidRDefault="00322654" w:rsidP="00040C3A">
      <w:pPr>
        <w:tabs>
          <w:tab w:val="center" w:pos="5400"/>
        </w:tabs>
        <w:suppressAutoHyphens/>
        <w:jc w:val="center"/>
        <w:rPr>
          <w:rFonts w:ascii="Cambria" w:hAnsi="Cambria"/>
          <w:sz w:val="18"/>
          <w:szCs w:val="22"/>
        </w:rPr>
      </w:pPr>
      <w:r>
        <w:rPr>
          <w:noProof/>
        </w:rPr>
        <w:pict>
          <v:shape id="Text Box 14" o:spid="_x0000_s1028" type="#_x0000_t202" style="position:absolute;left:0;text-align:left;margin-left:95.25pt;margin-top:7.25pt;width:379.85pt;height:48pt;z-index:25165875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2gBhTUCAABoBAAADgAAAGRycy9lMm9Eb2MueG1srFTBjtowEL1X6j9YvpcECnRBhBXdFVUltLsS&#10;VHs2jgOREo9rGxL69X12gEXbnqpezHjmZTzz3gyz+7au2FFZV5LOeL+Xcqa0pLzUu4z/2Cw/3XHm&#10;vNC5qEirjJ+U4/fzjx9mjZmqAe2pypVlSKLdtDEZ33tvpkni5F7VwvXIKI1gQbYWHle7S3IrGmSv&#10;q2SQpuOkIZsbS1I5B+9jF+TzmL8olPTPReGUZ1XGUZuPp43nNpzJfCamOyvMvpTnMsQ/VFGLUuPR&#10;a6pH4QU72PKPVHUpLTkqfE9SnVBRlFLFHtBNP33XzXovjIq9gBxnrjS5/5dWPh1fLCtzaDfkTIsa&#10;Gm1U69lXahlc4KcxbgrY2gDoW/iBvfgdnKHttrB1+EVDDHEwfbqyG7JJOId3g2E6GXEmERunk3Ea&#10;6U/evjbW+W+KahaMjFuoF0kVx5XzqATQCyQ8pmlZVlVUsNKsQdLPozR+cI3gi0oHrIqzcE4TOuoq&#10;D5Zvt21k4NrtlvITmrXUjYszclmiopVw/kVYzAf6w8z7ZxxFRXiZzhZne7K//uYPeMiGKGcN5i3j&#10;7udBWMVZ9V1D0El/OAwDGi/D0ZcBLvY2sr2N6EP9QBjpPrbLyGgGvK8uZmGpfsVqLMKrCAkt8XbG&#10;/cV88N0WYLWkWiwiCCNphF/ptZEhdeAt8L1pX4U1Z1E85Hyiy2SK6TttOmynzuLgqSijcIHnjlWo&#10;GC4Y56jnefXCvtzeI+rtD2L+GwAA//8DAFBLAwQUAAYACAAAACEApj4QnN8AAAAKAQAADwAAAGRy&#10;cy9kb3ducmV2LnhtbExPQU7DMBC8I/EHaytxo3YjgtoQp6oiVUgIDi29cNvE2yRqbIfYbQOvZznB&#10;aXd2RjOz+XqyvbjQGDrvNCzmCgS52pvONRoO79v7JYgQ0RnsvSMNXxRgXdze5JgZf3U7uuxjI9jE&#10;hQw1tDEOmZShbslimPuBHHNHP1qMDMdGmhGvbG57mSj1KC12jhNaHKhsqT7tz1bDS7l9w12V2OV3&#10;Xz6/HjfD5+Ej1fpuNm2eQESa4p8YfutzdSi4U+XPzgTRM16plKW8PPBkwSpVCYiKDwtmZJHL/y8U&#10;PwAAAP//AwBQSwECLQAUAAYACAAAACEA5JnDwPsAAADhAQAAEwAAAAAAAAAAAAAAAAAAAAAAW0Nv&#10;bnRlbnRfVHlwZXNdLnhtbFBLAQItABQABgAIAAAAIQAjsmrh1wAAAJQBAAALAAAAAAAAAAAAAAAA&#10;ACwBAABfcmVscy8ucmVsc1BLAQItABQABgAIAAAAIQBLaAGFNQIAAGgEAAAOAAAAAAAAAAAAAAAA&#10;ACwCAABkcnMvZTJvRG9jLnhtbFBLAQItABQABgAIAAAAIQCmPhCc3wAAAAoBAAAPAAAAAAAAAAAA&#10;AAAAAI0EAABkcnMvZG93bnJldi54bWxQSwUGAAAAAAQABADzAAAAmQUAAAAA&#10;" filled="f" stroked="f" strokeweight=".5pt">
            <v:textbox>
              <w:txbxContent>
                <w:p w:rsidR="00730246" w:rsidRPr="00BC74F3" w:rsidRDefault="00730246" w:rsidP="00F644E6">
                  <w:pPr>
                    <w:spacing w:line="276" w:lineRule="auto"/>
                    <w:rPr>
                      <w:rFonts w:ascii="Cambria" w:hAnsi="Cambria"/>
                      <w:color w:val="595959"/>
                      <w:sz w:val="18"/>
                    </w:rPr>
                  </w:pPr>
                  <w:r w:rsidRPr="00BC74F3">
                    <w:rPr>
                      <w:rFonts w:ascii="Cambria" w:hAnsi="Cambria"/>
                      <w:b/>
                      <w:color w:val="595959"/>
                      <w:sz w:val="18"/>
                    </w:rPr>
                    <w:t xml:space="preserve">Cite as: </w:t>
                  </w:r>
                  <w:r w:rsidRPr="00BC74F3">
                    <w:rPr>
                      <w:rFonts w:ascii="Cambria" w:hAnsi="Cambria"/>
                      <w:color w:val="595959"/>
                      <w:sz w:val="18"/>
                    </w:rPr>
                    <w:t xml:space="preserve">IACHR, </w:t>
                  </w:r>
                  <w:r w:rsidR="00322654">
                    <w:rPr>
                      <w:rFonts w:ascii="Cambria" w:hAnsi="Cambria"/>
                      <w:color w:val="595959"/>
                      <w:sz w:val="18"/>
                      <w:szCs w:val="18"/>
                      <w:lang w:val="pt-BR"/>
                    </w:rPr>
                    <w:t>Report</w:t>
                  </w:r>
                  <w:r w:rsidR="00322654" w:rsidRPr="007372D2">
                    <w:rPr>
                      <w:rFonts w:ascii="Cambria" w:hAnsi="Cambria"/>
                      <w:color w:val="595959"/>
                      <w:sz w:val="18"/>
                      <w:szCs w:val="18"/>
                      <w:lang w:val="pt-BR"/>
                    </w:rPr>
                    <w:t xml:space="preserve"> No. </w:t>
                  </w:r>
                  <w:r w:rsidR="00322654">
                    <w:rPr>
                      <w:rFonts w:ascii="Cambria" w:hAnsi="Cambria"/>
                      <w:color w:val="595959"/>
                      <w:sz w:val="18"/>
                      <w:szCs w:val="18"/>
                      <w:lang w:val="es-ES_tradnl"/>
                    </w:rPr>
                    <w:t>98/17</w:t>
                  </w:r>
                  <w:r w:rsidR="00322654" w:rsidRPr="007372D2">
                    <w:rPr>
                      <w:rFonts w:ascii="Cambria" w:hAnsi="Cambria"/>
                      <w:color w:val="595959"/>
                      <w:sz w:val="18"/>
                      <w:szCs w:val="18"/>
                      <w:lang w:val="es-ES_tradnl"/>
                    </w:rPr>
                    <w:t>, Cas</w:t>
                  </w:r>
                  <w:r w:rsidR="00322654">
                    <w:rPr>
                      <w:rFonts w:ascii="Cambria" w:hAnsi="Cambria"/>
                      <w:color w:val="595959"/>
                      <w:sz w:val="18"/>
                      <w:szCs w:val="18"/>
                      <w:lang w:val="es-ES_tradnl"/>
                    </w:rPr>
                    <w:t>e</w:t>
                  </w:r>
                  <w:r w:rsidR="00322654">
                    <w:rPr>
                      <w:rFonts w:ascii="Cambria" w:hAnsi="Cambria"/>
                      <w:color w:val="595959"/>
                      <w:sz w:val="18"/>
                      <w:szCs w:val="18"/>
                      <w:lang w:val="es-ES_tradnl"/>
                    </w:rPr>
                    <w:t xml:space="preserve"> 12.925, </w:t>
                  </w:r>
                  <w:r w:rsidR="00322654">
                    <w:rPr>
                      <w:rFonts w:ascii="Cambria" w:hAnsi="Cambria"/>
                      <w:color w:val="595959"/>
                      <w:sz w:val="18"/>
                      <w:szCs w:val="18"/>
                      <w:lang w:val="es-ES_tradnl"/>
                    </w:rPr>
                    <w:t>Merits</w:t>
                  </w:r>
                  <w:r w:rsidR="00322654">
                    <w:rPr>
                      <w:rFonts w:ascii="Cambria" w:hAnsi="Cambria"/>
                      <w:color w:val="595959"/>
                      <w:sz w:val="18"/>
                      <w:szCs w:val="18"/>
                      <w:lang w:val="es-ES_tradnl"/>
                    </w:rPr>
                    <w:t xml:space="preserve">, Oscar Raúl Gorigoitia, Argentina, </w:t>
                  </w:r>
                  <w:r w:rsidR="00322654">
                    <w:rPr>
                      <w:rFonts w:ascii="Cambria" w:hAnsi="Cambria"/>
                      <w:color w:val="595959"/>
                      <w:sz w:val="18"/>
                      <w:szCs w:val="18"/>
                      <w:lang w:val="es-ES_tradnl"/>
                    </w:rPr>
                    <w:t>September 5,</w:t>
                  </w:r>
                  <w:r w:rsidR="00322654">
                    <w:rPr>
                      <w:rFonts w:ascii="Cambria" w:hAnsi="Cambria"/>
                      <w:color w:val="595959"/>
                      <w:sz w:val="18"/>
                      <w:szCs w:val="18"/>
                      <w:lang w:val="es-ES_tradnl"/>
                    </w:rPr>
                    <w:t xml:space="preserve"> 2017.</w:t>
                  </w:r>
                </w:p>
              </w:txbxContent>
            </v:textbox>
          </v:shape>
        </w:pict>
      </w:r>
    </w:p>
    <w:p w:rsidR="002C1641" w:rsidRPr="00BC74F3" w:rsidRDefault="002C1641" w:rsidP="00040C3A">
      <w:pPr>
        <w:tabs>
          <w:tab w:val="center" w:pos="5400"/>
        </w:tabs>
        <w:suppressAutoHyphens/>
        <w:jc w:val="center"/>
        <w:rPr>
          <w:rFonts w:ascii="Cambria" w:hAnsi="Cambria"/>
          <w:sz w:val="18"/>
          <w:szCs w:val="22"/>
        </w:rPr>
      </w:pPr>
    </w:p>
    <w:p w:rsidR="002C1641" w:rsidRPr="00BC74F3" w:rsidRDefault="002C1641" w:rsidP="00040C3A">
      <w:pPr>
        <w:tabs>
          <w:tab w:val="center" w:pos="5400"/>
        </w:tabs>
        <w:suppressAutoHyphens/>
        <w:jc w:val="center"/>
        <w:rPr>
          <w:rFonts w:ascii="Cambria" w:hAnsi="Cambria"/>
          <w:sz w:val="18"/>
          <w:szCs w:val="22"/>
        </w:rPr>
      </w:pPr>
    </w:p>
    <w:p w:rsidR="003C32BC" w:rsidRPr="00BC74F3" w:rsidRDefault="003C32BC" w:rsidP="003C32BC">
      <w:pPr>
        <w:tabs>
          <w:tab w:val="center" w:pos="5400"/>
        </w:tabs>
        <w:suppressAutoHyphens/>
        <w:jc w:val="center"/>
        <w:rPr>
          <w:rFonts w:ascii="Cambria" w:hAnsi="Cambria"/>
          <w:sz w:val="18"/>
          <w:szCs w:val="22"/>
        </w:rPr>
      </w:pPr>
    </w:p>
    <w:p w:rsidR="003C32BC" w:rsidRPr="00BC74F3" w:rsidRDefault="00322654" w:rsidP="003C32BC">
      <w:pPr>
        <w:tabs>
          <w:tab w:val="center" w:pos="5400"/>
        </w:tabs>
        <w:suppressAutoHyphens/>
        <w:jc w:val="center"/>
        <w:rPr>
          <w:rFonts w:ascii="Cambria" w:hAnsi="Cambria"/>
          <w:sz w:val="18"/>
          <w:szCs w:val="22"/>
        </w:rPr>
      </w:pPr>
      <w:r>
        <w:rPr>
          <w:noProof/>
        </w:rPr>
        <w:pict>
          <v:shape id="Text Box 3" o:spid="_x0000_s1027" type="#_x0000_t202" style="position:absolute;left:0;text-align:left;margin-left:-23.5pt;margin-top:67.65pt;width:93pt;height:26.2pt;z-index:25166080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KxiCDYCAABmBAAADgAAAGRycy9lMm9Eb2MueG1srFRNb9swDL0P2H8QdF9s56MfRpwia5FhQNAW&#10;SIaeFVmKDViiJimxs18/So7ToNtp2EWmRIrie4/0/KFTDTkK62rQBc1GKSVCcyhrvS/oj+3qyx0l&#10;zjNdsga0KOhJOPqw+Pxp3ppcjKGCphSWYBLt8tYUtPLe5EnieCUUcyMwQqNTglXM49buk9KyFrOr&#10;Jhmn6U3Sgi2NBS6cw9On3kkXMb+UgvsXKZ3wpCko1ubjauO6C2uymLN8b5mpan4ug/1DFYrVGh+9&#10;pHpinpGDrf9IpWpuwYH0Iw4qASlrLiIGRJOlH9BsKmZExILkOHOhyf2/tPz5+GpJXRZ0QolmCiXa&#10;is6Tr9CRSWCnNS7HoI3BMN/hMao8nDs8DKA7aVX4IhyCfuT5dOE2JOPhUnaXZSm6OPomk/HtNJKf&#10;vN821vlvAhQJRkEtahcpZce181gJhg4h4TENq7ppon6NJm1BbyazNF64ePBGo0OsiJ1wThMQ9ZUH&#10;y3e7LuKfDah2UJ4QrIW+WZzhqxorWjPnX5nF7kAQ2PH+BRfZAL4MZ4uSCuyvv52HeBQNvZS02G0F&#10;dT8PzApKmu8a5bzPpsgH8XEznd2OcWOvPbtrjz6oR8CGznC2DI9miPfNYEoL6g0HYxleRRfTHN8u&#10;qB/MR9/PAA4WF8tlDMKGNMyv9cbwkDrwFvjedm/MmrMoHuV8hqEvWf5Bmz62V2d58CDrKFzguWcV&#10;VQwbbOao53nwwrRc72PU++9h8RsAAP//AwBQSwMEFAAGAAgAAAAhAAE6IVjiAAAACwEAAA8AAABk&#10;cnMvZG93bnJldi54bWxMj0FPwzAMhe9I/IfISNy2lJXRUppOU6UJCcFhYxdubuO1FU1Smmwr/Hq8&#10;E9xsv6fn7+WryfTiRKPvnFVwN49AkK2d7myjYP++maUgfECrsXeWFHyTh1VxfZVjpt3Zbum0C43g&#10;EOszVNCGMGRS+rolg37uBrKsHdxoMPA6NlKPeOZw08tFFD1Ig53lDy0OVLZUf+6ORsFLuXnDbbUw&#10;6U9fPr8e1sPX/mOp1O3NtH4CEWgKf2a44DM6FMxUuaPVXvQKZvcJdwksxMsYxMURP/Kl4iFNEpBF&#10;Lv93KH4BAAD//wMAUEsBAi0AFAAGAAgAAAAhAOSZw8D7AAAA4QEAABMAAAAAAAAAAAAAAAAAAAAA&#10;AFtDb250ZW50X1R5cGVzXS54bWxQSwECLQAUAAYACAAAACEAI7Jq4dcAAACUAQAACwAAAAAAAAAA&#10;AAAAAAAsAQAAX3JlbHMvLnJlbHNQSwECLQAUAAYACAAAACEA7KxiCDYCAABmBAAADgAAAAAAAAAA&#10;AAAAAAAsAgAAZHJzL2Uyb0RvYy54bWxQSwECLQAUAAYACAAAACEAATohWOIAAAALAQAADwAAAAAA&#10;AAAAAAAAAACOBAAAZHJzL2Rvd25yZXYueG1sUEsFBgAAAAAEAAQA8wAAAJ0FAAAAAA==&#10;" filled="f" stroked="f" strokeweight=".5pt">
            <v:textbox>
              <w:txbxContent>
                <w:p w:rsidR="00730246" w:rsidRPr="00BC74F3" w:rsidRDefault="00730246" w:rsidP="006311DA">
                  <w:pPr>
                    <w:jc w:val="center"/>
                    <w:rPr>
                      <w:rFonts w:ascii="Calibri" w:hAnsi="Calibri"/>
                      <w:b/>
                      <w:color w:val="FFFFFF"/>
                    </w:rPr>
                  </w:pPr>
                  <w:r w:rsidRPr="00BC74F3">
                    <w:rPr>
                      <w:rFonts w:ascii="Calibri" w:hAnsi="Calibri"/>
                      <w:b/>
                      <w:color w:val="FFFFFF"/>
                      <w:lang w:val="pt-BR"/>
                    </w:rPr>
                    <w:t>www.cidh.org</w:t>
                  </w:r>
                </w:p>
              </w:txbxContent>
            </v:textbox>
          </v:shape>
        </w:pict>
      </w:r>
      <w:r>
        <w:rPr>
          <w:noProof/>
        </w:rPr>
        <w:pict>
          <v:shape id="Text Box 2" o:spid="_x0000_s1026" type="#_x0000_t202" style="position:absolute;left:0;text-align:left;margin-left:95.15pt;margin-top:56.9pt;width:164.25pt;height:38.25pt;z-index:25165977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XPqm1MCAACfBAAADgAAAGRycy9lMm9Eb2MueG1srFRNbxoxEL1X6n+wfC8LFAhBWSJKRFUJJZFC&#10;lbPxesNKXo9rG3bpr++zF0ia9lSVg5kvz3jevNmb27bW7KCcr8jkfNDrc6aMpKIyLzn/vll9mnLm&#10;gzCF0GRUzo/K89v5xw83jZ2pIe1IF8oxJDF+1tic70Kwsyzzcqdq4XtklYGzJFeLANW9ZIUTDbLX&#10;Ohv2+5OsIVdYR1J5D+td5+TzlL8slQwPZelVYDrneFtIp0vnNp7Z/EbMXpywu0qeniH+4RW1qAyK&#10;XlLdiSDY3lV/pKor6chTGXqS6ozKspIq9YBuBv133TzthFWpF4Dj7QUm///SyvvDo2NVkfMhZ0bU&#10;GNFGtYF9oZYNIzqN9TMEPVmEhRZmTPls9zDGptvS1fEf7TD4gfPxgm1MJmEc9qfj66sxZxK+0XR8&#10;BRnps9fb1vnwVVHNopBzh9klSMVh7UMXeg6JxTzpqlhVWifl6JfasYPAmMGOghrOtPABxpyv0u9U&#10;7bdr2rAm55PP436qZCjm60ppE/OqRKFT/QhF13KUQrttE3CTMxxbKo5AyVHHMm/lqkIra7zjUTjQ&#10;CsBgVcIDjlITKtNJ4mxH7uff7DEe04aXswY0zbn/sRdOob1vBjy4HoxGkddJGY2vhlDcW8/2rcfs&#10;6yUBogGW0sokxvigz2LpqH7GRi1iVbiEkaid83AWl6FbHmykVItFCgKTrQhr82RlTB1xi4PatM/C&#10;2dM0A3hwT2dCi9m7oXax8aahxT5QWaWJR5w7VMGUqGALEmdOGxvX7K2eol6/K/NfAAAA//8DAFBL&#10;AwQUAAYACAAAACEA9oTTZNkAAAALAQAADwAAAGRycy9kb3ducmV2LnhtbExPTUsDMRS8C/6H8Are&#10;bHatSl03W0TwKtjWntPNc7M0eVmStN321/sKBb3NMMN81IvRO3HAmPpACsppAQKpDaanTsF69XE/&#10;B5GyJqNdIFRwwgSL5vam1pUJR/rCwzJ3gkMoVVqBzXmopEytRa/TNAxIrP2E6HVmGjtpoj5yuHfy&#10;oSiepdc9cYPVA75bbHfLvVew6fx5810O0RrvHunzfFqtQ6/U3WR8ewWRccx/ZrjM5+nQ8KZt2JNJ&#10;wjF/KWZsZVDO+AM7nso5g+1Vkk0t/39ofgEAAP//AwBQSwECLQAUAAYACAAAACEA5JnDwPsAAADh&#10;AQAAEwAAAAAAAAAAAAAAAAAAAAAAW0NvbnRlbnRfVHlwZXNdLnhtbFBLAQItABQABgAIAAAAIQAj&#10;smrh1wAAAJQBAAALAAAAAAAAAAAAAAAAACwBAABfcmVscy8ucmVsc1BLAQItABQABgAIAAAAIQCd&#10;c+qbUwIAAJ8EAAAOAAAAAAAAAAAAAAAAACwCAABkcnMvZTJvRG9jLnhtbFBLAQItABQABgAIAAAA&#10;IQD2hNNk2QAAAAsBAAAPAAAAAAAAAAAAAAAAAKsEAABkcnMvZG93bnJldi54bWxQSwUGAAAAAAQA&#10;BADzAAAAsQUAAAAA&#10;" stroked="f" strokeweight=".5pt">
            <v:textbox>
              <w:txbxContent>
                <w:p w:rsidR="00730246" w:rsidRDefault="00322654">
                  <w:r>
                    <w:rPr>
                      <w:noProof/>
                    </w:rPr>
                    <w:pict>
                      <v:shape id="Picture 4" o:spid="_x0000_i1028" type="#_x0000_t75" alt="Description: C:\Users\mfontana\Documents\Eva Fontana\GRAFICA CIDH\cartas\logos\oea-en.jpg" style="width:88.3pt;height:29.9pt;visibility:visible">
                        <v:imagedata r:id="rId10" o:title="oea-en"/>
                      </v:shape>
                    </w:pict>
                  </w:r>
                </w:p>
              </w:txbxContent>
            </v:textbox>
          </v:shape>
        </w:pict>
      </w:r>
    </w:p>
    <w:p w:rsidR="007607C4" w:rsidRPr="00BC74F3" w:rsidRDefault="007607C4" w:rsidP="003C32BC">
      <w:pPr>
        <w:tabs>
          <w:tab w:val="center" w:pos="5400"/>
        </w:tabs>
        <w:suppressAutoHyphens/>
        <w:jc w:val="center"/>
        <w:rPr>
          <w:rFonts w:ascii="Cambria" w:hAnsi="Cambria"/>
          <w:sz w:val="18"/>
          <w:szCs w:val="22"/>
        </w:rPr>
        <w:sectPr w:rsidR="007607C4" w:rsidRPr="00BC74F3" w:rsidSect="00853419">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p>
    <w:p w:rsidR="00520E1A" w:rsidRPr="00983884" w:rsidRDefault="00520E1A" w:rsidP="00520E1A">
      <w:pPr>
        <w:jc w:val="center"/>
        <w:rPr>
          <w:rFonts w:ascii="Cambria" w:hAnsi="Cambria"/>
          <w:b/>
          <w:sz w:val="18"/>
          <w:szCs w:val="18"/>
        </w:rPr>
      </w:pPr>
      <w:r w:rsidRPr="00983884">
        <w:rPr>
          <w:rFonts w:ascii="Cambria" w:hAnsi="Cambria"/>
          <w:b/>
          <w:sz w:val="18"/>
          <w:szCs w:val="18"/>
        </w:rPr>
        <w:lastRenderedPageBreak/>
        <w:t xml:space="preserve">REPORT No. </w:t>
      </w:r>
      <w:r w:rsidR="00322654">
        <w:rPr>
          <w:rFonts w:ascii="Cambria" w:hAnsi="Cambria"/>
          <w:b/>
          <w:sz w:val="18"/>
          <w:szCs w:val="18"/>
        </w:rPr>
        <w:t>98</w:t>
      </w:r>
      <w:r w:rsidRPr="00983884">
        <w:rPr>
          <w:rFonts w:ascii="Cambria" w:hAnsi="Cambria"/>
          <w:b/>
          <w:sz w:val="18"/>
          <w:szCs w:val="18"/>
        </w:rPr>
        <w:t>/17</w:t>
      </w:r>
    </w:p>
    <w:p w:rsidR="00520E1A" w:rsidRPr="00983884" w:rsidRDefault="00520E1A" w:rsidP="00520E1A">
      <w:pPr>
        <w:tabs>
          <w:tab w:val="center" w:pos="5400"/>
        </w:tabs>
        <w:suppressAutoHyphens/>
        <w:spacing w:line="276" w:lineRule="auto"/>
        <w:jc w:val="center"/>
        <w:rPr>
          <w:rFonts w:ascii="Cambria" w:hAnsi="Cambria"/>
          <w:b/>
          <w:sz w:val="18"/>
          <w:szCs w:val="18"/>
        </w:rPr>
      </w:pPr>
      <w:r w:rsidRPr="00983884">
        <w:rPr>
          <w:rFonts w:ascii="Cambria" w:hAnsi="Cambria"/>
          <w:b/>
          <w:sz w:val="18"/>
          <w:szCs w:val="18"/>
        </w:rPr>
        <w:t>CASE 12.925</w:t>
      </w:r>
    </w:p>
    <w:p w:rsidR="00520E1A" w:rsidRPr="00983884" w:rsidRDefault="00520E1A" w:rsidP="00520E1A">
      <w:pPr>
        <w:tabs>
          <w:tab w:val="center" w:pos="5400"/>
        </w:tabs>
        <w:suppressAutoHyphens/>
        <w:spacing w:line="276" w:lineRule="auto"/>
        <w:jc w:val="center"/>
        <w:rPr>
          <w:rFonts w:ascii="Cambria" w:hAnsi="Cambria"/>
          <w:sz w:val="18"/>
          <w:szCs w:val="18"/>
        </w:rPr>
      </w:pPr>
      <w:r w:rsidRPr="00983884">
        <w:rPr>
          <w:rFonts w:ascii="Cambria" w:hAnsi="Cambria"/>
          <w:sz w:val="18"/>
          <w:szCs w:val="18"/>
        </w:rPr>
        <w:t>REPORT ON MERITS</w:t>
      </w:r>
    </w:p>
    <w:p w:rsidR="00520E1A" w:rsidRPr="000B7427" w:rsidRDefault="00520E1A" w:rsidP="00520E1A">
      <w:pPr>
        <w:tabs>
          <w:tab w:val="center" w:pos="5400"/>
        </w:tabs>
        <w:suppressAutoHyphens/>
        <w:spacing w:line="276" w:lineRule="auto"/>
        <w:jc w:val="center"/>
        <w:rPr>
          <w:rFonts w:ascii="Cambria" w:hAnsi="Cambria"/>
          <w:sz w:val="18"/>
          <w:szCs w:val="18"/>
          <w:lang w:val="pt-BR"/>
        </w:rPr>
      </w:pPr>
      <w:r w:rsidRPr="000B7427">
        <w:rPr>
          <w:rFonts w:ascii="Cambria" w:hAnsi="Cambria"/>
          <w:sz w:val="18"/>
          <w:szCs w:val="18"/>
          <w:lang w:val="pt-BR"/>
        </w:rPr>
        <w:t>OSCAR RAÚL GORIGOITIA</w:t>
      </w:r>
    </w:p>
    <w:p w:rsidR="00520E1A" w:rsidRPr="000B7427" w:rsidRDefault="00520E1A" w:rsidP="00520E1A">
      <w:pPr>
        <w:tabs>
          <w:tab w:val="center" w:pos="5400"/>
        </w:tabs>
        <w:suppressAutoHyphens/>
        <w:spacing w:line="276" w:lineRule="auto"/>
        <w:jc w:val="center"/>
        <w:rPr>
          <w:rFonts w:ascii="Cambria" w:hAnsi="Cambria"/>
          <w:sz w:val="18"/>
          <w:szCs w:val="18"/>
          <w:lang w:val="pt-BR"/>
        </w:rPr>
      </w:pPr>
      <w:r w:rsidRPr="000B7427">
        <w:rPr>
          <w:rFonts w:ascii="Cambria" w:hAnsi="Cambria"/>
          <w:sz w:val="18"/>
          <w:szCs w:val="18"/>
          <w:lang w:val="pt-BR"/>
        </w:rPr>
        <w:t>ARGENTINA</w:t>
      </w:r>
    </w:p>
    <w:p w:rsidR="00520E1A" w:rsidRPr="000B7427" w:rsidRDefault="00322654" w:rsidP="00520E1A">
      <w:pPr>
        <w:tabs>
          <w:tab w:val="center" w:pos="5400"/>
        </w:tabs>
        <w:suppressAutoHyphens/>
        <w:spacing w:line="276" w:lineRule="auto"/>
        <w:jc w:val="center"/>
        <w:rPr>
          <w:rFonts w:ascii="Cambria" w:hAnsi="Cambria"/>
          <w:sz w:val="18"/>
          <w:szCs w:val="18"/>
          <w:lang w:val="pt-BR"/>
        </w:rPr>
      </w:pPr>
      <w:r>
        <w:rPr>
          <w:rFonts w:ascii="Cambria" w:hAnsi="Cambria"/>
          <w:sz w:val="18"/>
          <w:szCs w:val="18"/>
          <w:lang w:val="pt-BR"/>
        </w:rPr>
        <w:t>SEPTEMBER 5, 2017</w:t>
      </w:r>
    </w:p>
    <w:p w:rsidR="00730246" w:rsidRPr="000B7427" w:rsidRDefault="00730246" w:rsidP="00202702">
      <w:pPr>
        <w:jc w:val="center"/>
        <w:rPr>
          <w:rFonts w:ascii="Cambria" w:hAnsi="Cambria"/>
          <w:b/>
          <w:sz w:val="18"/>
          <w:szCs w:val="18"/>
          <w:lang w:val="pt-BR"/>
        </w:rPr>
      </w:pPr>
      <w:r w:rsidRPr="000B7427">
        <w:rPr>
          <w:rFonts w:ascii="Cambria" w:hAnsi="Cambria"/>
          <w:b/>
          <w:sz w:val="18"/>
          <w:szCs w:val="18"/>
          <w:lang w:val="pt-BR"/>
        </w:rPr>
        <w:br/>
      </w:r>
      <w:r w:rsidRPr="000B7427">
        <w:rPr>
          <w:rFonts w:ascii="Cambria" w:hAnsi="Cambria"/>
          <w:b/>
          <w:sz w:val="18"/>
          <w:szCs w:val="18"/>
          <w:lang w:val="pt-BR"/>
        </w:rPr>
        <w:br/>
      </w:r>
      <w:r w:rsidR="00BC74F3" w:rsidRPr="000B7427">
        <w:rPr>
          <w:rFonts w:ascii="Cambria" w:hAnsi="Cambria"/>
          <w:b/>
          <w:sz w:val="18"/>
          <w:szCs w:val="18"/>
          <w:lang w:val="pt-BR"/>
        </w:rPr>
        <w:t>INDEX</w:t>
      </w:r>
    </w:p>
    <w:p w:rsidR="00BC74F3" w:rsidRPr="000B7427" w:rsidRDefault="00BC74F3" w:rsidP="00202702">
      <w:pPr>
        <w:jc w:val="center"/>
        <w:rPr>
          <w:rFonts w:ascii="Cambria" w:hAnsi="Cambria"/>
          <w:b/>
          <w:sz w:val="18"/>
          <w:szCs w:val="18"/>
          <w:lang w:val="pt-BR"/>
        </w:rPr>
      </w:pPr>
    </w:p>
    <w:p w:rsidR="00BC74F3" w:rsidRPr="00BC74F3" w:rsidRDefault="00BC74F3">
      <w:pPr>
        <w:pStyle w:val="TOC1"/>
        <w:tabs>
          <w:tab w:val="left" w:pos="356"/>
          <w:tab w:val="right" w:leader="dot" w:pos="9350"/>
        </w:tabs>
        <w:rPr>
          <w:rFonts w:ascii="Cambria" w:eastAsia="MS Mincho" w:hAnsi="Cambria"/>
          <w:noProof/>
          <w:sz w:val="20"/>
          <w:szCs w:val="20"/>
          <w:bdr w:val="none" w:sz="0" w:space="0" w:color="auto"/>
          <w:lang w:eastAsia="ja-JP"/>
        </w:rPr>
      </w:pPr>
      <w:r w:rsidRPr="00BC74F3">
        <w:rPr>
          <w:rFonts w:ascii="Cambria" w:hAnsi="Cambria"/>
          <w:b/>
          <w:sz w:val="20"/>
          <w:szCs w:val="20"/>
        </w:rPr>
        <w:fldChar w:fldCharType="begin"/>
      </w:r>
      <w:r w:rsidRPr="00BC74F3">
        <w:rPr>
          <w:rFonts w:ascii="Cambria" w:hAnsi="Cambria"/>
          <w:b/>
          <w:sz w:val="20"/>
          <w:szCs w:val="20"/>
        </w:rPr>
        <w:instrText xml:space="preserve"> TOC \o "1-3" </w:instrText>
      </w:r>
      <w:r w:rsidRPr="00BC74F3">
        <w:rPr>
          <w:rFonts w:ascii="Cambria" w:hAnsi="Cambria"/>
          <w:b/>
          <w:sz w:val="20"/>
          <w:szCs w:val="20"/>
        </w:rPr>
        <w:fldChar w:fldCharType="separate"/>
      </w:r>
      <w:r w:rsidRPr="00BC74F3">
        <w:rPr>
          <w:rFonts w:ascii="Cambria" w:hAnsi="Cambria"/>
          <w:noProof/>
          <w:sz w:val="20"/>
          <w:szCs w:val="20"/>
        </w:rPr>
        <w:t>I.</w:t>
      </w:r>
      <w:r w:rsidRPr="00BC74F3">
        <w:rPr>
          <w:rFonts w:ascii="Cambria" w:eastAsia="MS Mincho" w:hAnsi="Cambria"/>
          <w:noProof/>
          <w:sz w:val="20"/>
          <w:szCs w:val="20"/>
          <w:bdr w:val="none" w:sz="0" w:space="0" w:color="auto"/>
          <w:lang w:eastAsia="ja-JP"/>
        </w:rPr>
        <w:tab/>
      </w:r>
      <w:r w:rsidRPr="00BC74F3">
        <w:rPr>
          <w:rFonts w:ascii="Cambria" w:hAnsi="Cambria"/>
          <w:noProof/>
          <w:sz w:val="20"/>
          <w:szCs w:val="20"/>
        </w:rPr>
        <w:t>SUMMARY</w:t>
      </w:r>
      <w:r w:rsidRPr="00BC74F3">
        <w:rPr>
          <w:rFonts w:ascii="Cambria" w:hAnsi="Cambria"/>
          <w:noProof/>
          <w:sz w:val="20"/>
          <w:szCs w:val="20"/>
        </w:rPr>
        <w:tab/>
      </w:r>
      <w:r w:rsidRPr="00BC74F3">
        <w:rPr>
          <w:rFonts w:ascii="Cambria" w:hAnsi="Cambria"/>
          <w:noProof/>
          <w:sz w:val="20"/>
          <w:szCs w:val="20"/>
        </w:rPr>
        <w:fldChar w:fldCharType="begin"/>
      </w:r>
      <w:r w:rsidRPr="00BC74F3">
        <w:rPr>
          <w:rFonts w:ascii="Cambria" w:hAnsi="Cambria"/>
          <w:noProof/>
          <w:sz w:val="20"/>
          <w:szCs w:val="20"/>
        </w:rPr>
        <w:instrText xml:space="preserve"> PAGEREF _Toc365193979 \h </w:instrText>
      </w:r>
      <w:r w:rsidRPr="00BC74F3">
        <w:rPr>
          <w:rFonts w:ascii="Cambria" w:hAnsi="Cambria"/>
          <w:noProof/>
          <w:sz w:val="20"/>
          <w:szCs w:val="20"/>
        </w:rPr>
      </w:r>
      <w:r w:rsidRPr="00BC74F3">
        <w:rPr>
          <w:rFonts w:ascii="Cambria" w:hAnsi="Cambria"/>
          <w:noProof/>
          <w:sz w:val="20"/>
          <w:szCs w:val="20"/>
        </w:rPr>
        <w:fldChar w:fldCharType="separate"/>
      </w:r>
      <w:r w:rsidRPr="00BC74F3">
        <w:rPr>
          <w:rFonts w:ascii="Cambria" w:hAnsi="Cambria"/>
          <w:noProof/>
          <w:sz w:val="20"/>
          <w:szCs w:val="20"/>
        </w:rPr>
        <w:t>3</w:t>
      </w:r>
      <w:r w:rsidRPr="00BC74F3">
        <w:rPr>
          <w:rFonts w:ascii="Cambria" w:hAnsi="Cambria"/>
          <w:noProof/>
          <w:sz w:val="20"/>
          <w:szCs w:val="20"/>
        </w:rPr>
        <w:fldChar w:fldCharType="end"/>
      </w:r>
    </w:p>
    <w:p w:rsidR="00BC74F3" w:rsidRPr="00BC74F3" w:rsidRDefault="00BC74F3">
      <w:pPr>
        <w:pStyle w:val="TOC1"/>
        <w:tabs>
          <w:tab w:val="left" w:pos="428"/>
          <w:tab w:val="right" w:leader="dot" w:pos="9350"/>
        </w:tabs>
        <w:rPr>
          <w:rFonts w:ascii="Cambria" w:hAnsi="Cambria"/>
          <w:noProof/>
          <w:sz w:val="20"/>
          <w:szCs w:val="20"/>
        </w:rPr>
      </w:pPr>
    </w:p>
    <w:p w:rsidR="00BC74F3" w:rsidRPr="00BC74F3" w:rsidRDefault="00BC74F3">
      <w:pPr>
        <w:pStyle w:val="TOC1"/>
        <w:tabs>
          <w:tab w:val="left" w:pos="428"/>
          <w:tab w:val="right" w:leader="dot" w:pos="9350"/>
        </w:tabs>
        <w:rPr>
          <w:rFonts w:ascii="Cambria" w:eastAsia="MS Mincho" w:hAnsi="Cambria"/>
          <w:noProof/>
          <w:sz w:val="20"/>
          <w:szCs w:val="20"/>
          <w:bdr w:val="none" w:sz="0" w:space="0" w:color="auto"/>
          <w:lang w:eastAsia="ja-JP"/>
        </w:rPr>
      </w:pPr>
      <w:r w:rsidRPr="00BC74F3">
        <w:rPr>
          <w:rFonts w:ascii="Cambria" w:hAnsi="Cambria"/>
          <w:noProof/>
          <w:sz w:val="20"/>
          <w:szCs w:val="20"/>
        </w:rPr>
        <w:t>II.</w:t>
      </w:r>
      <w:r w:rsidRPr="00BC74F3">
        <w:rPr>
          <w:rFonts w:ascii="Cambria" w:eastAsia="MS Mincho" w:hAnsi="Cambria"/>
          <w:noProof/>
          <w:sz w:val="20"/>
          <w:szCs w:val="20"/>
          <w:bdr w:val="none" w:sz="0" w:space="0" w:color="auto"/>
          <w:lang w:eastAsia="ja-JP"/>
        </w:rPr>
        <w:tab/>
      </w:r>
      <w:r w:rsidRPr="00BC74F3">
        <w:rPr>
          <w:rFonts w:ascii="Cambria" w:hAnsi="Cambria"/>
          <w:noProof/>
          <w:sz w:val="20"/>
          <w:szCs w:val="20"/>
        </w:rPr>
        <w:t>PROCEDURES BEFORE THE COMMISSION</w:t>
      </w:r>
      <w:r w:rsidRPr="00BC74F3">
        <w:rPr>
          <w:rFonts w:ascii="Cambria" w:hAnsi="Cambria"/>
          <w:noProof/>
          <w:sz w:val="20"/>
          <w:szCs w:val="20"/>
        </w:rPr>
        <w:tab/>
      </w:r>
      <w:r w:rsidRPr="00BC74F3">
        <w:rPr>
          <w:rFonts w:ascii="Cambria" w:hAnsi="Cambria"/>
          <w:noProof/>
          <w:sz w:val="20"/>
          <w:szCs w:val="20"/>
        </w:rPr>
        <w:fldChar w:fldCharType="begin"/>
      </w:r>
      <w:r w:rsidRPr="00BC74F3">
        <w:rPr>
          <w:rFonts w:ascii="Cambria" w:hAnsi="Cambria"/>
          <w:noProof/>
          <w:sz w:val="20"/>
          <w:szCs w:val="20"/>
        </w:rPr>
        <w:instrText xml:space="preserve"> PAGEREF _Toc365193980 \h </w:instrText>
      </w:r>
      <w:r w:rsidRPr="00BC74F3">
        <w:rPr>
          <w:rFonts w:ascii="Cambria" w:hAnsi="Cambria"/>
          <w:noProof/>
          <w:sz w:val="20"/>
          <w:szCs w:val="20"/>
        </w:rPr>
      </w:r>
      <w:r w:rsidRPr="00BC74F3">
        <w:rPr>
          <w:rFonts w:ascii="Cambria" w:hAnsi="Cambria"/>
          <w:noProof/>
          <w:sz w:val="20"/>
          <w:szCs w:val="20"/>
        </w:rPr>
        <w:fldChar w:fldCharType="separate"/>
      </w:r>
      <w:r w:rsidRPr="00BC74F3">
        <w:rPr>
          <w:rFonts w:ascii="Cambria" w:hAnsi="Cambria"/>
          <w:noProof/>
          <w:sz w:val="20"/>
          <w:szCs w:val="20"/>
        </w:rPr>
        <w:t>3</w:t>
      </w:r>
      <w:r w:rsidRPr="00BC74F3">
        <w:rPr>
          <w:rFonts w:ascii="Cambria" w:hAnsi="Cambria"/>
          <w:noProof/>
          <w:sz w:val="20"/>
          <w:szCs w:val="20"/>
        </w:rPr>
        <w:fldChar w:fldCharType="end"/>
      </w:r>
    </w:p>
    <w:p w:rsidR="00BC74F3" w:rsidRPr="00BC74F3" w:rsidRDefault="00BC74F3">
      <w:pPr>
        <w:pStyle w:val="TOC1"/>
        <w:tabs>
          <w:tab w:val="left" w:pos="499"/>
          <w:tab w:val="right" w:leader="dot" w:pos="9350"/>
        </w:tabs>
        <w:rPr>
          <w:rFonts w:ascii="Cambria" w:hAnsi="Cambria"/>
          <w:noProof/>
          <w:sz w:val="20"/>
          <w:szCs w:val="20"/>
        </w:rPr>
      </w:pPr>
    </w:p>
    <w:p w:rsidR="00BC74F3" w:rsidRPr="00BC74F3" w:rsidRDefault="00BC74F3">
      <w:pPr>
        <w:pStyle w:val="TOC1"/>
        <w:tabs>
          <w:tab w:val="left" w:pos="499"/>
          <w:tab w:val="right" w:leader="dot" w:pos="9350"/>
        </w:tabs>
        <w:rPr>
          <w:rFonts w:ascii="Cambria" w:eastAsia="MS Mincho" w:hAnsi="Cambria"/>
          <w:noProof/>
          <w:sz w:val="20"/>
          <w:szCs w:val="20"/>
          <w:bdr w:val="none" w:sz="0" w:space="0" w:color="auto"/>
          <w:lang w:eastAsia="ja-JP"/>
        </w:rPr>
      </w:pPr>
      <w:r w:rsidRPr="00BC74F3">
        <w:rPr>
          <w:rFonts w:ascii="Cambria" w:hAnsi="Cambria"/>
          <w:noProof/>
          <w:sz w:val="20"/>
          <w:szCs w:val="20"/>
        </w:rPr>
        <w:t>III.</w:t>
      </w:r>
      <w:r w:rsidRPr="00BC74F3">
        <w:rPr>
          <w:rFonts w:ascii="Cambria" w:eastAsia="MS Mincho" w:hAnsi="Cambria"/>
          <w:noProof/>
          <w:sz w:val="20"/>
          <w:szCs w:val="20"/>
          <w:bdr w:val="none" w:sz="0" w:space="0" w:color="auto"/>
          <w:lang w:eastAsia="ja-JP"/>
        </w:rPr>
        <w:tab/>
      </w:r>
      <w:r w:rsidRPr="00BC74F3">
        <w:rPr>
          <w:rFonts w:ascii="Cambria" w:hAnsi="Cambria"/>
          <w:noProof/>
          <w:sz w:val="20"/>
          <w:szCs w:val="20"/>
        </w:rPr>
        <w:t>ALLEGATIONS OF THE PARTIES</w:t>
      </w:r>
      <w:r w:rsidRPr="00BC74F3">
        <w:rPr>
          <w:rFonts w:ascii="Cambria" w:hAnsi="Cambria"/>
          <w:noProof/>
          <w:sz w:val="20"/>
          <w:szCs w:val="20"/>
        </w:rPr>
        <w:tab/>
      </w:r>
      <w:r w:rsidRPr="00BC74F3">
        <w:rPr>
          <w:rFonts w:ascii="Cambria" w:hAnsi="Cambria"/>
          <w:noProof/>
          <w:sz w:val="20"/>
          <w:szCs w:val="20"/>
        </w:rPr>
        <w:fldChar w:fldCharType="begin"/>
      </w:r>
      <w:r w:rsidRPr="00BC74F3">
        <w:rPr>
          <w:rFonts w:ascii="Cambria" w:hAnsi="Cambria"/>
          <w:noProof/>
          <w:sz w:val="20"/>
          <w:szCs w:val="20"/>
        </w:rPr>
        <w:instrText xml:space="preserve"> PAGEREF _Toc365193981 \h </w:instrText>
      </w:r>
      <w:r w:rsidRPr="00BC74F3">
        <w:rPr>
          <w:rFonts w:ascii="Cambria" w:hAnsi="Cambria"/>
          <w:noProof/>
          <w:sz w:val="20"/>
          <w:szCs w:val="20"/>
        </w:rPr>
      </w:r>
      <w:r w:rsidRPr="00BC74F3">
        <w:rPr>
          <w:rFonts w:ascii="Cambria" w:hAnsi="Cambria"/>
          <w:noProof/>
          <w:sz w:val="20"/>
          <w:szCs w:val="20"/>
        </w:rPr>
        <w:fldChar w:fldCharType="separate"/>
      </w:r>
      <w:r w:rsidRPr="00BC74F3">
        <w:rPr>
          <w:rFonts w:ascii="Cambria" w:hAnsi="Cambria"/>
          <w:noProof/>
          <w:sz w:val="20"/>
          <w:szCs w:val="20"/>
        </w:rPr>
        <w:t>3</w:t>
      </w:r>
      <w:r w:rsidRPr="00BC74F3">
        <w:rPr>
          <w:rFonts w:ascii="Cambria" w:hAnsi="Cambria"/>
          <w:noProof/>
          <w:sz w:val="20"/>
          <w:szCs w:val="20"/>
        </w:rPr>
        <w:fldChar w:fldCharType="end"/>
      </w:r>
    </w:p>
    <w:p w:rsidR="00BC74F3" w:rsidRPr="00BC74F3" w:rsidRDefault="00BC74F3">
      <w:pPr>
        <w:pStyle w:val="TOC2"/>
        <w:tabs>
          <w:tab w:val="left" w:pos="1193"/>
        </w:tabs>
        <w:rPr>
          <w:rFonts w:ascii="Cambria" w:eastAsia="MS Mincho" w:hAnsi="Cambria"/>
          <w:noProof/>
          <w:sz w:val="20"/>
          <w:szCs w:val="20"/>
          <w:bdr w:val="none" w:sz="0" w:space="0" w:color="auto"/>
          <w:lang w:eastAsia="ja-JP"/>
        </w:rPr>
      </w:pPr>
      <w:r w:rsidRPr="00BC74F3">
        <w:rPr>
          <w:rFonts w:ascii="Cambria" w:hAnsi="Cambria"/>
          <w:noProof/>
          <w:sz w:val="20"/>
          <w:szCs w:val="20"/>
        </w:rPr>
        <w:t>A.</w:t>
      </w:r>
      <w:r w:rsidRPr="00BC74F3">
        <w:rPr>
          <w:rFonts w:ascii="Cambria" w:eastAsia="MS Mincho" w:hAnsi="Cambria"/>
          <w:noProof/>
          <w:sz w:val="20"/>
          <w:szCs w:val="20"/>
          <w:bdr w:val="none" w:sz="0" w:space="0" w:color="auto"/>
          <w:lang w:eastAsia="ja-JP"/>
        </w:rPr>
        <w:tab/>
      </w:r>
      <w:r w:rsidRPr="00BC74F3">
        <w:rPr>
          <w:rFonts w:ascii="Cambria" w:hAnsi="Cambria"/>
          <w:noProof/>
          <w:sz w:val="20"/>
          <w:szCs w:val="20"/>
        </w:rPr>
        <w:t>Allegations of the petitioner</w:t>
      </w:r>
      <w:r w:rsidRPr="00BC74F3">
        <w:rPr>
          <w:rFonts w:ascii="Cambria" w:hAnsi="Cambria"/>
          <w:noProof/>
          <w:sz w:val="20"/>
          <w:szCs w:val="20"/>
        </w:rPr>
        <w:tab/>
      </w:r>
      <w:r w:rsidRPr="00BC74F3">
        <w:rPr>
          <w:rFonts w:ascii="Cambria" w:hAnsi="Cambria"/>
          <w:noProof/>
          <w:sz w:val="20"/>
          <w:szCs w:val="20"/>
        </w:rPr>
        <w:fldChar w:fldCharType="begin"/>
      </w:r>
      <w:r w:rsidRPr="00BC74F3">
        <w:rPr>
          <w:rFonts w:ascii="Cambria" w:hAnsi="Cambria"/>
          <w:noProof/>
          <w:sz w:val="20"/>
          <w:szCs w:val="20"/>
        </w:rPr>
        <w:instrText xml:space="preserve"> PAGEREF _Toc365193982 \h </w:instrText>
      </w:r>
      <w:r w:rsidRPr="00BC74F3">
        <w:rPr>
          <w:rFonts w:ascii="Cambria" w:hAnsi="Cambria"/>
          <w:noProof/>
          <w:sz w:val="20"/>
          <w:szCs w:val="20"/>
        </w:rPr>
      </w:r>
      <w:r w:rsidRPr="00BC74F3">
        <w:rPr>
          <w:rFonts w:ascii="Cambria" w:hAnsi="Cambria"/>
          <w:noProof/>
          <w:sz w:val="20"/>
          <w:szCs w:val="20"/>
        </w:rPr>
        <w:fldChar w:fldCharType="separate"/>
      </w:r>
      <w:r w:rsidRPr="00BC74F3">
        <w:rPr>
          <w:rFonts w:ascii="Cambria" w:hAnsi="Cambria"/>
          <w:noProof/>
          <w:sz w:val="20"/>
          <w:szCs w:val="20"/>
        </w:rPr>
        <w:t>3</w:t>
      </w:r>
      <w:r w:rsidRPr="00BC74F3">
        <w:rPr>
          <w:rFonts w:ascii="Cambria" w:hAnsi="Cambria"/>
          <w:noProof/>
          <w:sz w:val="20"/>
          <w:szCs w:val="20"/>
        </w:rPr>
        <w:fldChar w:fldCharType="end"/>
      </w:r>
    </w:p>
    <w:p w:rsidR="00BC74F3" w:rsidRPr="00BC74F3" w:rsidRDefault="00BC74F3">
      <w:pPr>
        <w:pStyle w:val="TOC2"/>
        <w:tabs>
          <w:tab w:val="left" w:pos="1180"/>
        </w:tabs>
        <w:rPr>
          <w:rFonts w:ascii="Cambria" w:eastAsia="MS Mincho" w:hAnsi="Cambria"/>
          <w:noProof/>
          <w:sz w:val="20"/>
          <w:szCs w:val="20"/>
          <w:bdr w:val="none" w:sz="0" w:space="0" w:color="auto"/>
          <w:lang w:eastAsia="ja-JP"/>
        </w:rPr>
      </w:pPr>
      <w:r w:rsidRPr="00BC74F3">
        <w:rPr>
          <w:rFonts w:ascii="Cambria" w:hAnsi="Cambria"/>
          <w:noProof/>
          <w:sz w:val="20"/>
          <w:szCs w:val="20"/>
        </w:rPr>
        <w:t>B.</w:t>
      </w:r>
      <w:r w:rsidRPr="00BC74F3">
        <w:rPr>
          <w:rFonts w:ascii="Cambria" w:eastAsia="MS Mincho" w:hAnsi="Cambria"/>
          <w:noProof/>
          <w:sz w:val="20"/>
          <w:szCs w:val="20"/>
          <w:bdr w:val="none" w:sz="0" w:space="0" w:color="auto"/>
          <w:lang w:eastAsia="ja-JP"/>
        </w:rPr>
        <w:tab/>
      </w:r>
      <w:r w:rsidRPr="00BC74F3">
        <w:rPr>
          <w:rFonts w:ascii="Cambria" w:hAnsi="Cambria"/>
          <w:noProof/>
          <w:sz w:val="20"/>
          <w:szCs w:val="20"/>
        </w:rPr>
        <w:t>Allegations of the State</w:t>
      </w:r>
      <w:r w:rsidRPr="00BC74F3">
        <w:rPr>
          <w:rFonts w:ascii="Cambria" w:hAnsi="Cambria"/>
          <w:noProof/>
          <w:sz w:val="20"/>
          <w:szCs w:val="20"/>
        </w:rPr>
        <w:tab/>
      </w:r>
      <w:r w:rsidRPr="00BC74F3">
        <w:rPr>
          <w:rFonts w:ascii="Cambria" w:hAnsi="Cambria"/>
          <w:noProof/>
          <w:sz w:val="20"/>
          <w:szCs w:val="20"/>
        </w:rPr>
        <w:fldChar w:fldCharType="begin"/>
      </w:r>
      <w:r w:rsidRPr="00BC74F3">
        <w:rPr>
          <w:rFonts w:ascii="Cambria" w:hAnsi="Cambria"/>
          <w:noProof/>
          <w:sz w:val="20"/>
          <w:szCs w:val="20"/>
        </w:rPr>
        <w:instrText xml:space="preserve"> PAGEREF _Toc365193983 \h </w:instrText>
      </w:r>
      <w:r w:rsidRPr="00BC74F3">
        <w:rPr>
          <w:rFonts w:ascii="Cambria" w:hAnsi="Cambria"/>
          <w:noProof/>
          <w:sz w:val="20"/>
          <w:szCs w:val="20"/>
        </w:rPr>
      </w:r>
      <w:r w:rsidRPr="00BC74F3">
        <w:rPr>
          <w:rFonts w:ascii="Cambria" w:hAnsi="Cambria"/>
          <w:noProof/>
          <w:sz w:val="20"/>
          <w:szCs w:val="20"/>
        </w:rPr>
        <w:fldChar w:fldCharType="separate"/>
      </w:r>
      <w:r w:rsidRPr="00BC74F3">
        <w:rPr>
          <w:rFonts w:ascii="Cambria" w:hAnsi="Cambria"/>
          <w:noProof/>
          <w:sz w:val="20"/>
          <w:szCs w:val="20"/>
        </w:rPr>
        <w:t>4</w:t>
      </w:r>
      <w:r w:rsidRPr="00BC74F3">
        <w:rPr>
          <w:rFonts w:ascii="Cambria" w:hAnsi="Cambria"/>
          <w:noProof/>
          <w:sz w:val="20"/>
          <w:szCs w:val="20"/>
        </w:rPr>
        <w:fldChar w:fldCharType="end"/>
      </w:r>
    </w:p>
    <w:p w:rsidR="00BC74F3" w:rsidRPr="00BC74F3" w:rsidRDefault="00BC74F3">
      <w:pPr>
        <w:pStyle w:val="TOC1"/>
        <w:tabs>
          <w:tab w:val="left" w:pos="489"/>
          <w:tab w:val="right" w:leader="dot" w:pos="9350"/>
        </w:tabs>
        <w:rPr>
          <w:rFonts w:ascii="Cambria" w:hAnsi="Cambria"/>
          <w:noProof/>
          <w:sz w:val="20"/>
          <w:szCs w:val="20"/>
        </w:rPr>
      </w:pPr>
    </w:p>
    <w:p w:rsidR="00BC74F3" w:rsidRPr="00BC74F3" w:rsidRDefault="00BC74F3">
      <w:pPr>
        <w:pStyle w:val="TOC1"/>
        <w:tabs>
          <w:tab w:val="left" w:pos="489"/>
          <w:tab w:val="right" w:leader="dot" w:pos="9350"/>
        </w:tabs>
        <w:rPr>
          <w:rFonts w:ascii="Cambria" w:eastAsia="MS Mincho" w:hAnsi="Cambria"/>
          <w:noProof/>
          <w:sz w:val="20"/>
          <w:szCs w:val="20"/>
          <w:bdr w:val="none" w:sz="0" w:space="0" w:color="auto"/>
          <w:lang w:eastAsia="ja-JP"/>
        </w:rPr>
      </w:pPr>
      <w:r w:rsidRPr="00BC74F3">
        <w:rPr>
          <w:rFonts w:ascii="Cambria" w:hAnsi="Cambria"/>
          <w:noProof/>
          <w:sz w:val="20"/>
          <w:szCs w:val="20"/>
        </w:rPr>
        <w:t>IV.</w:t>
      </w:r>
      <w:r w:rsidRPr="00BC74F3">
        <w:rPr>
          <w:rFonts w:ascii="Cambria" w:eastAsia="MS Mincho" w:hAnsi="Cambria"/>
          <w:noProof/>
          <w:sz w:val="20"/>
          <w:szCs w:val="20"/>
          <w:bdr w:val="none" w:sz="0" w:space="0" w:color="auto"/>
          <w:lang w:eastAsia="ja-JP"/>
        </w:rPr>
        <w:tab/>
      </w:r>
      <w:r w:rsidRPr="00BC74F3">
        <w:rPr>
          <w:rFonts w:ascii="Cambria" w:hAnsi="Cambria"/>
          <w:noProof/>
          <w:sz w:val="20"/>
          <w:szCs w:val="20"/>
        </w:rPr>
        <w:t>DETERMINATIONS OF FACT</w:t>
      </w:r>
      <w:r w:rsidRPr="00BC74F3">
        <w:rPr>
          <w:rFonts w:ascii="Cambria" w:hAnsi="Cambria"/>
          <w:noProof/>
          <w:sz w:val="20"/>
          <w:szCs w:val="20"/>
        </w:rPr>
        <w:tab/>
      </w:r>
      <w:r w:rsidRPr="00BC74F3">
        <w:rPr>
          <w:rFonts w:ascii="Cambria" w:hAnsi="Cambria"/>
          <w:noProof/>
          <w:sz w:val="20"/>
          <w:szCs w:val="20"/>
        </w:rPr>
        <w:fldChar w:fldCharType="begin"/>
      </w:r>
      <w:r w:rsidRPr="00BC74F3">
        <w:rPr>
          <w:rFonts w:ascii="Cambria" w:hAnsi="Cambria"/>
          <w:noProof/>
          <w:sz w:val="20"/>
          <w:szCs w:val="20"/>
        </w:rPr>
        <w:instrText xml:space="preserve"> PAGEREF _Toc365193984 \h </w:instrText>
      </w:r>
      <w:r w:rsidRPr="00BC74F3">
        <w:rPr>
          <w:rFonts w:ascii="Cambria" w:hAnsi="Cambria"/>
          <w:noProof/>
          <w:sz w:val="20"/>
          <w:szCs w:val="20"/>
        </w:rPr>
      </w:r>
      <w:r w:rsidRPr="00BC74F3">
        <w:rPr>
          <w:rFonts w:ascii="Cambria" w:hAnsi="Cambria"/>
          <w:noProof/>
          <w:sz w:val="20"/>
          <w:szCs w:val="20"/>
        </w:rPr>
        <w:fldChar w:fldCharType="separate"/>
      </w:r>
      <w:r w:rsidRPr="00BC74F3">
        <w:rPr>
          <w:rFonts w:ascii="Cambria" w:hAnsi="Cambria"/>
          <w:noProof/>
          <w:sz w:val="20"/>
          <w:szCs w:val="20"/>
        </w:rPr>
        <w:t>4</w:t>
      </w:r>
      <w:r w:rsidRPr="00BC74F3">
        <w:rPr>
          <w:rFonts w:ascii="Cambria" w:hAnsi="Cambria"/>
          <w:noProof/>
          <w:sz w:val="20"/>
          <w:szCs w:val="20"/>
        </w:rPr>
        <w:fldChar w:fldCharType="end"/>
      </w:r>
    </w:p>
    <w:p w:rsidR="00BC74F3" w:rsidRPr="00BC74F3" w:rsidRDefault="00BC74F3">
      <w:pPr>
        <w:pStyle w:val="TOC2"/>
        <w:tabs>
          <w:tab w:val="left" w:pos="1193"/>
        </w:tabs>
        <w:rPr>
          <w:rFonts w:ascii="Cambria" w:eastAsia="MS Mincho" w:hAnsi="Cambria"/>
          <w:noProof/>
          <w:sz w:val="20"/>
          <w:szCs w:val="20"/>
          <w:bdr w:val="none" w:sz="0" w:space="0" w:color="auto"/>
          <w:lang w:eastAsia="ja-JP"/>
        </w:rPr>
      </w:pPr>
      <w:r w:rsidRPr="00BC74F3">
        <w:rPr>
          <w:rFonts w:ascii="Cambria" w:hAnsi="Cambria"/>
          <w:noProof/>
          <w:sz w:val="20"/>
          <w:szCs w:val="20"/>
        </w:rPr>
        <w:t>A.</w:t>
      </w:r>
      <w:r w:rsidRPr="00BC74F3">
        <w:rPr>
          <w:rFonts w:ascii="Cambria" w:eastAsia="MS Mincho" w:hAnsi="Cambria"/>
          <w:noProof/>
          <w:sz w:val="20"/>
          <w:szCs w:val="20"/>
          <w:bdr w:val="none" w:sz="0" w:space="0" w:color="auto"/>
          <w:lang w:eastAsia="ja-JP"/>
        </w:rPr>
        <w:tab/>
      </w:r>
      <w:r w:rsidRPr="00BC74F3">
        <w:rPr>
          <w:rFonts w:ascii="Cambria" w:hAnsi="Cambria"/>
          <w:noProof/>
          <w:sz w:val="20"/>
          <w:szCs w:val="20"/>
        </w:rPr>
        <w:t>The relevant criminal procedural legal framework in terms of remedies</w:t>
      </w:r>
      <w:r w:rsidRPr="00BC74F3">
        <w:rPr>
          <w:rFonts w:ascii="Cambria" w:hAnsi="Cambria"/>
          <w:noProof/>
          <w:sz w:val="20"/>
          <w:szCs w:val="20"/>
        </w:rPr>
        <w:tab/>
      </w:r>
      <w:r w:rsidRPr="00BC74F3">
        <w:rPr>
          <w:rFonts w:ascii="Cambria" w:hAnsi="Cambria"/>
          <w:noProof/>
          <w:sz w:val="20"/>
          <w:szCs w:val="20"/>
        </w:rPr>
        <w:fldChar w:fldCharType="begin"/>
      </w:r>
      <w:r w:rsidRPr="00BC74F3">
        <w:rPr>
          <w:rFonts w:ascii="Cambria" w:hAnsi="Cambria"/>
          <w:noProof/>
          <w:sz w:val="20"/>
          <w:szCs w:val="20"/>
        </w:rPr>
        <w:instrText xml:space="preserve"> PAGEREF _Toc365193985 \h </w:instrText>
      </w:r>
      <w:r w:rsidRPr="00BC74F3">
        <w:rPr>
          <w:rFonts w:ascii="Cambria" w:hAnsi="Cambria"/>
          <w:noProof/>
          <w:sz w:val="20"/>
          <w:szCs w:val="20"/>
        </w:rPr>
      </w:r>
      <w:r w:rsidRPr="00BC74F3">
        <w:rPr>
          <w:rFonts w:ascii="Cambria" w:hAnsi="Cambria"/>
          <w:noProof/>
          <w:sz w:val="20"/>
          <w:szCs w:val="20"/>
        </w:rPr>
        <w:fldChar w:fldCharType="separate"/>
      </w:r>
      <w:r w:rsidRPr="00BC74F3">
        <w:rPr>
          <w:rFonts w:ascii="Cambria" w:hAnsi="Cambria"/>
          <w:noProof/>
          <w:sz w:val="20"/>
          <w:szCs w:val="20"/>
        </w:rPr>
        <w:t>4</w:t>
      </w:r>
      <w:r w:rsidRPr="00BC74F3">
        <w:rPr>
          <w:rFonts w:ascii="Cambria" w:hAnsi="Cambria"/>
          <w:noProof/>
          <w:sz w:val="20"/>
          <w:szCs w:val="20"/>
        </w:rPr>
        <w:fldChar w:fldCharType="end"/>
      </w:r>
    </w:p>
    <w:p w:rsidR="00BC74F3" w:rsidRPr="00BC74F3" w:rsidRDefault="00BC74F3">
      <w:pPr>
        <w:pStyle w:val="TOC2"/>
        <w:tabs>
          <w:tab w:val="left" w:pos="1180"/>
        </w:tabs>
        <w:rPr>
          <w:rFonts w:ascii="Cambria" w:eastAsia="MS Mincho" w:hAnsi="Cambria"/>
          <w:noProof/>
          <w:sz w:val="20"/>
          <w:szCs w:val="20"/>
          <w:bdr w:val="none" w:sz="0" w:space="0" w:color="auto"/>
          <w:lang w:eastAsia="ja-JP"/>
        </w:rPr>
      </w:pPr>
      <w:r w:rsidRPr="00BC74F3">
        <w:rPr>
          <w:rFonts w:ascii="Cambria" w:hAnsi="Cambria"/>
          <w:noProof/>
          <w:sz w:val="20"/>
          <w:szCs w:val="20"/>
        </w:rPr>
        <w:t>B.</w:t>
      </w:r>
      <w:r w:rsidRPr="00BC74F3">
        <w:rPr>
          <w:rFonts w:ascii="Cambria" w:eastAsia="MS Mincho" w:hAnsi="Cambria"/>
          <w:noProof/>
          <w:sz w:val="20"/>
          <w:szCs w:val="20"/>
          <w:bdr w:val="none" w:sz="0" w:space="0" w:color="auto"/>
          <w:lang w:eastAsia="ja-JP"/>
        </w:rPr>
        <w:tab/>
      </w:r>
      <w:r w:rsidRPr="00BC74F3">
        <w:rPr>
          <w:rFonts w:ascii="Cambria" w:hAnsi="Cambria"/>
          <w:noProof/>
          <w:sz w:val="20"/>
          <w:szCs w:val="20"/>
        </w:rPr>
        <w:t>Judicial practice in Argentina and the 2005 “Casal” judgment</w:t>
      </w:r>
      <w:r w:rsidRPr="00BC74F3">
        <w:rPr>
          <w:rFonts w:ascii="Cambria" w:hAnsi="Cambria"/>
          <w:noProof/>
          <w:sz w:val="20"/>
          <w:szCs w:val="20"/>
        </w:rPr>
        <w:tab/>
      </w:r>
      <w:r w:rsidRPr="00BC74F3">
        <w:rPr>
          <w:rFonts w:ascii="Cambria" w:hAnsi="Cambria"/>
          <w:noProof/>
          <w:sz w:val="20"/>
          <w:szCs w:val="20"/>
        </w:rPr>
        <w:fldChar w:fldCharType="begin"/>
      </w:r>
      <w:r w:rsidRPr="00BC74F3">
        <w:rPr>
          <w:rFonts w:ascii="Cambria" w:hAnsi="Cambria"/>
          <w:noProof/>
          <w:sz w:val="20"/>
          <w:szCs w:val="20"/>
        </w:rPr>
        <w:instrText xml:space="preserve"> PAGEREF _Toc365193986 \h </w:instrText>
      </w:r>
      <w:r w:rsidRPr="00BC74F3">
        <w:rPr>
          <w:rFonts w:ascii="Cambria" w:hAnsi="Cambria"/>
          <w:noProof/>
          <w:sz w:val="20"/>
          <w:szCs w:val="20"/>
        </w:rPr>
      </w:r>
      <w:r w:rsidRPr="00BC74F3">
        <w:rPr>
          <w:rFonts w:ascii="Cambria" w:hAnsi="Cambria"/>
          <w:noProof/>
          <w:sz w:val="20"/>
          <w:szCs w:val="20"/>
        </w:rPr>
        <w:fldChar w:fldCharType="separate"/>
      </w:r>
      <w:r w:rsidRPr="00BC74F3">
        <w:rPr>
          <w:rFonts w:ascii="Cambria" w:hAnsi="Cambria"/>
          <w:noProof/>
          <w:sz w:val="20"/>
          <w:szCs w:val="20"/>
        </w:rPr>
        <w:t>6</w:t>
      </w:r>
      <w:r w:rsidRPr="00BC74F3">
        <w:rPr>
          <w:rFonts w:ascii="Cambria" w:hAnsi="Cambria"/>
          <w:noProof/>
          <w:sz w:val="20"/>
          <w:szCs w:val="20"/>
        </w:rPr>
        <w:fldChar w:fldCharType="end"/>
      </w:r>
    </w:p>
    <w:p w:rsidR="00BC74F3" w:rsidRPr="00BC74F3" w:rsidRDefault="00BC74F3">
      <w:pPr>
        <w:pStyle w:val="TOC2"/>
        <w:tabs>
          <w:tab w:val="left" w:pos="1180"/>
        </w:tabs>
        <w:rPr>
          <w:rFonts w:ascii="Cambria" w:eastAsia="MS Mincho" w:hAnsi="Cambria"/>
          <w:noProof/>
          <w:sz w:val="20"/>
          <w:szCs w:val="20"/>
          <w:bdr w:val="none" w:sz="0" w:space="0" w:color="auto"/>
          <w:lang w:eastAsia="ja-JP"/>
        </w:rPr>
      </w:pPr>
      <w:r w:rsidRPr="00BC74F3">
        <w:rPr>
          <w:rFonts w:ascii="Cambria" w:hAnsi="Cambria"/>
          <w:noProof/>
          <w:sz w:val="20"/>
          <w:szCs w:val="20"/>
        </w:rPr>
        <w:t>C.</w:t>
      </w:r>
      <w:r w:rsidRPr="00BC74F3">
        <w:rPr>
          <w:rFonts w:ascii="Cambria" w:eastAsia="MS Mincho" w:hAnsi="Cambria"/>
          <w:noProof/>
          <w:sz w:val="20"/>
          <w:szCs w:val="20"/>
          <w:bdr w:val="none" w:sz="0" w:space="0" w:color="auto"/>
          <w:lang w:eastAsia="ja-JP"/>
        </w:rPr>
        <w:tab/>
      </w:r>
      <w:r w:rsidRPr="00BC74F3">
        <w:rPr>
          <w:rFonts w:ascii="Cambria" w:hAnsi="Cambria"/>
          <w:noProof/>
          <w:sz w:val="20"/>
          <w:szCs w:val="20"/>
        </w:rPr>
        <w:t>Oscar Raúl Gorigoitia and the criminal proceedings against him</w:t>
      </w:r>
      <w:r w:rsidRPr="00BC74F3">
        <w:rPr>
          <w:rFonts w:ascii="Cambria" w:hAnsi="Cambria"/>
          <w:noProof/>
          <w:sz w:val="20"/>
          <w:szCs w:val="20"/>
        </w:rPr>
        <w:tab/>
      </w:r>
      <w:r w:rsidRPr="00BC74F3">
        <w:rPr>
          <w:rFonts w:ascii="Cambria" w:hAnsi="Cambria"/>
          <w:noProof/>
          <w:sz w:val="20"/>
          <w:szCs w:val="20"/>
        </w:rPr>
        <w:fldChar w:fldCharType="begin"/>
      </w:r>
      <w:r w:rsidRPr="00BC74F3">
        <w:rPr>
          <w:rFonts w:ascii="Cambria" w:hAnsi="Cambria"/>
          <w:noProof/>
          <w:sz w:val="20"/>
          <w:szCs w:val="20"/>
        </w:rPr>
        <w:instrText xml:space="preserve"> PAGEREF _Toc365193987 \h </w:instrText>
      </w:r>
      <w:r w:rsidRPr="00BC74F3">
        <w:rPr>
          <w:rFonts w:ascii="Cambria" w:hAnsi="Cambria"/>
          <w:noProof/>
          <w:sz w:val="20"/>
          <w:szCs w:val="20"/>
        </w:rPr>
      </w:r>
      <w:r w:rsidRPr="00BC74F3">
        <w:rPr>
          <w:rFonts w:ascii="Cambria" w:hAnsi="Cambria"/>
          <w:noProof/>
          <w:sz w:val="20"/>
          <w:szCs w:val="20"/>
        </w:rPr>
        <w:fldChar w:fldCharType="separate"/>
      </w:r>
      <w:r w:rsidRPr="00BC74F3">
        <w:rPr>
          <w:rFonts w:ascii="Cambria" w:hAnsi="Cambria"/>
          <w:noProof/>
          <w:sz w:val="20"/>
          <w:szCs w:val="20"/>
        </w:rPr>
        <w:t>7</w:t>
      </w:r>
      <w:r w:rsidRPr="00BC74F3">
        <w:rPr>
          <w:rFonts w:ascii="Cambria" w:hAnsi="Cambria"/>
          <w:noProof/>
          <w:sz w:val="20"/>
          <w:szCs w:val="20"/>
        </w:rPr>
        <w:fldChar w:fldCharType="end"/>
      </w:r>
    </w:p>
    <w:p w:rsidR="00BC74F3" w:rsidRPr="00BC74F3" w:rsidRDefault="00BC74F3">
      <w:pPr>
        <w:pStyle w:val="TOC2"/>
        <w:tabs>
          <w:tab w:val="left" w:pos="1193"/>
        </w:tabs>
        <w:rPr>
          <w:rFonts w:ascii="Cambria" w:eastAsia="MS Mincho" w:hAnsi="Cambria"/>
          <w:noProof/>
          <w:sz w:val="20"/>
          <w:szCs w:val="20"/>
          <w:bdr w:val="none" w:sz="0" w:space="0" w:color="auto"/>
          <w:lang w:eastAsia="ja-JP"/>
        </w:rPr>
      </w:pPr>
      <w:r w:rsidRPr="00BC74F3">
        <w:rPr>
          <w:rFonts w:ascii="Cambria" w:hAnsi="Cambria"/>
          <w:noProof/>
          <w:sz w:val="20"/>
          <w:szCs w:val="20"/>
        </w:rPr>
        <w:t>D.</w:t>
      </w:r>
      <w:r w:rsidRPr="00BC74F3">
        <w:rPr>
          <w:rFonts w:ascii="Cambria" w:eastAsia="MS Mincho" w:hAnsi="Cambria"/>
          <w:noProof/>
          <w:sz w:val="20"/>
          <w:szCs w:val="20"/>
          <w:bdr w:val="none" w:sz="0" w:space="0" w:color="auto"/>
          <w:lang w:eastAsia="ja-JP"/>
        </w:rPr>
        <w:tab/>
      </w:r>
      <w:r w:rsidRPr="00BC74F3">
        <w:rPr>
          <w:rFonts w:ascii="Cambria" w:hAnsi="Cambria"/>
          <w:noProof/>
          <w:sz w:val="20"/>
          <w:szCs w:val="20"/>
        </w:rPr>
        <w:t>Cassation appeal</w:t>
      </w:r>
      <w:r w:rsidRPr="00BC74F3">
        <w:rPr>
          <w:rFonts w:ascii="Cambria" w:hAnsi="Cambria"/>
          <w:noProof/>
          <w:sz w:val="20"/>
          <w:szCs w:val="20"/>
        </w:rPr>
        <w:tab/>
      </w:r>
      <w:r w:rsidRPr="00BC74F3">
        <w:rPr>
          <w:rFonts w:ascii="Cambria" w:hAnsi="Cambria"/>
          <w:noProof/>
          <w:sz w:val="20"/>
          <w:szCs w:val="20"/>
        </w:rPr>
        <w:fldChar w:fldCharType="begin"/>
      </w:r>
      <w:r w:rsidRPr="00BC74F3">
        <w:rPr>
          <w:rFonts w:ascii="Cambria" w:hAnsi="Cambria"/>
          <w:noProof/>
          <w:sz w:val="20"/>
          <w:szCs w:val="20"/>
        </w:rPr>
        <w:instrText xml:space="preserve"> PAGEREF _Toc365193988 \h </w:instrText>
      </w:r>
      <w:r w:rsidRPr="00BC74F3">
        <w:rPr>
          <w:rFonts w:ascii="Cambria" w:hAnsi="Cambria"/>
          <w:noProof/>
          <w:sz w:val="20"/>
          <w:szCs w:val="20"/>
        </w:rPr>
      </w:r>
      <w:r w:rsidRPr="00BC74F3">
        <w:rPr>
          <w:rFonts w:ascii="Cambria" w:hAnsi="Cambria"/>
          <w:noProof/>
          <w:sz w:val="20"/>
          <w:szCs w:val="20"/>
        </w:rPr>
        <w:fldChar w:fldCharType="separate"/>
      </w:r>
      <w:r w:rsidRPr="00BC74F3">
        <w:rPr>
          <w:rFonts w:ascii="Cambria" w:hAnsi="Cambria"/>
          <w:noProof/>
          <w:sz w:val="20"/>
          <w:szCs w:val="20"/>
        </w:rPr>
        <w:t>8</w:t>
      </w:r>
      <w:r w:rsidRPr="00BC74F3">
        <w:rPr>
          <w:rFonts w:ascii="Cambria" w:hAnsi="Cambria"/>
          <w:noProof/>
          <w:sz w:val="20"/>
          <w:szCs w:val="20"/>
        </w:rPr>
        <w:fldChar w:fldCharType="end"/>
      </w:r>
    </w:p>
    <w:p w:rsidR="00BC74F3" w:rsidRPr="00BC74F3" w:rsidRDefault="00BC74F3">
      <w:pPr>
        <w:pStyle w:val="TOC2"/>
        <w:tabs>
          <w:tab w:val="left" w:pos="1167"/>
        </w:tabs>
        <w:rPr>
          <w:rFonts w:ascii="Cambria" w:eastAsia="MS Mincho" w:hAnsi="Cambria"/>
          <w:noProof/>
          <w:sz w:val="20"/>
          <w:szCs w:val="20"/>
          <w:bdr w:val="none" w:sz="0" w:space="0" w:color="auto"/>
          <w:lang w:eastAsia="ja-JP"/>
        </w:rPr>
      </w:pPr>
      <w:r w:rsidRPr="00BC74F3">
        <w:rPr>
          <w:rFonts w:ascii="Cambria" w:hAnsi="Cambria"/>
          <w:noProof/>
          <w:sz w:val="20"/>
          <w:szCs w:val="20"/>
        </w:rPr>
        <w:t>E.</w:t>
      </w:r>
      <w:r w:rsidRPr="00BC74F3">
        <w:rPr>
          <w:rFonts w:ascii="Cambria" w:eastAsia="MS Mincho" w:hAnsi="Cambria"/>
          <w:noProof/>
          <w:sz w:val="20"/>
          <w:szCs w:val="20"/>
          <w:bdr w:val="none" w:sz="0" w:space="0" w:color="auto"/>
          <w:lang w:eastAsia="ja-JP"/>
        </w:rPr>
        <w:tab/>
      </w:r>
      <w:r w:rsidRPr="00BC74F3">
        <w:rPr>
          <w:rFonts w:ascii="Cambria" w:hAnsi="Cambria"/>
          <w:noProof/>
          <w:sz w:val="20"/>
          <w:szCs w:val="20"/>
        </w:rPr>
        <w:t>Extraordinary appeal and complaint appeal</w:t>
      </w:r>
      <w:r w:rsidRPr="00BC74F3">
        <w:rPr>
          <w:rFonts w:ascii="Cambria" w:hAnsi="Cambria"/>
          <w:noProof/>
          <w:sz w:val="20"/>
          <w:szCs w:val="20"/>
        </w:rPr>
        <w:tab/>
      </w:r>
      <w:r w:rsidRPr="00BC74F3">
        <w:rPr>
          <w:rFonts w:ascii="Cambria" w:hAnsi="Cambria"/>
          <w:noProof/>
          <w:sz w:val="20"/>
          <w:szCs w:val="20"/>
        </w:rPr>
        <w:fldChar w:fldCharType="begin"/>
      </w:r>
      <w:r w:rsidRPr="00BC74F3">
        <w:rPr>
          <w:rFonts w:ascii="Cambria" w:hAnsi="Cambria"/>
          <w:noProof/>
          <w:sz w:val="20"/>
          <w:szCs w:val="20"/>
        </w:rPr>
        <w:instrText xml:space="preserve"> PAGEREF _Toc365193989 \h </w:instrText>
      </w:r>
      <w:r w:rsidRPr="00BC74F3">
        <w:rPr>
          <w:rFonts w:ascii="Cambria" w:hAnsi="Cambria"/>
          <w:noProof/>
          <w:sz w:val="20"/>
          <w:szCs w:val="20"/>
        </w:rPr>
      </w:r>
      <w:r w:rsidRPr="00BC74F3">
        <w:rPr>
          <w:rFonts w:ascii="Cambria" w:hAnsi="Cambria"/>
          <w:noProof/>
          <w:sz w:val="20"/>
          <w:szCs w:val="20"/>
        </w:rPr>
        <w:fldChar w:fldCharType="separate"/>
      </w:r>
      <w:r w:rsidRPr="00BC74F3">
        <w:rPr>
          <w:rFonts w:ascii="Cambria" w:hAnsi="Cambria"/>
          <w:noProof/>
          <w:sz w:val="20"/>
          <w:szCs w:val="20"/>
        </w:rPr>
        <w:t>10</w:t>
      </w:r>
      <w:r w:rsidRPr="00BC74F3">
        <w:rPr>
          <w:rFonts w:ascii="Cambria" w:hAnsi="Cambria"/>
          <w:noProof/>
          <w:sz w:val="20"/>
          <w:szCs w:val="20"/>
        </w:rPr>
        <w:fldChar w:fldCharType="end"/>
      </w:r>
    </w:p>
    <w:p w:rsidR="00BC74F3" w:rsidRPr="00BC74F3" w:rsidRDefault="00BC74F3">
      <w:pPr>
        <w:pStyle w:val="TOC1"/>
        <w:tabs>
          <w:tab w:val="left" w:pos="418"/>
          <w:tab w:val="right" w:leader="dot" w:pos="9350"/>
        </w:tabs>
        <w:rPr>
          <w:rFonts w:ascii="Cambria" w:hAnsi="Cambria"/>
          <w:noProof/>
          <w:sz w:val="20"/>
          <w:szCs w:val="20"/>
        </w:rPr>
      </w:pPr>
    </w:p>
    <w:p w:rsidR="00BC74F3" w:rsidRPr="00BC74F3" w:rsidRDefault="00BC74F3">
      <w:pPr>
        <w:pStyle w:val="TOC1"/>
        <w:tabs>
          <w:tab w:val="left" w:pos="418"/>
          <w:tab w:val="right" w:leader="dot" w:pos="9350"/>
        </w:tabs>
        <w:rPr>
          <w:rFonts w:ascii="Cambria" w:eastAsia="MS Mincho" w:hAnsi="Cambria"/>
          <w:noProof/>
          <w:sz w:val="20"/>
          <w:szCs w:val="20"/>
          <w:bdr w:val="none" w:sz="0" w:space="0" w:color="auto"/>
          <w:lang w:eastAsia="ja-JP"/>
        </w:rPr>
      </w:pPr>
      <w:r w:rsidRPr="00BC74F3">
        <w:rPr>
          <w:rFonts w:ascii="Cambria" w:hAnsi="Cambria"/>
          <w:noProof/>
          <w:sz w:val="20"/>
          <w:szCs w:val="20"/>
        </w:rPr>
        <w:t>V.</w:t>
      </w:r>
      <w:r w:rsidRPr="00BC74F3">
        <w:rPr>
          <w:rFonts w:ascii="Cambria" w:eastAsia="MS Mincho" w:hAnsi="Cambria"/>
          <w:noProof/>
          <w:sz w:val="20"/>
          <w:szCs w:val="20"/>
          <w:bdr w:val="none" w:sz="0" w:space="0" w:color="auto"/>
          <w:lang w:eastAsia="ja-JP"/>
        </w:rPr>
        <w:tab/>
      </w:r>
      <w:r w:rsidRPr="00BC74F3">
        <w:rPr>
          <w:rFonts w:ascii="Cambria" w:hAnsi="Cambria"/>
          <w:noProof/>
          <w:sz w:val="20"/>
          <w:szCs w:val="20"/>
        </w:rPr>
        <w:t>ANALYSIS OF LAW</w:t>
      </w:r>
      <w:r w:rsidRPr="00BC74F3">
        <w:rPr>
          <w:rFonts w:ascii="Cambria" w:hAnsi="Cambria"/>
          <w:noProof/>
          <w:sz w:val="20"/>
          <w:szCs w:val="20"/>
        </w:rPr>
        <w:tab/>
      </w:r>
      <w:r w:rsidRPr="00BC74F3">
        <w:rPr>
          <w:rFonts w:ascii="Cambria" w:hAnsi="Cambria"/>
          <w:noProof/>
          <w:sz w:val="20"/>
          <w:szCs w:val="20"/>
        </w:rPr>
        <w:fldChar w:fldCharType="begin"/>
      </w:r>
      <w:r w:rsidRPr="00BC74F3">
        <w:rPr>
          <w:rFonts w:ascii="Cambria" w:hAnsi="Cambria"/>
          <w:noProof/>
          <w:sz w:val="20"/>
          <w:szCs w:val="20"/>
        </w:rPr>
        <w:instrText xml:space="preserve"> PAGEREF _Toc365193990 \h </w:instrText>
      </w:r>
      <w:r w:rsidRPr="00BC74F3">
        <w:rPr>
          <w:rFonts w:ascii="Cambria" w:hAnsi="Cambria"/>
          <w:noProof/>
          <w:sz w:val="20"/>
          <w:szCs w:val="20"/>
        </w:rPr>
      </w:r>
      <w:r w:rsidRPr="00BC74F3">
        <w:rPr>
          <w:rFonts w:ascii="Cambria" w:hAnsi="Cambria"/>
          <w:noProof/>
          <w:sz w:val="20"/>
          <w:szCs w:val="20"/>
        </w:rPr>
        <w:fldChar w:fldCharType="separate"/>
      </w:r>
      <w:r w:rsidRPr="00BC74F3">
        <w:rPr>
          <w:rFonts w:ascii="Cambria" w:hAnsi="Cambria"/>
          <w:noProof/>
          <w:sz w:val="20"/>
          <w:szCs w:val="20"/>
        </w:rPr>
        <w:t>11</w:t>
      </w:r>
      <w:r w:rsidRPr="00BC74F3">
        <w:rPr>
          <w:rFonts w:ascii="Cambria" w:hAnsi="Cambria"/>
          <w:noProof/>
          <w:sz w:val="20"/>
          <w:szCs w:val="20"/>
        </w:rPr>
        <w:fldChar w:fldCharType="end"/>
      </w:r>
    </w:p>
    <w:p w:rsidR="00BC74F3" w:rsidRPr="00BC74F3" w:rsidRDefault="00BC74F3">
      <w:pPr>
        <w:pStyle w:val="TOC1"/>
        <w:tabs>
          <w:tab w:val="left" w:pos="489"/>
          <w:tab w:val="right" w:leader="dot" w:pos="9350"/>
        </w:tabs>
        <w:rPr>
          <w:rFonts w:ascii="Cambria" w:hAnsi="Cambria"/>
          <w:noProof/>
          <w:sz w:val="20"/>
          <w:szCs w:val="20"/>
        </w:rPr>
      </w:pPr>
    </w:p>
    <w:p w:rsidR="00BC74F3" w:rsidRPr="00BC74F3" w:rsidRDefault="00BC74F3">
      <w:pPr>
        <w:pStyle w:val="TOC1"/>
        <w:tabs>
          <w:tab w:val="left" w:pos="489"/>
          <w:tab w:val="right" w:leader="dot" w:pos="9350"/>
        </w:tabs>
        <w:rPr>
          <w:rFonts w:ascii="Cambria" w:eastAsia="MS Mincho" w:hAnsi="Cambria"/>
          <w:noProof/>
          <w:sz w:val="20"/>
          <w:szCs w:val="20"/>
          <w:bdr w:val="none" w:sz="0" w:space="0" w:color="auto"/>
          <w:lang w:eastAsia="ja-JP"/>
        </w:rPr>
      </w:pPr>
      <w:r w:rsidRPr="00BC74F3">
        <w:rPr>
          <w:rFonts w:ascii="Cambria" w:hAnsi="Cambria"/>
          <w:noProof/>
          <w:sz w:val="20"/>
          <w:szCs w:val="20"/>
        </w:rPr>
        <w:t>VI.</w:t>
      </w:r>
      <w:r w:rsidRPr="00BC74F3">
        <w:rPr>
          <w:rFonts w:ascii="Cambria" w:eastAsia="MS Mincho" w:hAnsi="Cambria"/>
          <w:noProof/>
          <w:sz w:val="20"/>
          <w:szCs w:val="20"/>
          <w:bdr w:val="none" w:sz="0" w:space="0" w:color="auto"/>
          <w:lang w:eastAsia="ja-JP"/>
        </w:rPr>
        <w:tab/>
      </w:r>
      <w:r w:rsidRPr="00BC74F3">
        <w:rPr>
          <w:rFonts w:ascii="Cambria" w:hAnsi="Cambria"/>
          <w:noProof/>
          <w:sz w:val="20"/>
          <w:szCs w:val="20"/>
        </w:rPr>
        <w:t>CONCLUSIONS AND RECOMMENDATIONS</w:t>
      </w:r>
      <w:r w:rsidRPr="00BC74F3">
        <w:rPr>
          <w:rFonts w:ascii="Cambria" w:hAnsi="Cambria"/>
          <w:noProof/>
          <w:sz w:val="20"/>
          <w:szCs w:val="20"/>
        </w:rPr>
        <w:tab/>
      </w:r>
      <w:r w:rsidRPr="00BC74F3">
        <w:rPr>
          <w:rFonts w:ascii="Cambria" w:hAnsi="Cambria"/>
          <w:noProof/>
          <w:sz w:val="20"/>
          <w:szCs w:val="20"/>
        </w:rPr>
        <w:fldChar w:fldCharType="begin"/>
      </w:r>
      <w:r w:rsidRPr="00BC74F3">
        <w:rPr>
          <w:rFonts w:ascii="Cambria" w:hAnsi="Cambria"/>
          <w:noProof/>
          <w:sz w:val="20"/>
          <w:szCs w:val="20"/>
        </w:rPr>
        <w:instrText xml:space="preserve"> PAGEREF _Toc365193991 \h </w:instrText>
      </w:r>
      <w:r w:rsidRPr="00BC74F3">
        <w:rPr>
          <w:rFonts w:ascii="Cambria" w:hAnsi="Cambria"/>
          <w:noProof/>
          <w:sz w:val="20"/>
          <w:szCs w:val="20"/>
        </w:rPr>
      </w:r>
      <w:r w:rsidRPr="00BC74F3">
        <w:rPr>
          <w:rFonts w:ascii="Cambria" w:hAnsi="Cambria"/>
          <w:noProof/>
          <w:sz w:val="20"/>
          <w:szCs w:val="20"/>
        </w:rPr>
        <w:fldChar w:fldCharType="separate"/>
      </w:r>
      <w:r w:rsidRPr="00BC74F3">
        <w:rPr>
          <w:rFonts w:ascii="Cambria" w:hAnsi="Cambria"/>
          <w:noProof/>
          <w:sz w:val="20"/>
          <w:szCs w:val="20"/>
        </w:rPr>
        <w:t>17</w:t>
      </w:r>
      <w:r w:rsidRPr="00BC74F3">
        <w:rPr>
          <w:rFonts w:ascii="Cambria" w:hAnsi="Cambria"/>
          <w:noProof/>
          <w:sz w:val="20"/>
          <w:szCs w:val="20"/>
        </w:rPr>
        <w:fldChar w:fldCharType="end"/>
      </w:r>
    </w:p>
    <w:p w:rsidR="00BC74F3" w:rsidRPr="00BC74F3" w:rsidRDefault="00BC74F3" w:rsidP="00202702">
      <w:pPr>
        <w:jc w:val="center"/>
        <w:rPr>
          <w:rFonts w:ascii="Cambria" w:hAnsi="Cambria"/>
          <w:b/>
          <w:sz w:val="20"/>
          <w:szCs w:val="20"/>
        </w:rPr>
      </w:pPr>
      <w:r w:rsidRPr="00BC74F3">
        <w:rPr>
          <w:rFonts w:ascii="Cambria" w:hAnsi="Cambria"/>
          <w:b/>
          <w:sz w:val="20"/>
          <w:szCs w:val="20"/>
        </w:rPr>
        <w:fldChar w:fldCharType="end"/>
      </w:r>
    </w:p>
    <w:p w:rsidR="00730246" w:rsidRPr="00BC74F3" w:rsidRDefault="00730246" w:rsidP="00202702">
      <w:pPr>
        <w:jc w:val="center"/>
        <w:rPr>
          <w:rFonts w:ascii="Cambria" w:hAnsi="Cambria"/>
          <w:b/>
          <w:sz w:val="20"/>
          <w:szCs w:val="20"/>
        </w:rPr>
      </w:pPr>
    </w:p>
    <w:p w:rsidR="00730246" w:rsidRDefault="00730246" w:rsidP="00202702">
      <w:pPr>
        <w:jc w:val="center"/>
        <w:rPr>
          <w:rFonts w:ascii="Cambria" w:hAnsi="Cambria"/>
          <w:b/>
          <w:sz w:val="18"/>
          <w:szCs w:val="18"/>
        </w:rPr>
      </w:pPr>
    </w:p>
    <w:p w:rsidR="00730246" w:rsidRDefault="00730246" w:rsidP="00202702">
      <w:pPr>
        <w:jc w:val="center"/>
        <w:rPr>
          <w:rFonts w:ascii="Cambria" w:hAnsi="Cambria"/>
          <w:b/>
          <w:sz w:val="18"/>
          <w:szCs w:val="18"/>
        </w:rPr>
      </w:pPr>
    </w:p>
    <w:p w:rsidR="00520E1A" w:rsidRDefault="00520E1A" w:rsidP="00520E1A">
      <w:pPr>
        <w:jc w:val="center"/>
        <w:rPr>
          <w:rFonts w:ascii="Cambria" w:hAnsi="Cambria"/>
          <w:b/>
          <w:sz w:val="18"/>
          <w:szCs w:val="18"/>
        </w:rPr>
        <w:sectPr w:rsidR="00520E1A" w:rsidSect="009137C3">
          <w:headerReference w:type="even" r:id="rId15"/>
          <w:headerReference w:type="default" r:id="rId16"/>
          <w:footerReference w:type="default" r:id="rId17"/>
          <w:footerReference w:type="first" r:id="rId18"/>
          <w:pgSz w:w="12240" w:h="15840"/>
          <w:pgMar w:top="1440" w:right="1440" w:bottom="1440" w:left="1440" w:header="720" w:footer="720" w:gutter="0"/>
          <w:pgNumType w:start="1"/>
          <w:cols w:space="720"/>
          <w:docGrid w:linePitch="326"/>
        </w:sectPr>
      </w:pPr>
    </w:p>
    <w:p w:rsidR="00322654" w:rsidRPr="00983884" w:rsidRDefault="00322654" w:rsidP="00322654">
      <w:pPr>
        <w:jc w:val="center"/>
        <w:rPr>
          <w:rFonts w:ascii="Cambria" w:hAnsi="Cambria"/>
          <w:b/>
          <w:sz w:val="18"/>
          <w:szCs w:val="18"/>
        </w:rPr>
      </w:pPr>
      <w:r w:rsidRPr="00983884">
        <w:rPr>
          <w:rFonts w:ascii="Cambria" w:hAnsi="Cambria"/>
          <w:b/>
          <w:sz w:val="18"/>
          <w:szCs w:val="18"/>
        </w:rPr>
        <w:lastRenderedPageBreak/>
        <w:t xml:space="preserve">REPORT No. </w:t>
      </w:r>
      <w:r>
        <w:rPr>
          <w:rFonts w:ascii="Cambria" w:hAnsi="Cambria"/>
          <w:b/>
          <w:sz w:val="18"/>
          <w:szCs w:val="18"/>
        </w:rPr>
        <w:t>98</w:t>
      </w:r>
      <w:r w:rsidRPr="00983884">
        <w:rPr>
          <w:rFonts w:ascii="Cambria" w:hAnsi="Cambria"/>
          <w:b/>
          <w:sz w:val="18"/>
          <w:szCs w:val="18"/>
        </w:rPr>
        <w:t>/17</w:t>
      </w:r>
    </w:p>
    <w:p w:rsidR="00322654" w:rsidRPr="00983884" w:rsidRDefault="00322654" w:rsidP="00322654">
      <w:pPr>
        <w:tabs>
          <w:tab w:val="center" w:pos="5400"/>
        </w:tabs>
        <w:suppressAutoHyphens/>
        <w:spacing w:line="276" w:lineRule="auto"/>
        <w:jc w:val="center"/>
        <w:rPr>
          <w:rFonts w:ascii="Cambria" w:hAnsi="Cambria"/>
          <w:b/>
          <w:sz w:val="18"/>
          <w:szCs w:val="18"/>
        </w:rPr>
      </w:pPr>
      <w:r w:rsidRPr="00983884">
        <w:rPr>
          <w:rFonts w:ascii="Cambria" w:hAnsi="Cambria"/>
          <w:b/>
          <w:sz w:val="18"/>
          <w:szCs w:val="18"/>
        </w:rPr>
        <w:t>CASE 12.925</w:t>
      </w:r>
    </w:p>
    <w:p w:rsidR="00322654" w:rsidRPr="00983884" w:rsidRDefault="00322654" w:rsidP="00322654">
      <w:pPr>
        <w:tabs>
          <w:tab w:val="center" w:pos="5400"/>
        </w:tabs>
        <w:suppressAutoHyphens/>
        <w:spacing w:line="276" w:lineRule="auto"/>
        <w:jc w:val="center"/>
        <w:rPr>
          <w:rFonts w:ascii="Cambria" w:hAnsi="Cambria"/>
          <w:sz w:val="18"/>
          <w:szCs w:val="18"/>
        </w:rPr>
      </w:pPr>
      <w:r w:rsidRPr="00983884">
        <w:rPr>
          <w:rFonts w:ascii="Cambria" w:hAnsi="Cambria"/>
          <w:sz w:val="18"/>
          <w:szCs w:val="18"/>
        </w:rPr>
        <w:t>REPORT ON MERITS</w:t>
      </w:r>
    </w:p>
    <w:p w:rsidR="00322654" w:rsidRPr="000B7427" w:rsidRDefault="00322654" w:rsidP="00322654">
      <w:pPr>
        <w:tabs>
          <w:tab w:val="center" w:pos="5400"/>
        </w:tabs>
        <w:suppressAutoHyphens/>
        <w:spacing w:line="276" w:lineRule="auto"/>
        <w:jc w:val="center"/>
        <w:rPr>
          <w:rFonts w:ascii="Cambria" w:hAnsi="Cambria"/>
          <w:sz w:val="18"/>
          <w:szCs w:val="18"/>
          <w:lang w:val="pt-BR"/>
        </w:rPr>
      </w:pPr>
      <w:r w:rsidRPr="000B7427">
        <w:rPr>
          <w:rFonts w:ascii="Cambria" w:hAnsi="Cambria"/>
          <w:sz w:val="18"/>
          <w:szCs w:val="18"/>
          <w:lang w:val="pt-BR"/>
        </w:rPr>
        <w:t>OSCAR RAÚL GORIGOITIA</w:t>
      </w:r>
    </w:p>
    <w:p w:rsidR="00322654" w:rsidRPr="000B7427" w:rsidRDefault="00322654" w:rsidP="00322654">
      <w:pPr>
        <w:tabs>
          <w:tab w:val="center" w:pos="5400"/>
        </w:tabs>
        <w:suppressAutoHyphens/>
        <w:spacing w:line="276" w:lineRule="auto"/>
        <w:jc w:val="center"/>
        <w:rPr>
          <w:rFonts w:ascii="Cambria" w:hAnsi="Cambria"/>
          <w:sz w:val="18"/>
          <w:szCs w:val="18"/>
          <w:lang w:val="pt-BR"/>
        </w:rPr>
      </w:pPr>
      <w:r w:rsidRPr="000B7427">
        <w:rPr>
          <w:rFonts w:ascii="Cambria" w:hAnsi="Cambria"/>
          <w:sz w:val="18"/>
          <w:szCs w:val="18"/>
          <w:lang w:val="pt-BR"/>
        </w:rPr>
        <w:t>ARGENTINA</w:t>
      </w:r>
    </w:p>
    <w:p w:rsidR="00322654" w:rsidRPr="000B7427" w:rsidRDefault="00322654" w:rsidP="00322654">
      <w:pPr>
        <w:tabs>
          <w:tab w:val="center" w:pos="5400"/>
        </w:tabs>
        <w:suppressAutoHyphens/>
        <w:spacing w:line="276" w:lineRule="auto"/>
        <w:jc w:val="center"/>
        <w:rPr>
          <w:rFonts w:ascii="Cambria" w:hAnsi="Cambria"/>
          <w:sz w:val="18"/>
          <w:szCs w:val="18"/>
          <w:lang w:val="pt-BR"/>
        </w:rPr>
      </w:pPr>
      <w:r>
        <w:rPr>
          <w:rFonts w:ascii="Cambria" w:hAnsi="Cambria"/>
          <w:sz w:val="18"/>
          <w:szCs w:val="18"/>
          <w:lang w:val="pt-BR"/>
        </w:rPr>
        <w:t>SEPTEMBER 5, 2017</w:t>
      </w:r>
    </w:p>
    <w:p w:rsidR="00202702" w:rsidRPr="00983884" w:rsidRDefault="00202702" w:rsidP="00202702">
      <w:pPr>
        <w:tabs>
          <w:tab w:val="center" w:pos="5400"/>
        </w:tabs>
        <w:suppressAutoHyphens/>
        <w:jc w:val="both"/>
        <w:rPr>
          <w:rFonts w:ascii="Cambria" w:hAnsi="Cambria"/>
          <w:sz w:val="20"/>
          <w:szCs w:val="20"/>
        </w:rPr>
      </w:pPr>
      <w:bookmarkStart w:id="0" w:name="_GoBack"/>
      <w:bookmarkEnd w:id="0"/>
    </w:p>
    <w:p w:rsidR="00202702" w:rsidRPr="00983884" w:rsidRDefault="00202702" w:rsidP="00202702">
      <w:pPr>
        <w:tabs>
          <w:tab w:val="center" w:pos="5400"/>
        </w:tabs>
        <w:suppressAutoHyphens/>
        <w:jc w:val="both"/>
        <w:rPr>
          <w:rFonts w:ascii="Cambria" w:hAnsi="Cambria"/>
          <w:sz w:val="20"/>
          <w:szCs w:val="20"/>
        </w:rPr>
      </w:pPr>
    </w:p>
    <w:p w:rsidR="00202702" w:rsidRPr="00983884" w:rsidRDefault="00526768" w:rsidP="00202702">
      <w:pPr>
        <w:pStyle w:val="Heading1"/>
      </w:pPr>
      <w:bookmarkStart w:id="1" w:name="_Toc370830569"/>
      <w:bookmarkStart w:id="2" w:name="_Toc370831280"/>
      <w:bookmarkStart w:id="3" w:name="_Toc412635569"/>
      <w:bookmarkStart w:id="4" w:name="_Toc416685625"/>
      <w:bookmarkStart w:id="5" w:name="_Toc482278236"/>
      <w:bookmarkStart w:id="6" w:name="_Toc490826164"/>
      <w:bookmarkStart w:id="7" w:name="_Toc365193979"/>
      <w:r w:rsidRPr="00983884">
        <w:t>SUMMARY</w:t>
      </w:r>
      <w:bookmarkEnd w:id="1"/>
      <w:bookmarkEnd w:id="2"/>
      <w:bookmarkEnd w:id="3"/>
      <w:bookmarkEnd w:id="4"/>
      <w:bookmarkEnd w:id="5"/>
      <w:bookmarkEnd w:id="6"/>
      <w:bookmarkEnd w:id="7"/>
    </w:p>
    <w:p w:rsidR="00202702" w:rsidRPr="00983884" w:rsidRDefault="00202702" w:rsidP="00202702">
      <w:pPr>
        <w:ind w:firstLine="567"/>
        <w:jc w:val="both"/>
        <w:rPr>
          <w:rFonts w:ascii="Cambria" w:hAnsi="Cambria"/>
          <w:sz w:val="20"/>
          <w:szCs w:val="20"/>
        </w:rPr>
      </w:pPr>
    </w:p>
    <w:p w:rsidR="00202702" w:rsidRPr="00983884" w:rsidRDefault="00353C1E" w:rsidP="00202702">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bdr w:val="none" w:sz="0" w:space="0" w:color="auto"/>
          <w:lang w:val="en-US"/>
        </w:rPr>
      </w:pPr>
      <w:r w:rsidRPr="00983884">
        <w:rPr>
          <w:rFonts w:ascii="Cambria" w:hAnsi="Cambria"/>
          <w:sz w:val="20"/>
          <w:szCs w:val="20"/>
          <w:lang w:val="en-US"/>
        </w:rPr>
        <w:t>On January 1</w:t>
      </w:r>
      <w:r w:rsidR="00202702" w:rsidRPr="00983884">
        <w:rPr>
          <w:rFonts w:ascii="Cambria" w:hAnsi="Cambria"/>
          <w:sz w:val="20"/>
          <w:szCs w:val="20"/>
          <w:lang w:val="en-US"/>
        </w:rPr>
        <w:t>9</w:t>
      </w:r>
      <w:r w:rsidRPr="00983884">
        <w:rPr>
          <w:rFonts w:ascii="Cambria" w:hAnsi="Cambria"/>
          <w:sz w:val="20"/>
          <w:szCs w:val="20"/>
          <w:lang w:val="en-US"/>
        </w:rPr>
        <w:t>,</w:t>
      </w:r>
      <w:r w:rsidR="00202702" w:rsidRPr="00983884">
        <w:rPr>
          <w:rFonts w:ascii="Cambria" w:hAnsi="Cambria"/>
          <w:sz w:val="20"/>
          <w:szCs w:val="20"/>
          <w:lang w:val="en-US"/>
        </w:rPr>
        <w:t xml:space="preserve"> 1999</w:t>
      </w:r>
      <w:r w:rsidRPr="00983884">
        <w:rPr>
          <w:rFonts w:ascii="Cambria" w:hAnsi="Cambria"/>
          <w:sz w:val="20"/>
          <w:szCs w:val="20"/>
          <w:lang w:val="en-US"/>
        </w:rPr>
        <w:t xml:space="preserve">, the Inter-American Commission on Human Rights (hereinafter “the Commission,” “the Inter-American Commission,” or “the IACHR”) received a petition filed by </w:t>
      </w:r>
      <w:r w:rsidR="00202702" w:rsidRPr="00983884">
        <w:rPr>
          <w:rFonts w:ascii="Cambria" w:hAnsi="Cambria"/>
          <w:sz w:val="20"/>
          <w:szCs w:val="20"/>
          <w:lang w:val="en-US"/>
        </w:rPr>
        <w:t xml:space="preserve">Carlos Varela Álvarez </w:t>
      </w:r>
      <w:r w:rsidRPr="00983884">
        <w:rPr>
          <w:rFonts w:ascii="Cambria" w:hAnsi="Cambria"/>
          <w:sz w:val="20"/>
          <w:szCs w:val="20"/>
          <w:lang w:val="en-US"/>
        </w:rPr>
        <w:t>and</w:t>
      </w:r>
      <w:r w:rsidR="00202702" w:rsidRPr="00983884">
        <w:rPr>
          <w:rFonts w:ascii="Cambria" w:hAnsi="Cambria"/>
          <w:sz w:val="20"/>
          <w:szCs w:val="20"/>
          <w:lang w:val="en-US"/>
        </w:rPr>
        <w:t xml:space="preserve"> Alejandro Acosta (</w:t>
      </w:r>
      <w:r w:rsidRPr="00983884">
        <w:rPr>
          <w:rFonts w:ascii="Cambria" w:hAnsi="Cambria"/>
          <w:sz w:val="20"/>
          <w:szCs w:val="20"/>
          <w:lang w:val="en-US"/>
        </w:rPr>
        <w:t>hereinafter “the petitioner</w:t>
      </w:r>
      <w:r w:rsidR="00202702" w:rsidRPr="00983884">
        <w:rPr>
          <w:rFonts w:ascii="Cambria" w:hAnsi="Cambria"/>
          <w:sz w:val="20"/>
          <w:szCs w:val="20"/>
          <w:lang w:val="en-US"/>
        </w:rPr>
        <w:t xml:space="preserve">”) </w:t>
      </w:r>
      <w:r w:rsidRPr="00983884">
        <w:rPr>
          <w:rFonts w:ascii="Cambria" w:hAnsi="Cambria"/>
          <w:sz w:val="20"/>
          <w:szCs w:val="20"/>
          <w:lang w:val="en-US"/>
        </w:rPr>
        <w:t>alleging the responsibility of the Argentine Republic (hereinafter “</w:t>
      </w:r>
      <w:r w:rsidR="006A7766">
        <w:rPr>
          <w:rFonts w:ascii="Cambria" w:hAnsi="Cambria"/>
          <w:sz w:val="20"/>
          <w:szCs w:val="20"/>
          <w:lang w:val="en-US"/>
        </w:rPr>
        <w:t>State of Argentina</w:t>
      </w:r>
      <w:r w:rsidRPr="00983884">
        <w:rPr>
          <w:rFonts w:ascii="Cambria" w:hAnsi="Cambria"/>
          <w:sz w:val="20"/>
          <w:szCs w:val="20"/>
          <w:lang w:val="en-US"/>
        </w:rPr>
        <w:t>,” “Argentina,” or “the State”) for the absence of a</w:t>
      </w:r>
      <w:r w:rsidR="000D0B99">
        <w:rPr>
          <w:rFonts w:ascii="Cambria" w:hAnsi="Cambria"/>
          <w:sz w:val="20"/>
          <w:szCs w:val="20"/>
          <w:lang w:val="en-US"/>
        </w:rPr>
        <w:t>n ordinary</w:t>
      </w:r>
      <w:r w:rsidRPr="00983884">
        <w:rPr>
          <w:rFonts w:ascii="Cambria" w:hAnsi="Cambria"/>
          <w:sz w:val="20"/>
          <w:szCs w:val="20"/>
          <w:lang w:val="en-US"/>
        </w:rPr>
        <w:t xml:space="preserve"> appeal that would permit a comprehensive review of the conviction of </w:t>
      </w:r>
      <w:r w:rsidR="00202702" w:rsidRPr="00983884">
        <w:rPr>
          <w:rFonts w:ascii="Cambria" w:hAnsi="Cambria"/>
          <w:sz w:val="20"/>
          <w:szCs w:val="20"/>
          <w:lang w:val="en-US"/>
        </w:rPr>
        <w:t xml:space="preserve">Oscar Raúl Gorigoitia </w:t>
      </w:r>
      <w:r w:rsidRPr="00983884">
        <w:rPr>
          <w:rFonts w:ascii="Cambria" w:hAnsi="Cambria"/>
          <w:sz w:val="20"/>
          <w:szCs w:val="20"/>
          <w:lang w:val="en-US"/>
        </w:rPr>
        <w:t xml:space="preserve">in the framework of a criminal proceeding in the province of </w:t>
      </w:r>
      <w:r w:rsidR="00202702" w:rsidRPr="00983884">
        <w:rPr>
          <w:rFonts w:ascii="Cambria" w:hAnsi="Cambria"/>
          <w:sz w:val="20"/>
          <w:szCs w:val="20"/>
          <w:lang w:val="en-US"/>
        </w:rPr>
        <w:t>Mendoza, Argentina.</w:t>
      </w:r>
    </w:p>
    <w:p w:rsidR="00202702" w:rsidRPr="00983884" w:rsidRDefault="00202702" w:rsidP="00202702">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202702" w:rsidRPr="00983884" w:rsidRDefault="00353C1E" w:rsidP="00202702">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sidRPr="00983884">
        <w:rPr>
          <w:rFonts w:ascii="Cambria" w:hAnsi="Cambria"/>
          <w:sz w:val="20"/>
          <w:szCs w:val="20"/>
          <w:lang w:val="en-US"/>
        </w:rPr>
        <w:t>The State alleged that it does not bear any international responsibility because Mr. Gorigoitia</w:t>
      </w:r>
      <w:r w:rsidR="00C96FD1">
        <w:rPr>
          <w:rFonts w:ascii="Cambria" w:hAnsi="Cambria"/>
          <w:sz w:val="20"/>
          <w:szCs w:val="20"/>
          <w:lang w:val="en-US"/>
        </w:rPr>
        <w:t>’s conviction</w:t>
      </w:r>
      <w:r w:rsidRPr="00983884">
        <w:rPr>
          <w:rFonts w:ascii="Cambria" w:hAnsi="Cambria"/>
          <w:sz w:val="20"/>
          <w:szCs w:val="20"/>
          <w:lang w:val="en-US"/>
        </w:rPr>
        <w:t xml:space="preserve"> was carried out in line with the provisions of the domestic legal regulatory framework and international standards</w:t>
      </w:r>
      <w:r w:rsidR="00202702" w:rsidRPr="00983884">
        <w:rPr>
          <w:rFonts w:ascii="Cambria" w:hAnsi="Cambria"/>
          <w:sz w:val="20"/>
          <w:szCs w:val="20"/>
          <w:lang w:val="en-US"/>
        </w:rPr>
        <w:t xml:space="preserve">. </w:t>
      </w:r>
      <w:r w:rsidRPr="00983884">
        <w:rPr>
          <w:rFonts w:ascii="Cambria" w:hAnsi="Cambria"/>
          <w:sz w:val="20"/>
          <w:szCs w:val="20"/>
          <w:lang w:val="en-US"/>
        </w:rPr>
        <w:t>It contended that his right to defend himself was guaranteed and he was allowed to file appea</w:t>
      </w:r>
      <w:r w:rsidR="00C96FD1">
        <w:rPr>
          <w:rFonts w:ascii="Cambria" w:hAnsi="Cambria"/>
          <w:sz w:val="20"/>
          <w:szCs w:val="20"/>
          <w:lang w:val="en-US"/>
        </w:rPr>
        <w:t>l</w:t>
      </w:r>
      <w:r w:rsidRPr="00983884">
        <w:rPr>
          <w:rFonts w:ascii="Cambria" w:hAnsi="Cambria"/>
          <w:sz w:val="20"/>
          <w:szCs w:val="20"/>
          <w:lang w:val="en-US"/>
        </w:rPr>
        <w:t>s to challenge the conviction</w:t>
      </w:r>
      <w:r w:rsidR="00202702" w:rsidRPr="00983884">
        <w:rPr>
          <w:rFonts w:ascii="Cambria" w:hAnsi="Cambria"/>
          <w:sz w:val="20"/>
          <w:szCs w:val="20"/>
          <w:lang w:val="en-US"/>
        </w:rPr>
        <w:t xml:space="preserve">. </w:t>
      </w:r>
      <w:r w:rsidRPr="00983884">
        <w:rPr>
          <w:rFonts w:ascii="Cambria" w:hAnsi="Cambria"/>
          <w:sz w:val="20"/>
          <w:szCs w:val="20"/>
          <w:lang w:val="en-US"/>
        </w:rPr>
        <w:t>It explained that these appeals were rule</w:t>
      </w:r>
      <w:r w:rsidR="00C96FD1">
        <w:rPr>
          <w:rFonts w:ascii="Cambria" w:hAnsi="Cambria"/>
          <w:sz w:val="20"/>
          <w:szCs w:val="20"/>
          <w:lang w:val="en-US"/>
        </w:rPr>
        <w:t>d</w:t>
      </w:r>
      <w:r w:rsidRPr="00983884">
        <w:rPr>
          <w:rFonts w:ascii="Cambria" w:hAnsi="Cambria"/>
          <w:sz w:val="20"/>
          <w:szCs w:val="20"/>
          <w:lang w:val="en-US"/>
        </w:rPr>
        <w:t xml:space="preserve"> inadmissible because they did not meet the “required procedural formalities.”</w:t>
      </w:r>
    </w:p>
    <w:p w:rsidR="00202702" w:rsidRPr="00983884" w:rsidRDefault="00202702" w:rsidP="00202702">
      <w:pPr>
        <w:pStyle w:val="ColorfulList-Accent11"/>
        <w:rPr>
          <w:sz w:val="20"/>
          <w:szCs w:val="20"/>
        </w:rPr>
      </w:pPr>
    </w:p>
    <w:p w:rsidR="00202702" w:rsidRPr="00983884" w:rsidRDefault="00353C1E" w:rsidP="00202702">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429"/>
          <w:tab w:val="left" w:pos="1440"/>
        </w:tabs>
        <w:jc w:val="both"/>
        <w:rPr>
          <w:rFonts w:ascii="Cambria" w:hAnsi="Cambria" w:cs="Cambria"/>
          <w:color w:val="FF0000"/>
          <w:sz w:val="20"/>
          <w:szCs w:val="20"/>
        </w:rPr>
      </w:pPr>
      <w:r w:rsidRPr="00983884">
        <w:rPr>
          <w:rFonts w:ascii="Cambria" w:hAnsi="Cambria" w:cs="Cambria"/>
          <w:sz w:val="20"/>
          <w:szCs w:val="20"/>
        </w:rPr>
        <w:t xml:space="preserve">After reviewing the position of the parties, the Commission concluded that the </w:t>
      </w:r>
      <w:r w:rsidR="006A7766">
        <w:rPr>
          <w:rFonts w:ascii="Cambria" w:hAnsi="Cambria" w:cs="Cambria"/>
          <w:sz w:val="20"/>
          <w:szCs w:val="20"/>
        </w:rPr>
        <w:t>State of Argentina</w:t>
      </w:r>
      <w:r w:rsidRPr="00983884">
        <w:rPr>
          <w:rFonts w:ascii="Cambria" w:hAnsi="Cambria" w:cs="Cambria"/>
          <w:sz w:val="20"/>
          <w:szCs w:val="20"/>
        </w:rPr>
        <w:t xml:space="preserve"> is </w:t>
      </w:r>
      <w:r w:rsidR="0090024F" w:rsidRPr="00983884">
        <w:rPr>
          <w:rFonts w:ascii="Cambria" w:hAnsi="Cambria" w:cs="Cambria"/>
          <w:sz w:val="20"/>
          <w:szCs w:val="20"/>
        </w:rPr>
        <w:t>responsi</w:t>
      </w:r>
      <w:r w:rsidRPr="00983884">
        <w:rPr>
          <w:rFonts w:ascii="Cambria" w:hAnsi="Cambria" w:cs="Cambria"/>
          <w:sz w:val="20"/>
          <w:szCs w:val="20"/>
        </w:rPr>
        <w:t>ble for the violation of the rights to a fair trial and to judicial prote</w:t>
      </w:r>
      <w:r w:rsidR="0090024F" w:rsidRPr="00983884">
        <w:rPr>
          <w:rFonts w:ascii="Cambria" w:hAnsi="Cambria" w:cs="Cambria"/>
          <w:sz w:val="20"/>
          <w:szCs w:val="20"/>
        </w:rPr>
        <w:t>ction, as set for</w:t>
      </w:r>
      <w:r w:rsidRPr="00983884">
        <w:rPr>
          <w:rFonts w:ascii="Cambria" w:hAnsi="Cambria" w:cs="Cambria"/>
          <w:sz w:val="20"/>
          <w:szCs w:val="20"/>
        </w:rPr>
        <w:t xml:space="preserve">th in Articles </w:t>
      </w:r>
      <w:r w:rsidR="00202702" w:rsidRPr="00983884">
        <w:rPr>
          <w:rFonts w:ascii="Cambria" w:hAnsi="Cambria" w:cs="Cambria"/>
          <w:sz w:val="20"/>
          <w:szCs w:val="20"/>
        </w:rPr>
        <w:t xml:space="preserve">8.2 h) </w:t>
      </w:r>
      <w:r w:rsidRPr="00983884">
        <w:rPr>
          <w:rFonts w:ascii="Cambria" w:hAnsi="Cambria" w:cs="Cambria"/>
          <w:sz w:val="20"/>
          <w:szCs w:val="20"/>
        </w:rPr>
        <w:t>and</w:t>
      </w:r>
      <w:r w:rsidR="00202702" w:rsidRPr="00983884">
        <w:rPr>
          <w:rFonts w:ascii="Cambria" w:hAnsi="Cambria" w:cs="Cambria"/>
          <w:sz w:val="20"/>
          <w:szCs w:val="20"/>
        </w:rPr>
        <w:t xml:space="preserve"> 25.1 </w:t>
      </w:r>
      <w:r w:rsidRPr="00983884">
        <w:rPr>
          <w:rFonts w:ascii="Cambria" w:hAnsi="Cambria" w:cs="Cambria"/>
          <w:sz w:val="20"/>
          <w:szCs w:val="20"/>
        </w:rPr>
        <w:t xml:space="preserve">of the American Convention, in connection with the obligations </w:t>
      </w:r>
      <w:r w:rsidR="0090024F" w:rsidRPr="00983884">
        <w:rPr>
          <w:rFonts w:ascii="Cambria" w:hAnsi="Cambria" w:cs="Cambria"/>
          <w:sz w:val="20"/>
          <w:szCs w:val="20"/>
        </w:rPr>
        <w:t xml:space="preserve">established in Articles </w:t>
      </w:r>
      <w:r w:rsidR="00202702" w:rsidRPr="00983884">
        <w:rPr>
          <w:rFonts w:ascii="Cambria" w:hAnsi="Cambria" w:cs="Cambria"/>
          <w:sz w:val="20"/>
          <w:szCs w:val="20"/>
        </w:rPr>
        <w:t xml:space="preserve">1.1 </w:t>
      </w:r>
      <w:r w:rsidR="0090024F" w:rsidRPr="00983884">
        <w:rPr>
          <w:rFonts w:ascii="Cambria" w:hAnsi="Cambria" w:cs="Cambria"/>
          <w:sz w:val="20"/>
          <w:szCs w:val="20"/>
        </w:rPr>
        <w:t>and</w:t>
      </w:r>
      <w:r w:rsidR="00202702" w:rsidRPr="00983884">
        <w:rPr>
          <w:rFonts w:ascii="Cambria" w:hAnsi="Cambria" w:cs="Cambria"/>
          <w:sz w:val="20"/>
          <w:szCs w:val="20"/>
        </w:rPr>
        <w:t xml:space="preserve"> 2 </w:t>
      </w:r>
      <w:r w:rsidR="0090024F" w:rsidRPr="00983884">
        <w:rPr>
          <w:rFonts w:ascii="Cambria" w:hAnsi="Cambria" w:cs="Cambria"/>
          <w:sz w:val="20"/>
          <w:szCs w:val="20"/>
        </w:rPr>
        <w:t>thereof, to the detriment of</w:t>
      </w:r>
      <w:r w:rsidR="00202702" w:rsidRPr="00983884">
        <w:rPr>
          <w:rFonts w:ascii="Cambria" w:hAnsi="Cambria" w:cs="Cambria"/>
          <w:sz w:val="20"/>
          <w:szCs w:val="20"/>
        </w:rPr>
        <w:t xml:space="preserve"> </w:t>
      </w:r>
      <w:r w:rsidR="00202702" w:rsidRPr="00983884">
        <w:rPr>
          <w:rFonts w:ascii="Cambria" w:hAnsi="Cambria"/>
          <w:sz w:val="20"/>
          <w:szCs w:val="20"/>
        </w:rPr>
        <w:t>Oscar Raúl Gorigoitia</w:t>
      </w:r>
      <w:r w:rsidR="00202702" w:rsidRPr="00983884">
        <w:rPr>
          <w:rFonts w:ascii="Cambria" w:hAnsi="Cambria" w:cs="Cambria"/>
          <w:sz w:val="20"/>
          <w:szCs w:val="20"/>
        </w:rPr>
        <w:t xml:space="preserve">. </w:t>
      </w:r>
      <w:r w:rsidR="0090024F" w:rsidRPr="00983884">
        <w:rPr>
          <w:rFonts w:ascii="Cambria" w:hAnsi="Cambria" w:cs="Cambria"/>
          <w:sz w:val="20"/>
          <w:szCs w:val="20"/>
        </w:rPr>
        <w:t>The Commission made the corresponding recommendations</w:t>
      </w:r>
      <w:r w:rsidR="00202702" w:rsidRPr="00983884">
        <w:rPr>
          <w:rFonts w:ascii="Cambria" w:hAnsi="Cambria" w:cs="Cambria"/>
          <w:color w:val="000000"/>
          <w:sz w:val="20"/>
          <w:szCs w:val="20"/>
        </w:rPr>
        <w:t>.</w:t>
      </w:r>
      <w:r w:rsidR="00202702" w:rsidRPr="00983884">
        <w:rPr>
          <w:rFonts w:ascii="Cambria" w:hAnsi="Cambria" w:cs="Cambria"/>
          <w:color w:val="FF0000"/>
          <w:sz w:val="20"/>
          <w:szCs w:val="20"/>
        </w:rPr>
        <w:t xml:space="preserve"> </w:t>
      </w:r>
    </w:p>
    <w:p w:rsidR="00202702" w:rsidRPr="00983884" w:rsidRDefault="00202702" w:rsidP="00202702">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202702" w:rsidRPr="00983884" w:rsidRDefault="00526768" w:rsidP="00202702">
      <w:pPr>
        <w:pStyle w:val="Heading1"/>
      </w:pPr>
      <w:bookmarkStart w:id="8" w:name="_Toc370830570"/>
      <w:bookmarkStart w:id="9" w:name="_Toc370831281"/>
      <w:bookmarkStart w:id="10" w:name="_Toc412635570"/>
      <w:bookmarkStart w:id="11" w:name="_Toc416685626"/>
      <w:bookmarkStart w:id="12" w:name="_Toc482278237"/>
      <w:bookmarkStart w:id="13" w:name="_Toc490826165"/>
      <w:bookmarkStart w:id="14" w:name="_Toc365193980"/>
      <w:r w:rsidRPr="00983884">
        <w:t>PROCEDURES BEFORE THE COMMISSION</w:t>
      </w:r>
      <w:bookmarkEnd w:id="8"/>
      <w:bookmarkEnd w:id="9"/>
      <w:bookmarkEnd w:id="10"/>
      <w:bookmarkEnd w:id="11"/>
      <w:bookmarkEnd w:id="12"/>
      <w:bookmarkEnd w:id="13"/>
      <w:bookmarkEnd w:id="14"/>
      <w:r w:rsidR="00202702" w:rsidRPr="00983884">
        <w:t xml:space="preserve"> </w:t>
      </w:r>
    </w:p>
    <w:p w:rsidR="00202702" w:rsidRPr="00983884" w:rsidRDefault="00202702" w:rsidP="0020270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983884">
        <w:rPr>
          <w:rFonts w:ascii="Cambria" w:hAnsi="Cambria"/>
          <w:sz w:val="20"/>
          <w:szCs w:val="20"/>
        </w:rPr>
        <w:t xml:space="preserve"> </w:t>
      </w:r>
    </w:p>
    <w:p w:rsidR="00202702" w:rsidRPr="00983884" w:rsidRDefault="00C96FD1" w:rsidP="00202702">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Pr>
          <w:rFonts w:ascii="Cambria" w:hAnsi="Cambria"/>
          <w:sz w:val="20"/>
          <w:szCs w:val="20"/>
          <w:lang w:val="en-US"/>
        </w:rPr>
        <w:t>The IACHR received the initial petition o</w:t>
      </w:r>
      <w:r w:rsidR="0090024F" w:rsidRPr="00983884">
        <w:rPr>
          <w:rFonts w:ascii="Cambria" w:hAnsi="Cambria"/>
          <w:sz w:val="20"/>
          <w:szCs w:val="20"/>
          <w:lang w:val="en-US"/>
        </w:rPr>
        <w:t>n January</w:t>
      </w:r>
      <w:r w:rsidR="00202702" w:rsidRPr="00983884">
        <w:rPr>
          <w:rFonts w:ascii="Cambria" w:hAnsi="Cambria"/>
          <w:sz w:val="20"/>
          <w:szCs w:val="20"/>
          <w:lang w:val="en-US"/>
        </w:rPr>
        <w:t xml:space="preserve"> 19</w:t>
      </w:r>
      <w:r w:rsidR="0090024F" w:rsidRPr="00983884">
        <w:rPr>
          <w:rFonts w:ascii="Cambria" w:hAnsi="Cambria"/>
          <w:sz w:val="20"/>
          <w:szCs w:val="20"/>
          <w:lang w:val="en-US"/>
        </w:rPr>
        <w:t>,</w:t>
      </w:r>
      <w:r w:rsidR="00202702" w:rsidRPr="00983884">
        <w:rPr>
          <w:rFonts w:ascii="Cambria" w:hAnsi="Cambria"/>
          <w:sz w:val="20"/>
          <w:szCs w:val="20"/>
          <w:lang w:val="en-US"/>
        </w:rPr>
        <w:t xml:space="preserve"> 1999</w:t>
      </w:r>
      <w:r w:rsidR="0090024F" w:rsidRPr="00983884">
        <w:rPr>
          <w:rFonts w:ascii="Cambria" w:hAnsi="Cambria"/>
          <w:sz w:val="20"/>
          <w:szCs w:val="20"/>
          <w:lang w:val="en-US"/>
        </w:rPr>
        <w:t>. The proceeding</w:t>
      </w:r>
      <w:r w:rsidR="003568FC">
        <w:rPr>
          <w:rFonts w:ascii="Cambria" w:hAnsi="Cambria"/>
          <w:sz w:val="20"/>
          <w:szCs w:val="20"/>
          <w:lang w:val="en-US"/>
        </w:rPr>
        <w:t>s</w:t>
      </w:r>
      <w:r w:rsidR="0090024F" w:rsidRPr="00983884">
        <w:rPr>
          <w:rFonts w:ascii="Cambria" w:hAnsi="Cambria"/>
          <w:sz w:val="20"/>
          <w:szCs w:val="20"/>
          <w:lang w:val="en-US"/>
        </w:rPr>
        <w:t xml:space="preserve">, from submittal of the petition up to the </w:t>
      </w:r>
      <w:r>
        <w:rPr>
          <w:rFonts w:ascii="Cambria" w:hAnsi="Cambria"/>
          <w:sz w:val="20"/>
          <w:szCs w:val="20"/>
          <w:lang w:val="en-US"/>
        </w:rPr>
        <w:t>ruling</w:t>
      </w:r>
      <w:r w:rsidR="0090024F" w:rsidRPr="00983884">
        <w:rPr>
          <w:rFonts w:ascii="Cambria" w:hAnsi="Cambria"/>
          <w:sz w:val="20"/>
          <w:szCs w:val="20"/>
          <w:lang w:val="en-US"/>
        </w:rPr>
        <w:t xml:space="preserve"> on the case’s admissibility, are explained in detail in Admissibility Report 35/13, adopted</w:t>
      </w:r>
      <w:r w:rsidR="003568FC">
        <w:rPr>
          <w:rFonts w:ascii="Cambria" w:hAnsi="Cambria"/>
          <w:sz w:val="20"/>
          <w:szCs w:val="20"/>
          <w:lang w:val="en-US"/>
        </w:rPr>
        <w:t xml:space="preserve"> </w:t>
      </w:r>
      <w:r w:rsidR="0090024F" w:rsidRPr="00983884">
        <w:rPr>
          <w:rFonts w:ascii="Cambria" w:hAnsi="Cambria"/>
          <w:sz w:val="20"/>
          <w:szCs w:val="20"/>
          <w:lang w:val="en-US"/>
        </w:rPr>
        <w:t>on July 11,</w:t>
      </w:r>
      <w:r w:rsidR="00202702" w:rsidRPr="00983884">
        <w:rPr>
          <w:rFonts w:ascii="Cambria" w:hAnsi="Cambria"/>
          <w:sz w:val="20"/>
          <w:szCs w:val="20"/>
          <w:lang w:val="en-US"/>
        </w:rPr>
        <w:t xml:space="preserve"> 2013</w:t>
      </w:r>
      <w:r w:rsidR="0090024F" w:rsidRPr="00983884">
        <w:rPr>
          <w:rFonts w:ascii="Cambria" w:hAnsi="Cambria"/>
          <w:sz w:val="20"/>
          <w:szCs w:val="20"/>
          <w:lang w:val="en-US"/>
        </w:rPr>
        <w:t>.</w:t>
      </w:r>
      <w:r w:rsidR="00202702" w:rsidRPr="00983884">
        <w:rPr>
          <w:rStyle w:val="FootnoteReference"/>
          <w:rFonts w:ascii="Cambria" w:eastAsia="Trebuchet MS" w:hAnsi="Cambria"/>
          <w:sz w:val="20"/>
          <w:szCs w:val="20"/>
          <w:lang w:val="en-US"/>
        </w:rPr>
        <w:footnoteReference w:id="2"/>
      </w:r>
    </w:p>
    <w:p w:rsidR="00202702" w:rsidRPr="00983884" w:rsidRDefault="00202702" w:rsidP="00202702">
      <w:pPr>
        <w:jc w:val="both"/>
        <w:rPr>
          <w:rFonts w:ascii="Cambria" w:hAnsi="Cambria"/>
          <w:sz w:val="20"/>
          <w:szCs w:val="20"/>
        </w:rPr>
      </w:pPr>
    </w:p>
    <w:p w:rsidR="00202702" w:rsidRPr="00983884" w:rsidRDefault="0090024F" w:rsidP="00202702">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983884">
        <w:rPr>
          <w:rFonts w:ascii="Cambria" w:hAnsi="Cambria"/>
          <w:sz w:val="20"/>
          <w:szCs w:val="20"/>
        </w:rPr>
        <w:t xml:space="preserve">On September 6, </w:t>
      </w:r>
      <w:r w:rsidR="00202702" w:rsidRPr="00983884">
        <w:rPr>
          <w:rFonts w:ascii="Cambria" w:hAnsi="Cambria"/>
          <w:sz w:val="20"/>
          <w:szCs w:val="20"/>
        </w:rPr>
        <w:t>2013</w:t>
      </w:r>
      <w:r w:rsidRPr="00983884">
        <w:rPr>
          <w:rFonts w:ascii="Cambria" w:hAnsi="Cambria"/>
          <w:sz w:val="20"/>
          <w:szCs w:val="20"/>
        </w:rPr>
        <w:t>, the Commission notified said report to the parties and indicated its availability to reach a friendly settlement.  On August 2,</w:t>
      </w:r>
      <w:r w:rsidR="00202702" w:rsidRPr="00983884">
        <w:rPr>
          <w:rFonts w:ascii="Cambria" w:hAnsi="Cambria"/>
          <w:sz w:val="20"/>
          <w:szCs w:val="20"/>
        </w:rPr>
        <w:t xml:space="preserve"> 2016</w:t>
      </w:r>
      <w:r w:rsidRPr="00983884">
        <w:rPr>
          <w:rFonts w:ascii="Cambria" w:hAnsi="Cambria"/>
          <w:sz w:val="20"/>
          <w:szCs w:val="20"/>
        </w:rPr>
        <w:t xml:space="preserve">, the petitioner submitted its observations on the merits. On August </w:t>
      </w:r>
      <w:r w:rsidR="00202702" w:rsidRPr="00983884">
        <w:rPr>
          <w:rFonts w:ascii="Cambria" w:hAnsi="Cambria"/>
          <w:sz w:val="20"/>
          <w:szCs w:val="20"/>
        </w:rPr>
        <w:t>10</w:t>
      </w:r>
      <w:r w:rsidRPr="00983884">
        <w:rPr>
          <w:rFonts w:ascii="Cambria" w:hAnsi="Cambria"/>
          <w:sz w:val="20"/>
          <w:szCs w:val="20"/>
        </w:rPr>
        <w:t>,</w:t>
      </w:r>
      <w:r w:rsidR="00202702" w:rsidRPr="00983884">
        <w:rPr>
          <w:rFonts w:ascii="Cambria" w:hAnsi="Cambria"/>
          <w:sz w:val="20"/>
          <w:szCs w:val="20"/>
        </w:rPr>
        <w:t xml:space="preserve"> 2016</w:t>
      </w:r>
      <w:r w:rsidRPr="00983884">
        <w:rPr>
          <w:rFonts w:ascii="Cambria" w:hAnsi="Cambria"/>
          <w:sz w:val="20"/>
          <w:szCs w:val="20"/>
        </w:rPr>
        <w:t xml:space="preserve">, the IACHR forwarded the observations to the State and granted it a </w:t>
      </w:r>
      <w:r w:rsidR="003568FC">
        <w:rPr>
          <w:rFonts w:ascii="Cambria" w:hAnsi="Cambria"/>
          <w:sz w:val="20"/>
          <w:szCs w:val="20"/>
        </w:rPr>
        <w:t>statutory deadline</w:t>
      </w:r>
      <w:r w:rsidRPr="00983884">
        <w:rPr>
          <w:rFonts w:ascii="Cambria" w:hAnsi="Cambria"/>
          <w:sz w:val="20"/>
          <w:szCs w:val="20"/>
        </w:rPr>
        <w:t xml:space="preserve"> of four months to submit its observations</w:t>
      </w:r>
      <w:r w:rsidR="00202702" w:rsidRPr="00983884">
        <w:rPr>
          <w:rFonts w:ascii="Cambria" w:hAnsi="Cambria"/>
          <w:sz w:val="20"/>
          <w:szCs w:val="20"/>
        </w:rPr>
        <w:t xml:space="preserve">. </w:t>
      </w:r>
      <w:r w:rsidRPr="00983884">
        <w:rPr>
          <w:rFonts w:ascii="Cambria" w:hAnsi="Cambria"/>
          <w:sz w:val="20"/>
          <w:szCs w:val="20"/>
        </w:rPr>
        <w:t>On December</w:t>
      </w:r>
      <w:r w:rsidR="00202702" w:rsidRPr="00983884">
        <w:rPr>
          <w:rFonts w:ascii="Cambria" w:hAnsi="Cambria"/>
          <w:sz w:val="20"/>
          <w:szCs w:val="20"/>
        </w:rPr>
        <w:t xml:space="preserve"> 16</w:t>
      </w:r>
      <w:r w:rsidRPr="00983884">
        <w:rPr>
          <w:rFonts w:ascii="Cambria" w:hAnsi="Cambria"/>
          <w:sz w:val="20"/>
          <w:szCs w:val="20"/>
        </w:rPr>
        <w:t xml:space="preserve">, </w:t>
      </w:r>
      <w:r w:rsidR="00202702" w:rsidRPr="00983884">
        <w:rPr>
          <w:rFonts w:ascii="Cambria" w:hAnsi="Cambria"/>
          <w:sz w:val="20"/>
          <w:szCs w:val="20"/>
        </w:rPr>
        <w:t>2016</w:t>
      </w:r>
      <w:r w:rsidRPr="00983884">
        <w:rPr>
          <w:rFonts w:ascii="Cambria" w:hAnsi="Cambria"/>
          <w:sz w:val="20"/>
          <w:szCs w:val="20"/>
        </w:rPr>
        <w:t>, the State requested the Commission a first extension of the deadline for submitting its observations</w:t>
      </w:r>
      <w:r w:rsidR="00202702" w:rsidRPr="00983884">
        <w:rPr>
          <w:rFonts w:ascii="Cambria" w:hAnsi="Cambria"/>
          <w:sz w:val="20"/>
          <w:szCs w:val="20"/>
        </w:rPr>
        <w:t xml:space="preserve">, </w:t>
      </w:r>
      <w:r w:rsidRPr="00983884">
        <w:rPr>
          <w:rFonts w:ascii="Cambria" w:hAnsi="Cambria"/>
          <w:sz w:val="20"/>
          <w:szCs w:val="20"/>
        </w:rPr>
        <w:t>which was granted on December</w:t>
      </w:r>
      <w:r w:rsidR="00202702" w:rsidRPr="00983884">
        <w:rPr>
          <w:rFonts w:ascii="Cambria" w:hAnsi="Cambria"/>
          <w:sz w:val="20"/>
          <w:szCs w:val="20"/>
        </w:rPr>
        <w:t xml:space="preserve"> 21</w:t>
      </w:r>
      <w:r w:rsidRPr="00983884">
        <w:rPr>
          <w:rFonts w:ascii="Cambria" w:hAnsi="Cambria"/>
          <w:sz w:val="20"/>
          <w:szCs w:val="20"/>
        </w:rPr>
        <w:t>, 2016. On February</w:t>
      </w:r>
      <w:r w:rsidR="00202702" w:rsidRPr="00983884">
        <w:rPr>
          <w:rFonts w:ascii="Cambria" w:hAnsi="Cambria"/>
          <w:sz w:val="20"/>
          <w:szCs w:val="20"/>
        </w:rPr>
        <w:t xml:space="preserve"> 17</w:t>
      </w:r>
      <w:r w:rsidRPr="00983884">
        <w:rPr>
          <w:rFonts w:ascii="Cambria" w:hAnsi="Cambria"/>
          <w:sz w:val="20"/>
          <w:szCs w:val="20"/>
        </w:rPr>
        <w:t>,</w:t>
      </w:r>
      <w:r w:rsidR="00202702" w:rsidRPr="00983884">
        <w:rPr>
          <w:rFonts w:ascii="Cambria" w:hAnsi="Cambria"/>
          <w:sz w:val="20"/>
          <w:szCs w:val="20"/>
        </w:rPr>
        <w:t xml:space="preserve"> 2017 Argentina </w:t>
      </w:r>
      <w:r w:rsidRPr="00983884">
        <w:rPr>
          <w:rFonts w:ascii="Cambria" w:hAnsi="Cambria"/>
          <w:sz w:val="20"/>
          <w:szCs w:val="20"/>
        </w:rPr>
        <w:t xml:space="preserve">requested the IACHR to grant a second extension, which was turned down on February 21, 2017, in keeping with the provisions of Article </w:t>
      </w:r>
      <w:r w:rsidR="00202702" w:rsidRPr="00983884">
        <w:rPr>
          <w:rFonts w:ascii="Cambria" w:hAnsi="Cambria"/>
          <w:sz w:val="20"/>
          <w:szCs w:val="20"/>
        </w:rPr>
        <w:t xml:space="preserve">37.2 </w:t>
      </w:r>
      <w:r w:rsidRPr="00983884">
        <w:rPr>
          <w:rFonts w:ascii="Cambria" w:hAnsi="Cambria"/>
          <w:sz w:val="20"/>
          <w:szCs w:val="20"/>
        </w:rPr>
        <w:t>of IACHR’s Rules of Procedure. At the time of the adoption of the present report, the State had not submitted its observations on the merits of the case</w:t>
      </w:r>
    </w:p>
    <w:p w:rsidR="00202702" w:rsidRPr="00983884" w:rsidRDefault="00202702" w:rsidP="00202702">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202702" w:rsidRPr="00983884" w:rsidRDefault="00202702" w:rsidP="00202702">
      <w:pPr>
        <w:pStyle w:val="Heading1"/>
      </w:pPr>
      <w:bookmarkStart w:id="15" w:name="_Toc412635571"/>
      <w:bookmarkStart w:id="16" w:name="_Toc416685627"/>
      <w:bookmarkStart w:id="17" w:name="_Toc482278238"/>
      <w:bookmarkStart w:id="18" w:name="_Toc490826166"/>
      <w:bookmarkStart w:id="19" w:name="_Toc365193981"/>
      <w:r w:rsidRPr="00983884">
        <w:t>AL</w:t>
      </w:r>
      <w:r w:rsidR="0090024F" w:rsidRPr="00983884">
        <w:t>LEGATIONS OF THE PARTIES</w:t>
      </w:r>
      <w:bookmarkEnd w:id="15"/>
      <w:bookmarkEnd w:id="16"/>
      <w:bookmarkEnd w:id="17"/>
      <w:bookmarkEnd w:id="18"/>
      <w:bookmarkEnd w:id="19"/>
    </w:p>
    <w:p w:rsidR="00202702" w:rsidRPr="00983884" w:rsidRDefault="00202702" w:rsidP="00202702">
      <w:pPr>
        <w:ind w:firstLine="567"/>
        <w:jc w:val="both"/>
        <w:rPr>
          <w:rFonts w:ascii="Cambria" w:hAnsi="Cambria"/>
          <w:sz w:val="20"/>
          <w:szCs w:val="20"/>
        </w:rPr>
      </w:pPr>
    </w:p>
    <w:p w:rsidR="00202702" w:rsidRPr="00983884" w:rsidRDefault="00202702" w:rsidP="00202702">
      <w:pPr>
        <w:pStyle w:val="Heading2"/>
        <w:rPr>
          <w:lang w:val="en-US"/>
        </w:rPr>
      </w:pPr>
      <w:bookmarkStart w:id="20" w:name="_Toc370831283"/>
      <w:bookmarkStart w:id="21" w:name="_Toc412635572"/>
      <w:bookmarkStart w:id="22" w:name="_Toc416685628"/>
      <w:bookmarkStart w:id="23" w:name="_Toc482278239"/>
      <w:bookmarkStart w:id="24" w:name="_Toc490826167"/>
      <w:bookmarkStart w:id="25" w:name="_Toc365193982"/>
      <w:r w:rsidRPr="00983884">
        <w:rPr>
          <w:lang w:val="en-US"/>
        </w:rPr>
        <w:t>A</w:t>
      </w:r>
      <w:r w:rsidR="0090024F" w:rsidRPr="00983884">
        <w:rPr>
          <w:lang w:val="en-US"/>
        </w:rPr>
        <w:t>llegations of the petitioner</w:t>
      </w:r>
      <w:bookmarkEnd w:id="20"/>
      <w:bookmarkEnd w:id="21"/>
      <w:bookmarkEnd w:id="22"/>
      <w:bookmarkEnd w:id="23"/>
      <w:bookmarkEnd w:id="24"/>
      <w:bookmarkEnd w:id="25"/>
    </w:p>
    <w:p w:rsidR="00202702" w:rsidRPr="00983884" w:rsidRDefault="00202702" w:rsidP="00202702">
      <w:pPr>
        <w:pStyle w:val="MediumList2-Accent41"/>
        <w:ind w:left="1440"/>
        <w:jc w:val="both"/>
        <w:rPr>
          <w:sz w:val="20"/>
          <w:szCs w:val="20"/>
        </w:rPr>
      </w:pPr>
    </w:p>
    <w:p w:rsidR="00202702" w:rsidRPr="00983884" w:rsidRDefault="0090024F" w:rsidP="00202702">
      <w:pPr>
        <w:pStyle w:val="BodyTextInden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n-US"/>
        </w:rPr>
      </w:pPr>
      <w:r w:rsidRPr="00983884">
        <w:rPr>
          <w:rFonts w:ascii="Cambria" w:hAnsi="Cambria"/>
          <w:sz w:val="20"/>
          <w:szCs w:val="20"/>
          <w:lang w:val="en-US"/>
        </w:rPr>
        <w:t xml:space="preserve">The petitioner alleged that the State was responsible for violating the right of </w:t>
      </w:r>
      <w:r w:rsidR="00202702" w:rsidRPr="00983884">
        <w:rPr>
          <w:rFonts w:ascii="Cambria" w:hAnsi="Cambria"/>
          <w:sz w:val="20"/>
          <w:szCs w:val="20"/>
          <w:lang w:val="en-US"/>
        </w:rPr>
        <w:t xml:space="preserve">Oscar Raúl Gorigoitia </w:t>
      </w:r>
      <w:r w:rsidRPr="00983884">
        <w:rPr>
          <w:rFonts w:ascii="Cambria" w:hAnsi="Cambria"/>
          <w:sz w:val="20"/>
          <w:szCs w:val="20"/>
          <w:lang w:val="en-US"/>
        </w:rPr>
        <w:t xml:space="preserve">to appeal the </w:t>
      </w:r>
      <w:r w:rsidR="00252BA7" w:rsidRPr="00983884">
        <w:rPr>
          <w:rFonts w:ascii="Cambria" w:hAnsi="Cambria"/>
          <w:sz w:val="20"/>
          <w:szCs w:val="20"/>
          <w:lang w:val="en-US"/>
        </w:rPr>
        <w:t xml:space="preserve">guilty verdict that convicted him in 1997 for the crime of </w:t>
      </w:r>
      <w:r w:rsidR="003568FC">
        <w:rPr>
          <w:rFonts w:ascii="Cambria" w:hAnsi="Cambria"/>
          <w:sz w:val="20"/>
          <w:szCs w:val="20"/>
          <w:lang w:val="en-US"/>
        </w:rPr>
        <w:t>manslaughter</w:t>
      </w:r>
      <w:r w:rsidR="00202702" w:rsidRPr="00983884">
        <w:rPr>
          <w:rFonts w:ascii="Cambria" w:hAnsi="Cambria"/>
          <w:sz w:val="20"/>
          <w:szCs w:val="20"/>
          <w:lang w:val="en-US"/>
        </w:rPr>
        <w:t xml:space="preserve">. </w:t>
      </w:r>
      <w:r w:rsidR="00252BA7" w:rsidRPr="00983884">
        <w:rPr>
          <w:rFonts w:ascii="Cambria" w:hAnsi="Cambria"/>
          <w:sz w:val="20"/>
          <w:szCs w:val="20"/>
          <w:lang w:val="en-US"/>
        </w:rPr>
        <w:t xml:space="preserve">It reported that Mr. </w:t>
      </w:r>
      <w:r w:rsidR="00202702" w:rsidRPr="00983884">
        <w:rPr>
          <w:rFonts w:ascii="Cambria" w:hAnsi="Cambria"/>
          <w:sz w:val="20"/>
          <w:szCs w:val="20"/>
          <w:lang w:val="en-US"/>
        </w:rPr>
        <w:t xml:space="preserve">Gorigoitia </w:t>
      </w:r>
      <w:r w:rsidR="00252BA7" w:rsidRPr="00983884">
        <w:rPr>
          <w:rFonts w:ascii="Cambria" w:hAnsi="Cambria"/>
          <w:sz w:val="20"/>
          <w:szCs w:val="20"/>
          <w:lang w:val="en-US"/>
        </w:rPr>
        <w:t>was</w:t>
      </w:r>
      <w:r w:rsidR="00202702" w:rsidRPr="00983884">
        <w:rPr>
          <w:rFonts w:ascii="Cambria" w:hAnsi="Cambria"/>
          <w:sz w:val="20"/>
          <w:szCs w:val="20"/>
          <w:lang w:val="en-US"/>
        </w:rPr>
        <w:t xml:space="preserve"> </w:t>
      </w:r>
      <w:r w:rsidR="00DF49C8">
        <w:rPr>
          <w:rFonts w:ascii="Cambria" w:hAnsi="Cambria"/>
          <w:sz w:val="20"/>
          <w:szCs w:val="20"/>
          <w:lang w:val="en-US"/>
        </w:rPr>
        <w:t>Staff</w:t>
      </w:r>
      <w:r w:rsidR="00252BA7" w:rsidRPr="00983884">
        <w:rPr>
          <w:rFonts w:ascii="Cambria" w:hAnsi="Cambria"/>
          <w:sz w:val="20"/>
          <w:szCs w:val="20"/>
          <w:lang w:val="en-US"/>
        </w:rPr>
        <w:t xml:space="preserve"> Sergeant of the Police Force of Mendoza and that, during a police chase after an unidentified motor vehicle</w:t>
      </w:r>
      <w:r w:rsidR="00202702" w:rsidRPr="00983884">
        <w:rPr>
          <w:rFonts w:ascii="Cambria" w:hAnsi="Cambria"/>
          <w:sz w:val="20"/>
          <w:szCs w:val="20"/>
          <w:lang w:val="en-US"/>
        </w:rPr>
        <w:t xml:space="preserve">, </w:t>
      </w:r>
      <w:r w:rsidR="00252BA7" w:rsidRPr="00983884">
        <w:rPr>
          <w:rFonts w:ascii="Cambria" w:hAnsi="Cambria"/>
          <w:sz w:val="20"/>
          <w:szCs w:val="20"/>
          <w:lang w:val="en-US"/>
        </w:rPr>
        <w:t>the driver of said vehicle died as a result of shots fired from a firearm.  The details of the incidents and the domestic proceedings shall be referred to in the section of Determination of Facts, on the basis of information provided by both parties</w:t>
      </w:r>
      <w:r w:rsidR="00202702" w:rsidRPr="00983884">
        <w:rPr>
          <w:rFonts w:ascii="Cambria" w:hAnsi="Cambria"/>
          <w:sz w:val="20"/>
          <w:szCs w:val="20"/>
          <w:lang w:val="en-US"/>
        </w:rPr>
        <w:t>.</w:t>
      </w:r>
    </w:p>
    <w:p w:rsidR="00202702" w:rsidRPr="00983884" w:rsidRDefault="00202702" w:rsidP="00202702">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202702" w:rsidRPr="00983884" w:rsidRDefault="00252BA7" w:rsidP="00202702">
      <w:pPr>
        <w:numPr>
          <w:ilvl w:val="0"/>
          <w:numId w:val="104"/>
        </w:numPr>
        <w:jc w:val="both"/>
        <w:rPr>
          <w:rFonts w:ascii="Cambria" w:hAnsi="Cambria"/>
          <w:sz w:val="20"/>
          <w:szCs w:val="20"/>
        </w:rPr>
      </w:pPr>
      <w:r w:rsidRPr="00983884">
        <w:rPr>
          <w:rFonts w:ascii="Cambria" w:hAnsi="Cambria"/>
          <w:sz w:val="20"/>
          <w:szCs w:val="20"/>
        </w:rPr>
        <w:t>In connection with the alleged violation of the right to appeal a judgment</w:t>
      </w:r>
      <w:r w:rsidR="00202702" w:rsidRPr="00983884">
        <w:rPr>
          <w:rFonts w:ascii="Cambria" w:hAnsi="Cambria"/>
          <w:sz w:val="20"/>
          <w:szCs w:val="20"/>
        </w:rPr>
        <w:t xml:space="preserve">, </w:t>
      </w:r>
      <w:r w:rsidRPr="00983884">
        <w:rPr>
          <w:rFonts w:ascii="Cambria" w:hAnsi="Cambria"/>
          <w:sz w:val="20"/>
          <w:szCs w:val="20"/>
        </w:rPr>
        <w:t xml:space="preserve">the petitioner argued that the </w:t>
      </w:r>
      <w:r w:rsidR="009E764E" w:rsidRPr="00983884">
        <w:rPr>
          <w:rFonts w:ascii="Cambria" w:hAnsi="Cambria"/>
          <w:sz w:val="20"/>
          <w:szCs w:val="20"/>
        </w:rPr>
        <w:t xml:space="preserve">cassation </w:t>
      </w:r>
      <w:r w:rsidRPr="00983884">
        <w:rPr>
          <w:rFonts w:ascii="Cambria" w:hAnsi="Cambria"/>
          <w:sz w:val="20"/>
          <w:szCs w:val="20"/>
        </w:rPr>
        <w:t>appeal (</w:t>
      </w:r>
      <w:r w:rsidRPr="00983884">
        <w:rPr>
          <w:rFonts w:ascii="Cambria" w:hAnsi="Cambria"/>
          <w:i/>
          <w:sz w:val="20"/>
          <w:szCs w:val="20"/>
        </w:rPr>
        <w:t>recurso de casación</w:t>
      </w:r>
      <w:r w:rsidRPr="00983884">
        <w:rPr>
          <w:rFonts w:ascii="Cambria" w:hAnsi="Cambria"/>
          <w:sz w:val="20"/>
          <w:szCs w:val="20"/>
        </w:rPr>
        <w:t xml:space="preserve">) had limitations in terms of the regulatory framework and practice, because it did not </w:t>
      </w:r>
      <w:r w:rsidR="00CB005A">
        <w:rPr>
          <w:rFonts w:ascii="Cambria" w:hAnsi="Cambria"/>
          <w:sz w:val="20"/>
          <w:szCs w:val="20"/>
        </w:rPr>
        <w:t>have</w:t>
      </w:r>
      <w:r w:rsidRPr="00983884">
        <w:rPr>
          <w:rFonts w:ascii="Cambria" w:hAnsi="Cambria"/>
          <w:sz w:val="20"/>
          <w:szCs w:val="20"/>
        </w:rPr>
        <w:t xml:space="preserve"> the necessary characteristics to </w:t>
      </w:r>
      <w:r w:rsidR="00CB005A">
        <w:rPr>
          <w:rFonts w:ascii="Cambria" w:hAnsi="Cambria"/>
          <w:sz w:val="20"/>
          <w:szCs w:val="20"/>
        </w:rPr>
        <w:t>benefit from</w:t>
      </w:r>
      <w:r w:rsidRPr="00983884">
        <w:rPr>
          <w:rFonts w:ascii="Cambria" w:hAnsi="Cambria"/>
          <w:sz w:val="20"/>
          <w:szCs w:val="20"/>
        </w:rPr>
        <w:t xml:space="preserve"> the right to </w:t>
      </w:r>
      <w:r w:rsidR="00CB005A">
        <w:rPr>
          <w:rFonts w:ascii="Cambria" w:hAnsi="Cambria"/>
          <w:sz w:val="20"/>
          <w:szCs w:val="20"/>
        </w:rPr>
        <w:t>a second hearing</w:t>
      </w:r>
      <w:r w:rsidR="00202702" w:rsidRPr="00983884">
        <w:rPr>
          <w:rFonts w:ascii="Cambria" w:hAnsi="Cambria"/>
          <w:sz w:val="20"/>
          <w:szCs w:val="20"/>
        </w:rPr>
        <w:t xml:space="preserve">. </w:t>
      </w:r>
      <w:r w:rsidRPr="00983884">
        <w:rPr>
          <w:rFonts w:ascii="Cambria" w:hAnsi="Cambria"/>
          <w:sz w:val="20"/>
          <w:szCs w:val="20"/>
        </w:rPr>
        <w:t>It pointed out that said appeal only allowed the review of procedural aspects and not a comprehensive review, including appraisal of the evidence by the court of first instance. It indicated that this situ</w:t>
      </w:r>
      <w:r w:rsidR="009E764E" w:rsidRPr="00983884">
        <w:rPr>
          <w:rFonts w:ascii="Cambria" w:hAnsi="Cambria"/>
          <w:sz w:val="20"/>
          <w:szCs w:val="20"/>
        </w:rPr>
        <w:t>a</w:t>
      </w:r>
      <w:r w:rsidRPr="00983884">
        <w:rPr>
          <w:rFonts w:ascii="Cambria" w:hAnsi="Cambria"/>
          <w:sz w:val="20"/>
          <w:szCs w:val="20"/>
        </w:rPr>
        <w:t>tion also constituted a violation of the right to judicial protection</w:t>
      </w:r>
      <w:r w:rsidR="00202702" w:rsidRPr="00983884">
        <w:rPr>
          <w:rFonts w:ascii="Cambria" w:hAnsi="Cambria"/>
          <w:sz w:val="20"/>
          <w:szCs w:val="20"/>
        </w:rPr>
        <w:t xml:space="preserve">. </w:t>
      </w:r>
    </w:p>
    <w:p w:rsidR="00202702" w:rsidRPr="00983884" w:rsidRDefault="00202702" w:rsidP="00202702">
      <w:pPr>
        <w:ind w:left="720"/>
        <w:jc w:val="both"/>
        <w:rPr>
          <w:rFonts w:ascii="Cambria" w:hAnsi="Cambria"/>
          <w:sz w:val="20"/>
          <w:szCs w:val="20"/>
        </w:rPr>
      </w:pPr>
    </w:p>
    <w:p w:rsidR="00202702" w:rsidRPr="00983884" w:rsidRDefault="00252BA7" w:rsidP="00202702">
      <w:pPr>
        <w:numPr>
          <w:ilvl w:val="0"/>
          <w:numId w:val="104"/>
        </w:numPr>
        <w:jc w:val="both"/>
        <w:rPr>
          <w:rFonts w:ascii="Cambria" w:hAnsi="Cambria"/>
          <w:sz w:val="20"/>
          <w:szCs w:val="20"/>
        </w:rPr>
      </w:pPr>
      <w:r w:rsidRPr="00983884">
        <w:rPr>
          <w:rFonts w:ascii="Cambria" w:hAnsi="Cambria"/>
          <w:sz w:val="20"/>
          <w:szCs w:val="20"/>
        </w:rPr>
        <w:t>The petitioner also alleged that the St</w:t>
      </w:r>
      <w:r w:rsidR="00CB005A">
        <w:rPr>
          <w:rFonts w:ascii="Cambria" w:hAnsi="Cambria"/>
          <w:sz w:val="20"/>
          <w:szCs w:val="20"/>
        </w:rPr>
        <w:t>ate failed to fulfill its duty to</w:t>
      </w:r>
      <w:r w:rsidRPr="00983884">
        <w:rPr>
          <w:rFonts w:ascii="Cambria" w:hAnsi="Cambria"/>
          <w:sz w:val="20"/>
          <w:szCs w:val="20"/>
        </w:rPr>
        <w:t xml:space="preserve"> adopt domestic law provisions taking into account the limited and nonconventional nature of the </w:t>
      </w:r>
      <w:r w:rsidR="00DF49C8">
        <w:rPr>
          <w:rFonts w:ascii="Cambria" w:hAnsi="Cambria"/>
          <w:sz w:val="20"/>
          <w:szCs w:val="20"/>
        </w:rPr>
        <w:t xml:space="preserve">cassation </w:t>
      </w:r>
      <w:r w:rsidRPr="00983884">
        <w:rPr>
          <w:rFonts w:ascii="Cambria" w:hAnsi="Cambria"/>
          <w:sz w:val="20"/>
          <w:szCs w:val="20"/>
        </w:rPr>
        <w:t>appeal in the regulatory framework and domestic practice</w:t>
      </w:r>
      <w:r w:rsidR="00202702" w:rsidRPr="00983884">
        <w:rPr>
          <w:rFonts w:ascii="Cambria" w:hAnsi="Cambria"/>
          <w:sz w:val="20"/>
          <w:szCs w:val="20"/>
        </w:rPr>
        <w:t>.</w:t>
      </w:r>
    </w:p>
    <w:p w:rsidR="00202702" w:rsidRPr="00983884" w:rsidRDefault="00202702" w:rsidP="00202702">
      <w:pPr>
        <w:pStyle w:val="MediumList2-Accent41"/>
        <w:ind w:left="0"/>
        <w:jc w:val="both"/>
        <w:rPr>
          <w:sz w:val="20"/>
          <w:szCs w:val="20"/>
        </w:rPr>
      </w:pPr>
    </w:p>
    <w:p w:rsidR="00202702" w:rsidRPr="00983884" w:rsidRDefault="00202702" w:rsidP="00202702">
      <w:pPr>
        <w:pStyle w:val="Heading2"/>
        <w:rPr>
          <w:lang w:val="en-US"/>
        </w:rPr>
      </w:pPr>
      <w:bookmarkStart w:id="26" w:name="_Toc482278240"/>
      <w:bookmarkStart w:id="27" w:name="_Toc490826168"/>
      <w:bookmarkStart w:id="28" w:name="_Toc365193983"/>
      <w:r w:rsidRPr="00983884">
        <w:rPr>
          <w:lang w:val="en-US"/>
        </w:rPr>
        <w:t>Al</w:t>
      </w:r>
      <w:r w:rsidR="00AD5B69" w:rsidRPr="00983884">
        <w:rPr>
          <w:lang w:val="en-US"/>
        </w:rPr>
        <w:t>legations of the State</w:t>
      </w:r>
      <w:bookmarkEnd w:id="26"/>
      <w:bookmarkEnd w:id="27"/>
      <w:bookmarkEnd w:id="28"/>
    </w:p>
    <w:p w:rsidR="00202702" w:rsidRPr="00983884" w:rsidRDefault="00202702" w:rsidP="00202702">
      <w:pPr>
        <w:ind w:left="720"/>
        <w:jc w:val="both"/>
        <w:rPr>
          <w:rFonts w:ascii="Cambria" w:hAnsi="Cambria"/>
          <w:sz w:val="20"/>
          <w:szCs w:val="20"/>
        </w:rPr>
      </w:pPr>
    </w:p>
    <w:p w:rsidR="00202702" w:rsidRPr="00983884" w:rsidRDefault="00AD5B69" w:rsidP="00202702">
      <w:pPr>
        <w:numPr>
          <w:ilvl w:val="0"/>
          <w:numId w:val="104"/>
        </w:numPr>
        <w:jc w:val="both"/>
        <w:rPr>
          <w:rFonts w:ascii="Cambria" w:hAnsi="Cambria"/>
          <w:sz w:val="20"/>
          <w:szCs w:val="20"/>
        </w:rPr>
      </w:pPr>
      <w:r w:rsidRPr="00983884">
        <w:rPr>
          <w:rFonts w:ascii="Cambria" w:hAnsi="Cambria"/>
          <w:sz w:val="20"/>
          <w:szCs w:val="20"/>
        </w:rPr>
        <w:t xml:space="preserve">The </w:t>
      </w:r>
      <w:r w:rsidR="006A7766">
        <w:rPr>
          <w:rFonts w:ascii="Cambria" w:hAnsi="Cambria"/>
          <w:sz w:val="20"/>
          <w:szCs w:val="20"/>
        </w:rPr>
        <w:t>State of Argentina</w:t>
      </w:r>
      <w:r w:rsidRPr="00983884">
        <w:rPr>
          <w:rFonts w:ascii="Cambria" w:hAnsi="Cambria"/>
          <w:sz w:val="20"/>
          <w:szCs w:val="20"/>
        </w:rPr>
        <w:t xml:space="preserve"> did not submit its observations on the merits of the case. In the admissibility stage, the State denied its international responsibility and indicated that the criminal proceedings respected due process of law for Mr. </w:t>
      </w:r>
      <w:r w:rsidR="00202702" w:rsidRPr="00983884">
        <w:rPr>
          <w:rFonts w:ascii="Cambria" w:hAnsi="Cambria"/>
          <w:sz w:val="20"/>
          <w:szCs w:val="20"/>
        </w:rPr>
        <w:t xml:space="preserve">Gorigoitia. </w:t>
      </w:r>
      <w:r w:rsidR="00B21B54" w:rsidRPr="00983884">
        <w:rPr>
          <w:rFonts w:ascii="Cambria" w:hAnsi="Cambria"/>
          <w:sz w:val="20"/>
          <w:szCs w:val="20"/>
        </w:rPr>
        <w:t xml:space="preserve">It explained that the conviction was in conformity with the law because “all evidence </w:t>
      </w:r>
      <w:r w:rsidR="00CB005A">
        <w:rPr>
          <w:rFonts w:ascii="Cambria" w:hAnsi="Cambria"/>
          <w:sz w:val="20"/>
          <w:szCs w:val="20"/>
        </w:rPr>
        <w:t>presented</w:t>
      </w:r>
      <w:r w:rsidR="00B21B54" w:rsidRPr="00983884">
        <w:rPr>
          <w:rFonts w:ascii="Cambria" w:hAnsi="Cambria"/>
          <w:sz w:val="20"/>
          <w:szCs w:val="20"/>
        </w:rPr>
        <w:t xml:space="preserve"> conspicuously sho</w:t>
      </w:r>
      <w:r w:rsidR="00DF49C8">
        <w:rPr>
          <w:rFonts w:ascii="Cambria" w:hAnsi="Cambria"/>
          <w:sz w:val="20"/>
          <w:szCs w:val="20"/>
        </w:rPr>
        <w:t>w</w:t>
      </w:r>
      <w:r w:rsidR="00B21B54" w:rsidRPr="00983884">
        <w:rPr>
          <w:rFonts w:ascii="Cambria" w:hAnsi="Cambria"/>
          <w:sz w:val="20"/>
          <w:szCs w:val="20"/>
        </w:rPr>
        <w:t xml:space="preserve">ed that </w:t>
      </w:r>
      <w:r w:rsidR="00202702" w:rsidRPr="00983884">
        <w:rPr>
          <w:rFonts w:ascii="Cambria" w:hAnsi="Cambria"/>
          <w:sz w:val="20"/>
          <w:szCs w:val="20"/>
        </w:rPr>
        <w:t xml:space="preserve">Gorigoitia </w:t>
      </w:r>
      <w:r w:rsidR="00B21B54" w:rsidRPr="00983884">
        <w:rPr>
          <w:rFonts w:ascii="Cambria" w:hAnsi="Cambria"/>
          <w:sz w:val="20"/>
          <w:szCs w:val="20"/>
        </w:rPr>
        <w:t>had a clear idea of the possible outcome</w:t>
      </w:r>
      <w:r w:rsidR="00202702" w:rsidRPr="00983884">
        <w:rPr>
          <w:rFonts w:ascii="Cambria" w:hAnsi="Cambria"/>
          <w:sz w:val="20"/>
          <w:szCs w:val="20"/>
        </w:rPr>
        <w:t xml:space="preserve"> (</w:t>
      </w:r>
      <w:r w:rsidR="00B21B54" w:rsidRPr="00983884">
        <w:rPr>
          <w:rFonts w:ascii="Cambria" w:hAnsi="Cambria"/>
          <w:sz w:val="20"/>
          <w:szCs w:val="20"/>
        </w:rPr>
        <w:t xml:space="preserve">the death of </w:t>
      </w:r>
      <w:r w:rsidR="00CB005A">
        <w:rPr>
          <w:rFonts w:ascii="Cambria" w:hAnsi="Cambria"/>
          <w:sz w:val="20"/>
          <w:szCs w:val="20"/>
        </w:rPr>
        <w:t xml:space="preserve">young man </w:t>
      </w:r>
      <w:r w:rsidR="00B21B54" w:rsidRPr="00983884">
        <w:rPr>
          <w:rFonts w:ascii="Cambria" w:hAnsi="Cambria"/>
          <w:sz w:val="20"/>
          <w:szCs w:val="20"/>
        </w:rPr>
        <w:t>Gómez) and</w:t>
      </w:r>
      <w:r w:rsidR="00CB005A">
        <w:rPr>
          <w:rFonts w:ascii="Cambria" w:hAnsi="Cambria"/>
          <w:sz w:val="20"/>
          <w:szCs w:val="20"/>
        </w:rPr>
        <w:t>,</w:t>
      </w:r>
      <w:r w:rsidR="00B21B54" w:rsidRPr="00983884">
        <w:rPr>
          <w:rFonts w:ascii="Cambria" w:hAnsi="Cambria"/>
          <w:sz w:val="20"/>
          <w:szCs w:val="20"/>
        </w:rPr>
        <w:t xml:space="preserve"> ignoring the order not </w:t>
      </w:r>
      <w:r w:rsidR="00CB005A">
        <w:rPr>
          <w:rFonts w:ascii="Cambria" w:hAnsi="Cambria"/>
          <w:sz w:val="20"/>
          <w:szCs w:val="20"/>
        </w:rPr>
        <w:t xml:space="preserve">to </w:t>
      </w:r>
      <w:r w:rsidR="00B21B54" w:rsidRPr="00983884">
        <w:rPr>
          <w:rFonts w:ascii="Cambria" w:hAnsi="Cambria"/>
          <w:sz w:val="20"/>
          <w:szCs w:val="20"/>
        </w:rPr>
        <w:t>use arms</w:t>
      </w:r>
      <w:r w:rsidR="00CB005A">
        <w:rPr>
          <w:rFonts w:ascii="Cambria" w:hAnsi="Cambria"/>
          <w:sz w:val="20"/>
          <w:szCs w:val="20"/>
        </w:rPr>
        <w:t>,</w:t>
      </w:r>
      <w:r w:rsidR="00B21B54" w:rsidRPr="00983884">
        <w:rPr>
          <w:rFonts w:ascii="Cambria" w:hAnsi="Cambria"/>
          <w:sz w:val="20"/>
          <w:szCs w:val="20"/>
        </w:rPr>
        <w:t xml:space="preserve"> he repeatedly fired the two arms provided.”</w:t>
      </w:r>
    </w:p>
    <w:p w:rsidR="00202702" w:rsidRPr="00983884" w:rsidRDefault="00202702" w:rsidP="00202702">
      <w:pPr>
        <w:jc w:val="both"/>
        <w:rPr>
          <w:rFonts w:ascii="Cambria" w:hAnsi="Cambria"/>
          <w:sz w:val="20"/>
          <w:szCs w:val="20"/>
        </w:rPr>
      </w:pPr>
    </w:p>
    <w:p w:rsidR="00202702" w:rsidRPr="00983884" w:rsidRDefault="00B21B54" w:rsidP="00B21B54">
      <w:pPr>
        <w:numPr>
          <w:ilvl w:val="0"/>
          <w:numId w:val="104"/>
        </w:numPr>
        <w:jc w:val="both"/>
        <w:rPr>
          <w:rFonts w:ascii="Cambria" w:hAnsi="Cambria"/>
          <w:sz w:val="20"/>
          <w:szCs w:val="20"/>
        </w:rPr>
      </w:pPr>
      <w:r w:rsidRPr="00983884">
        <w:rPr>
          <w:rFonts w:ascii="Cambria" w:hAnsi="Cambria"/>
          <w:sz w:val="20"/>
          <w:szCs w:val="20"/>
        </w:rPr>
        <w:t>It contended that the</w:t>
      </w:r>
      <w:r w:rsidR="00DF49C8">
        <w:rPr>
          <w:rFonts w:ascii="Cambria" w:hAnsi="Cambria"/>
          <w:sz w:val="20"/>
          <w:szCs w:val="20"/>
        </w:rPr>
        <w:t xml:space="preserve"> cassation</w:t>
      </w:r>
      <w:r w:rsidRPr="00983884">
        <w:rPr>
          <w:rFonts w:ascii="Cambria" w:hAnsi="Cambria"/>
          <w:sz w:val="20"/>
          <w:szCs w:val="20"/>
        </w:rPr>
        <w:t xml:space="preserve"> appeal was declared inadmi</w:t>
      </w:r>
      <w:r w:rsidR="00DF49C8">
        <w:rPr>
          <w:rFonts w:ascii="Cambria" w:hAnsi="Cambria"/>
          <w:sz w:val="20"/>
          <w:szCs w:val="20"/>
        </w:rPr>
        <w:t>s</w:t>
      </w:r>
      <w:r w:rsidRPr="00983884">
        <w:rPr>
          <w:rFonts w:ascii="Cambria" w:hAnsi="Cambria"/>
          <w:sz w:val="20"/>
          <w:szCs w:val="20"/>
        </w:rPr>
        <w:t>sible and that the “</w:t>
      </w:r>
      <w:r w:rsidR="00BF3E45">
        <w:rPr>
          <w:rFonts w:ascii="Cambria" w:hAnsi="Cambria"/>
          <w:sz w:val="20"/>
          <w:szCs w:val="20"/>
        </w:rPr>
        <w:t xml:space="preserve">Court of </w:t>
      </w:r>
      <w:r w:rsidRPr="00983884">
        <w:rPr>
          <w:rFonts w:ascii="Cambria" w:hAnsi="Cambria"/>
          <w:sz w:val="20"/>
          <w:szCs w:val="20"/>
        </w:rPr>
        <w:t>C</w:t>
      </w:r>
      <w:r w:rsidR="00DF49C8">
        <w:rPr>
          <w:rFonts w:ascii="Cambria" w:hAnsi="Cambria"/>
          <w:sz w:val="20"/>
          <w:szCs w:val="20"/>
        </w:rPr>
        <w:t>assation</w:t>
      </w:r>
      <w:r w:rsidR="00BF3E45">
        <w:rPr>
          <w:rFonts w:ascii="Cambria" w:hAnsi="Cambria"/>
          <w:sz w:val="20"/>
          <w:szCs w:val="20"/>
        </w:rPr>
        <w:t xml:space="preserve"> Appeals</w:t>
      </w:r>
      <w:r w:rsidRPr="00983884">
        <w:rPr>
          <w:rFonts w:ascii="Cambria" w:hAnsi="Cambria"/>
          <w:sz w:val="20"/>
          <w:szCs w:val="20"/>
        </w:rPr>
        <w:t xml:space="preserve"> cannot re-examine or judge the reasons that led to the</w:t>
      </w:r>
      <w:r w:rsidR="00F54993">
        <w:rPr>
          <w:rFonts w:ascii="Cambria" w:hAnsi="Cambria"/>
          <w:sz w:val="20"/>
          <w:szCs w:val="20"/>
        </w:rPr>
        <w:t xml:space="preserve"> judgment conviction by</w:t>
      </w:r>
      <w:r w:rsidRPr="00983884">
        <w:rPr>
          <w:rFonts w:ascii="Cambria" w:hAnsi="Cambria"/>
          <w:sz w:val="20"/>
          <w:szCs w:val="20"/>
        </w:rPr>
        <w:t xml:space="preserve"> the </w:t>
      </w:r>
      <w:r w:rsidR="00F54993">
        <w:rPr>
          <w:rFonts w:ascii="Cambria" w:hAnsi="Cambria"/>
          <w:sz w:val="20"/>
          <w:szCs w:val="20"/>
        </w:rPr>
        <w:t>lower</w:t>
      </w:r>
      <w:r w:rsidRPr="00983884">
        <w:rPr>
          <w:rFonts w:ascii="Cambria" w:hAnsi="Cambria"/>
          <w:sz w:val="20"/>
          <w:szCs w:val="20"/>
        </w:rPr>
        <w:t xml:space="preserve"> court.” The State added that the appeal that was file</w:t>
      </w:r>
      <w:r w:rsidR="00F54993">
        <w:rPr>
          <w:rFonts w:ascii="Cambria" w:hAnsi="Cambria"/>
          <w:sz w:val="20"/>
          <w:szCs w:val="20"/>
        </w:rPr>
        <w:t>d</w:t>
      </w:r>
      <w:r w:rsidRPr="00983884">
        <w:rPr>
          <w:rFonts w:ascii="Cambria" w:hAnsi="Cambria"/>
          <w:sz w:val="20"/>
          <w:szCs w:val="20"/>
        </w:rPr>
        <w:t xml:space="preserve"> was dismissed “</w:t>
      </w:r>
      <w:r w:rsidR="00F54993">
        <w:rPr>
          <w:rFonts w:ascii="Cambria" w:hAnsi="Cambria"/>
          <w:sz w:val="20"/>
          <w:szCs w:val="20"/>
        </w:rPr>
        <w:t>arguing that there were</w:t>
      </w:r>
      <w:r w:rsidRPr="00983884">
        <w:rPr>
          <w:rFonts w:ascii="Cambria" w:hAnsi="Cambria"/>
          <w:sz w:val="20"/>
          <w:szCs w:val="20"/>
        </w:rPr>
        <w:t xml:space="preserve"> formal </w:t>
      </w:r>
      <w:r w:rsidR="00DF49C8">
        <w:rPr>
          <w:rFonts w:ascii="Cambria" w:hAnsi="Cambria"/>
          <w:sz w:val="20"/>
          <w:szCs w:val="20"/>
        </w:rPr>
        <w:t xml:space="preserve">defects </w:t>
      </w:r>
      <w:r w:rsidRPr="00983884">
        <w:rPr>
          <w:rFonts w:ascii="Cambria" w:hAnsi="Cambria"/>
          <w:sz w:val="20"/>
          <w:szCs w:val="20"/>
        </w:rPr>
        <w:t>in the filing and establishing that the causes invoked by the defense were not deemed suitable for the Court’s</w:t>
      </w:r>
      <w:r w:rsidR="00202702" w:rsidRPr="00983884">
        <w:rPr>
          <w:rFonts w:ascii="Cambria" w:hAnsi="Cambria"/>
          <w:sz w:val="20"/>
          <w:szCs w:val="20"/>
        </w:rPr>
        <w:t xml:space="preserve"> </w:t>
      </w:r>
      <w:r w:rsidRPr="00983884">
        <w:rPr>
          <w:rFonts w:ascii="Cambria" w:hAnsi="Cambria"/>
          <w:sz w:val="20"/>
          <w:szCs w:val="20"/>
        </w:rPr>
        <w:t>review.”</w:t>
      </w:r>
    </w:p>
    <w:p w:rsidR="00202702" w:rsidRPr="00983884" w:rsidRDefault="00202702" w:rsidP="00202702">
      <w:pPr>
        <w:jc w:val="both"/>
        <w:rPr>
          <w:rFonts w:ascii="Cambria" w:hAnsi="Cambria"/>
          <w:sz w:val="20"/>
          <w:szCs w:val="20"/>
        </w:rPr>
      </w:pPr>
    </w:p>
    <w:p w:rsidR="00202702" w:rsidRPr="00983884" w:rsidRDefault="00B21B54" w:rsidP="00202702">
      <w:pPr>
        <w:numPr>
          <w:ilvl w:val="0"/>
          <w:numId w:val="104"/>
        </w:numPr>
        <w:jc w:val="both"/>
        <w:rPr>
          <w:rFonts w:ascii="Cambria" w:hAnsi="Cambria"/>
          <w:sz w:val="20"/>
          <w:szCs w:val="20"/>
        </w:rPr>
      </w:pPr>
      <w:r w:rsidRPr="00983884">
        <w:rPr>
          <w:rFonts w:ascii="Cambria" w:hAnsi="Cambria"/>
          <w:sz w:val="20"/>
          <w:szCs w:val="20"/>
        </w:rPr>
        <w:t>The State alleged that the petitioner intends to indicate the presumed arbitrariness of a final judgment solely on the basis of its disagreement with it. It indicated that the IACHR cannot act as a “fourth instance”</w:t>
      </w:r>
      <w:r w:rsidR="00760A71" w:rsidRPr="00983884">
        <w:rPr>
          <w:rFonts w:ascii="Cambria" w:hAnsi="Cambria"/>
          <w:sz w:val="20"/>
          <w:szCs w:val="20"/>
        </w:rPr>
        <w:t xml:space="preserve"> to review</w:t>
      </w:r>
      <w:r w:rsidRPr="00983884">
        <w:rPr>
          <w:rFonts w:ascii="Cambria" w:hAnsi="Cambria"/>
          <w:sz w:val="20"/>
          <w:szCs w:val="20"/>
        </w:rPr>
        <w:t xml:space="preserve"> judgments under domestic law that have been issued adequately</w:t>
      </w:r>
      <w:r w:rsidR="00760A71" w:rsidRPr="00983884">
        <w:rPr>
          <w:rFonts w:ascii="Cambria" w:hAnsi="Cambria"/>
          <w:sz w:val="20"/>
          <w:szCs w:val="20"/>
        </w:rPr>
        <w:t>.</w:t>
      </w:r>
    </w:p>
    <w:p w:rsidR="00202702" w:rsidRPr="00983884" w:rsidRDefault="00202702" w:rsidP="00202702">
      <w:pPr>
        <w:jc w:val="both"/>
        <w:rPr>
          <w:rFonts w:ascii="Cambria" w:hAnsi="Cambria"/>
          <w:b/>
          <w:sz w:val="20"/>
          <w:szCs w:val="20"/>
        </w:rPr>
      </w:pPr>
    </w:p>
    <w:p w:rsidR="00202702" w:rsidRPr="00983884" w:rsidRDefault="00202702" w:rsidP="00202702">
      <w:pPr>
        <w:pStyle w:val="Heading1"/>
      </w:pPr>
      <w:bookmarkStart w:id="29" w:name="_Toc490826169"/>
      <w:bookmarkStart w:id="30" w:name="_Toc365193984"/>
      <w:r w:rsidRPr="00983884">
        <w:t>DETERMINA</w:t>
      </w:r>
      <w:r w:rsidR="00760A71" w:rsidRPr="00983884">
        <w:t xml:space="preserve">TIONS OF </w:t>
      </w:r>
      <w:r w:rsidR="00F54993">
        <w:t>F</w:t>
      </w:r>
      <w:r w:rsidR="00760A71" w:rsidRPr="00983884">
        <w:t>ACT</w:t>
      </w:r>
      <w:bookmarkEnd w:id="29"/>
      <w:bookmarkEnd w:id="30"/>
    </w:p>
    <w:p w:rsidR="00202702" w:rsidRPr="00983884" w:rsidRDefault="00202702" w:rsidP="00202702">
      <w:pPr>
        <w:jc w:val="both"/>
        <w:rPr>
          <w:rFonts w:ascii="Cambria" w:hAnsi="Cambria"/>
          <w:b/>
          <w:sz w:val="20"/>
          <w:szCs w:val="20"/>
        </w:rPr>
      </w:pPr>
    </w:p>
    <w:p w:rsidR="00202702" w:rsidRPr="00983884" w:rsidRDefault="007E433C" w:rsidP="00202702">
      <w:pPr>
        <w:pStyle w:val="Heading2"/>
        <w:numPr>
          <w:ilvl w:val="0"/>
          <w:numId w:val="107"/>
        </w:numPr>
        <w:ind w:left="1440" w:hanging="720"/>
        <w:rPr>
          <w:lang w:val="en-US"/>
        </w:rPr>
      </w:pPr>
      <w:bookmarkStart w:id="31" w:name="_Toc490826170"/>
      <w:bookmarkStart w:id="32" w:name="_Toc365193985"/>
      <w:r w:rsidRPr="00983884">
        <w:rPr>
          <w:lang w:val="en-US"/>
        </w:rPr>
        <w:t>The relevant criminal procedural legal framework in terms of remedies</w:t>
      </w:r>
      <w:bookmarkEnd w:id="31"/>
      <w:bookmarkEnd w:id="32"/>
    </w:p>
    <w:p w:rsidR="00202702" w:rsidRPr="00983884" w:rsidRDefault="00202702" w:rsidP="00202702">
      <w:pPr>
        <w:jc w:val="both"/>
        <w:rPr>
          <w:rFonts w:ascii="Cambria" w:hAnsi="Cambria"/>
          <w:b/>
          <w:sz w:val="20"/>
          <w:szCs w:val="20"/>
        </w:rPr>
      </w:pPr>
    </w:p>
    <w:p w:rsidR="00202702" w:rsidRPr="00983884" w:rsidRDefault="007E433C" w:rsidP="00202702">
      <w:pPr>
        <w:numPr>
          <w:ilvl w:val="0"/>
          <w:numId w:val="104"/>
        </w:numPr>
        <w:jc w:val="both"/>
        <w:rPr>
          <w:rFonts w:ascii="Cambria" w:hAnsi="Cambria" w:cs="Cambria"/>
          <w:sz w:val="20"/>
          <w:szCs w:val="20"/>
        </w:rPr>
      </w:pPr>
      <w:r w:rsidRPr="00983884">
        <w:rPr>
          <w:rFonts w:ascii="Cambria" w:hAnsi="Cambria"/>
          <w:sz w:val="20"/>
          <w:szCs w:val="20"/>
        </w:rPr>
        <w:t xml:space="preserve">In this section, the relevant legal framework for the appeals filed by Mr. Gorigoitia against the </w:t>
      </w:r>
      <w:r w:rsidR="00F54993">
        <w:rPr>
          <w:rFonts w:ascii="Cambria" w:hAnsi="Cambria"/>
          <w:sz w:val="20"/>
          <w:szCs w:val="20"/>
        </w:rPr>
        <w:t xml:space="preserve">judgment of </w:t>
      </w:r>
      <w:r w:rsidRPr="00983884">
        <w:rPr>
          <w:rFonts w:ascii="Cambria" w:hAnsi="Cambria"/>
          <w:sz w:val="20"/>
          <w:szCs w:val="20"/>
        </w:rPr>
        <w:t xml:space="preserve">conviction for the crime of </w:t>
      </w:r>
      <w:r w:rsidR="00DF49C8">
        <w:rPr>
          <w:rFonts w:ascii="Cambria" w:hAnsi="Cambria"/>
          <w:sz w:val="20"/>
          <w:szCs w:val="20"/>
        </w:rPr>
        <w:t>manslaughter</w:t>
      </w:r>
      <w:r w:rsidRPr="00983884">
        <w:rPr>
          <w:rFonts w:ascii="Cambria" w:hAnsi="Cambria"/>
          <w:sz w:val="20"/>
          <w:szCs w:val="20"/>
        </w:rPr>
        <w:t xml:space="preserve"> shall be described</w:t>
      </w:r>
      <w:r w:rsidR="00202702" w:rsidRPr="00983884">
        <w:rPr>
          <w:rFonts w:ascii="Cambria" w:hAnsi="Cambria" w:cs="Cambria"/>
          <w:sz w:val="20"/>
          <w:szCs w:val="20"/>
        </w:rPr>
        <w:t>.</w:t>
      </w:r>
    </w:p>
    <w:p w:rsidR="00202702" w:rsidRPr="00983884" w:rsidRDefault="00202702" w:rsidP="00202702">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890"/>
        </w:tabs>
        <w:ind w:left="810"/>
        <w:jc w:val="both"/>
        <w:rPr>
          <w:sz w:val="20"/>
          <w:szCs w:val="20"/>
        </w:rPr>
      </w:pPr>
    </w:p>
    <w:p w:rsidR="00202702" w:rsidRPr="00983884" w:rsidRDefault="007E433C" w:rsidP="00202702">
      <w:pPr>
        <w:numPr>
          <w:ilvl w:val="0"/>
          <w:numId w:val="104"/>
        </w:numPr>
        <w:jc w:val="both"/>
        <w:rPr>
          <w:rFonts w:ascii="Cambria" w:hAnsi="Cambria" w:cs="Cambria"/>
          <w:sz w:val="20"/>
          <w:szCs w:val="20"/>
        </w:rPr>
      </w:pPr>
      <w:r w:rsidRPr="00983884">
        <w:rPr>
          <w:rFonts w:ascii="Cambria" w:hAnsi="Cambria" w:cs="Cambria"/>
          <w:sz w:val="20"/>
          <w:szCs w:val="20"/>
        </w:rPr>
        <w:t xml:space="preserve">Article </w:t>
      </w:r>
      <w:r w:rsidR="00202702" w:rsidRPr="00983884">
        <w:rPr>
          <w:rFonts w:ascii="Cambria" w:hAnsi="Cambria" w:cs="Cambria"/>
          <w:sz w:val="20"/>
          <w:szCs w:val="20"/>
        </w:rPr>
        <w:t xml:space="preserve">474 </w:t>
      </w:r>
      <w:r w:rsidRPr="00983884">
        <w:rPr>
          <w:rFonts w:ascii="Cambria" w:hAnsi="Cambria" w:cs="Cambria"/>
          <w:sz w:val="20"/>
          <w:szCs w:val="20"/>
        </w:rPr>
        <w:t>of the Criminal Procedures Code of the Province of Mendoza (</w:t>
      </w:r>
      <w:r w:rsidR="00202702" w:rsidRPr="00F54993">
        <w:rPr>
          <w:rFonts w:ascii="Cambria" w:hAnsi="Cambria" w:cs="Cambria"/>
          <w:i/>
          <w:sz w:val="20"/>
          <w:szCs w:val="20"/>
        </w:rPr>
        <w:t>Código Procesal P</w:t>
      </w:r>
      <w:r w:rsidRPr="00F54993">
        <w:rPr>
          <w:rFonts w:ascii="Cambria" w:hAnsi="Cambria" w:cs="Cambria"/>
          <w:i/>
          <w:sz w:val="20"/>
          <w:szCs w:val="20"/>
        </w:rPr>
        <w:t>enal de la Provincia de Mendoza</w:t>
      </w:r>
      <w:r w:rsidRPr="00983884">
        <w:rPr>
          <w:rFonts w:ascii="Cambria" w:hAnsi="Cambria" w:cs="Cambria"/>
          <w:sz w:val="20"/>
          <w:szCs w:val="20"/>
        </w:rPr>
        <w:t>—hereinafter the “</w:t>
      </w:r>
      <w:r w:rsidR="00202702" w:rsidRPr="00983884">
        <w:rPr>
          <w:rFonts w:ascii="Cambria" w:hAnsi="Cambria" w:cs="Cambria"/>
          <w:sz w:val="20"/>
          <w:szCs w:val="20"/>
        </w:rPr>
        <w:t xml:space="preserve">CPPM”), </w:t>
      </w:r>
      <w:r w:rsidRPr="00983884">
        <w:rPr>
          <w:rFonts w:ascii="Cambria" w:hAnsi="Cambria" w:cs="Cambria"/>
          <w:sz w:val="20"/>
          <w:szCs w:val="20"/>
        </w:rPr>
        <w:t>with contents almost identical to those of Article 456 of the Criminal Procedures Code of the Argentine Nation</w:t>
      </w:r>
      <w:r w:rsidR="00AA23FA">
        <w:rPr>
          <w:rFonts w:ascii="Cambria" w:hAnsi="Cambria" w:cs="Cambria"/>
          <w:sz w:val="20"/>
          <w:szCs w:val="20"/>
        </w:rPr>
        <w:t xml:space="preserve"> </w:t>
      </w:r>
      <w:r w:rsidR="00F54993">
        <w:rPr>
          <w:rFonts w:ascii="Cambria" w:hAnsi="Cambria" w:cs="Cambria"/>
          <w:sz w:val="20"/>
          <w:szCs w:val="20"/>
        </w:rPr>
        <w:t>(</w:t>
      </w:r>
      <w:r w:rsidR="00F54993" w:rsidRPr="00F54993">
        <w:rPr>
          <w:rFonts w:ascii="Cambria" w:hAnsi="Cambria" w:cs="Cambria"/>
          <w:i/>
          <w:sz w:val="20"/>
          <w:szCs w:val="20"/>
        </w:rPr>
        <w:t>Código Procesal Penal de la Nación Argentina</w:t>
      </w:r>
      <w:r w:rsidR="00AA23FA">
        <w:rPr>
          <w:rFonts w:ascii="Cambria" w:hAnsi="Cambria" w:cs="Cambria"/>
          <w:sz w:val="20"/>
          <w:szCs w:val="20"/>
        </w:rPr>
        <w:t>-</w:t>
      </w:r>
      <w:r w:rsidRPr="00983884">
        <w:rPr>
          <w:rFonts w:ascii="Cambria" w:hAnsi="Cambria" w:cs="Cambria"/>
          <w:sz w:val="20"/>
          <w:szCs w:val="20"/>
        </w:rPr>
        <w:t>hereinafter the “CPPN”), governs the admissibility of the</w:t>
      </w:r>
      <w:r w:rsidR="00DF49C8">
        <w:rPr>
          <w:rFonts w:ascii="Cambria" w:hAnsi="Cambria" w:cs="Cambria"/>
          <w:sz w:val="20"/>
          <w:szCs w:val="20"/>
        </w:rPr>
        <w:t xml:space="preserve"> cassation</w:t>
      </w:r>
      <w:r w:rsidRPr="00983884">
        <w:rPr>
          <w:rFonts w:ascii="Cambria" w:hAnsi="Cambria" w:cs="Cambria"/>
          <w:sz w:val="20"/>
          <w:szCs w:val="20"/>
        </w:rPr>
        <w:t xml:space="preserve"> appeal on the basis of the following terms</w:t>
      </w:r>
      <w:r w:rsidR="00202702" w:rsidRPr="00983884">
        <w:rPr>
          <w:rFonts w:ascii="Cambria" w:hAnsi="Cambria" w:cs="Cambria"/>
          <w:sz w:val="20"/>
          <w:szCs w:val="20"/>
        </w:rPr>
        <w:t xml:space="preserve">: </w:t>
      </w:r>
    </w:p>
    <w:p w:rsidR="00202702" w:rsidRPr="00983884" w:rsidRDefault="00202702" w:rsidP="00202702">
      <w:pPr>
        <w:pStyle w:val="ColorfulList-Accent11"/>
        <w:tabs>
          <w:tab w:val="left" w:pos="1440"/>
          <w:tab w:val="left" w:pos="1890"/>
        </w:tabs>
        <w:jc w:val="both"/>
        <w:rPr>
          <w:sz w:val="20"/>
          <w:szCs w:val="20"/>
        </w:rPr>
      </w:pPr>
    </w:p>
    <w:p w:rsidR="00202702" w:rsidRPr="00983884" w:rsidRDefault="000B0C26" w:rsidP="00202702">
      <w:pPr>
        <w:pStyle w:val="ColorfulList-Accent11"/>
        <w:tabs>
          <w:tab w:val="left" w:pos="1440"/>
          <w:tab w:val="left" w:pos="1890"/>
        </w:tabs>
        <w:jc w:val="both"/>
        <w:rPr>
          <w:sz w:val="20"/>
          <w:szCs w:val="20"/>
        </w:rPr>
      </w:pPr>
      <w:r w:rsidRPr="00983884">
        <w:rPr>
          <w:sz w:val="20"/>
          <w:szCs w:val="20"/>
        </w:rPr>
        <w:t>Reasons</w:t>
      </w:r>
      <w:r w:rsidR="00202702" w:rsidRPr="00983884">
        <w:rPr>
          <w:sz w:val="20"/>
          <w:szCs w:val="20"/>
        </w:rPr>
        <w:t xml:space="preserve">. </w:t>
      </w:r>
      <w:r w:rsidRPr="00983884">
        <w:rPr>
          <w:sz w:val="20"/>
          <w:szCs w:val="20"/>
        </w:rPr>
        <w:t xml:space="preserve">The </w:t>
      </w:r>
      <w:r w:rsidR="00DF49C8">
        <w:rPr>
          <w:sz w:val="20"/>
          <w:szCs w:val="20"/>
        </w:rPr>
        <w:t xml:space="preserve">cassation </w:t>
      </w:r>
      <w:r w:rsidRPr="00983884">
        <w:rPr>
          <w:sz w:val="20"/>
          <w:szCs w:val="20"/>
        </w:rPr>
        <w:t>appeal can be filed</w:t>
      </w:r>
      <w:r w:rsidR="00DF49C8">
        <w:rPr>
          <w:sz w:val="20"/>
          <w:szCs w:val="20"/>
        </w:rPr>
        <w:t xml:space="preserve"> </w:t>
      </w:r>
      <w:r w:rsidRPr="00983884">
        <w:rPr>
          <w:sz w:val="20"/>
          <w:szCs w:val="20"/>
        </w:rPr>
        <w:t>on the basis of the following reasons</w:t>
      </w:r>
      <w:r w:rsidR="00202702" w:rsidRPr="00983884">
        <w:rPr>
          <w:sz w:val="20"/>
          <w:szCs w:val="20"/>
        </w:rPr>
        <w:t>:</w:t>
      </w:r>
    </w:p>
    <w:p w:rsidR="00520E1A" w:rsidRDefault="00202702" w:rsidP="00202702">
      <w:pPr>
        <w:pStyle w:val="ColorfulList-Accent11"/>
        <w:tabs>
          <w:tab w:val="left" w:pos="720"/>
          <w:tab w:val="left" w:pos="1890"/>
        </w:tabs>
        <w:ind w:left="0" w:right="720"/>
        <w:jc w:val="both"/>
        <w:rPr>
          <w:sz w:val="20"/>
          <w:szCs w:val="20"/>
        </w:rPr>
      </w:pPr>
      <w:r w:rsidRPr="00983884">
        <w:rPr>
          <w:sz w:val="20"/>
          <w:szCs w:val="20"/>
        </w:rPr>
        <w:tab/>
      </w:r>
    </w:p>
    <w:p w:rsidR="00202702" w:rsidRPr="00983884" w:rsidRDefault="00520E1A" w:rsidP="00202702">
      <w:pPr>
        <w:pStyle w:val="ColorfulList-Accent11"/>
        <w:tabs>
          <w:tab w:val="left" w:pos="720"/>
          <w:tab w:val="left" w:pos="1890"/>
        </w:tabs>
        <w:ind w:left="0" w:right="720"/>
        <w:jc w:val="both"/>
        <w:rPr>
          <w:sz w:val="20"/>
          <w:szCs w:val="20"/>
        </w:rPr>
      </w:pPr>
      <w:r>
        <w:rPr>
          <w:sz w:val="20"/>
          <w:szCs w:val="20"/>
        </w:rPr>
        <w:tab/>
      </w:r>
      <w:r w:rsidR="00202702" w:rsidRPr="00983884">
        <w:rPr>
          <w:sz w:val="20"/>
          <w:szCs w:val="20"/>
        </w:rPr>
        <w:t xml:space="preserve">1) </w:t>
      </w:r>
      <w:r w:rsidR="00DF49C8">
        <w:rPr>
          <w:sz w:val="20"/>
          <w:szCs w:val="20"/>
        </w:rPr>
        <w:t>Failure to observe o</w:t>
      </w:r>
      <w:r w:rsidR="000B0C26" w:rsidRPr="00983884">
        <w:rPr>
          <w:sz w:val="20"/>
          <w:szCs w:val="20"/>
        </w:rPr>
        <w:t>r erroneous application of substantive law</w:t>
      </w:r>
      <w:r w:rsidR="00202702" w:rsidRPr="00983884">
        <w:rPr>
          <w:sz w:val="20"/>
          <w:szCs w:val="20"/>
        </w:rPr>
        <w:t xml:space="preserve">. </w:t>
      </w:r>
    </w:p>
    <w:p w:rsidR="00202702" w:rsidRPr="00983884" w:rsidRDefault="000B0C26" w:rsidP="00202702">
      <w:pPr>
        <w:pStyle w:val="ColorfulList-Accent11"/>
        <w:tabs>
          <w:tab w:val="left" w:pos="720"/>
        </w:tabs>
        <w:ind w:right="720"/>
        <w:jc w:val="both"/>
        <w:rPr>
          <w:sz w:val="20"/>
          <w:szCs w:val="20"/>
        </w:rPr>
      </w:pPr>
      <w:r w:rsidRPr="00983884">
        <w:rPr>
          <w:sz w:val="20"/>
          <w:szCs w:val="20"/>
        </w:rPr>
        <w:t xml:space="preserve">2) Failure to </w:t>
      </w:r>
      <w:r w:rsidR="00DF49C8">
        <w:rPr>
          <w:sz w:val="20"/>
          <w:szCs w:val="20"/>
        </w:rPr>
        <w:t>observe</w:t>
      </w:r>
      <w:r w:rsidRPr="00983884">
        <w:rPr>
          <w:sz w:val="20"/>
          <w:szCs w:val="20"/>
        </w:rPr>
        <w:t xml:space="preserve"> the standards set by the present Code under penalty of inadmissibility, expiration, or </w:t>
      </w:r>
      <w:r w:rsidR="00A87ED7">
        <w:rPr>
          <w:sz w:val="20"/>
          <w:szCs w:val="20"/>
        </w:rPr>
        <w:t>quashing</w:t>
      </w:r>
      <w:r w:rsidRPr="00983884">
        <w:rPr>
          <w:sz w:val="20"/>
          <w:szCs w:val="20"/>
        </w:rPr>
        <w:t xml:space="preserve">, as long as the complainant, except in cases of absolute </w:t>
      </w:r>
      <w:r w:rsidR="00A87ED7">
        <w:rPr>
          <w:sz w:val="20"/>
          <w:szCs w:val="20"/>
        </w:rPr>
        <w:t>quashing</w:t>
      </w:r>
      <w:r w:rsidRPr="00983884">
        <w:rPr>
          <w:sz w:val="20"/>
          <w:szCs w:val="20"/>
        </w:rPr>
        <w:t xml:space="preserve">, had </w:t>
      </w:r>
      <w:r w:rsidR="00F54993">
        <w:rPr>
          <w:sz w:val="20"/>
          <w:szCs w:val="20"/>
        </w:rPr>
        <w:t>filed a claim</w:t>
      </w:r>
      <w:r w:rsidRPr="00983884">
        <w:rPr>
          <w:sz w:val="20"/>
          <w:szCs w:val="20"/>
        </w:rPr>
        <w:t xml:space="preserve">, on a timely basis, to remedy the defect, if possible, or had protested </w:t>
      </w:r>
      <w:r w:rsidR="00DF49C8">
        <w:rPr>
          <w:sz w:val="20"/>
          <w:szCs w:val="20"/>
        </w:rPr>
        <w:t>to file a cassation appeal</w:t>
      </w:r>
      <w:r w:rsidR="00202702" w:rsidRPr="00983884">
        <w:rPr>
          <w:sz w:val="20"/>
          <w:szCs w:val="20"/>
        </w:rPr>
        <w:t>.</w:t>
      </w:r>
    </w:p>
    <w:p w:rsidR="00202702" w:rsidRPr="00983884" w:rsidRDefault="00202702" w:rsidP="00202702">
      <w:pPr>
        <w:tabs>
          <w:tab w:val="left" w:pos="1440"/>
          <w:tab w:val="left" w:pos="1890"/>
        </w:tabs>
        <w:jc w:val="both"/>
        <w:rPr>
          <w:rFonts w:ascii="Cambria" w:hAnsi="Cambria" w:cs="Cambria"/>
          <w:sz w:val="20"/>
          <w:szCs w:val="20"/>
        </w:rPr>
      </w:pPr>
    </w:p>
    <w:p w:rsidR="00202702" w:rsidRPr="00983884" w:rsidRDefault="00202702" w:rsidP="00202702">
      <w:pPr>
        <w:numPr>
          <w:ilvl w:val="0"/>
          <w:numId w:val="104"/>
        </w:numPr>
        <w:jc w:val="both"/>
        <w:rPr>
          <w:rFonts w:ascii="Cambria" w:hAnsi="Cambria" w:cs="Cambria"/>
          <w:sz w:val="20"/>
          <w:szCs w:val="20"/>
        </w:rPr>
      </w:pPr>
      <w:r w:rsidRPr="00983884">
        <w:rPr>
          <w:rFonts w:ascii="Cambria" w:hAnsi="Cambria" w:cs="Cambria"/>
          <w:sz w:val="20"/>
          <w:szCs w:val="20"/>
        </w:rPr>
        <w:t>Re</w:t>
      </w:r>
      <w:r w:rsidR="00F54993">
        <w:rPr>
          <w:rFonts w:ascii="Cambria" w:hAnsi="Cambria" w:cs="Cambria"/>
          <w:sz w:val="20"/>
          <w:szCs w:val="20"/>
        </w:rPr>
        <w:t>garding challengeable rulings</w:t>
      </w:r>
      <w:r w:rsidR="000B0C26" w:rsidRPr="00983884">
        <w:rPr>
          <w:rFonts w:ascii="Cambria" w:hAnsi="Cambria" w:cs="Cambria"/>
          <w:sz w:val="20"/>
          <w:szCs w:val="20"/>
        </w:rPr>
        <w:t>, Article</w:t>
      </w:r>
      <w:r w:rsidRPr="00983884">
        <w:rPr>
          <w:rFonts w:ascii="Cambria" w:hAnsi="Cambria" w:cs="Cambria"/>
          <w:sz w:val="20"/>
          <w:szCs w:val="20"/>
        </w:rPr>
        <w:t xml:space="preserve"> 475 </w:t>
      </w:r>
      <w:r w:rsidR="000B0C26" w:rsidRPr="00983884">
        <w:rPr>
          <w:rFonts w:ascii="Cambria" w:hAnsi="Cambria" w:cs="Cambria"/>
          <w:sz w:val="20"/>
          <w:szCs w:val="20"/>
        </w:rPr>
        <w:t>of the</w:t>
      </w:r>
      <w:r w:rsidRPr="00983884">
        <w:rPr>
          <w:rFonts w:ascii="Cambria" w:hAnsi="Cambria" w:cs="Cambria"/>
          <w:sz w:val="20"/>
          <w:szCs w:val="20"/>
        </w:rPr>
        <w:t xml:space="preserve"> CPPM indica</w:t>
      </w:r>
      <w:r w:rsidR="000B0C26" w:rsidRPr="00983884">
        <w:rPr>
          <w:rFonts w:ascii="Cambria" w:hAnsi="Cambria" w:cs="Cambria"/>
          <w:sz w:val="20"/>
          <w:szCs w:val="20"/>
        </w:rPr>
        <w:t>tes the following</w:t>
      </w:r>
      <w:r w:rsidRPr="00983884">
        <w:rPr>
          <w:rFonts w:ascii="Cambria" w:hAnsi="Cambria" w:cs="Cambria"/>
          <w:sz w:val="20"/>
          <w:szCs w:val="20"/>
        </w:rPr>
        <w:t>:</w:t>
      </w:r>
    </w:p>
    <w:p w:rsidR="00202702" w:rsidRPr="00983884" w:rsidRDefault="00202702" w:rsidP="00202702">
      <w:pPr>
        <w:pStyle w:val="ColorfulList-Accent11"/>
        <w:rPr>
          <w:sz w:val="20"/>
          <w:szCs w:val="20"/>
        </w:rPr>
      </w:pPr>
    </w:p>
    <w:p w:rsidR="00202702" w:rsidRPr="00983884" w:rsidRDefault="000B0C26" w:rsidP="00520E1A">
      <w:pPr>
        <w:pStyle w:val="ColorfulList-Accent11"/>
        <w:ind w:right="720"/>
        <w:jc w:val="both"/>
        <w:rPr>
          <w:sz w:val="20"/>
          <w:szCs w:val="20"/>
        </w:rPr>
      </w:pPr>
      <w:r w:rsidRPr="00983884">
        <w:rPr>
          <w:sz w:val="20"/>
          <w:szCs w:val="20"/>
        </w:rPr>
        <w:t>In addition to the cases especially provided for by law and with the limitations set in the following articles, this appeal agai</w:t>
      </w:r>
      <w:r w:rsidR="00833834" w:rsidRPr="00983884">
        <w:rPr>
          <w:sz w:val="20"/>
          <w:szCs w:val="20"/>
        </w:rPr>
        <w:t>nst final judgmen</w:t>
      </w:r>
      <w:r w:rsidRPr="00983884">
        <w:rPr>
          <w:sz w:val="20"/>
          <w:szCs w:val="20"/>
        </w:rPr>
        <w:t>ts or the writs</w:t>
      </w:r>
      <w:r w:rsidR="00833834" w:rsidRPr="00983884">
        <w:rPr>
          <w:sz w:val="20"/>
          <w:szCs w:val="20"/>
        </w:rPr>
        <w:t xml:space="preserve"> that put an end to the proceeding or sentencing or that make it impossible to continue</w:t>
      </w:r>
      <w:r w:rsidR="005C2B5C">
        <w:rPr>
          <w:sz w:val="20"/>
          <w:szCs w:val="20"/>
        </w:rPr>
        <w:t xml:space="preserve"> them</w:t>
      </w:r>
      <w:r w:rsidR="00833834" w:rsidRPr="00983884">
        <w:rPr>
          <w:sz w:val="20"/>
          <w:szCs w:val="20"/>
        </w:rPr>
        <w:t xml:space="preserve"> or that deny the </w:t>
      </w:r>
      <w:r w:rsidR="004B3957" w:rsidRPr="00983884">
        <w:rPr>
          <w:sz w:val="20"/>
          <w:szCs w:val="20"/>
        </w:rPr>
        <w:t>termination</w:t>
      </w:r>
      <w:r w:rsidR="00833834" w:rsidRPr="00983884">
        <w:rPr>
          <w:sz w:val="20"/>
          <w:szCs w:val="20"/>
        </w:rPr>
        <w:t>, commutation or suspense of any of them</w:t>
      </w:r>
      <w:r w:rsidR="00202702" w:rsidRPr="00983884">
        <w:rPr>
          <w:sz w:val="20"/>
          <w:szCs w:val="20"/>
        </w:rPr>
        <w:t>.</w:t>
      </w:r>
    </w:p>
    <w:p w:rsidR="00202702" w:rsidRPr="00983884" w:rsidRDefault="00202702" w:rsidP="0020270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890"/>
        </w:tabs>
        <w:jc w:val="both"/>
        <w:rPr>
          <w:rFonts w:ascii="Cambria" w:hAnsi="Cambria" w:cs="Cambria"/>
          <w:sz w:val="20"/>
          <w:szCs w:val="20"/>
        </w:rPr>
      </w:pPr>
    </w:p>
    <w:p w:rsidR="00202702" w:rsidRPr="00983884" w:rsidRDefault="00C95761" w:rsidP="00202702">
      <w:pPr>
        <w:numPr>
          <w:ilvl w:val="0"/>
          <w:numId w:val="104"/>
        </w:numPr>
        <w:jc w:val="both"/>
        <w:rPr>
          <w:rFonts w:ascii="Cambria" w:hAnsi="Cambria" w:cs="Cambria"/>
          <w:sz w:val="20"/>
          <w:szCs w:val="20"/>
        </w:rPr>
      </w:pPr>
      <w:r w:rsidRPr="00983884">
        <w:rPr>
          <w:rFonts w:ascii="Cambria" w:hAnsi="Cambria" w:cs="Cambria"/>
          <w:sz w:val="20"/>
          <w:szCs w:val="20"/>
        </w:rPr>
        <w:t xml:space="preserve">Regarding the filing of this appeal, Article </w:t>
      </w:r>
      <w:r w:rsidR="00202702" w:rsidRPr="00983884">
        <w:rPr>
          <w:rFonts w:ascii="Cambria" w:hAnsi="Cambria" w:cs="Cambria"/>
          <w:sz w:val="20"/>
          <w:szCs w:val="20"/>
        </w:rPr>
        <w:t xml:space="preserve">480 </w:t>
      </w:r>
      <w:r w:rsidRPr="00983884">
        <w:rPr>
          <w:rFonts w:ascii="Cambria" w:hAnsi="Cambria" w:cs="Cambria"/>
          <w:sz w:val="20"/>
          <w:szCs w:val="20"/>
        </w:rPr>
        <w:t>of the</w:t>
      </w:r>
      <w:r w:rsidR="00202702" w:rsidRPr="00983884">
        <w:rPr>
          <w:rFonts w:ascii="Cambria" w:hAnsi="Cambria" w:cs="Cambria"/>
          <w:sz w:val="20"/>
          <w:szCs w:val="20"/>
        </w:rPr>
        <w:t xml:space="preserve"> CPPM, </w:t>
      </w:r>
      <w:r w:rsidRPr="00983884">
        <w:rPr>
          <w:rFonts w:ascii="Cambria" w:hAnsi="Cambria" w:cs="Cambria"/>
          <w:sz w:val="20"/>
          <w:szCs w:val="20"/>
        </w:rPr>
        <w:t>almost identical to Article 463 of the</w:t>
      </w:r>
      <w:r w:rsidR="00202702" w:rsidRPr="00983884">
        <w:rPr>
          <w:rFonts w:ascii="Cambria" w:hAnsi="Cambria" w:cs="Cambria"/>
          <w:sz w:val="20"/>
          <w:szCs w:val="20"/>
        </w:rPr>
        <w:t xml:space="preserve"> CPPN, establ</w:t>
      </w:r>
      <w:r w:rsidRPr="00983884">
        <w:rPr>
          <w:rFonts w:ascii="Cambria" w:hAnsi="Cambria" w:cs="Cambria"/>
          <w:sz w:val="20"/>
          <w:szCs w:val="20"/>
        </w:rPr>
        <w:t>ishes that</w:t>
      </w:r>
      <w:r w:rsidR="00202702" w:rsidRPr="00983884">
        <w:rPr>
          <w:rFonts w:ascii="Cambria" w:hAnsi="Cambria" w:cs="Cambria"/>
          <w:sz w:val="20"/>
          <w:szCs w:val="20"/>
        </w:rPr>
        <w:t>:</w:t>
      </w:r>
    </w:p>
    <w:p w:rsidR="00202702" w:rsidRPr="00983884" w:rsidRDefault="00202702" w:rsidP="00202702">
      <w:pPr>
        <w:pStyle w:val="ColorfulList-Accent11"/>
        <w:rPr>
          <w:sz w:val="20"/>
          <w:szCs w:val="20"/>
        </w:rPr>
      </w:pPr>
    </w:p>
    <w:p w:rsidR="00202702" w:rsidRPr="00983884" w:rsidRDefault="00C95761" w:rsidP="00202702">
      <w:pPr>
        <w:pStyle w:val="ColorfulList-Accent11"/>
        <w:tabs>
          <w:tab w:val="left" w:pos="1440"/>
          <w:tab w:val="left" w:pos="1890"/>
        </w:tabs>
        <w:ind w:right="720"/>
        <w:jc w:val="both"/>
        <w:rPr>
          <w:rFonts w:cs="Arial"/>
          <w:sz w:val="20"/>
          <w:szCs w:val="20"/>
          <w:shd w:val="clear" w:color="auto" w:fill="FCFCFC"/>
        </w:rPr>
      </w:pPr>
      <w:r w:rsidRPr="00983884">
        <w:rPr>
          <w:sz w:val="20"/>
          <w:szCs w:val="20"/>
        </w:rPr>
        <w:t xml:space="preserve">The </w:t>
      </w:r>
      <w:r w:rsidR="00DF49C8">
        <w:rPr>
          <w:sz w:val="20"/>
          <w:szCs w:val="20"/>
        </w:rPr>
        <w:t xml:space="preserve">cassation </w:t>
      </w:r>
      <w:r w:rsidRPr="00983884">
        <w:rPr>
          <w:sz w:val="20"/>
          <w:szCs w:val="20"/>
        </w:rPr>
        <w:t xml:space="preserve">appeal shall be </w:t>
      </w:r>
      <w:r w:rsidR="00B769F6">
        <w:rPr>
          <w:sz w:val="20"/>
          <w:szCs w:val="20"/>
        </w:rPr>
        <w:t>filed before</w:t>
      </w:r>
      <w:r w:rsidRPr="00983884">
        <w:rPr>
          <w:sz w:val="20"/>
          <w:szCs w:val="20"/>
        </w:rPr>
        <w:t xml:space="preserve"> the court that issued the ruling within 15 days after notification and in writing with the attorney’s signature, where the legal provisions that are deemed to have been breached or erroneously applied shall be cited and the application that is being </w:t>
      </w:r>
      <w:r w:rsidR="005C2B5C">
        <w:rPr>
          <w:sz w:val="20"/>
          <w:szCs w:val="20"/>
        </w:rPr>
        <w:t>called for</w:t>
      </w:r>
      <w:r w:rsidRPr="00983884">
        <w:rPr>
          <w:sz w:val="20"/>
          <w:szCs w:val="20"/>
        </w:rPr>
        <w:t xml:space="preserve"> shall be indicated</w:t>
      </w:r>
      <w:r w:rsidR="00202702" w:rsidRPr="00983884">
        <w:rPr>
          <w:rFonts w:cs="Arial"/>
          <w:sz w:val="20"/>
          <w:szCs w:val="20"/>
          <w:shd w:val="clear" w:color="auto" w:fill="FCFCFC"/>
        </w:rPr>
        <w:t xml:space="preserve">. </w:t>
      </w:r>
    </w:p>
    <w:p w:rsidR="00202702" w:rsidRPr="00983884" w:rsidRDefault="00C95761" w:rsidP="00202702">
      <w:pPr>
        <w:pStyle w:val="ColorfulList-Accent11"/>
        <w:tabs>
          <w:tab w:val="left" w:pos="1440"/>
          <w:tab w:val="left" w:pos="1890"/>
        </w:tabs>
        <w:ind w:right="720"/>
        <w:jc w:val="both"/>
        <w:rPr>
          <w:rFonts w:cs="Arial"/>
          <w:sz w:val="20"/>
          <w:szCs w:val="20"/>
          <w:shd w:val="clear" w:color="auto" w:fill="FCFCFC"/>
        </w:rPr>
      </w:pPr>
      <w:r w:rsidRPr="00983884">
        <w:rPr>
          <w:rFonts w:cs="Arial"/>
          <w:sz w:val="20"/>
          <w:szCs w:val="20"/>
          <w:shd w:val="clear" w:color="auto" w:fill="FCFCFC"/>
        </w:rPr>
        <w:t>Each reason must be indicated separately with its justifications. Outside of this opportunity no other reason can be claimed</w:t>
      </w:r>
      <w:r w:rsidR="00202702" w:rsidRPr="00983884">
        <w:rPr>
          <w:rFonts w:cs="Arial"/>
          <w:sz w:val="20"/>
          <w:szCs w:val="20"/>
          <w:shd w:val="clear" w:color="auto" w:fill="FCFCFC"/>
        </w:rPr>
        <w:t xml:space="preserve">. </w:t>
      </w:r>
    </w:p>
    <w:p w:rsidR="00202702" w:rsidRPr="00983884" w:rsidRDefault="00C95761" w:rsidP="00202702">
      <w:pPr>
        <w:pStyle w:val="ColorfulList-Accent11"/>
        <w:tabs>
          <w:tab w:val="left" w:pos="1440"/>
          <w:tab w:val="left" w:pos="1890"/>
        </w:tabs>
        <w:ind w:right="720"/>
        <w:jc w:val="both"/>
        <w:rPr>
          <w:sz w:val="20"/>
          <w:szCs w:val="20"/>
        </w:rPr>
      </w:pPr>
      <w:r w:rsidRPr="00983884">
        <w:rPr>
          <w:rFonts w:cs="Arial"/>
          <w:sz w:val="20"/>
          <w:szCs w:val="20"/>
          <w:shd w:val="clear" w:color="auto" w:fill="FCFCFC"/>
        </w:rPr>
        <w:t xml:space="preserve">The complainant must indicate if he or she shall report </w:t>
      </w:r>
      <w:r w:rsidR="005C2B5C">
        <w:rPr>
          <w:rFonts w:cs="Arial"/>
          <w:sz w:val="20"/>
          <w:szCs w:val="20"/>
          <w:shd w:val="clear" w:color="auto" w:fill="FCFCFC"/>
        </w:rPr>
        <w:t>orally</w:t>
      </w:r>
      <w:r w:rsidRPr="00983884">
        <w:rPr>
          <w:rFonts w:cs="Arial"/>
          <w:sz w:val="20"/>
          <w:szCs w:val="20"/>
          <w:shd w:val="clear" w:color="auto" w:fill="FCFCFC"/>
        </w:rPr>
        <w:t>.</w:t>
      </w:r>
    </w:p>
    <w:p w:rsidR="00202702" w:rsidRPr="00983884" w:rsidRDefault="00202702" w:rsidP="00202702">
      <w:pPr>
        <w:ind w:left="720"/>
        <w:jc w:val="both"/>
        <w:rPr>
          <w:rFonts w:ascii="Cambria" w:hAnsi="Cambria" w:cs="Cambria"/>
          <w:sz w:val="20"/>
          <w:szCs w:val="20"/>
        </w:rPr>
      </w:pPr>
    </w:p>
    <w:p w:rsidR="00202702" w:rsidRPr="00983884" w:rsidRDefault="00202702" w:rsidP="00202702">
      <w:pPr>
        <w:numPr>
          <w:ilvl w:val="0"/>
          <w:numId w:val="104"/>
        </w:numPr>
        <w:jc w:val="both"/>
        <w:rPr>
          <w:rFonts w:ascii="Cambria" w:hAnsi="Cambria" w:cs="Cambria"/>
          <w:sz w:val="20"/>
          <w:szCs w:val="20"/>
        </w:rPr>
      </w:pPr>
      <w:r w:rsidRPr="00983884">
        <w:rPr>
          <w:rFonts w:ascii="Cambria" w:hAnsi="Cambria" w:cs="Cambria"/>
          <w:sz w:val="20"/>
          <w:szCs w:val="20"/>
        </w:rPr>
        <w:t>Re</w:t>
      </w:r>
      <w:r w:rsidR="00C95761" w:rsidRPr="00983884">
        <w:rPr>
          <w:rFonts w:ascii="Cambria" w:hAnsi="Cambria" w:cs="Cambria"/>
          <w:sz w:val="20"/>
          <w:szCs w:val="20"/>
        </w:rPr>
        <w:t xml:space="preserve">garding the admissibility or rejection of the appeal, Article </w:t>
      </w:r>
      <w:r w:rsidRPr="00983884">
        <w:rPr>
          <w:rFonts w:ascii="Cambria" w:hAnsi="Cambria" w:cs="Cambria"/>
          <w:sz w:val="20"/>
          <w:szCs w:val="20"/>
        </w:rPr>
        <w:t xml:space="preserve">461 </w:t>
      </w:r>
      <w:r w:rsidR="00C95761" w:rsidRPr="00983884">
        <w:rPr>
          <w:rFonts w:ascii="Cambria" w:hAnsi="Cambria" w:cs="Cambria"/>
          <w:sz w:val="20"/>
          <w:szCs w:val="20"/>
        </w:rPr>
        <w:t xml:space="preserve">of the </w:t>
      </w:r>
      <w:r w:rsidRPr="00983884">
        <w:rPr>
          <w:rFonts w:ascii="Cambria" w:hAnsi="Cambria" w:cs="Cambria"/>
          <w:sz w:val="20"/>
          <w:szCs w:val="20"/>
        </w:rPr>
        <w:t>CPPM indica</w:t>
      </w:r>
      <w:r w:rsidR="00C95761" w:rsidRPr="00983884">
        <w:rPr>
          <w:rFonts w:ascii="Cambria" w:hAnsi="Cambria" w:cs="Cambria"/>
          <w:sz w:val="20"/>
          <w:szCs w:val="20"/>
        </w:rPr>
        <w:t>tes that:</w:t>
      </w:r>
      <w:r w:rsidRPr="00983884">
        <w:rPr>
          <w:rFonts w:ascii="Cambria" w:hAnsi="Cambria" w:cs="Cambria"/>
          <w:sz w:val="20"/>
          <w:szCs w:val="20"/>
        </w:rPr>
        <w:t xml:space="preserve"> </w:t>
      </w:r>
    </w:p>
    <w:p w:rsidR="00202702" w:rsidRPr="00983884" w:rsidRDefault="00202702" w:rsidP="00202702">
      <w:pPr>
        <w:pStyle w:val="ColorfulList-Accent11"/>
        <w:rPr>
          <w:sz w:val="20"/>
          <w:szCs w:val="20"/>
        </w:rPr>
      </w:pPr>
    </w:p>
    <w:p w:rsidR="00202702" w:rsidRPr="00983884" w:rsidRDefault="00202702" w:rsidP="00202702">
      <w:pPr>
        <w:pStyle w:val="NormalWeb"/>
        <w:spacing w:before="0" w:beforeAutospacing="0" w:after="0" w:afterAutospacing="0"/>
        <w:ind w:left="720" w:right="720"/>
        <w:jc w:val="both"/>
        <w:rPr>
          <w:rFonts w:ascii="Cambria" w:hAnsi="Cambria" w:cs="Arial"/>
          <w:sz w:val="20"/>
          <w:szCs w:val="20"/>
        </w:rPr>
      </w:pPr>
      <w:r w:rsidRPr="00983884">
        <w:rPr>
          <w:rFonts w:ascii="Cambria" w:hAnsi="Cambria" w:cs="Arial"/>
          <w:sz w:val="20"/>
          <w:szCs w:val="20"/>
        </w:rPr>
        <w:t>Inadmis</w:t>
      </w:r>
      <w:r w:rsidR="00C95761" w:rsidRPr="00983884">
        <w:rPr>
          <w:rFonts w:ascii="Cambria" w:hAnsi="Cambria" w:cs="Arial"/>
          <w:sz w:val="20"/>
          <w:szCs w:val="20"/>
        </w:rPr>
        <w:t>s</w:t>
      </w:r>
      <w:r w:rsidRPr="00983884">
        <w:rPr>
          <w:rFonts w:ascii="Cambria" w:hAnsi="Cambria" w:cs="Arial"/>
          <w:sz w:val="20"/>
          <w:szCs w:val="20"/>
        </w:rPr>
        <w:t>ibili</w:t>
      </w:r>
      <w:r w:rsidR="00C95761" w:rsidRPr="00983884">
        <w:rPr>
          <w:rFonts w:ascii="Cambria" w:hAnsi="Cambria" w:cs="Arial"/>
          <w:sz w:val="20"/>
          <w:szCs w:val="20"/>
        </w:rPr>
        <w:t>ty or Rejection</w:t>
      </w:r>
      <w:r w:rsidRPr="00983884">
        <w:rPr>
          <w:rFonts w:ascii="Cambria" w:hAnsi="Cambria" w:cs="Arial"/>
          <w:sz w:val="20"/>
          <w:szCs w:val="20"/>
        </w:rPr>
        <w:t xml:space="preserve">. </w:t>
      </w:r>
      <w:r w:rsidR="00C95761" w:rsidRPr="00983884">
        <w:rPr>
          <w:rFonts w:ascii="Cambria" w:hAnsi="Cambria" w:cs="Arial"/>
          <w:sz w:val="20"/>
          <w:szCs w:val="20"/>
        </w:rPr>
        <w:t>The appeal shall not be granted by the Court that issued the ruling being challenged when the latter is not subject to appeal or when it is not filed on time by whoever is entitled to file it</w:t>
      </w:r>
      <w:r w:rsidRPr="00983884">
        <w:rPr>
          <w:rFonts w:ascii="Cambria" w:hAnsi="Cambria" w:cs="Arial"/>
          <w:sz w:val="20"/>
          <w:szCs w:val="20"/>
        </w:rPr>
        <w:t>.</w:t>
      </w:r>
    </w:p>
    <w:p w:rsidR="00202702" w:rsidRPr="00983884" w:rsidRDefault="00202702" w:rsidP="00202702">
      <w:pPr>
        <w:pStyle w:val="NormalWeb"/>
        <w:spacing w:before="0" w:beforeAutospacing="0" w:after="0" w:afterAutospacing="0"/>
        <w:ind w:left="720" w:right="720"/>
        <w:jc w:val="both"/>
        <w:rPr>
          <w:rFonts w:ascii="Cambria" w:hAnsi="Cambria" w:cs="Arial"/>
          <w:sz w:val="20"/>
          <w:szCs w:val="20"/>
        </w:rPr>
      </w:pPr>
    </w:p>
    <w:p w:rsidR="00202702" w:rsidRPr="00983884" w:rsidRDefault="005A7DD7" w:rsidP="00202702">
      <w:pPr>
        <w:pStyle w:val="NormalWeb"/>
        <w:spacing w:before="0" w:beforeAutospacing="0" w:after="0" w:afterAutospacing="0"/>
        <w:ind w:left="720" w:right="720"/>
        <w:jc w:val="both"/>
        <w:rPr>
          <w:rFonts w:ascii="Cambria" w:hAnsi="Cambria" w:cs="Arial"/>
          <w:sz w:val="20"/>
          <w:szCs w:val="20"/>
        </w:rPr>
      </w:pPr>
      <w:r w:rsidRPr="00983884">
        <w:rPr>
          <w:rFonts w:ascii="Cambria" w:hAnsi="Cambria" w:cs="Arial"/>
          <w:sz w:val="20"/>
          <w:szCs w:val="20"/>
        </w:rPr>
        <w:t>If the appeal is inadmissible, the higher court must declare it is so, without making any ruling about the merits. It must also reject the appeal when it is evident that it is substantively out of order</w:t>
      </w:r>
      <w:r w:rsidR="00202702" w:rsidRPr="00983884">
        <w:rPr>
          <w:rFonts w:ascii="Cambria" w:hAnsi="Cambria" w:cs="Arial"/>
          <w:sz w:val="20"/>
          <w:szCs w:val="20"/>
        </w:rPr>
        <w:t>.</w:t>
      </w:r>
    </w:p>
    <w:p w:rsidR="00202702" w:rsidRPr="00983884" w:rsidRDefault="00202702" w:rsidP="00202702">
      <w:pPr>
        <w:jc w:val="both"/>
        <w:rPr>
          <w:rFonts w:ascii="Cambria" w:hAnsi="Cambria" w:cs="Cambria"/>
          <w:sz w:val="20"/>
          <w:szCs w:val="20"/>
        </w:rPr>
      </w:pPr>
    </w:p>
    <w:p w:rsidR="00202702" w:rsidRPr="00983884" w:rsidRDefault="005C2B5C" w:rsidP="00202702">
      <w:pPr>
        <w:numPr>
          <w:ilvl w:val="0"/>
          <w:numId w:val="104"/>
        </w:numPr>
        <w:jc w:val="both"/>
        <w:rPr>
          <w:rFonts w:ascii="Cambria" w:hAnsi="Cambria" w:cs="Cambria"/>
          <w:sz w:val="20"/>
          <w:szCs w:val="20"/>
        </w:rPr>
      </w:pPr>
      <w:r>
        <w:rPr>
          <w:rFonts w:ascii="Cambria" w:hAnsi="Cambria" w:cs="Cambria"/>
          <w:sz w:val="20"/>
          <w:szCs w:val="20"/>
        </w:rPr>
        <w:t>As for the extraordinary</w:t>
      </w:r>
      <w:r w:rsidR="005A7DD7" w:rsidRPr="00983884">
        <w:rPr>
          <w:rFonts w:ascii="Cambria" w:hAnsi="Cambria" w:cs="Cambria"/>
          <w:sz w:val="20"/>
          <w:szCs w:val="20"/>
        </w:rPr>
        <w:t xml:space="preserve"> federal appeal, the Civil and commercial Procedural Code of the Nation establishes the following</w:t>
      </w:r>
      <w:r w:rsidR="00202702" w:rsidRPr="00983884">
        <w:rPr>
          <w:rFonts w:ascii="Cambria" w:hAnsi="Cambria" w:cs="Cambria"/>
          <w:sz w:val="20"/>
          <w:szCs w:val="20"/>
        </w:rPr>
        <w:t xml:space="preserve">: </w:t>
      </w:r>
    </w:p>
    <w:p w:rsidR="00202702" w:rsidRPr="00983884" w:rsidRDefault="00202702" w:rsidP="00202702">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890"/>
        </w:tabs>
        <w:ind w:left="810"/>
        <w:jc w:val="both"/>
        <w:rPr>
          <w:sz w:val="20"/>
          <w:szCs w:val="20"/>
        </w:rPr>
      </w:pPr>
    </w:p>
    <w:p w:rsidR="00202702" w:rsidRPr="00983884" w:rsidRDefault="00202702" w:rsidP="00202702">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890"/>
        </w:tabs>
        <w:ind w:left="810" w:right="720"/>
        <w:jc w:val="both"/>
        <w:rPr>
          <w:sz w:val="20"/>
          <w:szCs w:val="20"/>
        </w:rPr>
      </w:pPr>
      <w:r w:rsidRPr="00983884">
        <w:rPr>
          <w:sz w:val="20"/>
          <w:szCs w:val="20"/>
        </w:rPr>
        <w:t>Art</w:t>
      </w:r>
      <w:r w:rsidR="005A7DD7" w:rsidRPr="00983884">
        <w:rPr>
          <w:sz w:val="20"/>
          <w:szCs w:val="20"/>
        </w:rPr>
        <w:t>icle</w:t>
      </w:r>
      <w:r w:rsidRPr="00983884">
        <w:rPr>
          <w:sz w:val="20"/>
          <w:szCs w:val="20"/>
        </w:rPr>
        <w:t xml:space="preserve"> 256.</w:t>
      </w:r>
      <w:r w:rsidR="005A7DD7" w:rsidRPr="00983884">
        <w:rPr>
          <w:sz w:val="20"/>
          <w:szCs w:val="20"/>
        </w:rPr>
        <w:t xml:space="preserve"> The </w:t>
      </w:r>
      <w:r w:rsidR="005C2B5C">
        <w:rPr>
          <w:sz w:val="20"/>
          <w:szCs w:val="20"/>
        </w:rPr>
        <w:t>extraordinary</w:t>
      </w:r>
      <w:r w:rsidR="005A7DD7" w:rsidRPr="00983884">
        <w:rPr>
          <w:sz w:val="20"/>
          <w:szCs w:val="20"/>
        </w:rPr>
        <w:t xml:space="preserve"> appeal </w:t>
      </w:r>
      <w:r w:rsidR="00B769F6">
        <w:rPr>
          <w:sz w:val="20"/>
          <w:szCs w:val="20"/>
        </w:rPr>
        <w:t>filed before</w:t>
      </w:r>
      <w:r w:rsidR="005A7DD7" w:rsidRPr="00983884">
        <w:rPr>
          <w:sz w:val="20"/>
          <w:szCs w:val="20"/>
        </w:rPr>
        <w:t xml:space="preserve"> the Supreme Court shall proceed on the basis of the assumptions </w:t>
      </w:r>
      <w:r w:rsidR="005C2B5C">
        <w:rPr>
          <w:sz w:val="20"/>
          <w:szCs w:val="20"/>
        </w:rPr>
        <w:t xml:space="preserve">established in </w:t>
      </w:r>
      <w:r w:rsidR="005A7DD7" w:rsidRPr="00983884">
        <w:rPr>
          <w:sz w:val="20"/>
          <w:szCs w:val="20"/>
        </w:rPr>
        <w:t>Article 14 of Law 48</w:t>
      </w:r>
      <w:r w:rsidRPr="00983884">
        <w:rPr>
          <w:sz w:val="20"/>
          <w:szCs w:val="20"/>
        </w:rPr>
        <w:t xml:space="preserve">. </w:t>
      </w:r>
    </w:p>
    <w:p w:rsidR="00202702" w:rsidRPr="00983884" w:rsidRDefault="00202702" w:rsidP="00202702">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890"/>
        </w:tabs>
        <w:ind w:left="810" w:right="720"/>
        <w:jc w:val="both"/>
        <w:rPr>
          <w:sz w:val="20"/>
          <w:szCs w:val="20"/>
        </w:rPr>
      </w:pPr>
    </w:p>
    <w:p w:rsidR="00202702" w:rsidRPr="00983884" w:rsidRDefault="00202702" w:rsidP="00202702">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890"/>
        </w:tabs>
        <w:ind w:left="810" w:right="720"/>
        <w:jc w:val="both"/>
        <w:rPr>
          <w:sz w:val="20"/>
          <w:szCs w:val="20"/>
        </w:rPr>
      </w:pPr>
      <w:r w:rsidRPr="00983884">
        <w:rPr>
          <w:sz w:val="20"/>
          <w:szCs w:val="20"/>
        </w:rPr>
        <w:t>Art</w:t>
      </w:r>
      <w:r w:rsidR="005A7DD7" w:rsidRPr="00983884">
        <w:rPr>
          <w:sz w:val="20"/>
          <w:szCs w:val="20"/>
        </w:rPr>
        <w:t>icle</w:t>
      </w:r>
      <w:r w:rsidRPr="00983884">
        <w:rPr>
          <w:sz w:val="20"/>
          <w:szCs w:val="20"/>
        </w:rPr>
        <w:t xml:space="preserve"> 257.</w:t>
      </w:r>
      <w:r w:rsidR="005A7DD7" w:rsidRPr="00983884">
        <w:rPr>
          <w:sz w:val="20"/>
          <w:szCs w:val="20"/>
        </w:rPr>
        <w:t xml:space="preserve"> The </w:t>
      </w:r>
      <w:r w:rsidR="005C2B5C">
        <w:rPr>
          <w:sz w:val="20"/>
          <w:szCs w:val="20"/>
        </w:rPr>
        <w:t>extraordinary</w:t>
      </w:r>
      <w:r w:rsidR="005A7DD7" w:rsidRPr="00983884">
        <w:rPr>
          <w:sz w:val="20"/>
          <w:szCs w:val="20"/>
        </w:rPr>
        <w:t xml:space="preserve"> appeal must be </w:t>
      </w:r>
      <w:r w:rsidR="00B769F6">
        <w:rPr>
          <w:sz w:val="20"/>
          <w:szCs w:val="20"/>
        </w:rPr>
        <w:t>filed before</w:t>
      </w:r>
      <w:r w:rsidR="001F1606" w:rsidRPr="00983884">
        <w:rPr>
          <w:sz w:val="20"/>
          <w:szCs w:val="20"/>
        </w:rPr>
        <w:t xml:space="preserve"> the judge, court, or administrative body that issued the ruling that is at the origin of the appeal and it must be filed</w:t>
      </w:r>
      <w:r w:rsidR="005A7DD7" w:rsidRPr="00983884">
        <w:rPr>
          <w:sz w:val="20"/>
          <w:szCs w:val="20"/>
        </w:rPr>
        <w:t xml:space="preserve"> in writing</w:t>
      </w:r>
      <w:r w:rsidR="001F1606" w:rsidRPr="00983884">
        <w:rPr>
          <w:sz w:val="20"/>
          <w:szCs w:val="20"/>
        </w:rPr>
        <w:t xml:space="preserve"> within ten (10) days of the notification, as well as </w:t>
      </w:r>
      <w:r w:rsidR="005A7DD7" w:rsidRPr="00983884">
        <w:rPr>
          <w:sz w:val="20"/>
          <w:szCs w:val="20"/>
        </w:rPr>
        <w:t>substantiated on the basis of what is set forth in Article 15 of Law 48</w:t>
      </w:r>
      <w:r w:rsidRPr="00983884">
        <w:rPr>
          <w:sz w:val="20"/>
          <w:szCs w:val="20"/>
        </w:rPr>
        <w:t>.</w:t>
      </w:r>
    </w:p>
    <w:p w:rsidR="00202702" w:rsidRPr="00983884" w:rsidRDefault="00202702" w:rsidP="00202702">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890"/>
        </w:tabs>
        <w:ind w:left="1440" w:right="720"/>
        <w:jc w:val="both"/>
        <w:rPr>
          <w:sz w:val="20"/>
          <w:szCs w:val="20"/>
        </w:rPr>
      </w:pPr>
    </w:p>
    <w:p w:rsidR="00202702" w:rsidRPr="00983884" w:rsidRDefault="001F1606" w:rsidP="00202702">
      <w:pPr>
        <w:numPr>
          <w:ilvl w:val="0"/>
          <w:numId w:val="104"/>
        </w:numPr>
        <w:jc w:val="both"/>
        <w:rPr>
          <w:rFonts w:ascii="Cambria" w:hAnsi="Cambria" w:cs="Cambria"/>
          <w:sz w:val="20"/>
          <w:szCs w:val="20"/>
        </w:rPr>
      </w:pPr>
      <w:r w:rsidRPr="00983884">
        <w:rPr>
          <w:rFonts w:ascii="Cambria" w:hAnsi="Cambria" w:cs="Cambria"/>
          <w:sz w:val="20"/>
          <w:szCs w:val="20"/>
        </w:rPr>
        <w:t>As for Article 14 of Law 48, it stipulates the following</w:t>
      </w:r>
      <w:r w:rsidR="00202702" w:rsidRPr="00983884">
        <w:rPr>
          <w:rFonts w:ascii="Cambria" w:hAnsi="Cambria" w:cs="Cambria"/>
          <w:sz w:val="20"/>
          <w:szCs w:val="20"/>
        </w:rPr>
        <w:t xml:space="preserve">: </w:t>
      </w:r>
    </w:p>
    <w:p w:rsidR="00202702" w:rsidRPr="00983884" w:rsidRDefault="00202702" w:rsidP="00202702">
      <w:pPr>
        <w:ind w:left="630"/>
        <w:jc w:val="both"/>
        <w:rPr>
          <w:rFonts w:ascii="Cambria" w:hAnsi="Cambria"/>
          <w:sz w:val="20"/>
          <w:szCs w:val="20"/>
        </w:rPr>
      </w:pPr>
    </w:p>
    <w:p w:rsidR="00202702" w:rsidRPr="00983884" w:rsidRDefault="001F1606" w:rsidP="00202702">
      <w:pPr>
        <w:ind w:left="720" w:right="720"/>
        <w:jc w:val="both"/>
        <w:rPr>
          <w:rFonts w:ascii="Cambria" w:hAnsi="Cambria"/>
          <w:sz w:val="20"/>
          <w:szCs w:val="20"/>
        </w:rPr>
      </w:pPr>
      <w:r w:rsidRPr="00983884">
        <w:rPr>
          <w:rFonts w:ascii="Cambria" w:hAnsi="Cambria"/>
          <w:sz w:val="20"/>
          <w:szCs w:val="20"/>
        </w:rPr>
        <w:t xml:space="preserve">Once a case has been filed in the Courts of the Province, it shall be </w:t>
      </w:r>
      <w:r w:rsidR="005D1AEA" w:rsidRPr="00983884">
        <w:rPr>
          <w:rFonts w:ascii="Cambria" w:hAnsi="Cambria"/>
          <w:sz w:val="20"/>
          <w:szCs w:val="20"/>
        </w:rPr>
        <w:t>heard and judged in the provincial jurisdiction, and judgments issued by superior provincial courts can only be appealed in the Supreme Court in the following cases:</w:t>
      </w:r>
    </w:p>
    <w:p w:rsidR="00202702" w:rsidRPr="00983884" w:rsidRDefault="00202702" w:rsidP="00202702">
      <w:pPr>
        <w:ind w:left="720" w:right="720"/>
        <w:jc w:val="both"/>
        <w:rPr>
          <w:rFonts w:ascii="Cambria" w:hAnsi="Cambria"/>
          <w:sz w:val="20"/>
          <w:szCs w:val="20"/>
        </w:rPr>
      </w:pPr>
    </w:p>
    <w:p w:rsidR="00202702" w:rsidRPr="00983884" w:rsidRDefault="005D1AEA" w:rsidP="00202702">
      <w:pPr>
        <w:ind w:left="720" w:right="720"/>
        <w:jc w:val="both"/>
        <w:rPr>
          <w:rFonts w:ascii="Cambria" w:hAnsi="Cambria"/>
          <w:sz w:val="20"/>
          <w:szCs w:val="20"/>
        </w:rPr>
      </w:pPr>
      <w:r w:rsidRPr="00983884">
        <w:rPr>
          <w:rFonts w:ascii="Cambria" w:hAnsi="Cambria"/>
          <w:sz w:val="20"/>
          <w:szCs w:val="20"/>
        </w:rPr>
        <w:t>When the complaint has challenged the validity of a Treaty, a Law enacted by Congress</w:t>
      </w:r>
      <w:r w:rsidR="005C2B5C">
        <w:rPr>
          <w:rFonts w:ascii="Cambria" w:hAnsi="Cambria"/>
          <w:sz w:val="20"/>
          <w:szCs w:val="20"/>
        </w:rPr>
        <w:t>,</w:t>
      </w:r>
      <w:r w:rsidRPr="00983884">
        <w:rPr>
          <w:rFonts w:ascii="Cambria" w:hAnsi="Cambria"/>
          <w:sz w:val="20"/>
          <w:szCs w:val="20"/>
        </w:rPr>
        <w:t xml:space="preserve"> or an authority exercised on behalf of the Nation and the ruling has been against its validity.</w:t>
      </w:r>
    </w:p>
    <w:p w:rsidR="00202702" w:rsidRPr="00983884" w:rsidRDefault="00202702" w:rsidP="00202702">
      <w:pPr>
        <w:ind w:left="720" w:right="720"/>
        <w:jc w:val="both"/>
        <w:rPr>
          <w:rFonts w:ascii="Cambria" w:hAnsi="Cambria"/>
          <w:sz w:val="20"/>
          <w:szCs w:val="20"/>
        </w:rPr>
      </w:pPr>
    </w:p>
    <w:p w:rsidR="00202702" w:rsidRPr="00983884" w:rsidRDefault="005D1AEA" w:rsidP="00202702">
      <w:pPr>
        <w:ind w:left="720" w:right="720"/>
        <w:jc w:val="both"/>
        <w:rPr>
          <w:rFonts w:ascii="Cambria" w:hAnsi="Cambria"/>
          <w:sz w:val="20"/>
          <w:szCs w:val="20"/>
        </w:rPr>
      </w:pPr>
      <w:r w:rsidRPr="00983884">
        <w:rPr>
          <w:rFonts w:ascii="Cambria" w:hAnsi="Cambria"/>
          <w:sz w:val="20"/>
          <w:szCs w:val="20"/>
        </w:rPr>
        <w:t>When the validity of a law, decree, or authority of a Province has been challenged because it is claimed that it goes against the National Constitution, Treaties</w:t>
      </w:r>
      <w:r w:rsidR="005C2B5C">
        <w:rPr>
          <w:rFonts w:ascii="Cambria" w:hAnsi="Cambria"/>
          <w:sz w:val="20"/>
          <w:szCs w:val="20"/>
        </w:rPr>
        <w:t>,</w:t>
      </w:r>
      <w:r w:rsidRPr="00983884">
        <w:rPr>
          <w:rFonts w:ascii="Cambria" w:hAnsi="Cambria"/>
          <w:sz w:val="20"/>
          <w:szCs w:val="20"/>
        </w:rPr>
        <w:t xml:space="preserve"> or laws enacted by Congress and the ruling has supported the validity of said law or provincial authority</w:t>
      </w:r>
      <w:r w:rsidR="00202702" w:rsidRPr="00983884">
        <w:rPr>
          <w:rFonts w:ascii="Cambria" w:hAnsi="Cambria"/>
          <w:sz w:val="20"/>
          <w:szCs w:val="20"/>
        </w:rPr>
        <w:t>.</w:t>
      </w:r>
    </w:p>
    <w:p w:rsidR="00202702" w:rsidRPr="00983884" w:rsidRDefault="00202702" w:rsidP="00202702">
      <w:pPr>
        <w:ind w:left="720" w:right="720"/>
        <w:jc w:val="both"/>
        <w:rPr>
          <w:rFonts w:ascii="Cambria" w:hAnsi="Cambria"/>
          <w:sz w:val="20"/>
          <w:szCs w:val="20"/>
        </w:rPr>
      </w:pPr>
    </w:p>
    <w:p w:rsidR="00202702" w:rsidRPr="00983884" w:rsidRDefault="005D1AEA" w:rsidP="00202702">
      <w:pPr>
        <w:ind w:left="720" w:right="720"/>
        <w:jc w:val="both"/>
        <w:rPr>
          <w:rFonts w:ascii="Cambria" w:hAnsi="Cambria"/>
          <w:sz w:val="20"/>
          <w:szCs w:val="20"/>
        </w:rPr>
      </w:pPr>
      <w:r w:rsidRPr="00983884">
        <w:rPr>
          <w:rFonts w:ascii="Cambria" w:hAnsi="Cambria"/>
          <w:sz w:val="20"/>
          <w:szCs w:val="20"/>
        </w:rPr>
        <w:t xml:space="preserve">When the intelligence of any clause of the Constitution or Treaty or law enacted by Congress or a commission </w:t>
      </w:r>
      <w:r w:rsidR="00741584" w:rsidRPr="00983884">
        <w:rPr>
          <w:rFonts w:ascii="Cambria" w:hAnsi="Cambria"/>
          <w:sz w:val="20"/>
          <w:szCs w:val="20"/>
        </w:rPr>
        <w:t>exercised on behalf of the national authority has been challenged and the decision goes against the validity of the title, right, privilege</w:t>
      </w:r>
      <w:r w:rsidR="00453C6D">
        <w:rPr>
          <w:rFonts w:ascii="Cambria" w:hAnsi="Cambria"/>
          <w:sz w:val="20"/>
          <w:szCs w:val="20"/>
        </w:rPr>
        <w:t>,</w:t>
      </w:r>
      <w:r w:rsidR="00741584" w:rsidRPr="00983884">
        <w:rPr>
          <w:rFonts w:ascii="Cambria" w:hAnsi="Cambria"/>
          <w:sz w:val="20"/>
          <w:szCs w:val="20"/>
        </w:rPr>
        <w:t xml:space="preserve"> or exemption on which said clause is based and is the target of litigation</w:t>
      </w:r>
      <w:r w:rsidR="00202702" w:rsidRPr="00983884">
        <w:rPr>
          <w:rFonts w:ascii="Cambria" w:hAnsi="Cambria"/>
          <w:sz w:val="20"/>
          <w:szCs w:val="20"/>
        </w:rPr>
        <w:t>.</w:t>
      </w:r>
    </w:p>
    <w:p w:rsidR="00202702" w:rsidRPr="00983884" w:rsidRDefault="00202702" w:rsidP="00202702">
      <w:pPr>
        <w:pStyle w:val="Heading2"/>
        <w:numPr>
          <w:ilvl w:val="0"/>
          <w:numId w:val="0"/>
        </w:numPr>
        <w:ind w:left="1440"/>
        <w:rPr>
          <w:lang w:val="en-US"/>
        </w:rPr>
      </w:pPr>
    </w:p>
    <w:p w:rsidR="00202702" w:rsidRPr="00983884" w:rsidRDefault="00741584" w:rsidP="00202702">
      <w:pPr>
        <w:pStyle w:val="Heading2"/>
        <w:numPr>
          <w:ilvl w:val="0"/>
          <w:numId w:val="107"/>
        </w:numPr>
        <w:rPr>
          <w:i/>
          <w:lang w:val="en-US"/>
        </w:rPr>
      </w:pPr>
      <w:bookmarkStart w:id="33" w:name="_Toc490826171"/>
      <w:bookmarkStart w:id="34" w:name="_Toc365193986"/>
      <w:r w:rsidRPr="00983884">
        <w:rPr>
          <w:lang w:val="en-US"/>
        </w:rPr>
        <w:t>Judicial practice in Argentina and the 2005 “Casal” judgment</w:t>
      </w:r>
      <w:bookmarkEnd w:id="33"/>
      <w:bookmarkEnd w:id="34"/>
    </w:p>
    <w:p w:rsidR="00202702" w:rsidRPr="00983884" w:rsidRDefault="00202702" w:rsidP="00202702">
      <w:pPr>
        <w:tabs>
          <w:tab w:val="left" w:pos="1440"/>
          <w:tab w:val="left" w:pos="1890"/>
        </w:tabs>
        <w:jc w:val="both"/>
        <w:rPr>
          <w:rFonts w:ascii="Cambria" w:hAnsi="Cambria" w:cs="Cambria"/>
          <w:sz w:val="20"/>
          <w:szCs w:val="20"/>
        </w:rPr>
      </w:pPr>
    </w:p>
    <w:p w:rsidR="00202702" w:rsidRPr="00983884" w:rsidRDefault="00741584" w:rsidP="00202702">
      <w:pPr>
        <w:numPr>
          <w:ilvl w:val="0"/>
          <w:numId w:val="104"/>
        </w:numPr>
        <w:jc w:val="both"/>
        <w:rPr>
          <w:rFonts w:ascii="Cambria" w:hAnsi="Cambria" w:cs="Cambria"/>
          <w:sz w:val="20"/>
          <w:szCs w:val="20"/>
        </w:rPr>
      </w:pPr>
      <w:r w:rsidRPr="00983884">
        <w:rPr>
          <w:rFonts w:ascii="Cambria" w:hAnsi="Cambria" w:cs="Cambria"/>
          <w:sz w:val="20"/>
          <w:szCs w:val="20"/>
        </w:rPr>
        <w:t xml:space="preserve">From the above, it turns out that the legal framework applicable at the time of the incidents in the Province of Mendoza envisaged the </w:t>
      </w:r>
      <w:r w:rsidR="00DF49C8">
        <w:rPr>
          <w:rFonts w:ascii="Cambria" w:hAnsi="Cambria" w:cs="Cambria"/>
          <w:sz w:val="20"/>
          <w:szCs w:val="20"/>
        </w:rPr>
        <w:t xml:space="preserve">cassation </w:t>
      </w:r>
      <w:r w:rsidRPr="00983884">
        <w:rPr>
          <w:rFonts w:ascii="Cambria" w:hAnsi="Cambria" w:cs="Cambria"/>
          <w:sz w:val="20"/>
          <w:szCs w:val="20"/>
        </w:rPr>
        <w:t xml:space="preserve">appeal as a means to appeal a </w:t>
      </w:r>
      <w:r w:rsidR="00DF49C8">
        <w:rPr>
          <w:rFonts w:ascii="Cambria" w:hAnsi="Cambria" w:cs="Cambria"/>
          <w:sz w:val="20"/>
          <w:szCs w:val="20"/>
        </w:rPr>
        <w:t>judgment of conviction</w:t>
      </w:r>
      <w:r w:rsidRPr="00983884">
        <w:rPr>
          <w:rFonts w:ascii="Cambria" w:hAnsi="Cambria" w:cs="Cambria"/>
          <w:sz w:val="20"/>
          <w:szCs w:val="20"/>
        </w:rPr>
        <w:t xml:space="preserve"> issued by a judge of the court of first instance. The IACHR recalls that, </w:t>
      </w:r>
      <w:r w:rsidR="00453C6D">
        <w:rPr>
          <w:rFonts w:ascii="Cambria" w:hAnsi="Cambria" w:cs="Cambria"/>
          <w:sz w:val="20"/>
          <w:szCs w:val="20"/>
        </w:rPr>
        <w:t>as</w:t>
      </w:r>
      <w:r w:rsidRPr="00983884">
        <w:rPr>
          <w:rFonts w:ascii="Cambria" w:hAnsi="Cambria" w:cs="Cambria"/>
          <w:sz w:val="20"/>
          <w:szCs w:val="20"/>
        </w:rPr>
        <w:t xml:space="preserve"> described above, the </w:t>
      </w:r>
      <w:r w:rsidR="00DF49C8">
        <w:rPr>
          <w:rFonts w:ascii="Cambria" w:hAnsi="Cambria" w:cs="Cambria"/>
          <w:sz w:val="20"/>
          <w:szCs w:val="20"/>
        </w:rPr>
        <w:t xml:space="preserve">cassation </w:t>
      </w:r>
      <w:r w:rsidRPr="00983884">
        <w:rPr>
          <w:rFonts w:ascii="Cambria" w:hAnsi="Cambria" w:cs="Cambria"/>
          <w:sz w:val="20"/>
          <w:szCs w:val="20"/>
        </w:rPr>
        <w:t>appeal is governed by similar terms in the legislation applicable to the federal capital and in the legislation applicable to the Province of Mendoza</w:t>
      </w:r>
      <w:r w:rsidR="00202702" w:rsidRPr="00983884">
        <w:rPr>
          <w:rFonts w:ascii="Cambria" w:hAnsi="Cambria"/>
          <w:sz w:val="20"/>
          <w:szCs w:val="20"/>
        </w:rPr>
        <w:t>.</w:t>
      </w:r>
    </w:p>
    <w:p w:rsidR="00202702" w:rsidRPr="00983884" w:rsidRDefault="00202702" w:rsidP="00202702">
      <w:pPr>
        <w:tabs>
          <w:tab w:val="left" w:pos="1440"/>
        </w:tabs>
        <w:ind w:left="720"/>
        <w:jc w:val="both"/>
        <w:rPr>
          <w:rFonts w:ascii="Cambria" w:hAnsi="Cambria" w:cs="Cambria"/>
          <w:sz w:val="20"/>
          <w:szCs w:val="20"/>
        </w:rPr>
      </w:pPr>
    </w:p>
    <w:p w:rsidR="00202702" w:rsidRPr="00983884" w:rsidRDefault="00741584" w:rsidP="00202702">
      <w:pPr>
        <w:numPr>
          <w:ilvl w:val="0"/>
          <w:numId w:val="104"/>
        </w:numPr>
        <w:jc w:val="both"/>
        <w:rPr>
          <w:rFonts w:ascii="Cambria" w:hAnsi="Cambria" w:cs="Cambria"/>
          <w:sz w:val="20"/>
          <w:szCs w:val="20"/>
        </w:rPr>
      </w:pPr>
      <w:r w:rsidRPr="00983884">
        <w:rPr>
          <w:rFonts w:ascii="Cambria" w:hAnsi="Cambria" w:cs="Cambria"/>
          <w:sz w:val="20"/>
          <w:szCs w:val="20"/>
        </w:rPr>
        <w:t>The Supreme Court of Ju</w:t>
      </w:r>
      <w:r w:rsidR="0043116D" w:rsidRPr="00983884">
        <w:rPr>
          <w:rFonts w:ascii="Cambria" w:hAnsi="Cambria" w:cs="Cambria"/>
          <w:sz w:val="20"/>
          <w:szCs w:val="20"/>
        </w:rPr>
        <w:t>stice of the Nation in the judg</w:t>
      </w:r>
      <w:r w:rsidRPr="00983884">
        <w:rPr>
          <w:rFonts w:ascii="Cambria" w:hAnsi="Cambria" w:cs="Cambria"/>
          <w:sz w:val="20"/>
          <w:szCs w:val="20"/>
        </w:rPr>
        <w:t xml:space="preserve">ment known as the “Casal judgment,” issued on September 20, 2005, referred to how the judges and, in particular, the National </w:t>
      </w:r>
      <w:r w:rsidR="00BF3E45">
        <w:rPr>
          <w:rFonts w:ascii="Cambria" w:hAnsi="Cambria" w:cs="Cambria"/>
          <w:sz w:val="20"/>
          <w:szCs w:val="20"/>
        </w:rPr>
        <w:t xml:space="preserve">Courts of </w:t>
      </w:r>
      <w:r w:rsidRPr="00983884">
        <w:rPr>
          <w:rFonts w:ascii="Cambria" w:hAnsi="Cambria" w:cs="Cambria"/>
          <w:sz w:val="20"/>
          <w:szCs w:val="20"/>
        </w:rPr>
        <w:t xml:space="preserve">Criminal </w:t>
      </w:r>
      <w:r w:rsidR="00453C6D">
        <w:rPr>
          <w:rFonts w:ascii="Cambria" w:hAnsi="Cambria" w:cs="Cambria"/>
          <w:sz w:val="20"/>
          <w:szCs w:val="20"/>
        </w:rPr>
        <w:t xml:space="preserve">Cassation </w:t>
      </w:r>
      <w:r w:rsidRPr="00983884">
        <w:rPr>
          <w:rFonts w:ascii="Cambria" w:hAnsi="Cambria" w:cs="Cambria"/>
          <w:sz w:val="20"/>
          <w:szCs w:val="20"/>
        </w:rPr>
        <w:t>Appeals restrictively interpreted the scope of the rev</w:t>
      </w:r>
      <w:r w:rsidR="0043116D" w:rsidRPr="00983884">
        <w:rPr>
          <w:rFonts w:ascii="Cambria" w:hAnsi="Cambria" w:cs="Cambria"/>
          <w:sz w:val="20"/>
          <w:szCs w:val="20"/>
        </w:rPr>
        <w:t xml:space="preserve">iewable case on the basis of a cassation </w:t>
      </w:r>
      <w:r w:rsidRPr="00983884">
        <w:rPr>
          <w:rFonts w:ascii="Cambria" w:hAnsi="Cambria" w:cs="Cambria"/>
          <w:sz w:val="20"/>
          <w:szCs w:val="20"/>
        </w:rPr>
        <w:t>appeal</w:t>
      </w:r>
      <w:r w:rsidR="0043116D" w:rsidRPr="00983884">
        <w:rPr>
          <w:rFonts w:ascii="Cambria" w:hAnsi="Cambria" w:cs="Cambria"/>
          <w:sz w:val="20"/>
          <w:szCs w:val="20"/>
        </w:rPr>
        <w:t>. In the words of the Supreme Court of Justice of the Nation:</w:t>
      </w:r>
    </w:p>
    <w:p w:rsidR="00202702" w:rsidRPr="00983884" w:rsidRDefault="00202702" w:rsidP="00202702">
      <w:pPr>
        <w:tabs>
          <w:tab w:val="left" w:pos="1440"/>
          <w:tab w:val="left" w:pos="1890"/>
        </w:tabs>
        <w:ind w:left="720" w:right="720"/>
        <w:jc w:val="both"/>
        <w:rPr>
          <w:rFonts w:ascii="Cambria" w:hAnsi="Cambria" w:cs="Cambria"/>
          <w:sz w:val="20"/>
          <w:szCs w:val="20"/>
        </w:rPr>
      </w:pPr>
    </w:p>
    <w:p w:rsidR="00202702" w:rsidRPr="00983884" w:rsidRDefault="0043116D" w:rsidP="00202702">
      <w:pPr>
        <w:tabs>
          <w:tab w:val="left" w:pos="1440"/>
          <w:tab w:val="left" w:pos="1890"/>
        </w:tabs>
        <w:ind w:left="720" w:right="720"/>
        <w:jc w:val="both"/>
        <w:rPr>
          <w:rFonts w:ascii="Cambria" w:hAnsi="Cambria" w:cs="Cambria"/>
          <w:sz w:val="20"/>
          <w:szCs w:val="20"/>
        </w:rPr>
      </w:pPr>
      <w:r w:rsidRPr="00983884">
        <w:rPr>
          <w:rFonts w:ascii="Cambria" w:hAnsi="Cambria" w:cs="Cambria"/>
          <w:sz w:val="20"/>
          <w:szCs w:val="20"/>
        </w:rPr>
        <w:t xml:space="preserve">It is illustrative, for explanatory purposes, to stress that this concept of differentiation between matters of fact and law, defects </w:t>
      </w:r>
      <w:r w:rsidRPr="00983884">
        <w:rPr>
          <w:rFonts w:ascii="Cambria" w:hAnsi="Cambria" w:cs="Cambria"/>
          <w:i/>
          <w:sz w:val="20"/>
          <w:szCs w:val="20"/>
        </w:rPr>
        <w:t>in iudicando</w:t>
      </w:r>
      <w:r w:rsidRPr="00983884">
        <w:rPr>
          <w:rFonts w:ascii="Cambria" w:hAnsi="Cambria" w:cs="Cambria"/>
          <w:sz w:val="20"/>
          <w:szCs w:val="20"/>
        </w:rPr>
        <w:t xml:space="preserve"> and defects </w:t>
      </w:r>
      <w:r w:rsidRPr="00983884">
        <w:rPr>
          <w:rFonts w:ascii="Cambria" w:hAnsi="Cambria" w:cs="Cambria"/>
          <w:i/>
          <w:sz w:val="20"/>
          <w:szCs w:val="20"/>
        </w:rPr>
        <w:t>in procedendo</w:t>
      </w:r>
      <w:r w:rsidRPr="00983884">
        <w:rPr>
          <w:rFonts w:ascii="Cambria" w:hAnsi="Cambria" w:cs="Cambria"/>
          <w:sz w:val="20"/>
          <w:szCs w:val="20"/>
        </w:rPr>
        <w:t>, defects of activity</w:t>
      </w:r>
      <w:r w:rsidR="00453C6D">
        <w:rPr>
          <w:rFonts w:ascii="Cambria" w:hAnsi="Cambria" w:cs="Cambria"/>
          <w:sz w:val="20"/>
          <w:szCs w:val="20"/>
        </w:rPr>
        <w:t>,</w:t>
      </w:r>
      <w:r w:rsidRPr="00983884">
        <w:rPr>
          <w:rFonts w:ascii="Cambria" w:hAnsi="Cambria" w:cs="Cambria"/>
          <w:sz w:val="20"/>
          <w:szCs w:val="20"/>
        </w:rPr>
        <w:t xml:space="preserve"> and defects of judgment or any other differential classification on targeted matters has distorted the practice of filing appeals in the National </w:t>
      </w:r>
      <w:r w:rsidR="00B717A6">
        <w:rPr>
          <w:rFonts w:ascii="Cambria" w:hAnsi="Cambria" w:cs="Cambria"/>
          <w:sz w:val="20"/>
          <w:szCs w:val="20"/>
        </w:rPr>
        <w:t xml:space="preserve">Courts of </w:t>
      </w:r>
      <w:r w:rsidRPr="00983884">
        <w:rPr>
          <w:rFonts w:ascii="Cambria" w:hAnsi="Cambria" w:cs="Cambria"/>
          <w:sz w:val="20"/>
          <w:szCs w:val="20"/>
        </w:rPr>
        <w:t xml:space="preserve">Cassation </w:t>
      </w:r>
      <w:r w:rsidR="00B717A6">
        <w:rPr>
          <w:rFonts w:ascii="Cambria" w:hAnsi="Cambria" w:cs="Cambria"/>
          <w:sz w:val="20"/>
          <w:szCs w:val="20"/>
        </w:rPr>
        <w:t>Appeals</w:t>
      </w:r>
      <w:r w:rsidR="00202702" w:rsidRPr="00983884">
        <w:rPr>
          <w:rFonts w:ascii="Cambria" w:hAnsi="Cambria" w:cs="Cambria"/>
          <w:sz w:val="20"/>
          <w:szCs w:val="20"/>
        </w:rPr>
        <w:t xml:space="preserve">. </w:t>
      </w:r>
    </w:p>
    <w:p w:rsidR="00202702" w:rsidRPr="00983884" w:rsidRDefault="00202702" w:rsidP="00202702">
      <w:pPr>
        <w:tabs>
          <w:tab w:val="left" w:pos="1440"/>
          <w:tab w:val="left" w:pos="1890"/>
        </w:tabs>
        <w:ind w:left="720" w:right="720"/>
        <w:jc w:val="both"/>
        <w:rPr>
          <w:rFonts w:ascii="Cambria" w:hAnsi="Cambria" w:cs="Cambria"/>
          <w:sz w:val="20"/>
          <w:szCs w:val="20"/>
        </w:rPr>
      </w:pPr>
    </w:p>
    <w:p w:rsidR="00202702" w:rsidRPr="00983884" w:rsidRDefault="00BF3E45" w:rsidP="00202702">
      <w:pPr>
        <w:tabs>
          <w:tab w:val="left" w:pos="1440"/>
          <w:tab w:val="left" w:pos="1890"/>
        </w:tabs>
        <w:ind w:left="720" w:right="720"/>
        <w:jc w:val="both"/>
        <w:rPr>
          <w:rFonts w:ascii="Cambria" w:hAnsi="Cambria" w:cs="Cambria"/>
          <w:sz w:val="20"/>
          <w:szCs w:val="20"/>
        </w:rPr>
      </w:pPr>
      <w:r>
        <w:rPr>
          <w:rFonts w:ascii="Cambria" w:hAnsi="Cambria" w:cs="Cambria"/>
          <w:sz w:val="20"/>
          <w:szCs w:val="20"/>
        </w:rPr>
        <w:t>The</w:t>
      </w:r>
      <w:r w:rsidR="00202702" w:rsidRPr="00983884">
        <w:rPr>
          <w:rFonts w:ascii="Cambria" w:hAnsi="Cambria" w:cs="Cambria"/>
          <w:sz w:val="20"/>
          <w:szCs w:val="20"/>
        </w:rPr>
        <w:t xml:space="preserve"> </w:t>
      </w:r>
      <w:r w:rsidR="003F7AB3" w:rsidRPr="00983884">
        <w:rPr>
          <w:rFonts w:ascii="Cambria" w:hAnsi="Cambria" w:cs="Cambria"/>
          <w:sz w:val="20"/>
          <w:szCs w:val="20"/>
        </w:rPr>
        <w:t>complain</w:t>
      </w:r>
      <w:r>
        <w:rPr>
          <w:rFonts w:ascii="Cambria" w:hAnsi="Cambria" w:cs="Cambria"/>
          <w:sz w:val="20"/>
          <w:szCs w:val="20"/>
        </w:rPr>
        <w:t>an</w:t>
      </w:r>
      <w:r w:rsidR="003F7AB3" w:rsidRPr="00983884">
        <w:rPr>
          <w:rFonts w:ascii="Cambria" w:hAnsi="Cambria" w:cs="Cambria"/>
          <w:sz w:val="20"/>
          <w:szCs w:val="20"/>
        </w:rPr>
        <w:t>ts, in general, warned about the restrictive policy in admitting appeals, attempt to focus the grievances they are developing on the basis of the formulation of subparagraph 1 of Article 456 of the Criminal Proceedings Code of the Nation</w:t>
      </w:r>
      <w:r w:rsidR="00202702" w:rsidRPr="00983884">
        <w:rPr>
          <w:rFonts w:ascii="Cambria" w:hAnsi="Cambria" w:cs="Cambria"/>
          <w:sz w:val="20"/>
          <w:szCs w:val="20"/>
        </w:rPr>
        <w:t xml:space="preserve">, </w:t>
      </w:r>
      <w:r w:rsidR="003F7AB3" w:rsidRPr="00983884">
        <w:rPr>
          <w:rFonts w:ascii="Cambria" w:hAnsi="Cambria" w:cs="Cambria"/>
          <w:sz w:val="20"/>
          <w:szCs w:val="20"/>
        </w:rPr>
        <w:t xml:space="preserve">in other words, </w:t>
      </w:r>
      <w:r>
        <w:rPr>
          <w:rFonts w:ascii="Cambria" w:hAnsi="Cambria" w:cs="Cambria"/>
          <w:sz w:val="20"/>
          <w:szCs w:val="20"/>
        </w:rPr>
        <w:t xml:space="preserve">under </w:t>
      </w:r>
      <w:r w:rsidR="003F7AB3" w:rsidRPr="00983884">
        <w:rPr>
          <w:rFonts w:ascii="Cambria" w:hAnsi="Cambria" w:cs="Cambria"/>
          <w:sz w:val="20"/>
          <w:szCs w:val="20"/>
        </w:rPr>
        <w:t xml:space="preserve">the assumption of failure to </w:t>
      </w:r>
      <w:r>
        <w:rPr>
          <w:rFonts w:ascii="Cambria" w:hAnsi="Cambria" w:cs="Cambria"/>
          <w:sz w:val="20"/>
          <w:szCs w:val="20"/>
        </w:rPr>
        <w:t>observe</w:t>
      </w:r>
      <w:r w:rsidR="003F7AB3" w:rsidRPr="00983884">
        <w:rPr>
          <w:rFonts w:ascii="Cambria" w:hAnsi="Cambria" w:cs="Cambria"/>
          <w:sz w:val="20"/>
          <w:szCs w:val="20"/>
        </w:rPr>
        <w:t xml:space="preserve"> or erroneous application of the substantive law, in case where problems of </w:t>
      </w:r>
      <w:r>
        <w:rPr>
          <w:rFonts w:ascii="Cambria" w:hAnsi="Cambria" w:cs="Cambria"/>
          <w:sz w:val="20"/>
          <w:szCs w:val="20"/>
        </w:rPr>
        <w:t xml:space="preserve">classification </w:t>
      </w:r>
      <w:r w:rsidR="003F7AB3" w:rsidRPr="00983884">
        <w:rPr>
          <w:rFonts w:ascii="Cambria" w:hAnsi="Cambria" w:cs="Cambria"/>
          <w:sz w:val="20"/>
          <w:szCs w:val="20"/>
        </w:rPr>
        <w:t>are discussed</w:t>
      </w:r>
      <w:r w:rsidR="00202702" w:rsidRPr="00983884">
        <w:rPr>
          <w:rFonts w:ascii="Cambria" w:hAnsi="Cambria" w:cs="Cambria"/>
          <w:sz w:val="20"/>
          <w:szCs w:val="20"/>
        </w:rPr>
        <w:t xml:space="preserve">. </w:t>
      </w:r>
      <w:r w:rsidR="00BA009F" w:rsidRPr="00983884">
        <w:rPr>
          <w:rFonts w:ascii="Cambria" w:hAnsi="Cambria" w:cs="Cambria"/>
          <w:sz w:val="20"/>
          <w:szCs w:val="20"/>
        </w:rPr>
        <w:t>The truth is that a large part of these objections introduce and, at the same time, focus on problems that have to do with the facts, evidence, and their appraisal</w:t>
      </w:r>
      <w:r w:rsidR="00202702" w:rsidRPr="00983884">
        <w:rPr>
          <w:rFonts w:ascii="Cambria" w:hAnsi="Cambria" w:cs="Cambria"/>
          <w:sz w:val="20"/>
          <w:szCs w:val="20"/>
        </w:rPr>
        <w:t xml:space="preserve">, </w:t>
      </w:r>
      <w:r w:rsidR="00BA009F" w:rsidRPr="00983884">
        <w:rPr>
          <w:rFonts w:ascii="Cambria" w:hAnsi="Cambria" w:cs="Cambria"/>
          <w:sz w:val="20"/>
          <w:szCs w:val="20"/>
        </w:rPr>
        <w:t xml:space="preserve">whether to demonstrate the existence or absence of some element of an objective kind, </w:t>
      </w:r>
      <w:r w:rsidR="00FC41E7">
        <w:rPr>
          <w:rFonts w:ascii="Cambria" w:hAnsi="Cambria" w:cs="Cambria"/>
          <w:sz w:val="20"/>
          <w:szCs w:val="20"/>
        </w:rPr>
        <w:t xml:space="preserve">willful misconduct, </w:t>
      </w:r>
      <w:r w:rsidR="00BA009F" w:rsidRPr="00983884">
        <w:rPr>
          <w:rFonts w:ascii="Cambria" w:hAnsi="Cambria" w:cs="Cambria"/>
          <w:sz w:val="20"/>
          <w:szCs w:val="20"/>
        </w:rPr>
        <w:t>or subje</w:t>
      </w:r>
      <w:r w:rsidR="00FC41E7">
        <w:rPr>
          <w:rFonts w:ascii="Cambria" w:hAnsi="Cambria" w:cs="Cambria"/>
          <w:sz w:val="20"/>
          <w:szCs w:val="20"/>
        </w:rPr>
        <w:t>ctive elements other than the willful misconduct</w:t>
      </w:r>
      <w:r w:rsidR="00BA009F" w:rsidRPr="00983884">
        <w:rPr>
          <w:rFonts w:ascii="Cambria" w:hAnsi="Cambria" w:cs="Cambria"/>
          <w:sz w:val="20"/>
          <w:szCs w:val="20"/>
        </w:rPr>
        <w:t xml:space="preserve"> comprising the criminal classification.</w:t>
      </w:r>
      <w:r w:rsidR="00202702" w:rsidRPr="00983884">
        <w:rPr>
          <w:rFonts w:ascii="Cambria" w:hAnsi="Cambria" w:cs="Cambria"/>
          <w:sz w:val="20"/>
          <w:szCs w:val="20"/>
        </w:rPr>
        <w:t xml:space="preserve"> </w:t>
      </w:r>
    </w:p>
    <w:p w:rsidR="00202702" w:rsidRPr="00983884" w:rsidRDefault="00202702" w:rsidP="00202702">
      <w:pPr>
        <w:tabs>
          <w:tab w:val="left" w:pos="1440"/>
          <w:tab w:val="left" w:pos="1890"/>
        </w:tabs>
        <w:ind w:left="720" w:right="720"/>
        <w:jc w:val="both"/>
        <w:rPr>
          <w:rFonts w:ascii="Cambria" w:hAnsi="Cambria" w:cs="Cambria"/>
          <w:sz w:val="20"/>
          <w:szCs w:val="20"/>
        </w:rPr>
      </w:pPr>
    </w:p>
    <w:p w:rsidR="00202702" w:rsidRPr="00983884" w:rsidRDefault="00202702" w:rsidP="00202702">
      <w:pPr>
        <w:tabs>
          <w:tab w:val="left" w:pos="1440"/>
          <w:tab w:val="left" w:pos="1890"/>
        </w:tabs>
        <w:ind w:left="720" w:right="720"/>
        <w:jc w:val="both"/>
        <w:rPr>
          <w:rFonts w:ascii="Cambria" w:hAnsi="Cambria" w:cs="Cambria"/>
          <w:sz w:val="20"/>
          <w:szCs w:val="20"/>
        </w:rPr>
      </w:pPr>
      <w:r w:rsidRPr="00983884">
        <w:rPr>
          <w:rFonts w:ascii="Cambria" w:hAnsi="Cambria" w:cs="Cambria"/>
          <w:sz w:val="20"/>
          <w:szCs w:val="20"/>
        </w:rPr>
        <w:t xml:space="preserve">[…] </w:t>
      </w:r>
      <w:r w:rsidR="00BA009F" w:rsidRPr="00983884">
        <w:rPr>
          <w:rFonts w:ascii="Cambria" w:hAnsi="Cambria" w:cs="Cambria"/>
          <w:sz w:val="20"/>
          <w:szCs w:val="20"/>
        </w:rPr>
        <w:t xml:space="preserve">it is well known that defenders, aware of the jurisprudential reluctance to discuss the grievances associated with </w:t>
      </w:r>
      <w:r w:rsidR="00FC41E7">
        <w:rPr>
          <w:rFonts w:ascii="Cambria" w:hAnsi="Cambria" w:cs="Cambria"/>
          <w:sz w:val="20"/>
          <w:szCs w:val="20"/>
        </w:rPr>
        <w:t xml:space="preserve">the </w:t>
      </w:r>
      <w:r w:rsidR="00BA009F" w:rsidRPr="00983884">
        <w:rPr>
          <w:rFonts w:ascii="Cambria" w:hAnsi="Cambria" w:cs="Cambria"/>
          <w:sz w:val="20"/>
          <w:szCs w:val="20"/>
        </w:rPr>
        <w:t>fact</w:t>
      </w:r>
      <w:r w:rsidR="00FC41E7">
        <w:rPr>
          <w:rFonts w:ascii="Cambria" w:hAnsi="Cambria" w:cs="Cambria"/>
          <w:sz w:val="20"/>
          <w:szCs w:val="20"/>
        </w:rPr>
        <w:t>s</w:t>
      </w:r>
      <w:r w:rsidR="00BA009F" w:rsidRPr="00983884">
        <w:rPr>
          <w:rFonts w:ascii="Cambria" w:hAnsi="Cambria" w:cs="Cambria"/>
          <w:sz w:val="20"/>
          <w:szCs w:val="20"/>
        </w:rPr>
        <w:t xml:space="preserve"> or the evidence and its appraisal in the framework of cassation appeals, tend</w:t>
      </w:r>
      <w:r w:rsidR="00DF49C8">
        <w:rPr>
          <w:rFonts w:ascii="Cambria" w:hAnsi="Cambria" w:cs="Cambria"/>
          <w:sz w:val="20"/>
          <w:szCs w:val="20"/>
        </w:rPr>
        <w:t xml:space="preserve"> to</w:t>
      </w:r>
      <w:r w:rsidR="00BA009F" w:rsidRPr="00983884">
        <w:rPr>
          <w:rFonts w:ascii="Cambria" w:hAnsi="Cambria" w:cs="Cambria"/>
          <w:sz w:val="20"/>
          <w:szCs w:val="20"/>
        </w:rPr>
        <w:t xml:space="preserve"> force the scope of subparagraph 1 of Article 456 of the Criminal Proceedings Code of the Nation.</w:t>
      </w:r>
      <w:r w:rsidRPr="00983884">
        <w:rPr>
          <w:rStyle w:val="FootnoteReference"/>
          <w:rFonts w:ascii="Cambria" w:hAnsi="Cambria"/>
          <w:sz w:val="20"/>
          <w:szCs w:val="20"/>
        </w:rPr>
        <w:footnoteReference w:id="3"/>
      </w:r>
    </w:p>
    <w:p w:rsidR="00202702" w:rsidRPr="00983884" w:rsidRDefault="00202702" w:rsidP="00202702">
      <w:pPr>
        <w:tabs>
          <w:tab w:val="left" w:pos="1440"/>
          <w:tab w:val="left" w:pos="1890"/>
        </w:tabs>
        <w:jc w:val="both"/>
        <w:rPr>
          <w:rFonts w:ascii="Cambria" w:hAnsi="Cambria" w:cs="Cambria"/>
          <w:sz w:val="20"/>
          <w:szCs w:val="20"/>
        </w:rPr>
      </w:pPr>
    </w:p>
    <w:p w:rsidR="00202702" w:rsidRPr="00983884" w:rsidRDefault="00202702" w:rsidP="00202702">
      <w:pPr>
        <w:numPr>
          <w:ilvl w:val="0"/>
          <w:numId w:val="104"/>
        </w:numPr>
        <w:jc w:val="both"/>
        <w:rPr>
          <w:rFonts w:ascii="Cambria" w:hAnsi="Cambria" w:cs="Cambria"/>
          <w:sz w:val="20"/>
          <w:szCs w:val="20"/>
        </w:rPr>
      </w:pPr>
      <w:r w:rsidRPr="00983884">
        <w:rPr>
          <w:rFonts w:ascii="Cambria" w:hAnsi="Cambria" w:cs="Cambria"/>
          <w:sz w:val="20"/>
          <w:szCs w:val="20"/>
        </w:rPr>
        <w:t>P</w:t>
      </w:r>
      <w:r w:rsidR="00BA009F" w:rsidRPr="00983884">
        <w:rPr>
          <w:rFonts w:ascii="Cambria" w:hAnsi="Cambria" w:cs="Cambria"/>
          <w:sz w:val="20"/>
          <w:szCs w:val="20"/>
        </w:rPr>
        <w:t xml:space="preserve">recisely after considering </w:t>
      </w:r>
      <w:r w:rsidR="00FC41E7">
        <w:rPr>
          <w:rFonts w:ascii="Cambria" w:hAnsi="Cambria" w:cs="Cambria"/>
          <w:sz w:val="20"/>
          <w:szCs w:val="20"/>
        </w:rPr>
        <w:t xml:space="preserve">that </w:t>
      </w:r>
      <w:r w:rsidR="00BA009F" w:rsidRPr="00983884">
        <w:rPr>
          <w:rFonts w:ascii="Cambria" w:hAnsi="Cambria" w:cs="Cambria"/>
          <w:sz w:val="20"/>
          <w:szCs w:val="20"/>
        </w:rPr>
        <w:t>the distinction between matters of law, on the one hand, and matters of fact or appraisal of evidence, on the other hand, must not determine the scope of the cassation appeal review, the Supreme Court of Justice of the Nation iss</w:t>
      </w:r>
      <w:r w:rsidR="00FC41E7">
        <w:rPr>
          <w:rFonts w:ascii="Cambria" w:hAnsi="Cambria" w:cs="Cambria"/>
          <w:sz w:val="20"/>
          <w:szCs w:val="20"/>
        </w:rPr>
        <w:t xml:space="preserve">ued </w:t>
      </w:r>
      <w:r w:rsidR="00BA009F" w:rsidRPr="00983884">
        <w:rPr>
          <w:rFonts w:ascii="Cambria" w:hAnsi="Cambria" w:cs="Cambria"/>
          <w:sz w:val="20"/>
          <w:szCs w:val="20"/>
        </w:rPr>
        <w:t>the Casal judgment, whereby it provided a broad</w:t>
      </w:r>
      <w:r w:rsidR="00FC41E7">
        <w:rPr>
          <w:rFonts w:ascii="Cambria" w:hAnsi="Cambria" w:cs="Cambria"/>
          <w:sz w:val="20"/>
          <w:szCs w:val="20"/>
        </w:rPr>
        <w:t>er</w:t>
      </w:r>
      <w:r w:rsidR="00BA009F" w:rsidRPr="00983884">
        <w:rPr>
          <w:rFonts w:ascii="Cambria" w:hAnsi="Cambria" w:cs="Cambria"/>
          <w:sz w:val="20"/>
          <w:szCs w:val="20"/>
        </w:rPr>
        <w:t xml:space="preserve"> interpretation</w:t>
      </w:r>
      <w:r w:rsidR="00FC41E7">
        <w:rPr>
          <w:rFonts w:ascii="Cambria" w:hAnsi="Cambria" w:cs="Cambria"/>
          <w:sz w:val="20"/>
          <w:szCs w:val="20"/>
        </w:rPr>
        <w:t>. The Casal judgment provides a highly relevant assessment of the regulatory framework and practice at the time of incidents,</w:t>
      </w:r>
      <w:r w:rsidR="00BA009F" w:rsidRPr="00983884">
        <w:rPr>
          <w:rFonts w:ascii="Cambria" w:hAnsi="Cambria" w:cs="Cambria"/>
          <w:sz w:val="20"/>
          <w:szCs w:val="20"/>
        </w:rPr>
        <w:t xml:space="preserve"> and thus certain considerations are presented in the section on analysis of law that are relevant to make the recommendations, specifically about the non-repetition component</w:t>
      </w:r>
      <w:r w:rsidRPr="00983884">
        <w:rPr>
          <w:rFonts w:ascii="Cambria" w:hAnsi="Cambria" w:cs="Cambria"/>
          <w:sz w:val="20"/>
          <w:szCs w:val="20"/>
        </w:rPr>
        <w:t xml:space="preserve">.   </w:t>
      </w:r>
    </w:p>
    <w:p w:rsidR="00202702" w:rsidRPr="00983884" w:rsidRDefault="00202702" w:rsidP="00202702">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890"/>
        </w:tabs>
        <w:ind w:left="810"/>
        <w:jc w:val="both"/>
        <w:rPr>
          <w:sz w:val="20"/>
          <w:szCs w:val="20"/>
        </w:rPr>
      </w:pPr>
    </w:p>
    <w:p w:rsidR="00202702" w:rsidRPr="00983884" w:rsidRDefault="0070086A" w:rsidP="00202702">
      <w:pPr>
        <w:numPr>
          <w:ilvl w:val="0"/>
          <w:numId w:val="104"/>
        </w:numPr>
        <w:jc w:val="both"/>
        <w:rPr>
          <w:rFonts w:ascii="Cambria" w:hAnsi="Cambria" w:cs="Cambria"/>
          <w:sz w:val="20"/>
          <w:szCs w:val="20"/>
        </w:rPr>
      </w:pPr>
      <w:r w:rsidRPr="00983884">
        <w:rPr>
          <w:rFonts w:ascii="Cambria" w:hAnsi="Cambria" w:cs="Cambria"/>
          <w:sz w:val="20"/>
          <w:szCs w:val="20"/>
        </w:rPr>
        <w:t>Bearing in mind that the relevant proce</w:t>
      </w:r>
      <w:r w:rsidR="00FC41E7">
        <w:rPr>
          <w:rFonts w:ascii="Cambria" w:hAnsi="Cambria" w:cs="Cambria"/>
          <w:sz w:val="20"/>
          <w:szCs w:val="20"/>
        </w:rPr>
        <w:t>edings</w:t>
      </w:r>
      <w:r w:rsidRPr="00983884">
        <w:rPr>
          <w:rFonts w:ascii="Cambria" w:hAnsi="Cambria" w:cs="Cambria"/>
          <w:sz w:val="20"/>
          <w:szCs w:val="20"/>
        </w:rPr>
        <w:t xml:space="preserve"> for the present case culminated before the issuance of the Casal judgment, the Commission does not deem it necessary to specify, at the present time, the scope of said ruling. This is without detriment to the considerations that are included in the section on analysis of law and that are relevant for making the recommendations, specifically about the non-repetition component</w:t>
      </w:r>
      <w:r w:rsidR="00202702" w:rsidRPr="00983884">
        <w:rPr>
          <w:rFonts w:ascii="Cambria" w:hAnsi="Cambria" w:cs="Cambria"/>
          <w:sz w:val="20"/>
          <w:szCs w:val="20"/>
        </w:rPr>
        <w:t xml:space="preserve">.   </w:t>
      </w:r>
    </w:p>
    <w:p w:rsidR="00202702" w:rsidRPr="00983884" w:rsidRDefault="00202702" w:rsidP="00202702">
      <w:pPr>
        <w:pStyle w:val="Heading2"/>
        <w:numPr>
          <w:ilvl w:val="0"/>
          <w:numId w:val="0"/>
        </w:numPr>
        <w:ind w:left="1440"/>
        <w:rPr>
          <w:lang w:val="en-US"/>
        </w:rPr>
      </w:pPr>
    </w:p>
    <w:p w:rsidR="00202702" w:rsidRPr="00BC74F3" w:rsidRDefault="00202702">
      <w:pPr>
        <w:rPr>
          <w:rFonts w:ascii="Cambria" w:eastAsia="MS Gothic" w:hAnsi="Cambria"/>
          <w:b/>
          <w:bCs/>
          <w:sz w:val="22"/>
          <w:szCs w:val="26"/>
        </w:rPr>
      </w:pPr>
      <w:bookmarkStart w:id="35" w:name="_Toc490826172"/>
      <w:r w:rsidRPr="00983884">
        <w:br w:type="page"/>
      </w:r>
    </w:p>
    <w:p w:rsidR="00202702" w:rsidRPr="00983884" w:rsidRDefault="00202702" w:rsidP="00202702">
      <w:pPr>
        <w:pStyle w:val="Heading2"/>
        <w:rPr>
          <w:lang w:val="en-US"/>
        </w:rPr>
      </w:pPr>
      <w:bookmarkStart w:id="36" w:name="_Toc365193987"/>
      <w:r w:rsidRPr="00983884">
        <w:rPr>
          <w:lang w:val="en-US"/>
        </w:rPr>
        <w:t xml:space="preserve">Oscar Raúl Gorigoitia </w:t>
      </w:r>
      <w:r w:rsidR="0070086A" w:rsidRPr="00983884">
        <w:rPr>
          <w:lang w:val="en-US"/>
        </w:rPr>
        <w:t>and the criminal proceedings against him</w:t>
      </w:r>
      <w:bookmarkEnd w:id="35"/>
      <w:bookmarkEnd w:id="36"/>
    </w:p>
    <w:p w:rsidR="00202702" w:rsidRPr="00983884" w:rsidRDefault="00202702" w:rsidP="00202702">
      <w:pPr>
        <w:jc w:val="both"/>
        <w:rPr>
          <w:rFonts w:ascii="Cambria" w:hAnsi="Cambria"/>
          <w:sz w:val="20"/>
          <w:szCs w:val="20"/>
        </w:rPr>
      </w:pPr>
    </w:p>
    <w:p w:rsidR="00202702" w:rsidRPr="00983884" w:rsidRDefault="00202702" w:rsidP="00202702">
      <w:pPr>
        <w:numPr>
          <w:ilvl w:val="0"/>
          <w:numId w:val="104"/>
        </w:numPr>
        <w:jc w:val="both"/>
        <w:rPr>
          <w:rFonts w:ascii="Cambria" w:hAnsi="Cambria"/>
          <w:sz w:val="20"/>
          <w:szCs w:val="20"/>
        </w:rPr>
      </w:pPr>
      <w:r w:rsidRPr="00983884">
        <w:rPr>
          <w:rFonts w:ascii="Cambria" w:hAnsi="Cambria"/>
          <w:sz w:val="20"/>
          <w:szCs w:val="20"/>
        </w:rPr>
        <w:t xml:space="preserve">Oscar Raúl Gorigoitia </w:t>
      </w:r>
      <w:r w:rsidR="0070086A" w:rsidRPr="00983884">
        <w:rPr>
          <w:rFonts w:ascii="Cambria" w:hAnsi="Cambria"/>
          <w:sz w:val="20"/>
          <w:szCs w:val="20"/>
        </w:rPr>
        <w:t>is a n</w:t>
      </w:r>
      <w:r w:rsidR="00FC41E7">
        <w:rPr>
          <w:rFonts w:ascii="Cambria" w:hAnsi="Cambria"/>
          <w:sz w:val="20"/>
          <w:szCs w:val="20"/>
        </w:rPr>
        <w:t>aturalized Argentine national, born</w:t>
      </w:r>
      <w:r w:rsidR="0070086A" w:rsidRPr="00983884">
        <w:rPr>
          <w:rFonts w:ascii="Cambria" w:hAnsi="Cambria"/>
          <w:sz w:val="20"/>
          <w:szCs w:val="20"/>
        </w:rPr>
        <w:t xml:space="preserve"> on July 29, 1949.</w:t>
      </w:r>
      <w:r w:rsidRPr="00983884">
        <w:rPr>
          <w:rStyle w:val="FootnoteReference"/>
          <w:rFonts w:ascii="Cambria" w:hAnsi="Cambria"/>
          <w:sz w:val="20"/>
          <w:szCs w:val="20"/>
        </w:rPr>
        <w:footnoteReference w:id="4"/>
      </w:r>
      <w:r w:rsidRPr="00983884">
        <w:rPr>
          <w:rFonts w:ascii="Cambria" w:hAnsi="Cambria"/>
          <w:sz w:val="20"/>
          <w:szCs w:val="20"/>
        </w:rPr>
        <w:t xml:space="preserve"> A</w:t>
      </w:r>
      <w:r w:rsidR="0070086A" w:rsidRPr="00983884">
        <w:rPr>
          <w:rFonts w:ascii="Cambria" w:hAnsi="Cambria"/>
          <w:sz w:val="20"/>
          <w:szCs w:val="20"/>
        </w:rPr>
        <w:t xml:space="preserve">t the time of the incidents, he was </w:t>
      </w:r>
      <w:r w:rsidR="00FC41E7">
        <w:rPr>
          <w:rFonts w:ascii="Cambria" w:hAnsi="Cambria"/>
          <w:sz w:val="20"/>
          <w:szCs w:val="20"/>
        </w:rPr>
        <w:t>Staff Serge</w:t>
      </w:r>
      <w:r w:rsidR="0070086A" w:rsidRPr="00983884">
        <w:rPr>
          <w:rFonts w:ascii="Cambria" w:hAnsi="Cambria"/>
          <w:sz w:val="20"/>
          <w:szCs w:val="20"/>
        </w:rPr>
        <w:t>a</w:t>
      </w:r>
      <w:r w:rsidR="00FC41E7">
        <w:rPr>
          <w:rFonts w:ascii="Cambria" w:hAnsi="Cambria"/>
          <w:sz w:val="20"/>
          <w:szCs w:val="20"/>
        </w:rPr>
        <w:t>n</w:t>
      </w:r>
      <w:r w:rsidR="0070086A" w:rsidRPr="00983884">
        <w:rPr>
          <w:rFonts w:ascii="Cambria" w:hAnsi="Cambria"/>
          <w:sz w:val="20"/>
          <w:szCs w:val="20"/>
        </w:rPr>
        <w:t>t of the Police Force of Mendoza and member of the Motorized Unit.</w:t>
      </w:r>
      <w:r w:rsidRPr="00983884">
        <w:rPr>
          <w:rStyle w:val="FootnoteReference"/>
          <w:rFonts w:ascii="Cambria" w:hAnsi="Cambria"/>
          <w:sz w:val="20"/>
          <w:szCs w:val="20"/>
        </w:rPr>
        <w:footnoteReference w:id="5"/>
      </w:r>
      <w:r w:rsidRPr="00983884">
        <w:rPr>
          <w:rFonts w:ascii="Cambria" w:hAnsi="Cambria"/>
          <w:sz w:val="20"/>
          <w:szCs w:val="20"/>
        </w:rPr>
        <w:t xml:space="preserve"> </w:t>
      </w:r>
      <w:r w:rsidR="0070086A" w:rsidRPr="00983884">
        <w:rPr>
          <w:rFonts w:ascii="Cambria" w:hAnsi="Cambria"/>
          <w:sz w:val="20"/>
          <w:szCs w:val="20"/>
        </w:rPr>
        <w:t xml:space="preserve">The next of kin of Mr. </w:t>
      </w:r>
      <w:r w:rsidRPr="00983884">
        <w:rPr>
          <w:rFonts w:ascii="Cambria" w:hAnsi="Cambria"/>
          <w:sz w:val="20"/>
          <w:szCs w:val="20"/>
        </w:rPr>
        <w:t xml:space="preserve">Gorigoitia </w:t>
      </w:r>
      <w:r w:rsidR="0070086A" w:rsidRPr="00983884">
        <w:rPr>
          <w:rFonts w:ascii="Cambria" w:hAnsi="Cambria"/>
          <w:sz w:val="20"/>
          <w:szCs w:val="20"/>
        </w:rPr>
        <w:t xml:space="preserve">is comprised of his spouse </w:t>
      </w:r>
      <w:r w:rsidRPr="00983884">
        <w:rPr>
          <w:rFonts w:ascii="Cambria" w:hAnsi="Cambria"/>
          <w:sz w:val="20"/>
          <w:szCs w:val="20"/>
        </w:rPr>
        <w:t xml:space="preserve">Berta Montenegro </w:t>
      </w:r>
      <w:r w:rsidR="0070086A" w:rsidRPr="00983884">
        <w:rPr>
          <w:rFonts w:ascii="Cambria" w:hAnsi="Cambria"/>
          <w:sz w:val="20"/>
          <w:szCs w:val="20"/>
        </w:rPr>
        <w:t>and his three children.</w:t>
      </w:r>
      <w:r w:rsidRPr="00983884">
        <w:rPr>
          <w:rStyle w:val="FootnoteReference"/>
          <w:rFonts w:ascii="Cambria" w:hAnsi="Cambria"/>
          <w:sz w:val="20"/>
          <w:szCs w:val="20"/>
        </w:rPr>
        <w:footnoteReference w:id="6"/>
      </w:r>
    </w:p>
    <w:p w:rsidR="00202702" w:rsidRPr="00983884" w:rsidRDefault="00202702" w:rsidP="00202702">
      <w:pPr>
        <w:jc w:val="both"/>
        <w:rPr>
          <w:rFonts w:ascii="Cambria" w:hAnsi="Cambria"/>
          <w:sz w:val="20"/>
          <w:szCs w:val="20"/>
        </w:rPr>
      </w:pPr>
    </w:p>
    <w:p w:rsidR="00202702" w:rsidRPr="00983884" w:rsidRDefault="00FC41E7" w:rsidP="00202702">
      <w:pPr>
        <w:numPr>
          <w:ilvl w:val="0"/>
          <w:numId w:val="104"/>
        </w:numPr>
        <w:jc w:val="both"/>
        <w:rPr>
          <w:rFonts w:ascii="Cambria" w:hAnsi="Cambria"/>
          <w:sz w:val="20"/>
          <w:szCs w:val="20"/>
        </w:rPr>
      </w:pPr>
      <w:r>
        <w:rPr>
          <w:rFonts w:ascii="Cambria" w:hAnsi="Cambria"/>
          <w:sz w:val="20"/>
          <w:szCs w:val="20"/>
        </w:rPr>
        <w:t>The criminal proceedings aga</w:t>
      </w:r>
      <w:r w:rsidR="0070086A" w:rsidRPr="00983884">
        <w:rPr>
          <w:rFonts w:ascii="Cambria" w:hAnsi="Cambria"/>
          <w:sz w:val="20"/>
          <w:szCs w:val="20"/>
        </w:rPr>
        <w:t xml:space="preserve">inst him were filed for the crime of homicide as a result of the death of Mr. </w:t>
      </w:r>
      <w:r w:rsidR="00202702" w:rsidRPr="00983884">
        <w:rPr>
          <w:rFonts w:ascii="Cambria" w:hAnsi="Cambria"/>
          <w:sz w:val="20"/>
          <w:szCs w:val="20"/>
        </w:rPr>
        <w:t xml:space="preserve">Hugo Alejandro Gómez </w:t>
      </w:r>
      <w:r w:rsidR="0070086A" w:rsidRPr="00983884">
        <w:rPr>
          <w:rFonts w:ascii="Cambria" w:hAnsi="Cambria"/>
          <w:sz w:val="20"/>
          <w:szCs w:val="20"/>
        </w:rPr>
        <w:t>on August</w:t>
      </w:r>
      <w:r w:rsidR="00202702" w:rsidRPr="00983884">
        <w:rPr>
          <w:rFonts w:ascii="Cambria" w:hAnsi="Cambria"/>
          <w:sz w:val="20"/>
          <w:szCs w:val="20"/>
        </w:rPr>
        <w:t xml:space="preserve"> 31</w:t>
      </w:r>
      <w:r w:rsidR="0070086A" w:rsidRPr="00983884">
        <w:rPr>
          <w:rFonts w:ascii="Cambria" w:hAnsi="Cambria"/>
          <w:sz w:val="20"/>
          <w:szCs w:val="20"/>
        </w:rPr>
        <w:t>,</w:t>
      </w:r>
      <w:r w:rsidR="00202702" w:rsidRPr="00983884">
        <w:rPr>
          <w:rFonts w:ascii="Cambria" w:hAnsi="Cambria"/>
          <w:sz w:val="20"/>
          <w:szCs w:val="20"/>
        </w:rPr>
        <w:t xml:space="preserve"> 1996 </w:t>
      </w:r>
      <w:r w:rsidR="0070086A" w:rsidRPr="00983884">
        <w:rPr>
          <w:rFonts w:ascii="Cambria" w:hAnsi="Cambria"/>
          <w:sz w:val="20"/>
          <w:szCs w:val="20"/>
        </w:rPr>
        <w:t>in the context of a police chase after the latter</w:t>
      </w:r>
      <w:r>
        <w:rPr>
          <w:rFonts w:ascii="Cambria" w:hAnsi="Cambria"/>
          <w:sz w:val="20"/>
          <w:szCs w:val="20"/>
        </w:rPr>
        <w:t xml:space="preserve"> failed to obey the order to</w:t>
      </w:r>
      <w:r w:rsidR="0070086A" w:rsidRPr="00983884">
        <w:rPr>
          <w:rFonts w:ascii="Cambria" w:hAnsi="Cambria"/>
          <w:sz w:val="20"/>
          <w:szCs w:val="20"/>
        </w:rPr>
        <w:t xml:space="preserve"> get out of his motor vehicle.  In said situation, backup was requested and four motorized police officers arrive at the scene, among whom </w:t>
      </w:r>
      <w:r w:rsidR="00202702" w:rsidRPr="00983884">
        <w:rPr>
          <w:rFonts w:ascii="Cambria" w:hAnsi="Cambria"/>
          <w:sz w:val="20"/>
          <w:szCs w:val="20"/>
        </w:rPr>
        <w:t xml:space="preserve">Oscar Raúl Gorigoitia, </w:t>
      </w:r>
      <w:r w:rsidR="0070086A" w:rsidRPr="00983884">
        <w:rPr>
          <w:rFonts w:ascii="Cambria" w:hAnsi="Cambria"/>
          <w:sz w:val="20"/>
          <w:szCs w:val="20"/>
        </w:rPr>
        <w:t>who was with V</w:t>
      </w:r>
      <w:r w:rsidR="00202702" w:rsidRPr="00983884">
        <w:rPr>
          <w:rFonts w:ascii="Cambria" w:hAnsi="Cambria"/>
          <w:sz w:val="20"/>
          <w:szCs w:val="20"/>
        </w:rPr>
        <w:t xml:space="preserve">íctor Agüero. </w:t>
      </w:r>
      <w:r w:rsidR="0070086A" w:rsidRPr="00983884">
        <w:rPr>
          <w:rFonts w:ascii="Cambria" w:hAnsi="Cambria"/>
          <w:sz w:val="20"/>
          <w:szCs w:val="20"/>
        </w:rPr>
        <w:t>It was indicated that, after shots were fired by Mr.</w:t>
      </w:r>
      <w:r w:rsidR="00202702" w:rsidRPr="00983884">
        <w:rPr>
          <w:rFonts w:ascii="Cambria" w:hAnsi="Cambria"/>
          <w:sz w:val="20"/>
          <w:szCs w:val="20"/>
        </w:rPr>
        <w:t xml:space="preserve"> Gorigoitia, </w:t>
      </w:r>
      <w:r w:rsidR="0070086A" w:rsidRPr="00983884">
        <w:rPr>
          <w:rFonts w:ascii="Cambria" w:hAnsi="Cambria"/>
          <w:sz w:val="20"/>
          <w:szCs w:val="20"/>
        </w:rPr>
        <w:t>Sergeant</w:t>
      </w:r>
      <w:r w:rsidR="00202702" w:rsidRPr="00983884">
        <w:rPr>
          <w:rFonts w:ascii="Cambria" w:hAnsi="Cambria"/>
          <w:sz w:val="20"/>
          <w:szCs w:val="20"/>
        </w:rPr>
        <w:t xml:space="preserve"> Hugo Sarmiento </w:t>
      </w:r>
      <w:r w:rsidR="00263CD8" w:rsidRPr="00983884">
        <w:rPr>
          <w:rFonts w:ascii="Cambria" w:hAnsi="Cambria"/>
          <w:sz w:val="20"/>
          <w:szCs w:val="20"/>
        </w:rPr>
        <w:t xml:space="preserve">fired two shots </w:t>
      </w:r>
      <w:r>
        <w:rPr>
          <w:rFonts w:ascii="Cambria" w:hAnsi="Cambria"/>
          <w:sz w:val="20"/>
          <w:szCs w:val="20"/>
        </w:rPr>
        <w:t>at</w:t>
      </w:r>
      <w:r w:rsidR="00263CD8" w:rsidRPr="00983884">
        <w:rPr>
          <w:rFonts w:ascii="Cambria" w:hAnsi="Cambria"/>
          <w:sz w:val="20"/>
          <w:szCs w:val="20"/>
        </w:rPr>
        <w:t xml:space="preserve"> the lower part of the </w:t>
      </w:r>
      <w:r w:rsidR="005134EE">
        <w:rPr>
          <w:rFonts w:ascii="Cambria" w:hAnsi="Cambria"/>
          <w:sz w:val="20"/>
          <w:szCs w:val="20"/>
        </w:rPr>
        <w:t>moving car</w:t>
      </w:r>
      <w:r w:rsidR="00263CD8" w:rsidRPr="00983884">
        <w:rPr>
          <w:rFonts w:ascii="Cambria" w:hAnsi="Cambria"/>
          <w:sz w:val="20"/>
          <w:szCs w:val="20"/>
        </w:rPr>
        <w:t>, hitting the rear hood with one shot an</w:t>
      </w:r>
      <w:r w:rsidR="0042126D">
        <w:rPr>
          <w:rFonts w:ascii="Cambria" w:hAnsi="Cambria"/>
          <w:sz w:val="20"/>
          <w:szCs w:val="20"/>
        </w:rPr>
        <w:t>d a metal panel of the car’s body with the other sho</w:t>
      </w:r>
      <w:r w:rsidR="00263CD8" w:rsidRPr="00983884">
        <w:rPr>
          <w:rFonts w:ascii="Cambria" w:hAnsi="Cambria"/>
          <w:sz w:val="20"/>
          <w:szCs w:val="20"/>
        </w:rPr>
        <w:t xml:space="preserve">t. The car driven by Mr. </w:t>
      </w:r>
      <w:r w:rsidR="00202702" w:rsidRPr="00983884">
        <w:rPr>
          <w:rFonts w:ascii="Cambria" w:hAnsi="Cambria"/>
          <w:sz w:val="20"/>
          <w:szCs w:val="20"/>
        </w:rPr>
        <w:t>Gómez s</w:t>
      </w:r>
      <w:r w:rsidR="00263CD8" w:rsidRPr="00983884">
        <w:rPr>
          <w:rFonts w:ascii="Cambria" w:hAnsi="Cambria"/>
          <w:sz w:val="20"/>
          <w:szCs w:val="20"/>
        </w:rPr>
        <w:t xml:space="preserve">topped after these shots, and he was taken to a hospital where he was </w:t>
      </w:r>
      <w:r w:rsidR="0042126D">
        <w:rPr>
          <w:rFonts w:ascii="Cambria" w:hAnsi="Cambria"/>
          <w:sz w:val="20"/>
          <w:szCs w:val="20"/>
        </w:rPr>
        <w:t>pronounced</w:t>
      </w:r>
      <w:r w:rsidR="00263CD8" w:rsidRPr="00983884">
        <w:rPr>
          <w:rFonts w:ascii="Cambria" w:hAnsi="Cambria"/>
          <w:sz w:val="20"/>
          <w:szCs w:val="20"/>
        </w:rPr>
        <w:t xml:space="preserve"> dead as a result of acute anemia because of internal hemorrhaging produced by the</w:t>
      </w:r>
      <w:r w:rsidR="0042126D">
        <w:rPr>
          <w:rFonts w:ascii="Cambria" w:hAnsi="Cambria"/>
          <w:sz w:val="20"/>
          <w:szCs w:val="20"/>
        </w:rPr>
        <w:t xml:space="preserve"> wound of</w:t>
      </w:r>
      <w:r w:rsidR="00263CD8" w:rsidRPr="00983884">
        <w:rPr>
          <w:rFonts w:ascii="Cambria" w:hAnsi="Cambria"/>
          <w:sz w:val="20"/>
          <w:szCs w:val="20"/>
        </w:rPr>
        <w:t xml:space="preserve"> </w:t>
      </w:r>
      <w:r w:rsidR="0042126D">
        <w:rPr>
          <w:rFonts w:ascii="Cambria" w:hAnsi="Cambria"/>
          <w:sz w:val="20"/>
          <w:szCs w:val="20"/>
        </w:rPr>
        <w:t xml:space="preserve">a </w:t>
      </w:r>
      <w:r w:rsidR="00263CD8" w:rsidRPr="00983884">
        <w:rPr>
          <w:rFonts w:ascii="Cambria" w:hAnsi="Cambria"/>
          <w:sz w:val="20"/>
          <w:szCs w:val="20"/>
        </w:rPr>
        <w:t>bullet from a firearm</w:t>
      </w:r>
      <w:r w:rsidR="00202702" w:rsidRPr="00983884">
        <w:rPr>
          <w:rFonts w:ascii="Cambria" w:hAnsi="Cambria"/>
          <w:sz w:val="20"/>
          <w:szCs w:val="20"/>
        </w:rPr>
        <w:t>.</w:t>
      </w:r>
    </w:p>
    <w:p w:rsidR="00202702" w:rsidRPr="00983884" w:rsidRDefault="00202702" w:rsidP="00202702">
      <w:pPr>
        <w:ind w:left="720"/>
        <w:jc w:val="both"/>
        <w:rPr>
          <w:rFonts w:ascii="Cambria" w:hAnsi="Cambria"/>
          <w:sz w:val="20"/>
          <w:szCs w:val="20"/>
        </w:rPr>
      </w:pPr>
    </w:p>
    <w:p w:rsidR="00202702" w:rsidRPr="00983884" w:rsidRDefault="00AE40B6" w:rsidP="00202702">
      <w:pPr>
        <w:numPr>
          <w:ilvl w:val="0"/>
          <w:numId w:val="104"/>
        </w:numPr>
        <w:jc w:val="both"/>
        <w:rPr>
          <w:rFonts w:ascii="Cambria" w:hAnsi="Cambria"/>
          <w:sz w:val="20"/>
          <w:szCs w:val="20"/>
        </w:rPr>
      </w:pPr>
      <w:r w:rsidRPr="00983884">
        <w:rPr>
          <w:rFonts w:ascii="Cambria" w:hAnsi="Cambria"/>
          <w:sz w:val="20"/>
          <w:szCs w:val="20"/>
        </w:rPr>
        <w:t xml:space="preserve">That same day, Mr. </w:t>
      </w:r>
      <w:r w:rsidR="00202702" w:rsidRPr="00983884">
        <w:rPr>
          <w:rFonts w:ascii="Cambria" w:hAnsi="Cambria"/>
          <w:sz w:val="20"/>
          <w:szCs w:val="20"/>
        </w:rPr>
        <w:t xml:space="preserve">Gorigoitia </w:t>
      </w:r>
      <w:r w:rsidRPr="00983884">
        <w:rPr>
          <w:rFonts w:ascii="Cambria" w:hAnsi="Cambria"/>
          <w:sz w:val="20"/>
          <w:szCs w:val="20"/>
        </w:rPr>
        <w:t xml:space="preserve">and other police </w:t>
      </w:r>
      <w:r w:rsidR="0042126D">
        <w:rPr>
          <w:rFonts w:ascii="Cambria" w:hAnsi="Cambria"/>
          <w:sz w:val="20"/>
          <w:szCs w:val="20"/>
        </w:rPr>
        <w:t>officers</w:t>
      </w:r>
      <w:r w:rsidRPr="00983884">
        <w:rPr>
          <w:rFonts w:ascii="Cambria" w:hAnsi="Cambria"/>
          <w:sz w:val="20"/>
          <w:szCs w:val="20"/>
        </w:rPr>
        <w:t xml:space="preserve"> who participated in the chase were called to the Police Substation. The investigating judge appeared and proceeded to arrest said persons</w:t>
      </w:r>
      <w:r w:rsidR="00202702" w:rsidRPr="00983884">
        <w:rPr>
          <w:rFonts w:ascii="Cambria" w:hAnsi="Cambria"/>
          <w:sz w:val="20"/>
          <w:szCs w:val="20"/>
        </w:rPr>
        <w:t xml:space="preserve">. </w:t>
      </w:r>
    </w:p>
    <w:p w:rsidR="00202702" w:rsidRPr="00983884" w:rsidRDefault="00202702" w:rsidP="00202702">
      <w:pPr>
        <w:jc w:val="both"/>
        <w:rPr>
          <w:rFonts w:ascii="Cambria" w:hAnsi="Cambria"/>
          <w:sz w:val="20"/>
          <w:szCs w:val="20"/>
        </w:rPr>
      </w:pPr>
    </w:p>
    <w:p w:rsidR="00202702" w:rsidRPr="00983884" w:rsidRDefault="00AE40B6" w:rsidP="00202702">
      <w:pPr>
        <w:numPr>
          <w:ilvl w:val="0"/>
          <w:numId w:val="104"/>
        </w:numPr>
        <w:jc w:val="both"/>
        <w:rPr>
          <w:rFonts w:ascii="Cambria" w:hAnsi="Cambria"/>
          <w:sz w:val="20"/>
          <w:szCs w:val="20"/>
        </w:rPr>
      </w:pPr>
      <w:r w:rsidRPr="00983884">
        <w:rPr>
          <w:rFonts w:ascii="Cambria" w:hAnsi="Cambria"/>
          <w:sz w:val="20"/>
          <w:szCs w:val="20"/>
        </w:rPr>
        <w:t xml:space="preserve">On September 6, </w:t>
      </w:r>
      <w:r w:rsidR="00202702" w:rsidRPr="00983884">
        <w:rPr>
          <w:rFonts w:ascii="Cambria" w:hAnsi="Cambria"/>
          <w:sz w:val="20"/>
          <w:szCs w:val="20"/>
        </w:rPr>
        <w:t>1996</w:t>
      </w:r>
      <w:r w:rsidRPr="00983884">
        <w:rPr>
          <w:rFonts w:ascii="Cambria" w:hAnsi="Cambria"/>
          <w:sz w:val="20"/>
          <w:szCs w:val="20"/>
        </w:rPr>
        <w:t xml:space="preserve">, a court ruling was issued whereby proceedings were filed against Mr. </w:t>
      </w:r>
      <w:r w:rsidR="00202702" w:rsidRPr="00983884">
        <w:rPr>
          <w:rFonts w:ascii="Cambria" w:hAnsi="Cambria"/>
          <w:sz w:val="20"/>
          <w:szCs w:val="20"/>
        </w:rPr>
        <w:t xml:space="preserve">Gorigoitia </w:t>
      </w:r>
      <w:r w:rsidRPr="00983884">
        <w:rPr>
          <w:rFonts w:ascii="Cambria" w:hAnsi="Cambria"/>
          <w:sz w:val="20"/>
          <w:szCs w:val="20"/>
        </w:rPr>
        <w:t>for the crime of homicide, on the basis of Article</w:t>
      </w:r>
      <w:r w:rsidR="00202702" w:rsidRPr="00983884">
        <w:rPr>
          <w:rFonts w:ascii="Cambria" w:hAnsi="Cambria"/>
          <w:sz w:val="20"/>
          <w:szCs w:val="20"/>
        </w:rPr>
        <w:t xml:space="preserve"> 79 </w:t>
      </w:r>
      <w:r w:rsidRPr="00983884">
        <w:rPr>
          <w:rFonts w:ascii="Cambria" w:hAnsi="Cambria"/>
          <w:sz w:val="20"/>
          <w:szCs w:val="20"/>
        </w:rPr>
        <w:t>of the Criminal Code and Article 307 of the Criminal Proceedings Code. The judge indicated the following</w:t>
      </w:r>
      <w:r w:rsidR="00202702" w:rsidRPr="00983884">
        <w:rPr>
          <w:rFonts w:ascii="Cambria" w:hAnsi="Cambria"/>
          <w:sz w:val="20"/>
          <w:szCs w:val="20"/>
        </w:rPr>
        <w:t>:</w:t>
      </w:r>
    </w:p>
    <w:p w:rsidR="00202702" w:rsidRPr="00983884" w:rsidRDefault="00202702" w:rsidP="00202702">
      <w:pPr>
        <w:jc w:val="both"/>
        <w:rPr>
          <w:rFonts w:ascii="Cambria" w:hAnsi="Cambria"/>
          <w:sz w:val="20"/>
          <w:szCs w:val="20"/>
        </w:rPr>
      </w:pPr>
    </w:p>
    <w:p w:rsidR="00202702" w:rsidRPr="00983884" w:rsidRDefault="00AE40B6" w:rsidP="00202702">
      <w:pPr>
        <w:pStyle w:val="ColorfulList-Accent12"/>
        <w:rPr>
          <w:lang w:val="en-US"/>
        </w:rPr>
      </w:pPr>
      <w:r w:rsidRPr="00983884">
        <w:rPr>
          <w:lang w:val="en-US"/>
        </w:rPr>
        <w:t>In short, the death of the victim f</w:t>
      </w:r>
      <w:r w:rsidR="0042126D">
        <w:rPr>
          <w:lang w:val="en-US"/>
        </w:rPr>
        <w:t>rom the shot of a firearm, the lodging</w:t>
      </w:r>
      <w:r w:rsidRPr="00983884">
        <w:rPr>
          <w:lang w:val="en-US"/>
        </w:rPr>
        <w:t xml:space="preserve"> of the bullet as a result of the firing, </w:t>
      </w:r>
      <w:r w:rsidR="0042126D">
        <w:rPr>
          <w:lang w:val="en-US"/>
        </w:rPr>
        <w:t xml:space="preserve">the </w:t>
      </w:r>
      <w:r w:rsidRPr="00983884">
        <w:rPr>
          <w:lang w:val="en-US"/>
        </w:rPr>
        <w:t xml:space="preserve">determination that this bullet was shot by the weapon of the accused, the report that shows that </w:t>
      </w:r>
      <w:r w:rsidR="0042126D">
        <w:rPr>
          <w:lang w:val="en-US"/>
        </w:rPr>
        <w:t>another shot was also fired from</w:t>
      </w:r>
      <w:r w:rsidRPr="00983884">
        <w:rPr>
          <w:lang w:val="en-US"/>
        </w:rPr>
        <w:t xml:space="preserve"> the same gun, and the statements of the police officers who witness</w:t>
      </w:r>
      <w:r w:rsidR="0042126D">
        <w:rPr>
          <w:lang w:val="en-US"/>
        </w:rPr>
        <w:t>ed</w:t>
      </w:r>
      <w:r w:rsidRPr="00983884">
        <w:rPr>
          <w:lang w:val="en-US"/>
        </w:rPr>
        <w:t xml:space="preserve"> Gorigoitia shoot the car of Gómez, from an angle that </w:t>
      </w:r>
      <w:r w:rsidR="0042126D">
        <w:rPr>
          <w:lang w:val="en-US"/>
        </w:rPr>
        <w:t>is</w:t>
      </w:r>
      <w:r w:rsidRPr="00983884">
        <w:rPr>
          <w:lang w:val="en-US"/>
        </w:rPr>
        <w:t xml:space="preserve"> compatible with the impacts found on the road, constitute without a doubt</w:t>
      </w:r>
      <w:r w:rsidR="009137C3" w:rsidRPr="00983884">
        <w:rPr>
          <w:lang w:val="en-US"/>
        </w:rPr>
        <w:t xml:space="preserve"> an </w:t>
      </w:r>
      <w:r w:rsidR="0042126D">
        <w:rPr>
          <w:lang w:val="en-US"/>
        </w:rPr>
        <w:t>a combination of evidence</w:t>
      </w:r>
      <w:r w:rsidR="009137C3" w:rsidRPr="00983884">
        <w:rPr>
          <w:lang w:val="en-US"/>
        </w:rPr>
        <w:t xml:space="preserve"> making it possible to hold the person being charged as the probable perpetrator of the death of Gómez.</w:t>
      </w:r>
      <w:r w:rsidR="00202702" w:rsidRPr="00983884">
        <w:rPr>
          <w:rStyle w:val="FootnoteReference"/>
          <w:lang w:val="en-US"/>
        </w:rPr>
        <w:footnoteReference w:id="7"/>
      </w:r>
    </w:p>
    <w:p w:rsidR="00202702" w:rsidRPr="00983884" w:rsidRDefault="00202702" w:rsidP="00202702">
      <w:pPr>
        <w:jc w:val="both"/>
        <w:rPr>
          <w:rFonts w:ascii="Cambria" w:hAnsi="Cambria"/>
          <w:sz w:val="20"/>
          <w:szCs w:val="20"/>
        </w:rPr>
      </w:pPr>
    </w:p>
    <w:p w:rsidR="00202702" w:rsidRPr="00983884" w:rsidRDefault="009137C3" w:rsidP="00202702">
      <w:pPr>
        <w:numPr>
          <w:ilvl w:val="0"/>
          <w:numId w:val="104"/>
        </w:numPr>
        <w:jc w:val="both"/>
        <w:rPr>
          <w:rFonts w:ascii="Cambria" w:hAnsi="Cambria"/>
          <w:sz w:val="20"/>
          <w:szCs w:val="20"/>
        </w:rPr>
      </w:pPr>
      <w:r w:rsidRPr="00983884">
        <w:rPr>
          <w:rFonts w:ascii="Cambria" w:hAnsi="Cambria"/>
          <w:sz w:val="20"/>
          <w:szCs w:val="20"/>
        </w:rPr>
        <w:t xml:space="preserve">On September </w:t>
      </w:r>
      <w:r w:rsidR="00202702" w:rsidRPr="00983884">
        <w:rPr>
          <w:rFonts w:ascii="Cambria" w:hAnsi="Cambria"/>
          <w:sz w:val="20"/>
          <w:szCs w:val="20"/>
        </w:rPr>
        <w:t>12</w:t>
      </w:r>
      <w:r w:rsidRPr="00983884">
        <w:rPr>
          <w:rFonts w:ascii="Cambria" w:hAnsi="Cambria"/>
          <w:sz w:val="20"/>
          <w:szCs w:val="20"/>
        </w:rPr>
        <w:t>,</w:t>
      </w:r>
      <w:r w:rsidR="00202702" w:rsidRPr="00983884">
        <w:rPr>
          <w:rFonts w:ascii="Cambria" w:hAnsi="Cambria"/>
          <w:sz w:val="20"/>
          <w:szCs w:val="20"/>
        </w:rPr>
        <w:t xml:space="preserve"> 1997</w:t>
      </w:r>
      <w:r w:rsidRPr="00983884">
        <w:rPr>
          <w:rFonts w:ascii="Cambria" w:hAnsi="Cambria"/>
          <w:sz w:val="20"/>
          <w:szCs w:val="20"/>
        </w:rPr>
        <w:t xml:space="preserve">, the First Criminal Court of Mendoza convicted Mr. </w:t>
      </w:r>
      <w:r w:rsidR="00202702" w:rsidRPr="00983884">
        <w:rPr>
          <w:rFonts w:ascii="Cambria" w:hAnsi="Cambria"/>
          <w:sz w:val="20"/>
          <w:szCs w:val="20"/>
        </w:rPr>
        <w:t xml:space="preserve">Gorigoitia </w:t>
      </w:r>
      <w:r w:rsidR="0042126D">
        <w:rPr>
          <w:rFonts w:ascii="Cambria" w:hAnsi="Cambria"/>
          <w:sz w:val="20"/>
          <w:szCs w:val="20"/>
        </w:rPr>
        <w:t>for the crime of manslaughter</w:t>
      </w:r>
      <w:r w:rsidRPr="00983884">
        <w:rPr>
          <w:rFonts w:ascii="Cambria" w:hAnsi="Cambria"/>
          <w:sz w:val="20"/>
          <w:szCs w:val="20"/>
        </w:rPr>
        <w:t xml:space="preserve"> and sentenced him to 14 years prison and absolute ineligibility for release for the same period of time. In connection with the qualification of the cr</w:t>
      </w:r>
      <w:r w:rsidR="0042126D">
        <w:rPr>
          <w:rFonts w:ascii="Cambria" w:hAnsi="Cambria"/>
          <w:sz w:val="20"/>
          <w:szCs w:val="20"/>
        </w:rPr>
        <w:t>ime as a “manslaughter</w:t>
      </w:r>
      <w:r w:rsidRPr="00983884">
        <w:rPr>
          <w:rFonts w:ascii="Cambria" w:hAnsi="Cambria"/>
          <w:sz w:val="20"/>
          <w:szCs w:val="20"/>
        </w:rPr>
        <w:t>” and not a “</w:t>
      </w:r>
      <w:r w:rsidR="0042126D">
        <w:rPr>
          <w:rFonts w:ascii="Cambria" w:hAnsi="Cambria"/>
          <w:sz w:val="20"/>
          <w:szCs w:val="20"/>
        </w:rPr>
        <w:t xml:space="preserve">culpable </w:t>
      </w:r>
      <w:r w:rsidRPr="00983884">
        <w:rPr>
          <w:rFonts w:ascii="Cambria" w:hAnsi="Cambria"/>
          <w:sz w:val="20"/>
          <w:szCs w:val="20"/>
        </w:rPr>
        <w:t>homicide,” which was alleged by the defense, the First Court stated the following</w:t>
      </w:r>
      <w:r w:rsidR="00202702" w:rsidRPr="00983884">
        <w:rPr>
          <w:rFonts w:ascii="Cambria" w:hAnsi="Cambria"/>
          <w:sz w:val="20"/>
          <w:szCs w:val="20"/>
        </w:rPr>
        <w:t xml:space="preserve">: </w:t>
      </w:r>
    </w:p>
    <w:p w:rsidR="00202702" w:rsidRPr="00983884" w:rsidRDefault="00202702" w:rsidP="00202702">
      <w:pPr>
        <w:jc w:val="both"/>
        <w:rPr>
          <w:rFonts w:ascii="Cambria" w:hAnsi="Cambria"/>
          <w:sz w:val="20"/>
          <w:szCs w:val="20"/>
        </w:rPr>
      </w:pPr>
    </w:p>
    <w:p w:rsidR="00202702" w:rsidRPr="00983884" w:rsidRDefault="00202702" w:rsidP="00202702">
      <w:pPr>
        <w:pStyle w:val="ColorfulList-Accent12"/>
        <w:rPr>
          <w:lang w:val="en-US"/>
        </w:rPr>
      </w:pPr>
      <w:r w:rsidRPr="00983884">
        <w:rPr>
          <w:lang w:val="en-US"/>
        </w:rPr>
        <w:t>[</w:t>
      </w:r>
      <w:r w:rsidR="009137C3" w:rsidRPr="00983884">
        <w:rPr>
          <w:lang w:val="en-US"/>
        </w:rPr>
        <w:t>Mr.</w:t>
      </w:r>
      <w:r w:rsidRPr="00983884">
        <w:rPr>
          <w:lang w:val="en-US"/>
        </w:rPr>
        <w:t xml:space="preserve"> Gorigoitia] </w:t>
      </w:r>
      <w:r w:rsidR="009137C3" w:rsidRPr="00983884">
        <w:rPr>
          <w:lang w:val="en-US"/>
        </w:rPr>
        <w:t>started his homicidal act</w:t>
      </w:r>
      <w:r w:rsidRPr="00983884">
        <w:rPr>
          <w:lang w:val="en-US"/>
        </w:rPr>
        <w:t xml:space="preserve"> (…) </w:t>
      </w:r>
      <w:r w:rsidR="009137C3" w:rsidRPr="00983884">
        <w:rPr>
          <w:lang w:val="en-US"/>
        </w:rPr>
        <w:t xml:space="preserve">with an inexcusable indifference to the possible harmful outcome. Gorigoitia was aware of the firearm and knew the consequences of using it in a high-speed chase, the typical </w:t>
      </w:r>
      <w:r w:rsidR="0042126D">
        <w:rPr>
          <w:lang w:val="en-US"/>
        </w:rPr>
        <w:t>outcome occurred</w:t>
      </w:r>
      <w:r w:rsidR="009137C3" w:rsidRPr="00983884">
        <w:rPr>
          <w:lang w:val="en-US"/>
        </w:rPr>
        <w:t xml:space="preserve"> and, despite this, he fired under these circumstances.</w:t>
      </w:r>
      <w:r w:rsidRPr="00983884">
        <w:rPr>
          <w:rStyle w:val="FootnoteReference"/>
          <w:lang w:val="en-US"/>
        </w:rPr>
        <w:footnoteReference w:id="8"/>
      </w:r>
    </w:p>
    <w:p w:rsidR="00202702" w:rsidRPr="00983884" w:rsidRDefault="00202702" w:rsidP="00202702">
      <w:pPr>
        <w:pStyle w:val="ColorfulList-Accent12"/>
        <w:ind w:left="0"/>
        <w:rPr>
          <w:lang w:val="en-US"/>
        </w:rPr>
      </w:pPr>
    </w:p>
    <w:p w:rsidR="00202702" w:rsidRPr="00983884" w:rsidRDefault="002A0EDA" w:rsidP="00202702">
      <w:pPr>
        <w:numPr>
          <w:ilvl w:val="0"/>
          <w:numId w:val="104"/>
        </w:numPr>
        <w:jc w:val="both"/>
        <w:rPr>
          <w:rFonts w:ascii="Cambria" w:hAnsi="Cambria"/>
          <w:sz w:val="20"/>
          <w:szCs w:val="20"/>
        </w:rPr>
      </w:pPr>
      <w:r>
        <w:rPr>
          <w:rFonts w:ascii="Cambria" w:hAnsi="Cambria"/>
          <w:sz w:val="20"/>
          <w:szCs w:val="20"/>
        </w:rPr>
        <w:t>The First C</w:t>
      </w:r>
      <w:r w:rsidR="009137C3" w:rsidRPr="00983884">
        <w:rPr>
          <w:rFonts w:ascii="Cambria" w:hAnsi="Cambria"/>
          <w:sz w:val="20"/>
          <w:szCs w:val="20"/>
        </w:rPr>
        <w:t xml:space="preserve">ourt indicated that Mr. </w:t>
      </w:r>
      <w:r w:rsidR="00202702" w:rsidRPr="00983884">
        <w:rPr>
          <w:rFonts w:ascii="Cambria" w:hAnsi="Cambria"/>
          <w:sz w:val="20"/>
          <w:szCs w:val="20"/>
        </w:rPr>
        <w:t xml:space="preserve">Gorigoitia </w:t>
      </w:r>
      <w:r w:rsidR="009137C3" w:rsidRPr="00983884">
        <w:rPr>
          <w:rFonts w:ascii="Cambria" w:hAnsi="Cambria"/>
          <w:sz w:val="20"/>
          <w:szCs w:val="20"/>
        </w:rPr>
        <w:t>did not act in accordance with the cautio</w:t>
      </w:r>
      <w:r>
        <w:rPr>
          <w:rFonts w:ascii="Cambria" w:hAnsi="Cambria"/>
          <w:sz w:val="20"/>
          <w:szCs w:val="20"/>
        </w:rPr>
        <w:t>n that the use of firearms merit</w:t>
      </w:r>
      <w:r w:rsidR="009137C3" w:rsidRPr="00983884">
        <w:rPr>
          <w:rFonts w:ascii="Cambria" w:hAnsi="Cambria"/>
          <w:sz w:val="20"/>
          <w:szCs w:val="20"/>
        </w:rPr>
        <w:t>s, according to the Police Force Manual</w:t>
      </w:r>
      <w:r w:rsidR="00202702" w:rsidRPr="00983884">
        <w:rPr>
          <w:rFonts w:ascii="Cambria" w:hAnsi="Cambria"/>
          <w:sz w:val="20"/>
          <w:szCs w:val="20"/>
        </w:rPr>
        <w:t xml:space="preserve">. </w:t>
      </w:r>
      <w:r w:rsidR="009137C3" w:rsidRPr="00983884">
        <w:rPr>
          <w:rFonts w:ascii="Cambria" w:hAnsi="Cambria"/>
          <w:sz w:val="20"/>
          <w:szCs w:val="20"/>
        </w:rPr>
        <w:t xml:space="preserve">It also argued that “to assert the existence of </w:t>
      </w:r>
      <w:r>
        <w:rPr>
          <w:rFonts w:ascii="Cambria" w:hAnsi="Cambria"/>
          <w:sz w:val="20"/>
          <w:szCs w:val="20"/>
        </w:rPr>
        <w:t>willful misconduct</w:t>
      </w:r>
      <w:r w:rsidR="009137C3" w:rsidRPr="00983884">
        <w:rPr>
          <w:rFonts w:ascii="Cambria" w:hAnsi="Cambria"/>
          <w:sz w:val="20"/>
          <w:szCs w:val="20"/>
        </w:rPr>
        <w:t xml:space="preserve"> in legal terms,</w:t>
      </w:r>
      <w:r>
        <w:rPr>
          <w:rFonts w:ascii="Cambria" w:hAnsi="Cambria"/>
          <w:sz w:val="20"/>
          <w:szCs w:val="20"/>
        </w:rPr>
        <w:t xml:space="preserve"> there must be a use of </w:t>
      </w:r>
      <w:r w:rsidR="009137C3" w:rsidRPr="00983884">
        <w:rPr>
          <w:rFonts w:ascii="Cambria" w:hAnsi="Cambria"/>
          <w:sz w:val="20"/>
          <w:szCs w:val="20"/>
        </w:rPr>
        <w:t xml:space="preserve">facts, circumstances, </w:t>
      </w:r>
      <w:r>
        <w:rPr>
          <w:rFonts w:ascii="Cambria" w:hAnsi="Cambria"/>
          <w:sz w:val="20"/>
          <w:szCs w:val="20"/>
        </w:rPr>
        <w:t>and</w:t>
      </w:r>
      <w:r w:rsidR="009137C3" w:rsidRPr="00983884">
        <w:rPr>
          <w:rFonts w:ascii="Cambria" w:hAnsi="Cambria"/>
          <w:sz w:val="20"/>
          <w:szCs w:val="20"/>
        </w:rPr>
        <w:t xml:space="preserve"> phenomena symboliz</w:t>
      </w:r>
      <w:r>
        <w:rPr>
          <w:rFonts w:ascii="Cambria" w:hAnsi="Cambria"/>
          <w:sz w:val="20"/>
          <w:szCs w:val="20"/>
        </w:rPr>
        <w:t>ing them</w:t>
      </w:r>
      <w:r w:rsidR="00202702" w:rsidRPr="00983884">
        <w:rPr>
          <w:rFonts w:ascii="Cambria" w:hAnsi="Cambria"/>
          <w:sz w:val="20"/>
          <w:szCs w:val="20"/>
        </w:rPr>
        <w:t xml:space="preserve"> (…)</w:t>
      </w:r>
      <w:r w:rsidR="009137C3" w:rsidRPr="00983884">
        <w:rPr>
          <w:rFonts w:ascii="Cambria" w:hAnsi="Cambria"/>
          <w:sz w:val="20"/>
          <w:szCs w:val="20"/>
        </w:rPr>
        <w:t>.</w:t>
      </w:r>
      <w:r w:rsidR="00991B77" w:rsidRPr="00983884">
        <w:rPr>
          <w:rFonts w:ascii="Cambria" w:hAnsi="Cambria"/>
          <w:sz w:val="20"/>
          <w:szCs w:val="20"/>
        </w:rPr>
        <w:t>”</w:t>
      </w:r>
      <w:r w:rsidR="00202702" w:rsidRPr="00983884">
        <w:rPr>
          <w:rStyle w:val="FootnoteReference"/>
          <w:rFonts w:ascii="Cambria" w:hAnsi="Cambria"/>
          <w:sz w:val="20"/>
          <w:szCs w:val="20"/>
        </w:rPr>
        <w:footnoteReference w:id="9"/>
      </w:r>
      <w:r w:rsidR="00991B77" w:rsidRPr="00983884">
        <w:rPr>
          <w:rFonts w:ascii="Cambria" w:hAnsi="Cambria"/>
          <w:sz w:val="20"/>
          <w:szCs w:val="20"/>
        </w:rPr>
        <w:t xml:space="preserve"> In that regard, it took into account a psychological </w:t>
      </w:r>
      <w:r w:rsidR="00E96DC0">
        <w:rPr>
          <w:rFonts w:ascii="Cambria" w:hAnsi="Cambria"/>
          <w:sz w:val="20"/>
          <w:szCs w:val="20"/>
        </w:rPr>
        <w:t>examination</w:t>
      </w:r>
      <w:r w:rsidR="00991B77" w:rsidRPr="00983884">
        <w:rPr>
          <w:rFonts w:ascii="Cambria" w:hAnsi="Cambria"/>
          <w:sz w:val="20"/>
          <w:szCs w:val="20"/>
        </w:rPr>
        <w:t xml:space="preserve"> conducted by the Forensic Medical Corps, which indicated that he has trouble adjusting to outside requirements and limits, as well as </w:t>
      </w:r>
      <w:r w:rsidR="003A7E26" w:rsidRPr="00983884">
        <w:rPr>
          <w:rFonts w:ascii="Cambria" w:hAnsi="Cambria"/>
          <w:sz w:val="20"/>
          <w:szCs w:val="20"/>
        </w:rPr>
        <w:t xml:space="preserve">achieving </w:t>
      </w:r>
      <w:r w:rsidR="00991B77" w:rsidRPr="00983884">
        <w:rPr>
          <w:rFonts w:ascii="Cambria" w:hAnsi="Cambria"/>
          <w:sz w:val="20"/>
          <w:szCs w:val="20"/>
        </w:rPr>
        <w:t>a rational management of situations,</w:t>
      </w:r>
      <w:r w:rsidR="00E96DC0">
        <w:rPr>
          <w:rFonts w:ascii="Cambria" w:hAnsi="Cambria"/>
          <w:sz w:val="20"/>
          <w:szCs w:val="20"/>
        </w:rPr>
        <w:t xml:space="preserve"> and</w:t>
      </w:r>
      <w:r w:rsidR="00991B77" w:rsidRPr="00983884">
        <w:rPr>
          <w:rFonts w:ascii="Cambria" w:hAnsi="Cambria"/>
          <w:sz w:val="20"/>
          <w:szCs w:val="20"/>
        </w:rPr>
        <w:t xml:space="preserve"> view</w:t>
      </w:r>
      <w:r w:rsidR="00E96DC0">
        <w:rPr>
          <w:rFonts w:ascii="Cambria" w:hAnsi="Cambria"/>
          <w:sz w:val="20"/>
          <w:szCs w:val="20"/>
        </w:rPr>
        <w:t>s</w:t>
      </w:r>
      <w:r w:rsidR="00991B77" w:rsidRPr="00983884">
        <w:rPr>
          <w:rFonts w:ascii="Cambria" w:hAnsi="Cambria"/>
          <w:sz w:val="20"/>
          <w:szCs w:val="20"/>
        </w:rPr>
        <w:t xml:space="preserve"> inter-relationships as competitive, aggressive, untrustworthy, and </w:t>
      </w:r>
      <w:r w:rsidR="003A7E26" w:rsidRPr="00983884">
        <w:rPr>
          <w:rFonts w:ascii="Cambria" w:hAnsi="Cambria"/>
          <w:sz w:val="20"/>
          <w:szCs w:val="20"/>
        </w:rPr>
        <w:t>without self-restraint</w:t>
      </w:r>
      <w:r w:rsidR="00991B77" w:rsidRPr="00983884">
        <w:rPr>
          <w:rFonts w:ascii="Cambria" w:hAnsi="Cambria"/>
          <w:sz w:val="20"/>
          <w:szCs w:val="20"/>
        </w:rPr>
        <w:t>. It was also pointed out that “applying this personality to the incident that we are targeting (…) his performance is a true reflection of his personality.</w:t>
      </w:r>
      <w:r w:rsidR="00E96DC0">
        <w:rPr>
          <w:rFonts w:ascii="Cambria" w:hAnsi="Cambria"/>
          <w:sz w:val="20"/>
          <w:szCs w:val="20"/>
        </w:rPr>
        <w:t>”</w:t>
      </w:r>
      <w:r w:rsidR="00202702" w:rsidRPr="00983884">
        <w:rPr>
          <w:rStyle w:val="FootnoteReference"/>
          <w:rFonts w:ascii="Cambria" w:hAnsi="Cambria"/>
          <w:sz w:val="20"/>
          <w:szCs w:val="20"/>
        </w:rPr>
        <w:footnoteReference w:id="10"/>
      </w:r>
    </w:p>
    <w:p w:rsidR="00202702" w:rsidRPr="00983884" w:rsidRDefault="00202702" w:rsidP="00202702">
      <w:pPr>
        <w:jc w:val="both"/>
        <w:rPr>
          <w:rFonts w:ascii="Cambria" w:hAnsi="Cambria"/>
          <w:sz w:val="20"/>
          <w:szCs w:val="20"/>
        </w:rPr>
      </w:pPr>
    </w:p>
    <w:p w:rsidR="00202702" w:rsidRPr="00983884" w:rsidRDefault="003A7E26" w:rsidP="00202702">
      <w:pPr>
        <w:pStyle w:val="Heading2"/>
        <w:rPr>
          <w:lang w:val="en-US"/>
        </w:rPr>
      </w:pPr>
      <w:bookmarkStart w:id="37" w:name="_Toc490826173"/>
      <w:bookmarkStart w:id="38" w:name="_Toc365193988"/>
      <w:r w:rsidRPr="00983884">
        <w:rPr>
          <w:lang w:val="en-US"/>
        </w:rPr>
        <w:t>Cassation appeal</w:t>
      </w:r>
      <w:bookmarkEnd w:id="37"/>
      <w:bookmarkEnd w:id="38"/>
    </w:p>
    <w:p w:rsidR="00202702" w:rsidRPr="00983884" w:rsidRDefault="00202702" w:rsidP="00202702">
      <w:pPr>
        <w:ind w:left="720"/>
        <w:jc w:val="both"/>
        <w:rPr>
          <w:rFonts w:ascii="Cambria" w:hAnsi="Cambria"/>
          <w:sz w:val="20"/>
          <w:szCs w:val="20"/>
        </w:rPr>
      </w:pPr>
    </w:p>
    <w:p w:rsidR="00202702" w:rsidRPr="00983884" w:rsidRDefault="003A7E26" w:rsidP="00202702">
      <w:pPr>
        <w:pStyle w:val="Style2"/>
        <w:numPr>
          <w:ilvl w:val="0"/>
          <w:numId w:val="104"/>
        </w:numPr>
        <w:rPr>
          <w:lang w:val="en-US"/>
        </w:rPr>
      </w:pPr>
      <w:r w:rsidRPr="00983884">
        <w:rPr>
          <w:lang w:val="en-US"/>
        </w:rPr>
        <w:t xml:space="preserve">On September </w:t>
      </w:r>
      <w:r w:rsidR="00202702" w:rsidRPr="00983884">
        <w:rPr>
          <w:lang w:val="en-US"/>
        </w:rPr>
        <w:t>29</w:t>
      </w:r>
      <w:r w:rsidRPr="00983884">
        <w:rPr>
          <w:lang w:val="en-US"/>
        </w:rPr>
        <w:t>,</w:t>
      </w:r>
      <w:r w:rsidR="00202702" w:rsidRPr="00983884">
        <w:rPr>
          <w:lang w:val="en-US"/>
        </w:rPr>
        <w:t xml:space="preserve"> 1997</w:t>
      </w:r>
      <w:r w:rsidRPr="00983884">
        <w:rPr>
          <w:lang w:val="en-US"/>
        </w:rPr>
        <w:t xml:space="preserve">, Mr. Gorigoitia’s defense filed a cassation appeal requesting </w:t>
      </w:r>
      <w:r w:rsidR="00A87ED7">
        <w:rPr>
          <w:lang w:val="en-US"/>
        </w:rPr>
        <w:t>quashing</w:t>
      </w:r>
      <w:r w:rsidRPr="00983884">
        <w:rPr>
          <w:lang w:val="en-US"/>
        </w:rPr>
        <w:t xml:space="preserve"> of the judgment of conviction. In this appeal, the following was stated</w:t>
      </w:r>
      <w:r w:rsidR="00202702" w:rsidRPr="00983884">
        <w:rPr>
          <w:lang w:val="en-US"/>
        </w:rPr>
        <w:t xml:space="preserve">: </w:t>
      </w:r>
    </w:p>
    <w:p w:rsidR="00202702" w:rsidRPr="00983884" w:rsidRDefault="00202702" w:rsidP="00202702">
      <w:pPr>
        <w:jc w:val="both"/>
        <w:rPr>
          <w:rFonts w:ascii="Cambria" w:hAnsi="Cambria"/>
          <w:sz w:val="20"/>
          <w:szCs w:val="20"/>
        </w:rPr>
      </w:pPr>
    </w:p>
    <w:p w:rsidR="00202702" w:rsidRPr="00983884" w:rsidRDefault="00202702" w:rsidP="00202702">
      <w:pPr>
        <w:pStyle w:val="ColorfulList-Accent12"/>
        <w:rPr>
          <w:lang w:val="en-US"/>
        </w:rPr>
      </w:pPr>
      <w:r w:rsidRPr="00983884">
        <w:rPr>
          <w:lang w:val="en-US"/>
        </w:rPr>
        <w:t xml:space="preserve">(…) </w:t>
      </w:r>
      <w:r w:rsidR="003A7E26" w:rsidRPr="00983884">
        <w:rPr>
          <w:lang w:val="en-US"/>
        </w:rPr>
        <w:t xml:space="preserve">The </w:t>
      </w:r>
      <w:r w:rsidR="00E96DC0">
        <w:rPr>
          <w:lang w:val="en-US"/>
        </w:rPr>
        <w:t>willful misconduct</w:t>
      </w:r>
      <w:r w:rsidR="003A7E26" w:rsidRPr="00983884">
        <w:rPr>
          <w:lang w:val="en-US"/>
        </w:rPr>
        <w:t xml:space="preserve"> is a fact and as such it must be proven as any other fact; never, in the facts stated in the present judgment of the Court</w:t>
      </w:r>
      <w:r w:rsidR="00E96DC0">
        <w:rPr>
          <w:lang w:val="en-US"/>
        </w:rPr>
        <w:t>,</w:t>
      </w:r>
      <w:r w:rsidR="003A7E26" w:rsidRPr="00983884">
        <w:rPr>
          <w:lang w:val="en-US"/>
        </w:rPr>
        <w:t xml:space="preserve"> has it been possible to demonstrate the existence of this element that is an integral part of culpability</w:t>
      </w:r>
      <w:r w:rsidR="00E96DC0">
        <w:rPr>
          <w:lang w:val="en-US"/>
        </w:rPr>
        <w:t>,</w:t>
      </w:r>
      <w:r w:rsidR="003A7E26" w:rsidRPr="00983884">
        <w:rPr>
          <w:lang w:val="en-US"/>
        </w:rPr>
        <w:t xml:space="preserve"> because it is not enough to merely state these facts or the circumstances surrounding what happened the night of August 31, 1996</w:t>
      </w:r>
      <w:r w:rsidRPr="00983884">
        <w:rPr>
          <w:lang w:val="en-US"/>
        </w:rPr>
        <w:t xml:space="preserve">. (…) </w:t>
      </w:r>
      <w:r w:rsidR="003A7E26" w:rsidRPr="00983884">
        <w:rPr>
          <w:lang w:val="en-US"/>
        </w:rPr>
        <w:t>Every legal statement must be proven on the basis of its immediate antecedent and (…) the evidence must be furnished</w:t>
      </w:r>
      <w:r w:rsidRPr="00983884">
        <w:rPr>
          <w:lang w:val="en-US"/>
        </w:rPr>
        <w:t xml:space="preserve"> (sic)</w:t>
      </w:r>
      <w:r w:rsidR="003A7E26" w:rsidRPr="00983884">
        <w:rPr>
          <w:lang w:val="en-US"/>
        </w:rPr>
        <w:t xml:space="preserve"> with facts that lead “reasonably</w:t>
      </w:r>
      <w:r w:rsidRPr="00983884">
        <w:rPr>
          <w:lang w:val="en-US"/>
        </w:rPr>
        <w:t xml:space="preserve"> </w:t>
      </w:r>
      <w:r w:rsidR="003A7E26" w:rsidRPr="00983884">
        <w:rPr>
          <w:lang w:val="en-US"/>
        </w:rPr>
        <w:t>to the legal consequence</w:t>
      </w:r>
      <w:r w:rsidR="00653768" w:rsidRPr="00983884">
        <w:rPr>
          <w:lang w:val="en-US"/>
        </w:rPr>
        <w:t>” and not their statement</w:t>
      </w:r>
      <w:r w:rsidRPr="00983884">
        <w:rPr>
          <w:lang w:val="en-US"/>
        </w:rPr>
        <w:t xml:space="preserve">. </w:t>
      </w:r>
      <w:r w:rsidR="00653768" w:rsidRPr="00983884">
        <w:rPr>
          <w:lang w:val="en-US"/>
        </w:rPr>
        <w:t>Therefore, it is of no use to say</w:t>
      </w:r>
      <w:r w:rsidRPr="00983884">
        <w:rPr>
          <w:lang w:val="en-US"/>
        </w:rPr>
        <w:t xml:space="preserve">: </w:t>
      </w:r>
      <w:r w:rsidR="00653768" w:rsidRPr="00983884">
        <w:rPr>
          <w:lang w:val="en-US"/>
        </w:rPr>
        <w:t xml:space="preserve">according to the facts it is proven that the accused committed a crime of </w:t>
      </w:r>
      <w:r w:rsidR="00E96DC0">
        <w:rPr>
          <w:lang w:val="en-US"/>
        </w:rPr>
        <w:t>gross negligence</w:t>
      </w:r>
      <w:r w:rsidRPr="00983884">
        <w:rPr>
          <w:lang w:val="en-US"/>
        </w:rPr>
        <w:t xml:space="preserve"> (…). </w:t>
      </w:r>
      <w:r w:rsidR="00653768" w:rsidRPr="00983884">
        <w:rPr>
          <w:lang w:val="en-US"/>
        </w:rPr>
        <w:t>The court attributes the motive to the personality of the accused</w:t>
      </w:r>
      <w:r w:rsidRPr="00983884">
        <w:rPr>
          <w:lang w:val="en-US"/>
        </w:rPr>
        <w:t xml:space="preserve">. </w:t>
      </w:r>
      <w:r w:rsidR="00E96DC0">
        <w:rPr>
          <w:lang w:val="en-US"/>
        </w:rPr>
        <w:t>(…) Willful misconduct</w:t>
      </w:r>
      <w:r w:rsidR="00653768" w:rsidRPr="00983884">
        <w:rPr>
          <w:lang w:val="en-US"/>
        </w:rPr>
        <w:t xml:space="preserve"> is a psychic fact that belongs to the innermost </w:t>
      </w:r>
      <w:r w:rsidR="00E96DC0">
        <w:rPr>
          <w:lang w:val="en-US"/>
        </w:rPr>
        <w:t xml:space="preserve">thoughts </w:t>
      </w:r>
      <w:r w:rsidR="00653768" w:rsidRPr="00983884">
        <w:rPr>
          <w:lang w:val="en-US"/>
        </w:rPr>
        <w:t>of the perpetrator and must respond to what he had the intention of doing and not fit the attitude of the other members of the Police Force</w:t>
      </w:r>
      <w:r w:rsidRPr="00983884">
        <w:rPr>
          <w:lang w:val="en-US"/>
        </w:rPr>
        <w:t xml:space="preserve"> (…). </w:t>
      </w:r>
      <w:r w:rsidR="00653768" w:rsidRPr="00983884">
        <w:rPr>
          <w:lang w:val="en-US"/>
        </w:rPr>
        <w:t xml:space="preserve">The sentencing Court </w:t>
      </w:r>
      <w:r w:rsidRPr="00983884">
        <w:rPr>
          <w:lang w:val="en-US"/>
        </w:rPr>
        <w:t>[</w:t>
      </w:r>
      <w:r w:rsidR="00653768" w:rsidRPr="00983884">
        <w:rPr>
          <w:lang w:val="en-US"/>
        </w:rPr>
        <w:t>indicated</w:t>
      </w:r>
      <w:r w:rsidRPr="00983884">
        <w:rPr>
          <w:lang w:val="en-US"/>
        </w:rPr>
        <w:t xml:space="preserve">] </w:t>
      </w:r>
      <w:r w:rsidR="00653768" w:rsidRPr="00983884">
        <w:rPr>
          <w:lang w:val="en-US"/>
        </w:rPr>
        <w:t xml:space="preserve">that </w:t>
      </w:r>
      <w:r w:rsidRPr="00983884">
        <w:rPr>
          <w:lang w:val="en-US"/>
        </w:rPr>
        <w:t>Gorigoitia “particip</w:t>
      </w:r>
      <w:r w:rsidR="00653768" w:rsidRPr="00983884">
        <w:rPr>
          <w:lang w:val="en-US"/>
        </w:rPr>
        <w:t xml:space="preserve">ated in a </w:t>
      </w:r>
      <w:r w:rsidR="0099780A" w:rsidRPr="00983884">
        <w:rPr>
          <w:lang w:val="en-US"/>
        </w:rPr>
        <w:t>frenzied</w:t>
      </w:r>
      <w:r w:rsidR="00653768" w:rsidRPr="00983884">
        <w:rPr>
          <w:lang w:val="en-US"/>
        </w:rPr>
        <w:t xml:space="preserve"> pursuit.</w:t>
      </w:r>
      <w:r w:rsidRPr="00983884">
        <w:rPr>
          <w:lang w:val="en-US"/>
        </w:rPr>
        <w:t>”</w:t>
      </w:r>
      <w:r w:rsidRPr="00983884">
        <w:rPr>
          <w:rStyle w:val="FootnoteReference"/>
          <w:lang w:val="en-US"/>
        </w:rPr>
        <w:footnoteReference w:id="11"/>
      </w:r>
    </w:p>
    <w:p w:rsidR="00202702" w:rsidRPr="00983884" w:rsidRDefault="00202702" w:rsidP="00202702">
      <w:pPr>
        <w:ind w:left="720"/>
        <w:jc w:val="both"/>
        <w:rPr>
          <w:rFonts w:ascii="Cambria" w:hAnsi="Cambria"/>
          <w:sz w:val="20"/>
          <w:szCs w:val="20"/>
        </w:rPr>
      </w:pPr>
    </w:p>
    <w:p w:rsidR="00202702" w:rsidRPr="00983884" w:rsidRDefault="0099780A" w:rsidP="00202702">
      <w:pPr>
        <w:pStyle w:val="Style2"/>
        <w:numPr>
          <w:ilvl w:val="0"/>
          <w:numId w:val="104"/>
        </w:numPr>
        <w:rPr>
          <w:lang w:val="en-US"/>
        </w:rPr>
      </w:pPr>
      <w:r w:rsidRPr="00983884">
        <w:rPr>
          <w:lang w:val="en-US"/>
        </w:rPr>
        <w:t xml:space="preserve">The defense also alleged that it involved an arbitrary judgment because “with the same arguments </w:t>
      </w:r>
      <w:r w:rsidR="00E96DC0">
        <w:rPr>
          <w:lang w:val="en-US"/>
        </w:rPr>
        <w:t>raised</w:t>
      </w:r>
      <w:r w:rsidRPr="00983884">
        <w:rPr>
          <w:lang w:val="en-US"/>
        </w:rPr>
        <w:t xml:space="preserve"> to convict </w:t>
      </w:r>
      <w:r w:rsidR="00202702" w:rsidRPr="00983884">
        <w:rPr>
          <w:lang w:val="en-US"/>
        </w:rPr>
        <w:t xml:space="preserve">Oscar Raul Gorigoitia </w:t>
      </w:r>
      <w:r w:rsidR="00E96DC0">
        <w:rPr>
          <w:lang w:val="en-US"/>
        </w:rPr>
        <w:t>for the crime of manslaughter</w:t>
      </w:r>
      <w:r w:rsidR="00202702" w:rsidRPr="00983884">
        <w:rPr>
          <w:lang w:val="en-US"/>
        </w:rPr>
        <w:t xml:space="preserve"> (…) </w:t>
      </w:r>
      <w:r w:rsidR="00E96DC0">
        <w:rPr>
          <w:lang w:val="en-US"/>
        </w:rPr>
        <w:t>Master</w:t>
      </w:r>
      <w:r w:rsidRPr="00983884">
        <w:rPr>
          <w:lang w:val="en-US"/>
        </w:rPr>
        <w:t xml:space="preserve"> Sergeant Hugo Felix Sarmiento is excluded from all suspicion</w:t>
      </w:r>
      <w:r w:rsidR="00202702" w:rsidRPr="00983884">
        <w:rPr>
          <w:lang w:val="en-US"/>
        </w:rPr>
        <w:t>,</w:t>
      </w:r>
      <w:r w:rsidRPr="00983884">
        <w:rPr>
          <w:lang w:val="en-US"/>
        </w:rPr>
        <w:t xml:space="preserve">” although he also fired shots at the motor vehicle of Mr. </w:t>
      </w:r>
      <w:r w:rsidR="00202702" w:rsidRPr="00983884">
        <w:rPr>
          <w:lang w:val="en-US"/>
        </w:rPr>
        <w:t>Gómez</w:t>
      </w:r>
      <w:r w:rsidRPr="00983884">
        <w:rPr>
          <w:lang w:val="en-US"/>
        </w:rPr>
        <w:t>.</w:t>
      </w:r>
      <w:r w:rsidR="00202702" w:rsidRPr="00983884">
        <w:rPr>
          <w:rStyle w:val="FootnoteReference"/>
          <w:lang w:val="en-US"/>
        </w:rPr>
        <w:footnoteReference w:id="12"/>
      </w:r>
      <w:r w:rsidR="00202702" w:rsidRPr="00983884">
        <w:rPr>
          <w:lang w:val="en-US"/>
        </w:rPr>
        <w:t xml:space="preserve"> </w:t>
      </w:r>
      <w:r w:rsidRPr="00983884">
        <w:rPr>
          <w:lang w:val="en-US"/>
        </w:rPr>
        <w:t>Thus, the defense indicated the following</w:t>
      </w:r>
      <w:r w:rsidR="00202702" w:rsidRPr="00983884">
        <w:rPr>
          <w:lang w:val="en-US"/>
        </w:rPr>
        <w:t xml:space="preserve">: </w:t>
      </w:r>
    </w:p>
    <w:p w:rsidR="00202702" w:rsidRPr="00983884" w:rsidRDefault="00202702" w:rsidP="00202702">
      <w:pPr>
        <w:pStyle w:val="Style2"/>
        <w:numPr>
          <w:ilvl w:val="0"/>
          <w:numId w:val="0"/>
        </w:numPr>
        <w:ind w:left="720"/>
        <w:rPr>
          <w:lang w:val="en-US"/>
        </w:rPr>
      </w:pPr>
    </w:p>
    <w:p w:rsidR="00202702" w:rsidRPr="00983884" w:rsidRDefault="0099780A" w:rsidP="00202702">
      <w:pPr>
        <w:pStyle w:val="Style2"/>
        <w:numPr>
          <w:ilvl w:val="0"/>
          <w:numId w:val="0"/>
        </w:numPr>
        <w:ind w:left="720" w:right="720"/>
        <w:rPr>
          <w:lang w:val="en-US"/>
        </w:rPr>
      </w:pPr>
      <w:r w:rsidRPr="00983884">
        <w:rPr>
          <w:lang w:val="en-US"/>
        </w:rPr>
        <w:t xml:space="preserve">If the incident was illegal for the </w:t>
      </w:r>
      <w:r w:rsidR="00262E65" w:rsidRPr="00983884">
        <w:rPr>
          <w:lang w:val="en-US"/>
        </w:rPr>
        <w:t xml:space="preserve">person I am defending, should it not be illegal for those who fired at the motor vehicle under the same circumstances? And if the action of </w:t>
      </w:r>
      <w:r w:rsidR="00F04DDA">
        <w:rPr>
          <w:lang w:val="en-US"/>
        </w:rPr>
        <w:t>Master</w:t>
      </w:r>
      <w:r w:rsidR="00262E65" w:rsidRPr="00983884">
        <w:rPr>
          <w:lang w:val="en-US"/>
        </w:rPr>
        <w:t xml:space="preserve"> Corporal Sarmiento is justified, why is not also justified for </w:t>
      </w:r>
      <w:r w:rsidR="00202702" w:rsidRPr="00983884">
        <w:rPr>
          <w:lang w:val="en-US"/>
        </w:rPr>
        <w:t>Gorigoitia?</w:t>
      </w:r>
      <w:r w:rsidR="00202702" w:rsidRPr="00983884">
        <w:rPr>
          <w:rStyle w:val="FootnoteReference"/>
          <w:lang w:val="en-US"/>
        </w:rPr>
        <w:footnoteReference w:id="13"/>
      </w:r>
    </w:p>
    <w:p w:rsidR="00202702" w:rsidRPr="00983884" w:rsidRDefault="00202702" w:rsidP="00202702">
      <w:pPr>
        <w:jc w:val="both"/>
        <w:rPr>
          <w:rFonts w:ascii="Cambria" w:hAnsi="Cambria"/>
          <w:sz w:val="20"/>
          <w:szCs w:val="20"/>
        </w:rPr>
      </w:pPr>
    </w:p>
    <w:p w:rsidR="00202702" w:rsidRPr="00983884" w:rsidRDefault="00202702" w:rsidP="00202702">
      <w:pPr>
        <w:pStyle w:val="Style2"/>
        <w:numPr>
          <w:ilvl w:val="0"/>
          <w:numId w:val="104"/>
        </w:numPr>
        <w:rPr>
          <w:lang w:val="en-US"/>
        </w:rPr>
      </w:pPr>
      <w:r w:rsidRPr="00983884">
        <w:rPr>
          <w:lang w:val="en-US"/>
        </w:rPr>
        <w:t>Fin</w:t>
      </w:r>
      <w:r w:rsidR="00262E65" w:rsidRPr="00983884">
        <w:rPr>
          <w:lang w:val="en-US"/>
        </w:rPr>
        <w:t xml:space="preserve">ally, he stated that the judgment failed to provide a due motive and that </w:t>
      </w:r>
      <w:r w:rsidR="00F04DDA">
        <w:rPr>
          <w:lang w:val="en-US"/>
        </w:rPr>
        <w:t>gross negligence</w:t>
      </w:r>
      <w:r w:rsidR="00262E65" w:rsidRPr="00983884">
        <w:rPr>
          <w:lang w:val="en-US"/>
        </w:rPr>
        <w:t xml:space="preserve"> cannot be established for the following reason:</w:t>
      </w:r>
      <w:r w:rsidRPr="00983884">
        <w:rPr>
          <w:lang w:val="en-US"/>
        </w:rPr>
        <w:t xml:space="preserve"> </w:t>
      </w:r>
    </w:p>
    <w:p w:rsidR="00202702" w:rsidRPr="00983884" w:rsidRDefault="00202702" w:rsidP="00202702">
      <w:pPr>
        <w:pStyle w:val="ColorfulList-Accent11"/>
      </w:pPr>
    </w:p>
    <w:p w:rsidR="00202702" w:rsidRPr="00983884" w:rsidRDefault="00202702" w:rsidP="00202702">
      <w:pPr>
        <w:pStyle w:val="Style2"/>
        <w:numPr>
          <w:ilvl w:val="0"/>
          <w:numId w:val="0"/>
        </w:numPr>
        <w:ind w:left="720" w:right="720"/>
        <w:rPr>
          <w:lang w:val="en-US"/>
        </w:rPr>
      </w:pPr>
      <w:r w:rsidRPr="00983884">
        <w:rPr>
          <w:lang w:val="en-US"/>
        </w:rPr>
        <w:t>[</w:t>
      </w:r>
      <w:r w:rsidR="00262E65" w:rsidRPr="00983884">
        <w:rPr>
          <w:lang w:val="en-US"/>
        </w:rPr>
        <w:t>A</w:t>
      </w:r>
      <w:r w:rsidRPr="00983884">
        <w:rPr>
          <w:lang w:val="en-US"/>
        </w:rPr>
        <w:t>]</w:t>
      </w:r>
      <w:r w:rsidR="00262E65" w:rsidRPr="00983884">
        <w:rPr>
          <w:lang w:val="en-US"/>
        </w:rPr>
        <w:t xml:space="preserve">t all times, the person I am defending is charged with acting reprehensibly and breaching all the rules of the Police Force Manual, whether by intervening in the procedure or by choosing to stop a car which most did not know why it was being chased, but it is </w:t>
      </w:r>
      <w:r w:rsidR="00F04DDA">
        <w:rPr>
          <w:lang w:val="en-US"/>
        </w:rPr>
        <w:t xml:space="preserve">not an indifferent attitude to </w:t>
      </w:r>
      <w:r w:rsidR="00262E65" w:rsidRPr="00983884">
        <w:rPr>
          <w:lang w:val="en-US"/>
        </w:rPr>
        <w:t xml:space="preserve">rules of procedure that can determine a </w:t>
      </w:r>
      <w:r w:rsidR="00F04DDA">
        <w:rPr>
          <w:lang w:val="en-US"/>
        </w:rPr>
        <w:t>gross negligence</w:t>
      </w:r>
      <w:r w:rsidR="00262E65" w:rsidRPr="00983884">
        <w:rPr>
          <w:lang w:val="en-US"/>
        </w:rPr>
        <w:t>, on the contrary</w:t>
      </w:r>
      <w:r w:rsidR="00060D7E" w:rsidRPr="00983884">
        <w:rPr>
          <w:lang w:val="en-US"/>
        </w:rPr>
        <w:t xml:space="preserve"> on the basis of this same reasoning, it is inferred that</w:t>
      </w:r>
      <w:r w:rsidR="00F04DDA">
        <w:rPr>
          <w:lang w:val="en-US"/>
        </w:rPr>
        <w:t xml:space="preserve"> </w:t>
      </w:r>
      <w:r w:rsidR="00060D7E" w:rsidRPr="00983884">
        <w:rPr>
          <w:lang w:val="en-US"/>
        </w:rPr>
        <w:t>he acted contrary to the duties of his job, breaching regulations, with a large dose of recklessness</w:t>
      </w:r>
      <w:r w:rsidRPr="00983884">
        <w:rPr>
          <w:lang w:val="en-US"/>
        </w:rPr>
        <w:t xml:space="preserve">. </w:t>
      </w:r>
      <w:r w:rsidR="00F04DDA">
        <w:rPr>
          <w:lang w:val="en-US"/>
        </w:rPr>
        <w:t>In other words, that there was</w:t>
      </w:r>
      <w:r w:rsidR="00060D7E" w:rsidRPr="00983884">
        <w:rPr>
          <w:lang w:val="en-US"/>
        </w:rPr>
        <w:t xml:space="preserve"> an absence of caution but no prediction that the death of Hugo Gómez would be caused.</w:t>
      </w:r>
      <w:r w:rsidRPr="00983884">
        <w:rPr>
          <w:rStyle w:val="FootnoteReference"/>
          <w:lang w:val="en-US"/>
        </w:rPr>
        <w:footnoteReference w:id="14"/>
      </w:r>
    </w:p>
    <w:p w:rsidR="00202702" w:rsidRPr="00983884" w:rsidRDefault="00202702" w:rsidP="00202702">
      <w:pPr>
        <w:ind w:left="720"/>
        <w:jc w:val="both"/>
        <w:rPr>
          <w:rFonts w:ascii="Cambria" w:hAnsi="Cambria"/>
          <w:sz w:val="20"/>
          <w:szCs w:val="20"/>
        </w:rPr>
      </w:pPr>
    </w:p>
    <w:p w:rsidR="00202702" w:rsidRPr="00983884" w:rsidRDefault="003674EE" w:rsidP="00202702">
      <w:pPr>
        <w:pStyle w:val="Style2"/>
        <w:numPr>
          <w:ilvl w:val="0"/>
          <w:numId w:val="104"/>
        </w:numPr>
        <w:rPr>
          <w:lang w:val="en-US"/>
        </w:rPr>
      </w:pPr>
      <w:r w:rsidRPr="00983884">
        <w:rPr>
          <w:lang w:val="en-US"/>
        </w:rPr>
        <w:t xml:space="preserve">On December </w:t>
      </w:r>
      <w:r w:rsidR="00202702" w:rsidRPr="00983884">
        <w:rPr>
          <w:lang w:val="en-US"/>
        </w:rPr>
        <w:t>19</w:t>
      </w:r>
      <w:r w:rsidRPr="00983884">
        <w:rPr>
          <w:lang w:val="en-US"/>
        </w:rPr>
        <w:t>,</w:t>
      </w:r>
      <w:r w:rsidR="00202702" w:rsidRPr="00983884">
        <w:rPr>
          <w:lang w:val="en-US"/>
        </w:rPr>
        <w:t xml:space="preserve"> 1997</w:t>
      </w:r>
      <w:r w:rsidRPr="00983884">
        <w:rPr>
          <w:lang w:val="en-US"/>
        </w:rPr>
        <w:t>, the Second Chamber of the Supreme Court of Justice of Mendoza decided to dismiss the cassation appeal “because it was formally inadmissible.</w:t>
      </w:r>
      <w:r w:rsidR="00202702" w:rsidRPr="00983884">
        <w:rPr>
          <w:lang w:val="en-US"/>
        </w:rPr>
        <w:t>”</w:t>
      </w:r>
      <w:r w:rsidR="00202702" w:rsidRPr="00983884">
        <w:rPr>
          <w:rStyle w:val="FootnoteReference"/>
          <w:lang w:val="en-US"/>
        </w:rPr>
        <w:footnoteReference w:id="15"/>
      </w:r>
    </w:p>
    <w:p w:rsidR="00202702" w:rsidRPr="00983884" w:rsidRDefault="00202702" w:rsidP="00202702">
      <w:pPr>
        <w:pStyle w:val="Style2"/>
        <w:numPr>
          <w:ilvl w:val="0"/>
          <w:numId w:val="0"/>
        </w:numPr>
        <w:ind w:left="720"/>
        <w:rPr>
          <w:lang w:val="en-US"/>
        </w:rPr>
      </w:pPr>
    </w:p>
    <w:p w:rsidR="00202702" w:rsidRPr="00983884" w:rsidRDefault="00A25EEF" w:rsidP="00202702">
      <w:pPr>
        <w:pStyle w:val="Style2"/>
        <w:numPr>
          <w:ilvl w:val="0"/>
          <w:numId w:val="104"/>
        </w:numPr>
        <w:rPr>
          <w:lang w:val="en-US"/>
        </w:rPr>
      </w:pPr>
      <w:r w:rsidRPr="00983884">
        <w:rPr>
          <w:lang w:val="en-US"/>
        </w:rPr>
        <w:t>The Second Chamber pointed out that the cassation appeal “must be motivated and this motivation must be provided by the complainant in the same document filing the proceeding, concretely determining the grievance, both in terms of the defect it is denouncing and in terms of the law that substantiates it.</w:t>
      </w:r>
      <w:r w:rsidR="00202702" w:rsidRPr="00983884">
        <w:rPr>
          <w:lang w:val="en-US"/>
        </w:rPr>
        <w:t>”</w:t>
      </w:r>
      <w:r w:rsidR="00202702" w:rsidRPr="00983884">
        <w:rPr>
          <w:rStyle w:val="FootnoteReference"/>
          <w:lang w:val="en-US"/>
        </w:rPr>
        <w:footnoteReference w:id="16"/>
      </w:r>
      <w:r w:rsidR="00202702" w:rsidRPr="00983884">
        <w:rPr>
          <w:lang w:val="en-US"/>
        </w:rPr>
        <w:t xml:space="preserve"> </w:t>
      </w:r>
      <w:r w:rsidRPr="00983884">
        <w:rPr>
          <w:lang w:val="en-US"/>
        </w:rPr>
        <w:t>In that regard, it indicated the following</w:t>
      </w:r>
      <w:r w:rsidR="00202702" w:rsidRPr="00983884">
        <w:rPr>
          <w:lang w:val="en-US"/>
        </w:rPr>
        <w:t xml:space="preserve">: </w:t>
      </w:r>
    </w:p>
    <w:p w:rsidR="00202702" w:rsidRPr="00983884" w:rsidRDefault="00202702" w:rsidP="00202702">
      <w:pPr>
        <w:pStyle w:val="Style2"/>
        <w:numPr>
          <w:ilvl w:val="0"/>
          <w:numId w:val="0"/>
        </w:numPr>
        <w:ind w:firstLine="720"/>
        <w:rPr>
          <w:lang w:val="en-US"/>
        </w:rPr>
      </w:pPr>
    </w:p>
    <w:p w:rsidR="00202702" w:rsidRPr="00983884" w:rsidRDefault="00A25EEF" w:rsidP="00202702">
      <w:pPr>
        <w:pStyle w:val="ColorfulList-Accent12"/>
        <w:rPr>
          <w:lang w:val="en-US"/>
        </w:rPr>
      </w:pPr>
      <w:r w:rsidRPr="00983884">
        <w:rPr>
          <w:lang w:val="en-US"/>
        </w:rPr>
        <w:t xml:space="preserve">(…) </w:t>
      </w:r>
      <w:r w:rsidR="009564A0" w:rsidRPr="00983884">
        <w:rPr>
          <w:lang w:val="en-US"/>
        </w:rPr>
        <w:t>wh</w:t>
      </w:r>
      <w:r w:rsidR="00F04DDA">
        <w:rPr>
          <w:lang w:val="en-US"/>
        </w:rPr>
        <w:t>e</w:t>
      </w:r>
      <w:r w:rsidR="009564A0" w:rsidRPr="00983884">
        <w:rPr>
          <w:lang w:val="en-US"/>
        </w:rPr>
        <w:t xml:space="preserve">n the absence of motive </w:t>
      </w:r>
      <w:r w:rsidR="00F04DDA">
        <w:rPr>
          <w:lang w:val="en-US"/>
        </w:rPr>
        <w:t>in</w:t>
      </w:r>
      <w:r w:rsidR="009564A0" w:rsidRPr="00983884">
        <w:rPr>
          <w:lang w:val="en-US"/>
        </w:rPr>
        <w:t xml:space="preserve"> the judgment is </w:t>
      </w:r>
      <w:r w:rsidR="00F04DDA">
        <w:rPr>
          <w:lang w:val="en-US"/>
        </w:rPr>
        <w:t>claimed</w:t>
      </w:r>
      <w:r w:rsidR="009564A0" w:rsidRPr="00983884">
        <w:rPr>
          <w:lang w:val="en-US"/>
        </w:rPr>
        <w:t xml:space="preserve">, it is necessary to individualize the </w:t>
      </w:r>
      <w:r w:rsidR="00F04DDA">
        <w:rPr>
          <w:lang w:val="en-US"/>
        </w:rPr>
        <w:t xml:space="preserve">defective </w:t>
      </w:r>
      <w:r w:rsidR="009564A0" w:rsidRPr="00983884">
        <w:rPr>
          <w:lang w:val="en-US"/>
        </w:rPr>
        <w:t>proceeding, (…) pointing out the reasonable possibility of impact from the illegal or omitted evidence in the reasoning of the court examining the merits</w:t>
      </w:r>
      <w:r w:rsidR="00202702" w:rsidRPr="00983884">
        <w:rPr>
          <w:lang w:val="en-US"/>
        </w:rPr>
        <w:t xml:space="preserve"> (…). </w:t>
      </w:r>
      <w:r w:rsidR="009564A0" w:rsidRPr="00983884">
        <w:rPr>
          <w:lang w:val="en-US"/>
        </w:rPr>
        <w:t xml:space="preserve">With respect to the alleged substantive motive, it should be dismissed </w:t>
      </w:r>
      <w:r w:rsidR="009564A0" w:rsidRPr="00DF49C8">
        <w:rPr>
          <w:i/>
          <w:lang w:val="en-US"/>
        </w:rPr>
        <w:t>in limine</w:t>
      </w:r>
      <w:r w:rsidR="009564A0" w:rsidRPr="00983884">
        <w:rPr>
          <w:lang w:val="en-US"/>
        </w:rPr>
        <w:t xml:space="preserve"> because the </w:t>
      </w:r>
      <w:r w:rsidR="00F04DDA">
        <w:rPr>
          <w:lang w:val="en-US"/>
        </w:rPr>
        <w:t xml:space="preserve">appeal’s </w:t>
      </w:r>
      <w:r w:rsidR="009564A0" w:rsidRPr="00983884">
        <w:rPr>
          <w:lang w:val="en-US"/>
        </w:rPr>
        <w:t xml:space="preserve">arguments reveal, in short, the discrepancy of the appraisal made by the plaintiff with the </w:t>
      </w:r>
      <w:r w:rsidR="00F04DDA">
        <w:rPr>
          <w:lang w:val="en-US"/>
        </w:rPr>
        <w:t xml:space="preserve">Chamber’s </w:t>
      </w:r>
      <w:r w:rsidR="009564A0" w:rsidRPr="00983884">
        <w:rPr>
          <w:lang w:val="en-US"/>
        </w:rPr>
        <w:t>criterion</w:t>
      </w:r>
      <w:r w:rsidR="00F04DDA">
        <w:rPr>
          <w:lang w:val="en-US"/>
        </w:rPr>
        <w:t xml:space="preserve"> regarding</w:t>
      </w:r>
      <w:r w:rsidR="009564A0" w:rsidRPr="00983884">
        <w:rPr>
          <w:lang w:val="en-US"/>
        </w:rPr>
        <w:t xml:space="preserve"> evidence legally incorporated into the discussion, because the Cassation Court canno</w:t>
      </w:r>
      <w:r w:rsidR="00F04DDA">
        <w:rPr>
          <w:lang w:val="en-US"/>
        </w:rPr>
        <w:t>t review or judge the motives</w:t>
      </w:r>
      <w:r w:rsidR="009564A0" w:rsidRPr="00983884">
        <w:rPr>
          <w:lang w:val="en-US"/>
        </w:rPr>
        <w:t xml:space="preserve"> that constitute</w:t>
      </w:r>
      <w:r w:rsidR="00F04DDA">
        <w:rPr>
          <w:lang w:val="en-US"/>
        </w:rPr>
        <w:t>d the conviction issued by the lower</w:t>
      </w:r>
      <w:r w:rsidR="009564A0" w:rsidRPr="00983884">
        <w:rPr>
          <w:lang w:val="en-US"/>
        </w:rPr>
        <w:t xml:space="preserve"> Court</w:t>
      </w:r>
      <w:r w:rsidR="00202702" w:rsidRPr="00983884">
        <w:rPr>
          <w:lang w:val="en-US"/>
        </w:rPr>
        <w:t xml:space="preserve"> (…)</w:t>
      </w:r>
      <w:r w:rsidR="009564A0" w:rsidRPr="00983884">
        <w:rPr>
          <w:lang w:val="en-US"/>
        </w:rPr>
        <w:t>.</w:t>
      </w:r>
      <w:r w:rsidR="00202702" w:rsidRPr="00983884">
        <w:rPr>
          <w:rStyle w:val="FootnoteReference"/>
          <w:lang w:val="en-US"/>
        </w:rPr>
        <w:footnoteReference w:id="17"/>
      </w:r>
    </w:p>
    <w:p w:rsidR="00202702" w:rsidRPr="00983884" w:rsidRDefault="00202702" w:rsidP="00202702">
      <w:pPr>
        <w:pStyle w:val="ColorfulList-Accent12"/>
        <w:rPr>
          <w:lang w:val="en-US"/>
        </w:rPr>
      </w:pPr>
    </w:p>
    <w:p w:rsidR="00202702" w:rsidRPr="00983884" w:rsidRDefault="009564A0" w:rsidP="00202702">
      <w:pPr>
        <w:pStyle w:val="Style2"/>
        <w:numPr>
          <w:ilvl w:val="0"/>
          <w:numId w:val="104"/>
        </w:numPr>
        <w:rPr>
          <w:lang w:val="en-US"/>
        </w:rPr>
      </w:pPr>
      <w:r w:rsidRPr="00983884">
        <w:rPr>
          <w:lang w:val="en-US"/>
        </w:rPr>
        <w:t xml:space="preserve">The Second Chamber added that “the Chamber has clearly, completely, and abundantly substantiated the </w:t>
      </w:r>
      <w:r w:rsidR="00F04DDA">
        <w:rPr>
          <w:lang w:val="en-US"/>
        </w:rPr>
        <w:t>gross negligence</w:t>
      </w:r>
      <w:r w:rsidRPr="00983884">
        <w:rPr>
          <w:lang w:val="en-US"/>
        </w:rPr>
        <w:t xml:space="preserve"> that it attributes to the conduct of the accused,” for which purpose it quoted textually the reasoning of the Chamber.</w:t>
      </w:r>
      <w:r w:rsidR="00202702" w:rsidRPr="00983884">
        <w:rPr>
          <w:rStyle w:val="FootnoteReference"/>
          <w:lang w:val="en-US"/>
        </w:rPr>
        <w:footnoteReference w:id="18"/>
      </w:r>
      <w:r w:rsidRPr="00983884">
        <w:rPr>
          <w:lang w:val="en-US"/>
        </w:rPr>
        <w:t xml:space="preserve"> Likewise, the Second Chamber indicated that the Chamber had closely examined the hypothesis that the accused had acted </w:t>
      </w:r>
      <w:r w:rsidR="00F04DDA">
        <w:rPr>
          <w:lang w:val="en-US"/>
        </w:rPr>
        <w:t>culpably</w:t>
      </w:r>
      <w:r w:rsidRPr="00983884">
        <w:rPr>
          <w:lang w:val="en-US"/>
        </w:rPr>
        <w:t>.</w:t>
      </w:r>
      <w:r w:rsidR="00202702" w:rsidRPr="00983884">
        <w:rPr>
          <w:rStyle w:val="FootnoteReference"/>
          <w:lang w:val="en-US"/>
        </w:rPr>
        <w:footnoteReference w:id="19"/>
      </w:r>
      <w:r w:rsidRPr="00983884">
        <w:rPr>
          <w:lang w:val="en-US"/>
        </w:rPr>
        <w:t xml:space="preserve"> </w:t>
      </w:r>
      <w:r w:rsidR="00307B6F" w:rsidRPr="00983884">
        <w:rPr>
          <w:lang w:val="en-US"/>
        </w:rPr>
        <w:t>As a result, it ruled that the appeal that was filed should be dismissed.</w:t>
      </w:r>
      <w:r w:rsidR="00202702" w:rsidRPr="00983884">
        <w:rPr>
          <w:rStyle w:val="FootnoteReference"/>
          <w:lang w:val="en-US"/>
        </w:rPr>
        <w:footnoteReference w:id="20"/>
      </w:r>
    </w:p>
    <w:p w:rsidR="00202702" w:rsidRPr="00983884" w:rsidRDefault="00202702" w:rsidP="00202702">
      <w:pPr>
        <w:pStyle w:val="Style2"/>
        <w:numPr>
          <w:ilvl w:val="0"/>
          <w:numId w:val="0"/>
        </w:numPr>
        <w:rPr>
          <w:lang w:val="en-US"/>
        </w:rPr>
      </w:pPr>
    </w:p>
    <w:p w:rsidR="00202702" w:rsidRPr="00BC74F3" w:rsidRDefault="00202702">
      <w:pPr>
        <w:rPr>
          <w:rFonts w:ascii="Cambria" w:eastAsia="MS Gothic" w:hAnsi="Cambria"/>
          <w:b/>
          <w:bCs/>
          <w:sz w:val="22"/>
          <w:szCs w:val="26"/>
        </w:rPr>
      </w:pPr>
      <w:bookmarkStart w:id="39" w:name="_Toc490826174"/>
      <w:r w:rsidRPr="00983884">
        <w:br w:type="page"/>
      </w:r>
    </w:p>
    <w:p w:rsidR="00202702" w:rsidRPr="00983884" w:rsidRDefault="005C2B5C" w:rsidP="00202702">
      <w:pPr>
        <w:pStyle w:val="Heading2"/>
        <w:rPr>
          <w:lang w:val="en-US"/>
        </w:rPr>
      </w:pPr>
      <w:bookmarkStart w:id="40" w:name="_Toc365193989"/>
      <w:r>
        <w:rPr>
          <w:lang w:val="en-US"/>
        </w:rPr>
        <w:t>Extraordinary</w:t>
      </w:r>
      <w:r w:rsidR="00307B6F" w:rsidRPr="00983884">
        <w:rPr>
          <w:lang w:val="en-US"/>
        </w:rPr>
        <w:t xml:space="preserve"> appeal and complaint appeal</w:t>
      </w:r>
      <w:bookmarkEnd w:id="39"/>
      <w:bookmarkEnd w:id="40"/>
    </w:p>
    <w:p w:rsidR="00202702" w:rsidRPr="00983884" w:rsidRDefault="00202702" w:rsidP="00202702">
      <w:pPr>
        <w:pStyle w:val="Style2"/>
        <w:numPr>
          <w:ilvl w:val="0"/>
          <w:numId w:val="0"/>
        </w:numPr>
        <w:rPr>
          <w:lang w:val="en-US"/>
        </w:rPr>
      </w:pPr>
    </w:p>
    <w:p w:rsidR="00202702" w:rsidRPr="00983884" w:rsidRDefault="00307B6F" w:rsidP="00202702">
      <w:pPr>
        <w:pStyle w:val="Style2"/>
        <w:numPr>
          <w:ilvl w:val="0"/>
          <w:numId w:val="104"/>
        </w:numPr>
        <w:rPr>
          <w:lang w:val="en-US"/>
        </w:rPr>
      </w:pPr>
      <w:r w:rsidRPr="00983884">
        <w:rPr>
          <w:lang w:val="en-US"/>
        </w:rPr>
        <w:t>On February</w:t>
      </w:r>
      <w:r w:rsidR="00202702" w:rsidRPr="00983884">
        <w:rPr>
          <w:lang w:val="en-US"/>
        </w:rPr>
        <w:t xml:space="preserve"> 24</w:t>
      </w:r>
      <w:r w:rsidRPr="00983884">
        <w:rPr>
          <w:lang w:val="en-US"/>
        </w:rPr>
        <w:t>,</w:t>
      </w:r>
      <w:r w:rsidR="00202702" w:rsidRPr="00983884">
        <w:rPr>
          <w:lang w:val="en-US"/>
        </w:rPr>
        <w:t xml:space="preserve"> 1998</w:t>
      </w:r>
      <w:r w:rsidRPr="00983884">
        <w:rPr>
          <w:lang w:val="en-US"/>
        </w:rPr>
        <w:t>, the defense of Mr.</w:t>
      </w:r>
      <w:r w:rsidR="00202702" w:rsidRPr="00983884">
        <w:rPr>
          <w:lang w:val="en-US"/>
        </w:rPr>
        <w:t xml:space="preserve"> Gorigoitia </w:t>
      </w:r>
      <w:r w:rsidRPr="00983884">
        <w:rPr>
          <w:lang w:val="en-US"/>
        </w:rPr>
        <w:t>filed a</w:t>
      </w:r>
      <w:r w:rsidR="00444879">
        <w:rPr>
          <w:lang w:val="en-US"/>
        </w:rPr>
        <w:t>n</w:t>
      </w:r>
      <w:r w:rsidRPr="00983884">
        <w:rPr>
          <w:lang w:val="en-US"/>
        </w:rPr>
        <w:t xml:space="preserve"> </w:t>
      </w:r>
      <w:r w:rsidR="005C2B5C">
        <w:rPr>
          <w:lang w:val="en-US"/>
        </w:rPr>
        <w:t>extraordinary</w:t>
      </w:r>
      <w:r w:rsidRPr="00983884">
        <w:rPr>
          <w:lang w:val="en-US"/>
        </w:rPr>
        <w:t xml:space="preserve"> appeal with the Supreme Court of Justice of the Province of Mendoza.</w:t>
      </w:r>
      <w:r w:rsidR="00202702" w:rsidRPr="00983884">
        <w:rPr>
          <w:rStyle w:val="FootnoteReference"/>
          <w:lang w:val="en-US"/>
        </w:rPr>
        <w:footnoteReference w:id="21"/>
      </w:r>
      <w:r w:rsidR="00202702" w:rsidRPr="00983884">
        <w:rPr>
          <w:lang w:val="en-US"/>
        </w:rPr>
        <w:t xml:space="preserve"> </w:t>
      </w:r>
      <w:r w:rsidRPr="00983884">
        <w:rPr>
          <w:lang w:val="en-US"/>
        </w:rPr>
        <w:t xml:space="preserve">The defense requested </w:t>
      </w:r>
      <w:r w:rsidR="00444879">
        <w:rPr>
          <w:lang w:val="en-US"/>
        </w:rPr>
        <w:t>quashing</w:t>
      </w:r>
      <w:r w:rsidRPr="00983884">
        <w:rPr>
          <w:lang w:val="en-US"/>
        </w:rPr>
        <w:t xml:space="preserve"> of the judgment of the Second Chamber of the Supreme Court of Justice and the issuance of a new judgment “in formal terms and in line with the law.</w:t>
      </w:r>
      <w:r w:rsidR="00202702" w:rsidRPr="00983884">
        <w:rPr>
          <w:lang w:val="en-US"/>
        </w:rPr>
        <w:t>”</w:t>
      </w:r>
      <w:r w:rsidR="00202702" w:rsidRPr="00983884">
        <w:rPr>
          <w:rStyle w:val="FootnoteReference"/>
          <w:lang w:val="en-US"/>
        </w:rPr>
        <w:footnoteReference w:id="22"/>
      </w:r>
      <w:r w:rsidRPr="00983884">
        <w:rPr>
          <w:lang w:val="en-US"/>
        </w:rPr>
        <w:t xml:space="preserve"> It was indicated that the judgments of the Criminal Court and the Supreme Court had turned out to be arbitrary for the following reasons</w:t>
      </w:r>
      <w:r w:rsidR="00202702" w:rsidRPr="00983884">
        <w:rPr>
          <w:lang w:val="en-US"/>
        </w:rPr>
        <w:t>:</w:t>
      </w:r>
    </w:p>
    <w:p w:rsidR="00202702" w:rsidRPr="00983884" w:rsidRDefault="00202702" w:rsidP="00202702">
      <w:pPr>
        <w:pStyle w:val="Style2"/>
        <w:numPr>
          <w:ilvl w:val="0"/>
          <w:numId w:val="0"/>
        </w:numPr>
        <w:ind w:firstLine="720"/>
        <w:rPr>
          <w:lang w:val="en-US"/>
        </w:rPr>
      </w:pPr>
    </w:p>
    <w:p w:rsidR="00202702" w:rsidRPr="00983884" w:rsidRDefault="00307B6F" w:rsidP="00202702">
      <w:pPr>
        <w:pStyle w:val="ColorfulList-Accent12"/>
        <w:rPr>
          <w:lang w:val="en-US"/>
        </w:rPr>
      </w:pPr>
      <w:r w:rsidRPr="00983884">
        <w:rPr>
          <w:lang w:val="en-US"/>
        </w:rPr>
        <w:t xml:space="preserve">The legal situation of Gorigoitia </w:t>
      </w:r>
      <w:r w:rsidR="00202702" w:rsidRPr="00983884">
        <w:rPr>
          <w:lang w:val="en-US"/>
        </w:rPr>
        <w:t>[</w:t>
      </w:r>
      <w:r w:rsidRPr="00983884">
        <w:rPr>
          <w:lang w:val="en-US"/>
        </w:rPr>
        <w:t>had to be</w:t>
      </w:r>
      <w:r w:rsidR="00202702" w:rsidRPr="00983884">
        <w:rPr>
          <w:lang w:val="en-US"/>
        </w:rPr>
        <w:t xml:space="preserve">] </w:t>
      </w:r>
      <w:r w:rsidRPr="00983884">
        <w:rPr>
          <w:lang w:val="en-US"/>
        </w:rPr>
        <w:t xml:space="preserve">appraised on the basis of the principle </w:t>
      </w:r>
      <w:r w:rsidR="00202702" w:rsidRPr="00983884">
        <w:rPr>
          <w:i/>
          <w:lang w:val="en-US"/>
        </w:rPr>
        <w:t>in</w:t>
      </w:r>
      <w:r w:rsidR="00A87ED7">
        <w:rPr>
          <w:i/>
          <w:lang w:val="en-US"/>
        </w:rPr>
        <w:t xml:space="preserve"> </w:t>
      </w:r>
      <w:r w:rsidR="00202702" w:rsidRPr="00983884">
        <w:rPr>
          <w:i/>
          <w:lang w:val="en-US"/>
        </w:rPr>
        <w:t>dubio pro reo</w:t>
      </w:r>
      <w:r w:rsidR="00202702" w:rsidRPr="00983884">
        <w:rPr>
          <w:lang w:val="en-US"/>
        </w:rPr>
        <w:t xml:space="preserve">, </w:t>
      </w:r>
      <w:r w:rsidRPr="00983884">
        <w:rPr>
          <w:lang w:val="en-US"/>
        </w:rPr>
        <w:t xml:space="preserve">when deciding if the criminal category to be established was a </w:t>
      </w:r>
      <w:r w:rsidR="00E96DC0">
        <w:rPr>
          <w:lang w:val="en-US"/>
        </w:rPr>
        <w:t>manslaughter</w:t>
      </w:r>
      <w:r w:rsidR="00A87ED7">
        <w:rPr>
          <w:lang w:val="en-US"/>
        </w:rPr>
        <w:t xml:space="preserve"> or a culpable</w:t>
      </w:r>
      <w:r w:rsidRPr="00983884">
        <w:rPr>
          <w:lang w:val="en-US"/>
        </w:rPr>
        <w:t xml:space="preserve"> homicide</w:t>
      </w:r>
      <w:r w:rsidR="00202702" w:rsidRPr="00983884">
        <w:rPr>
          <w:lang w:val="en-US"/>
        </w:rPr>
        <w:t xml:space="preserve">. (…) </w:t>
      </w:r>
      <w:r w:rsidRPr="00983884">
        <w:rPr>
          <w:lang w:val="en-US"/>
        </w:rPr>
        <w:t xml:space="preserve">The </w:t>
      </w:r>
      <w:r w:rsidR="009B0DA4" w:rsidRPr="00983884">
        <w:rPr>
          <w:lang w:val="en-US"/>
        </w:rPr>
        <w:t>gross negligence that was attributed to the actions of the accused was never proven, and what emerged with greater certainty was that, at most and in the worst of cases, the blame was the most judicious in view of the particular features of the incident</w:t>
      </w:r>
      <w:r w:rsidR="00202702" w:rsidRPr="00983884">
        <w:rPr>
          <w:lang w:val="en-US"/>
        </w:rPr>
        <w:t xml:space="preserve">. (…) </w:t>
      </w:r>
      <w:r w:rsidR="009B0DA4" w:rsidRPr="00983884">
        <w:rPr>
          <w:lang w:val="en-US"/>
        </w:rPr>
        <w:t>What the cassation appeal is arguing is not a mere discrepancy, in terms of the appraisal, with the Court issuing the judgment; the discrepancy goes far beyond that and is essentially aimed censuring a crite</w:t>
      </w:r>
      <w:r w:rsidR="00A87ED7">
        <w:rPr>
          <w:lang w:val="en-US"/>
        </w:rPr>
        <w:t>rion of appraisal of the evidence</w:t>
      </w:r>
      <w:r w:rsidR="009B0DA4" w:rsidRPr="00983884">
        <w:rPr>
          <w:lang w:val="en-US"/>
        </w:rPr>
        <w:t xml:space="preserve"> supported by the pure and exclusive subjectivism of the judges, who in addition departed </w:t>
      </w:r>
      <w:r w:rsidR="00202702" w:rsidRPr="00983884">
        <w:rPr>
          <w:lang w:val="en-US"/>
        </w:rPr>
        <w:t xml:space="preserve">(…) </w:t>
      </w:r>
      <w:r w:rsidR="009B0DA4" w:rsidRPr="00983884">
        <w:rPr>
          <w:lang w:val="en-US"/>
        </w:rPr>
        <w:t>from the facts, common sens</w:t>
      </w:r>
      <w:r w:rsidR="00603CCC" w:rsidRPr="00983884">
        <w:rPr>
          <w:lang w:val="en-US"/>
        </w:rPr>
        <w:t>e</w:t>
      </w:r>
      <w:r w:rsidR="009B0DA4" w:rsidRPr="00983884">
        <w:rPr>
          <w:lang w:val="en-US"/>
        </w:rPr>
        <w:t>, and the rules of sound criticism.</w:t>
      </w:r>
      <w:r w:rsidR="00202702" w:rsidRPr="00983884">
        <w:rPr>
          <w:rStyle w:val="FootnoteReference"/>
          <w:lang w:val="en-US"/>
        </w:rPr>
        <w:footnoteReference w:id="23"/>
      </w:r>
    </w:p>
    <w:p w:rsidR="00202702" w:rsidRPr="00983884" w:rsidRDefault="00202702" w:rsidP="00202702">
      <w:pPr>
        <w:pStyle w:val="ColorfulList-Accent12"/>
        <w:rPr>
          <w:lang w:val="en-US"/>
        </w:rPr>
      </w:pPr>
    </w:p>
    <w:p w:rsidR="00202702" w:rsidRPr="00983884" w:rsidRDefault="009B0DA4" w:rsidP="00202702">
      <w:pPr>
        <w:pStyle w:val="Style2"/>
        <w:numPr>
          <w:ilvl w:val="0"/>
          <w:numId w:val="104"/>
        </w:numPr>
        <w:rPr>
          <w:lang w:val="en-US"/>
        </w:rPr>
      </w:pPr>
      <w:r w:rsidRPr="00983884">
        <w:rPr>
          <w:lang w:val="en-US"/>
        </w:rPr>
        <w:t xml:space="preserve">He also added that there was </w:t>
      </w:r>
      <w:r w:rsidR="008A4B56">
        <w:rPr>
          <w:lang w:val="en-US"/>
        </w:rPr>
        <w:t>a grievance</w:t>
      </w:r>
      <w:r w:rsidRPr="00983884">
        <w:rPr>
          <w:lang w:val="en-US"/>
        </w:rPr>
        <w:t xml:space="preserve"> involve</w:t>
      </w:r>
      <w:r w:rsidR="008A4B56">
        <w:rPr>
          <w:lang w:val="en-US"/>
        </w:rPr>
        <w:t>d</w:t>
      </w:r>
      <w:r w:rsidRPr="00983884">
        <w:rPr>
          <w:lang w:val="en-US"/>
        </w:rPr>
        <w:t xml:space="preserve"> in “dismissing the need to undertake a thorough and detailed interpretation of the records of the proceedings, </w:t>
      </w:r>
      <w:r w:rsidR="004F1745" w:rsidRPr="00983884">
        <w:rPr>
          <w:lang w:val="en-US"/>
        </w:rPr>
        <w:t>as well as basically dismissing the examination of arguments from the defense</w:t>
      </w:r>
      <w:r w:rsidR="00202702" w:rsidRPr="00983884">
        <w:rPr>
          <w:lang w:val="en-US"/>
        </w:rPr>
        <w:t xml:space="preserve"> (…) </w:t>
      </w:r>
      <w:r w:rsidR="004F1745" w:rsidRPr="00983884">
        <w:rPr>
          <w:lang w:val="en-US"/>
        </w:rPr>
        <w:t>both in the discussion and in the cassation appeal.</w:t>
      </w:r>
      <w:r w:rsidR="00202702" w:rsidRPr="00983884">
        <w:rPr>
          <w:lang w:val="en-US"/>
        </w:rPr>
        <w:t>”</w:t>
      </w:r>
      <w:r w:rsidR="00202702" w:rsidRPr="00983884">
        <w:rPr>
          <w:rStyle w:val="FootnoteReference"/>
          <w:lang w:val="en-US"/>
        </w:rPr>
        <w:footnoteReference w:id="24"/>
      </w:r>
    </w:p>
    <w:p w:rsidR="00202702" w:rsidRPr="00983884" w:rsidRDefault="00202702" w:rsidP="00202702">
      <w:pPr>
        <w:pStyle w:val="Style2"/>
        <w:numPr>
          <w:ilvl w:val="0"/>
          <w:numId w:val="0"/>
        </w:numPr>
        <w:rPr>
          <w:lang w:val="en-US"/>
        </w:rPr>
      </w:pPr>
    </w:p>
    <w:p w:rsidR="00202702" w:rsidRPr="00983884" w:rsidRDefault="00603CCC" w:rsidP="00202702">
      <w:pPr>
        <w:pStyle w:val="Style2"/>
        <w:numPr>
          <w:ilvl w:val="0"/>
          <w:numId w:val="104"/>
        </w:numPr>
        <w:rPr>
          <w:lang w:val="en-US"/>
        </w:rPr>
      </w:pPr>
      <w:r w:rsidRPr="00983884">
        <w:rPr>
          <w:lang w:val="en-US"/>
        </w:rPr>
        <w:t>On March</w:t>
      </w:r>
      <w:r w:rsidR="00202702" w:rsidRPr="00983884">
        <w:rPr>
          <w:lang w:val="en-US"/>
        </w:rPr>
        <w:t xml:space="preserve"> 11</w:t>
      </w:r>
      <w:r w:rsidRPr="00983884">
        <w:rPr>
          <w:lang w:val="en-US"/>
        </w:rPr>
        <w:t>,</w:t>
      </w:r>
      <w:r w:rsidR="00202702" w:rsidRPr="00983884">
        <w:rPr>
          <w:lang w:val="en-US"/>
        </w:rPr>
        <w:t xml:space="preserve"> 1998</w:t>
      </w:r>
      <w:r w:rsidRPr="00983884">
        <w:rPr>
          <w:lang w:val="en-US"/>
        </w:rPr>
        <w:t>, the Prosecutor General of the Supreme Court of Justice of Mendoza issue</w:t>
      </w:r>
      <w:r w:rsidR="008A4B56">
        <w:rPr>
          <w:lang w:val="en-US"/>
        </w:rPr>
        <w:t>d</w:t>
      </w:r>
      <w:r w:rsidRPr="00983884">
        <w:rPr>
          <w:lang w:val="en-US"/>
        </w:rPr>
        <w:t xml:space="preserve"> a writ indicating that the </w:t>
      </w:r>
      <w:r w:rsidR="005C2B5C">
        <w:rPr>
          <w:lang w:val="en-US"/>
        </w:rPr>
        <w:t>extraordinary</w:t>
      </w:r>
      <w:r w:rsidR="008A4B56">
        <w:rPr>
          <w:lang w:val="en-US"/>
        </w:rPr>
        <w:t xml:space="preserve"> appeal must be declared </w:t>
      </w:r>
      <w:r w:rsidRPr="00983884">
        <w:rPr>
          <w:lang w:val="en-US"/>
        </w:rPr>
        <w:t>admissible. The Prosecutor invoked Article</w:t>
      </w:r>
      <w:r w:rsidR="00202702" w:rsidRPr="00983884">
        <w:rPr>
          <w:lang w:val="en-US"/>
        </w:rPr>
        <w:t xml:space="preserve"> 8.2 h) </w:t>
      </w:r>
      <w:r w:rsidRPr="00983884">
        <w:rPr>
          <w:lang w:val="en-US"/>
        </w:rPr>
        <w:t xml:space="preserve">of the American Convention and Article </w:t>
      </w:r>
      <w:r w:rsidR="00202702" w:rsidRPr="00983884">
        <w:rPr>
          <w:lang w:val="en-US"/>
        </w:rPr>
        <w:t xml:space="preserve">14.5 </w:t>
      </w:r>
      <w:r w:rsidRPr="00983884">
        <w:rPr>
          <w:lang w:val="en-US"/>
        </w:rPr>
        <w:t>of the International Covenant on Civil and Political Rights</w:t>
      </w:r>
      <w:r w:rsidR="008A4B56">
        <w:rPr>
          <w:lang w:val="en-US"/>
        </w:rPr>
        <w:t xml:space="preserve"> (CCPR)</w:t>
      </w:r>
      <w:r w:rsidRPr="00983884">
        <w:rPr>
          <w:lang w:val="en-US"/>
        </w:rPr>
        <w:t>, indicating that “</w:t>
      </w:r>
      <w:r w:rsidR="008A4B56">
        <w:rPr>
          <w:lang w:val="en-US"/>
        </w:rPr>
        <w:t xml:space="preserve">the </w:t>
      </w:r>
      <w:r w:rsidRPr="00983884">
        <w:rPr>
          <w:lang w:val="en-US"/>
        </w:rPr>
        <w:t>guarantee of appeal has been enshrined in a truly broad fashion for the benefit of the accused and cannot be confined or restricted for the purpose of meeting excessive formal requirements.</w:t>
      </w:r>
      <w:r w:rsidR="00202702" w:rsidRPr="00983884">
        <w:rPr>
          <w:lang w:val="en-US"/>
        </w:rPr>
        <w:t>”</w:t>
      </w:r>
      <w:r w:rsidR="00202702" w:rsidRPr="00983884">
        <w:rPr>
          <w:rStyle w:val="FootnoteReference"/>
          <w:lang w:val="en-US"/>
        </w:rPr>
        <w:footnoteReference w:id="25"/>
      </w:r>
    </w:p>
    <w:p w:rsidR="00202702" w:rsidRPr="00983884" w:rsidRDefault="00202702" w:rsidP="00202702">
      <w:pPr>
        <w:pStyle w:val="Style2"/>
        <w:numPr>
          <w:ilvl w:val="0"/>
          <w:numId w:val="0"/>
        </w:numPr>
        <w:ind w:left="720"/>
        <w:rPr>
          <w:lang w:val="en-US"/>
        </w:rPr>
      </w:pPr>
    </w:p>
    <w:p w:rsidR="00202702" w:rsidRPr="00983884" w:rsidRDefault="00603CCC" w:rsidP="00202702">
      <w:pPr>
        <w:pStyle w:val="Style2"/>
        <w:numPr>
          <w:ilvl w:val="0"/>
          <w:numId w:val="104"/>
        </w:numPr>
        <w:rPr>
          <w:lang w:val="en-US"/>
        </w:rPr>
      </w:pPr>
      <w:r w:rsidRPr="00983884">
        <w:rPr>
          <w:lang w:val="en-US"/>
        </w:rPr>
        <w:t xml:space="preserve">On March </w:t>
      </w:r>
      <w:r w:rsidR="00202702" w:rsidRPr="00983884">
        <w:rPr>
          <w:lang w:val="en-US"/>
        </w:rPr>
        <w:t>31</w:t>
      </w:r>
      <w:r w:rsidRPr="00983884">
        <w:rPr>
          <w:lang w:val="en-US"/>
        </w:rPr>
        <w:t>,</w:t>
      </w:r>
      <w:r w:rsidR="00202702" w:rsidRPr="00983884">
        <w:rPr>
          <w:lang w:val="en-US"/>
        </w:rPr>
        <w:t xml:space="preserve"> 1998</w:t>
      </w:r>
      <w:r w:rsidRPr="00983884">
        <w:rPr>
          <w:lang w:val="en-US"/>
        </w:rPr>
        <w:t xml:space="preserve">, the Supreme Court of Justice of the Province of Mendoza turned down the </w:t>
      </w:r>
      <w:r w:rsidR="005C2B5C">
        <w:rPr>
          <w:lang w:val="en-US"/>
        </w:rPr>
        <w:t>extraordinary</w:t>
      </w:r>
      <w:r w:rsidRPr="00983884">
        <w:rPr>
          <w:lang w:val="en-US"/>
        </w:rPr>
        <w:t xml:space="preserve"> appeal, indicating that:</w:t>
      </w:r>
    </w:p>
    <w:p w:rsidR="00202702" w:rsidRPr="00983884" w:rsidRDefault="00202702" w:rsidP="00202702">
      <w:pPr>
        <w:pStyle w:val="Style2"/>
        <w:numPr>
          <w:ilvl w:val="0"/>
          <w:numId w:val="0"/>
        </w:numPr>
        <w:ind w:firstLine="720"/>
        <w:rPr>
          <w:lang w:val="en-US"/>
        </w:rPr>
      </w:pPr>
    </w:p>
    <w:p w:rsidR="00202702" w:rsidRPr="00983884" w:rsidRDefault="00202702" w:rsidP="00202702">
      <w:pPr>
        <w:pStyle w:val="ColorfulList-Accent12"/>
        <w:rPr>
          <w:lang w:val="en-US"/>
        </w:rPr>
      </w:pPr>
      <w:r w:rsidRPr="00983884">
        <w:rPr>
          <w:lang w:val="en-US"/>
        </w:rPr>
        <w:t xml:space="preserve">(…) </w:t>
      </w:r>
      <w:r w:rsidR="00603CCC" w:rsidRPr="00983884">
        <w:rPr>
          <w:lang w:val="en-US"/>
        </w:rPr>
        <w:t>the complainant is not challenging a judgment, but rather an “order” issued by the present Chamber II which is formally rejecting the cassation appeal because it does not meet the requirements expressly set forth in Mendoza’s criminal procedural law and jurisprudence</w:t>
      </w:r>
      <w:r w:rsidRPr="00983884">
        <w:rPr>
          <w:lang w:val="en-US"/>
        </w:rPr>
        <w:t xml:space="preserve"> (…). </w:t>
      </w:r>
      <w:r w:rsidR="00603CCC" w:rsidRPr="00983884">
        <w:rPr>
          <w:lang w:val="en-US"/>
        </w:rPr>
        <w:t>(…) The doctrine of arbitrariness is not aimed at rectifying, in courts of third instance, erroneous rulings or those that the complainant considers are erroneous</w:t>
      </w:r>
      <w:r w:rsidR="00AE4A5B" w:rsidRPr="00983884">
        <w:rPr>
          <w:lang w:val="en-US"/>
        </w:rPr>
        <w:t xml:space="preserve">, </w:t>
      </w:r>
      <w:r w:rsidR="008A4B56">
        <w:rPr>
          <w:lang w:val="en-US"/>
        </w:rPr>
        <w:t>in accordance with</w:t>
      </w:r>
      <w:r w:rsidR="00AE4A5B" w:rsidRPr="00983884">
        <w:rPr>
          <w:lang w:val="en-US"/>
        </w:rPr>
        <w:t xml:space="preserve"> the complainant’s divergence from the interpretation given by the judges to the common facts and laws, including respect for the standards that are deemed to be clear</w:t>
      </w:r>
      <w:r w:rsidRPr="00983884">
        <w:rPr>
          <w:lang w:val="en-US"/>
        </w:rPr>
        <w:t xml:space="preserve">. </w:t>
      </w:r>
      <w:r w:rsidR="00AE4A5B" w:rsidRPr="00983884">
        <w:rPr>
          <w:lang w:val="en-US"/>
        </w:rPr>
        <w:t xml:space="preserve">(...) In </w:t>
      </w:r>
      <w:r w:rsidR="008A4B56">
        <w:rPr>
          <w:lang w:val="en-US"/>
        </w:rPr>
        <w:t xml:space="preserve">the </w:t>
      </w:r>
      <w:r w:rsidR="00AE4A5B" w:rsidRPr="00983884">
        <w:rPr>
          <w:lang w:val="en-US"/>
        </w:rPr>
        <w:t xml:space="preserve">case </w:t>
      </w:r>
      <w:r w:rsidR="008A4B56" w:rsidRPr="008A4B56">
        <w:rPr>
          <w:i/>
          <w:lang w:val="en-US"/>
        </w:rPr>
        <w:t>in lite</w:t>
      </w:r>
      <w:r w:rsidR="00AE4A5B" w:rsidRPr="00983884">
        <w:rPr>
          <w:lang w:val="en-US"/>
        </w:rPr>
        <w:t>, the ruling that is being challenged has been duly grounded in Mendoza’s procedural law and related jurisprudence</w:t>
      </w:r>
      <w:r w:rsidRPr="00983884">
        <w:rPr>
          <w:lang w:val="en-US"/>
        </w:rPr>
        <w:t xml:space="preserve">, </w:t>
      </w:r>
      <w:r w:rsidR="00AE4A5B" w:rsidRPr="00983884">
        <w:rPr>
          <w:lang w:val="en-US"/>
        </w:rPr>
        <w:t>of which the complainant is unaware</w:t>
      </w:r>
      <w:r w:rsidRPr="00983884">
        <w:rPr>
          <w:lang w:val="en-US"/>
        </w:rPr>
        <w:t xml:space="preserve"> (…)</w:t>
      </w:r>
      <w:r w:rsidR="00AE4A5B" w:rsidRPr="00983884">
        <w:rPr>
          <w:lang w:val="en-US"/>
        </w:rPr>
        <w:t>.</w:t>
      </w:r>
      <w:r w:rsidRPr="00983884">
        <w:rPr>
          <w:rStyle w:val="FootnoteReference"/>
          <w:lang w:val="en-US"/>
        </w:rPr>
        <w:footnoteReference w:id="26"/>
      </w:r>
    </w:p>
    <w:p w:rsidR="00202702" w:rsidRPr="00983884" w:rsidRDefault="00202702" w:rsidP="00202702">
      <w:pPr>
        <w:pStyle w:val="Style2"/>
        <w:numPr>
          <w:ilvl w:val="0"/>
          <w:numId w:val="0"/>
        </w:numPr>
        <w:ind w:firstLine="720"/>
        <w:rPr>
          <w:lang w:val="en-US"/>
        </w:rPr>
      </w:pPr>
    </w:p>
    <w:p w:rsidR="00202702" w:rsidRPr="00983884" w:rsidRDefault="008A4B56" w:rsidP="00202702">
      <w:pPr>
        <w:pStyle w:val="Style2"/>
        <w:numPr>
          <w:ilvl w:val="0"/>
          <w:numId w:val="104"/>
        </w:numPr>
        <w:rPr>
          <w:lang w:val="en-US"/>
        </w:rPr>
      </w:pPr>
      <w:r>
        <w:rPr>
          <w:lang w:val="en-US"/>
        </w:rPr>
        <w:t>The P</w:t>
      </w:r>
      <w:r w:rsidR="00F84B01" w:rsidRPr="00983884">
        <w:rPr>
          <w:lang w:val="en-US"/>
        </w:rPr>
        <w:t xml:space="preserve">rovincial Supreme Court added that the grievances on which the </w:t>
      </w:r>
      <w:r w:rsidR="005C2B5C">
        <w:rPr>
          <w:lang w:val="en-US"/>
        </w:rPr>
        <w:t>extraordinary</w:t>
      </w:r>
      <w:r w:rsidR="00F84B01" w:rsidRPr="00983884">
        <w:rPr>
          <w:lang w:val="en-US"/>
        </w:rPr>
        <w:t xml:space="preserve"> appeal is based must refer to the court of second instance and not to the first “regardless of the defects it contains.” The </w:t>
      </w:r>
      <w:r w:rsidR="00C97CA3" w:rsidRPr="00983884">
        <w:rPr>
          <w:lang w:val="en-US"/>
        </w:rPr>
        <w:t>opinio</w:t>
      </w:r>
      <w:r w:rsidR="00F84B01" w:rsidRPr="00983884">
        <w:rPr>
          <w:lang w:val="en-US"/>
        </w:rPr>
        <w:t xml:space="preserve">n of the Prosecutor General was not </w:t>
      </w:r>
      <w:r w:rsidR="00C97CA3" w:rsidRPr="00983884">
        <w:rPr>
          <w:lang w:val="en-US"/>
        </w:rPr>
        <w:t>mentioned in this ruling</w:t>
      </w:r>
      <w:r w:rsidR="00202702" w:rsidRPr="00983884">
        <w:rPr>
          <w:lang w:val="en-US"/>
        </w:rPr>
        <w:t>.</w:t>
      </w:r>
    </w:p>
    <w:p w:rsidR="00202702" w:rsidRPr="00983884" w:rsidRDefault="00202702" w:rsidP="00202702">
      <w:pPr>
        <w:pStyle w:val="Style2"/>
        <w:numPr>
          <w:ilvl w:val="0"/>
          <w:numId w:val="0"/>
        </w:numPr>
        <w:rPr>
          <w:lang w:val="en-US"/>
        </w:rPr>
      </w:pPr>
    </w:p>
    <w:p w:rsidR="00202702" w:rsidRPr="00983884" w:rsidRDefault="00C97CA3" w:rsidP="00202702">
      <w:pPr>
        <w:pStyle w:val="Style2"/>
        <w:numPr>
          <w:ilvl w:val="0"/>
          <w:numId w:val="104"/>
        </w:numPr>
        <w:rPr>
          <w:lang w:val="en-US"/>
        </w:rPr>
      </w:pPr>
      <w:r w:rsidRPr="00983884">
        <w:rPr>
          <w:lang w:val="en-US"/>
        </w:rPr>
        <w:t xml:space="preserve">In view of the dismissal of the </w:t>
      </w:r>
      <w:r w:rsidR="005C2B5C">
        <w:rPr>
          <w:lang w:val="en-US"/>
        </w:rPr>
        <w:t>extraordinary</w:t>
      </w:r>
      <w:r w:rsidRPr="00983884">
        <w:rPr>
          <w:lang w:val="en-US"/>
        </w:rPr>
        <w:t xml:space="preserve"> appeal, the defense of the alleged victim filed, with the Supreme Court of Justice of the Nation, a complaint appeal.</w:t>
      </w:r>
      <w:r w:rsidR="00202702" w:rsidRPr="00983884">
        <w:rPr>
          <w:rStyle w:val="FootnoteReference"/>
          <w:lang w:val="en-US"/>
        </w:rPr>
        <w:footnoteReference w:id="27"/>
      </w:r>
      <w:r w:rsidR="00202702" w:rsidRPr="00983884">
        <w:rPr>
          <w:lang w:val="en-US"/>
        </w:rPr>
        <w:t xml:space="preserve"> </w:t>
      </w:r>
      <w:r w:rsidRPr="00983884">
        <w:rPr>
          <w:lang w:val="en-US"/>
        </w:rPr>
        <w:t>On August</w:t>
      </w:r>
      <w:r w:rsidR="00202702" w:rsidRPr="00983884">
        <w:rPr>
          <w:lang w:val="en-US"/>
        </w:rPr>
        <w:t xml:space="preserve"> 6</w:t>
      </w:r>
      <w:r w:rsidRPr="00983884">
        <w:rPr>
          <w:lang w:val="en-US"/>
        </w:rPr>
        <w:t>,</w:t>
      </w:r>
      <w:r w:rsidR="00202702" w:rsidRPr="00983884">
        <w:rPr>
          <w:lang w:val="en-US"/>
        </w:rPr>
        <w:t xml:space="preserve"> 1998</w:t>
      </w:r>
      <w:r w:rsidRPr="00983884">
        <w:rPr>
          <w:lang w:val="en-US"/>
        </w:rPr>
        <w:t xml:space="preserve">, the Supreme Court of Justice of the Nation ruled that the </w:t>
      </w:r>
      <w:r w:rsidR="005C2B5C">
        <w:rPr>
          <w:lang w:val="en-US"/>
        </w:rPr>
        <w:t>extraordinary</w:t>
      </w:r>
      <w:r w:rsidRPr="00983884">
        <w:rPr>
          <w:lang w:val="en-US"/>
        </w:rPr>
        <w:t xml:space="preserve"> appeal was inadmi</w:t>
      </w:r>
      <w:r w:rsidR="00DF49C8">
        <w:rPr>
          <w:lang w:val="en-US"/>
        </w:rPr>
        <w:t>s</w:t>
      </w:r>
      <w:r w:rsidRPr="00983884">
        <w:rPr>
          <w:lang w:val="en-US"/>
        </w:rPr>
        <w:t>sible and, as a result, dismissed the complaint.</w:t>
      </w:r>
      <w:r w:rsidR="00202702" w:rsidRPr="00983884">
        <w:rPr>
          <w:rStyle w:val="FootnoteReference"/>
          <w:lang w:val="en-US"/>
        </w:rPr>
        <w:footnoteReference w:id="28"/>
      </w:r>
    </w:p>
    <w:p w:rsidR="00202702" w:rsidRPr="00983884" w:rsidRDefault="00202702" w:rsidP="00202702">
      <w:pPr>
        <w:pStyle w:val="ColorfulList-Accent11"/>
        <w:ind w:left="0" w:right="720"/>
        <w:rPr>
          <w:sz w:val="20"/>
          <w:szCs w:val="20"/>
        </w:rPr>
      </w:pPr>
    </w:p>
    <w:p w:rsidR="00202702" w:rsidRPr="00983884" w:rsidRDefault="00C97CA3" w:rsidP="00202702">
      <w:pPr>
        <w:pStyle w:val="Heading1"/>
      </w:pPr>
      <w:bookmarkStart w:id="41" w:name="_Toc490826175"/>
      <w:bookmarkStart w:id="42" w:name="_Toc365193990"/>
      <w:r w:rsidRPr="00983884">
        <w:t>ANALYSIS OF LAW</w:t>
      </w:r>
      <w:bookmarkEnd w:id="41"/>
      <w:bookmarkEnd w:id="42"/>
    </w:p>
    <w:p w:rsidR="00202702" w:rsidRPr="00983884" w:rsidRDefault="00202702" w:rsidP="00202702">
      <w:pPr>
        <w:tabs>
          <w:tab w:val="left" w:pos="0"/>
          <w:tab w:val="left" w:pos="1440"/>
        </w:tabs>
        <w:ind w:firstLine="720"/>
        <w:jc w:val="both"/>
        <w:rPr>
          <w:rFonts w:ascii="Cambria" w:hAnsi="Cambria" w:cs="Univers"/>
          <w:b/>
          <w:sz w:val="20"/>
          <w:szCs w:val="20"/>
        </w:rPr>
      </w:pPr>
    </w:p>
    <w:p w:rsidR="00202702" w:rsidRPr="00983884" w:rsidRDefault="008A4B56" w:rsidP="00202702">
      <w:pPr>
        <w:pStyle w:val="ColorfulList-Accent11"/>
        <w:numPr>
          <w:ilvl w:val="0"/>
          <w:numId w:val="109"/>
        </w:numPr>
        <w:tabs>
          <w:tab w:val="left" w:pos="1440"/>
        </w:tabs>
        <w:ind w:left="1440" w:hanging="720"/>
        <w:jc w:val="both"/>
        <w:rPr>
          <w:rFonts w:cs="Arial"/>
          <w:b/>
          <w:sz w:val="20"/>
          <w:szCs w:val="20"/>
        </w:rPr>
      </w:pPr>
      <w:r>
        <w:rPr>
          <w:rFonts w:cs="Univers"/>
          <w:b/>
          <w:sz w:val="20"/>
          <w:szCs w:val="20"/>
        </w:rPr>
        <w:t>Right to appeal the judgment before</w:t>
      </w:r>
      <w:r w:rsidR="00C97CA3" w:rsidRPr="00983884">
        <w:rPr>
          <w:rFonts w:cs="Univers"/>
          <w:b/>
          <w:sz w:val="20"/>
          <w:szCs w:val="20"/>
        </w:rPr>
        <w:t xml:space="preserve"> a higher </w:t>
      </w:r>
      <w:r>
        <w:rPr>
          <w:rFonts w:cs="Univers"/>
          <w:b/>
          <w:sz w:val="20"/>
          <w:szCs w:val="20"/>
        </w:rPr>
        <w:t xml:space="preserve">judge or </w:t>
      </w:r>
      <w:r w:rsidR="00C97CA3" w:rsidRPr="00983884">
        <w:rPr>
          <w:rFonts w:cs="Univers"/>
          <w:b/>
          <w:sz w:val="20"/>
          <w:szCs w:val="20"/>
        </w:rPr>
        <w:t>court</w:t>
      </w:r>
      <w:r w:rsidR="00202702" w:rsidRPr="00983884">
        <w:rPr>
          <w:rStyle w:val="FootnoteReference"/>
          <w:rFonts w:cs="Univers"/>
          <w:b/>
          <w:sz w:val="20"/>
          <w:szCs w:val="20"/>
        </w:rPr>
        <w:footnoteReference w:id="29"/>
      </w:r>
      <w:r w:rsidR="00C97CA3" w:rsidRPr="00983884">
        <w:rPr>
          <w:rFonts w:cs="Univers"/>
          <w:b/>
          <w:sz w:val="20"/>
          <w:szCs w:val="20"/>
        </w:rPr>
        <w:t xml:space="preserve"> and right to judicial protection</w:t>
      </w:r>
      <w:r w:rsidR="00202702" w:rsidRPr="00983884">
        <w:rPr>
          <w:rStyle w:val="FootnoteReference"/>
          <w:rFonts w:cs="Univers"/>
          <w:b/>
          <w:sz w:val="20"/>
          <w:szCs w:val="20"/>
        </w:rPr>
        <w:footnoteReference w:id="30"/>
      </w:r>
      <w:r w:rsidR="00202702" w:rsidRPr="00983884">
        <w:rPr>
          <w:rFonts w:cs="Univers"/>
          <w:b/>
          <w:sz w:val="20"/>
          <w:szCs w:val="20"/>
        </w:rPr>
        <w:t xml:space="preserve"> </w:t>
      </w:r>
    </w:p>
    <w:p w:rsidR="00202702" w:rsidRPr="00983884" w:rsidRDefault="00202702" w:rsidP="00202702">
      <w:pPr>
        <w:tabs>
          <w:tab w:val="left" w:pos="1440"/>
        </w:tabs>
        <w:jc w:val="both"/>
        <w:rPr>
          <w:rFonts w:ascii="Cambria" w:hAnsi="Cambria"/>
          <w:spacing w:val="-2"/>
          <w:sz w:val="20"/>
          <w:szCs w:val="20"/>
        </w:rPr>
      </w:pPr>
    </w:p>
    <w:p w:rsidR="00202702" w:rsidRPr="00983884" w:rsidRDefault="00202702" w:rsidP="00202702">
      <w:pPr>
        <w:ind w:firstLine="720"/>
        <w:jc w:val="both"/>
        <w:rPr>
          <w:rFonts w:ascii="Cambria" w:hAnsi="Cambria"/>
          <w:sz w:val="20"/>
          <w:szCs w:val="20"/>
        </w:rPr>
      </w:pPr>
      <w:r w:rsidRPr="00983884">
        <w:rPr>
          <w:rFonts w:ascii="Cambria" w:hAnsi="Cambria"/>
          <w:b/>
          <w:sz w:val="20"/>
          <w:szCs w:val="20"/>
        </w:rPr>
        <w:t xml:space="preserve">1. </w:t>
      </w:r>
      <w:r w:rsidRPr="00983884">
        <w:rPr>
          <w:rFonts w:ascii="Cambria" w:hAnsi="Cambria"/>
          <w:b/>
          <w:sz w:val="20"/>
          <w:szCs w:val="20"/>
        </w:rPr>
        <w:tab/>
      </w:r>
      <w:r w:rsidR="00C97CA3" w:rsidRPr="00983884">
        <w:rPr>
          <w:rFonts w:ascii="Cambria" w:hAnsi="Cambria"/>
          <w:b/>
          <w:sz w:val="20"/>
          <w:szCs w:val="20"/>
        </w:rPr>
        <w:t>General considerations on the right to appeal a judgment</w:t>
      </w:r>
    </w:p>
    <w:p w:rsidR="00202702" w:rsidRPr="00983884" w:rsidRDefault="00202702" w:rsidP="00202702">
      <w:pPr>
        <w:jc w:val="both"/>
        <w:rPr>
          <w:rFonts w:ascii="Cambria" w:hAnsi="Cambria"/>
          <w:b/>
          <w:sz w:val="20"/>
          <w:szCs w:val="20"/>
        </w:rPr>
      </w:pPr>
    </w:p>
    <w:p w:rsidR="00202702" w:rsidRPr="00983884" w:rsidRDefault="00C97CA3" w:rsidP="00202702">
      <w:pPr>
        <w:pStyle w:val="Style2"/>
        <w:numPr>
          <w:ilvl w:val="0"/>
          <w:numId w:val="104"/>
        </w:numPr>
        <w:rPr>
          <w:spacing w:val="-2"/>
          <w:lang w:val="en-US"/>
        </w:rPr>
      </w:pPr>
      <w:r w:rsidRPr="00983884">
        <w:rPr>
          <w:lang w:val="en-US"/>
        </w:rPr>
        <w:t>The</w:t>
      </w:r>
      <w:r w:rsidR="008A4B56">
        <w:rPr>
          <w:lang w:val="en-US"/>
        </w:rPr>
        <w:t xml:space="preserve"> right to appeal a judgment before</w:t>
      </w:r>
      <w:r w:rsidRPr="00983884">
        <w:rPr>
          <w:lang w:val="en-US"/>
        </w:rPr>
        <w:t xml:space="preserve"> a different higher-ranking judge or court is a basic guarantee in the framework of due process of law, whose ultimate purpose is to avoid consolidating a situation of injustice.</w:t>
      </w:r>
      <w:r w:rsidR="00202702" w:rsidRPr="00983884">
        <w:rPr>
          <w:rStyle w:val="FootnoteReference"/>
          <w:lang w:val="en-US"/>
        </w:rPr>
        <w:footnoteReference w:id="31"/>
      </w:r>
      <w:r w:rsidRPr="00983884">
        <w:rPr>
          <w:lang w:val="en-US"/>
        </w:rPr>
        <w:t xml:space="preserve"> According to inter-American jurisprudence, the goal of this right is to make it possible for an adverse judgment to be reviewed by a judge or court that is different and higher-ranking</w:t>
      </w:r>
      <w:r w:rsidR="00202702" w:rsidRPr="00983884">
        <w:rPr>
          <w:rStyle w:val="FootnoteReference"/>
          <w:lang w:val="en-US"/>
        </w:rPr>
        <w:footnoteReference w:id="32"/>
      </w:r>
      <w:r w:rsidRPr="00983884">
        <w:rPr>
          <w:lang w:val="en-US"/>
        </w:rPr>
        <w:t xml:space="preserve"> and to prevent the </w:t>
      </w:r>
      <w:r w:rsidR="002E3698" w:rsidRPr="00983884">
        <w:rPr>
          <w:lang w:val="en-US"/>
        </w:rPr>
        <w:t xml:space="preserve">final </w:t>
      </w:r>
      <w:r w:rsidRPr="00983884">
        <w:rPr>
          <w:lang w:val="en-US"/>
        </w:rPr>
        <w:t xml:space="preserve">consolidation of </w:t>
      </w:r>
      <w:r w:rsidR="008A4B56">
        <w:rPr>
          <w:lang w:val="en-US"/>
        </w:rPr>
        <w:t>a decision that was adopted with</w:t>
      </w:r>
      <w:r w:rsidRPr="00983884">
        <w:rPr>
          <w:lang w:val="en-US"/>
        </w:rPr>
        <w:t xml:space="preserve"> defects and contains errors that might lead to undue harm to the interests of a person</w:t>
      </w:r>
      <w:r w:rsidR="002E3698" w:rsidRPr="00983884">
        <w:rPr>
          <w:lang w:val="en-US"/>
        </w:rPr>
        <w:t>.</w:t>
      </w:r>
      <w:r w:rsidR="00202702" w:rsidRPr="00983884">
        <w:rPr>
          <w:rStyle w:val="FootnoteReference"/>
          <w:lang w:val="en-US"/>
        </w:rPr>
        <w:footnoteReference w:id="33"/>
      </w:r>
      <w:r w:rsidR="002E3698" w:rsidRPr="00983884">
        <w:rPr>
          <w:lang w:val="en-US"/>
        </w:rPr>
        <w:t xml:space="preserve"> Due process of law cannot be effective without the right to defense in a trial or the opportunity to defend oneself against a judgment on the basis of adequate review.</w:t>
      </w:r>
      <w:r w:rsidR="00202702" w:rsidRPr="00983884">
        <w:rPr>
          <w:rStyle w:val="FootnoteReference"/>
          <w:spacing w:val="-2"/>
          <w:lang w:val="en-US"/>
        </w:rPr>
        <w:footnoteReference w:id="34"/>
      </w:r>
    </w:p>
    <w:p w:rsidR="00202702" w:rsidRPr="00983884" w:rsidRDefault="00202702" w:rsidP="00202702">
      <w:pPr>
        <w:tabs>
          <w:tab w:val="left" w:pos="1440"/>
        </w:tabs>
        <w:jc w:val="both"/>
        <w:rPr>
          <w:rFonts w:ascii="Cambria" w:hAnsi="Cambria"/>
          <w:spacing w:val="-2"/>
          <w:sz w:val="20"/>
          <w:szCs w:val="20"/>
        </w:rPr>
      </w:pPr>
    </w:p>
    <w:p w:rsidR="00202702" w:rsidRPr="00983884" w:rsidRDefault="002E3698" w:rsidP="00202702">
      <w:pPr>
        <w:pStyle w:val="Style2"/>
        <w:numPr>
          <w:ilvl w:val="0"/>
          <w:numId w:val="104"/>
        </w:numPr>
        <w:rPr>
          <w:spacing w:val="-2"/>
          <w:lang w:val="en-US"/>
        </w:rPr>
      </w:pPr>
      <w:r w:rsidRPr="00983884">
        <w:rPr>
          <w:lang w:val="en-US"/>
        </w:rPr>
        <w:t>The Court has contended that “</w:t>
      </w:r>
      <w:r w:rsidR="001B5D9D">
        <w:rPr>
          <w:lang w:val="en-US"/>
        </w:rPr>
        <w:t xml:space="preserve">the </w:t>
      </w:r>
      <w:r w:rsidR="008A4B56">
        <w:rPr>
          <w:lang w:val="en-US"/>
        </w:rPr>
        <w:t xml:space="preserve">second court </w:t>
      </w:r>
      <w:r w:rsidR="001B5D9D">
        <w:rPr>
          <w:lang w:val="en-US"/>
        </w:rPr>
        <w:t>ratification</w:t>
      </w:r>
      <w:r w:rsidR="00160636">
        <w:rPr>
          <w:lang w:val="en-US"/>
        </w:rPr>
        <w:t xml:space="preserve"> [</w:t>
      </w:r>
      <w:r w:rsidR="00160636" w:rsidRPr="00160636">
        <w:rPr>
          <w:i/>
          <w:lang w:val="en-US"/>
        </w:rPr>
        <w:t>doble conforme</w:t>
      </w:r>
      <w:r w:rsidR="00160636">
        <w:rPr>
          <w:lang w:val="en-US"/>
        </w:rPr>
        <w:t>]</w:t>
      </w:r>
      <w:r w:rsidRPr="00983884">
        <w:rPr>
          <w:lang w:val="en-US"/>
        </w:rPr>
        <w:t>, expressed by means of access to an appeal that grants the possibility fo</w:t>
      </w:r>
      <w:r w:rsidR="008A4B56">
        <w:rPr>
          <w:lang w:val="en-US"/>
        </w:rPr>
        <w:t xml:space="preserve">r a comprehensive review of a judgment of </w:t>
      </w:r>
      <w:r w:rsidRPr="00983884">
        <w:rPr>
          <w:lang w:val="en-US"/>
        </w:rPr>
        <w:t>conviction, confirms the principle and grants greater credibility to the State’s jurisdictional action and, at the same time, provides greater security and safeguard</w:t>
      </w:r>
      <w:r w:rsidR="001B5D9D">
        <w:rPr>
          <w:lang w:val="en-US"/>
        </w:rPr>
        <w:t xml:space="preserve">s </w:t>
      </w:r>
      <w:r w:rsidRPr="00983884">
        <w:rPr>
          <w:lang w:val="en-US"/>
        </w:rPr>
        <w:t>the rights of those convicted.</w:t>
      </w:r>
      <w:r w:rsidR="00202702" w:rsidRPr="00983884">
        <w:rPr>
          <w:lang w:val="en-US"/>
        </w:rPr>
        <w:t>”</w:t>
      </w:r>
      <w:r w:rsidR="00202702" w:rsidRPr="00983884">
        <w:rPr>
          <w:rStyle w:val="FootnoteReference"/>
          <w:lang w:val="en-US"/>
        </w:rPr>
        <w:footnoteReference w:id="35"/>
      </w:r>
    </w:p>
    <w:p w:rsidR="00202702" w:rsidRPr="00983884" w:rsidRDefault="00202702" w:rsidP="00202702">
      <w:pPr>
        <w:jc w:val="both"/>
        <w:rPr>
          <w:rFonts w:ascii="Cambria" w:hAnsi="Cambria"/>
          <w:spacing w:val="-2"/>
          <w:sz w:val="20"/>
          <w:szCs w:val="20"/>
        </w:rPr>
      </w:pPr>
    </w:p>
    <w:p w:rsidR="00202702" w:rsidRPr="00983884" w:rsidRDefault="002E3698" w:rsidP="00202702">
      <w:pPr>
        <w:pStyle w:val="Style2"/>
        <w:numPr>
          <w:ilvl w:val="0"/>
          <w:numId w:val="104"/>
        </w:numPr>
        <w:rPr>
          <w:lang w:val="en-US"/>
        </w:rPr>
      </w:pPr>
      <w:r w:rsidRPr="00983884">
        <w:rPr>
          <w:lang w:val="en-US"/>
        </w:rPr>
        <w:t>In that respect, for international human rights law, the denomination or name given to this appeal is irrelevant;</w:t>
      </w:r>
      <w:r w:rsidR="00202702" w:rsidRPr="00983884">
        <w:rPr>
          <w:rStyle w:val="FootnoteReference"/>
          <w:spacing w:val="-2"/>
          <w:lang w:val="en-US"/>
        </w:rPr>
        <w:footnoteReference w:id="36"/>
      </w:r>
      <w:r w:rsidRPr="00983884">
        <w:rPr>
          <w:lang w:val="en-US"/>
        </w:rPr>
        <w:t xml:space="preserve"> what is important is that it should meet certain standards</w:t>
      </w:r>
      <w:r w:rsidR="00202702" w:rsidRPr="00983884">
        <w:rPr>
          <w:lang w:val="en-US"/>
        </w:rPr>
        <w:t xml:space="preserve">. </w:t>
      </w:r>
      <w:r w:rsidRPr="00983884">
        <w:rPr>
          <w:lang w:val="en-US"/>
        </w:rPr>
        <w:t xml:space="preserve">First of all, it must take place before the judgment becomes </w:t>
      </w:r>
      <w:r w:rsidRPr="00983884">
        <w:rPr>
          <w:i/>
          <w:lang w:val="en-US"/>
        </w:rPr>
        <w:t>res judicata</w:t>
      </w:r>
      <w:r w:rsidR="00202702" w:rsidRPr="00983884">
        <w:rPr>
          <w:rStyle w:val="FootnoteReference"/>
          <w:spacing w:val="-2"/>
          <w:lang w:val="en-US"/>
        </w:rPr>
        <w:footnoteReference w:id="37"/>
      </w:r>
      <w:r w:rsidR="00202702" w:rsidRPr="00983884">
        <w:rPr>
          <w:lang w:val="en-US"/>
        </w:rPr>
        <w:t xml:space="preserve"> </w:t>
      </w:r>
      <w:r w:rsidRPr="00983884">
        <w:rPr>
          <w:lang w:val="en-US"/>
        </w:rPr>
        <w:t xml:space="preserve">and it must be settled within a reasonable period of time, that is, it must be </w:t>
      </w:r>
      <w:r w:rsidRPr="00983884">
        <w:rPr>
          <w:i/>
          <w:lang w:val="en-US"/>
        </w:rPr>
        <w:t>timely</w:t>
      </w:r>
      <w:r w:rsidR="00202702" w:rsidRPr="00983884">
        <w:rPr>
          <w:lang w:val="en-US"/>
        </w:rPr>
        <w:t xml:space="preserve">. </w:t>
      </w:r>
      <w:r w:rsidRPr="00983884">
        <w:rPr>
          <w:lang w:val="en-US"/>
        </w:rPr>
        <w:t xml:space="preserve">It must also be an </w:t>
      </w:r>
      <w:r w:rsidR="00202702" w:rsidRPr="00983884">
        <w:rPr>
          <w:i/>
          <w:lang w:val="en-US"/>
        </w:rPr>
        <w:t>ef</w:t>
      </w:r>
      <w:r w:rsidRPr="00983884">
        <w:rPr>
          <w:i/>
          <w:lang w:val="en-US"/>
        </w:rPr>
        <w:t>fective</w:t>
      </w:r>
      <w:r w:rsidR="00202702" w:rsidRPr="00983884">
        <w:rPr>
          <w:lang w:val="en-US"/>
        </w:rPr>
        <w:t xml:space="preserve"> </w:t>
      </w:r>
      <w:r w:rsidRPr="00983884">
        <w:rPr>
          <w:lang w:val="en-US"/>
        </w:rPr>
        <w:t>remedy, that is, it mus</w:t>
      </w:r>
      <w:r w:rsidR="004A0B6A" w:rsidRPr="00983884">
        <w:rPr>
          <w:lang w:val="en-US"/>
        </w:rPr>
        <w:t xml:space="preserve">t yield results or responses </w:t>
      </w:r>
      <w:r w:rsidR="00B55CDC" w:rsidRPr="00983884">
        <w:rPr>
          <w:lang w:val="en-US"/>
        </w:rPr>
        <w:t>in terms of</w:t>
      </w:r>
      <w:r w:rsidRPr="00983884">
        <w:rPr>
          <w:lang w:val="en-US"/>
        </w:rPr>
        <w:t xml:space="preserve"> the </w:t>
      </w:r>
      <w:r w:rsidR="004A0B6A" w:rsidRPr="00983884">
        <w:rPr>
          <w:lang w:val="en-US"/>
        </w:rPr>
        <w:t>purpose for which it was conceived,</w:t>
      </w:r>
      <w:r w:rsidR="00202702" w:rsidRPr="00983884">
        <w:rPr>
          <w:rStyle w:val="FootnoteReference"/>
          <w:spacing w:val="-2"/>
          <w:lang w:val="en-US"/>
        </w:rPr>
        <w:footnoteReference w:id="38"/>
      </w:r>
      <w:r w:rsidR="004A0B6A" w:rsidRPr="00983884">
        <w:rPr>
          <w:lang w:val="en-US"/>
        </w:rPr>
        <w:t xml:space="preserve"> that is, it must prevent consolidating a situation of injustice</w:t>
      </w:r>
      <w:r w:rsidR="00202702" w:rsidRPr="00983884">
        <w:rPr>
          <w:lang w:val="en-US"/>
        </w:rPr>
        <w:t xml:space="preserve">. </w:t>
      </w:r>
      <w:r w:rsidR="004A0B6A" w:rsidRPr="00983884">
        <w:rPr>
          <w:lang w:val="en-US"/>
        </w:rPr>
        <w:t xml:space="preserve">In addition, it must be </w:t>
      </w:r>
      <w:r w:rsidR="00202702" w:rsidRPr="00983884">
        <w:rPr>
          <w:i/>
          <w:lang w:val="en-US"/>
        </w:rPr>
        <w:t>acces</w:t>
      </w:r>
      <w:r w:rsidR="004A0B6A" w:rsidRPr="00983884">
        <w:rPr>
          <w:i/>
          <w:lang w:val="en-US"/>
        </w:rPr>
        <w:t>s</w:t>
      </w:r>
      <w:r w:rsidR="00202702" w:rsidRPr="00983884">
        <w:rPr>
          <w:i/>
          <w:lang w:val="en-US"/>
        </w:rPr>
        <w:t>ible</w:t>
      </w:r>
      <w:r w:rsidR="00202702" w:rsidRPr="00983884">
        <w:rPr>
          <w:lang w:val="en-US"/>
        </w:rPr>
        <w:t xml:space="preserve">, </w:t>
      </w:r>
      <w:r w:rsidR="004A0B6A" w:rsidRPr="00983884">
        <w:rPr>
          <w:lang w:val="en-US"/>
        </w:rPr>
        <w:t>withou</w:t>
      </w:r>
      <w:r w:rsidR="00B55CDC" w:rsidRPr="00983884">
        <w:rPr>
          <w:lang w:val="en-US"/>
        </w:rPr>
        <w:t>t</w:t>
      </w:r>
      <w:r w:rsidR="004A0B6A" w:rsidRPr="00983884">
        <w:rPr>
          <w:lang w:val="en-US"/>
        </w:rPr>
        <w:t xml:space="preserve"> requiring </w:t>
      </w:r>
      <w:r w:rsidR="00B55CDC" w:rsidRPr="00983884">
        <w:rPr>
          <w:lang w:val="en-US"/>
        </w:rPr>
        <w:t>further</w:t>
      </w:r>
      <w:r w:rsidR="004A0B6A" w:rsidRPr="00983884">
        <w:rPr>
          <w:lang w:val="en-US"/>
        </w:rPr>
        <w:t xml:space="preserve"> formalities that </w:t>
      </w:r>
      <w:r w:rsidR="00B55CDC" w:rsidRPr="00983884">
        <w:rPr>
          <w:lang w:val="en-US"/>
        </w:rPr>
        <w:t>might</w:t>
      </w:r>
      <w:r w:rsidR="004A0B6A" w:rsidRPr="00983884">
        <w:rPr>
          <w:lang w:val="en-US"/>
        </w:rPr>
        <w:t xml:space="preserve"> render the right illusory.</w:t>
      </w:r>
      <w:r w:rsidR="00202702" w:rsidRPr="00983884">
        <w:rPr>
          <w:rStyle w:val="FootnoteReference"/>
          <w:spacing w:val="-2"/>
          <w:lang w:val="en-US"/>
        </w:rPr>
        <w:footnoteReference w:id="39"/>
      </w:r>
    </w:p>
    <w:p w:rsidR="00202702" w:rsidRPr="00983884" w:rsidRDefault="00202702" w:rsidP="00202702">
      <w:pPr>
        <w:tabs>
          <w:tab w:val="left" w:pos="1440"/>
        </w:tabs>
        <w:jc w:val="both"/>
        <w:rPr>
          <w:rFonts w:ascii="Cambria" w:hAnsi="Cambria"/>
          <w:sz w:val="20"/>
          <w:szCs w:val="20"/>
        </w:rPr>
      </w:pPr>
    </w:p>
    <w:p w:rsidR="00202702" w:rsidRPr="00983884" w:rsidRDefault="00B55CDC" w:rsidP="00202702">
      <w:pPr>
        <w:pStyle w:val="Style2"/>
        <w:numPr>
          <w:ilvl w:val="0"/>
          <w:numId w:val="104"/>
        </w:numPr>
        <w:rPr>
          <w:i/>
          <w:lang w:val="en-US"/>
        </w:rPr>
      </w:pPr>
      <w:r w:rsidRPr="00983884">
        <w:rPr>
          <w:lang w:val="en-US"/>
        </w:rPr>
        <w:t xml:space="preserve">The Commission underscores that the </w:t>
      </w:r>
      <w:r w:rsidR="001B5D9D">
        <w:rPr>
          <w:lang w:val="en-US"/>
        </w:rPr>
        <w:t xml:space="preserve">appeal’s </w:t>
      </w:r>
      <w:r w:rsidRPr="00983884">
        <w:rPr>
          <w:lang w:val="en-US"/>
        </w:rPr>
        <w:t xml:space="preserve">effectiveness is closely linked </w:t>
      </w:r>
      <w:r w:rsidR="001B5D9D">
        <w:rPr>
          <w:lang w:val="en-US"/>
        </w:rPr>
        <w:t>to the scope of possibilities for</w:t>
      </w:r>
      <w:r w:rsidRPr="00983884">
        <w:rPr>
          <w:lang w:val="en-US"/>
        </w:rPr>
        <w:t xml:space="preserve"> appealing a judgment.</w:t>
      </w:r>
      <w:r w:rsidR="00202702" w:rsidRPr="00983884">
        <w:rPr>
          <w:rStyle w:val="FootnoteReference"/>
          <w:lang w:val="en-US"/>
        </w:rPr>
        <w:footnoteReference w:id="40"/>
      </w:r>
      <w:r w:rsidR="00202702" w:rsidRPr="00983884">
        <w:rPr>
          <w:lang w:val="en-US"/>
        </w:rPr>
        <w:t xml:space="preserve"> </w:t>
      </w:r>
      <w:r w:rsidRPr="00983884">
        <w:rPr>
          <w:lang w:val="en-US"/>
        </w:rPr>
        <w:t xml:space="preserve">Because it is possible that judicial authorities will make mistakes leading to a situation of injustice, this cannot be confined to enforcement of the law, but rather it includes other aspects such as the determination of the facts or </w:t>
      </w:r>
      <w:r w:rsidR="00B509A3" w:rsidRPr="00983884">
        <w:rPr>
          <w:lang w:val="en-US"/>
        </w:rPr>
        <w:t xml:space="preserve">the criteria for appraising evidence. Thus, the appeal </w:t>
      </w:r>
      <w:r w:rsidR="001B5D9D">
        <w:rPr>
          <w:lang w:val="en-US"/>
        </w:rPr>
        <w:t>shall</w:t>
      </w:r>
      <w:r w:rsidR="00B509A3" w:rsidRPr="00983884">
        <w:rPr>
          <w:lang w:val="en-US"/>
        </w:rPr>
        <w:t xml:space="preserve"> be effective </w:t>
      </w:r>
      <w:r w:rsidR="001B5D9D">
        <w:rPr>
          <w:lang w:val="en-US"/>
        </w:rPr>
        <w:t>in achieving</w:t>
      </w:r>
      <w:r w:rsidR="00B509A3" w:rsidRPr="00983884">
        <w:rPr>
          <w:lang w:val="en-US"/>
        </w:rPr>
        <w:t xml:space="preserve"> the purpose for which it was conceived, if it allows a review of such matters without confining</w:t>
      </w:r>
      <w:r w:rsidR="001B5D9D">
        <w:rPr>
          <w:lang w:val="en-US"/>
        </w:rPr>
        <w:t xml:space="preserve"> its admissibility</w:t>
      </w:r>
      <w:r w:rsidR="00202702" w:rsidRPr="00983884">
        <w:rPr>
          <w:lang w:val="en-US"/>
        </w:rPr>
        <w:t xml:space="preserve"> </w:t>
      </w:r>
      <w:r w:rsidR="00202702" w:rsidRPr="00983884">
        <w:rPr>
          <w:i/>
          <w:lang w:val="en-US"/>
        </w:rPr>
        <w:t>a priori</w:t>
      </w:r>
      <w:r w:rsidR="00B509A3" w:rsidRPr="00983884">
        <w:rPr>
          <w:lang w:val="en-US"/>
        </w:rPr>
        <w:t xml:space="preserve"> to given points of law in the proceedings of the court authority.</w:t>
      </w:r>
      <w:r w:rsidR="00202702" w:rsidRPr="00983884">
        <w:rPr>
          <w:rStyle w:val="FootnoteReference"/>
          <w:lang w:val="en-US"/>
        </w:rPr>
        <w:footnoteReference w:id="41"/>
      </w:r>
    </w:p>
    <w:p w:rsidR="00202702" w:rsidRPr="00983884" w:rsidRDefault="00202702" w:rsidP="00202702">
      <w:pPr>
        <w:jc w:val="both"/>
        <w:rPr>
          <w:rFonts w:ascii="Cambria" w:hAnsi="Cambria"/>
          <w:i/>
          <w:sz w:val="20"/>
          <w:szCs w:val="20"/>
        </w:rPr>
      </w:pPr>
    </w:p>
    <w:p w:rsidR="00202702" w:rsidRPr="00983884" w:rsidRDefault="00B509A3" w:rsidP="00202702">
      <w:pPr>
        <w:pStyle w:val="Style2"/>
        <w:numPr>
          <w:ilvl w:val="0"/>
          <w:numId w:val="104"/>
        </w:numPr>
        <w:rPr>
          <w:lang w:val="en-US"/>
        </w:rPr>
      </w:pPr>
      <w:r w:rsidRPr="00983884">
        <w:rPr>
          <w:lang w:val="en-US"/>
        </w:rPr>
        <w:t xml:space="preserve">Regarding this, in the case of </w:t>
      </w:r>
      <w:r w:rsidR="00202702" w:rsidRPr="00983884">
        <w:rPr>
          <w:i/>
          <w:lang w:val="en-US"/>
        </w:rPr>
        <w:t xml:space="preserve">Abella </w:t>
      </w:r>
      <w:r w:rsidRPr="00983884">
        <w:rPr>
          <w:lang w:val="en-US"/>
        </w:rPr>
        <w:t>versus</w:t>
      </w:r>
      <w:r w:rsidR="00202702" w:rsidRPr="00983884">
        <w:rPr>
          <w:lang w:val="en-US"/>
        </w:rPr>
        <w:t xml:space="preserve"> Argentina, </w:t>
      </w:r>
      <w:r w:rsidRPr="00983884">
        <w:rPr>
          <w:lang w:val="en-US"/>
        </w:rPr>
        <w:t>the Inter-American Commission indicated the following:</w:t>
      </w:r>
      <w:r w:rsidR="00202702" w:rsidRPr="00983884">
        <w:rPr>
          <w:lang w:val="en-US"/>
        </w:rPr>
        <w:t xml:space="preserve"> </w:t>
      </w:r>
    </w:p>
    <w:p w:rsidR="00202702" w:rsidRPr="00983884" w:rsidRDefault="00202702" w:rsidP="00202702">
      <w:pPr>
        <w:ind w:firstLine="720"/>
        <w:jc w:val="both"/>
        <w:rPr>
          <w:rFonts w:ascii="Cambria" w:hAnsi="Cambria"/>
          <w:sz w:val="20"/>
          <w:szCs w:val="20"/>
        </w:rPr>
      </w:pPr>
    </w:p>
    <w:p w:rsidR="00202702" w:rsidRPr="00983884" w:rsidRDefault="00B509A3" w:rsidP="00202702">
      <w:pPr>
        <w:ind w:left="720" w:right="720"/>
        <w:jc w:val="both"/>
        <w:rPr>
          <w:rFonts w:ascii="Cambria" w:hAnsi="Cambria"/>
          <w:sz w:val="20"/>
          <w:szCs w:val="20"/>
        </w:rPr>
      </w:pPr>
      <w:r w:rsidRPr="00983884">
        <w:rPr>
          <w:rFonts w:ascii="Cambria" w:hAnsi="Cambria"/>
          <w:spacing w:val="-2"/>
          <w:sz w:val="20"/>
          <w:szCs w:val="20"/>
        </w:rPr>
        <w:t>Article 8(2)(h) refers to the minimum characteristics of a remedy that serves as a check to ensure a proper ruling in both substantive and formal terms. From the formal standpoint the right to appeal the judgment to a higher court to which the American Convention refers should, in the first place, apply to […] the purpose of examining the unlawful application, the lack of application, or the erroneous interpretation of rules of law based on the operative part of the judgment. The Commission also considers that to guarantee the full right of defense, this remedy should include a material review of the interpretation of procedural rules that may have influenced the decision in the case when there has been an incurable nullity or where the right to defense was rendered ineffective, and also with respect to the interpretation of the rules on the weighing of evidence, whenever they have led to an erroneous application or non-application of those rules</w:t>
      </w:r>
      <w:r w:rsidR="00202702" w:rsidRPr="00983884">
        <w:rPr>
          <w:rFonts w:ascii="Cambria" w:hAnsi="Cambria"/>
          <w:spacing w:val="-2"/>
          <w:sz w:val="20"/>
          <w:szCs w:val="20"/>
        </w:rPr>
        <w:t>.</w:t>
      </w:r>
    </w:p>
    <w:p w:rsidR="00202702" w:rsidRPr="00983884" w:rsidRDefault="00202702" w:rsidP="00202702">
      <w:pPr>
        <w:ind w:left="720"/>
        <w:jc w:val="both"/>
        <w:rPr>
          <w:rFonts w:ascii="Cambria" w:hAnsi="Cambria"/>
          <w:sz w:val="20"/>
          <w:szCs w:val="20"/>
        </w:rPr>
      </w:pPr>
    </w:p>
    <w:p w:rsidR="00202702" w:rsidRPr="00983884" w:rsidRDefault="00202702" w:rsidP="00202702">
      <w:pPr>
        <w:ind w:left="720"/>
        <w:jc w:val="both"/>
        <w:rPr>
          <w:rFonts w:ascii="Cambria" w:hAnsi="Cambria"/>
          <w:sz w:val="20"/>
          <w:szCs w:val="20"/>
        </w:rPr>
      </w:pPr>
      <w:r w:rsidRPr="00983884">
        <w:rPr>
          <w:rFonts w:ascii="Cambria" w:hAnsi="Cambria"/>
          <w:sz w:val="20"/>
          <w:szCs w:val="20"/>
        </w:rPr>
        <w:t>[…]</w:t>
      </w:r>
    </w:p>
    <w:p w:rsidR="00202702" w:rsidRPr="00983884" w:rsidRDefault="00202702" w:rsidP="00202702">
      <w:pPr>
        <w:ind w:left="720"/>
        <w:jc w:val="both"/>
        <w:rPr>
          <w:rFonts w:ascii="Cambria" w:hAnsi="Cambria"/>
          <w:sz w:val="20"/>
          <w:szCs w:val="20"/>
        </w:rPr>
      </w:pPr>
    </w:p>
    <w:p w:rsidR="00202702" w:rsidRPr="00983884" w:rsidRDefault="007E0740" w:rsidP="00202702">
      <w:pPr>
        <w:ind w:left="720" w:right="720"/>
        <w:jc w:val="both"/>
        <w:rPr>
          <w:rFonts w:ascii="Cambria" w:hAnsi="Cambria"/>
          <w:spacing w:val="-2"/>
          <w:sz w:val="20"/>
          <w:szCs w:val="20"/>
        </w:rPr>
      </w:pPr>
      <w:r w:rsidRPr="00983884">
        <w:rPr>
          <w:rFonts w:ascii="Cambria" w:hAnsi="Cambria"/>
          <w:spacing w:val="-2"/>
          <w:sz w:val="20"/>
          <w:szCs w:val="20"/>
        </w:rPr>
        <w:t>The remedy should also allow the higher court a relatively simple means to examine the validity of the judgment appealed in general, as well as to monitor the respect for fundamental rights of the accused, especially the right of defense and the right to due process.</w:t>
      </w:r>
      <w:r w:rsidR="00202702" w:rsidRPr="00983884">
        <w:rPr>
          <w:rStyle w:val="FootnoteReference"/>
          <w:rFonts w:ascii="Cambria" w:hAnsi="Cambria"/>
          <w:spacing w:val="-2"/>
          <w:sz w:val="20"/>
          <w:szCs w:val="20"/>
        </w:rPr>
        <w:footnoteReference w:id="42"/>
      </w:r>
    </w:p>
    <w:p w:rsidR="00202702" w:rsidRPr="00983884" w:rsidRDefault="00202702" w:rsidP="00202702">
      <w:pPr>
        <w:ind w:firstLine="720"/>
        <w:jc w:val="both"/>
        <w:outlineLvl w:val="0"/>
        <w:rPr>
          <w:rFonts w:ascii="Cambria" w:hAnsi="Cambria"/>
          <w:b/>
          <w:sz w:val="20"/>
          <w:szCs w:val="20"/>
        </w:rPr>
      </w:pPr>
    </w:p>
    <w:p w:rsidR="00202702" w:rsidRPr="00983884" w:rsidRDefault="007E0740" w:rsidP="00202702">
      <w:pPr>
        <w:pStyle w:val="Style2"/>
        <w:numPr>
          <w:ilvl w:val="0"/>
          <w:numId w:val="104"/>
        </w:numPr>
        <w:rPr>
          <w:lang w:val="en-US"/>
        </w:rPr>
      </w:pPr>
      <w:r w:rsidRPr="00983884">
        <w:rPr>
          <w:lang w:val="en-US"/>
        </w:rPr>
        <w:t xml:space="preserve">As for the Human Rights Committee of the </w:t>
      </w:r>
      <w:r w:rsidR="00360A7B" w:rsidRPr="00983884">
        <w:rPr>
          <w:lang w:val="en-US"/>
        </w:rPr>
        <w:t>International Covenant on Civil and Political Rights (CCPR),</w:t>
      </w:r>
      <w:r w:rsidRPr="00983884">
        <w:rPr>
          <w:lang w:val="en-US"/>
        </w:rPr>
        <w:t xml:space="preserve"> it has repeatedly established that:</w:t>
      </w:r>
      <w:r w:rsidR="00202702" w:rsidRPr="00983884">
        <w:rPr>
          <w:rStyle w:val="FootnoteReference"/>
          <w:lang w:val="en-US"/>
        </w:rPr>
        <w:footnoteReference w:id="43"/>
      </w:r>
    </w:p>
    <w:p w:rsidR="00202702" w:rsidRPr="00983884" w:rsidRDefault="00202702" w:rsidP="00202702">
      <w:pPr>
        <w:ind w:firstLine="720"/>
        <w:jc w:val="both"/>
        <w:rPr>
          <w:rFonts w:ascii="Cambria" w:hAnsi="Cambria"/>
          <w:sz w:val="20"/>
          <w:szCs w:val="20"/>
        </w:rPr>
      </w:pPr>
    </w:p>
    <w:p w:rsidR="00202702" w:rsidRPr="00983884" w:rsidRDefault="00360A7B" w:rsidP="00202702">
      <w:pPr>
        <w:autoSpaceDE w:val="0"/>
        <w:autoSpaceDN w:val="0"/>
        <w:adjustRightInd w:val="0"/>
        <w:ind w:left="720" w:right="720"/>
        <w:jc w:val="both"/>
        <w:rPr>
          <w:rFonts w:ascii="Cambria" w:hAnsi="Cambria"/>
          <w:sz w:val="20"/>
          <w:szCs w:val="20"/>
        </w:rPr>
      </w:pPr>
      <w:r w:rsidRPr="00983884">
        <w:rPr>
          <w:rFonts w:ascii="Cambria" w:hAnsi="Cambria"/>
          <w:sz w:val="20"/>
          <w:szCs w:val="20"/>
        </w:rPr>
        <w:t>Every person’s the right to appeal under article 14, paragraph 5, imposes on the State party a duty substantially to review, both on the basis of sufficiency of the evidence and of the law, the conviction and sentence, as long as the procedure allows for due consideration of the nature of the case. A review confined to only the formal or legal aspects of the judgment falls short of the requirements of the Covenant.</w:t>
      </w:r>
      <w:r w:rsidR="00202702" w:rsidRPr="00983884">
        <w:rPr>
          <w:rStyle w:val="FootnoteReference"/>
          <w:rFonts w:ascii="Cambria" w:hAnsi="Cambria"/>
          <w:sz w:val="20"/>
          <w:szCs w:val="20"/>
        </w:rPr>
        <w:footnoteReference w:id="44"/>
      </w:r>
    </w:p>
    <w:p w:rsidR="00202702" w:rsidRPr="00983884" w:rsidRDefault="00202702" w:rsidP="00202702">
      <w:pPr>
        <w:jc w:val="both"/>
        <w:rPr>
          <w:rFonts w:ascii="Cambria" w:hAnsi="Cambria"/>
          <w:sz w:val="20"/>
          <w:szCs w:val="20"/>
        </w:rPr>
      </w:pPr>
    </w:p>
    <w:p w:rsidR="00202702" w:rsidRPr="00983884" w:rsidRDefault="00360A7B" w:rsidP="00202702">
      <w:pPr>
        <w:pStyle w:val="Style2"/>
        <w:numPr>
          <w:ilvl w:val="0"/>
          <w:numId w:val="104"/>
        </w:numPr>
        <w:rPr>
          <w:lang w:val="en-US"/>
        </w:rPr>
      </w:pPr>
      <w:r w:rsidRPr="00983884">
        <w:rPr>
          <w:rFonts w:cs="ArialMT"/>
          <w:lang w:val="en-US" w:bidi="en-US"/>
        </w:rPr>
        <w:t>Along the same line of what is established by the CCPR Human Rights Committee, the IACHR underscores that the right to appeal does not entail a new trial or a new “hearing,” as long as the court undertaking the review is not prevented from examining the facts of the case.</w:t>
      </w:r>
      <w:r w:rsidR="00202702" w:rsidRPr="00983884">
        <w:rPr>
          <w:rStyle w:val="FootnoteReference"/>
          <w:lang w:val="en-US"/>
        </w:rPr>
        <w:footnoteReference w:id="45"/>
      </w:r>
      <w:r w:rsidRPr="00983884">
        <w:rPr>
          <w:lang w:val="en-US"/>
        </w:rPr>
        <w:t xml:space="preserve"> What is required by the standard is the possibility of pointing out and securing a response to the errors that might have been made by the judge or court, without excluding a priori certain categories such as the facts and the appraisal and receipt of the evidence. The way and means where</w:t>
      </w:r>
      <w:r w:rsidR="001B5D9D">
        <w:rPr>
          <w:lang w:val="en-US"/>
        </w:rPr>
        <w:t>by</w:t>
      </w:r>
      <w:r w:rsidRPr="00983884">
        <w:rPr>
          <w:lang w:val="en-US"/>
        </w:rPr>
        <w:t xml:space="preserve"> the review is conducted shall depend on the nature of the questions </w:t>
      </w:r>
      <w:r w:rsidR="001B5D9D">
        <w:rPr>
          <w:lang w:val="en-US"/>
        </w:rPr>
        <w:t>being discussed</w:t>
      </w:r>
      <w:r w:rsidRPr="00983884">
        <w:rPr>
          <w:lang w:val="en-US"/>
        </w:rPr>
        <w:t>, as well as the specificities of the criminal procedure</w:t>
      </w:r>
      <w:r w:rsidR="001B5D9D">
        <w:rPr>
          <w:lang w:val="en-US"/>
        </w:rPr>
        <w:t>s</w:t>
      </w:r>
      <w:r w:rsidRPr="00983884">
        <w:rPr>
          <w:lang w:val="en-US"/>
        </w:rPr>
        <w:t xml:space="preserve"> system in the State concerned.</w:t>
      </w:r>
      <w:r w:rsidR="00202702" w:rsidRPr="00983884">
        <w:rPr>
          <w:rStyle w:val="FootnoteReference"/>
          <w:lang w:val="en-US"/>
        </w:rPr>
        <w:footnoteReference w:id="46"/>
      </w:r>
    </w:p>
    <w:p w:rsidR="00202702" w:rsidRPr="00983884" w:rsidRDefault="00202702" w:rsidP="00202702">
      <w:pPr>
        <w:tabs>
          <w:tab w:val="left" w:pos="1440"/>
        </w:tabs>
        <w:jc w:val="both"/>
        <w:rPr>
          <w:rFonts w:ascii="Cambria" w:hAnsi="Cambria"/>
          <w:sz w:val="20"/>
          <w:szCs w:val="20"/>
          <w:highlight w:val="yellow"/>
        </w:rPr>
      </w:pPr>
    </w:p>
    <w:p w:rsidR="00202702" w:rsidRPr="00983884" w:rsidRDefault="0005730B" w:rsidP="00202702">
      <w:pPr>
        <w:pStyle w:val="Style2"/>
        <w:numPr>
          <w:ilvl w:val="0"/>
          <w:numId w:val="104"/>
        </w:numPr>
        <w:rPr>
          <w:lang w:val="en-US"/>
        </w:rPr>
      </w:pPr>
      <w:r w:rsidRPr="00983884">
        <w:rPr>
          <w:lang w:val="en-US"/>
        </w:rPr>
        <w:t xml:space="preserve">These standards governing the right to appeal a judgment were accepted by the Inter-American Court in the case of </w:t>
      </w:r>
      <w:r w:rsidR="00202702" w:rsidRPr="00983884">
        <w:rPr>
          <w:i/>
          <w:lang w:val="en-US"/>
        </w:rPr>
        <w:t xml:space="preserve">Mendoza </w:t>
      </w:r>
      <w:r w:rsidR="00DF49C8">
        <w:rPr>
          <w:i/>
          <w:lang w:val="en-US"/>
        </w:rPr>
        <w:t>et al.</w:t>
      </w:r>
      <w:r w:rsidR="00202702" w:rsidRPr="00983884">
        <w:rPr>
          <w:i/>
          <w:lang w:val="en-US"/>
        </w:rPr>
        <w:t xml:space="preserve"> v. Argentina. </w:t>
      </w:r>
      <w:r w:rsidRPr="00983884">
        <w:rPr>
          <w:lang w:val="en-US"/>
        </w:rPr>
        <w:t xml:space="preserve">In particular, with respect to the scope of the </w:t>
      </w:r>
      <w:r w:rsidR="008C3DAE" w:rsidRPr="00983884">
        <w:rPr>
          <w:lang w:val="en-US"/>
        </w:rPr>
        <w:t>revi</w:t>
      </w:r>
      <w:r w:rsidRPr="00983884">
        <w:rPr>
          <w:lang w:val="en-US"/>
        </w:rPr>
        <w:t xml:space="preserve">ew, the Court contended that, regardless of the appeal regime or system adopted by the States Parties and the name given to the means for challenging a conviction, </w:t>
      </w:r>
      <w:r w:rsidR="001B5D9D">
        <w:rPr>
          <w:lang w:val="en-US"/>
        </w:rPr>
        <w:t>to be</w:t>
      </w:r>
      <w:r w:rsidRPr="00983884">
        <w:rPr>
          <w:lang w:val="en-US"/>
        </w:rPr>
        <w:t xml:space="preserve"> effective it must consist of an adequate means to ensure rectification of an erroneous conviction.</w:t>
      </w:r>
      <w:r w:rsidR="00202702" w:rsidRPr="00983884">
        <w:rPr>
          <w:rStyle w:val="FootnoteReference"/>
          <w:lang w:val="en-US"/>
        </w:rPr>
        <w:footnoteReference w:id="47"/>
      </w:r>
      <w:r w:rsidRPr="00983884">
        <w:rPr>
          <w:lang w:val="en-US"/>
        </w:rPr>
        <w:t xml:space="preserve"> This requires the possibility of analyzing the factual, evidentiary, and legal questions on which the judgment being challenged is based, because in jurisdictional activities there is an interdependence between determinations of fact and the ap</w:t>
      </w:r>
      <w:r w:rsidR="001B5D9D">
        <w:rPr>
          <w:lang w:val="en-US"/>
        </w:rPr>
        <w:t>plication of</w:t>
      </w:r>
      <w:r w:rsidRPr="00983884">
        <w:rPr>
          <w:lang w:val="en-US"/>
        </w:rPr>
        <w:t xml:space="preserve"> law, so that an erroneous determination of the facts entails a mistaken or improper application of the law. As a result, the causes for admissibility of an appeal must make it possible to exercise broad control over those aspects </w:t>
      </w:r>
      <w:r w:rsidR="001B5D9D">
        <w:rPr>
          <w:lang w:val="en-US"/>
        </w:rPr>
        <w:t>that are being challenged in</w:t>
      </w:r>
      <w:r w:rsidRPr="00983884">
        <w:rPr>
          <w:lang w:val="en-US"/>
        </w:rPr>
        <w:t xml:space="preserve"> the </w:t>
      </w:r>
      <w:r w:rsidR="001B5D9D">
        <w:rPr>
          <w:lang w:val="en-US"/>
        </w:rPr>
        <w:t xml:space="preserve">judgment of </w:t>
      </w:r>
      <w:r w:rsidRPr="00983884">
        <w:rPr>
          <w:lang w:val="en-US"/>
        </w:rPr>
        <w:t>conviction.</w:t>
      </w:r>
      <w:r w:rsidR="00202702" w:rsidRPr="00983884">
        <w:rPr>
          <w:rStyle w:val="FootnoteReference"/>
          <w:lang w:val="en-US"/>
        </w:rPr>
        <w:footnoteReference w:id="48"/>
      </w:r>
      <w:r w:rsidRPr="00983884">
        <w:rPr>
          <w:lang w:val="en-US"/>
        </w:rPr>
        <w:t xml:space="preserve"> The Court also specified, along the same line as what the Commission has contended, that the appeal must respect </w:t>
      </w:r>
      <w:r w:rsidR="008C3DAE" w:rsidRPr="00983884">
        <w:rPr>
          <w:lang w:val="en-US"/>
        </w:rPr>
        <w:t>mi</w:t>
      </w:r>
      <w:r w:rsidRPr="00983884">
        <w:rPr>
          <w:lang w:val="en-US"/>
        </w:rPr>
        <w:t>nimum procedural guarantees, which under Article 8 of the Convention</w:t>
      </w:r>
      <w:r w:rsidR="008C3DAE" w:rsidRPr="00983884">
        <w:rPr>
          <w:lang w:val="en-US"/>
        </w:rPr>
        <w:t xml:space="preserve"> are relevant and necessary to resolve the grievances </w:t>
      </w:r>
      <w:r w:rsidR="008576F5">
        <w:rPr>
          <w:lang w:val="en-US"/>
        </w:rPr>
        <w:t>filed</w:t>
      </w:r>
      <w:r w:rsidR="008C3DAE" w:rsidRPr="00983884">
        <w:rPr>
          <w:lang w:val="en-US"/>
        </w:rPr>
        <w:t xml:space="preserve"> by the complainant, which does not mean that a new trial must be held.</w:t>
      </w:r>
      <w:r w:rsidR="00202702" w:rsidRPr="00983884">
        <w:rPr>
          <w:rStyle w:val="FootnoteReference"/>
          <w:lang w:val="en-US"/>
        </w:rPr>
        <w:footnoteReference w:id="49"/>
      </w:r>
    </w:p>
    <w:p w:rsidR="00202702" w:rsidRPr="00983884" w:rsidRDefault="00202702" w:rsidP="00202702">
      <w:pPr>
        <w:jc w:val="both"/>
        <w:rPr>
          <w:rFonts w:ascii="Cambria" w:hAnsi="Cambria"/>
          <w:sz w:val="20"/>
          <w:szCs w:val="20"/>
        </w:rPr>
      </w:pPr>
    </w:p>
    <w:p w:rsidR="00202702" w:rsidRPr="00983884" w:rsidRDefault="008C3DAE" w:rsidP="00202702">
      <w:pPr>
        <w:pStyle w:val="Style2"/>
        <w:numPr>
          <w:ilvl w:val="0"/>
          <w:numId w:val="104"/>
        </w:numPr>
        <w:rPr>
          <w:lang w:val="en-US"/>
        </w:rPr>
      </w:pPr>
      <w:r w:rsidRPr="00983884">
        <w:rPr>
          <w:lang w:val="en-US"/>
        </w:rPr>
        <w:t>Furthermore, in terms of the</w:t>
      </w:r>
      <w:r w:rsidR="008576F5">
        <w:rPr>
          <w:lang w:val="en-US"/>
        </w:rPr>
        <w:t xml:space="preserve"> appeal’s</w:t>
      </w:r>
      <w:r w:rsidRPr="00983884">
        <w:rPr>
          <w:lang w:val="en-US"/>
        </w:rPr>
        <w:t xml:space="preserve"> </w:t>
      </w:r>
      <w:r w:rsidR="00202702" w:rsidRPr="00983884">
        <w:rPr>
          <w:i/>
          <w:lang w:val="en-US"/>
        </w:rPr>
        <w:t>acces</w:t>
      </w:r>
      <w:r w:rsidRPr="00983884">
        <w:rPr>
          <w:i/>
          <w:lang w:val="en-US"/>
        </w:rPr>
        <w:t>sibility</w:t>
      </w:r>
      <w:r w:rsidRPr="00983884">
        <w:rPr>
          <w:lang w:val="en-US"/>
        </w:rPr>
        <w:t xml:space="preserve">, the Commission considers that, at first, the regulation of some minimum </w:t>
      </w:r>
      <w:r w:rsidR="008576F5">
        <w:rPr>
          <w:lang w:val="en-US"/>
        </w:rPr>
        <w:t>requirements</w:t>
      </w:r>
      <w:r w:rsidRPr="00983884">
        <w:rPr>
          <w:lang w:val="en-US"/>
        </w:rPr>
        <w:t xml:space="preserve"> for the</w:t>
      </w:r>
      <w:r w:rsidR="008576F5">
        <w:rPr>
          <w:lang w:val="en-US"/>
        </w:rPr>
        <w:t xml:space="preserve"> appeal’s</w:t>
      </w:r>
      <w:r w:rsidRPr="00983884">
        <w:rPr>
          <w:lang w:val="en-US"/>
        </w:rPr>
        <w:t xml:space="preserve"> admissibility is not incompatible with the law contained in Article</w:t>
      </w:r>
      <w:r w:rsidR="00202702" w:rsidRPr="00983884">
        <w:rPr>
          <w:lang w:val="en-US"/>
        </w:rPr>
        <w:t xml:space="preserve"> 8.2 h) </w:t>
      </w:r>
      <w:r w:rsidRPr="00983884">
        <w:rPr>
          <w:lang w:val="en-US"/>
        </w:rPr>
        <w:t>of the Convention. Some of these minimum requirements are, for example, the filing of the appeal as such, since Article</w:t>
      </w:r>
      <w:r w:rsidR="00202702" w:rsidRPr="00983884">
        <w:rPr>
          <w:lang w:val="en-US"/>
        </w:rPr>
        <w:t xml:space="preserve"> 8.2 h) </w:t>
      </w:r>
      <w:r w:rsidRPr="00983884">
        <w:rPr>
          <w:lang w:val="en-US"/>
        </w:rPr>
        <w:t xml:space="preserve">does not require an automatic review or the regulation of a reasonable period of time during </w:t>
      </w:r>
      <w:r w:rsidR="008576F5">
        <w:rPr>
          <w:lang w:val="en-US"/>
        </w:rPr>
        <w:t xml:space="preserve">which </w:t>
      </w:r>
      <w:r w:rsidRPr="00983884">
        <w:rPr>
          <w:lang w:val="en-US"/>
        </w:rPr>
        <w:t>it must be filed.</w:t>
      </w:r>
      <w:r w:rsidR="00202702" w:rsidRPr="00983884">
        <w:rPr>
          <w:rStyle w:val="FootnoteReference"/>
          <w:lang w:val="en-US"/>
        </w:rPr>
        <w:footnoteReference w:id="50"/>
      </w:r>
      <w:r w:rsidR="00202702" w:rsidRPr="00983884">
        <w:rPr>
          <w:lang w:val="en-US"/>
        </w:rPr>
        <w:t xml:space="preserve"> </w:t>
      </w:r>
      <w:r w:rsidRPr="00983884">
        <w:rPr>
          <w:lang w:val="en-US"/>
        </w:rPr>
        <w:t>Nevertheless, under certain circumstances, rejection of the appeals because of failure to meet formal requirements legally established or defined by judicial practice in a given region, can turn out to be a violation of the right to appeal a judgment.</w:t>
      </w:r>
      <w:r w:rsidR="00202702" w:rsidRPr="00983884">
        <w:rPr>
          <w:rStyle w:val="FootnoteReference"/>
          <w:lang w:val="en-US"/>
        </w:rPr>
        <w:footnoteReference w:id="51"/>
      </w:r>
    </w:p>
    <w:p w:rsidR="00202702" w:rsidRPr="00983884" w:rsidRDefault="00202702" w:rsidP="0020270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highlight w:val="yellow"/>
        </w:rPr>
      </w:pPr>
    </w:p>
    <w:p w:rsidR="00202702" w:rsidRPr="00983884" w:rsidRDefault="008C3DAE" w:rsidP="00202702">
      <w:pPr>
        <w:pStyle w:val="Style2"/>
        <w:numPr>
          <w:ilvl w:val="0"/>
          <w:numId w:val="104"/>
        </w:numPr>
        <w:rPr>
          <w:lang w:val="en-US"/>
        </w:rPr>
      </w:pPr>
      <w:r w:rsidRPr="00983884">
        <w:rPr>
          <w:lang w:val="en-US"/>
        </w:rPr>
        <w:t xml:space="preserve">Below, the Commission shall analyze whether, in Mr. Gorigoitia’s trial, the guarantee envisaged in Article </w:t>
      </w:r>
      <w:r w:rsidR="00202702" w:rsidRPr="00983884">
        <w:rPr>
          <w:lang w:val="en-US"/>
        </w:rPr>
        <w:t xml:space="preserve">8.2 h) </w:t>
      </w:r>
      <w:r w:rsidRPr="00983884">
        <w:rPr>
          <w:lang w:val="en-US"/>
        </w:rPr>
        <w:t>of the American Convention has been respected, taking into a</w:t>
      </w:r>
      <w:r w:rsidR="00387837" w:rsidRPr="00983884">
        <w:rPr>
          <w:lang w:val="en-US"/>
        </w:rPr>
        <w:t>ccount the applicable regulatory framework and the specificities of the appeals filed in th</w:t>
      </w:r>
      <w:r w:rsidR="008576F5">
        <w:rPr>
          <w:lang w:val="en-US"/>
        </w:rPr>
        <w:t>is</w:t>
      </w:r>
      <w:r w:rsidR="00387837" w:rsidRPr="00983884">
        <w:rPr>
          <w:lang w:val="en-US"/>
        </w:rPr>
        <w:t xml:space="preserve"> concrete case.</w:t>
      </w:r>
    </w:p>
    <w:p w:rsidR="00202702" w:rsidRPr="00983884" w:rsidRDefault="00202702" w:rsidP="00202702">
      <w:pPr>
        <w:rPr>
          <w:rFonts w:ascii="Cambria" w:hAnsi="Cambria"/>
          <w:sz w:val="20"/>
          <w:szCs w:val="20"/>
          <w:highlight w:val="yellow"/>
        </w:rPr>
      </w:pPr>
    </w:p>
    <w:p w:rsidR="00202702" w:rsidRPr="00983884" w:rsidRDefault="00202702" w:rsidP="00202702">
      <w:pPr>
        <w:ind w:left="90" w:firstLine="630"/>
        <w:jc w:val="both"/>
        <w:rPr>
          <w:rFonts w:ascii="Cambria" w:hAnsi="Cambria"/>
          <w:b/>
          <w:sz w:val="20"/>
          <w:szCs w:val="20"/>
        </w:rPr>
      </w:pPr>
      <w:r w:rsidRPr="00983884">
        <w:rPr>
          <w:rFonts w:ascii="Cambria" w:hAnsi="Cambria"/>
          <w:b/>
          <w:sz w:val="20"/>
          <w:szCs w:val="20"/>
        </w:rPr>
        <w:t>2.</w:t>
      </w:r>
      <w:r w:rsidRPr="00983884">
        <w:rPr>
          <w:rFonts w:ascii="Cambria" w:hAnsi="Cambria"/>
          <w:b/>
          <w:sz w:val="20"/>
          <w:szCs w:val="20"/>
        </w:rPr>
        <w:tab/>
        <w:t>An</w:t>
      </w:r>
      <w:r w:rsidR="00387837" w:rsidRPr="00983884">
        <w:rPr>
          <w:rFonts w:ascii="Cambria" w:hAnsi="Cambria"/>
          <w:b/>
          <w:sz w:val="20"/>
          <w:szCs w:val="20"/>
        </w:rPr>
        <w:t>alysis of the case</w:t>
      </w:r>
    </w:p>
    <w:p w:rsidR="00202702" w:rsidRPr="00983884" w:rsidRDefault="00202702" w:rsidP="00202702">
      <w:pPr>
        <w:ind w:firstLine="720"/>
        <w:jc w:val="both"/>
        <w:rPr>
          <w:rFonts w:ascii="Cambria" w:hAnsi="Cambria"/>
          <w:b/>
          <w:sz w:val="20"/>
          <w:szCs w:val="20"/>
        </w:rPr>
      </w:pPr>
    </w:p>
    <w:p w:rsidR="00202702" w:rsidRPr="00983884" w:rsidRDefault="00387837" w:rsidP="00202702">
      <w:pPr>
        <w:pStyle w:val="Style2"/>
        <w:numPr>
          <w:ilvl w:val="0"/>
          <w:numId w:val="104"/>
        </w:numPr>
        <w:rPr>
          <w:lang w:val="en-US"/>
        </w:rPr>
      </w:pPr>
      <w:r w:rsidRPr="00983884">
        <w:rPr>
          <w:lang w:val="en-US"/>
        </w:rPr>
        <w:t xml:space="preserve">According to the established facts, the defense of Mr. </w:t>
      </w:r>
      <w:r w:rsidR="00202702" w:rsidRPr="00983884">
        <w:rPr>
          <w:lang w:val="en-US"/>
        </w:rPr>
        <w:t xml:space="preserve">Gorigoitia </w:t>
      </w:r>
      <w:r w:rsidRPr="00983884">
        <w:rPr>
          <w:lang w:val="en-US"/>
        </w:rPr>
        <w:t xml:space="preserve">filed a cassation, </w:t>
      </w:r>
      <w:r w:rsidR="005C2B5C">
        <w:rPr>
          <w:lang w:val="en-US"/>
        </w:rPr>
        <w:t>extraordinary</w:t>
      </w:r>
      <w:r w:rsidRPr="00983884">
        <w:rPr>
          <w:lang w:val="en-US"/>
        </w:rPr>
        <w:t xml:space="preserve"> federal, and complaint appeal against the judgment of September 12, 1997, which ruled that he was responsible for the crime of </w:t>
      </w:r>
      <w:r w:rsidR="00E96DC0">
        <w:rPr>
          <w:lang w:val="en-US"/>
        </w:rPr>
        <w:t>manslaughter</w:t>
      </w:r>
      <w:r w:rsidRPr="00983884">
        <w:rPr>
          <w:lang w:val="en-US"/>
        </w:rPr>
        <w:t xml:space="preserve"> and sentenced him to 14 years prison. According to national criminal procedural legislation and the legislation of the Province of Mendoza, cassation is the remedy that is applicable </w:t>
      </w:r>
      <w:r w:rsidR="008576F5">
        <w:rPr>
          <w:lang w:val="en-US"/>
        </w:rPr>
        <w:t xml:space="preserve">to challenge a </w:t>
      </w:r>
      <w:r w:rsidRPr="00983884">
        <w:rPr>
          <w:lang w:val="en-US"/>
        </w:rPr>
        <w:t>judgment of criminal conviction in a court of first instance. In that regard, this is the principal appeal that the IACHR must analyze in order to determine if it meets the requirements of the right enshrined in Article</w:t>
      </w:r>
      <w:r w:rsidR="00202702" w:rsidRPr="00983884">
        <w:rPr>
          <w:lang w:val="en-US"/>
        </w:rPr>
        <w:t xml:space="preserve"> 8.2 h) </w:t>
      </w:r>
      <w:r w:rsidRPr="00983884">
        <w:rPr>
          <w:lang w:val="en-US"/>
        </w:rPr>
        <w:t>of the Convention</w:t>
      </w:r>
      <w:r w:rsidR="00202702" w:rsidRPr="00983884">
        <w:rPr>
          <w:lang w:val="en-US"/>
        </w:rPr>
        <w:t xml:space="preserve">. </w:t>
      </w:r>
    </w:p>
    <w:p w:rsidR="00202702" w:rsidRPr="00983884" w:rsidRDefault="00202702" w:rsidP="00202702">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jc w:val="both"/>
        <w:rPr>
          <w:sz w:val="20"/>
          <w:szCs w:val="20"/>
        </w:rPr>
      </w:pPr>
    </w:p>
    <w:p w:rsidR="00202702" w:rsidRPr="00983884" w:rsidRDefault="00387837" w:rsidP="00202702">
      <w:pPr>
        <w:pStyle w:val="Style2"/>
        <w:numPr>
          <w:ilvl w:val="0"/>
          <w:numId w:val="104"/>
        </w:numPr>
        <w:rPr>
          <w:lang w:val="en-US"/>
        </w:rPr>
      </w:pPr>
      <w:r w:rsidRPr="00983884">
        <w:rPr>
          <w:lang w:val="en-US"/>
        </w:rPr>
        <w:t xml:space="preserve">First of all, the Commission underscores that Article </w:t>
      </w:r>
      <w:r w:rsidR="00202702" w:rsidRPr="00983884">
        <w:rPr>
          <w:lang w:val="en-US"/>
        </w:rPr>
        <w:t xml:space="preserve">474 </w:t>
      </w:r>
      <w:r w:rsidRPr="00983884">
        <w:rPr>
          <w:lang w:val="en-US"/>
        </w:rPr>
        <w:t xml:space="preserve">of the </w:t>
      </w:r>
      <w:r w:rsidR="005521B5" w:rsidRPr="00983884">
        <w:rPr>
          <w:lang w:val="en-US"/>
        </w:rPr>
        <w:t>CPPM regulates the two motives that can be alleged in a cassation appeal: failure to observe or erroneous application of substantive law: or the failure to observe procedural standards under certain circumstances. In that respect, the regulation itself confines the cassation appeal to both substantive and procedural errors of law</w:t>
      </w:r>
      <w:r w:rsidR="00202702" w:rsidRPr="00983884">
        <w:rPr>
          <w:lang w:val="en-US"/>
        </w:rPr>
        <w:t>.</w:t>
      </w:r>
    </w:p>
    <w:p w:rsidR="00202702" w:rsidRPr="00983884" w:rsidRDefault="00202702" w:rsidP="0020270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rsidR="00202702" w:rsidRPr="00983884" w:rsidRDefault="005521B5" w:rsidP="00202702">
      <w:pPr>
        <w:pStyle w:val="Style2"/>
        <w:numPr>
          <w:ilvl w:val="0"/>
          <w:numId w:val="104"/>
        </w:numPr>
        <w:rPr>
          <w:lang w:val="en-US"/>
        </w:rPr>
      </w:pPr>
      <w:r w:rsidRPr="00983884">
        <w:rPr>
          <w:lang w:val="en-US"/>
        </w:rPr>
        <w:t xml:space="preserve">Second, the Commission observes that this legal framework led to a judicial practice described in the section of established facts, recognized by the Supreme Court of Justice of the Nation in the federal sphere and which is applicable to the present case bearing in mind </w:t>
      </w:r>
      <w:r w:rsidR="00EC3248" w:rsidRPr="00983884">
        <w:rPr>
          <w:lang w:val="en-US"/>
        </w:rPr>
        <w:t>the convergence in</w:t>
      </w:r>
      <w:r w:rsidRPr="00983884">
        <w:rPr>
          <w:lang w:val="en-US"/>
        </w:rPr>
        <w:t xml:space="preserve"> the regulation for the cassation appeal in this area and in the Province of Mendoza, among other provinces. This practice consisted of interpreting, restrictively, the legal framework governing the cassation appeal, so that </w:t>
      </w:r>
      <w:r w:rsidR="008576F5">
        <w:rPr>
          <w:lang w:val="en-US"/>
        </w:rPr>
        <w:t>issues</w:t>
      </w:r>
      <w:r w:rsidRPr="00983884">
        <w:rPr>
          <w:lang w:val="en-US"/>
        </w:rPr>
        <w:t xml:space="preserve"> of fact and appraisal of evidence were excluded</w:t>
      </w:r>
      <w:r w:rsidR="00202702" w:rsidRPr="00983884">
        <w:rPr>
          <w:lang w:val="en-US"/>
        </w:rPr>
        <w:t xml:space="preserve">. </w:t>
      </w:r>
    </w:p>
    <w:p w:rsidR="00202702" w:rsidRPr="00983884" w:rsidRDefault="00202702" w:rsidP="0020270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rsidR="00202702" w:rsidRPr="00983884" w:rsidRDefault="00EC3248" w:rsidP="00202702">
      <w:pPr>
        <w:pStyle w:val="Style2"/>
        <w:numPr>
          <w:ilvl w:val="0"/>
          <w:numId w:val="104"/>
        </w:numPr>
        <w:rPr>
          <w:lang w:val="en-US"/>
        </w:rPr>
      </w:pPr>
      <w:r w:rsidRPr="00983884">
        <w:rPr>
          <w:lang w:val="en-US"/>
        </w:rPr>
        <w:t>By virtue of the above, in general terms, there was a serious limitation in the law and in practice regarding the prospects for effectiveness of any allegation that d</w:t>
      </w:r>
      <w:r w:rsidR="008576F5">
        <w:rPr>
          <w:lang w:val="en-US"/>
        </w:rPr>
        <w:t>id</w:t>
      </w:r>
      <w:r w:rsidRPr="00983884">
        <w:rPr>
          <w:lang w:val="en-US"/>
        </w:rPr>
        <w:t xml:space="preserve"> not fall within the purview of what had historically been considered as “reviewable” by means of a cassation appeal</w:t>
      </w:r>
      <w:r w:rsidR="00202702" w:rsidRPr="00983884">
        <w:rPr>
          <w:lang w:val="en-US"/>
        </w:rPr>
        <w:t xml:space="preserve">. </w:t>
      </w:r>
    </w:p>
    <w:p w:rsidR="00202702" w:rsidRPr="00983884" w:rsidRDefault="00202702" w:rsidP="0020270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rsidR="00202702" w:rsidRPr="00983884" w:rsidRDefault="00EC3248" w:rsidP="00202702">
      <w:pPr>
        <w:pStyle w:val="Style2"/>
        <w:numPr>
          <w:ilvl w:val="0"/>
          <w:numId w:val="104"/>
        </w:numPr>
        <w:rPr>
          <w:lang w:val="en-US"/>
        </w:rPr>
      </w:pPr>
      <w:r w:rsidRPr="00983884">
        <w:rPr>
          <w:lang w:val="en-US"/>
        </w:rPr>
        <w:t xml:space="preserve">The Commission is not responsible for determining the possible questions that could have been asked in the present case if the restrictive factors had not been applied. </w:t>
      </w:r>
      <w:r w:rsidR="001D02B2" w:rsidRPr="00983884">
        <w:rPr>
          <w:lang w:val="en-US"/>
        </w:rPr>
        <w:t>A</w:t>
      </w:r>
      <w:r w:rsidR="007C6CB9" w:rsidRPr="00983884">
        <w:rPr>
          <w:lang w:val="en-US"/>
        </w:rPr>
        <w:t>s indicated by the Commission,</w:t>
      </w:r>
      <w:r w:rsidR="00202702" w:rsidRPr="00983884">
        <w:rPr>
          <w:lang w:val="en-US"/>
        </w:rPr>
        <w:t xml:space="preserve"> “</w:t>
      </w:r>
      <w:r w:rsidR="00DC1E41" w:rsidRPr="00983884">
        <w:rPr>
          <w:lang w:val="en-US"/>
        </w:rPr>
        <w:t>it is enough to determine that the alleged victims embarked on the appeals procedure under legal constraints as to what allegations they were able to make. (…) [A]n automatic exclusion of issues of fact or of evidence appraisal was in effect, thus doing away with any examination of the importance or nature of said issues in light of the concrete case.  This exclusion is, in and of itself, incompatible with the comprehensive scope of the remedy as provided for in Article 8.2.h of the American Convention</w:t>
      </w:r>
      <w:r w:rsidR="00E96EC7" w:rsidRPr="00983884">
        <w:rPr>
          <w:lang w:val="en-US"/>
        </w:rPr>
        <w:t>.</w:t>
      </w:r>
      <w:r w:rsidR="00202702" w:rsidRPr="00983884">
        <w:rPr>
          <w:lang w:val="en-US"/>
        </w:rPr>
        <w:t>”</w:t>
      </w:r>
      <w:r w:rsidR="00202702" w:rsidRPr="00983884">
        <w:rPr>
          <w:rStyle w:val="FootnoteReference"/>
          <w:lang w:val="en-US"/>
        </w:rPr>
        <w:footnoteReference w:id="52"/>
      </w:r>
    </w:p>
    <w:p w:rsidR="00202702" w:rsidRPr="00983884" w:rsidRDefault="00202702" w:rsidP="00202702">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jc w:val="both"/>
        <w:rPr>
          <w:sz w:val="20"/>
          <w:szCs w:val="20"/>
        </w:rPr>
      </w:pPr>
    </w:p>
    <w:p w:rsidR="00202702" w:rsidRPr="00983884" w:rsidRDefault="00E96EC7" w:rsidP="00202702">
      <w:pPr>
        <w:pStyle w:val="Style2"/>
        <w:numPr>
          <w:ilvl w:val="0"/>
          <w:numId w:val="104"/>
        </w:numPr>
        <w:rPr>
          <w:lang w:val="en-US"/>
        </w:rPr>
      </w:pPr>
      <w:r w:rsidRPr="00983884">
        <w:rPr>
          <w:lang w:val="en-US"/>
        </w:rPr>
        <w:t>In any case, the limited scope of the cassation appeal was reflected in how these appeals were ruled in this concrete case. As concluded from the established facts, t</w:t>
      </w:r>
      <w:r w:rsidR="008576F5">
        <w:rPr>
          <w:lang w:val="en-US"/>
        </w:rPr>
        <w:t xml:space="preserve">he cassation appeal filed by </w:t>
      </w:r>
      <w:r w:rsidRPr="00983884">
        <w:rPr>
          <w:lang w:val="en-US"/>
        </w:rPr>
        <w:t xml:space="preserve">Mr. </w:t>
      </w:r>
      <w:r w:rsidR="00202702" w:rsidRPr="00983884">
        <w:rPr>
          <w:lang w:val="en-US"/>
        </w:rPr>
        <w:t>Gorigoitia</w:t>
      </w:r>
      <w:r w:rsidR="00B039BC">
        <w:rPr>
          <w:lang w:val="en-US"/>
        </w:rPr>
        <w:t>’s defen</w:t>
      </w:r>
      <w:r w:rsidR="008576F5">
        <w:rPr>
          <w:lang w:val="en-US"/>
        </w:rPr>
        <w:t>se</w:t>
      </w:r>
      <w:r w:rsidR="00202702" w:rsidRPr="00983884">
        <w:rPr>
          <w:lang w:val="en-US"/>
        </w:rPr>
        <w:t xml:space="preserve"> incorpor</w:t>
      </w:r>
      <w:r w:rsidRPr="00983884">
        <w:rPr>
          <w:lang w:val="en-US"/>
        </w:rPr>
        <w:t>ated a series of arguments in connection with the facts and whether or not they were in line with the willful intent of the perpetration of the crime of homicide. Arguments were also submitted in connection with the appraisal of the evidence conducted in the court of first instance</w:t>
      </w:r>
      <w:r w:rsidR="00202702" w:rsidRPr="00983884">
        <w:rPr>
          <w:lang w:val="en-US"/>
        </w:rPr>
        <w:t xml:space="preserve">. </w:t>
      </w:r>
    </w:p>
    <w:p w:rsidR="00202702" w:rsidRPr="00983884" w:rsidRDefault="00202702" w:rsidP="00202702">
      <w:pPr>
        <w:pStyle w:val="Style2"/>
        <w:numPr>
          <w:ilvl w:val="0"/>
          <w:numId w:val="0"/>
        </w:numPr>
        <w:ind w:left="720"/>
        <w:rPr>
          <w:lang w:val="en-US"/>
        </w:rPr>
      </w:pPr>
    </w:p>
    <w:p w:rsidR="00202702" w:rsidRPr="00983884" w:rsidRDefault="00202702" w:rsidP="00202702">
      <w:pPr>
        <w:pStyle w:val="Style2"/>
        <w:numPr>
          <w:ilvl w:val="0"/>
          <w:numId w:val="104"/>
        </w:numPr>
        <w:rPr>
          <w:lang w:val="en-US"/>
        </w:rPr>
      </w:pPr>
      <w:r w:rsidRPr="00983884">
        <w:rPr>
          <w:lang w:val="en-US"/>
        </w:rPr>
        <w:t>A</w:t>
      </w:r>
      <w:r w:rsidR="00E96EC7" w:rsidRPr="00983884">
        <w:rPr>
          <w:lang w:val="en-US"/>
        </w:rPr>
        <w:t xml:space="preserve">s an example, in the cassation appeal, it was indicated that “willful </w:t>
      </w:r>
      <w:r w:rsidR="00C33A94">
        <w:rPr>
          <w:lang w:val="en-US"/>
        </w:rPr>
        <w:t>misconduct</w:t>
      </w:r>
      <w:r w:rsidRPr="00983884">
        <w:rPr>
          <w:lang w:val="en-US"/>
        </w:rPr>
        <w:t xml:space="preserve"> </w:t>
      </w:r>
      <w:r w:rsidR="00E96EC7" w:rsidRPr="00983884">
        <w:rPr>
          <w:lang w:val="en-US"/>
        </w:rPr>
        <w:t xml:space="preserve">is a fact and as such it was not proven.” It also argued that it was inadequate to use evidence about the personality of the accused to show that it was related to the willful </w:t>
      </w:r>
      <w:r w:rsidR="00C33A94">
        <w:rPr>
          <w:lang w:val="en-US"/>
        </w:rPr>
        <w:t>misconduct</w:t>
      </w:r>
      <w:r w:rsidR="00E96EC7" w:rsidRPr="00983884">
        <w:rPr>
          <w:lang w:val="en-US"/>
        </w:rPr>
        <w:t xml:space="preserve">. The defense added in the cassation appeal that, in his opinion, Mr. Gorigoitia breached the rules of the Police Force Manual, with recklessness and absence of caution.  This appraisal of the facts by the defense led to the argument, as indicated, that willful </w:t>
      </w:r>
      <w:r w:rsidR="00EA5725">
        <w:rPr>
          <w:lang w:val="en-US"/>
        </w:rPr>
        <w:t>misconduct</w:t>
      </w:r>
      <w:r w:rsidR="00E96EC7" w:rsidRPr="00983884">
        <w:rPr>
          <w:lang w:val="en-US"/>
        </w:rPr>
        <w:t xml:space="preserve"> was not proven</w:t>
      </w:r>
      <w:r w:rsidRPr="00983884">
        <w:rPr>
          <w:lang w:val="en-US"/>
        </w:rPr>
        <w:t xml:space="preserve">. </w:t>
      </w:r>
    </w:p>
    <w:p w:rsidR="00202702" w:rsidRPr="00983884" w:rsidRDefault="00202702" w:rsidP="00202702">
      <w:pPr>
        <w:pStyle w:val="Style2"/>
        <w:numPr>
          <w:ilvl w:val="0"/>
          <w:numId w:val="0"/>
        </w:numPr>
        <w:ind w:left="720"/>
        <w:rPr>
          <w:lang w:val="en-US"/>
        </w:rPr>
      </w:pPr>
    </w:p>
    <w:p w:rsidR="00202702" w:rsidRPr="00983884" w:rsidRDefault="00EA5725" w:rsidP="00202702">
      <w:pPr>
        <w:pStyle w:val="Style2"/>
        <w:numPr>
          <w:ilvl w:val="0"/>
          <w:numId w:val="104"/>
        </w:numPr>
        <w:rPr>
          <w:lang w:val="en-US"/>
        </w:rPr>
      </w:pPr>
      <w:r>
        <w:rPr>
          <w:lang w:val="en-US"/>
        </w:rPr>
        <w:t>Bearing in mind</w:t>
      </w:r>
      <w:r w:rsidR="00DC1E41" w:rsidRPr="00983884">
        <w:rPr>
          <w:lang w:val="en-US"/>
        </w:rPr>
        <w:t xml:space="preserve"> that the cassation appeal was declared “formally inadmissible” by the Second Chamber of the Supreme Court of Justice of Mendoza, in accordance with the Criminal Procedures Code of the Province of Mendoza, the IACHR considers that the arguments put forth by the de</w:t>
      </w:r>
      <w:r>
        <w:rPr>
          <w:lang w:val="en-US"/>
        </w:rPr>
        <w:t>fense questioning aspects of fact</w:t>
      </w:r>
      <w:r w:rsidR="00DC1E41" w:rsidRPr="00983884">
        <w:rPr>
          <w:lang w:val="en-US"/>
        </w:rPr>
        <w:t xml:space="preserve"> and appraisal of evidence were considered by said court as </w:t>
      </w:r>
      <w:r w:rsidR="00D268E6" w:rsidRPr="00983884">
        <w:rPr>
          <w:lang w:val="en-US"/>
        </w:rPr>
        <w:t>obviously inadmissible. Therefore the court did not begin to analyze the allegations of the merits bu</w:t>
      </w:r>
      <w:r>
        <w:rPr>
          <w:lang w:val="en-US"/>
        </w:rPr>
        <w:t>t</w:t>
      </w:r>
      <w:r w:rsidR="00D268E6" w:rsidRPr="00983884">
        <w:rPr>
          <w:lang w:val="en-US"/>
        </w:rPr>
        <w:t xml:space="preserve"> rather they were inadmissible </w:t>
      </w:r>
      <w:r w:rsidR="00202702" w:rsidRPr="00983884">
        <w:rPr>
          <w:i/>
          <w:lang w:val="en-US"/>
        </w:rPr>
        <w:t>in limine</w:t>
      </w:r>
      <w:r w:rsidR="00202702" w:rsidRPr="00983884">
        <w:rPr>
          <w:lang w:val="en-US"/>
        </w:rPr>
        <w:t xml:space="preserve">. </w:t>
      </w:r>
      <w:r>
        <w:rPr>
          <w:lang w:val="en-US"/>
        </w:rPr>
        <w:t>This judicial authority’s ruling on</w:t>
      </w:r>
      <w:r w:rsidR="00D268E6" w:rsidRPr="00983884">
        <w:rPr>
          <w:lang w:val="en-US"/>
        </w:rPr>
        <w:t xml:space="preserve"> the cassation appeal includes motives highlight</w:t>
      </w:r>
      <w:r>
        <w:rPr>
          <w:lang w:val="en-US"/>
        </w:rPr>
        <w:t>ing</w:t>
      </w:r>
      <w:r w:rsidR="00D268E6" w:rsidRPr="00983884">
        <w:rPr>
          <w:lang w:val="en-US"/>
        </w:rPr>
        <w:t xml:space="preserve"> that dismissal of the appeals was due to the judicial practice of restrictively interpreting the regulation governing cassation appeals</w:t>
      </w:r>
      <w:r w:rsidR="00202702" w:rsidRPr="00983884">
        <w:rPr>
          <w:lang w:val="en-US"/>
        </w:rPr>
        <w:t xml:space="preserve">. </w:t>
      </w:r>
    </w:p>
    <w:p w:rsidR="00202702" w:rsidRPr="00983884" w:rsidRDefault="00202702" w:rsidP="00202702">
      <w:pPr>
        <w:pStyle w:val="ColorfulList-Accent11"/>
      </w:pPr>
    </w:p>
    <w:p w:rsidR="00202702" w:rsidRPr="00983884" w:rsidRDefault="00D268E6" w:rsidP="00202702">
      <w:pPr>
        <w:pStyle w:val="Style2"/>
        <w:numPr>
          <w:ilvl w:val="0"/>
          <w:numId w:val="104"/>
        </w:numPr>
        <w:rPr>
          <w:lang w:val="en-US"/>
        </w:rPr>
      </w:pPr>
      <w:r w:rsidRPr="00983884">
        <w:rPr>
          <w:lang w:val="en-US"/>
        </w:rPr>
        <w:t xml:space="preserve">Thus, the IACHR stresses that the Second Chamber itself indicated that it “could not re-examine or judge the motives comprising the conviction of the </w:t>
      </w:r>
      <w:r w:rsidR="00EA5725">
        <w:rPr>
          <w:lang w:val="en-US"/>
        </w:rPr>
        <w:t xml:space="preserve">lower </w:t>
      </w:r>
      <w:r w:rsidRPr="00983884">
        <w:rPr>
          <w:lang w:val="en-US"/>
        </w:rPr>
        <w:t>Court.”</w:t>
      </w:r>
      <w:r w:rsidR="00202702" w:rsidRPr="00983884">
        <w:rPr>
          <w:lang w:val="en-US"/>
        </w:rPr>
        <w:t xml:space="preserve"> </w:t>
      </w:r>
      <w:r w:rsidRPr="00983884">
        <w:rPr>
          <w:lang w:val="en-US"/>
        </w:rPr>
        <w:t xml:space="preserve">The Second Chamber then contended that the appeal had to be dismissed </w:t>
      </w:r>
      <w:r w:rsidR="00202702" w:rsidRPr="00983884">
        <w:rPr>
          <w:i/>
          <w:lang w:val="en-US"/>
        </w:rPr>
        <w:t xml:space="preserve">in limine </w:t>
      </w:r>
      <w:r w:rsidRPr="00983884">
        <w:rPr>
          <w:lang w:val="en-US"/>
        </w:rPr>
        <w:t>because the arguments of the defense “reveal, in short, the discrepancy of the complainant’s assessment with the ruling of the chamber in connection with the evidence incorporated legally into the discussion.”</w:t>
      </w:r>
      <w:r w:rsidR="00202702" w:rsidRPr="00983884">
        <w:rPr>
          <w:lang w:val="en-US"/>
        </w:rPr>
        <w:t xml:space="preserve"> </w:t>
      </w:r>
      <w:r w:rsidRPr="00983884">
        <w:rPr>
          <w:lang w:val="en-US"/>
        </w:rPr>
        <w:t>The Commission also underscores that the Second Chamber is confined to determining if the</w:t>
      </w:r>
      <w:r w:rsidR="00EA5725">
        <w:rPr>
          <w:lang w:val="en-US"/>
        </w:rPr>
        <w:t xml:space="preserve"> Chamber’s</w:t>
      </w:r>
      <w:r w:rsidRPr="00983884">
        <w:rPr>
          <w:lang w:val="en-US"/>
        </w:rPr>
        <w:t xml:space="preserve"> judgmen</w:t>
      </w:r>
      <w:r w:rsidR="00EA5725">
        <w:rPr>
          <w:lang w:val="en-US"/>
        </w:rPr>
        <w:t>t w</w:t>
      </w:r>
      <w:r w:rsidRPr="00983884">
        <w:rPr>
          <w:lang w:val="en-US"/>
        </w:rPr>
        <w:t>as motivated, providing</w:t>
      </w:r>
      <w:r w:rsidR="00CB67E0" w:rsidRPr="00983884">
        <w:rPr>
          <w:lang w:val="en-US"/>
        </w:rPr>
        <w:t xml:space="preserve"> a recor</w:t>
      </w:r>
      <w:r w:rsidRPr="00983884">
        <w:rPr>
          <w:lang w:val="en-US"/>
        </w:rPr>
        <w:t xml:space="preserve">d of said motivation in the </w:t>
      </w:r>
      <w:r w:rsidR="00EA5725">
        <w:rPr>
          <w:lang w:val="en-US"/>
        </w:rPr>
        <w:t>points of law</w:t>
      </w:r>
      <w:r w:rsidRPr="00983884">
        <w:rPr>
          <w:lang w:val="en-US"/>
        </w:rPr>
        <w:t xml:space="preserve"> alleged by the defense but without conducting any assessment on said motivation let alone a </w:t>
      </w:r>
      <w:r w:rsidR="00160636">
        <w:rPr>
          <w:lang w:val="en-US"/>
        </w:rPr>
        <w:t>second court ratification (</w:t>
      </w:r>
      <w:r w:rsidR="00160636" w:rsidRPr="00160636">
        <w:rPr>
          <w:i/>
          <w:lang w:val="en-US"/>
        </w:rPr>
        <w:t>doble conforme</w:t>
      </w:r>
      <w:r w:rsidR="00160636">
        <w:rPr>
          <w:lang w:val="en-US"/>
        </w:rPr>
        <w:t>)</w:t>
      </w:r>
      <w:r w:rsidRPr="00983884">
        <w:rPr>
          <w:lang w:val="en-US"/>
        </w:rPr>
        <w:t xml:space="preserve"> in terms </w:t>
      </w:r>
      <w:r w:rsidR="00CB67E0" w:rsidRPr="00983884">
        <w:rPr>
          <w:lang w:val="en-US"/>
        </w:rPr>
        <w:t>of its contents</w:t>
      </w:r>
      <w:r w:rsidR="00202702" w:rsidRPr="00983884">
        <w:rPr>
          <w:lang w:val="en-US"/>
        </w:rPr>
        <w:t xml:space="preserve">. </w:t>
      </w:r>
    </w:p>
    <w:p w:rsidR="00202702" w:rsidRPr="00983884" w:rsidRDefault="00202702" w:rsidP="00202702">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jc w:val="both"/>
        <w:rPr>
          <w:sz w:val="20"/>
          <w:szCs w:val="20"/>
        </w:rPr>
      </w:pPr>
    </w:p>
    <w:p w:rsidR="00202702" w:rsidRPr="00983884" w:rsidRDefault="00CB67E0" w:rsidP="00202702">
      <w:pPr>
        <w:pStyle w:val="Style2"/>
        <w:numPr>
          <w:ilvl w:val="0"/>
          <w:numId w:val="104"/>
        </w:numPr>
        <w:rPr>
          <w:lang w:val="en-US"/>
        </w:rPr>
      </w:pPr>
      <w:r w:rsidRPr="00983884">
        <w:rPr>
          <w:lang w:val="en-US"/>
        </w:rPr>
        <w:t xml:space="preserve">As indicated earlier, the cassation appeal is the </w:t>
      </w:r>
      <w:r w:rsidR="00160636">
        <w:rPr>
          <w:lang w:val="en-US"/>
        </w:rPr>
        <w:t>ordinary remedy to be filed</w:t>
      </w:r>
      <w:r w:rsidRPr="00983884">
        <w:rPr>
          <w:lang w:val="en-US"/>
        </w:rPr>
        <w:t xml:space="preserve"> against a judgment of conviction, and therefore it is the main one that must be analyzed in the light of Article</w:t>
      </w:r>
      <w:r w:rsidR="00202702" w:rsidRPr="00983884">
        <w:rPr>
          <w:lang w:val="en-US"/>
        </w:rPr>
        <w:t xml:space="preserve"> 8.2 h) </w:t>
      </w:r>
      <w:r w:rsidRPr="00983884">
        <w:rPr>
          <w:lang w:val="en-US"/>
        </w:rPr>
        <w:t>of the Convention</w:t>
      </w:r>
      <w:r w:rsidR="00202702" w:rsidRPr="00983884">
        <w:rPr>
          <w:lang w:val="en-US"/>
        </w:rPr>
        <w:t xml:space="preserve">. </w:t>
      </w:r>
    </w:p>
    <w:p w:rsidR="00202702" w:rsidRPr="00983884" w:rsidRDefault="00202702" w:rsidP="0020270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rsidR="00202702" w:rsidRPr="00983884" w:rsidRDefault="00CB67E0" w:rsidP="00202702">
      <w:pPr>
        <w:pStyle w:val="Style2"/>
        <w:numPr>
          <w:ilvl w:val="0"/>
          <w:numId w:val="104"/>
        </w:numPr>
        <w:rPr>
          <w:lang w:val="en-US"/>
        </w:rPr>
      </w:pPr>
      <w:r w:rsidRPr="00983884">
        <w:rPr>
          <w:lang w:val="en-US"/>
        </w:rPr>
        <w:t xml:space="preserve">The above is consistent with what was indicated by the IACHR and the Inter-American </w:t>
      </w:r>
      <w:r w:rsidR="00160636">
        <w:rPr>
          <w:lang w:val="en-US"/>
        </w:rPr>
        <w:t>C</w:t>
      </w:r>
      <w:r w:rsidRPr="00983884">
        <w:rPr>
          <w:lang w:val="en-US"/>
        </w:rPr>
        <w:t xml:space="preserve">ourt regarding the </w:t>
      </w:r>
      <w:r w:rsidR="005C2B5C">
        <w:rPr>
          <w:lang w:val="en-US"/>
        </w:rPr>
        <w:t>extraordinary</w:t>
      </w:r>
      <w:r w:rsidRPr="00983884">
        <w:rPr>
          <w:lang w:val="en-US"/>
        </w:rPr>
        <w:t xml:space="preserve"> appeal, which is ruled upon by the same court that issued the judgment that is being challenge and, if it is admitted, its merits are decided by the Supreme Court of Justice of the Nation.</w:t>
      </w:r>
      <w:r w:rsidR="00202702" w:rsidRPr="00983884">
        <w:rPr>
          <w:rStyle w:val="FootnoteReference"/>
          <w:lang w:val="en-US"/>
        </w:rPr>
        <w:footnoteReference w:id="53"/>
      </w:r>
      <w:r w:rsidRPr="00983884">
        <w:rPr>
          <w:lang w:val="en-US"/>
        </w:rPr>
        <w:t xml:space="preserve"> In particular, the Court indicated that said remedy does not constitute a way to </w:t>
      </w:r>
      <w:r w:rsidR="007C5778" w:rsidRPr="00983884">
        <w:rPr>
          <w:lang w:val="en-US"/>
        </w:rPr>
        <w:t>challenge criminal proceedings and that “the causal elements that condition the admissibility of such a remedy are limited to review issues relating to the validity of a law, treaty, or constitutional provision, or the arbitrariness of a judgment, factual and evidentiary issues, as well as those of a non-constitutional legal nature.”</w:t>
      </w:r>
      <w:r w:rsidR="00202702" w:rsidRPr="00983884">
        <w:rPr>
          <w:rStyle w:val="FootnoteReference"/>
          <w:lang w:val="en-US"/>
        </w:rPr>
        <w:footnoteReference w:id="54"/>
      </w:r>
    </w:p>
    <w:p w:rsidR="00202702" w:rsidRPr="00983884" w:rsidRDefault="00202702" w:rsidP="0020270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rsidR="00202702" w:rsidRPr="00983884" w:rsidRDefault="00295F57" w:rsidP="00295F57">
      <w:pPr>
        <w:pStyle w:val="Style2"/>
        <w:numPr>
          <w:ilvl w:val="0"/>
          <w:numId w:val="104"/>
        </w:numPr>
        <w:rPr>
          <w:lang w:val="en-US"/>
        </w:rPr>
      </w:pPr>
      <w:r w:rsidRPr="00983884">
        <w:rPr>
          <w:lang w:val="en-US"/>
        </w:rPr>
        <w:t xml:space="preserve">Without detriment to the above, the Commission also takes into account that the </w:t>
      </w:r>
      <w:r w:rsidR="005C2B5C">
        <w:rPr>
          <w:lang w:val="en-US"/>
        </w:rPr>
        <w:t>extraordinary</w:t>
      </w:r>
      <w:r w:rsidRPr="00983884">
        <w:rPr>
          <w:lang w:val="en-US"/>
        </w:rPr>
        <w:t xml:space="preserve"> appeal filed by Mr. </w:t>
      </w:r>
      <w:r w:rsidR="00202702" w:rsidRPr="00983884">
        <w:rPr>
          <w:lang w:val="en-US"/>
        </w:rPr>
        <w:t xml:space="preserve">Gorigoitia </w:t>
      </w:r>
      <w:r w:rsidRPr="00983884">
        <w:rPr>
          <w:lang w:val="en-US"/>
        </w:rPr>
        <w:t>was declared formally inadmissible by the Supreme Court of Justice of the Province of Mendoza, following the doctrine of arbitrariness drawn up by the Supreme Court</w:t>
      </w:r>
      <w:r w:rsidR="00160636">
        <w:rPr>
          <w:lang w:val="en-US"/>
        </w:rPr>
        <w:t xml:space="preserve"> of Justice of Argentina</w:t>
      </w:r>
      <w:r w:rsidRPr="00983884">
        <w:rPr>
          <w:lang w:val="en-US"/>
        </w:rPr>
        <w:t>. This inadmissibility was ratified afterwar</w:t>
      </w:r>
      <w:r w:rsidR="00160636">
        <w:rPr>
          <w:lang w:val="en-US"/>
        </w:rPr>
        <w:t>ds by this High Court with a ruling of inadmissibility for</w:t>
      </w:r>
      <w:r w:rsidRPr="00983884">
        <w:rPr>
          <w:lang w:val="en-US"/>
        </w:rPr>
        <w:t xml:space="preserve"> the complaint appeal. Thus the </w:t>
      </w:r>
      <w:r w:rsidR="005C2B5C">
        <w:rPr>
          <w:lang w:val="en-US"/>
        </w:rPr>
        <w:t>extraordinary</w:t>
      </w:r>
      <w:r w:rsidRPr="00983884">
        <w:rPr>
          <w:lang w:val="en-US"/>
        </w:rPr>
        <w:t xml:space="preserve"> appeal was dismissed </w:t>
      </w:r>
      <w:r w:rsidR="00202702" w:rsidRPr="00983884">
        <w:rPr>
          <w:i/>
          <w:lang w:val="en-US"/>
        </w:rPr>
        <w:t>in limine</w:t>
      </w:r>
      <w:r w:rsidR="00202702" w:rsidRPr="00983884">
        <w:rPr>
          <w:lang w:val="en-US"/>
        </w:rPr>
        <w:t xml:space="preserve">.   </w:t>
      </w:r>
    </w:p>
    <w:p w:rsidR="00202702" w:rsidRPr="00983884" w:rsidRDefault="00202702" w:rsidP="0020270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rsidR="00202702" w:rsidRPr="00983884" w:rsidRDefault="00295F57" w:rsidP="00202702">
      <w:pPr>
        <w:pStyle w:val="Style2"/>
        <w:numPr>
          <w:ilvl w:val="0"/>
          <w:numId w:val="104"/>
        </w:numPr>
        <w:rPr>
          <w:lang w:val="en-US"/>
        </w:rPr>
      </w:pPr>
      <w:r w:rsidRPr="00983884">
        <w:rPr>
          <w:lang w:val="en-US"/>
        </w:rPr>
        <w:t>By virtue of the considerations above, the Commission concludes that Mr.</w:t>
      </w:r>
      <w:r w:rsidR="00202702" w:rsidRPr="00983884">
        <w:rPr>
          <w:lang w:val="en-US"/>
        </w:rPr>
        <w:t xml:space="preserve"> Gorigoitia </w:t>
      </w:r>
      <w:r w:rsidRPr="00983884">
        <w:rPr>
          <w:lang w:val="en-US"/>
        </w:rPr>
        <w:t xml:space="preserve">did not benefit from any appeal </w:t>
      </w:r>
      <w:r w:rsidR="00B769F6">
        <w:rPr>
          <w:lang w:val="en-US"/>
        </w:rPr>
        <w:t>filed before</w:t>
      </w:r>
      <w:r w:rsidRPr="00983884">
        <w:rPr>
          <w:lang w:val="en-US"/>
        </w:rPr>
        <w:t xml:space="preserve"> a hi</w:t>
      </w:r>
      <w:r w:rsidR="00846355">
        <w:rPr>
          <w:lang w:val="en-US"/>
        </w:rPr>
        <w:t>gher-ranking</w:t>
      </w:r>
      <w:r w:rsidRPr="00983884">
        <w:rPr>
          <w:lang w:val="en-US"/>
        </w:rPr>
        <w:t xml:space="preserve"> authority that would conduct a comprehensive review of the judgment of conviction against him, including issues of fact and appraisal of evidence alleged by the defense on the basis of a cassation appeal</w:t>
      </w:r>
      <w:r w:rsidR="00202702" w:rsidRPr="00983884">
        <w:rPr>
          <w:lang w:val="en-US"/>
        </w:rPr>
        <w:t xml:space="preserve">. </w:t>
      </w:r>
      <w:r w:rsidRPr="00983884">
        <w:rPr>
          <w:lang w:val="en-US"/>
        </w:rPr>
        <w:t xml:space="preserve">In that respect, the Commission concludes that the </w:t>
      </w:r>
      <w:r w:rsidR="006A7766">
        <w:rPr>
          <w:lang w:val="en-US"/>
        </w:rPr>
        <w:t>State of Argentina</w:t>
      </w:r>
      <w:r w:rsidRPr="00983884">
        <w:rPr>
          <w:lang w:val="en-US"/>
        </w:rPr>
        <w:t xml:space="preserve"> violated</w:t>
      </w:r>
      <w:r w:rsidR="00846355">
        <w:rPr>
          <w:lang w:val="en-US"/>
        </w:rPr>
        <w:t>,</w:t>
      </w:r>
      <w:r w:rsidRPr="00983884">
        <w:rPr>
          <w:lang w:val="en-US"/>
        </w:rPr>
        <w:t xml:space="preserve"> to his detriment</w:t>
      </w:r>
      <w:r w:rsidR="00846355">
        <w:rPr>
          <w:lang w:val="en-US"/>
        </w:rPr>
        <w:t>,</w:t>
      </w:r>
      <w:r w:rsidRPr="00983884">
        <w:rPr>
          <w:lang w:val="en-US"/>
        </w:rPr>
        <w:t xml:space="preserve"> his right to appeal the judgment as set forth in Article</w:t>
      </w:r>
      <w:r w:rsidR="00202702" w:rsidRPr="00983884">
        <w:rPr>
          <w:lang w:val="en-US"/>
        </w:rPr>
        <w:t xml:space="preserve"> 8.2 h) </w:t>
      </w:r>
      <w:r w:rsidRPr="00983884">
        <w:rPr>
          <w:lang w:val="en-US"/>
        </w:rPr>
        <w:t xml:space="preserve">of the Convention, in connection with the obligations established in Articles </w:t>
      </w:r>
      <w:r w:rsidR="00202702" w:rsidRPr="00983884">
        <w:rPr>
          <w:lang w:val="en-US"/>
        </w:rPr>
        <w:t xml:space="preserve">1.1 </w:t>
      </w:r>
      <w:r w:rsidRPr="00983884">
        <w:rPr>
          <w:lang w:val="en-US"/>
        </w:rPr>
        <w:t>and</w:t>
      </w:r>
      <w:r w:rsidR="00202702" w:rsidRPr="00983884">
        <w:rPr>
          <w:lang w:val="en-US"/>
        </w:rPr>
        <w:t xml:space="preserve"> 2 </w:t>
      </w:r>
      <w:r w:rsidRPr="00983884">
        <w:rPr>
          <w:lang w:val="en-US"/>
        </w:rPr>
        <w:t>there</w:t>
      </w:r>
      <w:r w:rsidR="00846355">
        <w:rPr>
          <w:lang w:val="en-US"/>
        </w:rPr>
        <w:t>of</w:t>
      </w:r>
      <w:r w:rsidRPr="00983884">
        <w:rPr>
          <w:lang w:val="en-US"/>
        </w:rPr>
        <w:t xml:space="preserve">. The Commission also concludes that, as a result of the limited nature of </w:t>
      </w:r>
      <w:r w:rsidR="00846355">
        <w:rPr>
          <w:lang w:val="en-US"/>
        </w:rPr>
        <w:t xml:space="preserve">the </w:t>
      </w:r>
      <w:r w:rsidRPr="00983884">
        <w:rPr>
          <w:lang w:val="en-US"/>
        </w:rPr>
        <w:t>cassation</w:t>
      </w:r>
      <w:r w:rsidR="00330440" w:rsidRPr="00983884">
        <w:rPr>
          <w:lang w:val="en-US"/>
        </w:rPr>
        <w:t xml:space="preserve"> appeal and the even more limited nature of the </w:t>
      </w:r>
      <w:r w:rsidR="005C2B5C">
        <w:rPr>
          <w:lang w:val="en-US"/>
        </w:rPr>
        <w:t>extraordinary</w:t>
      </w:r>
      <w:r w:rsidR="00330440" w:rsidRPr="00983884">
        <w:rPr>
          <w:lang w:val="en-US"/>
        </w:rPr>
        <w:t xml:space="preserve"> appeal, the victim did not have simple and effective judicial remedies in the framework of the criminal proceedings that</w:t>
      </w:r>
      <w:r w:rsidR="00846355">
        <w:rPr>
          <w:lang w:val="en-US"/>
        </w:rPr>
        <w:t xml:space="preserve"> led to</w:t>
      </w:r>
      <w:r w:rsidR="00330440" w:rsidRPr="00983884">
        <w:rPr>
          <w:lang w:val="en-US"/>
        </w:rPr>
        <w:t xml:space="preserve"> his conviction, in violation also of the right set forth in Article 25.1 of the Convention, in connection with the obligations of articles 1.1 and 2 thereof</w:t>
      </w:r>
      <w:r w:rsidR="00202702" w:rsidRPr="00983884">
        <w:rPr>
          <w:lang w:val="en-US"/>
        </w:rPr>
        <w:t>.</w:t>
      </w:r>
    </w:p>
    <w:p w:rsidR="00202702" w:rsidRPr="00983884" w:rsidRDefault="00202702" w:rsidP="00202702">
      <w:pPr>
        <w:pStyle w:val="ColorfulList-Accent11"/>
        <w:rPr>
          <w:spacing w:val="-2"/>
          <w:sz w:val="20"/>
          <w:szCs w:val="20"/>
        </w:rPr>
      </w:pPr>
    </w:p>
    <w:p w:rsidR="00202702" w:rsidRPr="00983884" w:rsidRDefault="00202702" w:rsidP="00202702">
      <w:pPr>
        <w:ind w:left="1440" w:hanging="720"/>
        <w:jc w:val="both"/>
        <w:rPr>
          <w:rFonts w:ascii="Cambria" w:hAnsi="Cambria"/>
          <w:b/>
          <w:sz w:val="20"/>
          <w:szCs w:val="20"/>
        </w:rPr>
      </w:pPr>
      <w:r w:rsidRPr="00983884">
        <w:rPr>
          <w:rFonts w:ascii="Cambria" w:hAnsi="Cambria"/>
          <w:b/>
          <w:sz w:val="20"/>
          <w:szCs w:val="20"/>
        </w:rPr>
        <w:t>3.</w:t>
      </w:r>
      <w:r w:rsidRPr="00983884">
        <w:rPr>
          <w:rFonts w:ascii="Cambria" w:hAnsi="Cambria"/>
          <w:b/>
          <w:sz w:val="20"/>
          <w:szCs w:val="20"/>
        </w:rPr>
        <w:tab/>
        <w:t>Considera</w:t>
      </w:r>
      <w:r w:rsidR="00330440" w:rsidRPr="00983884">
        <w:rPr>
          <w:rFonts w:ascii="Cambria" w:hAnsi="Cambria"/>
          <w:b/>
          <w:sz w:val="20"/>
          <w:szCs w:val="20"/>
        </w:rPr>
        <w:t>tion regarding subsequent developments on the right to appeal a judgment</w:t>
      </w:r>
    </w:p>
    <w:p w:rsidR="00202702" w:rsidRPr="00983884" w:rsidRDefault="00202702" w:rsidP="00202702">
      <w:pPr>
        <w:jc w:val="both"/>
        <w:rPr>
          <w:rFonts w:ascii="Cambria" w:hAnsi="Cambria"/>
          <w:sz w:val="20"/>
          <w:szCs w:val="20"/>
        </w:rPr>
      </w:pPr>
    </w:p>
    <w:p w:rsidR="00202702" w:rsidRPr="00983884" w:rsidRDefault="00330440" w:rsidP="00202702">
      <w:pPr>
        <w:pStyle w:val="Style2"/>
        <w:numPr>
          <w:ilvl w:val="0"/>
          <w:numId w:val="104"/>
        </w:numPr>
        <w:rPr>
          <w:lang w:val="en-US"/>
        </w:rPr>
      </w:pPr>
      <w:r w:rsidRPr="00983884">
        <w:rPr>
          <w:lang w:val="en-US"/>
        </w:rPr>
        <w:t xml:space="preserve">The Commission has concluded that the </w:t>
      </w:r>
      <w:r w:rsidR="006A7766">
        <w:rPr>
          <w:lang w:val="en-US"/>
        </w:rPr>
        <w:t>State of Argentina</w:t>
      </w:r>
      <w:r w:rsidRPr="00983884">
        <w:rPr>
          <w:lang w:val="en-US"/>
        </w:rPr>
        <w:t xml:space="preserve"> violated the right to appeal the judgment, as enshrined in Article</w:t>
      </w:r>
      <w:r w:rsidR="00202702" w:rsidRPr="00983884">
        <w:rPr>
          <w:lang w:val="en-US"/>
        </w:rPr>
        <w:t xml:space="preserve"> 8.2 h) </w:t>
      </w:r>
      <w:r w:rsidRPr="00983884">
        <w:rPr>
          <w:lang w:val="en-US"/>
        </w:rPr>
        <w:t>of the American Convention</w:t>
      </w:r>
      <w:r w:rsidR="00846355">
        <w:rPr>
          <w:lang w:val="en-US"/>
        </w:rPr>
        <w:t>,</w:t>
      </w:r>
      <w:r w:rsidRPr="00983884">
        <w:rPr>
          <w:lang w:val="en-US"/>
        </w:rPr>
        <w:t xml:space="preserve"> to the detriment of Mr.</w:t>
      </w:r>
      <w:r w:rsidR="00202702" w:rsidRPr="00983884">
        <w:rPr>
          <w:lang w:val="en-US"/>
        </w:rPr>
        <w:t xml:space="preserve"> Gorigoitia.</w:t>
      </w:r>
    </w:p>
    <w:p w:rsidR="00202702" w:rsidRPr="00983884" w:rsidRDefault="00202702" w:rsidP="00202702">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jc w:val="both"/>
        <w:rPr>
          <w:sz w:val="20"/>
          <w:szCs w:val="20"/>
        </w:rPr>
      </w:pPr>
    </w:p>
    <w:p w:rsidR="00202702" w:rsidRPr="00983884" w:rsidRDefault="00330440" w:rsidP="00202702">
      <w:pPr>
        <w:pStyle w:val="Style2"/>
        <w:numPr>
          <w:ilvl w:val="0"/>
          <w:numId w:val="104"/>
        </w:numPr>
        <w:rPr>
          <w:lang w:val="en-US"/>
        </w:rPr>
      </w:pPr>
      <w:r w:rsidRPr="00983884">
        <w:rPr>
          <w:lang w:val="en-US"/>
        </w:rPr>
        <w:t>These violations did not occur because of an isolated interpretation by a judge in the specific case of the victim, but rather occur</w:t>
      </w:r>
      <w:r w:rsidR="000E3985" w:rsidRPr="00983884">
        <w:rPr>
          <w:lang w:val="en-US"/>
        </w:rPr>
        <w:t>r</w:t>
      </w:r>
      <w:r w:rsidRPr="00983884">
        <w:rPr>
          <w:lang w:val="en-US"/>
        </w:rPr>
        <w:t>ed in the context of a legislation and practice that excluded a review of the facts and the appraisal and rec</w:t>
      </w:r>
      <w:r w:rsidR="000E3985" w:rsidRPr="00983884">
        <w:rPr>
          <w:lang w:val="en-US"/>
        </w:rPr>
        <w:t>e</w:t>
      </w:r>
      <w:r w:rsidRPr="00983884">
        <w:rPr>
          <w:lang w:val="en-US"/>
        </w:rPr>
        <w:t xml:space="preserve">ption of evidence.  Because of this, the Commission concluded that the State failed to fulfill not only the right enshrined in Article </w:t>
      </w:r>
      <w:r w:rsidR="00202702" w:rsidRPr="00983884">
        <w:rPr>
          <w:lang w:val="en-US"/>
        </w:rPr>
        <w:t xml:space="preserve">8.2 h) </w:t>
      </w:r>
      <w:r w:rsidRPr="00983884">
        <w:rPr>
          <w:lang w:val="en-US"/>
        </w:rPr>
        <w:t>of the American Convention but also the obligation to adopt domestic law provisions as indicated in Article 2 thereof</w:t>
      </w:r>
      <w:r w:rsidR="00202702" w:rsidRPr="00983884">
        <w:rPr>
          <w:lang w:val="en-US"/>
        </w:rPr>
        <w:t xml:space="preserve">. </w:t>
      </w:r>
    </w:p>
    <w:p w:rsidR="00202702" w:rsidRPr="00983884" w:rsidRDefault="00202702" w:rsidP="0020270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rsidR="00202702" w:rsidRPr="00983884" w:rsidRDefault="00330440" w:rsidP="00202702">
      <w:pPr>
        <w:pStyle w:val="Style2"/>
        <w:numPr>
          <w:ilvl w:val="0"/>
          <w:numId w:val="104"/>
        </w:numPr>
        <w:rPr>
          <w:lang w:val="en-US"/>
        </w:rPr>
      </w:pPr>
      <w:r w:rsidRPr="00983884">
        <w:rPr>
          <w:lang w:val="en-US"/>
        </w:rPr>
        <w:t>Bearing in mind the more general scope of these conclusions, the Commission cannot refrain from referring to the developments that have appeared subsequent to the decisions analyzed in the preceding paragraphs.  In particular, the Commission highlights the judgment issued by the Supreme Court of Justice</w:t>
      </w:r>
      <w:r w:rsidR="00846355">
        <w:rPr>
          <w:lang w:val="en-US"/>
        </w:rPr>
        <w:t xml:space="preserve"> of the Nation</w:t>
      </w:r>
      <w:r w:rsidRPr="00983884">
        <w:rPr>
          <w:lang w:val="en-US"/>
        </w:rPr>
        <w:t xml:space="preserve"> on September 20, 2006, known as the “Casal judgment.”</w:t>
      </w:r>
    </w:p>
    <w:p w:rsidR="00202702" w:rsidRPr="00983884" w:rsidRDefault="00202702" w:rsidP="0020270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rsidR="00202702" w:rsidRPr="00983884" w:rsidRDefault="000E3985" w:rsidP="00202702">
      <w:pPr>
        <w:pStyle w:val="Style2"/>
        <w:numPr>
          <w:ilvl w:val="0"/>
          <w:numId w:val="104"/>
        </w:numPr>
        <w:rPr>
          <w:lang w:val="en-US"/>
        </w:rPr>
      </w:pPr>
      <w:r w:rsidRPr="00983884">
        <w:rPr>
          <w:lang w:val="en-US"/>
        </w:rPr>
        <w:t xml:space="preserve">As indicated in the section on established facts, on the basis of this decision, the Supreme Court of Justice of the Nation reviewed the judicial practice of the courts in Argentina, especially the </w:t>
      </w:r>
      <w:r w:rsidR="00846355">
        <w:rPr>
          <w:lang w:val="en-US"/>
        </w:rPr>
        <w:t xml:space="preserve">Court of </w:t>
      </w:r>
      <w:r w:rsidRPr="00983884">
        <w:rPr>
          <w:lang w:val="en-US"/>
        </w:rPr>
        <w:t>Criminal Cassation Appeal</w:t>
      </w:r>
      <w:r w:rsidR="00846355">
        <w:rPr>
          <w:lang w:val="en-US"/>
        </w:rPr>
        <w:t>s</w:t>
      </w:r>
      <w:r w:rsidRPr="00983884">
        <w:rPr>
          <w:lang w:val="en-US"/>
        </w:rPr>
        <w:t>, regarding the restrictive interpretation of the norms governing the cassation appeal and the resulting denial of said appeal when a request was made to review the issues involving facts or appraisal of evidence. Taking into account the relevant provisions of international human rights law and expressly mentioning Article</w:t>
      </w:r>
      <w:r w:rsidR="00202702" w:rsidRPr="00983884">
        <w:rPr>
          <w:lang w:val="en-US"/>
        </w:rPr>
        <w:t xml:space="preserve"> 8.2 h) </w:t>
      </w:r>
      <w:r w:rsidRPr="00983884">
        <w:rPr>
          <w:lang w:val="en-US"/>
        </w:rPr>
        <w:t>of the American Convention and Article</w:t>
      </w:r>
      <w:r w:rsidR="00202702" w:rsidRPr="00983884">
        <w:rPr>
          <w:lang w:val="en-US"/>
        </w:rPr>
        <w:t xml:space="preserve"> 14.5 </w:t>
      </w:r>
      <w:r w:rsidRPr="00983884">
        <w:rPr>
          <w:lang w:val="en-US"/>
        </w:rPr>
        <w:t>of the International Covenant on Civil and Political Rights, the Supreme Court of Justice of the Nation indicated the need to change this restrictive interpretation for a broader one that would not confine the review to issues of law, but rather would include those issues of fact or appraisal of evidence, with the limitation to what is exclusively reserved to those who have been present as judges in the oral proceedings.</w:t>
      </w:r>
      <w:r w:rsidR="00202702" w:rsidRPr="00983884">
        <w:rPr>
          <w:rStyle w:val="FootnoteReference"/>
          <w:lang w:val="en-US"/>
        </w:rPr>
        <w:footnoteReference w:id="55"/>
      </w:r>
    </w:p>
    <w:p w:rsidR="00202702" w:rsidRPr="00983884" w:rsidRDefault="00202702" w:rsidP="00202702">
      <w:pPr>
        <w:pStyle w:val="ColorfulList-Accent11"/>
        <w:tabs>
          <w:tab w:val="left" w:pos="1429"/>
        </w:tabs>
        <w:rPr>
          <w:spacing w:val="-2"/>
          <w:sz w:val="20"/>
          <w:szCs w:val="20"/>
        </w:rPr>
      </w:pPr>
      <w:r w:rsidRPr="00983884">
        <w:rPr>
          <w:spacing w:val="-2"/>
          <w:sz w:val="20"/>
          <w:szCs w:val="20"/>
        </w:rPr>
        <w:tab/>
      </w:r>
    </w:p>
    <w:p w:rsidR="00202702" w:rsidRPr="00983884" w:rsidRDefault="000E3985" w:rsidP="00202702">
      <w:pPr>
        <w:pStyle w:val="Style2"/>
        <w:numPr>
          <w:ilvl w:val="0"/>
          <w:numId w:val="104"/>
        </w:numPr>
        <w:rPr>
          <w:lang w:val="en-US"/>
        </w:rPr>
      </w:pPr>
      <w:r w:rsidRPr="00983884">
        <w:rPr>
          <w:spacing w:val="-2"/>
          <w:lang w:val="en-US"/>
        </w:rPr>
        <w:t xml:space="preserve">The Commission positively assesses the Casal judgment and views it as a preliminary effort to ensure the compatibility between judicial practices and Argentina’s international </w:t>
      </w:r>
      <w:r w:rsidR="00846355">
        <w:rPr>
          <w:spacing w:val="-2"/>
          <w:lang w:val="en-US"/>
        </w:rPr>
        <w:t xml:space="preserve">human rights </w:t>
      </w:r>
      <w:r w:rsidRPr="00983884">
        <w:rPr>
          <w:spacing w:val="-2"/>
          <w:lang w:val="en-US"/>
        </w:rPr>
        <w:t>obligations. The clarification provided by the Supreme Court of Justice of the Nation is especially relevant, in the sens</w:t>
      </w:r>
      <w:r w:rsidR="00383DDD" w:rsidRPr="00983884">
        <w:rPr>
          <w:spacing w:val="-2"/>
          <w:lang w:val="en-US"/>
        </w:rPr>
        <w:t>e</w:t>
      </w:r>
      <w:r w:rsidRPr="00983884">
        <w:rPr>
          <w:spacing w:val="-2"/>
          <w:lang w:val="en-US"/>
        </w:rPr>
        <w:t xml:space="preserve"> that the distinction between issues of fact and law must not be the determining el</w:t>
      </w:r>
      <w:r w:rsidR="00846355">
        <w:rPr>
          <w:spacing w:val="-2"/>
          <w:lang w:val="en-US"/>
        </w:rPr>
        <w:t>ement for the admissibility of a</w:t>
      </w:r>
      <w:r w:rsidRPr="00983884">
        <w:rPr>
          <w:spacing w:val="-2"/>
          <w:lang w:val="en-US"/>
        </w:rPr>
        <w:t xml:space="preserve"> cassation appeal. The only limitation envisaged in the Casal judgment is the limitation</w:t>
      </w:r>
      <w:r w:rsidR="00383DDD" w:rsidRPr="00983884">
        <w:rPr>
          <w:spacing w:val="-2"/>
          <w:lang w:val="en-US"/>
        </w:rPr>
        <w:t xml:space="preserve"> associated with the evidence that was directly heard by the judge present at the oral proceedings, mainly testimonial evidence.</w:t>
      </w:r>
    </w:p>
    <w:p w:rsidR="00202702" w:rsidRPr="00983884" w:rsidRDefault="00202702" w:rsidP="00202702">
      <w:pPr>
        <w:ind w:firstLine="720"/>
        <w:jc w:val="both"/>
        <w:rPr>
          <w:rFonts w:ascii="Cambria" w:hAnsi="Cambria"/>
          <w:spacing w:val="-2"/>
          <w:sz w:val="20"/>
          <w:szCs w:val="20"/>
        </w:rPr>
      </w:pPr>
    </w:p>
    <w:p w:rsidR="00202702" w:rsidRPr="00983884" w:rsidRDefault="00383DDD" w:rsidP="00202702">
      <w:pPr>
        <w:pStyle w:val="Style2"/>
        <w:numPr>
          <w:ilvl w:val="0"/>
          <w:numId w:val="104"/>
        </w:numPr>
        <w:rPr>
          <w:spacing w:val="-2"/>
          <w:lang w:val="en-US"/>
        </w:rPr>
      </w:pPr>
      <w:r w:rsidRPr="00983884">
        <w:rPr>
          <w:spacing w:val="-2"/>
          <w:lang w:val="en-US"/>
        </w:rPr>
        <w:t xml:space="preserve">Nevertheless, according to available information, on the basis of IACHR’s case system and monitoring work, this judgment has not led </w:t>
      </w:r>
      <w:r w:rsidR="00846355">
        <w:rPr>
          <w:spacing w:val="-2"/>
          <w:lang w:val="en-US"/>
        </w:rPr>
        <w:t>to sufficient changes in order to</w:t>
      </w:r>
      <w:r w:rsidRPr="00983884">
        <w:rPr>
          <w:spacing w:val="-2"/>
          <w:lang w:val="en-US"/>
        </w:rPr>
        <w:t xml:space="preserve"> address the problems highlighted in the present analysis</w:t>
      </w:r>
      <w:r w:rsidR="00202702" w:rsidRPr="00983884">
        <w:rPr>
          <w:spacing w:val="-2"/>
          <w:lang w:val="en-US"/>
        </w:rPr>
        <w:t xml:space="preserve">. </w:t>
      </w:r>
      <w:r w:rsidRPr="00983884">
        <w:rPr>
          <w:spacing w:val="-2"/>
          <w:lang w:val="en-US"/>
        </w:rPr>
        <w:t xml:space="preserve">One of the obstacles encountered by the Commission to conclude that the State has </w:t>
      </w:r>
      <w:r w:rsidR="00F174FD" w:rsidRPr="00983884">
        <w:rPr>
          <w:spacing w:val="-2"/>
          <w:lang w:val="en-US"/>
        </w:rPr>
        <w:t>remedied</w:t>
      </w:r>
      <w:r w:rsidRPr="00983884">
        <w:rPr>
          <w:spacing w:val="-2"/>
          <w:lang w:val="en-US"/>
        </w:rPr>
        <w:t xml:space="preserve"> this problem is the absence of </w:t>
      </w:r>
      <w:r w:rsidR="00F174FD" w:rsidRPr="00983884">
        <w:rPr>
          <w:spacing w:val="-2"/>
          <w:lang w:val="en-US"/>
        </w:rPr>
        <w:t>enforceability of the Casal judgment. The Commission observes that the Supreme Court of Justice of the Nation abstained from declaring that Article 456 of the CPPN—governing the admissibility of cassation appeals and which, as indicated, is almost identical in terms of contents to Article 474 of the CPPM—said judgment constitutes a milestone in terms of interpretation but judges are not legally bound to enforce it.</w:t>
      </w:r>
      <w:r w:rsidR="00202702" w:rsidRPr="00983884">
        <w:rPr>
          <w:rStyle w:val="FootnoteReference"/>
          <w:spacing w:val="-2"/>
          <w:lang w:val="en-US"/>
        </w:rPr>
        <w:footnoteReference w:id="56"/>
      </w:r>
      <w:r w:rsidR="00202702" w:rsidRPr="00983884">
        <w:rPr>
          <w:spacing w:val="-2"/>
          <w:lang w:val="en-US"/>
        </w:rPr>
        <w:t xml:space="preserve"> </w:t>
      </w:r>
      <w:r w:rsidR="00F174FD" w:rsidRPr="00983884">
        <w:rPr>
          <w:spacing w:val="-2"/>
          <w:lang w:val="en-US"/>
        </w:rPr>
        <w:t xml:space="preserve">Even further, the Commission notes that the milestone in terms of interpretation provided by the Casal judgment is not evident </w:t>
      </w:r>
      <w:r w:rsidR="00846355">
        <w:rPr>
          <w:spacing w:val="-2"/>
          <w:lang w:val="en-US"/>
        </w:rPr>
        <w:t>in the standard’s wording</w:t>
      </w:r>
      <w:r w:rsidR="00F174FD" w:rsidRPr="00983884">
        <w:rPr>
          <w:spacing w:val="-2"/>
          <w:lang w:val="en-US"/>
        </w:rPr>
        <w:t>.</w:t>
      </w:r>
    </w:p>
    <w:p w:rsidR="00202702" w:rsidRPr="00983884" w:rsidRDefault="00202702" w:rsidP="00202702">
      <w:pPr>
        <w:ind w:firstLine="720"/>
        <w:jc w:val="both"/>
        <w:rPr>
          <w:rFonts w:ascii="Cambria" w:hAnsi="Cambria"/>
          <w:spacing w:val="-2"/>
          <w:sz w:val="20"/>
          <w:szCs w:val="20"/>
        </w:rPr>
      </w:pPr>
    </w:p>
    <w:p w:rsidR="00202702" w:rsidRPr="00983884" w:rsidRDefault="00F174FD" w:rsidP="00202702">
      <w:pPr>
        <w:pStyle w:val="Style2"/>
        <w:numPr>
          <w:ilvl w:val="0"/>
          <w:numId w:val="104"/>
        </w:numPr>
        <w:rPr>
          <w:spacing w:val="-2"/>
          <w:lang w:val="en-US"/>
        </w:rPr>
      </w:pPr>
      <w:r w:rsidRPr="00983884">
        <w:rPr>
          <w:spacing w:val="-2"/>
          <w:lang w:val="en-US"/>
        </w:rPr>
        <w:t>It should be mentioned that, in 2010, the Human Rights Committee of the CCPR referred to the persistence of problems that prevent a substantive review of the judgments of conviction in Argentina. According to the above-mentioned Committee</w:t>
      </w:r>
      <w:r w:rsidR="00202702" w:rsidRPr="00983884">
        <w:rPr>
          <w:spacing w:val="-2"/>
          <w:lang w:val="en-US"/>
        </w:rPr>
        <w:t>:</w:t>
      </w:r>
    </w:p>
    <w:p w:rsidR="00202702" w:rsidRPr="00983884" w:rsidRDefault="00202702" w:rsidP="00202702">
      <w:pPr>
        <w:ind w:firstLine="720"/>
        <w:jc w:val="both"/>
        <w:rPr>
          <w:rFonts w:ascii="Cambria" w:hAnsi="Cambria"/>
          <w:spacing w:val="-2"/>
          <w:sz w:val="20"/>
          <w:szCs w:val="20"/>
        </w:rPr>
      </w:pPr>
    </w:p>
    <w:p w:rsidR="00202702" w:rsidRPr="00983884" w:rsidRDefault="00A71473" w:rsidP="00520E1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Cambria" w:hAnsi="Cambria"/>
          <w:spacing w:val="-2"/>
          <w:sz w:val="20"/>
          <w:szCs w:val="20"/>
        </w:rPr>
      </w:pPr>
      <w:r w:rsidRPr="00983884">
        <w:rPr>
          <w:rFonts w:ascii="Cambria" w:hAnsi="Cambria" w:cs="Times-Roman"/>
          <w:sz w:val="20"/>
          <w:szCs w:val="20"/>
          <w:lang w:bidi="en-US"/>
        </w:rPr>
        <w:t>The Committee notes with concern the absence of procedural law and practice that would guarantee the effective implementation of the right set out in article 14, paragraph 5, of the Covenant throughout the country (article 14 of the Covenant). The State party should take the necessary and effective measures to guarantee the right of every person who is convicted of a crime to have the conviction and sentence reviewed by a higher tribunal. In this connection, the Committee recalls its general comment No. 32 on the right to equality before courts and tribunals and to a fair trial, which emphasizes, in paragraph 48, the need to review substantively the conviction and sentence.</w:t>
      </w:r>
      <w:r w:rsidR="00202702" w:rsidRPr="00983884">
        <w:rPr>
          <w:rStyle w:val="FootnoteReference"/>
          <w:rFonts w:ascii="Cambria" w:hAnsi="Cambria"/>
          <w:sz w:val="20"/>
          <w:szCs w:val="20"/>
          <w:lang w:bidi="en-US"/>
        </w:rPr>
        <w:footnoteReference w:id="57"/>
      </w:r>
    </w:p>
    <w:p w:rsidR="00202702" w:rsidRPr="00983884" w:rsidRDefault="00202702" w:rsidP="00202702">
      <w:pPr>
        <w:jc w:val="both"/>
        <w:rPr>
          <w:rFonts w:ascii="Cambria" w:hAnsi="Cambria"/>
          <w:spacing w:val="-2"/>
          <w:sz w:val="20"/>
          <w:szCs w:val="20"/>
        </w:rPr>
      </w:pPr>
    </w:p>
    <w:p w:rsidR="00202702" w:rsidRPr="00983884" w:rsidRDefault="00F174FD" w:rsidP="00202702">
      <w:pPr>
        <w:pStyle w:val="Style2"/>
        <w:numPr>
          <w:ilvl w:val="0"/>
          <w:numId w:val="104"/>
        </w:numPr>
        <w:rPr>
          <w:spacing w:val="-2"/>
          <w:lang w:val="en-US"/>
        </w:rPr>
      </w:pPr>
      <w:r w:rsidRPr="00983884">
        <w:rPr>
          <w:spacing w:val="-2"/>
          <w:lang w:val="en-US"/>
        </w:rPr>
        <w:t>Afterwards, in 2013, the Inter-American Court issue</w:t>
      </w:r>
      <w:r w:rsidR="00846355">
        <w:rPr>
          <w:spacing w:val="-2"/>
          <w:lang w:val="en-US"/>
        </w:rPr>
        <w:t>d</w:t>
      </w:r>
      <w:r w:rsidRPr="00983884">
        <w:rPr>
          <w:spacing w:val="-2"/>
          <w:lang w:val="en-US"/>
        </w:rPr>
        <w:t xml:space="preserve"> its judgment in the case of </w:t>
      </w:r>
      <w:r w:rsidR="00202702" w:rsidRPr="00983884">
        <w:rPr>
          <w:i/>
          <w:spacing w:val="-2"/>
          <w:lang w:val="en-US"/>
        </w:rPr>
        <w:t xml:space="preserve">Mendoza </w:t>
      </w:r>
      <w:r w:rsidR="00846355">
        <w:rPr>
          <w:i/>
          <w:spacing w:val="-2"/>
          <w:lang w:val="en-US"/>
        </w:rPr>
        <w:t>et al.</w:t>
      </w:r>
      <w:r w:rsidR="00202702" w:rsidRPr="00983884">
        <w:rPr>
          <w:i/>
          <w:spacing w:val="-2"/>
          <w:lang w:val="en-US"/>
        </w:rPr>
        <w:t xml:space="preserve">, </w:t>
      </w:r>
      <w:r w:rsidRPr="00983884">
        <w:rPr>
          <w:spacing w:val="-2"/>
          <w:lang w:val="en-US"/>
        </w:rPr>
        <w:t>adopting the same stance as the IACHR regarding the Casal judgment. With respect to this, it pointed out that</w:t>
      </w:r>
      <w:r w:rsidR="0086070C" w:rsidRPr="00983884">
        <w:rPr>
          <w:spacing w:val="-2"/>
          <w:lang w:val="en-US"/>
        </w:rPr>
        <w:t xml:space="preserve"> it “a</w:t>
      </w:r>
      <w:r w:rsidR="0086070C" w:rsidRPr="00983884">
        <w:rPr>
          <w:lang w:val="en-US"/>
        </w:rPr>
        <w:t>ssesses positively the Casal judgment […] with regard to the criteria it reveals with regard to the scope of the right to appeal the judgment before a higher judge or court.</w:t>
      </w:r>
      <w:r w:rsidR="00202702" w:rsidRPr="00983884">
        <w:rPr>
          <w:spacing w:val="-2"/>
          <w:lang w:val="en-US"/>
        </w:rPr>
        <w:t xml:space="preserve">” </w:t>
      </w:r>
      <w:r w:rsidR="0086070C" w:rsidRPr="00983884">
        <w:rPr>
          <w:spacing w:val="-2"/>
          <w:lang w:val="en-US"/>
        </w:rPr>
        <w:t>The Court considered</w:t>
      </w:r>
      <w:r w:rsidR="00202702" w:rsidRPr="00983884">
        <w:rPr>
          <w:spacing w:val="-2"/>
          <w:lang w:val="en-US"/>
        </w:rPr>
        <w:t xml:space="preserve"> “</w:t>
      </w:r>
      <w:r w:rsidR="0086070C" w:rsidRPr="00983884">
        <w:rPr>
          <w:lang w:val="en-US"/>
        </w:rPr>
        <w:t>that judges in Argentina must continue exercising control of conformity with the Convention in order to ensure the right to appeal a judgment pursuant to Article 8(2)(h) of the American Convention.</w:t>
      </w:r>
      <w:r w:rsidR="0086070C" w:rsidRPr="00983884">
        <w:rPr>
          <w:spacing w:val="-2"/>
          <w:lang w:val="en-US"/>
        </w:rPr>
        <w:t xml:space="preserve">” Without detriment to the above, it </w:t>
      </w:r>
      <w:r w:rsidR="00A239E7">
        <w:rPr>
          <w:spacing w:val="-2"/>
          <w:lang w:val="en-US"/>
        </w:rPr>
        <w:t>instructed</w:t>
      </w:r>
      <w:r w:rsidR="0086070C" w:rsidRPr="00983884">
        <w:rPr>
          <w:spacing w:val="-2"/>
          <w:lang w:val="en-US"/>
        </w:rPr>
        <w:t xml:space="preserve">, as a reparation measure, </w:t>
      </w:r>
      <w:r w:rsidR="00A239E7">
        <w:rPr>
          <w:lang w:val="en-US"/>
        </w:rPr>
        <w:t>the State to</w:t>
      </w:r>
      <w:r w:rsidR="0086070C" w:rsidRPr="00983884">
        <w:rPr>
          <w:lang w:val="en-US"/>
        </w:rPr>
        <w:t xml:space="preserve"> adapt its domestic laws to the parameters of the present court’s case law</w:t>
      </w:r>
      <w:r w:rsidR="00A239E7">
        <w:rPr>
          <w:lang w:val="en-US"/>
        </w:rPr>
        <w:t xml:space="preserve"> </w:t>
      </w:r>
      <w:r w:rsidR="0086070C" w:rsidRPr="00983884">
        <w:rPr>
          <w:lang w:val="en-US"/>
        </w:rPr>
        <w:t>on the right to appeal the judgment before a judge or higher court</w:t>
      </w:r>
      <w:r w:rsidR="00202702" w:rsidRPr="00983884">
        <w:rPr>
          <w:spacing w:val="-2"/>
          <w:lang w:val="en-US"/>
        </w:rPr>
        <w:t>.</w:t>
      </w:r>
    </w:p>
    <w:p w:rsidR="00202702" w:rsidRPr="00983884" w:rsidRDefault="00202702" w:rsidP="00202702">
      <w:pPr>
        <w:pStyle w:val="Style2"/>
        <w:numPr>
          <w:ilvl w:val="0"/>
          <w:numId w:val="0"/>
        </w:numPr>
        <w:ind w:left="720"/>
        <w:rPr>
          <w:spacing w:val="-2"/>
          <w:lang w:val="en-US"/>
        </w:rPr>
      </w:pPr>
    </w:p>
    <w:p w:rsidR="00202702" w:rsidRPr="00983884" w:rsidRDefault="00202702" w:rsidP="00202702">
      <w:pPr>
        <w:pStyle w:val="Style2"/>
        <w:numPr>
          <w:ilvl w:val="0"/>
          <w:numId w:val="104"/>
        </w:numPr>
        <w:rPr>
          <w:spacing w:val="-2"/>
          <w:lang w:val="en-US"/>
        </w:rPr>
      </w:pPr>
      <w:r w:rsidRPr="00983884">
        <w:rPr>
          <w:spacing w:val="-2"/>
          <w:lang w:val="en-US"/>
        </w:rPr>
        <w:t>A</w:t>
      </w:r>
      <w:r w:rsidR="00CF3B87" w:rsidRPr="00983884">
        <w:rPr>
          <w:spacing w:val="-2"/>
          <w:lang w:val="en-US"/>
        </w:rPr>
        <w:t xml:space="preserve">lthough the Inter-American Court called upon judicial authorities to monitor the enforcement of conventions regarding this, and in any case considered it was necessary </w:t>
      </w:r>
      <w:r w:rsidR="00A239E7">
        <w:rPr>
          <w:spacing w:val="-2"/>
          <w:lang w:val="en-US"/>
        </w:rPr>
        <w:t xml:space="preserve">to </w:t>
      </w:r>
      <w:r w:rsidR="00CF3B87" w:rsidRPr="00983884">
        <w:rPr>
          <w:spacing w:val="-2"/>
          <w:lang w:val="en-US"/>
        </w:rPr>
        <w:t>order, in the light of Article 2 of the Convention, a</w:t>
      </w:r>
      <w:r w:rsidR="00A239E7">
        <w:rPr>
          <w:spacing w:val="-2"/>
          <w:lang w:val="en-US"/>
        </w:rPr>
        <w:t>n a</w:t>
      </w:r>
      <w:r w:rsidR="00CF3B87" w:rsidRPr="00983884">
        <w:rPr>
          <w:spacing w:val="-2"/>
          <w:lang w:val="en-US"/>
        </w:rPr>
        <w:t>daptation of the legal regulatory framework in line with the parameters of the judgment.</w:t>
      </w:r>
    </w:p>
    <w:p w:rsidR="00202702" w:rsidRPr="00983884" w:rsidRDefault="00202702" w:rsidP="00202702">
      <w:pPr>
        <w:pStyle w:val="Style2"/>
        <w:numPr>
          <w:ilvl w:val="0"/>
          <w:numId w:val="0"/>
        </w:numPr>
        <w:ind w:left="720"/>
        <w:rPr>
          <w:spacing w:val="-2"/>
          <w:lang w:val="en-US"/>
        </w:rPr>
      </w:pPr>
    </w:p>
    <w:p w:rsidR="00202702" w:rsidRPr="00983884" w:rsidRDefault="00520E1A" w:rsidP="00202702">
      <w:pPr>
        <w:pStyle w:val="Heading1"/>
        <w:rPr>
          <w:i/>
        </w:rPr>
      </w:pPr>
      <w:bookmarkStart w:id="43" w:name="_Toc477355364"/>
      <w:bookmarkStart w:id="44" w:name="_Toc480897210"/>
      <w:bookmarkStart w:id="45" w:name="_Toc484439869"/>
      <w:bookmarkStart w:id="46" w:name="_Toc490826176"/>
      <w:bookmarkStart w:id="47" w:name="_Toc365193991"/>
      <w:r>
        <w:br w:type="page"/>
      </w:r>
      <w:r w:rsidR="00202702" w:rsidRPr="00983884">
        <w:t>CONCLUSIONS</w:t>
      </w:r>
      <w:bookmarkEnd w:id="43"/>
      <w:bookmarkEnd w:id="44"/>
      <w:bookmarkEnd w:id="45"/>
      <w:r w:rsidR="00202702" w:rsidRPr="00983884">
        <w:t xml:space="preserve"> </w:t>
      </w:r>
      <w:r w:rsidR="0086070C" w:rsidRPr="00983884">
        <w:t>AND RECOMMENDATIONS</w:t>
      </w:r>
      <w:bookmarkEnd w:id="46"/>
      <w:bookmarkEnd w:id="47"/>
    </w:p>
    <w:p w:rsidR="00202702" w:rsidRPr="00983884" w:rsidRDefault="00202702" w:rsidP="00202702">
      <w:pPr>
        <w:ind w:left="720"/>
        <w:jc w:val="both"/>
        <w:rPr>
          <w:rFonts w:ascii="Cambria" w:eastAsia="Times New Roman" w:hAnsi="Cambria"/>
          <w:sz w:val="20"/>
          <w:szCs w:val="20"/>
        </w:rPr>
      </w:pPr>
    </w:p>
    <w:p w:rsidR="00202702" w:rsidRPr="00983884" w:rsidRDefault="00CF3B87" w:rsidP="00202702">
      <w:pPr>
        <w:pStyle w:val="Style2"/>
        <w:numPr>
          <w:ilvl w:val="0"/>
          <w:numId w:val="104"/>
        </w:numPr>
        <w:rPr>
          <w:lang w:val="en-US"/>
        </w:rPr>
      </w:pPr>
      <w:r w:rsidRPr="00983884">
        <w:rPr>
          <w:lang w:val="en-US"/>
        </w:rPr>
        <w:t xml:space="preserve">The </w:t>
      </w:r>
      <w:r w:rsidR="00A239E7">
        <w:rPr>
          <w:lang w:val="en-US"/>
        </w:rPr>
        <w:t>C</w:t>
      </w:r>
      <w:r w:rsidRPr="00983884">
        <w:rPr>
          <w:lang w:val="en-US"/>
        </w:rPr>
        <w:t>ommission concludes that</w:t>
      </w:r>
      <w:r w:rsidR="00A239E7">
        <w:rPr>
          <w:lang w:val="en-US"/>
        </w:rPr>
        <w:t xml:space="preserve"> the </w:t>
      </w:r>
      <w:r w:rsidR="006A7766">
        <w:rPr>
          <w:lang w:val="en-US"/>
        </w:rPr>
        <w:t>State of Argentina</w:t>
      </w:r>
      <w:r w:rsidR="00A239E7">
        <w:rPr>
          <w:lang w:val="en-US"/>
        </w:rPr>
        <w:t xml:space="preserve"> is responsi</w:t>
      </w:r>
      <w:r w:rsidRPr="00983884">
        <w:rPr>
          <w:lang w:val="en-US"/>
        </w:rPr>
        <w:t>ble for violating the rights to appeal the judgment and to judicial protection as enshrined in Article 8.2 h) and Article</w:t>
      </w:r>
      <w:r w:rsidR="00202702" w:rsidRPr="00983884">
        <w:rPr>
          <w:lang w:val="en-US"/>
        </w:rPr>
        <w:t xml:space="preserve"> 25.1 </w:t>
      </w:r>
      <w:r w:rsidRPr="00983884">
        <w:rPr>
          <w:lang w:val="en-US"/>
        </w:rPr>
        <w:t>of the American Convention in connection with the obligations set forth in Articles 1.1 and 2 thereof, to the detriment of Oscar</w:t>
      </w:r>
      <w:r w:rsidR="00202702" w:rsidRPr="00983884">
        <w:rPr>
          <w:lang w:val="en-US"/>
        </w:rPr>
        <w:t xml:space="preserve"> Raúl Gorigoitia. </w:t>
      </w:r>
    </w:p>
    <w:p w:rsidR="00202702" w:rsidRPr="00983884" w:rsidRDefault="00202702" w:rsidP="00202702">
      <w:pPr>
        <w:ind w:left="720"/>
        <w:jc w:val="both"/>
        <w:rPr>
          <w:rFonts w:ascii="Cambria" w:eastAsia="Times New Roman" w:hAnsi="Cambria"/>
          <w:sz w:val="20"/>
          <w:szCs w:val="20"/>
        </w:rPr>
      </w:pPr>
    </w:p>
    <w:p w:rsidR="00202702" w:rsidRPr="00983884" w:rsidRDefault="00CF3B87" w:rsidP="00202702">
      <w:pPr>
        <w:pStyle w:val="Style2"/>
        <w:numPr>
          <w:ilvl w:val="0"/>
          <w:numId w:val="104"/>
        </w:numPr>
        <w:rPr>
          <w:rFonts w:eastAsia="Times New Roman"/>
          <w:lang w:val="en-US"/>
        </w:rPr>
      </w:pPr>
      <w:r w:rsidRPr="00983884">
        <w:rPr>
          <w:lang w:val="en-US"/>
        </w:rPr>
        <w:t>By virtue of the conclusions above</w:t>
      </w:r>
      <w:r w:rsidR="00202702" w:rsidRPr="00983884">
        <w:rPr>
          <w:lang w:val="en-US"/>
        </w:rPr>
        <w:t>,</w:t>
      </w:r>
    </w:p>
    <w:p w:rsidR="00202702" w:rsidRPr="00983884" w:rsidRDefault="00202702" w:rsidP="0020270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Times New Roman" w:hAnsi="Cambria"/>
          <w:sz w:val="20"/>
          <w:szCs w:val="20"/>
          <w:lang w:eastAsia="es-ES"/>
        </w:rPr>
      </w:pPr>
    </w:p>
    <w:p w:rsidR="00202702" w:rsidRPr="00983884" w:rsidRDefault="00CF3B87" w:rsidP="00202702">
      <w:pPr>
        <w:jc w:val="center"/>
        <w:rPr>
          <w:rFonts w:ascii="Cambria" w:hAnsi="Cambria"/>
          <w:b/>
          <w:sz w:val="20"/>
          <w:szCs w:val="20"/>
        </w:rPr>
      </w:pPr>
      <w:r w:rsidRPr="00983884">
        <w:rPr>
          <w:rFonts w:ascii="Cambria" w:hAnsi="Cambria"/>
          <w:b/>
          <w:sz w:val="20"/>
          <w:szCs w:val="20"/>
        </w:rPr>
        <w:t>THE INTER-AMERICAN COMMISSION ON HUMAN RIGHTS</w:t>
      </w:r>
    </w:p>
    <w:p w:rsidR="00202702" w:rsidRPr="00983884" w:rsidRDefault="00CF3B87" w:rsidP="00202702">
      <w:pPr>
        <w:jc w:val="center"/>
        <w:rPr>
          <w:rFonts w:ascii="Cambria" w:hAnsi="Cambria"/>
          <w:b/>
          <w:sz w:val="20"/>
          <w:szCs w:val="20"/>
        </w:rPr>
      </w:pPr>
      <w:r w:rsidRPr="00983884">
        <w:rPr>
          <w:rFonts w:ascii="Cambria" w:hAnsi="Cambria"/>
          <w:b/>
          <w:sz w:val="20"/>
          <w:szCs w:val="20"/>
        </w:rPr>
        <w:t xml:space="preserve">RECOMMENDS THAT THE </w:t>
      </w:r>
      <w:r w:rsidR="00A239E7">
        <w:rPr>
          <w:rFonts w:ascii="Cambria" w:hAnsi="Cambria"/>
          <w:b/>
          <w:sz w:val="20"/>
          <w:szCs w:val="20"/>
        </w:rPr>
        <w:t>STATE OF ARGENTINA</w:t>
      </w:r>
    </w:p>
    <w:p w:rsidR="00202702" w:rsidRPr="00983884" w:rsidRDefault="00202702" w:rsidP="0020270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highlight w:val="yellow"/>
        </w:rPr>
      </w:pPr>
    </w:p>
    <w:p w:rsidR="00202702" w:rsidRPr="00983884" w:rsidRDefault="00CF3B87" w:rsidP="00202702">
      <w:pPr>
        <w:pStyle w:val="BodyTextIndent3"/>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990"/>
          <w:tab w:val="num" w:pos="0"/>
        </w:tabs>
        <w:spacing w:after="0"/>
        <w:ind w:left="0" w:firstLine="720"/>
        <w:jc w:val="both"/>
        <w:rPr>
          <w:rFonts w:ascii="Cambria" w:hAnsi="Cambria"/>
          <w:spacing w:val="-2"/>
          <w:sz w:val="20"/>
          <w:szCs w:val="20"/>
        </w:rPr>
      </w:pPr>
      <w:r w:rsidRPr="00983884">
        <w:rPr>
          <w:rFonts w:ascii="Cambria" w:hAnsi="Cambria"/>
          <w:spacing w:val="-2"/>
          <w:sz w:val="20"/>
          <w:szCs w:val="20"/>
        </w:rPr>
        <w:t xml:space="preserve">Order the measures needed for Mr. Gorigoitia, if he wishes, to file an appeal whereby he can obtain a broad review of the judgment of conviction, </w:t>
      </w:r>
      <w:r w:rsidR="00A239E7">
        <w:rPr>
          <w:rFonts w:ascii="Cambria" w:hAnsi="Cambria"/>
          <w:spacing w:val="-2"/>
          <w:sz w:val="20"/>
          <w:szCs w:val="20"/>
        </w:rPr>
        <w:t>pursuant to</w:t>
      </w:r>
      <w:r w:rsidRPr="00983884">
        <w:rPr>
          <w:rFonts w:ascii="Cambria" w:hAnsi="Cambria"/>
          <w:spacing w:val="-2"/>
          <w:sz w:val="20"/>
          <w:szCs w:val="20"/>
        </w:rPr>
        <w:t xml:space="preserve"> Article 8.2 h) of the American Convention</w:t>
      </w:r>
      <w:r w:rsidR="00202702" w:rsidRPr="00983884">
        <w:rPr>
          <w:rFonts w:ascii="Cambria" w:hAnsi="Cambria"/>
          <w:spacing w:val="-2"/>
          <w:sz w:val="20"/>
          <w:szCs w:val="20"/>
        </w:rPr>
        <w:t xml:space="preserve">. </w:t>
      </w:r>
    </w:p>
    <w:p w:rsidR="00202702" w:rsidRPr="00983884" w:rsidRDefault="00202702" w:rsidP="00202702">
      <w:pPr>
        <w:pStyle w:val="BodyTextIndent3"/>
        <w:pBdr>
          <w:top w:val="none" w:sz="0" w:space="0" w:color="auto"/>
          <w:left w:val="none" w:sz="0" w:space="0" w:color="auto"/>
          <w:bottom w:val="none" w:sz="0" w:space="0" w:color="auto"/>
          <w:right w:val="none" w:sz="0" w:space="0" w:color="auto"/>
          <w:between w:val="none" w:sz="0" w:space="0" w:color="auto"/>
          <w:bar w:val="none" w:sz="0" w:color="auto"/>
        </w:pBdr>
        <w:spacing w:after="0"/>
        <w:ind w:left="720"/>
        <w:jc w:val="both"/>
        <w:rPr>
          <w:rFonts w:ascii="Cambria" w:hAnsi="Cambria"/>
          <w:spacing w:val="-2"/>
          <w:sz w:val="20"/>
          <w:szCs w:val="20"/>
        </w:rPr>
      </w:pPr>
    </w:p>
    <w:p w:rsidR="00202702" w:rsidRPr="00983884" w:rsidRDefault="00497B63" w:rsidP="00202702">
      <w:pPr>
        <w:pStyle w:val="BodyTextIndent3"/>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990"/>
          <w:tab w:val="num" w:pos="0"/>
        </w:tabs>
        <w:spacing w:after="0"/>
        <w:ind w:left="0" w:firstLine="720"/>
        <w:jc w:val="both"/>
        <w:rPr>
          <w:rFonts w:ascii="Cambria" w:hAnsi="Cambria"/>
          <w:spacing w:val="-2"/>
          <w:sz w:val="20"/>
          <w:szCs w:val="20"/>
        </w:rPr>
      </w:pPr>
      <w:r w:rsidRPr="00983884">
        <w:rPr>
          <w:rFonts w:ascii="Cambria" w:hAnsi="Cambria"/>
          <w:spacing w:val="-2"/>
          <w:sz w:val="20"/>
          <w:szCs w:val="20"/>
        </w:rPr>
        <w:t>Provide comprehensive reparations for the violations declared in the present report, including tangible or intangible damages</w:t>
      </w:r>
      <w:r w:rsidR="00202702" w:rsidRPr="00983884">
        <w:rPr>
          <w:rFonts w:ascii="Cambria" w:hAnsi="Cambria"/>
          <w:spacing w:val="-2"/>
          <w:sz w:val="20"/>
          <w:szCs w:val="20"/>
        </w:rPr>
        <w:t>.</w:t>
      </w:r>
    </w:p>
    <w:p w:rsidR="00202702" w:rsidRPr="00983884" w:rsidRDefault="00202702" w:rsidP="00202702">
      <w:pPr>
        <w:pStyle w:val="BodyTextIndent3"/>
        <w:pBdr>
          <w:top w:val="none" w:sz="0" w:space="0" w:color="auto"/>
          <w:left w:val="none" w:sz="0" w:space="0" w:color="auto"/>
          <w:bottom w:val="none" w:sz="0" w:space="0" w:color="auto"/>
          <w:right w:val="none" w:sz="0" w:space="0" w:color="auto"/>
          <w:between w:val="none" w:sz="0" w:space="0" w:color="auto"/>
          <w:bar w:val="none" w:sz="0" w:color="auto"/>
        </w:pBdr>
        <w:spacing w:after="0"/>
        <w:ind w:left="0"/>
        <w:jc w:val="both"/>
        <w:rPr>
          <w:rFonts w:ascii="Cambria" w:hAnsi="Cambria"/>
          <w:spacing w:val="-2"/>
          <w:sz w:val="20"/>
          <w:szCs w:val="20"/>
        </w:rPr>
      </w:pPr>
    </w:p>
    <w:p w:rsidR="00202702" w:rsidRPr="00983884" w:rsidRDefault="00497B63" w:rsidP="00202702">
      <w:pPr>
        <w:pStyle w:val="BodyTextIndent3"/>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990"/>
          <w:tab w:val="num" w:pos="0"/>
        </w:tabs>
        <w:spacing w:after="0"/>
        <w:ind w:left="0" w:firstLine="720"/>
        <w:jc w:val="both"/>
        <w:rPr>
          <w:rFonts w:ascii="Cambria" w:hAnsi="Cambria"/>
          <w:spacing w:val="-2"/>
          <w:sz w:val="20"/>
          <w:szCs w:val="20"/>
        </w:rPr>
      </w:pPr>
      <w:r w:rsidRPr="00983884">
        <w:rPr>
          <w:rFonts w:ascii="Cambria" w:hAnsi="Cambria"/>
          <w:spacing w:val="-2"/>
          <w:sz w:val="20"/>
          <w:szCs w:val="20"/>
        </w:rPr>
        <w:t>Order the legislative measures needed to adjust domestic law regarding cassation appeal</w:t>
      </w:r>
      <w:r w:rsidR="00A239E7">
        <w:rPr>
          <w:rFonts w:ascii="Cambria" w:hAnsi="Cambria"/>
          <w:spacing w:val="-2"/>
          <w:sz w:val="20"/>
          <w:szCs w:val="20"/>
        </w:rPr>
        <w:t>s</w:t>
      </w:r>
      <w:r w:rsidRPr="00983884">
        <w:rPr>
          <w:rFonts w:ascii="Cambria" w:hAnsi="Cambria"/>
          <w:spacing w:val="-2"/>
          <w:sz w:val="20"/>
          <w:szCs w:val="20"/>
        </w:rPr>
        <w:t xml:space="preserve"> to the standards set forth in the present report on the right enshrined in Article</w:t>
      </w:r>
      <w:r w:rsidR="00202702" w:rsidRPr="00983884">
        <w:rPr>
          <w:rFonts w:ascii="Cambria" w:hAnsi="Cambria"/>
          <w:spacing w:val="-2"/>
          <w:sz w:val="20"/>
          <w:szCs w:val="20"/>
        </w:rPr>
        <w:t xml:space="preserve"> 8.2 h) </w:t>
      </w:r>
      <w:r w:rsidRPr="00983884">
        <w:rPr>
          <w:rFonts w:ascii="Cambria" w:hAnsi="Cambria"/>
          <w:spacing w:val="-2"/>
          <w:sz w:val="20"/>
          <w:szCs w:val="20"/>
        </w:rPr>
        <w:t>of the American Convention. Furthermore, apart from the adjustment of the regulatory framework, ensure that judicial authorities exercise control over the enforcement of conventions when ruling on appeals against judgments of conviction in line with the standards set forth in the present report</w:t>
      </w:r>
      <w:r w:rsidR="00202702" w:rsidRPr="00983884">
        <w:rPr>
          <w:rFonts w:ascii="Cambria" w:hAnsi="Cambria"/>
          <w:spacing w:val="-2"/>
          <w:sz w:val="20"/>
          <w:szCs w:val="20"/>
        </w:rPr>
        <w:t xml:space="preserve">. </w:t>
      </w:r>
    </w:p>
    <w:p w:rsidR="00202702" w:rsidRPr="00983884" w:rsidRDefault="00202702" w:rsidP="00202702">
      <w:pPr>
        <w:pStyle w:val="BodyTextIndent3"/>
        <w:pBdr>
          <w:top w:val="none" w:sz="0" w:space="0" w:color="auto"/>
          <w:left w:val="none" w:sz="0" w:space="0" w:color="auto"/>
          <w:bottom w:val="none" w:sz="0" w:space="0" w:color="auto"/>
          <w:right w:val="none" w:sz="0" w:space="0" w:color="auto"/>
          <w:between w:val="none" w:sz="0" w:space="0" w:color="auto"/>
          <w:bar w:val="none" w:sz="0" w:color="auto"/>
        </w:pBdr>
        <w:spacing w:after="0"/>
        <w:ind w:left="720"/>
        <w:jc w:val="both"/>
        <w:rPr>
          <w:rFonts w:ascii="Cambria" w:hAnsi="Cambria"/>
          <w:spacing w:val="-2"/>
          <w:sz w:val="20"/>
          <w:szCs w:val="20"/>
        </w:rPr>
      </w:pPr>
    </w:p>
    <w:sectPr w:rsidR="00202702" w:rsidRPr="00983884" w:rsidSect="00520E1A">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B35" w:rsidRDefault="00054B35" w:rsidP="00036A8A">
      <w:r>
        <w:separator/>
      </w:r>
    </w:p>
  </w:endnote>
  <w:endnote w:type="continuationSeparator" w:id="0">
    <w:p w:rsidR="00054B35" w:rsidRDefault="00054B35"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MT">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246" w:rsidRPr="006311DA" w:rsidRDefault="00730246">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Pr>
        <w:noProof/>
        <w:sz w:val="16"/>
      </w:rPr>
      <w:t>2</w:t>
    </w:r>
    <w:r w:rsidRPr="006311DA">
      <w:rPr>
        <w:noProof/>
        <w:sz w:val="16"/>
      </w:rPr>
      <w:fldChar w:fldCharType="end"/>
    </w:r>
  </w:p>
  <w:p w:rsidR="00730246" w:rsidRDefault="007302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246" w:rsidRDefault="00730246">
    <w:pPr>
      <w:pStyle w:val="Footer"/>
      <w:jc w:val="center"/>
    </w:pPr>
  </w:p>
  <w:p w:rsidR="00730246" w:rsidRDefault="007302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246" w:rsidRPr="00934A2C" w:rsidRDefault="0073024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22654">
      <w:rPr>
        <w:noProof/>
        <w:sz w:val="16"/>
        <w:szCs w:val="22"/>
      </w:rPr>
      <w:t>16</w:t>
    </w:r>
    <w:r w:rsidRPr="00934A2C">
      <w:rPr>
        <w:noProof/>
        <w:sz w:val="16"/>
        <w:szCs w:val="22"/>
      </w:rPr>
      <w:fldChar w:fldCharType="end"/>
    </w:r>
  </w:p>
  <w:p w:rsidR="00730246" w:rsidRDefault="0073024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246" w:rsidRPr="00934A2C" w:rsidRDefault="00730246">
    <w:pPr>
      <w:pStyle w:val="Footer"/>
      <w:jc w:val="center"/>
      <w:rPr>
        <w:sz w:val="16"/>
        <w:szCs w:val="22"/>
      </w:rPr>
    </w:pPr>
  </w:p>
  <w:p w:rsidR="00730246" w:rsidRDefault="007302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B35" w:rsidRPr="00BC74F3" w:rsidRDefault="00054B35" w:rsidP="00036A8A">
      <w:pPr>
        <w:rPr>
          <w:rFonts w:ascii="Cambria" w:hAnsi="Cambria"/>
          <w:sz w:val="16"/>
          <w:szCs w:val="16"/>
        </w:rPr>
      </w:pPr>
      <w:r w:rsidRPr="00BC74F3">
        <w:rPr>
          <w:rFonts w:ascii="Cambria" w:hAnsi="Cambria"/>
          <w:sz w:val="16"/>
          <w:szCs w:val="16"/>
        </w:rPr>
        <w:separator/>
      </w:r>
    </w:p>
  </w:footnote>
  <w:footnote w:type="continuationSeparator" w:id="0">
    <w:p w:rsidR="00054B35" w:rsidRPr="00BC74F3" w:rsidRDefault="00054B35" w:rsidP="00036A8A">
      <w:pPr>
        <w:rPr>
          <w:rFonts w:ascii="Cambria" w:hAnsi="Cambria"/>
          <w:sz w:val="16"/>
          <w:szCs w:val="16"/>
        </w:rPr>
      </w:pPr>
      <w:r w:rsidRPr="00BC74F3">
        <w:rPr>
          <w:rFonts w:ascii="Cambria" w:hAnsi="Cambria"/>
          <w:sz w:val="16"/>
          <w:szCs w:val="16"/>
        </w:rPr>
        <w:separator/>
      </w:r>
    </w:p>
    <w:p w:rsidR="00054B35" w:rsidRPr="00BC74F3" w:rsidRDefault="00054B35" w:rsidP="00036A8A">
      <w:pPr>
        <w:pStyle w:val="Footer"/>
        <w:rPr>
          <w:sz w:val="16"/>
          <w:szCs w:val="16"/>
        </w:rPr>
      </w:pPr>
      <w:r w:rsidRPr="00BC74F3">
        <w:rPr>
          <w:sz w:val="16"/>
          <w:szCs w:val="16"/>
        </w:rPr>
        <w:t>[… continuation]</w:t>
      </w:r>
    </w:p>
  </w:footnote>
  <w:footnote w:type="continuationNotice" w:id="1">
    <w:p w:rsidR="00054B35" w:rsidRPr="00BC74F3" w:rsidRDefault="00054B35" w:rsidP="005B222D">
      <w:pPr>
        <w:jc w:val="right"/>
        <w:rPr>
          <w:rFonts w:ascii="Cambria" w:hAnsi="Cambria"/>
          <w:sz w:val="16"/>
          <w:szCs w:val="16"/>
          <w:lang w:val="es-ES_tradnl"/>
        </w:rPr>
      </w:pPr>
      <w:r w:rsidRPr="00BC74F3">
        <w:rPr>
          <w:rFonts w:ascii="Cambria" w:hAnsi="Cambria"/>
          <w:sz w:val="16"/>
          <w:szCs w:val="16"/>
        </w:rPr>
        <w:t>[continues …]</w:t>
      </w:r>
    </w:p>
  </w:footnote>
  <w:footnote w:id="2">
    <w:p w:rsidR="00730246" w:rsidRPr="007564EF" w:rsidRDefault="00730246" w:rsidP="00520E1A">
      <w:pPr>
        <w:pStyle w:val="FootnoteText"/>
        <w:spacing w:after="120"/>
        <w:ind w:firstLine="720"/>
        <w:jc w:val="both"/>
        <w:rPr>
          <w:rFonts w:ascii="Cambria" w:hAnsi="Cambria"/>
          <w:sz w:val="16"/>
          <w:szCs w:val="16"/>
        </w:rPr>
      </w:pPr>
      <w:r w:rsidRPr="007564EF">
        <w:rPr>
          <w:rStyle w:val="FootnoteReference"/>
          <w:rFonts w:ascii="Cambria" w:hAnsi="Cambria"/>
          <w:sz w:val="16"/>
          <w:szCs w:val="16"/>
        </w:rPr>
        <w:footnoteRef/>
      </w:r>
      <w:r w:rsidRPr="007564EF">
        <w:rPr>
          <w:rFonts w:ascii="Cambria" w:hAnsi="Cambria"/>
          <w:sz w:val="16"/>
          <w:szCs w:val="16"/>
        </w:rPr>
        <w:t xml:space="preserve"> IACHR. Report on Admissibility No. 35/13. Case 12.925. Posadas et al. v. Argentina. July 11, 2013.</w:t>
      </w:r>
    </w:p>
  </w:footnote>
  <w:footnote w:id="3">
    <w:p w:rsidR="00730246" w:rsidRPr="007564EF" w:rsidRDefault="00730246" w:rsidP="00520E1A">
      <w:pPr>
        <w:pStyle w:val="FootnoteText"/>
        <w:spacing w:after="120"/>
        <w:ind w:firstLine="720"/>
        <w:jc w:val="both"/>
        <w:rPr>
          <w:rFonts w:ascii="Cambria" w:hAnsi="Cambria"/>
          <w:sz w:val="16"/>
          <w:szCs w:val="16"/>
        </w:rPr>
      </w:pPr>
      <w:r w:rsidRPr="007564EF">
        <w:rPr>
          <w:rStyle w:val="FootnoteReference"/>
          <w:rFonts w:ascii="Cambria" w:hAnsi="Cambria"/>
          <w:sz w:val="16"/>
          <w:szCs w:val="16"/>
        </w:rPr>
        <w:footnoteRef/>
      </w:r>
      <w:r w:rsidRPr="007564EF">
        <w:rPr>
          <w:rFonts w:ascii="Cambria" w:hAnsi="Cambria"/>
          <w:sz w:val="16"/>
          <w:szCs w:val="16"/>
        </w:rPr>
        <w:t xml:space="preserve"> Casal, Matías Eugenio et al. attempted simple theft, Case No. 1681, Supreme Court of Justice of the Argentine Nation, September 20, 2005.  </w:t>
      </w:r>
    </w:p>
  </w:footnote>
  <w:footnote w:id="4">
    <w:p w:rsidR="00730246" w:rsidRPr="007564EF" w:rsidRDefault="00730246" w:rsidP="00520E1A">
      <w:pPr>
        <w:pStyle w:val="FootnoteText"/>
        <w:spacing w:after="120"/>
        <w:ind w:firstLine="720"/>
        <w:jc w:val="both"/>
        <w:rPr>
          <w:rFonts w:ascii="Cambria" w:hAnsi="Cambria"/>
          <w:sz w:val="16"/>
          <w:szCs w:val="16"/>
        </w:rPr>
      </w:pPr>
      <w:r w:rsidRPr="007564EF">
        <w:rPr>
          <w:rStyle w:val="FootnoteReference"/>
          <w:rFonts w:ascii="Cambria" w:hAnsi="Cambria"/>
          <w:sz w:val="16"/>
          <w:szCs w:val="16"/>
        </w:rPr>
        <w:footnoteRef/>
      </w:r>
      <w:r w:rsidRPr="007564EF">
        <w:rPr>
          <w:rFonts w:ascii="Cambria" w:hAnsi="Cambria"/>
          <w:sz w:val="16"/>
          <w:szCs w:val="16"/>
        </w:rPr>
        <w:t xml:space="preserve"> Judicial Branch of Mendoza, Case File No. 16.073 “F. C/GORIGOITIA OSCAR RAUL P/MANSLAUGHTER” and its joinder, Agreement Room of the First Criminal Court, September 12, 1997, page 1, Attachment to the initial petition.</w:t>
      </w:r>
    </w:p>
  </w:footnote>
  <w:footnote w:id="5">
    <w:p w:rsidR="00730246" w:rsidRPr="007564EF" w:rsidRDefault="00730246" w:rsidP="00520E1A">
      <w:pPr>
        <w:pStyle w:val="FootnoteText"/>
        <w:spacing w:after="120"/>
        <w:ind w:firstLine="720"/>
        <w:jc w:val="both"/>
        <w:rPr>
          <w:rFonts w:ascii="Cambria" w:hAnsi="Cambria"/>
          <w:sz w:val="16"/>
          <w:szCs w:val="16"/>
        </w:rPr>
      </w:pPr>
      <w:r w:rsidRPr="007564EF">
        <w:rPr>
          <w:rStyle w:val="FootnoteReference"/>
          <w:rFonts w:ascii="Cambria" w:hAnsi="Cambria"/>
          <w:sz w:val="16"/>
          <w:szCs w:val="16"/>
        </w:rPr>
        <w:footnoteRef/>
      </w:r>
      <w:r w:rsidRPr="007564EF">
        <w:rPr>
          <w:rFonts w:ascii="Cambria" w:hAnsi="Cambria"/>
          <w:sz w:val="16"/>
          <w:szCs w:val="16"/>
        </w:rPr>
        <w:t xml:space="preserve"> Judicial Branch of Mendoza, Case File No. 73.872/1 “F. c/Gorigoitia, Oscar”, September 6, 1996, Attachment to the initial petition.</w:t>
      </w:r>
    </w:p>
  </w:footnote>
  <w:footnote w:id="6">
    <w:p w:rsidR="00730246" w:rsidRPr="007564EF" w:rsidRDefault="00730246" w:rsidP="00520E1A">
      <w:pPr>
        <w:pStyle w:val="FootnoteText"/>
        <w:spacing w:after="120"/>
        <w:ind w:firstLine="720"/>
        <w:jc w:val="both"/>
        <w:rPr>
          <w:rFonts w:ascii="Cambria" w:hAnsi="Cambria"/>
          <w:sz w:val="16"/>
          <w:szCs w:val="16"/>
        </w:rPr>
      </w:pPr>
      <w:r w:rsidRPr="007564EF">
        <w:rPr>
          <w:rStyle w:val="FootnoteReference"/>
          <w:rFonts w:ascii="Cambria" w:hAnsi="Cambria"/>
          <w:sz w:val="16"/>
          <w:szCs w:val="16"/>
        </w:rPr>
        <w:footnoteRef/>
      </w:r>
      <w:r w:rsidRPr="007564EF">
        <w:rPr>
          <w:rFonts w:ascii="Cambria" w:hAnsi="Cambria"/>
          <w:sz w:val="16"/>
          <w:szCs w:val="16"/>
        </w:rPr>
        <w:t xml:space="preserve"> Judicial Branch of Mendoza, Case File No. 16.073 “F. C/GORIGOITIA OSCAR RAUL P/MANSLAUGHTER” and its joinder Agreement Room of the First Criminal Court, September 12, 1997, page 1, Attachment to the initial petition.</w:t>
      </w:r>
    </w:p>
  </w:footnote>
  <w:footnote w:id="7">
    <w:p w:rsidR="00730246" w:rsidRPr="007564EF" w:rsidRDefault="00730246" w:rsidP="00520E1A">
      <w:pPr>
        <w:pStyle w:val="FootnoteText"/>
        <w:spacing w:after="120"/>
        <w:ind w:firstLine="720"/>
        <w:jc w:val="both"/>
        <w:rPr>
          <w:rFonts w:ascii="Cambria" w:hAnsi="Cambria"/>
          <w:sz w:val="16"/>
          <w:szCs w:val="16"/>
        </w:rPr>
      </w:pPr>
      <w:r w:rsidRPr="007564EF">
        <w:rPr>
          <w:rStyle w:val="FootnoteReference"/>
          <w:rFonts w:ascii="Cambria" w:hAnsi="Cambria"/>
          <w:sz w:val="16"/>
          <w:szCs w:val="16"/>
        </w:rPr>
        <w:footnoteRef/>
      </w:r>
      <w:r w:rsidRPr="007564EF">
        <w:rPr>
          <w:rFonts w:ascii="Cambria" w:hAnsi="Cambria"/>
          <w:sz w:val="16"/>
          <w:szCs w:val="16"/>
        </w:rPr>
        <w:t xml:space="preserve"> Judicial Branch of Mendoza, Case File No. 73.872/1 “F. c/Gorigoitia, Oscar”, September 6, 1996, Attachment to the initial petition.</w:t>
      </w:r>
    </w:p>
  </w:footnote>
  <w:footnote w:id="8">
    <w:p w:rsidR="00730246" w:rsidRPr="007564EF" w:rsidRDefault="00730246" w:rsidP="00520E1A">
      <w:pPr>
        <w:pStyle w:val="FootnoteText"/>
        <w:spacing w:after="120"/>
        <w:ind w:firstLine="720"/>
        <w:jc w:val="both"/>
        <w:rPr>
          <w:rFonts w:ascii="Cambria" w:hAnsi="Cambria"/>
          <w:sz w:val="16"/>
          <w:szCs w:val="16"/>
        </w:rPr>
      </w:pPr>
      <w:r w:rsidRPr="007564EF">
        <w:rPr>
          <w:rStyle w:val="FootnoteReference"/>
          <w:rFonts w:ascii="Cambria" w:hAnsi="Cambria"/>
          <w:sz w:val="16"/>
          <w:szCs w:val="16"/>
        </w:rPr>
        <w:footnoteRef/>
      </w:r>
      <w:r w:rsidRPr="007564EF">
        <w:rPr>
          <w:rFonts w:ascii="Cambria" w:hAnsi="Cambria"/>
          <w:sz w:val="16"/>
          <w:szCs w:val="16"/>
        </w:rPr>
        <w:t xml:space="preserve"> Judicial Branch of Mendoza, Case File No. 16.073 “F. C/GORIGOITIA OSCAR RAUL P/MANSLAUGHTER” and its joinder, Agreement Room of the First Criminal Court, September 12, 1997, page 3, Attachment to the initial petition.</w:t>
      </w:r>
    </w:p>
  </w:footnote>
  <w:footnote w:id="9">
    <w:p w:rsidR="00730246" w:rsidRPr="007564EF" w:rsidRDefault="00730246" w:rsidP="00520E1A">
      <w:pPr>
        <w:pStyle w:val="FootnoteText"/>
        <w:spacing w:after="120"/>
        <w:ind w:firstLine="720"/>
        <w:jc w:val="both"/>
        <w:rPr>
          <w:rFonts w:ascii="Cambria" w:hAnsi="Cambria"/>
          <w:sz w:val="16"/>
          <w:szCs w:val="16"/>
        </w:rPr>
      </w:pPr>
      <w:r w:rsidRPr="007564EF">
        <w:rPr>
          <w:rStyle w:val="FootnoteReference"/>
          <w:rFonts w:ascii="Cambria" w:hAnsi="Cambria"/>
          <w:sz w:val="16"/>
          <w:szCs w:val="16"/>
        </w:rPr>
        <w:footnoteRef/>
      </w:r>
      <w:r w:rsidRPr="007564EF">
        <w:rPr>
          <w:rFonts w:ascii="Cambria" w:hAnsi="Cambria"/>
          <w:sz w:val="16"/>
          <w:szCs w:val="16"/>
        </w:rPr>
        <w:t xml:space="preserve"> Judicial Branch of Mendoza, Case File No. 16.073 “F. C/GORIGOITIA OSCAR RAUL P/MANSLAUGHTER” and its joinder, Agreement Room of the First Criminal Court, September 12, 1997, page 85, Attachment to the initial petition.</w:t>
      </w:r>
    </w:p>
  </w:footnote>
  <w:footnote w:id="10">
    <w:p w:rsidR="00730246" w:rsidRPr="007564EF" w:rsidRDefault="00730246" w:rsidP="00520E1A">
      <w:pPr>
        <w:pStyle w:val="FootnoteText"/>
        <w:spacing w:after="120"/>
        <w:ind w:firstLine="720"/>
        <w:jc w:val="both"/>
        <w:rPr>
          <w:rFonts w:ascii="Cambria" w:hAnsi="Cambria"/>
          <w:sz w:val="16"/>
          <w:szCs w:val="16"/>
        </w:rPr>
      </w:pPr>
      <w:r w:rsidRPr="007564EF">
        <w:rPr>
          <w:rStyle w:val="FootnoteReference"/>
          <w:rFonts w:ascii="Cambria" w:hAnsi="Cambria"/>
          <w:sz w:val="16"/>
          <w:szCs w:val="16"/>
        </w:rPr>
        <w:footnoteRef/>
      </w:r>
      <w:r w:rsidRPr="007564EF">
        <w:rPr>
          <w:rFonts w:ascii="Cambria" w:hAnsi="Cambria"/>
          <w:sz w:val="16"/>
          <w:szCs w:val="16"/>
        </w:rPr>
        <w:t xml:space="preserve"> Judicial Branch of Mendoza, Case File No. 16.073 “F. C/GORIGOITIA OSCAR RAUL P/MANSLAUGHTER” and its joinder, Agreement Room of the First Criminal Court, September 12, 1997, page 85, Attachment to the initial petition.</w:t>
      </w:r>
    </w:p>
  </w:footnote>
  <w:footnote w:id="11">
    <w:p w:rsidR="00730246" w:rsidRPr="007564EF" w:rsidRDefault="00730246" w:rsidP="00520E1A">
      <w:pPr>
        <w:pStyle w:val="FootnoteText"/>
        <w:spacing w:after="120"/>
        <w:ind w:firstLine="720"/>
        <w:jc w:val="both"/>
        <w:rPr>
          <w:rFonts w:ascii="Cambria" w:hAnsi="Cambria"/>
          <w:sz w:val="16"/>
          <w:szCs w:val="16"/>
        </w:rPr>
      </w:pPr>
      <w:r w:rsidRPr="007564EF">
        <w:rPr>
          <w:rStyle w:val="FootnoteReference"/>
          <w:rFonts w:ascii="Cambria" w:hAnsi="Cambria"/>
          <w:sz w:val="16"/>
          <w:szCs w:val="16"/>
        </w:rPr>
        <w:footnoteRef/>
      </w:r>
      <w:r w:rsidRPr="007564EF">
        <w:rPr>
          <w:rFonts w:ascii="Cambria" w:hAnsi="Cambria"/>
          <w:sz w:val="16"/>
          <w:szCs w:val="16"/>
        </w:rPr>
        <w:t xml:space="preserve"> Criminal cassation appeal, filed before the First Criminal Court of Mendoza, September 29, 1997, pages 17 and 18, Attachment to the initial petition. </w:t>
      </w:r>
    </w:p>
  </w:footnote>
  <w:footnote w:id="12">
    <w:p w:rsidR="00730246" w:rsidRPr="007564EF" w:rsidRDefault="00730246" w:rsidP="00520E1A">
      <w:pPr>
        <w:pStyle w:val="FootnoteText"/>
        <w:spacing w:after="120"/>
        <w:ind w:firstLine="720"/>
        <w:jc w:val="both"/>
        <w:rPr>
          <w:rFonts w:ascii="Cambria" w:hAnsi="Cambria"/>
          <w:sz w:val="16"/>
          <w:szCs w:val="16"/>
        </w:rPr>
      </w:pPr>
      <w:r w:rsidRPr="007564EF">
        <w:rPr>
          <w:rStyle w:val="FootnoteReference"/>
          <w:rFonts w:ascii="Cambria" w:hAnsi="Cambria"/>
          <w:sz w:val="16"/>
          <w:szCs w:val="16"/>
        </w:rPr>
        <w:footnoteRef/>
      </w:r>
      <w:r w:rsidRPr="007564EF">
        <w:rPr>
          <w:rFonts w:ascii="Cambria" w:hAnsi="Cambria"/>
          <w:sz w:val="16"/>
          <w:szCs w:val="16"/>
        </w:rPr>
        <w:t xml:space="preserve"> Criminal cassation appeal, filed before the First Criminal Court of Mendoza, September 29, 1997, page 18, Attachment to the initial petition.</w:t>
      </w:r>
    </w:p>
  </w:footnote>
  <w:footnote w:id="13">
    <w:p w:rsidR="00730246" w:rsidRPr="007564EF" w:rsidRDefault="00730246" w:rsidP="00520E1A">
      <w:pPr>
        <w:pStyle w:val="FootnoteText"/>
        <w:spacing w:after="120"/>
        <w:ind w:firstLine="720"/>
        <w:jc w:val="both"/>
        <w:rPr>
          <w:rFonts w:ascii="Cambria" w:hAnsi="Cambria"/>
          <w:sz w:val="16"/>
          <w:szCs w:val="16"/>
        </w:rPr>
      </w:pPr>
      <w:r w:rsidRPr="007564EF">
        <w:rPr>
          <w:rStyle w:val="FootnoteReference"/>
          <w:rFonts w:ascii="Cambria" w:hAnsi="Cambria"/>
          <w:sz w:val="16"/>
          <w:szCs w:val="16"/>
        </w:rPr>
        <w:footnoteRef/>
      </w:r>
      <w:r w:rsidRPr="007564EF">
        <w:rPr>
          <w:rFonts w:ascii="Cambria" w:hAnsi="Cambria"/>
          <w:sz w:val="16"/>
          <w:szCs w:val="16"/>
        </w:rPr>
        <w:t xml:space="preserve"> Criminal cassation appeal, filed before the First Criminal Court of Mendoza, September 29, 1997, page 19, Attachment to the initial petition.</w:t>
      </w:r>
    </w:p>
  </w:footnote>
  <w:footnote w:id="14">
    <w:p w:rsidR="00730246" w:rsidRPr="007564EF" w:rsidRDefault="00730246" w:rsidP="00520E1A">
      <w:pPr>
        <w:pStyle w:val="FootnoteText"/>
        <w:spacing w:after="120"/>
        <w:ind w:firstLine="720"/>
        <w:jc w:val="both"/>
        <w:rPr>
          <w:rFonts w:ascii="Cambria" w:hAnsi="Cambria"/>
          <w:sz w:val="16"/>
          <w:szCs w:val="16"/>
        </w:rPr>
      </w:pPr>
      <w:r w:rsidRPr="007564EF">
        <w:rPr>
          <w:rStyle w:val="FootnoteReference"/>
          <w:rFonts w:ascii="Cambria" w:hAnsi="Cambria"/>
          <w:sz w:val="16"/>
          <w:szCs w:val="16"/>
        </w:rPr>
        <w:footnoteRef/>
      </w:r>
      <w:r w:rsidRPr="007564EF">
        <w:rPr>
          <w:rFonts w:ascii="Cambria" w:hAnsi="Cambria"/>
          <w:sz w:val="16"/>
          <w:szCs w:val="16"/>
        </w:rPr>
        <w:t xml:space="preserve"> Criminal cassation appeal, filed before the First Criminal Court of Mendoza, September 29, 1997, page 22, Attachment to the petition of January 19, 1999.  Attachment to the initial petition.</w:t>
      </w:r>
    </w:p>
  </w:footnote>
  <w:footnote w:id="15">
    <w:p w:rsidR="00730246" w:rsidRPr="007564EF" w:rsidRDefault="00730246" w:rsidP="00520E1A">
      <w:pPr>
        <w:pStyle w:val="FootnoteText"/>
        <w:spacing w:after="120"/>
        <w:ind w:firstLine="720"/>
        <w:jc w:val="both"/>
        <w:rPr>
          <w:rFonts w:ascii="Cambria" w:hAnsi="Cambria"/>
          <w:sz w:val="16"/>
          <w:szCs w:val="16"/>
        </w:rPr>
      </w:pPr>
      <w:r w:rsidRPr="007564EF">
        <w:rPr>
          <w:rStyle w:val="FootnoteReference"/>
          <w:rFonts w:ascii="Cambria" w:hAnsi="Cambria"/>
          <w:sz w:val="16"/>
          <w:szCs w:val="16"/>
        </w:rPr>
        <w:footnoteRef/>
      </w:r>
      <w:r w:rsidRPr="007564EF">
        <w:rPr>
          <w:rFonts w:ascii="Cambria" w:hAnsi="Cambria"/>
          <w:sz w:val="16"/>
          <w:szCs w:val="16"/>
        </w:rPr>
        <w:t xml:space="preserve"> Judicial Branch of Mendoza, Case File No. 63.145:  “F. c/ GORIGOITIA GUERRERO. Oscar,” Supreme Court of Justice of Mendoza, December 19, 1997, page 2.  Attachment to the initial petition.</w:t>
      </w:r>
    </w:p>
  </w:footnote>
  <w:footnote w:id="16">
    <w:p w:rsidR="00730246" w:rsidRPr="007564EF" w:rsidRDefault="00730246" w:rsidP="00520E1A">
      <w:pPr>
        <w:pStyle w:val="FootnoteText"/>
        <w:spacing w:after="120"/>
        <w:ind w:firstLine="720"/>
        <w:jc w:val="both"/>
        <w:rPr>
          <w:rFonts w:ascii="Cambria" w:hAnsi="Cambria"/>
          <w:sz w:val="16"/>
          <w:szCs w:val="16"/>
        </w:rPr>
      </w:pPr>
      <w:r w:rsidRPr="007564EF">
        <w:rPr>
          <w:rStyle w:val="FootnoteReference"/>
          <w:rFonts w:ascii="Cambria" w:hAnsi="Cambria"/>
          <w:sz w:val="16"/>
          <w:szCs w:val="16"/>
        </w:rPr>
        <w:footnoteRef/>
      </w:r>
      <w:r w:rsidRPr="007564EF">
        <w:rPr>
          <w:rFonts w:ascii="Cambria" w:hAnsi="Cambria"/>
          <w:sz w:val="16"/>
          <w:szCs w:val="16"/>
        </w:rPr>
        <w:t xml:space="preserve"> Judicial Branch of Mendoza, Case File No. 63.145:  “F. c/ GORIGOITIA GUERRERO. Oscar,” Supreme Court of Justice of Mendoza, December 19, 1997, page 2.  Attachment to the initial petition.</w:t>
      </w:r>
    </w:p>
  </w:footnote>
  <w:footnote w:id="17">
    <w:p w:rsidR="00730246" w:rsidRPr="007564EF" w:rsidRDefault="00730246" w:rsidP="00520E1A">
      <w:pPr>
        <w:pStyle w:val="FootnoteText"/>
        <w:spacing w:after="120"/>
        <w:ind w:firstLine="720"/>
        <w:jc w:val="both"/>
        <w:rPr>
          <w:rFonts w:ascii="Cambria" w:hAnsi="Cambria"/>
          <w:sz w:val="16"/>
          <w:szCs w:val="16"/>
        </w:rPr>
      </w:pPr>
      <w:r w:rsidRPr="007564EF">
        <w:rPr>
          <w:rStyle w:val="FootnoteReference"/>
          <w:rFonts w:ascii="Cambria" w:hAnsi="Cambria"/>
          <w:sz w:val="16"/>
          <w:szCs w:val="16"/>
        </w:rPr>
        <w:footnoteRef/>
      </w:r>
      <w:r w:rsidRPr="007564EF">
        <w:rPr>
          <w:rFonts w:ascii="Cambria" w:hAnsi="Cambria"/>
          <w:sz w:val="16"/>
          <w:szCs w:val="16"/>
        </w:rPr>
        <w:t xml:space="preserve"> Judicial Branch of Mendoza, Case File No. 63.145:  “F. c/ GORIGOITIA GUERRERO. Oscar,” Supreme Court of Justice of Mendoza, December 19, 1997, page 3.  Attachment to the initial petition.</w:t>
      </w:r>
    </w:p>
  </w:footnote>
  <w:footnote w:id="18">
    <w:p w:rsidR="00730246" w:rsidRPr="007564EF" w:rsidRDefault="00730246" w:rsidP="00520E1A">
      <w:pPr>
        <w:pStyle w:val="FootnoteText"/>
        <w:spacing w:after="120"/>
        <w:ind w:firstLine="720"/>
        <w:jc w:val="both"/>
        <w:rPr>
          <w:rFonts w:ascii="Cambria" w:hAnsi="Cambria"/>
          <w:sz w:val="16"/>
          <w:szCs w:val="16"/>
        </w:rPr>
      </w:pPr>
      <w:r w:rsidRPr="007564EF">
        <w:rPr>
          <w:rStyle w:val="FootnoteReference"/>
          <w:rFonts w:ascii="Cambria" w:hAnsi="Cambria"/>
          <w:sz w:val="16"/>
          <w:szCs w:val="16"/>
        </w:rPr>
        <w:footnoteRef/>
      </w:r>
      <w:r w:rsidRPr="007564EF">
        <w:rPr>
          <w:rFonts w:ascii="Cambria" w:hAnsi="Cambria"/>
          <w:sz w:val="16"/>
          <w:szCs w:val="16"/>
        </w:rPr>
        <w:t xml:space="preserve"> Specifically, it indicated that, according to the Court, “it cannot be doubted that, in the scenario in which the final outcome of this story unfolded (sticking exclusively, as did the civilian stakeholders and the Attorney General’s Office, to what occurred starting at the Olive Bridge up to the arrest on highway R-6 in San Martín 6264 de Carrodilla for more than 5 kilometers), the death that occurred could not have been foreseen or that Gorigoitia acted in the hopes that this would be the outcome, trusting his skills. On the contrary, all evidence indicates that he imagined the possible outcome (death) and, driven by his selfishness ignored the order not to use firearms, fired repeatedly with the two arms provided (Itaka, 9 mm).”</w:t>
      </w:r>
    </w:p>
  </w:footnote>
  <w:footnote w:id="19">
    <w:p w:rsidR="00730246" w:rsidRPr="007564EF" w:rsidRDefault="00730246" w:rsidP="00520E1A">
      <w:pPr>
        <w:pStyle w:val="FootnoteText"/>
        <w:spacing w:after="120"/>
        <w:ind w:firstLine="720"/>
        <w:jc w:val="both"/>
        <w:rPr>
          <w:rFonts w:ascii="Cambria" w:hAnsi="Cambria"/>
          <w:sz w:val="16"/>
          <w:szCs w:val="16"/>
        </w:rPr>
      </w:pPr>
      <w:r w:rsidRPr="007564EF">
        <w:rPr>
          <w:rStyle w:val="FootnoteReference"/>
          <w:rFonts w:ascii="Cambria" w:hAnsi="Cambria"/>
          <w:sz w:val="16"/>
          <w:szCs w:val="16"/>
        </w:rPr>
        <w:footnoteRef/>
      </w:r>
      <w:r w:rsidRPr="007564EF">
        <w:rPr>
          <w:rFonts w:ascii="Cambria" w:hAnsi="Cambria"/>
          <w:sz w:val="16"/>
          <w:szCs w:val="16"/>
        </w:rPr>
        <w:t xml:space="preserve"> Specifically, the court indicated that it dismissed the malicious intent when it contends that “in this framework of action, pretending that all Gorigoitia did was to fail to observe the regulations, along with the recklessness that would tend to establish his conduct as culpable which would be supported in the crime of culpable homicide (Article 84 of the Criminal Code), I believe involves ignoring the evidence against the accused, which shows a reality that is different from what happened, which was much more severe. The indifference to the outcome of a severe action such as aiming at a moving motor vehicle from another one chasing it, with a high-caliber and long-range gun, aware of its bullets’ power to damage, excludes all form of culpability, even when there is representation and it adequately fulfills the classification requirement of negligence, viewed as gross, because to invoke mere guilt with awareness would require that the agent’s action not be directly aimed at one or more given persons.”</w:t>
      </w:r>
    </w:p>
  </w:footnote>
  <w:footnote w:id="20">
    <w:p w:rsidR="00730246" w:rsidRPr="007564EF" w:rsidRDefault="00730246" w:rsidP="00520E1A">
      <w:pPr>
        <w:pStyle w:val="FootnoteText"/>
        <w:spacing w:after="120"/>
        <w:ind w:firstLine="720"/>
        <w:jc w:val="both"/>
        <w:rPr>
          <w:rFonts w:ascii="Cambria" w:hAnsi="Cambria"/>
          <w:sz w:val="16"/>
          <w:szCs w:val="16"/>
        </w:rPr>
      </w:pPr>
      <w:r w:rsidRPr="007564EF">
        <w:rPr>
          <w:rStyle w:val="FootnoteReference"/>
          <w:rFonts w:ascii="Cambria" w:hAnsi="Cambria"/>
          <w:sz w:val="16"/>
          <w:szCs w:val="16"/>
        </w:rPr>
        <w:footnoteRef/>
      </w:r>
      <w:r w:rsidRPr="007564EF">
        <w:rPr>
          <w:rFonts w:ascii="Cambria" w:hAnsi="Cambria"/>
          <w:sz w:val="16"/>
          <w:szCs w:val="16"/>
        </w:rPr>
        <w:t xml:space="preserve"> Judicial Branch of Mendoza, Case File No. 63.145:  “F. c/ GORIGOITIA GUERRERO. Oscar”, Supreme Court of Justice of Mendoza, December 19, 1997, page 4.  Attachment to the initial petition.</w:t>
      </w:r>
    </w:p>
  </w:footnote>
  <w:footnote w:id="21">
    <w:p w:rsidR="00730246" w:rsidRPr="007564EF" w:rsidRDefault="00730246" w:rsidP="00520E1A">
      <w:pPr>
        <w:pStyle w:val="FootnoteText"/>
        <w:spacing w:after="120"/>
        <w:ind w:firstLine="720"/>
        <w:jc w:val="both"/>
        <w:rPr>
          <w:rFonts w:ascii="Cambria" w:hAnsi="Cambria"/>
          <w:sz w:val="16"/>
          <w:szCs w:val="16"/>
        </w:rPr>
      </w:pPr>
      <w:r w:rsidRPr="007564EF">
        <w:rPr>
          <w:rStyle w:val="FootnoteReference"/>
          <w:rFonts w:ascii="Cambria" w:hAnsi="Cambria"/>
          <w:sz w:val="16"/>
          <w:szCs w:val="16"/>
        </w:rPr>
        <w:footnoteRef/>
      </w:r>
      <w:r w:rsidRPr="007564EF">
        <w:rPr>
          <w:rFonts w:ascii="Cambria" w:hAnsi="Cambria"/>
          <w:sz w:val="16"/>
          <w:szCs w:val="16"/>
        </w:rPr>
        <w:t xml:space="preserve"> Petition of January 19, 1999 and Extraordinary Appeal, February 25, 1998, page 1, Attachment to the initial petition.</w:t>
      </w:r>
    </w:p>
  </w:footnote>
  <w:footnote w:id="22">
    <w:p w:rsidR="00730246" w:rsidRPr="007564EF" w:rsidRDefault="00730246" w:rsidP="00520E1A">
      <w:pPr>
        <w:pStyle w:val="FootnoteText"/>
        <w:spacing w:after="120"/>
        <w:ind w:firstLine="720"/>
        <w:jc w:val="both"/>
        <w:rPr>
          <w:rFonts w:ascii="Cambria" w:hAnsi="Cambria"/>
          <w:sz w:val="16"/>
          <w:szCs w:val="16"/>
        </w:rPr>
      </w:pPr>
      <w:r w:rsidRPr="007564EF">
        <w:rPr>
          <w:rStyle w:val="FootnoteReference"/>
          <w:rFonts w:ascii="Cambria" w:hAnsi="Cambria"/>
          <w:sz w:val="16"/>
          <w:szCs w:val="16"/>
        </w:rPr>
        <w:footnoteRef/>
      </w:r>
      <w:r w:rsidRPr="007564EF">
        <w:rPr>
          <w:rFonts w:ascii="Cambria" w:hAnsi="Cambria"/>
          <w:sz w:val="16"/>
          <w:szCs w:val="16"/>
        </w:rPr>
        <w:t xml:space="preserve"> Extraordinary Appeal, February 25, 1998, page 1, Attachment to the initial petition.</w:t>
      </w:r>
    </w:p>
  </w:footnote>
  <w:footnote w:id="23">
    <w:p w:rsidR="00730246" w:rsidRPr="007564EF" w:rsidRDefault="00730246" w:rsidP="00520E1A">
      <w:pPr>
        <w:pStyle w:val="FootnoteText"/>
        <w:spacing w:after="120"/>
        <w:ind w:firstLine="720"/>
        <w:jc w:val="both"/>
        <w:rPr>
          <w:rFonts w:ascii="Cambria" w:hAnsi="Cambria"/>
          <w:sz w:val="16"/>
          <w:szCs w:val="16"/>
        </w:rPr>
      </w:pPr>
      <w:r w:rsidRPr="007564EF">
        <w:rPr>
          <w:rStyle w:val="FootnoteReference"/>
          <w:rFonts w:ascii="Cambria" w:hAnsi="Cambria"/>
          <w:sz w:val="16"/>
          <w:szCs w:val="16"/>
        </w:rPr>
        <w:footnoteRef/>
      </w:r>
      <w:r w:rsidRPr="007564EF">
        <w:rPr>
          <w:rFonts w:ascii="Cambria" w:hAnsi="Cambria"/>
          <w:sz w:val="16"/>
          <w:szCs w:val="16"/>
        </w:rPr>
        <w:t xml:space="preserve"> Extraordinary Appeal, February 25, 1998, pages 14 y 15, Attachment to the initial petition.</w:t>
      </w:r>
    </w:p>
  </w:footnote>
  <w:footnote w:id="24">
    <w:p w:rsidR="00730246" w:rsidRPr="007564EF" w:rsidRDefault="00730246" w:rsidP="00520E1A">
      <w:pPr>
        <w:pStyle w:val="FootnoteText"/>
        <w:spacing w:after="120"/>
        <w:ind w:firstLine="720"/>
        <w:jc w:val="both"/>
        <w:rPr>
          <w:rFonts w:ascii="Cambria" w:hAnsi="Cambria"/>
          <w:sz w:val="16"/>
          <w:szCs w:val="16"/>
        </w:rPr>
      </w:pPr>
      <w:r w:rsidRPr="007564EF">
        <w:rPr>
          <w:rStyle w:val="FootnoteReference"/>
          <w:rFonts w:ascii="Cambria" w:hAnsi="Cambria"/>
          <w:sz w:val="16"/>
          <w:szCs w:val="16"/>
        </w:rPr>
        <w:footnoteRef/>
      </w:r>
      <w:r w:rsidRPr="007564EF">
        <w:rPr>
          <w:rFonts w:ascii="Cambria" w:hAnsi="Cambria"/>
          <w:sz w:val="16"/>
          <w:szCs w:val="16"/>
        </w:rPr>
        <w:t xml:space="preserve"> Extraordinary Appeal, February 25, 1998, pages 14 y 15, Attachment to the initial petition.</w:t>
      </w:r>
    </w:p>
  </w:footnote>
  <w:footnote w:id="25">
    <w:p w:rsidR="00730246" w:rsidRPr="007564EF" w:rsidRDefault="00730246" w:rsidP="00520E1A">
      <w:pPr>
        <w:pStyle w:val="FootnoteText"/>
        <w:spacing w:after="120"/>
        <w:ind w:firstLine="720"/>
        <w:jc w:val="both"/>
        <w:rPr>
          <w:rFonts w:ascii="Cambria" w:hAnsi="Cambria"/>
          <w:sz w:val="16"/>
          <w:szCs w:val="16"/>
        </w:rPr>
      </w:pPr>
      <w:r w:rsidRPr="007564EF">
        <w:rPr>
          <w:rStyle w:val="FootnoteReference"/>
          <w:rFonts w:ascii="Cambria" w:hAnsi="Cambria"/>
          <w:sz w:val="16"/>
          <w:szCs w:val="16"/>
        </w:rPr>
        <w:footnoteRef/>
      </w:r>
      <w:r w:rsidRPr="007564EF">
        <w:rPr>
          <w:rFonts w:ascii="Cambria" w:hAnsi="Cambria"/>
          <w:sz w:val="16"/>
          <w:szCs w:val="16"/>
        </w:rPr>
        <w:t xml:space="preserve"> General Prosecution Service of the Supreme Court of Justice, Mendoza, challenge to the extraordinary appeal filed before the Supreme Court of Justice of the Nation, March 11, 1998, Attachment to the initial petition.</w:t>
      </w:r>
    </w:p>
  </w:footnote>
  <w:footnote w:id="26">
    <w:p w:rsidR="00730246" w:rsidRPr="007564EF" w:rsidRDefault="00730246" w:rsidP="00520E1A">
      <w:pPr>
        <w:pStyle w:val="FootnoteText"/>
        <w:spacing w:after="120"/>
        <w:ind w:firstLine="720"/>
        <w:jc w:val="both"/>
        <w:rPr>
          <w:rFonts w:ascii="Cambria" w:hAnsi="Cambria"/>
          <w:sz w:val="16"/>
          <w:szCs w:val="16"/>
        </w:rPr>
      </w:pPr>
      <w:r w:rsidRPr="007564EF">
        <w:rPr>
          <w:rStyle w:val="FootnoteReference"/>
          <w:rFonts w:ascii="Cambria" w:hAnsi="Cambria"/>
          <w:sz w:val="16"/>
          <w:szCs w:val="16"/>
        </w:rPr>
        <w:footnoteRef/>
      </w:r>
      <w:r w:rsidRPr="007564EF">
        <w:rPr>
          <w:rFonts w:ascii="Cambria" w:hAnsi="Cambria"/>
          <w:sz w:val="16"/>
          <w:szCs w:val="16"/>
        </w:rPr>
        <w:t xml:space="preserve"> Supreme Court of Justice of the Province of Mendoza, Case File No. 62.145: “Civil and Fiscal Party, c/ GORIGOITIA GUERRERO, Oscar Raúl,” March 31, 1998, page 3, Attachment to the initial petition.</w:t>
      </w:r>
    </w:p>
  </w:footnote>
  <w:footnote w:id="27">
    <w:p w:rsidR="00730246" w:rsidRPr="007564EF" w:rsidRDefault="00730246" w:rsidP="00520E1A">
      <w:pPr>
        <w:pStyle w:val="FootnoteText"/>
        <w:spacing w:after="120"/>
        <w:ind w:firstLine="720"/>
        <w:jc w:val="both"/>
        <w:rPr>
          <w:rFonts w:ascii="Cambria" w:hAnsi="Cambria"/>
          <w:sz w:val="16"/>
          <w:szCs w:val="16"/>
        </w:rPr>
      </w:pPr>
      <w:r w:rsidRPr="007564EF">
        <w:rPr>
          <w:rStyle w:val="FootnoteReference"/>
          <w:rFonts w:ascii="Cambria" w:hAnsi="Cambria"/>
          <w:sz w:val="16"/>
          <w:szCs w:val="16"/>
        </w:rPr>
        <w:footnoteRef/>
      </w:r>
      <w:r w:rsidRPr="007564EF">
        <w:rPr>
          <w:rFonts w:ascii="Cambria" w:hAnsi="Cambria"/>
          <w:sz w:val="16"/>
          <w:szCs w:val="16"/>
        </w:rPr>
        <w:t xml:space="preserve"> Complaint appeal filed before the Supreme Court of Justice of the Nation, no date, Attachment to the initial petition.</w:t>
      </w:r>
    </w:p>
  </w:footnote>
  <w:footnote w:id="28">
    <w:p w:rsidR="00730246" w:rsidRPr="007564EF" w:rsidRDefault="00730246" w:rsidP="00520E1A">
      <w:pPr>
        <w:pStyle w:val="FootnoteText"/>
        <w:spacing w:after="120"/>
        <w:ind w:firstLine="720"/>
        <w:jc w:val="both"/>
        <w:rPr>
          <w:rFonts w:ascii="Cambria" w:hAnsi="Cambria"/>
          <w:sz w:val="16"/>
          <w:szCs w:val="16"/>
        </w:rPr>
      </w:pPr>
      <w:r w:rsidRPr="007564EF">
        <w:rPr>
          <w:rStyle w:val="FootnoteReference"/>
          <w:rFonts w:ascii="Cambria" w:hAnsi="Cambria"/>
          <w:sz w:val="16"/>
          <w:szCs w:val="16"/>
        </w:rPr>
        <w:footnoteRef/>
      </w:r>
      <w:r w:rsidRPr="007564EF">
        <w:rPr>
          <w:rFonts w:ascii="Cambria" w:hAnsi="Cambria"/>
          <w:sz w:val="16"/>
          <w:szCs w:val="16"/>
        </w:rPr>
        <w:t xml:space="preserve"> Supreme Court of Justice of the Nation, F. 115. XXXIV. Appeal of Fact, Fiscal and civilian party c/ Gorigoitia, Oscar Raúl, August 6, 1998, Attachment to the initial petition.</w:t>
      </w:r>
    </w:p>
  </w:footnote>
  <w:footnote w:id="29">
    <w:p w:rsidR="00730246" w:rsidRPr="007564EF" w:rsidRDefault="00730246" w:rsidP="00520E1A">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after="120"/>
        <w:ind w:left="0" w:firstLine="720"/>
        <w:jc w:val="both"/>
        <w:rPr>
          <w:sz w:val="16"/>
          <w:szCs w:val="16"/>
        </w:rPr>
      </w:pPr>
      <w:r w:rsidRPr="007564EF">
        <w:rPr>
          <w:rStyle w:val="FootnoteReference"/>
          <w:sz w:val="16"/>
          <w:szCs w:val="16"/>
        </w:rPr>
        <w:footnoteRef/>
      </w:r>
      <w:r w:rsidRPr="007564EF">
        <w:rPr>
          <w:sz w:val="16"/>
          <w:szCs w:val="16"/>
        </w:rPr>
        <w:t xml:space="preserve"> Article 8.2 h) of the American Convention establishes the following: Every person accused of a criminal offense has the right to be presumed innocent so long as his guilt has not been proven according to law. During the proceedings, every person is entitled, with full equality, to the following minimum guarantees: (…) h. the right to appeal the judgment to a higher court.</w:t>
      </w:r>
    </w:p>
  </w:footnote>
  <w:footnote w:id="30">
    <w:p w:rsidR="00730246" w:rsidRPr="007564EF" w:rsidRDefault="00730246" w:rsidP="00520E1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9360"/>
        </w:tabs>
        <w:spacing w:after="120"/>
        <w:ind w:firstLine="720"/>
        <w:jc w:val="both"/>
        <w:rPr>
          <w:rFonts w:ascii="Cambria" w:hAnsi="Cambria"/>
          <w:sz w:val="16"/>
          <w:szCs w:val="16"/>
        </w:rPr>
      </w:pPr>
      <w:r w:rsidRPr="007564EF">
        <w:rPr>
          <w:rStyle w:val="FootnoteReference"/>
          <w:rFonts w:ascii="Cambria" w:hAnsi="Cambria"/>
          <w:sz w:val="16"/>
          <w:szCs w:val="16"/>
        </w:rPr>
        <w:footnoteRef/>
      </w:r>
      <w:r w:rsidRPr="007564EF">
        <w:rPr>
          <w:rFonts w:ascii="Cambria" w:hAnsi="Cambria"/>
          <w:sz w:val="16"/>
          <w:szCs w:val="16"/>
        </w:rPr>
        <w:t xml:space="preserve"> Article 25.1 of the American Convention establishes the following: </w:t>
      </w:r>
      <w:r w:rsidRPr="007564EF">
        <w:rPr>
          <w:rFonts w:ascii="Cambria" w:eastAsia="Cambria" w:hAnsi="Cambria" w:cs="Cambria"/>
          <w:color w:val="000000"/>
          <w:sz w:val="16"/>
          <w:szCs w:val="16"/>
          <w:u w:color="000000"/>
          <w:lang w:eastAsia="es-ES"/>
        </w:rPr>
        <w:t>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r w:rsidRPr="007564EF">
        <w:rPr>
          <w:rFonts w:ascii="Cambria" w:hAnsi="Cambria"/>
          <w:sz w:val="16"/>
          <w:szCs w:val="16"/>
        </w:rPr>
        <w:t>.</w:t>
      </w:r>
    </w:p>
  </w:footnote>
  <w:footnote w:id="31">
    <w:p w:rsidR="00730246" w:rsidRPr="007564EF" w:rsidRDefault="00730246" w:rsidP="00520E1A">
      <w:pPr>
        <w:pStyle w:val="FootnoteText"/>
        <w:spacing w:after="120"/>
        <w:ind w:firstLine="720"/>
        <w:jc w:val="both"/>
        <w:rPr>
          <w:rFonts w:ascii="Cambria" w:hAnsi="Cambria"/>
          <w:sz w:val="16"/>
          <w:szCs w:val="16"/>
        </w:rPr>
      </w:pPr>
      <w:r w:rsidRPr="007564EF">
        <w:rPr>
          <w:rStyle w:val="FootnoteReference"/>
          <w:rFonts w:ascii="Cambria" w:hAnsi="Cambria"/>
          <w:sz w:val="16"/>
          <w:szCs w:val="16"/>
        </w:rPr>
        <w:footnoteRef/>
      </w:r>
      <w:r w:rsidRPr="007564EF">
        <w:rPr>
          <w:rFonts w:ascii="Cambria" w:hAnsi="Cambria"/>
          <w:sz w:val="16"/>
          <w:szCs w:val="16"/>
        </w:rPr>
        <w:t xml:space="preserve"> IACHR, </w:t>
      </w:r>
      <w:r w:rsidRPr="007564EF">
        <w:rPr>
          <w:rFonts w:ascii="Cambria" w:eastAsia="Times New Roman" w:hAnsi="Cambria"/>
          <w:sz w:val="16"/>
          <w:szCs w:val="16"/>
        </w:rPr>
        <w:t xml:space="preserve">Report No. 33/14, </w:t>
      </w:r>
      <w:r w:rsidRPr="007564EF">
        <w:rPr>
          <w:rFonts w:ascii="Cambria" w:eastAsia="Times New Roman" w:hAnsi="Cambria" w:cs="Tahoma"/>
          <w:sz w:val="16"/>
          <w:szCs w:val="16"/>
          <w:shd w:val="clear" w:color="auto" w:fill="FFFFFF"/>
        </w:rPr>
        <w:t xml:space="preserve">Case 12.820, Merits, Manfred Amrhein et al., Costa Rica, April 4, 2014, </w:t>
      </w:r>
      <w:r w:rsidRPr="007564EF">
        <w:rPr>
          <w:rFonts w:ascii="Cambria" w:hAnsi="Cambria"/>
          <w:sz w:val="16"/>
          <w:szCs w:val="16"/>
        </w:rPr>
        <w:t>para. 188.</w:t>
      </w:r>
    </w:p>
  </w:footnote>
  <w:footnote w:id="32">
    <w:p w:rsidR="00730246" w:rsidRPr="007564EF" w:rsidRDefault="00730246" w:rsidP="00520E1A">
      <w:pPr>
        <w:spacing w:after="120"/>
        <w:ind w:firstLine="720"/>
        <w:jc w:val="both"/>
        <w:rPr>
          <w:rFonts w:ascii="Cambria" w:hAnsi="Cambria"/>
          <w:sz w:val="16"/>
          <w:szCs w:val="16"/>
        </w:rPr>
      </w:pPr>
      <w:r w:rsidRPr="007564EF">
        <w:rPr>
          <w:rStyle w:val="FootnoteReference"/>
          <w:rFonts w:ascii="Cambria" w:hAnsi="Cambria"/>
          <w:sz w:val="16"/>
          <w:szCs w:val="16"/>
        </w:rPr>
        <w:footnoteRef/>
      </w:r>
      <w:r w:rsidRPr="007564EF">
        <w:rPr>
          <w:rFonts w:ascii="Cambria" w:hAnsi="Cambria"/>
          <w:sz w:val="16"/>
          <w:szCs w:val="16"/>
        </w:rPr>
        <w:t xml:space="preserve"> Inter-American Court. </w:t>
      </w:r>
      <w:r w:rsidRPr="007564EF">
        <w:rPr>
          <w:rFonts w:ascii="Cambria" w:hAnsi="Cambria"/>
          <w:i/>
          <w:sz w:val="16"/>
          <w:szCs w:val="16"/>
        </w:rPr>
        <w:t>Case of Mendoza et al. v. Argentina</w:t>
      </w:r>
      <w:r w:rsidRPr="007564EF">
        <w:rPr>
          <w:rFonts w:ascii="Cambria" w:hAnsi="Cambria"/>
          <w:sz w:val="16"/>
          <w:szCs w:val="16"/>
        </w:rPr>
        <w:t xml:space="preserve">. Judgment of Preliminary Exceptions, Merits and Reparations. May 14, 2013. Series C No. 260, para. 242; </w:t>
      </w:r>
      <w:r w:rsidRPr="007564EF">
        <w:rPr>
          <w:rFonts w:ascii="Cambria" w:hAnsi="Cambria"/>
          <w:i/>
          <w:sz w:val="16"/>
          <w:szCs w:val="16"/>
        </w:rPr>
        <w:t xml:space="preserve">Case of Herrera Ulloa v. Costa Rica. </w:t>
      </w:r>
      <w:r w:rsidRPr="007564EF">
        <w:rPr>
          <w:rFonts w:ascii="Cambria" w:hAnsi="Cambria"/>
          <w:sz w:val="16"/>
          <w:szCs w:val="16"/>
        </w:rPr>
        <w:t>Judgment of Preliminary Objections, Merits, Reparations and Costs.</w:t>
      </w:r>
      <w:r w:rsidRPr="007564EF">
        <w:rPr>
          <w:rFonts w:ascii="Cambria" w:hAnsi="Cambria"/>
          <w:i/>
          <w:sz w:val="16"/>
          <w:szCs w:val="16"/>
        </w:rPr>
        <w:t xml:space="preserve"> </w:t>
      </w:r>
      <w:r w:rsidRPr="007564EF">
        <w:rPr>
          <w:rFonts w:ascii="Cambria" w:hAnsi="Cambria"/>
          <w:sz w:val="16"/>
          <w:szCs w:val="16"/>
        </w:rPr>
        <w:t>Judgment of July 2, 2004. Series C No. 107, para. 158</w:t>
      </w:r>
      <w:r w:rsidRPr="007564EF">
        <w:rPr>
          <w:rFonts w:ascii="Cambria" w:hAnsi="Cambria"/>
          <w:i/>
          <w:sz w:val="16"/>
          <w:szCs w:val="16"/>
        </w:rPr>
        <w:t>,</w:t>
      </w:r>
      <w:r w:rsidRPr="007564EF">
        <w:rPr>
          <w:rFonts w:ascii="Cambria" w:hAnsi="Cambria"/>
          <w:sz w:val="16"/>
          <w:szCs w:val="16"/>
        </w:rPr>
        <w:t xml:space="preserve"> and</w:t>
      </w:r>
      <w:r w:rsidRPr="007564EF">
        <w:rPr>
          <w:rFonts w:ascii="Cambria" w:hAnsi="Cambria"/>
          <w:i/>
          <w:sz w:val="16"/>
          <w:szCs w:val="16"/>
        </w:rPr>
        <w:t xml:space="preserve"> </w:t>
      </w:r>
      <w:r w:rsidRPr="007564EF">
        <w:rPr>
          <w:rFonts w:ascii="Cambria" w:hAnsi="Cambria"/>
          <w:bCs/>
          <w:i/>
          <w:sz w:val="16"/>
          <w:szCs w:val="16"/>
        </w:rPr>
        <w:t xml:space="preserve">Case of Mohamed v. Argentina. </w:t>
      </w:r>
      <w:r w:rsidRPr="007564EF">
        <w:rPr>
          <w:rFonts w:ascii="Cambria" w:hAnsi="Cambria"/>
          <w:bCs/>
          <w:sz w:val="16"/>
          <w:szCs w:val="16"/>
        </w:rPr>
        <w:t>Judgment of Preliminary Objection, Merits, Reparations and Costs</w:t>
      </w:r>
      <w:r w:rsidRPr="007564EF">
        <w:rPr>
          <w:rFonts w:ascii="Cambria" w:hAnsi="Cambria"/>
          <w:sz w:val="16"/>
          <w:szCs w:val="16"/>
        </w:rPr>
        <w:t>. November 23, 2012. Series C No. 255, para. 97.</w:t>
      </w:r>
    </w:p>
  </w:footnote>
  <w:footnote w:id="33">
    <w:p w:rsidR="00730246" w:rsidRPr="007564EF" w:rsidRDefault="00730246" w:rsidP="00520E1A">
      <w:pPr>
        <w:tabs>
          <w:tab w:val="left" w:pos="720"/>
        </w:tabs>
        <w:spacing w:after="120"/>
        <w:ind w:firstLine="720"/>
        <w:jc w:val="both"/>
        <w:rPr>
          <w:rFonts w:ascii="Cambria" w:hAnsi="Cambria"/>
          <w:sz w:val="16"/>
          <w:szCs w:val="16"/>
        </w:rPr>
      </w:pPr>
      <w:r w:rsidRPr="007564EF">
        <w:rPr>
          <w:rStyle w:val="FootnoteReference"/>
          <w:rFonts w:ascii="Cambria" w:hAnsi="Cambria"/>
          <w:sz w:val="16"/>
          <w:szCs w:val="16"/>
        </w:rPr>
        <w:footnoteRef/>
      </w:r>
      <w:r w:rsidRPr="007564EF">
        <w:rPr>
          <w:rFonts w:ascii="Cambria" w:hAnsi="Cambria"/>
          <w:sz w:val="16"/>
          <w:szCs w:val="16"/>
        </w:rPr>
        <w:t xml:space="preserve"> Inter-American Court. </w:t>
      </w:r>
      <w:r w:rsidRPr="007564EF">
        <w:rPr>
          <w:rFonts w:ascii="Cambria" w:hAnsi="Cambria"/>
          <w:i/>
          <w:sz w:val="16"/>
          <w:szCs w:val="16"/>
        </w:rPr>
        <w:t>Case of Herrera Ulloa v. Costa Rica</w:t>
      </w:r>
      <w:r w:rsidRPr="007564EF">
        <w:rPr>
          <w:rFonts w:ascii="Cambria" w:hAnsi="Cambria"/>
          <w:sz w:val="16"/>
          <w:szCs w:val="16"/>
        </w:rPr>
        <w:t xml:space="preserve">. Judgment of Preliminary Objections, Merits, Reparations and Costs. July 2, 2004. Series C No. 107, para. 158. See, in general: IACHR, </w:t>
      </w:r>
      <w:hyperlink r:id="rId1" w:history="1">
        <w:r w:rsidRPr="007564EF">
          <w:rPr>
            <w:rStyle w:val="Hyperlink"/>
            <w:rFonts w:ascii="Cambria" w:eastAsia="Times New Roman" w:hAnsi="Cambria" w:cs="Tahoma"/>
            <w:sz w:val="16"/>
            <w:szCs w:val="16"/>
            <w:shd w:val="clear" w:color="auto" w:fill="FFFFFF"/>
          </w:rPr>
          <w:t>Report No. 24/17</w:t>
        </w:r>
      </w:hyperlink>
      <w:r w:rsidRPr="007564EF">
        <w:rPr>
          <w:rFonts w:ascii="Cambria" w:eastAsia="Times New Roman" w:hAnsi="Cambria" w:cs="Tahoma"/>
          <w:sz w:val="16"/>
          <w:szCs w:val="16"/>
          <w:shd w:val="clear" w:color="auto" w:fill="FFFFFF"/>
        </w:rPr>
        <w:t xml:space="preserve">, Case 12.254, Merits. Víctor Hugo Saldaño. United States. March 18, 2017, </w:t>
      </w:r>
      <w:r w:rsidRPr="007564EF">
        <w:rPr>
          <w:rFonts w:ascii="Cambria" w:hAnsi="Cambria"/>
          <w:sz w:val="16"/>
          <w:szCs w:val="16"/>
        </w:rPr>
        <w:t>para. 204.</w:t>
      </w:r>
    </w:p>
  </w:footnote>
  <w:footnote w:id="34">
    <w:p w:rsidR="00730246" w:rsidRPr="007564EF" w:rsidRDefault="00730246" w:rsidP="00520E1A">
      <w:pPr>
        <w:pStyle w:val="FootnoteText"/>
        <w:tabs>
          <w:tab w:val="left" w:pos="720"/>
        </w:tabs>
        <w:spacing w:after="120"/>
        <w:ind w:firstLine="720"/>
        <w:jc w:val="both"/>
        <w:rPr>
          <w:rFonts w:ascii="Cambria" w:hAnsi="Cambria"/>
          <w:sz w:val="16"/>
          <w:szCs w:val="16"/>
        </w:rPr>
      </w:pPr>
      <w:r w:rsidRPr="007564EF">
        <w:rPr>
          <w:rStyle w:val="FootnoteReference"/>
          <w:rFonts w:ascii="Cambria" w:hAnsi="Cambria"/>
          <w:sz w:val="16"/>
          <w:szCs w:val="16"/>
        </w:rPr>
        <w:footnoteRef/>
      </w:r>
      <w:r w:rsidRPr="007564EF">
        <w:rPr>
          <w:rFonts w:ascii="Cambria" w:hAnsi="Cambria"/>
          <w:sz w:val="16"/>
          <w:szCs w:val="16"/>
        </w:rPr>
        <w:t xml:space="preserve"> IACHR, Report No. 55/97, Case 11.137, Merits, Juan Carlos Abella (Argentina), November 18, 1997, para. 252.</w:t>
      </w:r>
    </w:p>
  </w:footnote>
  <w:footnote w:id="35">
    <w:p w:rsidR="00730246" w:rsidRPr="007564EF" w:rsidRDefault="00730246" w:rsidP="00520E1A">
      <w:pPr>
        <w:spacing w:after="120"/>
        <w:ind w:firstLine="720"/>
        <w:jc w:val="both"/>
        <w:rPr>
          <w:rFonts w:ascii="Cambria" w:hAnsi="Cambria" w:cs="Arial"/>
          <w:sz w:val="16"/>
          <w:szCs w:val="16"/>
        </w:rPr>
      </w:pPr>
      <w:r w:rsidRPr="007564EF">
        <w:rPr>
          <w:rStyle w:val="FootnoteReference"/>
          <w:rFonts w:ascii="Cambria" w:hAnsi="Cambria"/>
          <w:sz w:val="16"/>
          <w:szCs w:val="16"/>
        </w:rPr>
        <w:footnoteRef/>
      </w:r>
      <w:r w:rsidRPr="007564EF">
        <w:rPr>
          <w:rFonts w:ascii="Cambria" w:hAnsi="Cambria"/>
          <w:sz w:val="16"/>
          <w:szCs w:val="16"/>
        </w:rPr>
        <w:t xml:space="preserve"> Inter-American Court. </w:t>
      </w:r>
      <w:r w:rsidRPr="007564EF">
        <w:rPr>
          <w:rFonts w:ascii="Cambria" w:hAnsi="Cambria"/>
          <w:i/>
          <w:sz w:val="16"/>
          <w:szCs w:val="16"/>
        </w:rPr>
        <w:t>Case of Mendoza et al. v. Argentina</w:t>
      </w:r>
      <w:r w:rsidRPr="007564EF">
        <w:rPr>
          <w:rFonts w:ascii="Cambria" w:hAnsi="Cambria"/>
          <w:sz w:val="16"/>
          <w:szCs w:val="16"/>
        </w:rPr>
        <w:t xml:space="preserve">. Judgment of Preliminary Exceptions, Merits and Reparations. May 14, 2013. Series C No. 260, para. 242; </w:t>
      </w:r>
      <w:r w:rsidRPr="007564EF">
        <w:rPr>
          <w:rFonts w:ascii="Cambria" w:hAnsi="Cambria"/>
          <w:i/>
          <w:sz w:val="16"/>
          <w:szCs w:val="16"/>
        </w:rPr>
        <w:t xml:space="preserve">Case of Barreto Leiva v. Venezuela. </w:t>
      </w:r>
      <w:r w:rsidRPr="007564EF">
        <w:rPr>
          <w:rFonts w:ascii="Cambria" w:hAnsi="Cambria"/>
          <w:sz w:val="16"/>
          <w:szCs w:val="16"/>
        </w:rPr>
        <w:t>Judgment of Merits, Reparations and Costs. November 17, 2009. Series C No. 206</w:t>
      </w:r>
      <w:r w:rsidRPr="007564EF">
        <w:rPr>
          <w:rFonts w:ascii="Cambria" w:hAnsi="Cambria"/>
          <w:i/>
          <w:sz w:val="16"/>
          <w:szCs w:val="16"/>
        </w:rPr>
        <w:t xml:space="preserve">, </w:t>
      </w:r>
      <w:r w:rsidRPr="007564EF">
        <w:rPr>
          <w:rFonts w:ascii="Cambria" w:hAnsi="Cambria"/>
          <w:sz w:val="16"/>
          <w:szCs w:val="16"/>
        </w:rPr>
        <w:t xml:space="preserve">para. 89; </w:t>
      </w:r>
      <w:r w:rsidRPr="007564EF">
        <w:rPr>
          <w:rFonts w:ascii="Cambria" w:hAnsi="Cambria"/>
          <w:bCs/>
          <w:i/>
          <w:sz w:val="16"/>
          <w:szCs w:val="16"/>
        </w:rPr>
        <w:t xml:space="preserve">Case of Mohamed v. Argentina. </w:t>
      </w:r>
      <w:r w:rsidRPr="007564EF">
        <w:rPr>
          <w:rFonts w:ascii="Cambria" w:hAnsi="Cambria"/>
          <w:bCs/>
          <w:sz w:val="16"/>
          <w:szCs w:val="16"/>
        </w:rPr>
        <w:t>Judgment of Preliminary Objection, Merits, Reparations and Costs</w:t>
      </w:r>
      <w:r w:rsidRPr="007564EF">
        <w:rPr>
          <w:rFonts w:ascii="Cambria" w:hAnsi="Cambria"/>
          <w:sz w:val="16"/>
          <w:szCs w:val="16"/>
        </w:rPr>
        <w:t xml:space="preserve">. November 23, 2012. Series C No. 255, para. 97; </w:t>
      </w:r>
      <w:r w:rsidRPr="007564EF">
        <w:rPr>
          <w:rFonts w:ascii="Cambria" w:hAnsi="Cambria" w:cs="Arial"/>
          <w:sz w:val="16"/>
          <w:szCs w:val="16"/>
        </w:rPr>
        <w:t>Inter-American Court. Case of Liakat Ali Alibux v. Suriname. Preliminary Exceptions, Merits, Reparations and Costs. Judgment of January 30, 2014. Series C No. 276, para. 85.</w:t>
      </w:r>
    </w:p>
  </w:footnote>
  <w:footnote w:id="36">
    <w:p w:rsidR="00730246" w:rsidRPr="007564EF" w:rsidRDefault="00730246" w:rsidP="00520E1A">
      <w:pPr>
        <w:tabs>
          <w:tab w:val="left" w:pos="720"/>
        </w:tabs>
        <w:spacing w:after="120"/>
        <w:ind w:firstLine="720"/>
        <w:jc w:val="both"/>
        <w:rPr>
          <w:rFonts w:ascii="Cambria" w:hAnsi="Cambria"/>
          <w:sz w:val="16"/>
          <w:szCs w:val="16"/>
        </w:rPr>
      </w:pPr>
      <w:r w:rsidRPr="007564EF">
        <w:rPr>
          <w:rStyle w:val="FootnoteReference"/>
          <w:rFonts w:ascii="Cambria" w:hAnsi="Cambria"/>
          <w:sz w:val="16"/>
          <w:szCs w:val="16"/>
        </w:rPr>
        <w:footnoteRef/>
      </w:r>
      <w:r w:rsidRPr="007564EF">
        <w:rPr>
          <w:rFonts w:ascii="Cambria" w:hAnsi="Cambria"/>
          <w:sz w:val="16"/>
          <w:szCs w:val="16"/>
        </w:rPr>
        <w:t xml:space="preserve"> Inter-American Court. </w:t>
      </w:r>
      <w:r w:rsidRPr="007564EF">
        <w:rPr>
          <w:rFonts w:ascii="Cambria" w:hAnsi="Cambria"/>
          <w:i/>
          <w:sz w:val="16"/>
          <w:szCs w:val="16"/>
        </w:rPr>
        <w:t>Case of Herrera Ulloa v. Costa Rica</w:t>
      </w:r>
      <w:r w:rsidRPr="007564EF">
        <w:rPr>
          <w:rFonts w:ascii="Cambria" w:hAnsi="Cambria"/>
          <w:sz w:val="16"/>
          <w:szCs w:val="16"/>
        </w:rPr>
        <w:t xml:space="preserve">. Judgment of Preliminary Objections, Merits, Reparations and Costs. July 2, 2004. Series C No. 107, para. 165; United Nations Human Rights Committee. </w:t>
      </w:r>
      <w:r w:rsidRPr="007564EF">
        <w:rPr>
          <w:rFonts w:ascii="Cambria" w:hAnsi="Cambria"/>
          <w:i/>
          <w:sz w:val="16"/>
          <w:szCs w:val="16"/>
        </w:rPr>
        <w:t>Gómez Vázquez v. Spain</w:t>
      </w:r>
      <w:r w:rsidRPr="007564EF">
        <w:rPr>
          <w:rFonts w:ascii="Cambria" w:hAnsi="Cambria"/>
          <w:sz w:val="16"/>
          <w:szCs w:val="16"/>
        </w:rPr>
        <w:t>. Communication No. 701/1996. Decision of 11 August 2000, para. 11.1.</w:t>
      </w:r>
    </w:p>
  </w:footnote>
  <w:footnote w:id="37">
    <w:p w:rsidR="00730246" w:rsidRPr="007564EF" w:rsidRDefault="00730246" w:rsidP="00520E1A">
      <w:pPr>
        <w:pStyle w:val="FootnoteText"/>
        <w:tabs>
          <w:tab w:val="left" w:pos="720"/>
        </w:tabs>
        <w:spacing w:after="120"/>
        <w:ind w:firstLine="720"/>
        <w:jc w:val="both"/>
        <w:rPr>
          <w:rFonts w:ascii="Cambria" w:hAnsi="Cambria"/>
          <w:sz w:val="16"/>
          <w:szCs w:val="16"/>
        </w:rPr>
      </w:pPr>
      <w:r w:rsidRPr="007564EF">
        <w:rPr>
          <w:rStyle w:val="FootnoteReference"/>
          <w:rFonts w:ascii="Cambria" w:hAnsi="Cambria"/>
          <w:sz w:val="16"/>
          <w:szCs w:val="16"/>
        </w:rPr>
        <w:footnoteRef/>
      </w:r>
      <w:r w:rsidRPr="007564EF">
        <w:rPr>
          <w:rFonts w:ascii="Cambria" w:hAnsi="Cambria"/>
          <w:sz w:val="16"/>
          <w:szCs w:val="16"/>
        </w:rPr>
        <w:t xml:space="preserve"> United Nations Human Rights Committee. </w:t>
      </w:r>
      <w:r w:rsidRPr="007564EF">
        <w:rPr>
          <w:rFonts w:ascii="Cambria" w:hAnsi="Cambria"/>
          <w:i/>
          <w:sz w:val="16"/>
          <w:szCs w:val="16"/>
        </w:rPr>
        <w:t xml:space="preserve">Bandajevsky v. Belarus. </w:t>
      </w:r>
      <w:r w:rsidRPr="007564EF">
        <w:rPr>
          <w:rFonts w:ascii="Cambria" w:hAnsi="Cambria"/>
          <w:sz w:val="16"/>
          <w:szCs w:val="16"/>
        </w:rPr>
        <w:t xml:space="preserve">Communication No. 1100/202, Decision of 18 April 2006, para. 11.13. Inter-American Court. </w:t>
      </w:r>
      <w:r w:rsidRPr="007564EF">
        <w:rPr>
          <w:rFonts w:ascii="Cambria" w:hAnsi="Cambria"/>
          <w:i/>
          <w:sz w:val="16"/>
          <w:szCs w:val="16"/>
        </w:rPr>
        <w:t>Case of Herrera Ulloa v. Costa Rica</w:t>
      </w:r>
      <w:r w:rsidRPr="007564EF">
        <w:rPr>
          <w:rFonts w:ascii="Cambria" w:hAnsi="Cambria"/>
          <w:sz w:val="16"/>
          <w:szCs w:val="16"/>
        </w:rPr>
        <w:t xml:space="preserve">. Judgment of Preliminary Objections, Merits, Reparations and Costs. July 2, 2004. Series C No. 107, para. 158; and </w:t>
      </w:r>
      <w:r w:rsidRPr="007564EF">
        <w:rPr>
          <w:rFonts w:ascii="Cambria" w:hAnsi="Cambria"/>
          <w:i/>
          <w:sz w:val="16"/>
          <w:szCs w:val="16"/>
        </w:rPr>
        <w:t>Case of Mendoza et al. v. Argentina</w:t>
      </w:r>
      <w:r w:rsidRPr="007564EF">
        <w:rPr>
          <w:rFonts w:ascii="Cambria" w:hAnsi="Cambria"/>
          <w:sz w:val="16"/>
          <w:szCs w:val="16"/>
        </w:rPr>
        <w:t>. Judgment of Preliminary Exceptions, Merits and Reparations. May 14, 2013. Series C No. 260, para. 244.</w:t>
      </w:r>
    </w:p>
  </w:footnote>
  <w:footnote w:id="38">
    <w:p w:rsidR="00730246" w:rsidRPr="007564EF" w:rsidRDefault="00730246" w:rsidP="00520E1A">
      <w:pPr>
        <w:tabs>
          <w:tab w:val="left" w:pos="720"/>
        </w:tabs>
        <w:spacing w:after="120"/>
        <w:ind w:firstLine="720"/>
        <w:jc w:val="both"/>
        <w:rPr>
          <w:rFonts w:ascii="Cambria" w:hAnsi="Cambria"/>
          <w:sz w:val="16"/>
          <w:szCs w:val="16"/>
        </w:rPr>
      </w:pPr>
      <w:r w:rsidRPr="007564EF">
        <w:rPr>
          <w:rStyle w:val="FootnoteReference"/>
          <w:rFonts w:ascii="Cambria" w:hAnsi="Cambria"/>
          <w:sz w:val="16"/>
          <w:szCs w:val="16"/>
        </w:rPr>
        <w:footnoteRef/>
      </w:r>
      <w:r w:rsidRPr="007564EF">
        <w:rPr>
          <w:rFonts w:ascii="Cambria" w:hAnsi="Cambria"/>
          <w:sz w:val="16"/>
          <w:szCs w:val="16"/>
        </w:rPr>
        <w:t xml:space="preserve"> Inter-American Court. </w:t>
      </w:r>
      <w:r w:rsidRPr="007564EF">
        <w:rPr>
          <w:rFonts w:ascii="Cambria" w:hAnsi="Cambria"/>
          <w:i/>
          <w:sz w:val="16"/>
          <w:szCs w:val="16"/>
        </w:rPr>
        <w:t>Case of Herrera Ulloa v. Costa Rica</w:t>
      </w:r>
      <w:r w:rsidRPr="007564EF">
        <w:rPr>
          <w:rFonts w:ascii="Cambria" w:hAnsi="Cambria"/>
          <w:sz w:val="16"/>
          <w:szCs w:val="16"/>
        </w:rPr>
        <w:t xml:space="preserve">. Judgment of Preliminary Objections, Merits, Reparations and Costs. July 2, 2004. Series C No. 107, para. 161; and </w:t>
      </w:r>
      <w:r w:rsidRPr="007564EF">
        <w:rPr>
          <w:rFonts w:ascii="Cambria" w:hAnsi="Cambria"/>
          <w:i/>
          <w:sz w:val="16"/>
          <w:szCs w:val="16"/>
        </w:rPr>
        <w:t>Case of Mendoza et al. v. Argentina</w:t>
      </w:r>
      <w:r w:rsidRPr="007564EF">
        <w:rPr>
          <w:rFonts w:ascii="Cambria" w:hAnsi="Cambria"/>
          <w:sz w:val="16"/>
          <w:szCs w:val="16"/>
        </w:rPr>
        <w:t>. Judgment of Preliminary Exceptions, Merits and Reparations. May 14, 2013. Series C No. 260, para. 244.</w:t>
      </w:r>
    </w:p>
  </w:footnote>
  <w:footnote w:id="39">
    <w:p w:rsidR="00730246" w:rsidRPr="007564EF" w:rsidRDefault="00730246" w:rsidP="00520E1A">
      <w:pPr>
        <w:pStyle w:val="FootnoteText"/>
        <w:tabs>
          <w:tab w:val="left" w:pos="720"/>
        </w:tabs>
        <w:spacing w:after="120"/>
        <w:ind w:firstLine="720"/>
        <w:jc w:val="both"/>
        <w:rPr>
          <w:rFonts w:ascii="Cambria" w:hAnsi="Cambria"/>
          <w:sz w:val="16"/>
          <w:szCs w:val="16"/>
        </w:rPr>
      </w:pPr>
      <w:r w:rsidRPr="007564EF">
        <w:rPr>
          <w:rStyle w:val="FootnoteReference"/>
          <w:rFonts w:ascii="Cambria" w:hAnsi="Cambria"/>
          <w:sz w:val="16"/>
          <w:szCs w:val="16"/>
        </w:rPr>
        <w:footnoteRef/>
      </w:r>
      <w:r w:rsidRPr="007564EF">
        <w:rPr>
          <w:rFonts w:ascii="Cambria" w:hAnsi="Cambria"/>
          <w:sz w:val="16"/>
          <w:szCs w:val="16"/>
        </w:rPr>
        <w:t xml:space="preserve"> Inter-American Court. </w:t>
      </w:r>
      <w:r w:rsidRPr="007564EF">
        <w:rPr>
          <w:rFonts w:ascii="Cambria" w:hAnsi="Cambria"/>
          <w:i/>
          <w:sz w:val="16"/>
          <w:szCs w:val="16"/>
        </w:rPr>
        <w:t>Case of Herrera Ulloa v. Costa Rica</w:t>
      </w:r>
      <w:r w:rsidRPr="007564EF">
        <w:rPr>
          <w:rFonts w:ascii="Cambria" w:hAnsi="Cambria"/>
          <w:sz w:val="16"/>
          <w:szCs w:val="16"/>
        </w:rPr>
        <w:t xml:space="preserve">. Judgment of Preliminary Objections, Merits, Reparations and Costs. July 2, 2004. Series C No. 107, para. 164; and </w:t>
      </w:r>
      <w:r w:rsidRPr="007564EF">
        <w:rPr>
          <w:rFonts w:ascii="Cambria" w:hAnsi="Cambria"/>
          <w:i/>
          <w:sz w:val="16"/>
          <w:szCs w:val="16"/>
        </w:rPr>
        <w:t>Case of Mendoza et al. v. Argentina</w:t>
      </w:r>
      <w:r w:rsidRPr="007564EF">
        <w:rPr>
          <w:rFonts w:ascii="Cambria" w:hAnsi="Cambria"/>
          <w:sz w:val="16"/>
          <w:szCs w:val="16"/>
        </w:rPr>
        <w:t>. Judgment of Preliminary Exceptions, Merits and Reparations. May 14, 2013. Series C No. 260, para. 244.</w:t>
      </w:r>
    </w:p>
  </w:footnote>
  <w:footnote w:id="40">
    <w:p w:rsidR="00730246" w:rsidRPr="007564EF" w:rsidRDefault="00730246" w:rsidP="00520E1A">
      <w:pPr>
        <w:pStyle w:val="FootnoteText"/>
        <w:spacing w:after="120"/>
        <w:ind w:firstLine="720"/>
        <w:jc w:val="both"/>
        <w:rPr>
          <w:rFonts w:ascii="Cambria" w:hAnsi="Cambria"/>
          <w:sz w:val="16"/>
          <w:szCs w:val="16"/>
        </w:rPr>
      </w:pPr>
      <w:r w:rsidRPr="007564EF">
        <w:rPr>
          <w:rStyle w:val="FootnoteReference"/>
          <w:rFonts w:ascii="Cambria" w:hAnsi="Cambria"/>
          <w:sz w:val="16"/>
          <w:szCs w:val="16"/>
        </w:rPr>
        <w:footnoteRef/>
      </w:r>
      <w:r w:rsidRPr="007564EF">
        <w:rPr>
          <w:rFonts w:ascii="Cambria" w:hAnsi="Cambria"/>
          <w:sz w:val="16"/>
          <w:szCs w:val="16"/>
        </w:rPr>
        <w:t xml:space="preserve"> IACHR, </w:t>
      </w:r>
      <w:r w:rsidRPr="007564EF">
        <w:rPr>
          <w:rFonts w:ascii="Cambria" w:eastAsia="Times New Roman" w:hAnsi="Cambria"/>
          <w:sz w:val="16"/>
          <w:szCs w:val="16"/>
        </w:rPr>
        <w:t xml:space="preserve">Report No. 33/14, </w:t>
      </w:r>
      <w:r w:rsidRPr="007564EF">
        <w:rPr>
          <w:rFonts w:ascii="Cambria" w:eastAsia="Times New Roman" w:hAnsi="Cambria" w:cs="Tahoma"/>
          <w:sz w:val="16"/>
          <w:szCs w:val="16"/>
          <w:shd w:val="clear" w:color="auto" w:fill="FFFFFF"/>
        </w:rPr>
        <w:t xml:space="preserve">Case 12.820, Merits, Manfred Amrhein et al., Costa Rica, April 4, 2014, </w:t>
      </w:r>
      <w:r w:rsidRPr="007564EF">
        <w:rPr>
          <w:rFonts w:ascii="Cambria" w:hAnsi="Cambria"/>
          <w:sz w:val="16"/>
          <w:szCs w:val="16"/>
        </w:rPr>
        <w:t>para. 188.</w:t>
      </w:r>
    </w:p>
  </w:footnote>
  <w:footnote w:id="41">
    <w:p w:rsidR="00730246" w:rsidRPr="007564EF" w:rsidRDefault="00730246" w:rsidP="00520E1A">
      <w:pPr>
        <w:pStyle w:val="FootnoteText"/>
        <w:spacing w:after="120"/>
        <w:ind w:firstLine="720"/>
        <w:jc w:val="both"/>
        <w:rPr>
          <w:rFonts w:ascii="Cambria" w:hAnsi="Cambria"/>
          <w:sz w:val="16"/>
          <w:szCs w:val="16"/>
        </w:rPr>
      </w:pPr>
      <w:r w:rsidRPr="007564EF">
        <w:rPr>
          <w:rStyle w:val="FootnoteReference"/>
          <w:rFonts w:ascii="Cambria" w:hAnsi="Cambria"/>
          <w:sz w:val="16"/>
          <w:szCs w:val="16"/>
        </w:rPr>
        <w:footnoteRef/>
      </w:r>
      <w:r w:rsidRPr="007564EF">
        <w:rPr>
          <w:rFonts w:ascii="Cambria" w:hAnsi="Cambria"/>
          <w:sz w:val="16"/>
          <w:szCs w:val="16"/>
        </w:rPr>
        <w:t xml:space="preserve"> IACHR, Report No. 172/10, Case 12.561, Merits, César Alberto Mendoza et al. (Juveniles sentenced to life time imprisonment), Argentina, November 2, 2010, para. 186.</w:t>
      </w:r>
    </w:p>
  </w:footnote>
  <w:footnote w:id="42">
    <w:p w:rsidR="00730246" w:rsidRPr="007564EF" w:rsidRDefault="00730246" w:rsidP="00520E1A">
      <w:pPr>
        <w:pStyle w:val="FootnoteText"/>
        <w:tabs>
          <w:tab w:val="left" w:pos="720"/>
        </w:tabs>
        <w:spacing w:after="120"/>
        <w:ind w:firstLine="720"/>
        <w:jc w:val="both"/>
        <w:rPr>
          <w:rFonts w:ascii="Cambria" w:hAnsi="Cambria"/>
          <w:sz w:val="16"/>
          <w:szCs w:val="16"/>
        </w:rPr>
      </w:pPr>
      <w:r w:rsidRPr="007564EF">
        <w:rPr>
          <w:rStyle w:val="FootnoteReference"/>
          <w:rFonts w:ascii="Cambria" w:hAnsi="Cambria"/>
          <w:sz w:val="16"/>
          <w:szCs w:val="16"/>
        </w:rPr>
        <w:footnoteRef/>
      </w:r>
      <w:r w:rsidRPr="007564EF">
        <w:rPr>
          <w:rFonts w:ascii="Cambria" w:hAnsi="Cambria"/>
          <w:sz w:val="16"/>
          <w:szCs w:val="16"/>
        </w:rPr>
        <w:t xml:space="preserve"> IACHR, Report No. 55/97, Case 11.137, Merits, Juan Carlos Abella, Argentina, November 18, 1997, paras. 261-262.</w:t>
      </w:r>
    </w:p>
  </w:footnote>
  <w:footnote w:id="43">
    <w:p w:rsidR="00730246" w:rsidRPr="007564EF" w:rsidRDefault="00730246" w:rsidP="00520E1A">
      <w:pPr>
        <w:pStyle w:val="FootnoteText"/>
        <w:tabs>
          <w:tab w:val="left" w:pos="720"/>
        </w:tabs>
        <w:spacing w:after="120"/>
        <w:ind w:firstLine="720"/>
        <w:jc w:val="both"/>
        <w:rPr>
          <w:rFonts w:ascii="Cambria" w:hAnsi="Cambria"/>
          <w:sz w:val="16"/>
          <w:szCs w:val="16"/>
        </w:rPr>
      </w:pPr>
      <w:r w:rsidRPr="007564EF">
        <w:rPr>
          <w:rStyle w:val="FootnoteReference"/>
          <w:rFonts w:ascii="Cambria" w:hAnsi="Cambria"/>
          <w:sz w:val="16"/>
          <w:szCs w:val="16"/>
        </w:rPr>
        <w:footnoteRef/>
      </w:r>
      <w:r w:rsidRPr="007564EF">
        <w:rPr>
          <w:rFonts w:ascii="Cambria" w:hAnsi="Cambria"/>
          <w:sz w:val="16"/>
          <w:szCs w:val="16"/>
        </w:rPr>
        <w:t xml:space="preserve"> The wording of Article 14.5 of International Covenant on Civil and Political Rights (CCPR) is substantially similar to that of Article 8.2.h of the American Convention; therefore the interpretations made by the United Nations Human Rights Committee in connection with the contents and scope of this article are relevant as a guidelines for interpreting Article 8.2.h of the American Convention.</w:t>
      </w:r>
    </w:p>
  </w:footnote>
  <w:footnote w:id="44">
    <w:p w:rsidR="00730246" w:rsidRPr="007564EF" w:rsidRDefault="00730246" w:rsidP="00520E1A">
      <w:pPr>
        <w:pStyle w:val="FootnoteText"/>
        <w:tabs>
          <w:tab w:val="left" w:pos="720"/>
        </w:tabs>
        <w:spacing w:after="120"/>
        <w:ind w:firstLine="720"/>
        <w:jc w:val="both"/>
        <w:rPr>
          <w:rFonts w:ascii="Cambria" w:hAnsi="Cambria" w:cs="Times-Roman"/>
          <w:i/>
          <w:sz w:val="16"/>
          <w:szCs w:val="16"/>
          <w:lang w:bidi="en-US"/>
        </w:rPr>
      </w:pPr>
      <w:r w:rsidRPr="007564EF">
        <w:rPr>
          <w:rStyle w:val="FootnoteReference"/>
          <w:rFonts w:ascii="Cambria" w:hAnsi="Cambria"/>
          <w:sz w:val="16"/>
          <w:szCs w:val="16"/>
        </w:rPr>
        <w:footnoteRef/>
      </w:r>
      <w:r w:rsidRPr="007564EF">
        <w:rPr>
          <w:rFonts w:ascii="Cambria" w:hAnsi="Cambria"/>
          <w:sz w:val="16"/>
          <w:szCs w:val="16"/>
        </w:rPr>
        <w:t xml:space="preserve"> United Nations Human Rights Committee. </w:t>
      </w:r>
      <w:r w:rsidRPr="007564EF">
        <w:rPr>
          <w:rFonts w:ascii="Cambria" w:hAnsi="Cambria" w:cs="Times-Roman"/>
          <w:i/>
          <w:sz w:val="16"/>
          <w:szCs w:val="16"/>
          <w:lang w:bidi="en-US"/>
        </w:rPr>
        <w:t>Aliboev v. Tajikistan</w:t>
      </w:r>
      <w:r w:rsidRPr="007564EF">
        <w:rPr>
          <w:rFonts w:ascii="Cambria" w:hAnsi="Cambria" w:cs="Times-Roman"/>
          <w:sz w:val="16"/>
          <w:szCs w:val="16"/>
          <w:lang w:bidi="en-US"/>
        </w:rPr>
        <w:t xml:space="preserve">, Communication No. 985/2001, Decision of 18 October 2005; </w:t>
      </w:r>
      <w:r w:rsidRPr="007564EF">
        <w:rPr>
          <w:rFonts w:ascii="Cambria" w:hAnsi="Cambria" w:cs="Times-Roman"/>
          <w:i/>
          <w:sz w:val="16"/>
          <w:szCs w:val="16"/>
          <w:lang w:bidi="en-US"/>
        </w:rPr>
        <w:t>Khalilov v. Tajikistan</w:t>
      </w:r>
      <w:r w:rsidRPr="007564EF">
        <w:rPr>
          <w:rFonts w:ascii="Cambria" w:hAnsi="Cambria" w:cs="Times-Roman"/>
          <w:sz w:val="16"/>
          <w:szCs w:val="16"/>
          <w:lang w:bidi="en-US"/>
        </w:rPr>
        <w:t xml:space="preserve">, Communication No. 973/2001, Decision of 30 March 2005; </w:t>
      </w:r>
      <w:r w:rsidRPr="007564EF">
        <w:rPr>
          <w:rFonts w:ascii="Cambria" w:hAnsi="Cambria" w:cs="Times-Roman"/>
          <w:i/>
          <w:sz w:val="16"/>
          <w:szCs w:val="16"/>
          <w:lang w:bidi="en-US"/>
        </w:rPr>
        <w:t xml:space="preserve">Domukovsky et al. v. Georgia, </w:t>
      </w:r>
      <w:r w:rsidRPr="007564EF">
        <w:rPr>
          <w:rFonts w:ascii="Cambria" w:hAnsi="Cambria" w:cs="Times-Roman"/>
          <w:sz w:val="16"/>
          <w:szCs w:val="16"/>
          <w:lang w:bidi="en-US"/>
        </w:rPr>
        <w:t xml:space="preserve">Communication No. 623-627/1995, Decision of 6 April 1998; and </w:t>
      </w:r>
      <w:r w:rsidRPr="007564EF">
        <w:rPr>
          <w:rFonts w:ascii="Cambria" w:hAnsi="Cambria" w:cs="Times-Roman"/>
          <w:i/>
          <w:sz w:val="16"/>
          <w:szCs w:val="16"/>
          <w:lang w:bidi="en-US"/>
        </w:rPr>
        <w:t>Saidova v. Tajikistan</w:t>
      </w:r>
      <w:r w:rsidRPr="007564EF">
        <w:rPr>
          <w:rFonts w:ascii="Cambria" w:hAnsi="Cambria" w:cs="Times-Roman"/>
          <w:sz w:val="16"/>
          <w:szCs w:val="16"/>
          <w:lang w:bidi="en-US"/>
        </w:rPr>
        <w:t>, Communication No. 964/2001, Decision of 8 July 2004.</w:t>
      </w:r>
    </w:p>
  </w:footnote>
  <w:footnote w:id="45">
    <w:p w:rsidR="00730246" w:rsidRPr="007564EF" w:rsidRDefault="00730246" w:rsidP="00520E1A">
      <w:pPr>
        <w:pStyle w:val="FootnoteText"/>
        <w:tabs>
          <w:tab w:val="left" w:pos="720"/>
        </w:tabs>
        <w:spacing w:after="120"/>
        <w:ind w:firstLine="720"/>
        <w:jc w:val="both"/>
        <w:rPr>
          <w:rFonts w:ascii="Cambria" w:hAnsi="Cambria"/>
          <w:sz w:val="16"/>
          <w:szCs w:val="16"/>
        </w:rPr>
      </w:pPr>
      <w:r w:rsidRPr="007564EF">
        <w:rPr>
          <w:rStyle w:val="FootnoteReference"/>
          <w:rFonts w:ascii="Cambria" w:hAnsi="Cambria"/>
          <w:sz w:val="16"/>
          <w:szCs w:val="16"/>
        </w:rPr>
        <w:footnoteRef/>
      </w:r>
      <w:r w:rsidRPr="007564EF">
        <w:rPr>
          <w:rFonts w:ascii="Cambria" w:hAnsi="Cambria"/>
          <w:sz w:val="16"/>
          <w:szCs w:val="16"/>
        </w:rPr>
        <w:t xml:space="preserve"> United Nations Human Rights Committee. General Comment No. 32 “</w:t>
      </w:r>
      <w:r w:rsidRPr="007564EF">
        <w:rPr>
          <w:rFonts w:ascii="Cambria" w:hAnsi="Cambria"/>
          <w:iCs/>
          <w:sz w:val="16"/>
          <w:szCs w:val="16"/>
        </w:rPr>
        <w:t>Article 14. Right to equality before tribunals and courts and to fair trial.</w:t>
      </w:r>
      <w:r w:rsidRPr="007564EF">
        <w:rPr>
          <w:rFonts w:ascii="Cambria" w:hAnsi="Cambria"/>
          <w:sz w:val="16"/>
          <w:szCs w:val="16"/>
        </w:rPr>
        <w:t>”</w:t>
      </w:r>
      <w:r w:rsidRPr="007564EF">
        <w:rPr>
          <w:rFonts w:ascii="Cambria" w:hAnsi="Cambria"/>
          <w:i/>
          <w:iCs/>
          <w:sz w:val="16"/>
          <w:szCs w:val="16"/>
        </w:rPr>
        <w:t xml:space="preserve"> </w:t>
      </w:r>
      <w:r w:rsidRPr="007564EF">
        <w:rPr>
          <w:rFonts w:ascii="Cambria" w:hAnsi="Cambria"/>
          <w:iCs/>
          <w:sz w:val="16"/>
          <w:szCs w:val="16"/>
        </w:rPr>
        <w:t xml:space="preserve">2007, </w:t>
      </w:r>
      <w:r w:rsidRPr="007564EF">
        <w:rPr>
          <w:rFonts w:ascii="Cambria" w:hAnsi="Cambria"/>
          <w:sz w:val="16"/>
          <w:szCs w:val="16"/>
        </w:rPr>
        <w:t>para. 48.</w:t>
      </w:r>
    </w:p>
  </w:footnote>
  <w:footnote w:id="46">
    <w:p w:rsidR="00730246" w:rsidRPr="007564EF" w:rsidRDefault="00730246" w:rsidP="00520E1A">
      <w:pPr>
        <w:pStyle w:val="FootnoteText"/>
        <w:spacing w:after="120"/>
        <w:ind w:firstLine="720"/>
        <w:jc w:val="both"/>
        <w:rPr>
          <w:rFonts w:ascii="Cambria" w:hAnsi="Cambria"/>
          <w:sz w:val="16"/>
          <w:szCs w:val="16"/>
        </w:rPr>
      </w:pPr>
      <w:r w:rsidRPr="007564EF">
        <w:rPr>
          <w:rStyle w:val="FootnoteReference"/>
          <w:rFonts w:ascii="Cambria" w:hAnsi="Cambria"/>
          <w:sz w:val="16"/>
          <w:szCs w:val="16"/>
        </w:rPr>
        <w:footnoteRef/>
      </w:r>
      <w:r w:rsidRPr="007564EF">
        <w:rPr>
          <w:rFonts w:ascii="Cambria" w:hAnsi="Cambria"/>
          <w:sz w:val="16"/>
          <w:szCs w:val="16"/>
        </w:rPr>
        <w:t xml:space="preserve"> IACHR, Report No. 172/10, Case 12.561, Merits, César Alberto Mendoza et al. (Juveniles sentenced to life time imprisonment), Argentina, November 2, 2010, para. 189.</w:t>
      </w:r>
    </w:p>
  </w:footnote>
  <w:footnote w:id="47">
    <w:p w:rsidR="00730246" w:rsidRPr="007564EF" w:rsidRDefault="00730246" w:rsidP="00520E1A">
      <w:pPr>
        <w:pStyle w:val="FootnoteText"/>
        <w:spacing w:after="120"/>
        <w:ind w:firstLine="720"/>
        <w:jc w:val="both"/>
        <w:rPr>
          <w:rFonts w:ascii="Cambria" w:hAnsi="Cambria"/>
          <w:sz w:val="16"/>
          <w:szCs w:val="16"/>
        </w:rPr>
      </w:pPr>
      <w:r w:rsidRPr="007564EF">
        <w:rPr>
          <w:rStyle w:val="FootnoteReference"/>
          <w:rFonts w:ascii="Cambria" w:hAnsi="Cambria"/>
          <w:sz w:val="16"/>
          <w:szCs w:val="16"/>
        </w:rPr>
        <w:footnoteRef/>
      </w:r>
      <w:r w:rsidRPr="007564EF">
        <w:rPr>
          <w:rFonts w:ascii="Cambria" w:hAnsi="Cambria"/>
          <w:sz w:val="16"/>
          <w:szCs w:val="16"/>
        </w:rPr>
        <w:t xml:space="preserve"> Inter-American Court. </w:t>
      </w:r>
      <w:r w:rsidRPr="007564EF">
        <w:rPr>
          <w:rFonts w:ascii="Cambria" w:hAnsi="Cambria"/>
          <w:i/>
          <w:sz w:val="16"/>
          <w:szCs w:val="16"/>
        </w:rPr>
        <w:t>Case of Mendoza et al. v. Argentina</w:t>
      </w:r>
      <w:r w:rsidRPr="007564EF">
        <w:rPr>
          <w:rFonts w:ascii="Cambria" w:hAnsi="Cambria"/>
          <w:sz w:val="16"/>
          <w:szCs w:val="16"/>
        </w:rPr>
        <w:t>. Judgment of Preliminary Exceptions, Merits and Reparations. May 14, 2013. Series C No. 260, para. 245.</w:t>
      </w:r>
    </w:p>
  </w:footnote>
  <w:footnote w:id="48">
    <w:p w:rsidR="00730246" w:rsidRPr="007564EF" w:rsidRDefault="00730246" w:rsidP="00520E1A">
      <w:pPr>
        <w:pStyle w:val="FootnoteText"/>
        <w:spacing w:after="120"/>
        <w:ind w:firstLine="720"/>
        <w:jc w:val="both"/>
        <w:rPr>
          <w:rFonts w:ascii="Cambria" w:hAnsi="Cambria"/>
          <w:sz w:val="16"/>
          <w:szCs w:val="16"/>
        </w:rPr>
      </w:pPr>
      <w:r w:rsidRPr="007564EF">
        <w:rPr>
          <w:rStyle w:val="FootnoteReference"/>
          <w:rFonts w:ascii="Cambria" w:hAnsi="Cambria"/>
          <w:sz w:val="16"/>
          <w:szCs w:val="16"/>
        </w:rPr>
        <w:footnoteRef/>
      </w:r>
      <w:r w:rsidRPr="007564EF">
        <w:rPr>
          <w:rFonts w:ascii="Cambria" w:hAnsi="Cambria"/>
          <w:sz w:val="16"/>
          <w:szCs w:val="16"/>
        </w:rPr>
        <w:t xml:space="preserve"> Inter-American Court. </w:t>
      </w:r>
      <w:r w:rsidRPr="007564EF">
        <w:rPr>
          <w:rFonts w:ascii="Cambria" w:hAnsi="Cambria"/>
          <w:bCs/>
          <w:i/>
          <w:sz w:val="16"/>
          <w:szCs w:val="16"/>
        </w:rPr>
        <w:t xml:space="preserve">Case of Mohamed v. Argentina. </w:t>
      </w:r>
      <w:r w:rsidRPr="007564EF">
        <w:rPr>
          <w:rFonts w:ascii="Cambria" w:hAnsi="Cambria"/>
          <w:bCs/>
          <w:sz w:val="16"/>
          <w:szCs w:val="16"/>
        </w:rPr>
        <w:t>Judgment of Preliminary Objection, Merits, Reparations and Costs. November 23, 2012. Series C No. 255,</w:t>
      </w:r>
      <w:r w:rsidRPr="007564EF">
        <w:rPr>
          <w:rFonts w:ascii="Cambria" w:hAnsi="Cambria"/>
          <w:bCs/>
          <w:i/>
          <w:sz w:val="16"/>
          <w:szCs w:val="16"/>
        </w:rPr>
        <w:t xml:space="preserve"> </w:t>
      </w:r>
      <w:r w:rsidRPr="007564EF">
        <w:rPr>
          <w:rFonts w:ascii="Cambria" w:hAnsi="Cambria"/>
          <w:sz w:val="16"/>
          <w:szCs w:val="16"/>
        </w:rPr>
        <w:t xml:space="preserve">para. 100; </w:t>
      </w:r>
      <w:r w:rsidRPr="007564EF">
        <w:rPr>
          <w:rFonts w:ascii="Cambria" w:hAnsi="Cambria"/>
          <w:i/>
          <w:sz w:val="16"/>
          <w:szCs w:val="16"/>
        </w:rPr>
        <w:t>Case of Mendoza et al. v. Argentina</w:t>
      </w:r>
      <w:r w:rsidRPr="007564EF">
        <w:rPr>
          <w:rFonts w:ascii="Cambria" w:hAnsi="Cambria"/>
          <w:sz w:val="16"/>
          <w:szCs w:val="16"/>
        </w:rPr>
        <w:t>. Judgment of Preliminary Exceptions, Merits and Reparations. May 14, 2013. Series C No. 260, para. 245.</w:t>
      </w:r>
    </w:p>
  </w:footnote>
  <w:footnote w:id="49">
    <w:p w:rsidR="00730246" w:rsidRPr="007564EF" w:rsidRDefault="00730246" w:rsidP="00520E1A">
      <w:pPr>
        <w:pStyle w:val="FootnoteText"/>
        <w:spacing w:after="120"/>
        <w:ind w:firstLine="720"/>
        <w:jc w:val="both"/>
        <w:rPr>
          <w:rFonts w:ascii="Cambria" w:hAnsi="Cambria"/>
          <w:sz w:val="16"/>
          <w:szCs w:val="16"/>
        </w:rPr>
      </w:pPr>
      <w:r w:rsidRPr="007564EF">
        <w:rPr>
          <w:rStyle w:val="FootnoteReference"/>
          <w:rFonts w:ascii="Cambria" w:hAnsi="Cambria"/>
          <w:sz w:val="16"/>
          <w:szCs w:val="16"/>
        </w:rPr>
        <w:footnoteRef/>
      </w:r>
      <w:r w:rsidRPr="007564EF">
        <w:rPr>
          <w:rFonts w:ascii="Cambria" w:hAnsi="Cambria"/>
          <w:sz w:val="16"/>
          <w:szCs w:val="16"/>
        </w:rPr>
        <w:t xml:space="preserve"> Inter-American Court. </w:t>
      </w:r>
      <w:r w:rsidRPr="007564EF">
        <w:rPr>
          <w:rFonts w:ascii="Cambria" w:hAnsi="Cambria"/>
          <w:bCs/>
          <w:i/>
          <w:sz w:val="16"/>
          <w:szCs w:val="16"/>
        </w:rPr>
        <w:t xml:space="preserve">Case of Mohamed v. Argentina. </w:t>
      </w:r>
      <w:r w:rsidRPr="007564EF">
        <w:rPr>
          <w:rFonts w:ascii="Cambria" w:hAnsi="Cambria"/>
          <w:bCs/>
          <w:sz w:val="16"/>
          <w:szCs w:val="16"/>
        </w:rPr>
        <w:t>Judgment of Preliminary Objection, Merits, Reparations and Costs</w:t>
      </w:r>
      <w:r w:rsidRPr="007564EF">
        <w:rPr>
          <w:rFonts w:ascii="Cambria" w:hAnsi="Cambria"/>
          <w:bCs/>
          <w:color w:val="auto"/>
          <w:sz w:val="16"/>
          <w:szCs w:val="16"/>
        </w:rPr>
        <w:t xml:space="preserve">, </w:t>
      </w:r>
      <w:r w:rsidRPr="007564EF">
        <w:rPr>
          <w:rFonts w:ascii="Cambria" w:hAnsi="Cambria"/>
          <w:bCs/>
          <w:sz w:val="16"/>
          <w:szCs w:val="16"/>
        </w:rPr>
        <w:t>November 23, 2012. Series C No. 255,</w:t>
      </w:r>
      <w:r w:rsidRPr="007564EF">
        <w:rPr>
          <w:rFonts w:ascii="Cambria" w:hAnsi="Cambria"/>
          <w:bCs/>
          <w:i/>
          <w:sz w:val="16"/>
          <w:szCs w:val="16"/>
        </w:rPr>
        <w:t xml:space="preserve"> </w:t>
      </w:r>
      <w:r w:rsidRPr="007564EF">
        <w:rPr>
          <w:rFonts w:ascii="Cambria" w:hAnsi="Cambria"/>
          <w:sz w:val="16"/>
          <w:szCs w:val="16"/>
        </w:rPr>
        <w:t xml:space="preserve">para. 101; </w:t>
      </w:r>
      <w:r w:rsidRPr="007564EF">
        <w:rPr>
          <w:rFonts w:ascii="Cambria" w:hAnsi="Cambria"/>
          <w:i/>
          <w:sz w:val="16"/>
          <w:szCs w:val="16"/>
        </w:rPr>
        <w:t>Case of Mendoza et al. v. Argentina</w:t>
      </w:r>
      <w:r w:rsidRPr="007564EF">
        <w:rPr>
          <w:rFonts w:ascii="Cambria" w:hAnsi="Cambria"/>
          <w:sz w:val="16"/>
          <w:szCs w:val="16"/>
        </w:rPr>
        <w:t>. Judgment of Preliminary Exceptions, Merits and Reparations. May 14, 2013. Series C No. 260, para. 245.</w:t>
      </w:r>
    </w:p>
  </w:footnote>
  <w:footnote w:id="50">
    <w:p w:rsidR="00730246" w:rsidRPr="007564EF" w:rsidRDefault="00730246" w:rsidP="00520E1A">
      <w:pPr>
        <w:pStyle w:val="FootnoteText"/>
        <w:spacing w:after="120"/>
        <w:ind w:firstLine="720"/>
        <w:jc w:val="both"/>
        <w:rPr>
          <w:rFonts w:ascii="Cambria" w:hAnsi="Cambria"/>
          <w:sz w:val="16"/>
          <w:szCs w:val="16"/>
        </w:rPr>
      </w:pPr>
      <w:r w:rsidRPr="007564EF">
        <w:rPr>
          <w:rStyle w:val="FootnoteReference"/>
          <w:rFonts w:ascii="Cambria" w:hAnsi="Cambria"/>
          <w:sz w:val="16"/>
          <w:szCs w:val="16"/>
        </w:rPr>
        <w:footnoteRef/>
      </w:r>
      <w:r w:rsidRPr="007564EF">
        <w:rPr>
          <w:rFonts w:ascii="Cambria" w:hAnsi="Cambria"/>
          <w:sz w:val="16"/>
          <w:szCs w:val="16"/>
        </w:rPr>
        <w:t xml:space="preserve"> IACHR, </w:t>
      </w:r>
      <w:r w:rsidRPr="007564EF">
        <w:rPr>
          <w:rFonts w:ascii="Cambria" w:eastAsia="Times New Roman" w:hAnsi="Cambria"/>
          <w:sz w:val="16"/>
          <w:szCs w:val="16"/>
        </w:rPr>
        <w:t xml:space="preserve">Report No. 33/14, </w:t>
      </w:r>
      <w:r w:rsidRPr="007564EF">
        <w:rPr>
          <w:rFonts w:ascii="Cambria" w:eastAsia="Times New Roman" w:hAnsi="Cambria" w:cs="Tahoma"/>
          <w:sz w:val="16"/>
          <w:szCs w:val="16"/>
          <w:shd w:val="clear" w:color="auto" w:fill="FFFFFF"/>
        </w:rPr>
        <w:t xml:space="preserve">Case 12.820, Merits, Manfred Amrhein et al., Costa Rica, April 4, 2014, </w:t>
      </w:r>
      <w:r w:rsidRPr="007564EF">
        <w:rPr>
          <w:rFonts w:ascii="Cambria" w:hAnsi="Cambria"/>
          <w:sz w:val="16"/>
          <w:szCs w:val="16"/>
        </w:rPr>
        <w:t>para. 188.</w:t>
      </w:r>
    </w:p>
  </w:footnote>
  <w:footnote w:id="51">
    <w:p w:rsidR="00730246" w:rsidRPr="007564EF" w:rsidRDefault="00730246" w:rsidP="00520E1A">
      <w:pPr>
        <w:pStyle w:val="FootnoteText"/>
        <w:spacing w:after="120"/>
        <w:ind w:firstLine="720"/>
        <w:jc w:val="both"/>
        <w:rPr>
          <w:rFonts w:ascii="Cambria" w:hAnsi="Cambria"/>
          <w:sz w:val="16"/>
          <w:szCs w:val="16"/>
        </w:rPr>
      </w:pPr>
      <w:r w:rsidRPr="007564EF">
        <w:rPr>
          <w:rStyle w:val="FootnoteReference"/>
          <w:rFonts w:ascii="Cambria" w:hAnsi="Cambria"/>
          <w:sz w:val="16"/>
          <w:szCs w:val="16"/>
        </w:rPr>
        <w:footnoteRef/>
      </w:r>
      <w:r w:rsidRPr="007564EF">
        <w:rPr>
          <w:rFonts w:ascii="Cambria" w:hAnsi="Cambria"/>
          <w:sz w:val="16"/>
          <w:szCs w:val="16"/>
        </w:rPr>
        <w:t xml:space="preserve"> </w:t>
      </w:r>
      <w:r w:rsidRPr="007564EF">
        <w:rPr>
          <w:rFonts w:ascii="Cambria" w:hAnsi="Cambria"/>
          <w:bCs/>
          <w:sz w:val="16"/>
          <w:szCs w:val="16"/>
        </w:rPr>
        <w:t>IACHR, Report No. 53/13, Case 12.864, Merits (Publication), Iván Teleguz, United States, July 15, 2013, para. 105</w:t>
      </w:r>
    </w:p>
  </w:footnote>
  <w:footnote w:id="52">
    <w:p w:rsidR="00730246" w:rsidRPr="007564EF" w:rsidRDefault="00730246" w:rsidP="00520E1A">
      <w:pPr>
        <w:pStyle w:val="FootnoteText"/>
        <w:spacing w:after="120"/>
        <w:ind w:firstLine="720"/>
        <w:jc w:val="both"/>
        <w:rPr>
          <w:rFonts w:ascii="Cambria" w:hAnsi="Cambria"/>
          <w:sz w:val="16"/>
          <w:szCs w:val="16"/>
        </w:rPr>
      </w:pPr>
      <w:r w:rsidRPr="007564EF">
        <w:rPr>
          <w:rStyle w:val="FootnoteReference"/>
          <w:rFonts w:ascii="Cambria" w:hAnsi="Cambria"/>
          <w:sz w:val="16"/>
          <w:szCs w:val="16"/>
        </w:rPr>
        <w:footnoteRef/>
      </w:r>
      <w:r w:rsidRPr="007564EF">
        <w:rPr>
          <w:rFonts w:ascii="Cambria" w:hAnsi="Cambria"/>
          <w:sz w:val="16"/>
          <w:szCs w:val="16"/>
        </w:rPr>
        <w:t xml:space="preserve"> IACHR, Report No. 33/14, Case 12.820, Merits, Manfred Amrhein et al., Costa Rica, April 4, 2014, para. 208.</w:t>
      </w:r>
    </w:p>
  </w:footnote>
  <w:footnote w:id="53">
    <w:p w:rsidR="00730246" w:rsidRPr="007564EF" w:rsidRDefault="00730246" w:rsidP="00520E1A">
      <w:pPr>
        <w:pStyle w:val="FootnoteText"/>
        <w:spacing w:after="120"/>
        <w:ind w:firstLine="720"/>
        <w:jc w:val="both"/>
        <w:rPr>
          <w:rFonts w:ascii="Cambria" w:hAnsi="Cambria"/>
          <w:sz w:val="16"/>
          <w:szCs w:val="16"/>
        </w:rPr>
      </w:pPr>
      <w:r w:rsidRPr="007564EF">
        <w:rPr>
          <w:rStyle w:val="FootnoteReference"/>
          <w:rFonts w:ascii="Cambria" w:hAnsi="Cambria"/>
          <w:sz w:val="16"/>
          <w:szCs w:val="16"/>
        </w:rPr>
        <w:footnoteRef/>
      </w:r>
      <w:r w:rsidRPr="007564EF">
        <w:rPr>
          <w:rFonts w:ascii="Cambria" w:hAnsi="Cambria"/>
          <w:sz w:val="16"/>
          <w:szCs w:val="16"/>
        </w:rPr>
        <w:t xml:space="preserve"> Inter-American Court. </w:t>
      </w:r>
      <w:r w:rsidRPr="007564EF">
        <w:rPr>
          <w:rFonts w:ascii="Cambria" w:hAnsi="Cambria"/>
          <w:bCs/>
          <w:i/>
          <w:sz w:val="16"/>
          <w:szCs w:val="16"/>
        </w:rPr>
        <w:t xml:space="preserve">Case of Mohamed v. Argentina. </w:t>
      </w:r>
      <w:r w:rsidRPr="007564EF">
        <w:rPr>
          <w:rFonts w:ascii="Cambria" w:hAnsi="Cambria"/>
          <w:bCs/>
          <w:sz w:val="16"/>
          <w:szCs w:val="16"/>
        </w:rPr>
        <w:t>Judgment of Preliminary Objection, Merits, Reparations and Costs. November 23, 2012. Series C No. 255,</w:t>
      </w:r>
      <w:r w:rsidRPr="007564EF">
        <w:rPr>
          <w:rFonts w:ascii="Cambria" w:hAnsi="Cambria"/>
          <w:bCs/>
          <w:i/>
          <w:sz w:val="16"/>
          <w:szCs w:val="16"/>
        </w:rPr>
        <w:t xml:space="preserve"> </w:t>
      </w:r>
      <w:r w:rsidRPr="007564EF">
        <w:rPr>
          <w:rFonts w:ascii="Cambria" w:hAnsi="Cambria"/>
          <w:sz w:val="16"/>
          <w:szCs w:val="16"/>
        </w:rPr>
        <w:t>para. 103. See also: IACHR, Report No. 173/10</w:t>
      </w:r>
      <w:r w:rsidRPr="007564EF">
        <w:rPr>
          <w:rFonts w:ascii="Cambria" w:hAnsi="Cambria" w:cs="Tahoma"/>
          <w:sz w:val="16"/>
          <w:szCs w:val="16"/>
        </w:rPr>
        <w:t>, Case 11.618, Oscar Alberto Mohammed, Merits, Argentina, April 13, 2011.</w:t>
      </w:r>
    </w:p>
  </w:footnote>
  <w:footnote w:id="54">
    <w:p w:rsidR="00730246" w:rsidRPr="007564EF" w:rsidRDefault="00730246" w:rsidP="00520E1A">
      <w:pPr>
        <w:pStyle w:val="FootnoteText"/>
        <w:spacing w:after="120"/>
        <w:ind w:firstLine="720"/>
        <w:jc w:val="both"/>
        <w:rPr>
          <w:rFonts w:ascii="Cambria" w:hAnsi="Cambria"/>
          <w:sz w:val="16"/>
          <w:szCs w:val="16"/>
        </w:rPr>
      </w:pPr>
      <w:r w:rsidRPr="007564EF">
        <w:rPr>
          <w:rStyle w:val="FootnoteReference"/>
          <w:rFonts w:ascii="Cambria" w:hAnsi="Cambria"/>
          <w:sz w:val="16"/>
          <w:szCs w:val="16"/>
        </w:rPr>
        <w:footnoteRef/>
      </w:r>
      <w:r w:rsidRPr="007564EF">
        <w:rPr>
          <w:rFonts w:ascii="Cambria" w:hAnsi="Cambria"/>
          <w:sz w:val="16"/>
          <w:szCs w:val="16"/>
        </w:rPr>
        <w:t xml:space="preserve"> Inter-American Court. </w:t>
      </w:r>
      <w:r w:rsidRPr="007564EF">
        <w:rPr>
          <w:rFonts w:ascii="Cambria" w:hAnsi="Cambria"/>
          <w:bCs/>
          <w:i/>
          <w:sz w:val="16"/>
          <w:szCs w:val="16"/>
        </w:rPr>
        <w:t xml:space="preserve">Case of Mohamed v. Argentina. </w:t>
      </w:r>
      <w:r w:rsidRPr="007564EF">
        <w:rPr>
          <w:rFonts w:ascii="Cambria" w:hAnsi="Cambria"/>
          <w:bCs/>
          <w:sz w:val="16"/>
          <w:szCs w:val="16"/>
        </w:rPr>
        <w:t>Judgment of Preliminary Objection, Merits, Reparations and Costs. November 23, 2012. Series C No. 255,</w:t>
      </w:r>
      <w:r w:rsidRPr="007564EF">
        <w:rPr>
          <w:rFonts w:ascii="Cambria" w:hAnsi="Cambria"/>
          <w:bCs/>
          <w:i/>
          <w:sz w:val="16"/>
          <w:szCs w:val="16"/>
        </w:rPr>
        <w:t xml:space="preserve"> </w:t>
      </w:r>
      <w:r w:rsidRPr="007564EF">
        <w:rPr>
          <w:rFonts w:ascii="Cambria" w:hAnsi="Cambria"/>
          <w:sz w:val="16"/>
          <w:szCs w:val="16"/>
        </w:rPr>
        <w:t>para. 104.</w:t>
      </w:r>
    </w:p>
    <w:p w:rsidR="00730246" w:rsidRPr="007564EF" w:rsidRDefault="00730246" w:rsidP="00520E1A">
      <w:pPr>
        <w:pStyle w:val="FootnoteText"/>
        <w:spacing w:after="120"/>
        <w:ind w:firstLine="720"/>
        <w:jc w:val="both"/>
        <w:rPr>
          <w:rFonts w:ascii="Cambria" w:hAnsi="Cambria"/>
          <w:sz w:val="16"/>
          <w:szCs w:val="16"/>
        </w:rPr>
      </w:pPr>
    </w:p>
  </w:footnote>
  <w:footnote w:id="55">
    <w:p w:rsidR="00730246" w:rsidRPr="007564EF" w:rsidRDefault="00730246" w:rsidP="00520E1A">
      <w:pPr>
        <w:pStyle w:val="FootnoteText"/>
        <w:tabs>
          <w:tab w:val="left" w:pos="720"/>
        </w:tabs>
        <w:spacing w:after="120"/>
        <w:ind w:firstLine="720"/>
        <w:jc w:val="both"/>
        <w:rPr>
          <w:rFonts w:ascii="Cambria" w:hAnsi="Cambria"/>
          <w:sz w:val="16"/>
          <w:szCs w:val="16"/>
        </w:rPr>
      </w:pPr>
      <w:r w:rsidRPr="007564EF">
        <w:rPr>
          <w:rStyle w:val="FootnoteReference"/>
          <w:rFonts w:ascii="Cambria" w:hAnsi="Cambria"/>
          <w:sz w:val="16"/>
          <w:szCs w:val="16"/>
        </w:rPr>
        <w:footnoteRef/>
      </w:r>
      <w:r w:rsidRPr="007564EF">
        <w:rPr>
          <w:rFonts w:ascii="Cambria" w:hAnsi="Cambria"/>
          <w:sz w:val="16"/>
          <w:szCs w:val="16"/>
        </w:rPr>
        <w:t xml:space="preserve"> Some relevant excerpts of the decision:</w:t>
      </w:r>
    </w:p>
    <w:p w:rsidR="00730246" w:rsidRPr="007564EF" w:rsidRDefault="00730246" w:rsidP="00520E1A">
      <w:pPr>
        <w:tabs>
          <w:tab w:val="left" w:pos="720"/>
        </w:tabs>
        <w:spacing w:after="120"/>
        <w:ind w:firstLine="720"/>
        <w:jc w:val="both"/>
        <w:rPr>
          <w:rFonts w:ascii="Cambria" w:hAnsi="Cambria"/>
          <w:sz w:val="16"/>
          <w:szCs w:val="16"/>
        </w:rPr>
      </w:pPr>
      <w:r w:rsidRPr="007564EF">
        <w:rPr>
          <w:rFonts w:ascii="Cambria" w:hAnsi="Cambria"/>
          <w:sz w:val="16"/>
          <w:szCs w:val="16"/>
        </w:rPr>
        <w:t>[I]t must be interpreted that Article 8.2 h) of the Convention and Article 14.5 of the Covenant [International Covenant on Civil and Political Rights] require the review of all that is not exclusively reserved to those who have been present as judges in the oral proceedings. This is the only thing that cassation appeal judges cannot assess, not only because it would nullify the principle of transparency, but also because they do not directly examine it; in other words, regarding them there is a real limitation in terms of knowledge. It directly involves a factual limitation, imposed by the nature of things, and which must be assessed in each case.</w:t>
      </w:r>
    </w:p>
    <w:p w:rsidR="00730246" w:rsidRPr="007564EF" w:rsidRDefault="00730246" w:rsidP="00520E1A">
      <w:pPr>
        <w:tabs>
          <w:tab w:val="left" w:pos="720"/>
        </w:tabs>
        <w:spacing w:after="120"/>
        <w:ind w:firstLine="720"/>
        <w:jc w:val="both"/>
        <w:rPr>
          <w:rFonts w:ascii="Cambria" w:hAnsi="Cambria"/>
          <w:sz w:val="16"/>
          <w:szCs w:val="16"/>
        </w:rPr>
      </w:pPr>
      <w:r w:rsidRPr="007564EF">
        <w:rPr>
          <w:rFonts w:ascii="Cambria" w:hAnsi="Cambria"/>
          <w:sz w:val="16"/>
          <w:szCs w:val="16"/>
        </w:rPr>
        <w:t>(…)</w:t>
      </w:r>
    </w:p>
    <w:p w:rsidR="00730246" w:rsidRPr="007564EF" w:rsidRDefault="00730246" w:rsidP="00520E1A">
      <w:pPr>
        <w:tabs>
          <w:tab w:val="left" w:pos="720"/>
        </w:tabs>
        <w:spacing w:after="120"/>
        <w:ind w:firstLine="720"/>
        <w:jc w:val="both"/>
        <w:rPr>
          <w:rFonts w:ascii="Cambria" w:hAnsi="Cambria"/>
          <w:sz w:val="16"/>
          <w:szCs w:val="16"/>
        </w:rPr>
      </w:pPr>
      <w:r w:rsidRPr="007564EF">
        <w:rPr>
          <w:rFonts w:ascii="Cambria" w:hAnsi="Cambria"/>
          <w:sz w:val="16"/>
          <w:szCs w:val="16"/>
        </w:rPr>
        <w:t>Although it is certain that this can only be established in each case, what is certain is that, in general, there is not much present in the characteristic of the knowledge coming exclusively from the intermediation. As a rule, a large part of the evidence can be found in the case itself recorded in writing, whether as a document or expertise. The principal question is generally confined to witnesses.</w:t>
      </w:r>
    </w:p>
    <w:p w:rsidR="00730246" w:rsidRPr="007564EF" w:rsidRDefault="00730246" w:rsidP="00520E1A">
      <w:pPr>
        <w:tabs>
          <w:tab w:val="left" w:pos="720"/>
        </w:tabs>
        <w:spacing w:after="120"/>
        <w:ind w:firstLine="720"/>
        <w:jc w:val="both"/>
        <w:rPr>
          <w:rFonts w:ascii="Cambria" w:hAnsi="Cambria"/>
          <w:sz w:val="16"/>
          <w:szCs w:val="16"/>
        </w:rPr>
      </w:pPr>
      <w:r w:rsidRPr="007564EF">
        <w:rPr>
          <w:rFonts w:ascii="Cambria" w:hAnsi="Cambria"/>
          <w:sz w:val="16"/>
          <w:szCs w:val="16"/>
        </w:rPr>
        <w:t>(…)</w:t>
      </w:r>
    </w:p>
    <w:p w:rsidR="00730246" w:rsidRPr="007564EF" w:rsidRDefault="00730246" w:rsidP="00520E1A">
      <w:pPr>
        <w:tabs>
          <w:tab w:val="left" w:pos="720"/>
        </w:tabs>
        <w:spacing w:after="120"/>
        <w:ind w:firstLine="720"/>
        <w:jc w:val="both"/>
        <w:rPr>
          <w:rFonts w:ascii="Cambria" w:hAnsi="Cambria"/>
          <w:sz w:val="16"/>
          <w:szCs w:val="16"/>
        </w:rPr>
      </w:pPr>
      <w:r w:rsidRPr="007564EF">
        <w:rPr>
          <w:rFonts w:ascii="Cambria" w:hAnsi="Cambria"/>
          <w:sz w:val="16"/>
          <w:szCs w:val="16"/>
        </w:rPr>
        <w:t>[I]n short, it must be understood that Article 456 of the Criminal Procedures Code of the Nation must be construed to mean that it authorizes a broad review of the judgment, as extensively as possible on the basis of the maximum effort for review by the cassation appeal judges, in line with the possibilities and records of each particular case without magnifying the questions reserved for intermediation, inevitable only because of the prevalence of orality, in conformity with the nature of things.</w:t>
      </w:r>
    </w:p>
    <w:p w:rsidR="00730246" w:rsidRPr="007564EF" w:rsidRDefault="00730246" w:rsidP="00520E1A">
      <w:pPr>
        <w:tabs>
          <w:tab w:val="left" w:pos="720"/>
        </w:tabs>
        <w:spacing w:after="120"/>
        <w:ind w:firstLine="720"/>
        <w:jc w:val="both"/>
        <w:rPr>
          <w:rFonts w:ascii="Cambria" w:hAnsi="Cambria"/>
          <w:sz w:val="16"/>
          <w:szCs w:val="16"/>
        </w:rPr>
      </w:pPr>
      <w:r w:rsidRPr="007564EF">
        <w:rPr>
          <w:rFonts w:ascii="Cambria" w:hAnsi="Cambria"/>
          <w:sz w:val="16"/>
          <w:szCs w:val="16"/>
        </w:rPr>
        <w:t>This understanding is imposed as a result of […]  (b) the practical impossibility of differentiating between issues of fact and law, which inevitably tends to establish a sphere of selective arbitrariness (…).</w:t>
      </w:r>
    </w:p>
  </w:footnote>
  <w:footnote w:id="56">
    <w:p w:rsidR="00730246" w:rsidRPr="007564EF" w:rsidRDefault="00730246" w:rsidP="00520E1A">
      <w:pPr>
        <w:tabs>
          <w:tab w:val="left" w:pos="720"/>
        </w:tabs>
        <w:spacing w:after="120"/>
        <w:ind w:firstLine="720"/>
        <w:jc w:val="both"/>
        <w:rPr>
          <w:rFonts w:ascii="Cambria" w:hAnsi="Cambria"/>
          <w:sz w:val="16"/>
          <w:szCs w:val="16"/>
        </w:rPr>
      </w:pPr>
      <w:r w:rsidRPr="007564EF">
        <w:rPr>
          <w:rStyle w:val="FootnoteReference"/>
          <w:rFonts w:ascii="Cambria" w:hAnsi="Cambria"/>
          <w:sz w:val="16"/>
          <w:szCs w:val="16"/>
        </w:rPr>
        <w:footnoteRef/>
      </w:r>
      <w:r w:rsidRPr="007564EF">
        <w:rPr>
          <w:rFonts w:ascii="Cambria" w:hAnsi="Cambria"/>
          <w:sz w:val="16"/>
          <w:szCs w:val="16"/>
        </w:rPr>
        <w:t xml:space="preserve"> In the “Casal” judgment, it is indicated that Article 456 of the CPPN permits a restrictive interpretation but also admits a broad interpretation. In the words of the Supreme Court of Justice of the Nation: “(…) it is clear that, in the text of subparagraph 2 of Article 456 of the CPPN, there is nothing preventing another interpretation. The only thing that determines a restrictive interpretation of the scope of the cassation appeal is the legislative and historical tradition of this institution in its original version.  The wording itself allows both a restrictive and a broad interpretation: the semantic resistance of the text is not altered nor does it go beyond the latter (…).”</w:t>
      </w:r>
    </w:p>
  </w:footnote>
  <w:footnote w:id="57">
    <w:p w:rsidR="00730246" w:rsidRPr="007564EF" w:rsidRDefault="00730246" w:rsidP="00520E1A">
      <w:pPr>
        <w:pStyle w:val="FootnoteText"/>
        <w:tabs>
          <w:tab w:val="left" w:pos="720"/>
        </w:tabs>
        <w:spacing w:after="120"/>
        <w:ind w:firstLine="720"/>
        <w:jc w:val="both"/>
        <w:rPr>
          <w:rFonts w:ascii="Cambria" w:hAnsi="Cambria"/>
          <w:sz w:val="16"/>
          <w:szCs w:val="16"/>
        </w:rPr>
      </w:pPr>
      <w:r w:rsidRPr="007564EF">
        <w:rPr>
          <w:rStyle w:val="FootnoteReference"/>
          <w:rFonts w:ascii="Cambria" w:hAnsi="Cambria"/>
          <w:sz w:val="16"/>
          <w:szCs w:val="16"/>
        </w:rPr>
        <w:footnoteRef/>
      </w:r>
      <w:r w:rsidRPr="007564EF">
        <w:rPr>
          <w:rFonts w:ascii="Cambria" w:hAnsi="Cambria"/>
          <w:sz w:val="16"/>
          <w:szCs w:val="16"/>
        </w:rPr>
        <w:t xml:space="preserve"> Human Rights Committee. Concluding observations on Argentina. </w:t>
      </w:r>
      <w:r w:rsidRPr="007564EF">
        <w:rPr>
          <w:rFonts w:ascii="Cambria" w:hAnsi="Cambria" w:cs="Times-Roman"/>
          <w:sz w:val="16"/>
          <w:szCs w:val="16"/>
          <w:lang w:bidi="en-US"/>
        </w:rPr>
        <w:t>CCPR/C/ARG/CO/4. 31 March 2010. Para. 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246" w:rsidRDefault="00730246" w:rsidP="009137C3">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730246" w:rsidRDefault="007302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246" w:rsidRDefault="00322654" w:rsidP="002C1641">
    <w:pPr>
      <w:pStyle w:val="Header"/>
      <w:tabs>
        <w:tab w:val="clear" w:pos="4320"/>
        <w:tab w:val="clear" w:pos="8640"/>
      </w:tabs>
      <w:jc w:val="center"/>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i1029" type="#_x0000_t75" alt="Description: C:\Users\mfontana\Documents\Eva Fontana\GRAFICA CIDH\cartas\logos\iachr-peq.jpg" style="width:173.9pt;height:9.5pt;visibility:visible">
          <v:imagedata r:id="rId1" o:title="iachr-peq"/>
        </v:shape>
      </w:pict>
    </w:r>
  </w:p>
  <w:p w:rsidR="00730246" w:rsidRPr="00EC7D62" w:rsidRDefault="00322654" w:rsidP="002C1641">
    <w:pPr>
      <w:pStyle w:val="Header"/>
      <w:tabs>
        <w:tab w:val="clear" w:pos="4320"/>
        <w:tab w:val="clear" w:pos="8640"/>
      </w:tabs>
      <w:jc w:val="center"/>
      <w:rPr>
        <w:sz w:val="22"/>
        <w:szCs w:val="22"/>
      </w:rPr>
    </w:pPr>
    <w:r>
      <w:rPr>
        <w:sz w:val="22"/>
        <w:szCs w:val="22"/>
      </w:rPr>
      <w:pict>
        <v:rect id="_x0000_i1030"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246" w:rsidRDefault="00730246" w:rsidP="009137C3">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730246" w:rsidRDefault="0073024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E1A" w:rsidRDefault="00322654" w:rsidP="00520E1A">
    <w:pPr>
      <w:pStyle w:val="Header"/>
      <w:tabs>
        <w:tab w:val="clear" w:pos="4320"/>
        <w:tab w:val="clear" w:pos="8640"/>
      </w:tabs>
      <w:jc w:val="center"/>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73.9pt;height:9.5pt;visibility:visible;mso-wrap-style:square">
          <v:imagedata r:id="rId1" o:title="iachr-peq"/>
        </v:shape>
      </w:pict>
    </w:r>
  </w:p>
  <w:p w:rsidR="00520E1A" w:rsidRPr="00EC7D62" w:rsidRDefault="00322654" w:rsidP="00520E1A">
    <w:pPr>
      <w:pStyle w:val="Header"/>
      <w:tabs>
        <w:tab w:val="clear" w:pos="4320"/>
        <w:tab w:val="clear" w:pos="8640"/>
      </w:tabs>
      <w:jc w:val="center"/>
      <w:rPr>
        <w:sz w:val="22"/>
        <w:szCs w:val="22"/>
      </w:rPr>
    </w:pPr>
    <w:r>
      <w:rPr>
        <w:sz w:val="22"/>
        <w:szCs w:val="22"/>
      </w:rPr>
      <w:pict>
        <v:rect id="_x0000_i1032"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Calibri" w:eastAsia="Trebuchet MS" w:hAnsi="Calibri" w:cs="Calibr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9050020"/>
    <w:multiLevelType w:val="hybridMultilevel"/>
    <w:tmpl w:val="72909BA6"/>
    <w:lvl w:ilvl="0" w:tplc="10D4F5F8">
      <w:start w:val="1"/>
      <w:numFmt w:val="decimal"/>
      <w:lvlText w:val="%1."/>
      <w:lvlJc w:val="left"/>
      <w:pPr>
        <w:tabs>
          <w:tab w:val="num" w:pos="1429"/>
        </w:tabs>
        <w:ind w:firstLine="720"/>
      </w:pPr>
      <w:rPr>
        <w:rFonts w:ascii="Cambria" w:hAnsi="Cambria" w:cs="Times New Roman" w:hint="default"/>
        <w:b w:val="0"/>
        <w:i w:val="0"/>
        <w:color w:val="000000"/>
        <w:sz w:val="20"/>
        <w:szCs w:val="20"/>
        <w:lang w:val="es-PE"/>
      </w:rPr>
    </w:lvl>
    <w:lvl w:ilvl="1" w:tplc="04090019">
      <w:start w:val="1"/>
      <w:numFmt w:val="lowerLetter"/>
      <w:lvlText w:val="%2."/>
      <w:lvlJc w:val="left"/>
      <w:pPr>
        <w:tabs>
          <w:tab w:val="num" w:pos="1440"/>
        </w:tabs>
        <w:ind w:left="1440" w:hanging="360"/>
      </w:pPr>
      <w:rPr>
        <w:rFonts w:cs="Times New Roman"/>
      </w:rPr>
    </w:lvl>
    <w:lvl w:ilvl="2" w:tplc="C66EDE0C">
      <w:start w:val="3"/>
      <w:numFmt w:val="upperRoman"/>
      <w:lvlText w:val="%3."/>
      <w:lvlJc w:val="left"/>
      <w:pPr>
        <w:tabs>
          <w:tab w:val="num" w:pos="2700"/>
        </w:tabs>
        <w:ind w:left="2700" w:hanging="720"/>
      </w:pPr>
      <w:rPr>
        <w:rFonts w:cs="Times New Roman" w:hint="default"/>
      </w:rPr>
    </w:lvl>
    <w:lvl w:ilvl="3" w:tplc="0C58E6D2">
      <w:start w:val="1"/>
      <w:numFmt w:val="decimal"/>
      <w:lvlText w:val="%4."/>
      <w:lvlJc w:val="left"/>
      <w:pPr>
        <w:tabs>
          <w:tab w:val="num" w:pos="2880"/>
        </w:tabs>
        <w:ind w:left="2880" w:hanging="360"/>
      </w:pPr>
      <w:rPr>
        <w:rFonts w:hint="default"/>
        <w:b/>
        <w:i w:val="0"/>
        <w:sz w:val="20"/>
        <w:szCs w:val="2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3979AB"/>
    <w:multiLevelType w:val="hybridMultilevel"/>
    <w:tmpl w:val="6BFAC114"/>
    <w:lvl w:ilvl="0" w:tplc="963E617E">
      <w:start w:val="1"/>
      <w:numFmt w:val="upperLetter"/>
      <w:pStyle w:val="Heading2"/>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023686"/>
    <w:multiLevelType w:val="hybridMultilevel"/>
    <w:tmpl w:val="F86E1812"/>
    <w:lvl w:ilvl="0" w:tplc="91D2B51C">
      <w:start w:val="1"/>
      <w:numFmt w:val="decimal"/>
      <w:lvlText w:val="%1."/>
      <w:lvlJc w:val="left"/>
      <w:pPr>
        <w:tabs>
          <w:tab w:val="num" w:pos="990"/>
        </w:tabs>
        <w:ind w:left="990" w:hanging="360"/>
      </w:pPr>
      <w:rPr>
        <w:rFonts w:ascii="Cambria" w:hAnsi="Cambria" w:hint="default"/>
        <w:b w:val="0"/>
        <w:sz w:val="20"/>
        <w:szCs w:val="20"/>
        <w:lang w:val="es-CO"/>
      </w:rPr>
    </w:lvl>
    <w:lvl w:ilvl="1" w:tplc="D92C12E8">
      <w:start w:val="59"/>
      <w:numFmt w:val="decimal"/>
      <w:lvlText w:val="%2."/>
      <w:lvlJc w:val="left"/>
      <w:pPr>
        <w:tabs>
          <w:tab w:val="num" w:pos="2580"/>
        </w:tabs>
        <w:ind w:left="2580" w:hanging="1500"/>
      </w:pPr>
      <w:rPr>
        <w:rFonts w:hint="default"/>
      </w:rPr>
    </w:lvl>
    <w:lvl w:ilvl="2" w:tplc="99CCD1F2">
      <w:start w:val="3"/>
      <w:numFmt w:val="upperLetter"/>
      <w:lvlText w:val="%3."/>
      <w:lvlJc w:val="left"/>
      <w:pPr>
        <w:tabs>
          <w:tab w:val="num" w:pos="2340"/>
        </w:tabs>
        <w:ind w:left="2340" w:hanging="360"/>
      </w:pPr>
      <w:rPr>
        <w:rFonts w:hint="default"/>
      </w:rPr>
    </w:lvl>
    <w:lvl w:ilvl="3" w:tplc="0409000F">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Calibri" w:eastAsia="Trebuchet MS" w:hAnsi="Calibr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0786ED7"/>
    <w:multiLevelType w:val="hybridMultilevel"/>
    <w:tmpl w:val="A7A841A2"/>
    <w:lvl w:ilvl="0" w:tplc="7788F89A">
      <w:start w:val="1"/>
      <w:numFmt w:val="upperRoman"/>
      <w:pStyle w:val="Heading1"/>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Calibri" w:eastAsia="Trebuchet MS" w:hAnsi="Calibri" w:cs="Calibr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7977CC"/>
    <w:multiLevelType w:val="hybridMultilevel"/>
    <w:tmpl w:val="EA0A2A5A"/>
    <w:lvl w:ilvl="0" w:tplc="C0226666">
      <w:start w:val="1"/>
      <w:numFmt w:val="upperLetter"/>
      <w:lvlText w:val="%1."/>
      <w:lvlJc w:val="left"/>
      <w:pPr>
        <w:ind w:left="1080" w:hanging="360"/>
      </w:pPr>
      <w:rPr>
        <w:rFonts w:cs="Univer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CC36F6"/>
    <w:multiLevelType w:val="hybridMultilevel"/>
    <w:tmpl w:val="009824F4"/>
    <w:lvl w:ilvl="0" w:tplc="CE203FF4">
      <w:start w:val="24"/>
      <w:numFmt w:val="decimal"/>
      <w:pStyle w:val="Style2"/>
      <w:lvlText w:val="%1."/>
      <w:lvlJc w:val="left"/>
      <w:pPr>
        <w:tabs>
          <w:tab w:val="num" w:pos="720"/>
        </w:tabs>
        <w:ind w:left="0" w:firstLine="720"/>
      </w:pPr>
      <w:rPr>
        <w:rFonts w:ascii="Cambria" w:hAnsi="Cambria" w:hint="default"/>
        <w:b w:val="0"/>
        <w:i w:val="0"/>
        <w:color w:val="auto"/>
        <w:sz w:val="20"/>
        <w:szCs w:val="20"/>
      </w:rPr>
    </w:lvl>
    <w:lvl w:ilvl="1" w:tplc="8818AAE4">
      <w:start w:val="4"/>
      <w:numFmt w:val="upperRoman"/>
      <w:lvlText w:val="%2."/>
      <w:lvlJc w:val="left"/>
      <w:pPr>
        <w:tabs>
          <w:tab w:val="num" w:pos="2160"/>
        </w:tabs>
        <w:ind w:left="2160" w:hanging="720"/>
      </w:pPr>
      <w:rPr>
        <w:rFonts w:hint="default"/>
        <w:b/>
      </w:rPr>
    </w:lvl>
    <w:lvl w:ilvl="2" w:tplc="ECA8A366">
      <w:start w:val="1"/>
      <w:numFmt w:val="upperLetter"/>
      <w:lvlText w:val="%3."/>
      <w:lvlJc w:val="left"/>
      <w:pPr>
        <w:tabs>
          <w:tab w:val="num" w:pos="3060"/>
        </w:tabs>
        <w:ind w:left="3060" w:hanging="720"/>
      </w:pPr>
      <w:rPr>
        <w:rFonts w:hint="default"/>
        <w:b/>
      </w:rPr>
    </w:lvl>
    <w:lvl w:ilvl="3" w:tplc="CFE897F8">
      <w:start w:val="1"/>
      <w:numFmt w:val="lowerLetter"/>
      <w:lvlText w:val="%4."/>
      <w:lvlJc w:val="left"/>
      <w:pPr>
        <w:tabs>
          <w:tab w:val="num" w:pos="3240"/>
        </w:tabs>
        <w:ind w:left="3240" w:hanging="360"/>
      </w:pPr>
      <w:rPr>
        <w:rFonts w:hint="default"/>
      </w:rPr>
    </w:lvl>
    <w:lvl w:ilvl="4" w:tplc="1D229B08">
      <w:start w:val="9"/>
      <w:numFmt w:val="bullet"/>
      <w:lvlText w:val="-"/>
      <w:lvlJc w:val="left"/>
      <w:pPr>
        <w:tabs>
          <w:tab w:val="num" w:pos="3960"/>
        </w:tabs>
        <w:ind w:left="3960" w:hanging="360"/>
      </w:pPr>
      <w:rPr>
        <w:rFonts w:ascii="Univers" w:eastAsia="Times New Roman" w:hAnsi="Univer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5">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66">
    <w:nsid w:val="7FBF0BC4"/>
    <w:multiLevelType w:val="hybridMultilevel"/>
    <w:tmpl w:val="49C2EF38"/>
    <w:lvl w:ilvl="0" w:tplc="A0D496DC">
      <w:start w:val="1"/>
      <w:numFmt w:val="upp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3"/>
  </w:num>
  <w:num w:numId="9">
    <w:abstractNumId w:val="50"/>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6"/>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6"/>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4"/>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9"/>
  </w:num>
  <w:num w:numId="74">
    <w:abstractNumId w:val="31"/>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8"/>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3"/>
  </w:num>
  <w:num w:numId="93">
    <w:abstractNumId w:val="65"/>
  </w:num>
  <w:num w:numId="94">
    <w:abstractNumId w:val="22"/>
  </w:num>
  <w:num w:numId="95">
    <w:abstractNumId w:val="44"/>
  </w:num>
  <w:num w:numId="96">
    <w:abstractNumId w:val="54"/>
  </w:num>
  <w:num w:numId="97">
    <w:abstractNumId w:val="52"/>
  </w:num>
  <w:num w:numId="98">
    <w:abstractNumId w:val="47"/>
  </w:num>
  <w:num w:numId="99">
    <w:abstractNumId w:val="39"/>
  </w:num>
  <w:num w:numId="100">
    <w:abstractNumId w:val="3"/>
  </w:num>
  <w:num w:numId="101">
    <w:abstractNumId w:val="28"/>
  </w:num>
  <w:num w:numId="102">
    <w:abstractNumId w:val="49"/>
  </w:num>
  <w:num w:numId="103">
    <w:abstractNumId w:val="5"/>
  </w:num>
  <w:num w:numId="104">
    <w:abstractNumId w:val="7"/>
  </w:num>
  <w:num w:numId="105">
    <w:abstractNumId w:val="13"/>
  </w:num>
  <w:num w:numId="106">
    <w:abstractNumId w:val="64"/>
  </w:num>
  <w:num w:numId="107">
    <w:abstractNumId w:val="66"/>
  </w:num>
  <w:num w:numId="108">
    <w:abstractNumId w:val="27"/>
  </w:num>
  <w:num w:numId="109">
    <w:abstractNumId w:val="6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efaultTabStop w:val="720"/>
  <w:hyphenationZone w:val="425"/>
  <w:characterSpacingControl w:val="doNotCompress"/>
  <w:hdrShapeDefaults>
    <o:shapedefaults v:ext="edit" spidmax="4101"/>
  </w:hdrShapeDefaults>
  <w:footnotePr>
    <w:footnote w:id="-1"/>
    <w:footnote w:id="0"/>
    <w:footnote w:id="1"/>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D5C"/>
    <w:rsid w:val="0000036F"/>
    <w:rsid w:val="00000CDA"/>
    <w:rsid w:val="000070D7"/>
    <w:rsid w:val="000111A8"/>
    <w:rsid w:val="0001788C"/>
    <w:rsid w:val="00036A8A"/>
    <w:rsid w:val="00040C3A"/>
    <w:rsid w:val="00054B35"/>
    <w:rsid w:val="0005581B"/>
    <w:rsid w:val="0005730B"/>
    <w:rsid w:val="00060D7E"/>
    <w:rsid w:val="000639C0"/>
    <w:rsid w:val="00070F3A"/>
    <w:rsid w:val="000716C5"/>
    <w:rsid w:val="00075E23"/>
    <w:rsid w:val="00092F32"/>
    <w:rsid w:val="0009344A"/>
    <w:rsid w:val="000A575F"/>
    <w:rsid w:val="000B0C26"/>
    <w:rsid w:val="000B4017"/>
    <w:rsid w:val="000B4CB5"/>
    <w:rsid w:val="000B7427"/>
    <w:rsid w:val="000D0B99"/>
    <w:rsid w:val="000D10DB"/>
    <w:rsid w:val="000E3985"/>
    <w:rsid w:val="000E55DE"/>
    <w:rsid w:val="0013104F"/>
    <w:rsid w:val="00135A03"/>
    <w:rsid w:val="00137EBA"/>
    <w:rsid w:val="00145EDC"/>
    <w:rsid w:val="00160636"/>
    <w:rsid w:val="00167A34"/>
    <w:rsid w:val="0018037F"/>
    <w:rsid w:val="001A5F27"/>
    <w:rsid w:val="001A7870"/>
    <w:rsid w:val="001B5D9D"/>
    <w:rsid w:val="001C1B41"/>
    <w:rsid w:val="001D02B2"/>
    <w:rsid w:val="001E1D8A"/>
    <w:rsid w:val="001F1606"/>
    <w:rsid w:val="00202702"/>
    <w:rsid w:val="00210E0E"/>
    <w:rsid w:val="00247403"/>
    <w:rsid w:val="00247542"/>
    <w:rsid w:val="00252BA7"/>
    <w:rsid w:val="00257893"/>
    <w:rsid w:val="00262E65"/>
    <w:rsid w:val="00263CD8"/>
    <w:rsid w:val="00266092"/>
    <w:rsid w:val="00266B61"/>
    <w:rsid w:val="0026712A"/>
    <w:rsid w:val="002704DB"/>
    <w:rsid w:val="00295F57"/>
    <w:rsid w:val="002A0EDA"/>
    <w:rsid w:val="002C1641"/>
    <w:rsid w:val="002D535B"/>
    <w:rsid w:val="002D7EA2"/>
    <w:rsid w:val="002E15DF"/>
    <w:rsid w:val="002E187C"/>
    <w:rsid w:val="002E3698"/>
    <w:rsid w:val="002E6E57"/>
    <w:rsid w:val="00300A1E"/>
    <w:rsid w:val="00301075"/>
    <w:rsid w:val="00302733"/>
    <w:rsid w:val="00307B6F"/>
    <w:rsid w:val="00311A4F"/>
    <w:rsid w:val="00314078"/>
    <w:rsid w:val="00322450"/>
    <w:rsid w:val="00322654"/>
    <w:rsid w:val="003246B5"/>
    <w:rsid w:val="00327CFC"/>
    <w:rsid w:val="00330440"/>
    <w:rsid w:val="0033169F"/>
    <w:rsid w:val="00333B09"/>
    <w:rsid w:val="003414AC"/>
    <w:rsid w:val="00353C1E"/>
    <w:rsid w:val="00356185"/>
    <w:rsid w:val="003568FC"/>
    <w:rsid w:val="00360380"/>
    <w:rsid w:val="00360A7B"/>
    <w:rsid w:val="003674EE"/>
    <w:rsid w:val="00377625"/>
    <w:rsid w:val="00383DDD"/>
    <w:rsid w:val="00386CF0"/>
    <w:rsid w:val="00387837"/>
    <w:rsid w:val="003A7E26"/>
    <w:rsid w:val="003C32BC"/>
    <w:rsid w:val="003C7976"/>
    <w:rsid w:val="003D3D22"/>
    <w:rsid w:val="003F1BBF"/>
    <w:rsid w:val="003F7AB3"/>
    <w:rsid w:val="004165C2"/>
    <w:rsid w:val="0042126D"/>
    <w:rsid w:val="0043116D"/>
    <w:rsid w:val="00444879"/>
    <w:rsid w:val="00450A4A"/>
    <w:rsid w:val="00453C6D"/>
    <w:rsid w:val="004666FB"/>
    <w:rsid w:val="00467B7E"/>
    <w:rsid w:val="00482570"/>
    <w:rsid w:val="0049419D"/>
    <w:rsid w:val="00497B63"/>
    <w:rsid w:val="004A0B6A"/>
    <w:rsid w:val="004B2762"/>
    <w:rsid w:val="004B3957"/>
    <w:rsid w:val="004B7EB6"/>
    <w:rsid w:val="004C07D0"/>
    <w:rsid w:val="004C4B62"/>
    <w:rsid w:val="004D6025"/>
    <w:rsid w:val="004D72BC"/>
    <w:rsid w:val="004F1745"/>
    <w:rsid w:val="00501399"/>
    <w:rsid w:val="00507BC4"/>
    <w:rsid w:val="005128E4"/>
    <w:rsid w:val="005134EE"/>
    <w:rsid w:val="00520E1A"/>
    <w:rsid w:val="00525560"/>
    <w:rsid w:val="00526768"/>
    <w:rsid w:val="005357A6"/>
    <w:rsid w:val="00544C49"/>
    <w:rsid w:val="005521B5"/>
    <w:rsid w:val="0057402A"/>
    <w:rsid w:val="005771D0"/>
    <w:rsid w:val="0059191A"/>
    <w:rsid w:val="005921FF"/>
    <w:rsid w:val="00593AB3"/>
    <w:rsid w:val="005A6D0E"/>
    <w:rsid w:val="005A7DD7"/>
    <w:rsid w:val="005B222D"/>
    <w:rsid w:val="005B52B0"/>
    <w:rsid w:val="005B6806"/>
    <w:rsid w:val="005C00F9"/>
    <w:rsid w:val="005C2B5C"/>
    <w:rsid w:val="005C4225"/>
    <w:rsid w:val="005D1AEA"/>
    <w:rsid w:val="005F0F33"/>
    <w:rsid w:val="00600DEB"/>
    <w:rsid w:val="00603CCC"/>
    <w:rsid w:val="00613027"/>
    <w:rsid w:val="00627C9F"/>
    <w:rsid w:val="006311DA"/>
    <w:rsid w:val="006311E9"/>
    <w:rsid w:val="00632354"/>
    <w:rsid w:val="00642810"/>
    <w:rsid w:val="00652333"/>
    <w:rsid w:val="00653768"/>
    <w:rsid w:val="00667F17"/>
    <w:rsid w:val="0068009E"/>
    <w:rsid w:val="006A17D2"/>
    <w:rsid w:val="006A73E6"/>
    <w:rsid w:val="006A7766"/>
    <w:rsid w:val="006B2D5C"/>
    <w:rsid w:val="006C4EB1"/>
    <w:rsid w:val="006E0166"/>
    <w:rsid w:val="006E7B34"/>
    <w:rsid w:val="0070086A"/>
    <w:rsid w:val="00701B24"/>
    <w:rsid w:val="00730246"/>
    <w:rsid w:val="00741584"/>
    <w:rsid w:val="00745899"/>
    <w:rsid w:val="007564EF"/>
    <w:rsid w:val="007607C4"/>
    <w:rsid w:val="00760A71"/>
    <w:rsid w:val="0076643F"/>
    <w:rsid w:val="007A2F70"/>
    <w:rsid w:val="007C3334"/>
    <w:rsid w:val="007C52BB"/>
    <w:rsid w:val="007C5778"/>
    <w:rsid w:val="007C6CB9"/>
    <w:rsid w:val="007D2B98"/>
    <w:rsid w:val="007E0740"/>
    <w:rsid w:val="007E433C"/>
    <w:rsid w:val="00803F1C"/>
    <w:rsid w:val="0080600E"/>
    <w:rsid w:val="00817612"/>
    <w:rsid w:val="00833834"/>
    <w:rsid w:val="00837C45"/>
    <w:rsid w:val="00846355"/>
    <w:rsid w:val="00853419"/>
    <w:rsid w:val="00854069"/>
    <w:rsid w:val="008576F5"/>
    <w:rsid w:val="0086070C"/>
    <w:rsid w:val="00897E12"/>
    <w:rsid w:val="008A4B56"/>
    <w:rsid w:val="008C3DAE"/>
    <w:rsid w:val="008D43BA"/>
    <w:rsid w:val="008E3759"/>
    <w:rsid w:val="0090024F"/>
    <w:rsid w:val="009041DC"/>
    <w:rsid w:val="009104B4"/>
    <w:rsid w:val="009137C3"/>
    <w:rsid w:val="00925FCD"/>
    <w:rsid w:val="0093441A"/>
    <w:rsid w:val="00954BF7"/>
    <w:rsid w:val="009564A0"/>
    <w:rsid w:val="0096706E"/>
    <w:rsid w:val="00981FBA"/>
    <w:rsid w:val="00983884"/>
    <w:rsid w:val="00991B77"/>
    <w:rsid w:val="0099780A"/>
    <w:rsid w:val="009B0DA4"/>
    <w:rsid w:val="009B381B"/>
    <w:rsid w:val="009D7611"/>
    <w:rsid w:val="009E53DE"/>
    <w:rsid w:val="009E764E"/>
    <w:rsid w:val="00A239E7"/>
    <w:rsid w:val="00A25EEF"/>
    <w:rsid w:val="00A43458"/>
    <w:rsid w:val="00A528D1"/>
    <w:rsid w:val="00A66BE5"/>
    <w:rsid w:val="00A71473"/>
    <w:rsid w:val="00A87ED7"/>
    <w:rsid w:val="00A9374A"/>
    <w:rsid w:val="00AA23FA"/>
    <w:rsid w:val="00AB4CDD"/>
    <w:rsid w:val="00AD37C1"/>
    <w:rsid w:val="00AD5B69"/>
    <w:rsid w:val="00AE3A4A"/>
    <w:rsid w:val="00AE40B6"/>
    <w:rsid w:val="00AE4A5B"/>
    <w:rsid w:val="00AE66EC"/>
    <w:rsid w:val="00AE6F91"/>
    <w:rsid w:val="00AF5571"/>
    <w:rsid w:val="00B039BC"/>
    <w:rsid w:val="00B167E9"/>
    <w:rsid w:val="00B21B54"/>
    <w:rsid w:val="00B314DB"/>
    <w:rsid w:val="00B31EBE"/>
    <w:rsid w:val="00B3718B"/>
    <w:rsid w:val="00B4632A"/>
    <w:rsid w:val="00B509A3"/>
    <w:rsid w:val="00B50D3C"/>
    <w:rsid w:val="00B55CDC"/>
    <w:rsid w:val="00B717A6"/>
    <w:rsid w:val="00B7649A"/>
    <w:rsid w:val="00B769F6"/>
    <w:rsid w:val="00B77544"/>
    <w:rsid w:val="00BA009F"/>
    <w:rsid w:val="00BA276C"/>
    <w:rsid w:val="00BB306F"/>
    <w:rsid w:val="00BC74F3"/>
    <w:rsid w:val="00BD232B"/>
    <w:rsid w:val="00BD4B89"/>
    <w:rsid w:val="00BF3E45"/>
    <w:rsid w:val="00C21762"/>
    <w:rsid w:val="00C24543"/>
    <w:rsid w:val="00C256A2"/>
    <w:rsid w:val="00C33A94"/>
    <w:rsid w:val="00C3492D"/>
    <w:rsid w:val="00C55560"/>
    <w:rsid w:val="00C6553F"/>
    <w:rsid w:val="00C66B72"/>
    <w:rsid w:val="00C91054"/>
    <w:rsid w:val="00C9567A"/>
    <w:rsid w:val="00C95761"/>
    <w:rsid w:val="00C96FD1"/>
    <w:rsid w:val="00C97CA3"/>
    <w:rsid w:val="00CB005A"/>
    <w:rsid w:val="00CB2660"/>
    <w:rsid w:val="00CB67E0"/>
    <w:rsid w:val="00CC5E90"/>
    <w:rsid w:val="00CD046C"/>
    <w:rsid w:val="00CD6D9F"/>
    <w:rsid w:val="00CE5199"/>
    <w:rsid w:val="00CE66D5"/>
    <w:rsid w:val="00CF3B87"/>
    <w:rsid w:val="00CF54A4"/>
    <w:rsid w:val="00D268E6"/>
    <w:rsid w:val="00D34786"/>
    <w:rsid w:val="00D40A1E"/>
    <w:rsid w:val="00D42817"/>
    <w:rsid w:val="00D712D3"/>
    <w:rsid w:val="00D71422"/>
    <w:rsid w:val="00D7145E"/>
    <w:rsid w:val="00D7558D"/>
    <w:rsid w:val="00D81D92"/>
    <w:rsid w:val="00D93446"/>
    <w:rsid w:val="00DA7B5F"/>
    <w:rsid w:val="00DB0D6C"/>
    <w:rsid w:val="00DC1E41"/>
    <w:rsid w:val="00DE4E65"/>
    <w:rsid w:val="00DE733C"/>
    <w:rsid w:val="00DF49C8"/>
    <w:rsid w:val="00E43157"/>
    <w:rsid w:val="00E533FF"/>
    <w:rsid w:val="00E709B3"/>
    <w:rsid w:val="00E71767"/>
    <w:rsid w:val="00E832F9"/>
    <w:rsid w:val="00E8789F"/>
    <w:rsid w:val="00E96DC0"/>
    <w:rsid w:val="00E96EC7"/>
    <w:rsid w:val="00E97B71"/>
    <w:rsid w:val="00EA5725"/>
    <w:rsid w:val="00EB454D"/>
    <w:rsid w:val="00EC3248"/>
    <w:rsid w:val="00EE3522"/>
    <w:rsid w:val="00EF619B"/>
    <w:rsid w:val="00F00B55"/>
    <w:rsid w:val="00F04DDA"/>
    <w:rsid w:val="00F1380F"/>
    <w:rsid w:val="00F14F0E"/>
    <w:rsid w:val="00F174FD"/>
    <w:rsid w:val="00F24C29"/>
    <w:rsid w:val="00F253CC"/>
    <w:rsid w:val="00F54993"/>
    <w:rsid w:val="00F56BA5"/>
    <w:rsid w:val="00F644E6"/>
    <w:rsid w:val="00F65FDE"/>
    <w:rsid w:val="00F84B01"/>
    <w:rsid w:val="00F87A14"/>
    <w:rsid w:val="00F9653B"/>
    <w:rsid w:val="00FB62CF"/>
    <w:rsid w:val="00FC3EB4"/>
    <w:rsid w:val="00FC41E7"/>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pBdr>
        <w:top w:val="nil"/>
        <w:left w:val="nil"/>
        <w:bottom w:val="nil"/>
        <w:right w:val="nil"/>
        <w:between w:val="nil"/>
        <w:bar w:val="nil"/>
      </w:pBdr>
    </w:pPr>
    <w:rPr>
      <w:sz w:val="24"/>
      <w:szCs w:val="24"/>
      <w:bdr w:val="nil"/>
    </w:rPr>
  </w:style>
  <w:style w:type="paragraph" w:styleId="Heading1">
    <w:name w:val="heading 1"/>
    <w:basedOn w:val="Normal"/>
    <w:next w:val="Normal"/>
    <w:link w:val="Heading1Char"/>
    <w:uiPriority w:val="9"/>
    <w:qFormat/>
    <w:rsid w:val="00202702"/>
    <w:pPr>
      <w:keepNext/>
      <w:keepLines/>
      <w:numPr>
        <w:numId w:val="96"/>
      </w:numPr>
      <w:tabs>
        <w:tab w:val="left" w:pos="1440"/>
      </w:tabs>
      <w:ind w:left="0" w:firstLine="720"/>
      <w:jc w:val="both"/>
      <w:outlineLvl w:val="0"/>
    </w:pPr>
    <w:rPr>
      <w:rFonts w:ascii="Cambria" w:eastAsia="MS Gothic" w:hAnsi="Cambria"/>
      <w:b/>
      <w:bCs/>
      <w:sz w:val="22"/>
      <w:szCs w:val="28"/>
    </w:rPr>
  </w:style>
  <w:style w:type="paragraph" w:styleId="Heading2">
    <w:name w:val="heading 2"/>
    <w:basedOn w:val="Normal"/>
    <w:next w:val="Normal"/>
    <w:link w:val="Heading2Char"/>
    <w:uiPriority w:val="9"/>
    <w:qFormat/>
    <w:rsid w:val="00202702"/>
    <w:pPr>
      <w:numPr>
        <w:numId w:val="105"/>
      </w:numPr>
      <w:jc w:val="both"/>
      <w:outlineLvl w:val="1"/>
    </w:pPr>
    <w:rPr>
      <w:rFonts w:ascii="Cambria" w:eastAsia="MS Gothic" w:hAnsi="Cambria"/>
      <w:b/>
      <w:bCs/>
      <w:sz w:val="22"/>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uiPriority w:val="99"/>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link w:val="BodyTextIndentChar"/>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customStyle="1" w:styleId="ColorfulList-Accent11">
    <w:name w:val="Colorful List - Accent 11"/>
    <w:uiPriority w:val="34"/>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pPr>
      <w:pBdr>
        <w:top w:val="nil"/>
        <w:left w:val="nil"/>
        <w:bottom w:val="nil"/>
        <w:right w:val="nil"/>
        <w:between w:val="nil"/>
        <w:bar w:val="nil"/>
      </w:pBdr>
    </w:pPr>
    <w:rPr>
      <w:rFonts w:ascii="Calibri" w:eastAsia="Calibri" w:hAnsi="Calibri" w:cs="Calibri"/>
      <w:color w:val="000000"/>
      <w:sz w:val="24"/>
      <w:szCs w:val="24"/>
      <w:u w:color="000000"/>
      <w:bdr w:val="nil"/>
      <w:lang w:eastAsia="es-E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uiPriority w:val="9"/>
    <w:rsid w:val="00202702"/>
    <w:rPr>
      <w:rFonts w:ascii="Cambria" w:eastAsia="MS Gothic" w:hAnsi="Cambria" w:cs="Times New Roman"/>
      <w:b/>
      <w:bCs/>
      <w:sz w:val="22"/>
      <w:szCs w:val="28"/>
      <w:lang w:val="en-US" w:eastAsia="en-US"/>
    </w:rPr>
  </w:style>
  <w:style w:type="table" w:styleId="MediumGrid2-Accent1">
    <w:name w:val="Medium Grid 2 Accent 1"/>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Calibri" w:hAnsi="Calibr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 pi,Re"/>
    <w:link w:val="BVIfnrCar1CarCarCarCar"/>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Heading2Char">
    <w:name w:val="Heading 2 Char"/>
    <w:link w:val="Heading2"/>
    <w:uiPriority w:val="9"/>
    <w:rsid w:val="00202702"/>
    <w:rPr>
      <w:rFonts w:ascii="Cambria" w:eastAsia="MS Gothic" w:hAnsi="Cambria" w:cs="Times New Roman"/>
      <w:b/>
      <w:bCs/>
      <w:sz w:val="22"/>
      <w:szCs w:val="26"/>
      <w:lang w:eastAsia="en-US"/>
    </w:rPr>
  </w:style>
  <w:style w:type="character" w:customStyle="1" w:styleId="BodyTextIndentChar">
    <w:name w:val="Body Text Indent Char"/>
    <w:link w:val="BodyTextIndent"/>
    <w:rsid w:val="00202702"/>
    <w:rPr>
      <w:rFonts w:eastAsia="Times New Roman"/>
      <w:color w:val="000000"/>
      <w:sz w:val="24"/>
      <w:szCs w:val="24"/>
      <w:u w:color="000000"/>
      <w:lang w:val="es-ES_tradnl"/>
    </w:rPr>
  </w:style>
  <w:style w:type="paragraph" w:customStyle="1" w:styleId="MediumList2-Accent41">
    <w:name w:val="Medium List 2 - Accent 41"/>
    <w:uiPriority w:val="34"/>
    <w:qFormat/>
    <w:rsid w:val="00202702"/>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paragraph" w:styleId="NormalWeb">
    <w:name w:val="Normal (Web)"/>
    <w:basedOn w:val="Normal"/>
    <w:uiPriority w:val="99"/>
    <w:rsid w:val="002027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hAnsi="Arial Unicode MS" w:cs="Arial Unicode MS"/>
      <w:bdr w:val="none" w:sz="0" w:space="0" w:color="auto"/>
    </w:rPr>
  </w:style>
  <w:style w:type="character" w:customStyle="1" w:styleId="apple-converted-space">
    <w:name w:val="apple-converted-space"/>
    <w:rsid w:val="00202702"/>
  </w:style>
  <w:style w:type="paragraph" w:customStyle="1" w:styleId="Style2">
    <w:name w:val="Style2"/>
    <w:basedOn w:val="Normal"/>
    <w:qFormat/>
    <w:rsid w:val="00202702"/>
    <w:pPr>
      <w:numPr>
        <w:numId w:val="106"/>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mbria" w:hAnsi="Cambria"/>
      <w:sz w:val="20"/>
      <w:szCs w:val="20"/>
      <w:lang w:val="es-ES"/>
    </w:rPr>
  </w:style>
  <w:style w:type="paragraph" w:customStyle="1" w:styleId="ColorfulList-Accent12">
    <w:name w:val="Colorful List - Accent 12"/>
    <w:aliases w:val="Párrafo de lista1,List Paragraph1,List Paragraph11"/>
    <w:basedOn w:val="Normal"/>
    <w:link w:val="ColorfulList-Accent1Char"/>
    <w:uiPriority w:val="99"/>
    <w:qFormat/>
    <w:rsid w:val="00202702"/>
    <w:pPr>
      <w:ind w:left="720" w:right="720"/>
      <w:jc w:val="both"/>
    </w:pPr>
    <w:rPr>
      <w:rFonts w:ascii="Cambria" w:hAnsi="Cambria"/>
      <w:sz w:val="20"/>
      <w:szCs w:val="20"/>
      <w:lang w:val="es-MX"/>
    </w:rPr>
  </w:style>
  <w:style w:type="character" w:customStyle="1" w:styleId="ColorfulList-Accent1Char">
    <w:name w:val="Colorful List - Accent 1 Char"/>
    <w:aliases w:val="Párrafo de lista1 Char,List Paragraph1 Char,List Paragraph11 Char,List Paragraph Char"/>
    <w:link w:val="ColorfulList-Accent12"/>
    <w:uiPriority w:val="99"/>
    <w:locked/>
    <w:rsid w:val="00202702"/>
    <w:rPr>
      <w:rFonts w:ascii="Cambria" w:hAnsi="Cambria"/>
      <w:lang w:val="es-MX"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rsid w:val="00202702"/>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sz w:val="20"/>
      <w:szCs w:val="20"/>
      <w:vertAlign w:val="superscript"/>
      <w:lang w:val="es-ES" w:eastAsia="es-ES"/>
    </w:rPr>
  </w:style>
  <w:style w:type="paragraph" w:styleId="BodyTextIndent3">
    <w:name w:val="Body Text Indent 3"/>
    <w:basedOn w:val="Normal"/>
    <w:link w:val="BodyTextIndent3Char"/>
    <w:uiPriority w:val="99"/>
    <w:semiHidden/>
    <w:unhideWhenUsed/>
    <w:rsid w:val="00202702"/>
    <w:pPr>
      <w:spacing w:after="120"/>
      <w:ind w:left="360"/>
    </w:pPr>
    <w:rPr>
      <w:sz w:val="16"/>
      <w:szCs w:val="16"/>
    </w:rPr>
  </w:style>
  <w:style w:type="character" w:customStyle="1" w:styleId="BodyTextIndent3Char">
    <w:name w:val="Body Text Indent 3 Char"/>
    <w:link w:val="BodyTextIndent3"/>
    <w:uiPriority w:val="99"/>
    <w:semiHidden/>
    <w:rsid w:val="00202702"/>
    <w:rPr>
      <w:sz w:val="16"/>
      <w:szCs w:val="16"/>
      <w:lang w:val="en-US" w:eastAsia="en-US"/>
    </w:rPr>
  </w:style>
  <w:style w:type="paragraph" w:styleId="TOC5">
    <w:name w:val="toc 5"/>
    <w:basedOn w:val="Normal"/>
    <w:next w:val="Normal"/>
    <w:autoRedefine/>
    <w:uiPriority w:val="39"/>
    <w:unhideWhenUsed/>
    <w:rsid w:val="00BC74F3"/>
    <w:pPr>
      <w:ind w:left="960"/>
    </w:pPr>
  </w:style>
  <w:style w:type="paragraph" w:styleId="TOC6">
    <w:name w:val="toc 6"/>
    <w:basedOn w:val="Normal"/>
    <w:next w:val="Normal"/>
    <w:autoRedefine/>
    <w:uiPriority w:val="39"/>
    <w:unhideWhenUsed/>
    <w:rsid w:val="00BC74F3"/>
    <w:pPr>
      <w:ind w:left="1200"/>
    </w:pPr>
  </w:style>
  <w:style w:type="paragraph" w:styleId="TOC7">
    <w:name w:val="toc 7"/>
    <w:basedOn w:val="Normal"/>
    <w:next w:val="Normal"/>
    <w:autoRedefine/>
    <w:uiPriority w:val="39"/>
    <w:unhideWhenUsed/>
    <w:rsid w:val="00BC74F3"/>
    <w:pPr>
      <w:ind w:left="1440"/>
    </w:pPr>
  </w:style>
  <w:style w:type="paragraph" w:styleId="TOC8">
    <w:name w:val="toc 8"/>
    <w:basedOn w:val="Normal"/>
    <w:next w:val="Normal"/>
    <w:autoRedefine/>
    <w:uiPriority w:val="39"/>
    <w:unhideWhenUsed/>
    <w:rsid w:val="00BC74F3"/>
    <w:pPr>
      <w:ind w:left="1680"/>
    </w:pPr>
  </w:style>
  <w:style w:type="paragraph" w:styleId="TOC9">
    <w:name w:val="toc 9"/>
    <w:basedOn w:val="Normal"/>
    <w:next w:val="Normal"/>
    <w:autoRedefine/>
    <w:uiPriority w:val="39"/>
    <w:unhideWhenUsed/>
    <w:rsid w:val="00BC74F3"/>
    <w:pPr>
      <w:ind w:left="19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yperlink">
    <w:name w:val="List16"/>
    <w:pPr>
      <w:numPr>
        <w:numId w:val="53"/>
      </w:numPr>
    </w:pPr>
  </w:style>
  <w:style w:type="numbering" w:customStyle="1" w:styleId="Cabeceraypie">
    <w:name w:val="List36"/>
    <w:pPr>
      <w:numPr>
        <w:numId w:val="57"/>
      </w:numPr>
    </w:pPr>
  </w:style>
  <w:style w:type="numbering" w:customStyle="1" w:styleId="Footer">
    <w:name w:val="List25"/>
    <w:pPr>
      <w:numPr>
        <w:numId w:val="58"/>
      </w:numPr>
    </w:pPr>
  </w:style>
  <w:style w:type="numbering" w:customStyle="1" w:styleId="Cuerpo">
    <w:name w:val="List1"/>
    <w:pPr>
      <w:numPr>
        <w:numId w:val="2"/>
      </w:numPr>
    </w:pPr>
  </w:style>
  <w:style w:type="numbering" w:customStyle="1" w:styleId="BodyTextIndent">
    <w:name w:val="List41"/>
    <w:pPr>
      <w:numPr>
        <w:numId w:val="5"/>
      </w:numPr>
    </w:pPr>
  </w:style>
  <w:style w:type="numbering" w:customStyle="1" w:styleId="ColorfulList-Accent11">
    <w:name w:val="List11"/>
    <w:pPr>
      <w:numPr>
        <w:numId w:val="20"/>
      </w:numPr>
    </w:pPr>
  </w:style>
  <w:style w:type="numbering" w:customStyle="1" w:styleId="List0">
    <w:name w:val="List15"/>
    <w:pPr>
      <w:numPr>
        <w:numId w:val="59"/>
      </w:numPr>
    </w:pPr>
  </w:style>
  <w:style w:type="numbering" w:customStyle="1" w:styleId="Estiloimportado1">
    <w:name w:val="List14"/>
    <w:pPr>
      <w:numPr>
        <w:numId w:val="60"/>
      </w:numPr>
    </w:pPr>
  </w:style>
  <w:style w:type="numbering" w:customStyle="1" w:styleId="List1">
    <w:name w:val="List23"/>
    <w:pPr>
      <w:numPr>
        <w:numId w:val="61"/>
      </w:numPr>
    </w:pPr>
  </w:style>
  <w:style w:type="numbering" w:customStyle="1" w:styleId="Estiloimportado2">
    <w:name w:val="List19"/>
    <w:pPr>
      <w:numPr>
        <w:numId w:val="62"/>
      </w:numPr>
    </w:pPr>
  </w:style>
  <w:style w:type="numbering" w:customStyle="1" w:styleId="List210">
    <w:name w:val="List45"/>
    <w:pPr>
      <w:numPr>
        <w:numId w:val="63"/>
      </w:numPr>
    </w:pPr>
  </w:style>
  <w:style w:type="numbering" w:customStyle="1" w:styleId="Estiloimportado3">
    <w:name w:val="List40"/>
    <w:pPr>
      <w:numPr>
        <w:numId w:val="64"/>
      </w:numPr>
    </w:pPr>
  </w:style>
  <w:style w:type="numbering" w:customStyle="1" w:styleId="List31">
    <w:name w:val="List9"/>
    <w:pPr>
      <w:numPr>
        <w:numId w:val="65"/>
      </w:numPr>
    </w:pPr>
  </w:style>
  <w:style w:type="numbering" w:customStyle="1" w:styleId="Estiloimportado4">
    <w:name w:val="List43"/>
    <w:pPr>
      <w:numPr>
        <w:numId w:val="66"/>
      </w:numPr>
    </w:pPr>
  </w:style>
  <w:style w:type="numbering" w:customStyle="1" w:styleId="List41">
    <w:name w:val="List46"/>
    <w:pPr>
      <w:numPr>
        <w:numId w:val="67"/>
      </w:numPr>
    </w:pPr>
  </w:style>
  <w:style w:type="numbering" w:customStyle="1" w:styleId="Estiloimportado5">
    <w:name w:val="List35"/>
    <w:pPr>
      <w:numPr>
        <w:numId w:val="35"/>
      </w:numPr>
    </w:pPr>
  </w:style>
  <w:style w:type="numbering" w:customStyle="1" w:styleId="List510">
    <w:name w:val="List17"/>
    <w:pPr>
      <w:numPr>
        <w:numId w:val="68"/>
      </w:numPr>
    </w:pPr>
  </w:style>
  <w:style w:type="numbering" w:customStyle="1" w:styleId="Estiloimportado6">
    <w:name w:val="List33"/>
    <w:pPr>
      <w:numPr>
        <w:numId w:val="69"/>
      </w:numPr>
    </w:pPr>
  </w:style>
  <w:style w:type="numbering" w:customStyle="1" w:styleId="List6">
    <w:name w:val="List31"/>
    <w:pPr>
      <w:numPr>
        <w:numId w:val="94"/>
      </w:numPr>
    </w:pPr>
  </w:style>
  <w:style w:type="numbering" w:customStyle="1" w:styleId="Estiloimportado7">
    <w:name w:val="List7"/>
    <w:pPr>
      <w:numPr>
        <w:numId w:val="8"/>
      </w:numPr>
    </w:pPr>
  </w:style>
  <w:style w:type="numbering" w:customStyle="1" w:styleId="List7">
    <w:name w:val="List18"/>
    <w:pPr>
      <w:numPr>
        <w:numId w:val="70"/>
      </w:numPr>
    </w:pPr>
  </w:style>
  <w:style w:type="numbering" w:customStyle="1" w:styleId="Estiloimportado8">
    <w:name w:val="List22"/>
    <w:pPr>
      <w:numPr>
        <w:numId w:val="71"/>
      </w:numPr>
    </w:pPr>
  </w:style>
  <w:style w:type="numbering" w:customStyle="1" w:styleId="List8">
    <w:name w:val="List47"/>
    <w:pPr>
      <w:numPr>
        <w:numId w:val="72"/>
      </w:numPr>
    </w:pPr>
  </w:style>
  <w:style w:type="numbering" w:customStyle="1" w:styleId="Estiloimportado9">
    <w:name w:val="List28"/>
    <w:pPr>
      <w:numPr>
        <w:numId w:val="73"/>
      </w:numPr>
    </w:pPr>
  </w:style>
  <w:style w:type="numbering" w:customStyle="1" w:styleId="List9">
    <w:name w:val="List10"/>
    <w:pPr>
      <w:numPr>
        <w:numId w:val="11"/>
      </w:numPr>
    </w:pPr>
  </w:style>
  <w:style w:type="numbering" w:customStyle="1" w:styleId="Estiloimportado10">
    <w:name w:val="List0"/>
    <w:pPr>
      <w:numPr>
        <w:numId w:val="74"/>
      </w:numPr>
    </w:pPr>
  </w:style>
  <w:style w:type="numbering" w:customStyle="1" w:styleId="List10">
    <w:name w:val="List30"/>
    <w:pPr>
      <w:numPr>
        <w:numId w:val="75"/>
      </w:numPr>
    </w:pPr>
  </w:style>
  <w:style w:type="numbering" w:customStyle="1" w:styleId="Estiloimportado11">
    <w:name w:val="List51"/>
    <w:pPr>
      <w:numPr>
        <w:numId w:val="76"/>
      </w:numPr>
    </w:pPr>
  </w:style>
  <w:style w:type="numbering" w:customStyle="1" w:styleId="List11">
    <w:name w:val="List29"/>
    <w:pPr>
      <w:numPr>
        <w:numId w:val="77"/>
      </w:numPr>
    </w:pPr>
  </w:style>
  <w:style w:type="numbering" w:customStyle="1" w:styleId="Estiloimportado12">
    <w:name w:val="List38"/>
    <w:pPr>
      <w:numPr>
        <w:numId w:val="78"/>
      </w:numPr>
    </w:pPr>
  </w:style>
  <w:style w:type="numbering" w:customStyle="1" w:styleId="List12">
    <w:name w:val="List12"/>
    <w:pPr>
      <w:numPr>
        <w:numId w:val="79"/>
      </w:numPr>
    </w:pPr>
  </w:style>
  <w:style w:type="numbering" w:customStyle="1" w:styleId="Estiloimportado13">
    <w:name w:val="List50"/>
    <w:pPr>
      <w:numPr>
        <w:numId w:val="80"/>
      </w:numPr>
    </w:pPr>
  </w:style>
  <w:style w:type="numbering" w:customStyle="1" w:styleId="List13">
    <w:name w:val="List21"/>
    <w:pPr>
      <w:numPr>
        <w:numId w:val="81"/>
      </w:numPr>
    </w:pPr>
  </w:style>
  <w:style w:type="numbering" w:customStyle="1" w:styleId="Estiloimportado14">
    <w:name w:val="List34"/>
    <w:pPr>
      <w:numPr>
        <w:numId w:val="54"/>
      </w:numPr>
    </w:pPr>
  </w:style>
  <w:style w:type="numbering" w:customStyle="1" w:styleId="List14">
    <w:name w:val="List42"/>
    <w:pPr>
      <w:numPr>
        <w:numId w:val="55"/>
      </w:numPr>
    </w:pPr>
  </w:style>
  <w:style w:type="numbering" w:customStyle="1" w:styleId="Estiloimportado15">
    <w:name w:val="List49"/>
    <w:pPr>
      <w:numPr>
        <w:numId w:val="82"/>
      </w:numPr>
    </w:pPr>
  </w:style>
  <w:style w:type="numbering" w:customStyle="1" w:styleId="List15">
    <w:name w:val="List44"/>
    <w:pPr>
      <w:numPr>
        <w:numId w:val="83"/>
      </w:numPr>
    </w:pPr>
  </w:style>
  <w:style w:type="numbering" w:customStyle="1" w:styleId="Estiloimportado16">
    <w:name w:val="List210"/>
    <w:pPr>
      <w:numPr>
        <w:numId w:val="95"/>
      </w:numPr>
    </w:pPr>
  </w:style>
  <w:style w:type="numbering" w:customStyle="1" w:styleId="List16">
    <w:name w:val="List52"/>
    <w:pPr>
      <w:numPr>
        <w:numId w:val="52"/>
      </w:numPr>
    </w:pPr>
  </w:style>
  <w:style w:type="numbering" w:customStyle="1" w:styleId="List17">
    <w:name w:val="List24"/>
    <w:pPr>
      <w:numPr>
        <w:numId w:val="56"/>
      </w:numPr>
    </w:pPr>
  </w:style>
  <w:style w:type="numbering" w:customStyle="1" w:styleId="Estiloimportado17">
    <w:name w:val="List510"/>
    <w:pPr>
      <w:numPr>
        <w:numId w:val="98"/>
      </w:numPr>
    </w:pPr>
  </w:style>
  <w:style w:type="numbering" w:customStyle="1" w:styleId="List18">
    <w:name w:val="List27"/>
    <w:pPr>
      <w:numPr>
        <w:numId w:val="84"/>
      </w:numPr>
    </w:pPr>
  </w:style>
  <w:style w:type="numbering" w:customStyle="1" w:styleId="Estiloimportado18">
    <w:name w:val="List8"/>
    <w:pPr>
      <w:numPr>
        <w:numId w:val="9"/>
      </w:numPr>
    </w:pPr>
  </w:style>
  <w:style w:type="numbering" w:customStyle="1" w:styleId="List19">
    <w:name w:val="List13"/>
    <w:pPr>
      <w:numPr>
        <w:numId w:val="85"/>
      </w:numPr>
    </w:pPr>
  </w:style>
  <w:style w:type="numbering" w:customStyle="1" w:styleId="List20">
    <w:name w:val="List20"/>
    <w:pPr>
      <w:numPr>
        <w:numId w:val="86"/>
      </w:numPr>
    </w:pPr>
  </w:style>
  <w:style w:type="numbering" w:customStyle="1" w:styleId="List21">
    <w:name w:val="List410"/>
    <w:pPr>
      <w:numPr>
        <w:numId w:val="87"/>
      </w:numPr>
    </w:pPr>
  </w:style>
  <w:style w:type="numbering" w:customStyle="1" w:styleId="Estiloimportado19">
    <w:name w:val="List310"/>
    <w:pPr>
      <w:numPr>
        <w:numId w:val="88"/>
      </w:numPr>
    </w:pPr>
  </w:style>
  <w:style w:type="numbering" w:customStyle="1" w:styleId="List22">
    <w:name w:val="List6"/>
    <w:pPr>
      <w:numPr>
        <w:numId w:val="7"/>
      </w:numPr>
    </w:pPr>
  </w:style>
  <w:style w:type="numbering" w:customStyle="1" w:styleId="List23">
    <w:name w:val="List39"/>
    <w:pPr>
      <w:numPr>
        <w:numId w:val="89"/>
      </w:numPr>
    </w:pPr>
  </w:style>
  <w:style w:type="numbering" w:customStyle="1" w:styleId="List24">
    <w:name w:val="List37"/>
    <w:pPr>
      <w:numPr>
        <w:numId w:val="90"/>
      </w:numPr>
    </w:pPr>
  </w:style>
  <w:style w:type="numbering" w:customStyle="1" w:styleId="Estiloimportado20">
    <w:name w:val="List32"/>
    <w:pPr>
      <w:numPr>
        <w:numId w:val="91"/>
      </w:numPr>
    </w:pPr>
  </w:style>
  <w:style w:type="numbering" w:customStyle="1" w:styleId="List25">
    <w:name w:val="List26"/>
    <w:pPr>
      <w:numPr>
        <w:numId w:val="92"/>
      </w:numPr>
    </w:pPr>
  </w:style>
  <w:style w:type="numbering" w:customStyle="1" w:styleId="Estiloimportado21">
    <w:name w:val="List48"/>
    <w:pPr>
      <w:numPr>
        <w:numId w:val="9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decisiones/2017/USPU12254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75568-BBBD-49D4-8A54-FF835AAFB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7511</Words>
  <Characters>41316</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48730</CharactersWithSpaces>
  <SharedDoc>false</SharedDoc>
  <HLinks>
    <vt:vector size="6" baseType="variant">
      <vt:variant>
        <vt:i4>7667811</vt:i4>
      </vt:variant>
      <vt:variant>
        <vt:i4>0</vt:i4>
      </vt:variant>
      <vt:variant>
        <vt:i4>0</vt:i4>
      </vt:variant>
      <vt:variant>
        <vt:i4>5</vt:i4>
      </vt:variant>
      <vt:variant>
        <vt:lpwstr>http://www.oas.org/es/cidh/decisiones/2017/USPU12254ES.pdf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%username%</cp:lastModifiedBy>
  <cp:revision>4</cp:revision>
  <cp:lastPrinted>2017-08-21T14:20:00Z</cp:lastPrinted>
  <dcterms:created xsi:type="dcterms:W3CDTF">2017-08-24T19:15:00Z</dcterms:created>
  <dcterms:modified xsi:type="dcterms:W3CDTF">2017-09-21T14:50:00Z</dcterms:modified>
</cp:coreProperties>
</file>