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4190F" w:rsidRDefault="006311DA" w:rsidP="00627C9F">
      <w:pPr>
        <w:jc w:val="both"/>
        <w:rPr>
          <w:rFonts w:ascii="Cambria" w:hAnsi="Cambria" w:cs="Univers"/>
          <w:b/>
          <w:bCs/>
          <w:sz w:val="22"/>
          <w:szCs w:val="22"/>
          <w:lang w:val="es-ES_tradnl"/>
        </w:rPr>
      </w:pPr>
      <w:r w:rsidRPr="0034190F">
        <w:rPr>
          <w:rFonts w:ascii="Cambria" w:hAnsi="Cambria"/>
          <w:noProof/>
          <w:sz w:val="22"/>
          <w:szCs w:val="22"/>
        </w:rPr>
        <mc:AlternateContent>
          <mc:Choice Requires="wps">
            <w:drawing>
              <wp:anchor distT="0" distB="0" distL="114300" distR="114300" simplePos="0" relativeHeight="251661311" behindDoc="0" locked="0" layoutInCell="1" allowOverlap="1" wp14:anchorId="47A1EB5E" wp14:editId="29CF4420">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7E20F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4190F">
        <w:rPr>
          <w:rFonts w:ascii="Cambria" w:hAnsi="Cambria"/>
          <w:noProof/>
          <w:sz w:val="22"/>
          <w:szCs w:val="22"/>
        </w:rPr>
        <mc:AlternateContent>
          <mc:Choice Requires="wps">
            <w:drawing>
              <wp:anchor distT="0" distB="0" distL="114300" distR="114300" simplePos="0" relativeHeight="251673600" behindDoc="0" locked="0" layoutInCell="1" allowOverlap="1" wp14:anchorId="0F754456" wp14:editId="20CB6060">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166" w:rsidRDefault="000E7166">
                            <w:r>
                              <w:rPr>
                                <w:noProof/>
                              </w:rPr>
                              <w:drawing>
                                <wp:inline distT="0" distB="0" distL="0" distR="0" wp14:anchorId="6B4ED9D6" wp14:editId="4B07DD9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F754456"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0E7166" w:rsidRDefault="000E7166">
                      <w:r>
                        <w:rPr>
                          <w:noProof/>
                        </w:rPr>
                        <w:drawing>
                          <wp:inline distT="0" distB="0" distL="0" distR="0" wp14:anchorId="6B4ED9D6" wp14:editId="4B07DD9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4190F" w:rsidRDefault="00040C3A" w:rsidP="00040C3A">
      <w:pPr>
        <w:tabs>
          <w:tab w:val="center" w:pos="5400"/>
        </w:tabs>
        <w:suppressAutoHyphens/>
        <w:jc w:val="both"/>
        <w:rPr>
          <w:rFonts w:ascii="Cambria" w:hAnsi="Cambria"/>
          <w:sz w:val="22"/>
          <w:szCs w:val="22"/>
          <w:lang w:val="es-ES"/>
        </w:rPr>
      </w:pPr>
    </w:p>
    <w:p w:rsidR="00040C3A" w:rsidRPr="0034190F" w:rsidRDefault="00040C3A" w:rsidP="00040C3A">
      <w:pPr>
        <w:tabs>
          <w:tab w:val="center" w:pos="5400"/>
        </w:tabs>
        <w:suppressAutoHyphens/>
        <w:jc w:val="both"/>
        <w:rPr>
          <w:rFonts w:ascii="Cambria" w:hAnsi="Cambria"/>
          <w:sz w:val="22"/>
          <w:szCs w:val="22"/>
          <w:lang w:val="es-ES"/>
        </w:rPr>
      </w:pPr>
    </w:p>
    <w:p w:rsidR="005128E4" w:rsidRPr="0034190F" w:rsidRDefault="005128E4" w:rsidP="00040C3A">
      <w:pPr>
        <w:tabs>
          <w:tab w:val="center" w:pos="5400"/>
        </w:tabs>
        <w:suppressAutoHyphens/>
        <w:rPr>
          <w:rFonts w:ascii="Cambria" w:hAnsi="Cambria"/>
          <w:sz w:val="22"/>
          <w:szCs w:val="22"/>
          <w:lang w:val="es-ES_tradnl"/>
        </w:rPr>
      </w:pPr>
    </w:p>
    <w:p w:rsidR="005128E4" w:rsidRPr="0034190F" w:rsidRDefault="005128E4" w:rsidP="00040C3A">
      <w:pPr>
        <w:tabs>
          <w:tab w:val="center" w:pos="5400"/>
        </w:tabs>
        <w:suppressAutoHyphens/>
        <w:rPr>
          <w:rFonts w:ascii="Cambria" w:hAnsi="Cambria"/>
          <w:sz w:val="22"/>
          <w:szCs w:val="22"/>
          <w:lang w:val="es-ES_tradnl"/>
        </w:rPr>
      </w:pPr>
    </w:p>
    <w:p w:rsidR="005128E4" w:rsidRPr="0034190F" w:rsidRDefault="005128E4" w:rsidP="00040C3A">
      <w:pPr>
        <w:tabs>
          <w:tab w:val="center" w:pos="5400"/>
        </w:tabs>
        <w:suppressAutoHyphens/>
        <w:rPr>
          <w:rFonts w:ascii="Cambria" w:hAnsi="Cambria"/>
          <w:sz w:val="22"/>
          <w:szCs w:val="22"/>
          <w:lang w:val="es-ES_tradnl"/>
        </w:rPr>
      </w:pPr>
    </w:p>
    <w:p w:rsidR="00040C3A" w:rsidRPr="0034190F" w:rsidRDefault="00040C3A" w:rsidP="005128E4">
      <w:pPr>
        <w:tabs>
          <w:tab w:val="center" w:pos="5400"/>
        </w:tabs>
        <w:suppressAutoHyphens/>
        <w:jc w:val="center"/>
        <w:rPr>
          <w:rFonts w:ascii="Cambria" w:hAnsi="Cambria"/>
          <w:sz w:val="22"/>
          <w:szCs w:val="22"/>
          <w:lang w:val="es-ES_tradnl"/>
        </w:rPr>
      </w:pPr>
    </w:p>
    <w:p w:rsidR="00040C3A" w:rsidRPr="0034190F" w:rsidRDefault="00040C3A" w:rsidP="005128E4">
      <w:pPr>
        <w:tabs>
          <w:tab w:val="center" w:pos="5400"/>
        </w:tabs>
        <w:suppressAutoHyphens/>
        <w:jc w:val="center"/>
        <w:rPr>
          <w:rFonts w:ascii="Cambria" w:hAnsi="Cambria"/>
          <w:sz w:val="22"/>
          <w:szCs w:val="22"/>
          <w:lang w:val="es-ES_tradnl"/>
        </w:rPr>
      </w:pPr>
    </w:p>
    <w:p w:rsidR="005B52B0" w:rsidRPr="0034190F" w:rsidRDefault="005B52B0" w:rsidP="005128E4">
      <w:pPr>
        <w:tabs>
          <w:tab w:val="center" w:pos="5400"/>
        </w:tabs>
        <w:suppressAutoHyphens/>
        <w:jc w:val="center"/>
        <w:rPr>
          <w:rFonts w:ascii="Cambria" w:hAnsi="Cambria"/>
          <w:sz w:val="22"/>
          <w:szCs w:val="22"/>
          <w:lang w:val="es-ES_tradnl"/>
        </w:rPr>
      </w:pPr>
    </w:p>
    <w:p w:rsidR="005B52B0" w:rsidRPr="0034190F" w:rsidRDefault="005B52B0" w:rsidP="005128E4">
      <w:pPr>
        <w:tabs>
          <w:tab w:val="center" w:pos="5400"/>
        </w:tabs>
        <w:suppressAutoHyphens/>
        <w:jc w:val="center"/>
        <w:rPr>
          <w:rFonts w:ascii="Cambria" w:hAnsi="Cambria"/>
          <w:sz w:val="22"/>
          <w:szCs w:val="22"/>
          <w:lang w:val="es-ES_tradnl"/>
        </w:rPr>
      </w:pPr>
    </w:p>
    <w:p w:rsidR="005B52B0" w:rsidRPr="0034190F" w:rsidRDefault="005B52B0" w:rsidP="005128E4">
      <w:pPr>
        <w:tabs>
          <w:tab w:val="center" w:pos="5400"/>
        </w:tabs>
        <w:suppressAutoHyphens/>
        <w:jc w:val="center"/>
        <w:rPr>
          <w:rFonts w:ascii="Cambria" w:hAnsi="Cambria"/>
          <w:sz w:val="22"/>
          <w:szCs w:val="22"/>
          <w:lang w:val="es-ES_tradnl"/>
        </w:rPr>
      </w:pPr>
    </w:p>
    <w:p w:rsidR="00040C3A" w:rsidRPr="0034190F" w:rsidRDefault="00040C3A" w:rsidP="00040C3A">
      <w:pPr>
        <w:tabs>
          <w:tab w:val="center" w:pos="5400"/>
        </w:tabs>
        <w:suppressAutoHyphens/>
        <w:jc w:val="center"/>
        <w:rPr>
          <w:rFonts w:ascii="Cambria" w:hAnsi="Cambria"/>
          <w:sz w:val="22"/>
          <w:szCs w:val="22"/>
          <w:lang w:val="es-ES_tradnl"/>
        </w:rPr>
      </w:pPr>
    </w:p>
    <w:p w:rsidR="00040C3A" w:rsidRPr="0034190F" w:rsidRDefault="00040C3A" w:rsidP="00040C3A">
      <w:pPr>
        <w:tabs>
          <w:tab w:val="center" w:pos="5400"/>
        </w:tabs>
        <w:suppressAutoHyphens/>
        <w:jc w:val="center"/>
        <w:rPr>
          <w:rFonts w:ascii="Cambria" w:hAnsi="Cambria"/>
          <w:sz w:val="22"/>
          <w:szCs w:val="22"/>
          <w:lang w:val="es-ES_tradnl"/>
        </w:rPr>
      </w:pPr>
    </w:p>
    <w:p w:rsidR="00040C3A" w:rsidRPr="0034190F" w:rsidRDefault="00040C3A" w:rsidP="00040C3A">
      <w:pPr>
        <w:tabs>
          <w:tab w:val="center" w:pos="5400"/>
        </w:tabs>
        <w:suppressAutoHyphens/>
        <w:jc w:val="center"/>
        <w:rPr>
          <w:rFonts w:ascii="Cambria" w:hAnsi="Cambria"/>
          <w:sz w:val="22"/>
          <w:szCs w:val="22"/>
          <w:lang w:val="es-ES_tradnl"/>
        </w:rPr>
      </w:pPr>
    </w:p>
    <w:p w:rsidR="00040C3A" w:rsidRPr="0034190F" w:rsidRDefault="00E533FF" w:rsidP="00040C3A">
      <w:pPr>
        <w:tabs>
          <w:tab w:val="center" w:pos="5400"/>
        </w:tabs>
        <w:suppressAutoHyphens/>
        <w:jc w:val="center"/>
        <w:rPr>
          <w:rFonts w:ascii="Cambria" w:hAnsi="Cambria"/>
          <w:sz w:val="22"/>
          <w:szCs w:val="22"/>
          <w:lang w:val="es-ES_tradnl"/>
        </w:rPr>
      </w:pPr>
      <w:r w:rsidRPr="0034190F">
        <w:rPr>
          <w:rFonts w:ascii="Cambria" w:hAnsi="Cambria"/>
          <w:noProof/>
          <w:sz w:val="22"/>
          <w:szCs w:val="22"/>
        </w:rPr>
        <mc:AlternateContent>
          <mc:Choice Requires="wps">
            <w:drawing>
              <wp:anchor distT="0" distB="0" distL="114300" distR="114300" simplePos="0" relativeHeight="251669504" behindDoc="0" locked="0" layoutInCell="1" allowOverlap="1" wp14:anchorId="353D0124" wp14:editId="006199C0">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166" w:rsidRPr="004B7EB6" w:rsidRDefault="000E7166"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11CB1">
                              <w:rPr>
                                <w:rFonts w:asciiTheme="majorHAnsi" w:hAnsiTheme="majorHAnsi" w:cs="Arial"/>
                                <w:b/>
                                <w:bCs/>
                                <w:color w:val="0D0D0D" w:themeColor="text1" w:themeTint="F2"/>
                                <w:sz w:val="36"/>
                                <w:szCs w:val="40"/>
                              </w:rPr>
                              <w:t>114</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18</w:t>
                            </w:r>
                          </w:p>
                          <w:p w:rsidR="000E7166" w:rsidRPr="004B7EB6" w:rsidRDefault="000E7166"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12.722</w:t>
                            </w:r>
                          </w:p>
                          <w:p w:rsidR="000E7166" w:rsidRPr="004B7EB6" w:rsidRDefault="000E7166" w:rsidP="0043505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MERITS</w:t>
                            </w:r>
                          </w:p>
                          <w:p w:rsidR="000E7166" w:rsidRPr="004B7EB6" w:rsidRDefault="000E7166" w:rsidP="004B7EB6">
                            <w:pPr>
                              <w:spacing w:line="276" w:lineRule="auto"/>
                              <w:rPr>
                                <w:rFonts w:asciiTheme="majorHAnsi" w:hAnsiTheme="majorHAnsi" w:cs="Arial"/>
                                <w:color w:val="0D0D0D" w:themeColor="text1" w:themeTint="F2"/>
                                <w:szCs w:val="22"/>
                              </w:rPr>
                            </w:pPr>
                          </w:p>
                          <w:p w:rsidR="000E7166" w:rsidRPr="004B7EB6" w:rsidRDefault="000E7166" w:rsidP="004B7EB6">
                            <w:pPr>
                              <w:spacing w:line="276" w:lineRule="auto"/>
                              <w:rPr>
                                <w:rFonts w:asciiTheme="majorHAnsi" w:hAnsiTheme="majorHAnsi" w:cs="Arial"/>
                                <w:color w:val="0D0D0D" w:themeColor="text1" w:themeTint="F2"/>
                                <w:szCs w:val="22"/>
                              </w:rPr>
                            </w:pPr>
                          </w:p>
                          <w:p w:rsidR="000E7166" w:rsidRPr="00D6508E" w:rsidRDefault="000E7166" w:rsidP="0043505F">
                            <w:pPr>
                              <w:spacing w:line="276" w:lineRule="auto"/>
                              <w:rPr>
                                <w:rFonts w:asciiTheme="majorHAnsi" w:hAnsiTheme="majorHAnsi" w:cs="Arial"/>
                                <w:color w:val="0D0D0D" w:themeColor="text1" w:themeTint="F2"/>
                                <w:szCs w:val="22"/>
                                <w:lang w:val="es-CO"/>
                              </w:rPr>
                            </w:pPr>
                            <w:r w:rsidRPr="0034190F">
                              <w:rPr>
                                <w:rFonts w:asciiTheme="majorHAnsi" w:hAnsiTheme="majorHAnsi" w:cs="Arial"/>
                                <w:color w:val="0D0D0D" w:themeColor="text1" w:themeTint="F2"/>
                                <w:szCs w:val="22"/>
                                <w:lang w:val="es-CO"/>
                              </w:rPr>
                              <w:t>PATRICIO FERNANDO ROCHE AZAÑA ET AL.</w:t>
                            </w:r>
                          </w:p>
                          <w:p w:rsidR="000E7166" w:rsidRPr="004B7EB6" w:rsidRDefault="000E7166" w:rsidP="0043505F">
                            <w:pPr>
                              <w:spacing w:line="276" w:lineRule="auto"/>
                              <w:rPr>
                                <w:rFonts w:asciiTheme="majorHAnsi" w:hAnsiTheme="majorHAnsi"/>
                                <w:color w:val="0D0D0D" w:themeColor="text1" w:themeTint="F2"/>
                                <w:lang w:val="es-ES_tradnl"/>
                              </w:rPr>
                            </w:pPr>
                            <w:r w:rsidRPr="0043505F">
                              <w:rPr>
                                <w:rFonts w:asciiTheme="majorHAnsi" w:hAnsiTheme="majorHAnsi" w:cs="Arial"/>
                                <w:color w:val="0D0D0D" w:themeColor="text1" w:themeTint="F2"/>
                                <w:szCs w:val="22"/>
                                <w:lang w:val="es-ES_tradnl"/>
                              </w:rPr>
                              <w:t>NICARAGUA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0E7166" w:rsidRPr="004B7EB6" w:rsidRDefault="000E7166"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11CB1">
                        <w:rPr>
                          <w:rFonts w:asciiTheme="majorHAnsi" w:hAnsiTheme="majorHAnsi" w:cs="Arial"/>
                          <w:b/>
                          <w:bCs/>
                          <w:color w:val="0D0D0D" w:themeColor="text1" w:themeTint="F2"/>
                          <w:sz w:val="36"/>
                          <w:szCs w:val="40"/>
                        </w:rPr>
                        <w:t>114</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18</w:t>
                      </w:r>
                    </w:p>
                    <w:p w:rsidR="000E7166" w:rsidRPr="004B7EB6" w:rsidRDefault="000E7166"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12.722</w:t>
                      </w:r>
                    </w:p>
                    <w:p w:rsidR="000E7166" w:rsidRPr="004B7EB6" w:rsidRDefault="000E7166" w:rsidP="0043505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MERITS</w:t>
                      </w:r>
                    </w:p>
                    <w:p w:rsidR="000E7166" w:rsidRPr="004B7EB6" w:rsidRDefault="000E7166" w:rsidP="004B7EB6">
                      <w:pPr>
                        <w:spacing w:line="276" w:lineRule="auto"/>
                        <w:rPr>
                          <w:rFonts w:asciiTheme="majorHAnsi" w:hAnsiTheme="majorHAnsi" w:cs="Arial"/>
                          <w:color w:val="0D0D0D" w:themeColor="text1" w:themeTint="F2"/>
                          <w:szCs w:val="22"/>
                        </w:rPr>
                      </w:pPr>
                    </w:p>
                    <w:p w:rsidR="000E7166" w:rsidRPr="004B7EB6" w:rsidRDefault="000E7166" w:rsidP="004B7EB6">
                      <w:pPr>
                        <w:spacing w:line="276" w:lineRule="auto"/>
                        <w:rPr>
                          <w:rFonts w:asciiTheme="majorHAnsi" w:hAnsiTheme="majorHAnsi" w:cs="Arial"/>
                          <w:color w:val="0D0D0D" w:themeColor="text1" w:themeTint="F2"/>
                          <w:szCs w:val="22"/>
                        </w:rPr>
                      </w:pPr>
                    </w:p>
                    <w:p w:rsidR="000E7166" w:rsidRPr="00D6508E" w:rsidRDefault="000E7166" w:rsidP="0043505F">
                      <w:pPr>
                        <w:spacing w:line="276" w:lineRule="auto"/>
                        <w:rPr>
                          <w:rFonts w:asciiTheme="majorHAnsi" w:hAnsiTheme="majorHAnsi" w:cs="Arial"/>
                          <w:color w:val="0D0D0D" w:themeColor="text1" w:themeTint="F2"/>
                          <w:szCs w:val="22"/>
                          <w:lang w:val="es-CO"/>
                        </w:rPr>
                      </w:pPr>
                      <w:r w:rsidRPr="0034190F">
                        <w:rPr>
                          <w:rFonts w:asciiTheme="majorHAnsi" w:hAnsiTheme="majorHAnsi" w:cs="Arial"/>
                          <w:color w:val="0D0D0D" w:themeColor="text1" w:themeTint="F2"/>
                          <w:szCs w:val="22"/>
                          <w:lang w:val="es-CO"/>
                        </w:rPr>
                        <w:t>PATRICIO FERNANDO ROCHE AZAÑA ET AL.</w:t>
                      </w:r>
                    </w:p>
                    <w:p w:rsidR="000E7166" w:rsidRPr="004B7EB6" w:rsidRDefault="000E7166" w:rsidP="0043505F">
                      <w:pPr>
                        <w:spacing w:line="276" w:lineRule="auto"/>
                        <w:rPr>
                          <w:rFonts w:asciiTheme="majorHAnsi" w:hAnsiTheme="majorHAnsi"/>
                          <w:color w:val="0D0D0D" w:themeColor="text1" w:themeTint="F2"/>
                          <w:lang w:val="es-ES_tradnl"/>
                        </w:rPr>
                      </w:pPr>
                      <w:r w:rsidRPr="0043505F">
                        <w:rPr>
                          <w:rFonts w:asciiTheme="majorHAnsi" w:hAnsiTheme="majorHAnsi" w:cs="Arial"/>
                          <w:color w:val="0D0D0D" w:themeColor="text1" w:themeTint="F2"/>
                          <w:szCs w:val="22"/>
                          <w:lang w:val="es-ES_tradnl"/>
                        </w:rPr>
                        <w:t>NICARAGUA</w:t>
                      </w:r>
                    </w:p>
                  </w:txbxContent>
                </v:textbox>
              </v:shape>
            </w:pict>
          </mc:Fallback>
        </mc:AlternateContent>
      </w:r>
      <w:r w:rsidR="004B7EB6" w:rsidRPr="0034190F">
        <w:rPr>
          <w:rFonts w:ascii="Cambria" w:hAnsi="Cambria"/>
          <w:noProof/>
          <w:sz w:val="22"/>
          <w:szCs w:val="22"/>
        </w:rPr>
        <mc:AlternateContent>
          <mc:Choice Requires="wps">
            <w:drawing>
              <wp:anchor distT="0" distB="0" distL="114300" distR="114300" simplePos="0" relativeHeight="251671552" behindDoc="0" locked="0" layoutInCell="1" allowOverlap="1" wp14:anchorId="3B53FBCB" wp14:editId="1FEF788F">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166" w:rsidRPr="004B7EB6" w:rsidRDefault="000E7166"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w:t>
                            </w:r>
                            <w:r w:rsidR="00F11CB1">
                              <w:rPr>
                                <w:rFonts w:asciiTheme="minorHAnsi" w:hAnsiTheme="minorHAnsi"/>
                                <w:color w:val="FFFFFF" w:themeColor="background1"/>
                                <w:sz w:val="22"/>
                                <w:lang w:val="pt-BR"/>
                              </w:rPr>
                              <w:t>9</w:t>
                            </w:r>
                          </w:p>
                          <w:p w:rsidR="000E7166" w:rsidRPr="00F11CB1" w:rsidRDefault="000E7166" w:rsidP="002C1641">
                            <w:pPr>
                              <w:jc w:val="right"/>
                              <w:rPr>
                                <w:rFonts w:asciiTheme="minorHAnsi" w:hAnsiTheme="minorHAnsi"/>
                                <w:color w:val="FFFFFF" w:themeColor="background1"/>
                                <w:sz w:val="22"/>
                              </w:rPr>
                            </w:pPr>
                            <w:r w:rsidRPr="00F11CB1">
                              <w:rPr>
                                <w:rFonts w:asciiTheme="minorHAnsi" w:hAnsiTheme="minorHAnsi"/>
                                <w:color w:val="FFFFFF" w:themeColor="background1"/>
                                <w:sz w:val="22"/>
                              </w:rPr>
                              <w:t>Doc.</w:t>
                            </w:r>
                            <w:r w:rsidR="00F11CB1" w:rsidRPr="00F11CB1">
                              <w:rPr>
                                <w:rFonts w:asciiTheme="minorHAnsi" w:hAnsiTheme="minorHAnsi"/>
                                <w:color w:val="FFFFFF" w:themeColor="background1"/>
                                <w:sz w:val="22"/>
                              </w:rPr>
                              <w:t xml:space="preserve"> 131</w:t>
                            </w:r>
                          </w:p>
                          <w:p w:rsidR="00F11CB1" w:rsidRDefault="00F11CB1"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October 5, 2018 </w:t>
                            </w:r>
                          </w:p>
                          <w:p w:rsidR="000E7166" w:rsidRPr="004B7EB6" w:rsidRDefault="000E7166"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0E7166" w:rsidRPr="004B7EB6" w:rsidRDefault="000E7166"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w:t>
                      </w:r>
                      <w:r w:rsidR="00F11CB1">
                        <w:rPr>
                          <w:rFonts w:asciiTheme="minorHAnsi" w:hAnsiTheme="minorHAnsi"/>
                          <w:color w:val="FFFFFF" w:themeColor="background1"/>
                          <w:sz w:val="22"/>
                          <w:lang w:val="pt-BR"/>
                        </w:rPr>
                        <w:t>9</w:t>
                      </w:r>
                    </w:p>
                    <w:p w:rsidR="000E7166" w:rsidRPr="00F11CB1" w:rsidRDefault="000E7166" w:rsidP="002C1641">
                      <w:pPr>
                        <w:jc w:val="right"/>
                        <w:rPr>
                          <w:rFonts w:asciiTheme="minorHAnsi" w:hAnsiTheme="minorHAnsi"/>
                          <w:color w:val="FFFFFF" w:themeColor="background1"/>
                          <w:sz w:val="22"/>
                        </w:rPr>
                      </w:pPr>
                      <w:r w:rsidRPr="00F11CB1">
                        <w:rPr>
                          <w:rFonts w:asciiTheme="minorHAnsi" w:hAnsiTheme="minorHAnsi"/>
                          <w:color w:val="FFFFFF" w:themeColor="background1"/>
                          <w:sz w:val="22"/>
                        </w:rPr>
                        <w:t>Doc.</w:t>
                      </w:r>
                      <w:r w:rsidR="00F11CB1" w:rsidRPr="00F11CB1">
                        <w:rPr>
                          <w:rFonts w:asciiTheme="minorHAnsi" w:hAnsiTheme="minorHAnsi"/>
                          <w:color w:val="FFFFFF" w:themeColor="background1"/>
                          <w:sz w:val="22"/>
                        </w:rPr>
                        <w:t xml:space="preserve"> 131</w:t>
                      </w:r>
                    </w:p>
                    <w:p w:rsidR="00F11CB1" w:rsidRDefault="00F11CB1"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October 5, 2018 </w:t>
                      </w:r>
                    </w:p>
                    <w:p w:rsidR="000E7166" w:rsidRPr="004B7EB6" w:rsidRDefault="000E7166"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34190F" w:rsidRDefault="00040C3A" w:rsidP="00040C3A">
      <w:pPr>
        <w:tabs>
          <w:tab w:val="center" w:pos="5400"/>
        </w:tabs>
        <w:suppressAutoHyphens/>
        <w:jc w:val="center"/>
        <w:rPr>
          <w:rFonts w:ascii="Cambria" w:hAnsi="Cambria"/>
          <w:sz w:val="22"/>
          <w:szCs w:val="22"/>
          <w:lang w:val="es-ES_tradnl"/>
        </w:rPr>
      </w:pPr>
    </w:p>
    <w:p w:rsidR="00040C3A" w:rsidRPr="0034190F" w:rsidRDefault="00040C3A" w:rsidP="00040C3A">
      <w:pPr>
        <w:tabs>
          <w:tab w:val="center" w:pos="5400"/>
        </w:tabs>
        <w:suppressAutoHyphens/>
        <w:jc w:val="center"/>
        <w:rPr>
          <w:rFonts w:ascii="Cambria" w:hAnsi="Cambria" w:cs="Arial"/>
          <w:sz w:val="22"/>
          <w:szCs w:val="22"/>
          <w:lang w:val="es-ES_tradnl"/>
        </w:rPr>
      </w:pPr>
    </w:p>
    <w:p w:rsidR="00040C3A" w:rsidRPr="0034190F" w:rsidRDefault="00040C3A" w:rsidP="00040C3A">
      <w:pPr>
        <w:tabs>
          <w:tab w:val="center" w:pos="5400"/>
        </w:tabs>
        <w:suppressAutoHyphens/>
        <w:jc w:val="center"/>
        <w:rPr>
          <w:rFonts w:ascii="Cambria" w:hAnsi="Cambria"/>
          <w:sz w:val="22"/>
          <w:szCs w:val="22"/>
          <w:lang w:val="es-ES_tradnl"/>
        </w:rPr>
      </w:pPr>
    </w:p>
    <w:p w:rsidR="00040C3A" w:rsidRPr="0034190F" w:rsidRDefault="00040C3A" w:rsidP="00040C3A">
      <w:pPr>
        <w:tabs>
          <w:tab w:val="center" w:pos="5400"/>
        </w:tabs>
        <w:suppressAutoHyphens/>
        <w:jc w:val="center"/>
        <w:rPr>
          <w:rFonts w:ascii="Cambria" w:hAnsi="Cambria"/>
          <w:sz w:val="22"/>
          <w:szCs w:val="22"/>
          <w:lang w:val="es-ES_tradnl"/>
        </w:rPr>
      </w:pPr>
    </w:p>
    <w:p w:rsidR="00040C3A" w:rsidRPr="0034190F" w:rsidRDefault="00040C3A" w:rsidP="00040C3A">
      <w:pPr>
        <w:tabs>
          <w:tab w:val="center" w:pos="5400"/>
        </w:tabs>
        <w:suppressAutoHyphens/>
        <w:jc w:val="center"/>
        <w:rPr>
          <w:rFonts w:ascii="Cambria" w:hAnsi="Cambria"/>
          <w:sz w:val="22"/>
          <w:szCs w:val="22"/>
          <w:lang w:val="es-ES_tradnl"/>
        </w:rPr>
      </w:pPr>
    </w:p>
    <w:p w:rsidR="00040C3A" w:rsidRPr="0034190F" w:rsidRDefault="00040C3A" w:rsidP="00040C3A">
      <w:pPr>
        <w:tabs>
          <w:tab w:val="center" w:pos="5400"/>
        </w:tabs>
        <w:suppressAutoHyphens/>
        <w:jc w:val="center"/>
        <w:rPr>
          <w:rFonts w:ascii="Cambria" w:hAnsi="Cambria"/>
          <w:sz w:val="22"/>
          <w:szCs w:val="22"/>
          <w:lang w:val="es-ES_tradnl"/>
        </w:rPr>
      </w:pPr>
    </w:p>
    <w:p w:rsidR="005128E4" w:rsidRPr="0034190F" w:rsidRDefault="005128E4" w:rsidP="00040C3A">
      <w:pPr>
        <w:tabs>
          <w:tab w:val="center" w:pos="5400"/>
        </w:tabs>
        <w:suppressAutoHyphens/>
        <w:jc w:val="center"/>
        <w:rPr>
          <w:rFonts w:ascii="Cambria" w:hAnsi="Cambria"/>
          <w:sz w:val="22"/>
          <w:szCs w:val="22"/>
          <w:lang w:val="es-ES_tradnl"/>
        </w:rPr>
      </w:pPr>
    </w:p>
    <w:p w:rsidR="00040C3A" w:rsidRPr="0034190F" w:rsidRDefault="00040C3A" w:rsidP="00040C3A">
      <w:pPr>
        <w:tabs>
          <w:tab w:val="center" w:pos="5400"/>
        </w:tabs>
        <w:suppressAutoHyphens/>
        <w:jc w:val="center"/>
        <w:rPr>
          <w:rFonts w:ascii="Cambria" w:hAnsi="Cambria"/>
          <w:sz w:val="22"/>
          <w:szCs w:val="22"/>
          <w:lang w:val="es-ES_tradnl"/>
        </w:rPr>
      </w:pPr>
    </w:p>
    <w:p w:rsidR="005128E4" w:rsidRPr="0034190F" w:rsidRDefault="005128E4" w:rsidP="00040C3A">
      <w:pPr>
        <w:tabs>
          <w:tab w:val="center" w:pos="5400"/>
        </w:tabs>
        <w:suppressAutoHyphens/>
        <w:jc w:val="center"/>
        <w:rPr>
          <w:rFonts w:ascii="Cambria" w:hAnsi="Cambria"/>
          <w:sz w:val="22"/>
          <w:szCs w:val="22"/>
          <w:lang w:val="es-ES_tradnl"/>
        </w:rPr>
      </w:pPr>
    </w:p>
    <w:p w:rsidR="005128E4" w:rsidRPr="0034190F" w:rsidRDefault="005128E4" w:rsidP="00040C3A">
      <w:pPr>
        <w:tabs>
          <w:tab w:val="center" w:pos="5400"/>
        </w:tabs>
        <w:suppressAutoHyphens/>
        <w:jc w:val="center"/>
        <w:rPr>
          <w:rFonts w:ascii="Cambria" w:hAnsi="Cambria"/>
          <w:sz w:val="22"/>
          <w:szCs w:val="22"/>
          <w:lang w:val="es-ES_tradnl"/>
        </w:rPr>
      </w:pPr>
    </w:p>
    <w:p w:rsidR="005128E4" w:rsidRPr="0034190F" w:rsidRDefault="005128E4" w:rsidP="00040C3A">
      <w:pPr>
        <w:tabs>
          <w:tab w:val="center" w:pos="5400"/>
        </w:tabs>
        <w:suppressAutoHyphens/>
        <w:jc w:val="center"/>
        <w:rPr>
          <w:rFonts w:ascii="Cambria" w:hAnsi="Cambria"/>
          <w:sz w:val="22"/>
          <w:szCs w:val="22"/>
          <w:lang w:val="es-ES_tradnl"/>
        </w:rPr>
      </w:pPr>
    </w:p>
    <w:p w:rsidR="00040C3A" w:rsidRPr="0034190F" w:rsidRDefault="00040C3A" w:rsidP="00040C3A">
      <w:pPr>
        <w:tabs>
          <w:tab w:val="center" w:pos="5400"/>
        </w:tabs>
        <w:suppressAutoHyphens/>
        <w:jc w:val="center"/>
        <w:rPr>
          <w:rFonts w:ascii="Cambria" w:hAnsi="Cambria"/>
          <w:sz w:val="22"/>
          <w:szCs w:val="22"/>
          <w:lang w:val="es-ES_tradnl"/>
        </w:rPr>
      </w:pPr>
    </w:p>
    <w:p w:rsidR="00040C3A" w:rsidRPr="0034190F" w:rsidRDefault="00040C3A" w:rsidP="00040C3A">
      <w:pPr>
        <w:tabs>
          <w:tab w:val="center" w:pos="5400"/>
        </w:tabs>
        <w:suppressAutoHyphens/>
        <w:jc w:val="center"/>
        <w:rPr>
          <w:rFonts w:ascii="Cambria" w:hAnsi="Cambria"/>
          <w:sz w:val="22"/>
          <w:szCs w:val="22"/>
          <w:lang w:val="es-ES_tradnl"/>
        </w:rPr>
      </w:pPr>
    </w:p>
    <w:p w:rsidR="002C1641" w:rsidRPr="0034190F" w:rsidRDefault="002C1641" w:rsidP="00040C3A">
      <w:pPr>
        <w:tabs>
          <w:tab w:val="center" w:pos="5400"/>
        </w:tabs>
        <w:suppressAutoHyphens/>
        <w:jc w:val="center"/>
        <w:rPr>
          <w:rFonts w:ascii="Cambria" w:hAnsi="Cambria"/>
          <w:sz w:val="18"/>
          <w:szCs w:val="22"/>
          <w:lang w:val="es-ES_tradnl"/>
        </w:rPr>
      </w:pPr>
    </w:p>
    <w:p w:rsidR="002C1641" w:rsidRPr="0034190F" w:rsidRDefault="002C1641" w:rsidP="00040C3A">
      <w:pPr>
        <w:tabs>
          <w:tab w:val="center" w:pos="5400"/>
        </w:tabs>
        <w:suppressAutoHyphens/>
        <w:jc w:val="center"/>
        <w:rPr>
          <w:rFonts w:ascii="Cambria" w:hAnsi="Cambria"/>
          <w:sz w:val="18"/>
          <w:szCs w:val="22"/>
          <w:lang w:val="es-ES_tradnl"/>
        </w:rPr>
      </w:pPr>
    </w:p>
    <w:p w:rsidR="002C1641" w:rsidRPr="0034190F" w:rsidRDefault="002C1641" w:rsidP="00040C3A">
      <w:pPr>
        <w:tabs>
          <w:tab w:val="center" w:pos="5400"/>
        </w:tabs>
        <w:suppressAutoHyphens/>
        <w:jc w:val="center"/>
        <w:rPr>
          <w:rFonts w:ascii="Cambria" w:hAnsi="Cambria"/>
          <w:sz w:val="18"/>
          <w:szCs w:val="22"/>
          <w:lang w:val="es-ES_tradnl"/>
        </w:rPr>
      </w:pPr>
    </w:p>
    <w:p w:rsidR="002C1641" w:rsidRPr="0034190F" w:rsidRDefault="002C1641" w:rsidP="00040C3A">
      <w:pPr>
        <w:tabs>
          <w:tab w:val="center" w:pos="5400"/>
        </w:tabs>
        <w:suppressAutoHyphens/>
        <w:jc w:val="center"/>
        <w:rPr>
          <w:rFonts w:ascii="Cambria" w:hAnsi="Cambria"/>
          <w:sz w:val="18"/>
          <w:szCs w:val="22"/>
          <w:lang w:val="es-ES_tradnl"/>
        </w:rPr>
      </w:pPr>
    </w:p>
    <w:p w:rsidR="002C1641" w:rsidRPr="0034190F" w:rsidRDefault="002C1641" w:rsidP="00040C3A">
      <w:pPr>
        <w:tabs>
          <w:tab w:val="center" w:pos="5400"/>
        </w:tabs>
        <w:suppressAutoHyphens/>
        <w:jc w:val="center"/>
        <w:rPr>
          <w:rFonts w:ascii="Cambria" w:hAnsi="Cambria"/>
          <w:sz w:val="18"/>
          <w:szCs w:val="22"/>
          <w:lang w:val="es-ES_tradnl"/>
        </w:rPr>
      </w:pPr>
    </w:p>
    <w:p w:rsidR="002C1641" w:rsidRPr="0034190F" w:rsidRDefault="002C1641" w:rsidP="00040C3A">
      <w:pPr>
        <w:tabs>
          <w:tab w:val="center" w:pos="5400"/>
        </w:tabs>
        <w:suppressAutoHyphens/>
        <w:jc w:val="center"/>
        <w:rPr>
          <w:rFonts w:ascii="Cambria" w:hAnsi="Cambria"/>
          <w:sz w:val="18"/>
          <w:szCs w:val="22"/>
          <w:lang w:val="es-ES_tradnl"/>
        </w:rPr>
      </w:pPr>
    </w:p>
    <w:p w:rsidR="002C1641" w:rsidRPr="0034190F" w:rsidRDefault="002C1641" w:rsidP="00040C3A">
      <w:pPr>
        <w:tabs>
          <w:tab w:val="center" w:pos="5400"/>
        </w:tabs>
        <w:suppressAutoHyphens/>
        <w:jc w:val="center"/>
        <w:rPr>
          <w:rFonts w:ascii="Cambria" w:hAnsi="Cambria"/>
          <w:sz w:val="18"/>
          <w:szCs w:val="22"/>
          <w:lang w:val="es-ES_tradnl"/>
        </w:rPr>
      </w:pPr>
    </w:p>
    <w:p w:rsidR="002C1641" w:rsidRPr="0034190F" w:rsidRDefault="002C1641" w:rsidP="00040C3A">
      <w:pPr>
        <w:tabs>
          <w:tab w:val="center" w:pos="5400"/>
        </w:tabs>
        <w:suppressAutoHyphens/>
        <w:jc w:val="center"/>
        <w:rPr>
          <w:rFonts w:ascii="Cambria" w:hAnsi="Cambria"/>
          <w:sz w:val="18"/>
          <w:szCs w:val="22"/>
          <w:lang w:val="es-ES_tradnl"/>
        </w:rPr>
      </w:pPr>
    </w:p>
    <w:p w:rsidR="002C1641" w:rsidRPr="0034190F" w:rsidRDefault="002C1641" w:rsidP="00040C3A">
      <w:pPr>
        <w:tabs>
          <w:tab w:val="center" w:pos="5400"/>
        </w:tabs>
        <w:suppressAutoHyphens/>
        <w:jc w:val="center"/>
        <w:rPr>
          <w:rFonts w:ascii="Cambria" w:hAnsi="Cambria"/>
          <w:sz w:val="18"/>
          <w:szCs w:val="22"/>
          <w:lang w:val="es-ES_tradnl"/>
        </w:rPr>
      </w:pPr>
    </w:p>
    <w:p w:rsidR="002C1641" w:rsidRPr="0034190F" w:rsidRDefault="002C1641" w:rsidP="00040C3A">
      <w:pPr>
        <w:tabs>
          <w:tab w:val="center" w:pos="5400"/>
        </w:tabs>
        <w:suppressAutoHyphens/>
        <w:jc w:val="center"/>
        <w:rPr>
          <w:rFonts w:ascii="Cambria" w:hAnsi="Cambria"/>
          <w:sz w:val="18"/>
          <w:szCs w:val="22"/>
          <w:lang w:val="es-ES_tradnl"/>
        </w:rPr>
      </w:pPr>
    </w:p>
    <w:p w:rsidR="002C1641" w:rsidRPr="0034190F" w:rsidRDefault="002C1641" w:rsidP="00040C3A">
      <w:pPr>
        <w:tabs>
          <w:tab w:val="center" w:pos="5400"/>
        </w:tabs>
        <w:suppressAutoHyphens/>
        <w:jc w:val="center"/>
        <w:rPr>
          <w:rFonts w:ascii="Cambria" w:hAnsi="Cambria"/>
          <w:sz w:val="18"/>
          <w:szCs w:val="22"/>
          <w:lang w:val="es-ES_tradnl"/>
        </w:rPr>
      </w:pPr>
    </w:p>
    <w:p w:rsidR="002C1641" w:rsidRPr="0034190F" w:rsidRDefault="002C1641" w:rsidP="00040C3A">
      <w:pPr>
        <w:tabs>
          <w:tab w:val="center" w:pos="5400"/>
        </w:tabs>
        <w:suppressAutoHyphens/>
        <w:jc w:val="center"/>
        <w:rPr>
          <w:rFonts w:ascii="Cambria" w:hAnsi="Cambria"/>
          <w:sz w:val="18"/>
          <w:szCs w:val="22"/>
          <w:lang w:val="es-ES_tradnl"/>
        </w:rPr>
      </w:pPr>
    </w:p>
    <w:p w:rsidR="002C1641" w:rsidRPr="0034190F" w:rsidRDefault="003C32BC" w:rsidP="00040C3A">
      <w:pPr>
        <w:tabs>
          <w:tab w:val="center" w:pos="5400"/>
        </w:tabs>
        <w:suppressAutoHyphens/>
        <w:jc w:val="center"/>
        <w:rPr>
          <w:rFonts w:ascii="Cambria" w:hAnsi="Cambria"/>
          <w:sz w:val="18"/>
          <w:szCs w:val="22"/>
          <w:lang w:val="es-ES_tradnl"/>
        </w:rPr>
      </w:pPr>
      <w:r w:rsidRPr="0034190F">
        <w:rPr>
          <w:rFonts w:ascii="Cambria" w:hAnsi="Cambria"/>
          <w:noProof/>
          <w:sz w:val="22"/>
          <w:szCs w:val="22"/>
        </w:rPr>
        <mc:AlternateContent>
          <mc:Choice Requires="wps">
            <w:drawing>
              <wp:anchor distT="0" distB="0" distL="114300" distR="114300" simplePos="0" relativeHeight="251670528" behindDoc="0" locked="0" layoutInCell="1" allowOverlap="1" wp14:anchorId="40F0D7B2" wp14:editId="728FA805">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166" w:rsidRPr="003C32BC" w:rsidRDefault="000E7166" w:rsidP="004165C2">
                            <w:pPr>
                              <w:tabs>
                                <w:tab w:val="center" w:pos="5400"/>
                              </w:tabs>
                              <w:suppressAutoHyphens/>
                              <w:spacing w:before="60"/>
                              <w:rPr>
                                <w:rFonts w:asciiTheme="majorHAnsi" w:hAnsiTheme="majorHAnsi"/>
                                <w:color w:val="0D0D0D" w:themeColor="text1" w:themeTint="F2"/>
                                <w:sz w:val="18"/>
                                <w:szCs w:val="22"/>
                              </w:rPr>
                            </w:pPr>
                            <w:r w:rsidRPr="0034190F">
                              <w:rPr>
                                <w:rFonts w:asciiTheme="majorHAnsi" w:hAnsiTheme="majorHAnsi"/>
                                <w:color w:val="0D0D0D" w:themeColor="text1" w:themeTint="F2"/>
                                <w:sz w:val="18"/>
                                <w:szCs w:val="20"/>
                              </w:rPr>
                              <w:t xml:space="preserve">Approved by the Commission at its session No. </w:t>
                            </w:r>
                            <w:r w:rsidR="00F11CB1">
                              <w:rPr>
                                <w:rFonts w:asciiTheme="majorHAnsi" w:hAnsiTheme="majorHAnsi"/>
                                <w:color w:val="0D0D0D" w:themeColor="text1" w:themeTint="F2"/>
                                <w:sz w:val="18"/>
                                <w:szCs w:val="20"/>
                              </w:rPr>
                              <w:t>2137</w:t>
                            </w:r>
                            <w:r w:rsidRPr="0034190F">
                              <w:rPr>
                                <w:rFonts w:asciiTheme="majorHAnsi" w:hAnsiTheme="majorHAnsi"/>
                                <w:color w:val="0D0D0D" w:themeColor="text1" w:themeTint="F2"/>
                                <w:sz w:val="18"/>
                                <w:szCs w:val="20"/>
                              </w:rPr>
                              <w:t xml:space="preserve"> held on </w:t>
                            </w:r>
                            <w:r w:rsidR="00F11CB1">
                              <w:rPr>
                                <w:rFonts w:asciiTheme="majorHAnsi" w:hAnsiTheme="majorHAnsi"/>
                                <w:color w:val="0D0D0D" w:themeColor="text1" w:themeTint="F2"/>
                                <w:sz w:val="18"/>
                                <w:szCs w:val="20"/>
                              </w:rPr>
                              <w:t>October 5, 2018</w:t>
                            </w:r>
                            <w:r w:rsidRPr="0034190F">
                              <w:rPr>
                                <w:rFonts w:asciiTheme="majorHAnsi" w:hAnsiTheme="majorHAnsi"/>
                                <w:color w:val="0D0D0D" w:themeColor="text1" w:themeTint="F2"/>
                                <w:sz w:val="18"/>
                                <w:szCs w:val="20"/>
                              </w:rPr>
                              <w:br/>
                            </w:r>
                            <w:r w:rsidRPr="0034190F">
                              <w:rPr>
                                <w:rFonts w:asciiTheme="majorHAnsi" w:hAnsiTheme="majorHAnsi" w:cs="Univers"/>
                                <w:color w:val="0D0D0D" w:themeColor="text1" w:themeTint="F2"/>
                                <w:sz w:val="18"/>
                                <w:szCs w:val="20"/>
                              </w:rPr>
                              <w:t>169</w:t>
                            </w:r>
                            <w:r w:rsidRPr="0034190F">
                              <w:rPr>
                                <w:rFonts w:asciiTheme="majorHAnsi" w:hAnsiTheme="majorHAnsi" w:cs="Univers"/>
                                <w:color w:val="0D0D0D" w:themeColor="text1" w:themeTint="F2"/>
                                <w:sz w:val="18"/>
                                <w:szCs w:val="20"/>
                                <w:vertAlign w:val="superscript"/>
                              </w:rPr>
                              <w:t xml:space="preserve">th </w:t>
                            </w:r>
                            <w:r w:rsidRPr="0034190F">
                              <w:rPr>
                                <w:rFonts w:asciiTheme="majorHAnsi" w:hAnsiTheme="majorHAnsi" w:cs="Univers"/>
                                <w:color w:val="0D0D0D" w:themeColor="text1" w:themeTint="F2"/>
                                <w:sz w:val="18"/>
                                <w:szCs w:val="20"/>
                              </w:rPr>
                              <w:t>Special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E7166" w:rsidRPr="003C32BC" w:rsidRDefault="000E7166" w:rsidP="004165C2">
                      <w:pPr>
                        <w:tabs>
                          <w:tab w:val="center" w:pos="5400"/>
                        </w:tabs>
                        <w:suppressAutoHyphens/>
                        <w:spacing w:before="60"/>
                        <w:rPr>
                          <w:rFonts w:asciiTheme="majorHAnsi" w:hAnsiTheme="majorHAnsi"/>
                          <w:color w:val="0D0D0D" w:themeColor="text1" w:themeTint="F2"/>
                          <w:sz w:val="18"/>
                          <w:szCs w:val="22"/>
                        </w:rPr>
                      </w:pPr>
                      <w:r w:rsidRPr="0034190F">
                        <w:rPr>
                          <w:rFonts w:asciiTheme="majorHAnsi" w:hAnsiTheme="majorHAnsi"/>
                          <w:color w:val="0D0D0D" w:themeColor="text1" w:themeTint="F2"/>
                          <w:sz w:val="18"/>
                          <w:szCs w:val="20"/>
                        </w:rPr>
                        <w:t xml:space="preserve">Approved by the Commission at its session No. </w:t>
                      </w:r>
                      <w:r w:rsidR="00F11CB1">
                        <w:rPr>
                          <w:rFonts w:asciiTheme="majorHAnsi" w:hAnsiTheme="majorHAnsi"/>
                          <w:color w:val="0D0D0D" w:themeColor="text1" w:themeTint="F2"/>
                          <w:sz w:val="18"/>
                          <w:szCs w:val="20"/>
                        </w:rPr>
                        <w:t>2137</w:t>
                      </w:r>
                      <w:r w:rsidRPr="0034190F">
                        <w:rPr>
                          <w:rFonts w:asciiTheme="majorHAnsi" w:hAnsiTheme="majorHAnsi"/>
                          <w:color w:val="0D0D0D" w:themeColor="text1" w:themeTint="F2"/>
                          <w:sz w:val="18"/>
                          <w:szCs w:val="20"/>
                        </w:rPr>
                        <w:t xml:space="preserve"> held on </w:t>
                      </w:r>
                      <w:r w:rsidR="00F11CB1">
                        <w:rPr>
                          <w:rFonts w:asciiTheme="majorHAnsi" w:hAnsiTheme="majorHAnsi"/>
                          <w:color w:val="0D0D0D" w:themeColor="text1" w:themeTint="F2"/>
                          <w:sz w:val="18"/>
                          <w:szCs w:val="20"/>
                        </w:rPr>
                        <w:t>October 5, 2018</w:t>
                      </w:r>
                      <w:r w:rsidRPr="0034190F">
                        <w:rPr>
                          <w:rFonts w:asciiTheme="majorHAnsi" w:hAnsiTheme="majorHAnsi"/>
                          <w:color w:val="0D0D0D" w:themeColor="text1" w:themeTint="F2"/>
                          <w:sz w:val="18"/>
                          <w:szCs w:val="20"/>
                        </w:rPr>
                        <w:br/>
                      </w:r>
                      <w:r w:rsidRPr="0034190F">
                        <w:rPr>
                          <w:rFonts w:asciiTheme="majorHAnsi" w:hAnsiTheme="majorHAnsi" w:cs="Univers"/>
                          <w:color w:val="0D0D0D" w:themeColor="text1" w:themeTint="F2"/>
                          <w:sz w:val="18"/>
                          <w:szCs w:val="20"/>
                        </w:rPr>
                        <w:t>169</w:t>
                      </w:r>
                      <w:r w:rsidRPr="0034190F">
                        <w:rPr>
                          <w:rFonts w:asciiTheme="majorHAnsi" w:hAnsiTheme="majorHAnsi" w:cs="Univers"/>
                          <w:color w:val="0D0D0D" w:themeColor="text1" w:themeTint="F2"/>
                          <w:sz w:val="18"/>
                          <w:szCs w:val="20"/>
                          <w:vertAlign w:val="superscript"/>
                        </w:rPr>
                        <w:t xml:space="preserve">th </w:t>
                      </w:r>
                      <w:r w:rsidRPr="0034190F">
                        <w:rPr>
                          <w:rFonts w:asciiTheme="majorHAnsi" w:hAnsiTheme="majorHAnsi" w:cs="Univers"/>
                          <w:color w:val="0D0D0D" w:themeColor="text1" w:themeTint="F2"/>
                          <w:sz w:val="18"/>
                          <w:szCs w:val="20"/>
                        </w:rPr>
                        <w:t>Special Period of Sessions</w:t>
                      </w:r>
                    </w:p>
                  </w:txbxContent>
                </v:textbox>
              </v:shape>
            </w:pict>
          </mc:Fallback>
        </mc:AlternateContent>
      </w:r>
    </w:p>
    <w:p w:rsidR="002C1641" w:rsidRPr="0034190F" w:rsidRDefault="002C1641" w:rsidP="00040C3A">
      <w:pPr>
        <w:tabs>
          <w:tab w:val="center" w:pos="5400"/>
        </w:tabs>
        <w:suppressAutoHyphens/>
        <w:jc w:val="center"/>
        <w:rPr>
          <w:rFonts w:ascii="Cambria" w:hAnsi="Cambria"/>
          <w:sz w:val="18"/>
          <w:szCs w:val="22"/>
          <w:lang w:val="es-ES_tradnl"/>
        </w:rPr>
      </w:pPr>
    </w:p>
    <w:p w:rsidR="002C1641" w:rsidRPr="0034190F" w:rsidRDefault="002C1641" w:rsidP="00040C3A">
      <w:pPr>
        <w:tabs>
          <w:tab w:val="center" w:pos="5400"/>
        </w:tabs>
        <w:suppressAutoHyphens/>
        <w:jc w:val="center"/>
        <w:rPr>
          <w:rFonts w:ascii="Cambria" w:hAnsi="Cambria"/>
          <w:sz w:val="18"/>
          <w:szCs w:val="22"/>
          <w:lang w:val="es-ES_tradnl"/>
        </w:rPr>
      </w:pPr>
    </w:p>
    <w:p w:rsidR="002C1641" w:rsidRPr="0034190F" w:rsidRDefault="002C1641" w:rsidP="00040C3A">
      <w:pPr>
        <w:tabs>
          <w:tab w:val="center" w:pos="5400"/>
        </w:tabs>
        <w:suppressAutoHyphens/>
        <w:jc w:val="center"/>
        <w:rPr>
          <w:rFonts w:ascii="Cambria" w:hAnsi="Cambria"/>
          <w:sz w:val="18"/>
          <w:szCs w:val="22"/>
          <w:lang w:val="es-ES_tradnl"/>
        </w:rPr>
      </w:pPr>
    </w:p>
    <w:p w:rsidR="002C1641" w:rsidRPr="0034190F" w:rsidRDefault="002C1641" w:rsidP="00040C3A">
      <w:pPr>
        <w:tabs>
          <w:tab w:val="center" w:pos="5400"/>
        </w:tabs>
        <w:suppressAutoHyphens/>
        <w:jc w:val="center"/>
        <w:rPr>
          <w:rFonts w:ascii="Cambria" w:hAnsi="Cambria"/>
          <w:sz w:val="18"/>
          <w:szCs w:val="22"/>
          <w:lang w:val="es-ES_tradnl"/>
        </w:rPr>
      </w:pPr>
    </w:p>
    <w:p w:rsidR="002C1641" w:rsidRPr="0034190F" w:rsidRDefault="003C32BC" w:rsidP="00040C3A">
      <w:pPr>
        <w:tabs>
          <w:tab w:val="center" w:pos="5400"/>
        </w:tabs>
        <w:suppressAutoHyphens/>
        <w:jc w:val="center"/>
        <w:rPr>
          <w:rFonts w:ascii="Cambria" w:hAnsi="Cambria"/>
          <w:sz w:val="18"/>
          <w:szCs w:val="22"/>
          <w:lang w:val="es-ES_tradnl"/>
        </w:rPr>
      </w:pPr>
      <w:r w:rsidRPr="0034190F">
        <w:rPr>
          <w:rFonts w:ascii="Cambria" w:hAnsi="Cambria"/>
          <w:noProof/>
          <w:sz w:val="18"/>
          <w:szCs w:val="22"/>
        </w:rPr>
        <mc:AlternateContent>
          <mc:Choice Requires="wps">
            <w:drawing>
              <wp:anchor distT="0" distB="0" distL="114300" distR="114300" simplePos="0" relativeHeight="251683840" behindDoc="0" locked="0" layoutInCell="1" allowOverlap="1" wp14:anchorId="0C2DB84A" wp14:editId="510394B9">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166" w:rsidRPr="003C32BC" w:rsidRDefault="000E7166" w:rsidP="00F644E6">
                            <w:pPr>
                              <w:spacing w:line="276" w:lineRule="auto"/>
                              <w:rPr>
                                <w:rFonts w:asciiTheme="majorHAnsi" w:hAnsiTheme="majorHAnsi"/>
                                <w:color w:val="595959" w:themeColor="text1" w:themeTint="A6"/>
                                <w:sz w:val="18"/>
                              </w:rPr>
                            </w:pPr>
                            <w:r w:rsidRPr="00E16A46">
                              <w:rPr>
                                <w:rFonts w:asciiTheme="majorHAnsi" w:hAnsiTheme="majorHAnsi"/>
                                <w:b/>
                                <w:color w:val="595959" w:themeColor="text1" w:themeTint="A6"/>
                                <w:sz w:val="18"/>
                                <w:lang w:val="pt-BR"/>
                              </w:rPr>
                              <w:t xml:space="preserve">Cite as: </w:t>
                            </w:r>
                            <w:r w:rsidR="00F11CB1">
                              <w:rPr>
                                <w:rFonts w:asciiTheme="majorHAnsi" w:hAnsiTheme="majorHAnsi"/>
                                <w:color w:val="595959" w:themeColor="text1" w:themeTint="A6"/>
                                <w:sz w:val="18"/>
                                <w:lang w:val="pt-BR"/>
                              </w:rPr>
                              <w:t>IACHR, Report No. 114</w:t>
                            </w:r>
                            <w:r w:rsidRPr="00E16A46">
                              <w:rPr>
                                <w:rFonts w:asciiTheme="majorHAnsi" w:hAnsiTheme="majorHAnsi"/>
                                <w:color w:val="595959" w:themeColor="text1" w:themeTint="A6"/>
                                <w:sz w:val="18"/>
                                <w:lang w:val="pt-BR"/>
                              </w:rPr>
                              <w:t>/</w:t>
                            </w:r>
                            <w:r w:rsidR="00F11CB1">
                              <w:rPr>
                                <w:rFonts w:asciiTheme="majorHAnsi" w:hAnsiTheme="majorHAnsi"/>
                                <w:color w:val="595959" w:themeColor="text1" w:themeTint="A6"/>
                                <w:sz w:val="18"/>
                                <w:lang w:val="pt-BR"/>
                              </w:rPr>
                              <w:t>18</w:t>
                            </w:r>
                            <w:r w:rsidRPr="00E16A46">
                              <w:rPr>
                                <w:rFonts w:asciiTheme="majorHAnsi" w:hAnsiTheme="majorHAnsi"/>
                                <w:color w:val="595959" w:themeColor="text1" w:themeTint="A6"/>
                                <w:sz w:val="18"/>
                                <w:lang w:val="pt-BR"/>
                              </w:rPr>
                              <w:t xml:space="preserve">, Caso12.722. Fondo. </w:t>
                            </w:r>
                            <w:r w:rsidRPr="0034190F">
                              <w:rPr>
                                <w:rFonts w:asciiTheme="majorHAnsi" w:hAnsiTheme="majorHAnsi"/>
                                <w:color w:val="595959" w:themeColor="text1" w:themeTint="A6"/>
                                <w:sz w:val="18"/>
                                <w:lang w:val="es-US"/>
                              </w:rPr>
                              <w:t xml:space="preserve">Pedro Basilio Roche Azaña y otro. </w:t>
                            </w:r>
                            <w:r w:rsidRPr="0034190F">
                              <w:rPr>
                                <w:rFonts w:asciiTheme="majorHAnsi" w:hAnsiTheme="majorHAnsi"/>
                                <w:color w:val="595959" w:themeColor="text1" w:themeTint="A6"/>
                                <w:sz w:val="18"/>
                              </w:rPr>
                              <w:t xml:space="preserve">Nicaragua. </w:t>
                            </w:r>
                            <w:r w:rsidR="00F11CB1">
                              <w:rPr>
                                <w:rFonts w:asciiTheme="majorHAnsi" w:hAnsiTheme="majorHAnsi"/>
                                <w:color w:val="595959" w:themeColor="text1" w:themeTint="A6"/>
                                <w:sz w:val="18"/>
                              </w:rPr>
                              <w:t>October 5, 2018</w:t>
                            </w:r>
                            <w:r w:rsidRPr="0034190F">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0E7166" w:rsidRPr="003C32BC" w:rsidRDefault="000E7166" w:rsidP="00F644E6">
                      <w:pPr>
                        <w:spacing w:line="276" w:lineRule="auto"/>
                        <w:rPr>
                          <w:rFonts w:asciiTheme="majorHAnsi" w:hAnsiTheme="majorHAnsi"/>
                          <w:color w:val="595959" w:themeColor="text1" w:themeTint="A6"/>
                          <w:sz w:val="18"/>
                        </w:rPr>
                      </w:pPr>
                      <w:r w:rsidRPr="00E16A46">
                        <w:rPr>
                          <w:rFonts w:asciiTheme="majorHAnsi" w:hAnsiTheme="majorHAnsi"/>
                          <w:b/>
                          <w:color w:val="595959" w:themeColor="text1" w:themeTint="A6"/>
                          <w:sz w:val="18"/>
                          <w:lang w:val="pt-BR"/>
                        </w:rPr>
                        <w:t xml:space="preserve">Cite as: </w:t>
                      </w:r>
                      <w:r w:rsidR="00F11CB1">
                        <w:rPr>
                          <w:rFonts w:asciiTheme="majorHAnsi" w:hAnsiTheme="majorHAnsi"/>
                          <w:color w:val="595959" w:themeColor="text1" w:themeTint="A6"/>
                          <w:sz w:val="18"/>
                          <w:lang w:val="pt-BR"/>
                        </w:rPr>
                        <w:t>IACHR, Report No. 114</w:t>
                      </w:r>
                      <w:r w:rsidRPr="00E16A46">
                        <w:rPr>
                          <w:rFonts w:asciiTheme="majorHAnsi" w:hAnsiTheme="majorHAnsi"/>
                          <w:color w:val="595959" w:themeColor="text1" w:themeTint="A6"/>
                          <w:sz w:val="18"/>
                          <w:lang w:val="pt-BR"/>
                        </w:rPr>
                        <w:t>/</w:t>
                      </w:r>
                      <w:r w:rsidR="00F11CB1">
                        <w:rPr>
                          <w:rFonts w:asciiTheme="majorHAnsi" w:hAnsiTheme="majorHAnsi"/>
                          <w:color w:val="595959" w:themeColor="text1" w:themeTint="A6"/>
                          <w:sz w:val="18"/>
                          <w:lang w:val="pt-BR"/>
                        </w:rPr>
                        <w:t>18</w:t>
                      </w:r>
                      <w:r w:rsidRPr="00E16A46">
                        <w:rPr>
                          <w:rFonts w:asciiTheme="majorHAnsi" w:hAnsiTheme="majorHAnsi"/>
                          <w:color w:val="595959" w:themeColor="text1" w:themeTint="A6"/>
                          <w:sz w:val="18"/>
                          <w:lang w:val="pt-BR"/>
                        </w:rPr>
                        <w:t xml:space="preserve">, Caso12.722. Fondo. </w:t>
                      </w:r>
                      <w:r w:rsidRPr="0034190F">
                        <w:rPr>
                          <w:rFonts w:asciiTheme="majorHAnsi" w:hAnsiTheme="majorHAnsi"/>
                          <w:color w:val="595959" w:themeColor="text1" w:themeTint="A6"/>
                          <w:sz w:val="18"/>
                          <w:lang w:val="es-US"/>
                        </w:rPr>
                        <w:t xml:space="preserve">Pedro Basilio Roche Azaña y otro. </w:t>
                      </w:r>
                      <w:r w:rsidRPr="0034190F">
                        <w:rPr>
                          <w:rFonts w:asciiTheme="majorHAnsi" w:hAnsiTheme="majorHAnsi"/>
                          <w:color w:val="595959" w:themeColor="text1" w:themeTint="A6"/>
                          <w:sz w:val="18"/>
                        </w:rPr>
                        <w:t xml:space="preserve">Nicaragua. </w:t>
                      </w:r>
                      <w:r w:rsidR="00F11CB1">
                        <w:rPr>
                          <w:rFonts w:asciiTheme="majorHAnsi" w:hAnsiTheme="majorHAnsi"/>
                          <w:color w:val="595959" w:themeColor="text1" w:themeTint="A6"/>
                          <w:sz w:val="18"/>
                        </w:rPr>
                        <w:t>October 5, 2018</w:t>
                      </w:r>
                      <w:r w:rsidRPr="0034190F">
                        <w:rPr>
                          <w:rFonts w:asciiTheme="majorHAnsi" w:hAnsiTheme="majorHAnsi"/>
                          <w:color w:val="595959" w:themeColor="text1" w:themeTint="A6"/>
                          <w:sz w:val="18"/>
                        </w:rPr>
                        <w:t>.</w:t>
                      </w:r>
                    </w:p>
                  </w:txbxContent>
                </v:textbox>
              </v:shape>
            </w:pict>
          </mc:Fallback>
        </mc:AlternateContent>
      </w:r>
    </w:p>
    <w:p w:rsidR="002C1641" w:rsidRPr="0034190F" w:rsidRDefault="002C1641" w:rsidP="00040C3A">
      <w:pPr>
        <w:tabs>
          <w:tab w:val="center" w:pos="5400"/>
        </w:tabs>
        <w:suppressAutoHyphens/>
        <w:jc w:val="center"/>
        <w:rPr>
          <w:rFonts w:ascii="Cambria" w:hAnsi="Cambria"/>
          <w:sz w:val="18"/>
          <w:szCs w:val="22"/>
          <w:lang w:val="es-ES_tradnl"/>
        </w:rPr>
      </w:pPr>
    </w:p>
    <w:p w:rsidR="002C1641" w:rsidRPr="0034190F" w:rsidRDefault="002C1641" w:rsidP="00040C3A">
      <w:pPr>
        <w:tabs>
          <w:tab w:val="center" w:pos="5400"/>
        </w:tabs>
        <w:suppressAutoHyphens/>
        <w:jc w:val="center"/>
        <w:rPr>
          <w:rFonts w:ascii="Cambria" w:hAnsi="Cambria"/>
          <w:sz w:val="18"/>
          <w:szCs w:val="22"/>
          <w:lang w:val="es-ES_tradnl"/>
        </w:rPr>
      </w:pPr>
    </w:p>
    <w:p w:rsidR="003C32BC" w:rsidRPr="0034190F" w:rsidRDefault="003C32BC" w:rsidP="003C32BC">
      <w:pPr>
        <w:tabs>
          <w:tab w:val="center" w:pos="5400"/>
        </w:tabs>
        <w:suppressAutoHyphens/>
        <w:jc w:val="center"/>
        <w:rPr>
          <w:rFonts w:ascii="Cambria" w:hAnsi="Cambria"/>
          <w:sz w:val="18"/>
          <w:szCs w:val="22"/>
        </w:rPr>
      </w:pPr>
    </w:p>
    <w:p w:rsidR="003C32BC" w:rsidRPr="0034190F" w:rsidRDefault="006311DA" w:rsidP="003C32BC">
      <w:pPr>
        <w:tabs>
          <w:tab w:val="center" w:pos="5400"/>
        </w:tabs>
        <w:suppressAutoHyphens/>
        <w:jc w:val="center"/>
        <w:rPr>
          <w:rFonts w:ascii="Cambria" w:hAnsi="Cambria"/>
          <w:sz w:val="18"/>
          <w:szCs w:val="22"/>
        </w:rPr>
      </w:pPr>
      <w:r w:rsidRPr="0034190F">
        <w:rPr>
          <w:rFonts w:ascii="Cambria" w:hAnsi="Cambria"/>
          <w:noProof/>
          <w:sz w:val="22"/>
          <w:szCs w:val="22"/>
        </w:rPr>
        <mc:AlternateContent>
          <mc:Choice Requires="wps">
            <w:drawing>
              <wp:anchor distT="0" distB="0" distL="114300" distR="114300" simplePos="0" relativeHeight="251686912" behindDoc="0" locked="0" layoutInCell="1" allowOverlap="1" wp14:anchorId="116D4CA2" wp14:editId="2921AB0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166" w:rsidRPr="004B7EB6" w:rsidRDefault="000E716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6D4CA2"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0E7166" w:rsidRPr="004B7EB6" w:rsidRDefault="000E716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4190F">
        <w:rPr>
          <w:rFonts w:ascii="Cambria" w:hAnsi="Cambria"/>
          <w:noProof/>
          <w:sz w:val="22"/>
          <w:szCs w:val="22"/>
        </w:rPr>
        <mc:AlternateContent>
          <mc:Choice Requires="wps">
            <w:drawing>
              <wp:anchor distT="0" distB="0" distL="114300" distR="114300" simplePos="0" relativeHeight="251684864" behindDoc="0" locked="0" layoutInCell="1" allowOverlap="1" wp14:anchorId="0BAA427F" wp14:editId="1DC5C2A7">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7166" w:rsidRDefault="000E7166">
                            <w:r>
                              <w:rPr>
                                <w:noProof/>
                              </w:rPr>
                              <w:drawing>
                                <wp:inline distT="0" distB="0" distL="0" distR="0" wp14:anchorId="07CC53E8" wp14:editId="44BB964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AA427F"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0E7166" w:rsidRDefault="000E7166">
                      <w:r>
                        <w:rPr>
                          <w:noProof/>
                        </w:rPr>
                        <w:drawing>
                          <wp:inline distT="0" distB="0" distL="0" distR="0" wp14:anchorId="07CC53E8" wp14:editId="44BB964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34190F" w:rsidRDefault="007607C4" w:rsidP="003C32BC">
      <w:pPr>
        <w:tabs>
          <w:tab w:val="center" w:pos="5400"/>
        </w:tabs>
        <w:suppressAutoHyphens/>
        <w:jc w:val="center"/>
        <w:rPr>
          <w:rFonts w:ascii="Cambria" w:hAnsi="Cambria"/>
          <w:sz w:val="18"/>
          <w:szCs w:val="22"/>
        </w:rPr>
        <w:sectPr w:rsidR="007607C4" w:rsidRPr="0034190F"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43505F" w:rsidRPr="0034190F" w:rsidRDefault="00FA1DD1" w:rsidP="0043505F">
      <w:pPr>
        <w:tabs>
          <w:tab w:val="center" w:pos="5400"/>
        </w:tabs>
        <w:suppressAutoHyphens/>
        <w:spacing w:line="276" w:lineRule="auto"/>
        <w:jc w:val="center"/>
        <w:rPr>
          <w:rFonts w:ascii="Cambria" w:hAnsi="Cambria"/>
          <w:b/>
          <w:sz w:val="18"/>
          <w:szCs w:val="20"/>
          <w:lang w:val="es-CO"/>
        </w:rPr>
      </w:pPr>
      <w:r w:rsidRPr="0034190F">
        <w:rPr>
          <w:rFonts w:ascii="Cambria" w:hAnsi="Cambria"/>
          <w:b/>
          <w:sz w:val="18"/>
          <w:szCs w:val="20"/>
          <w:lang w:val="es-CO"/>
        </w:rPr>
        <w:lastRenderedPageBreak/>
        <w:t>REPORT</w:t>
      </w:r>
      <w:r w:rsidR="0043505F" w:rsidRPr="0034190F">
        <w:rPr>
          <w:rFonts w:ascii="Cambria" w:hAnsi="Cambria"/>
          <w:b/>
          <w:sz w:val="18"/>
          <w:szCs w:val="20"/>
          <w:lang w:val="es-CO"/>
        </w:rPr>
        <w:t xml:space="preserve"> No. </w:t>
      </w:r>
      <w:r w:rsidR="00E05881">
        <w:rPr>
          <w:rFonts w:ascii="Cambria" w:hAnsi="Cambria"/>
          <w:b/>
          <w:sz w:val="18"/>
          <w:szCs w:val="20"/>
          <w:lang w:val="es-CO"/>
        </w:rPr>
        <w:t>114</w:t>
      </w:r>
      <w:r w:rsidR="0043505F" w:rsidRPr="0034190F">
        <w:rPr>
          <w:rFonts w:ascii="Cambria" w:hAnsi="Cambria"/>
          <w:b/>
          <w:sz w:val="18"/>
          <w:szCs w:val="20"/>
          <w:lang w:val="es-CO"/>
        </w:rPr>
        <w:t>/18</w:t>
      </w:r>
    </w:p>
    <w:p w:rsidR="0043505F" w:rsidRPr="0034190F" w:rsidRDefault="0043505F" w:rsidP="0043505F">
      <w:pPr>
        <w:tabs>
          <w:tab w:val="center" w:pos="5400"/>
        </w:tabs>
        <w:suppressAutoHyphens/>
        <w:spacing w:line="276" w:lineRule="auto"/>
        <w:jc w:val="center"/>
        <w:rPr>
          <w:rFonts w:ascii="Cambria" w:hAnsi="Cambria"/>
          <w:b/>
          <w:sz w:val="18"/>
          <w:szCs w:val="20"/>
          <w:lang w:val="es-CO"/>
        </w:rPr>
      </w:pPr>
      <w:r w:rsidRPr="0034190F">
        <w:rPr>
          <w:rFonts w:ascii="Cambria" w:hAnsi="Cambria"/>
          <w:b/>
          <w:sz w:val="18"/>
          <w:szCs w:val="20"/>
          <w:lang w:val="es-CO"/>
        </w:rPr>
        <w:t xml:space="preserve"> CAS</w:t>
      </w:r>
      <w:r w:rsidR="00FA1DD1" w:rsidRPr="0034190F">
        <w:rPr>
          <w:rFonts w:ascii="Cambria" w:hAnsi="Cambria"/>
          <w:b/>
          <w:sz w:val="18"/>
          <w:szCs w:val="20"/>
          <w:lang w:val="es-CO"/>
        </w:rPr>
        <w:t>E</w:t>
      </w:r>
      <w:r w:rsidRPr="0034190F">
        <w:rPr>
          <w:rFonts w:ascii="Cambria" w:hAnsi="Cambria"/>
          <w:b/>
          <w:sz w:val="18"/>
          <w:szCs w:val="20"/>
          <w:lang w:val="es-CO"/>
        </w:rPr>
        <w:t xml:space="preserve"> 12.722</w:t>
      </w:r>
    </w:p>
    <w:p w:rsidR="0043505F" w:rsidRPr="0034190F" w:rsidRDefault="00FA1DD1" w:rsidP="0043505F">
      <w:pPr>
        <w:tabs>
          <w:tab w:val="center" w:pos="5400"/>
        </w:tabs>
        <w:suppressAutoHyphens/>
        <w:spacing w:line="276" w:lineRule="auto"/>
        <w:jc w:val="center"/>
        <w:rPr>
          <w:rFonts w:ascii="Cambria" w:hAnsi="Cambria"/>
          <w:sz w:val="18"/>
          <w:szCs w:val="20"/>
          <w:lang w:val="es-ES_tradnl"/>
        </w:rPr>
      </w:pPr>
      <w:r w:rsidRPr="0034190F">
        <w:rPr>
          <w:rFonts w:ascii="Cambria" w:hAnsi="Cambria"/>
          <w:sz w:val="18"/>
          <w:szCs w:val="20"/>
          <w:lang w:val="es-ES_tradnl"/>
        </w:rPr>
        <w:t>MERITS</w:t>
      </w:r>
    </w:p>
    <w:p w:rsidR="0043505F" w:rsidRPr="0034190F" w:rsidRDefault="0043505F" w:rsidP="0043505F">
      <w:pPr>
        <w:tabs>
          <w:tab w:val="center" w:pos="5400"/>
        </w:tabs>
        <w:suppressAutoHyphens/>
        <w:spacing w:line="276" w:lineRule="auto"/>
        <w:jc w:val="center"/>
        <w:rPr>
          <w:rFonts w:ascii="Cambria" w:hAnsi="Cambria"/>
          <w:sz w:val="18"/>
          <w:szCs w:val="20"/>
          <w:lang w:val="es-ES_tradnl"/>
        </w:rPr>
      </w:pPr>
      <w:r w:rsidRPr="0034190F">
        <w:rPr>
          <w:rFonts w:ascii="Cambria" w:hAnsi="Cambria"/>
          <w:sz w:val="18"/>
          <w:szCs w:val="20"/>
          <w:lang w:val="es-ES_tradnl"/>
        </w:rPr>
        <w:t xml:space="preserve">PATRICIO FERNANDO ROCHE AZANA </w:t>
      </w:r>
      <w:r w:rsidR="00FA1DD1" w:rsidRPr="0034190F">
        <w:rPr>
          <w:rFonts w:ascii="Cambria" w:hAnsi="Cambria"/>
          <w:sz w:val="18"/>
          <w:szCs w:val="20"/>
          <w:lang w:val="es-ES_tradnl"/>
        </w:rPr>
        <w:t>ET AL.</w:t>
      </w:r>
    </w:p>
    <w:p w:rsidR="0043505F" w:rsidRPr="0034190F" w:rsidRDefault="0043505F" w:rsidP="0043505F">
      <w:pPr>
        <w:tabs>
          <w:tab w:val="center" w:pos="5400"/>
        </w:tabs>
        <w:suppressAutoHyphens/>
        <w:spacing w:line="276" w:lineRule="auto"/>
        <w:jc w:val="center"/>
        <w:rPr>
          <w:rFonts w:ascii="Cambria" w:hAnsi="Cambria"/>
          <w:sz w:val="18"/>
          <w:szCs w:val="20"/>
          <w:lang w:val="es-ES_tradnl"/>
        </w:rPr>
      </w:pPr>
      <w:r w:rsidRPr="0034190F">
        <w:rPr>
          <w:rFonts w:ascii="Cambria" w:hAnsi="Cambria"/>
          <w:sz w:val="18"/>
          <w:szCs w:val="20"/>
          <w:lang w:val="es-ES_tradnl"/>
        </w:rPr>
        <w:t>NICARAGUA</w:t>
      </w:r>
    </w:p>
    <w:p w:rsidR="0043505F" w:rsidRPr="0034190F" w:rsidRDefault="00E05881" w:rsidP="0043505F">
      <w:pPr>
        <w:tabs>
          <w:tab w:val="center" w:pos="5400"/>
        </w:tabs>
        <w:suppressAutoHyphens/>
        <w:spacing w:line="276" w:lineRule="auto"/>
        <w:jc w:val="center"/>
        <w:rPr>
          <w:rFonts w:ascii="Cambria" w:hAnsi="Cambria"/>
          <w:sz w:val="18"/>
          <w:szCs w:val="20"/>
          <w:lang w:val="es-ES_tradnl"/>
        </w:rPr>
      </w:pPr>
      <w:proofErr w:type="spellStart"/>
      <w:r>
        <w:rPr>
          <w:rFonts w:ascii="Cambria" w:hAnsi="Cambria"/>
          <w:sz w:val="18"/>
          <w:szCs w:val="20"/>
          <w:lang w:val="es-ES_tradnl"/>
        </w:rPr>
        <w:t>October</w:t>
      </w:r>
      <w:proofErr w:type="spellEnd"/>
      <w:r>
        <w:rPr>
          <w:rFonts w:ascii="Cambria" w:hAnsi="Cambria"/>
          <w:sz w:val="18"/>
          <w:szCs w:val="20"/>
          <w:lang w:val="es-ES_tradnl"/>
        </w:rPr>
        <w:t xml:space="preserve"> 5, 2018</w:t>
      </w:r>
    </w:p>
    <w:p w:rsidR="0043505F" w:rsidRPr="0034190F" w:rsidRDefault="0043505F" w:rsidP="0043505F">
      <w:pPr>
        <w:pStyle w:val="ListParagraph"/>
        <w:suppressAutoHyphens/>
        <w:ind w:left="1440"/>
        <w:rPr>
          <w:b/>
          <w:color w:val="auto"/>
          <w:sz w:val="20"/>
          <w:szCs w:val="20"/>
          <w:lang w:val="es-ES_tradnl"/>
        </w:rPr>
      </w:pPr>
    </w:p>
    <w:p w:rsidR="0043505F" w:rsidRPr="0034190F" w:rsidRDefault="0043505F" w:rsidP="0043505F">
      <w:pPr>
        <w:pStyle w:val="ListParagraph"/>
        <w:suppressAutoHyphens/>
        <w:ind w:left="1440"/>
        <w:rPr>
          <w:b/>
          <w:color w:val="auto"/>
          <w:sz w:val="20"/>
          <w:szCs w:val="20"/>
          <w:lang w:val="es-ES_tradnl"/>
        </w:rPr>
      </w:pPr>
    </w:p>
    <w:p w:rsidR="0043505F" w:rsidRPr="0034190F" w:rsidRDefault="000661B3" w:rsidP="0043505F">
      <w:pPr>
        <w:pStyle w:val="ListParagraph"/>
        <w:numPr>
          <w:ilvl w:val="0"/>
          <w:numId w:val="104"/>
        </w:numPr>
        <w:suppressAutoHyphens/>
        <w:ind w:left="1440" w:hanging="810"/>
        <w:rPr>
          <w:b/>
          <w:color w:val="auto"/>
          <w:sz w:val="20"/>
          <w:szCs w:val="20"/>
          <w:lang w:val="es-ES_tradnl"/>
        </w:rPr>
      </w:pPr>
      <w:r w:rsidRPr="0034190F">
        <w:rPr>
          <w:b/>
          <w:color w:val="auto"/>
          <w:sz w:val="20"/>
          <w:szCs w:val="20"/>
          <w:lang w:val="es-ES_tradnl"/>
        </w:rPr>
        <w:t>SUMMARY</w:t>
      </w:r>
    </w:p>
    <w:p w:rsidR="0043505F" w:rsidRPr="0034190F" w:rsidRDefault="0043505F" w:rsidP="0043505F">
      <w:pPr>
        <w:suppressAutoHyphens/>
        <w:ind w:left="360"/>
        <w:rPr>
          <w:rFonts w:ascii="Cambria" w:hAnsi="Cambria"/>
          <w:b/>
          <w:sz w:val="20"/>
          <w:szCs w:val="20"/>
          <w:lang w:val="es-ES_tradnl"/>
        </w:rPr>
      </w:pPr>
    </w:p>
    <w:p w:rsidR="00CA45DF" w:rsidRPr="0034190F" w:rsidRDefault="00CA45DF"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On December 23, 1998, the Inter-American Commission on Human Rights (hereinafter “the Inter-American Commission,” “the Commission,” or “the IACHR”) received a petition lodged by Mr. Patricio Barrera Tello, representing Messrs. Pedro Bacilio Roche Azaña and Patricio Fernando Roche Azaña (“the petition</w:t>
      </w:r>
      <w:r w:rsidR="00BF2212" w:rsidRPr="0034190F">
        <w:rPr>
          <w:rFonts w:ascii="Cambria" w:hAnsi="Cambria"/>
          <w:sz w:val="20"/>
          <w:szCs w:val="20"/>
        </w:rPr>
        <w:t>ing party</w:t>
      </w:r>
      <w:r w:rsidRPr="0034190F">
        <w:rPr>
          <w:rFonts w:ascii="Cambria" w:hAnsi="Cambria"/>
          <w:sz w:val="20"/>
          <w:szCs w:val="20"/>
        </w:rPr>
        <w:t>”</w:t>
      </w:r>
      <w:r w:rsidR="00BF2212" w:rsidRPr="0034190F">
        <w:rPr>
          <w:rFonts w:ascii="Cambria" w:hAnsi="Cambria"/>
          <w:sz w:val="20"/>
          <w:szCs w:val="20"/>
        </w:rPr>
        <w:t xml:space="preserve"> or “the petitioner”</w:t>
      </w:r>
      <w:r w:rsidRPr="0034190F">
        <w:rPr>
          <w:rFonts w:ascii="Cambria" w:hAnsi="Cambria"/>
          <w:sz w:val="20"/>
          <w:szCs w:val="20"/>
        </w:rPr>
        <w:t xml:space="preserve">), </w:t>
      </w:r>
      <w:r w:rsidR="00E50BD3" w:rsidRPr="0034190F">
        <w:rPr>
          <w:rFonts w:ascii="Cambria" w:hAnsi="Cambria"/>
          <w:sz w:val="20"/>
          <w:szCs w:val="20"/>
        </w:rPr>
        <w:t>alleging</w:t>
      </w:r>
      <w:r w:rsidRPr="0034190F">
        <w:rPr>
          <w:rFonts w:ascii="Cambria" w:hAnsi="Cambria"/>
          <w:sz w:val="20"/>
          <w:szCs w:val="20"/>
        </w:rPr>
        <w:t xml:space="preserve"> the </w:t>
      </w:r>
      <w:r w:rsidR="00FA1DD1" w:rsidRPr="0034190F">
        <w:rPr>
          <w:rFonts w:ascii="Cambria" w:hAnsi="Cambria"/>
          <w:sz w:val="20"/>
          <w:szCs w:val="20"/>
        </w:rPr>
        <w:t xml:space="preserve">international responsibility of the </w:t>
      </w:r>
      <w:r w:rsidRPr="0034190F">
        <w:rPr>
          <w:rFonts w:ascii="Cambria" w:hAnsi="Cambria"/>
          <w:sz w:val="20"/>
          <w:szCs w:val="20"/>
        </w:rPr>
        <w:t>State of Nicaragua (hereinafter “the Nicaraguan State,” “the State,” or “Nicaragua”)</w:t>
      </w:r>
      <w:r w:rsidR="00FA1DD1" w:rsidRPr="0034190F">
        <w:rPr>
          <w:rFonts w:ascii="Cambria" w:hAnsi="Cambria"/>
          <w:sz w:val="20"/>
          <w:szCs w:val="20"/>
        </w:rPr>
        <w:t xml:space="preserve"> </w:t>
      </w:r>
      <w:r w:rsidRPr="0034190F">
        <w:rPr>
          <w:rFonts w:ascii="Cambria" w:hAnsi="Cambria"/>
          <w:sz w:val="20"/>
          <w:szCs w:val="20"/>
        </w:rPr>
        <w:t>to the detriment of Pedro Bacilio Roche Azaña and Patricio Fernando Roche Azaña.</w:t>
      </w:r>
    </w:p>
    <w:p w:rsidR="00CA45DF" w:rsidRPr="0034190F" w:rsidRDefault="00CA45DF" w:rsidP="00CA45D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79243E" w:rsidRPr="0034190F" w:rsidRDefault="0043505F" w:rsidP="0079243E">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 </w:t>
      </w:r>
      <w:r w:rsidR="00CA45DF" w:rsidRPr="0034190F">
        <w:rPr>
          <w:rFonts w:ascii="Cambria" w:hAnsi="Cambria"/>
          <w:sz w:val="20"/>
          <w:szCs w:val="20"/>
        </w:rPr>
        <w:t>The Commission approved Admissibility R</w:t>
      </w:r>
      <w:bookmarkStart w:id="0" w:name="_GoBack"/>
      <w:bookmarkEnd w:id="0"/>
      <w:r w:rsidR="00CA45DF" w:rsidRPr="0034190F">
        <w:rPr>
          <w:rFonts w:ascii="Cambria" w:hAnsi="Cambria"/>
          <w:sz w:val="20"/>
          <w:szCs w:val="20"/>
        </w:rPr>
        <w:t>eport No. 88</w:t>
      </w:r>
      <w:r w:rsidR="00C9421B" w:rsidRPr="0034190F">
        <w:rPr>
          <w:rFonts w:ascii="Cambria" w:hAnsi="Cambria"/>
          <w:sz w:val="20"/>
          <w:szCs w:val="20"/>
        </w:rPr>
        <w:t>/09</w:t>
      </w:r>
      <w:r w:rsidR="00CA45DF" w:rsidRPr="0034190F">
        <w:rPr>
          <w:rFonts w:ascii="Cambria" w:hAnsi="Cambria"/>
          <w:sz w:val="20"/>
          <w:szCs w:val="20"/>
        </w:rPr>
        <w:t xml:space="preserve"> on August 7, 2009.</w:t>
      </w:r>
      <w:r w:rsidRPr="0034190F">
        <w:rPr>
          <w:rStyle w:val="FootnoteReference"/>
          <w:rFonts w:ascii="Cambria" w:hAnsi="Cambria"/>
          <w:sz w:val="20"/>
          <w:szCs w:val="20"/>
          <w:lang w:val="es-ES_tradnl"/>
        </w:rPr>
        <w:footnoteReference w:id="2"/>
      </w:r>
      <w:r w:rsidR="00CA45DF" w:rsidRPr="0034190F">
        <w:rPr>
          <w:rFonts w:ascii="Cambria" w:hAnsi="Cambria"/>
          <w:sz w:val="20"/>
          <w:szCs w:val="20"/>
        </w:rPr>
        <w:t xml:space="preserve"> </w:t>
      </w:r>
      <w:r w:rsidRPr="0034190F">
        <w:rPr>
          <w:rFonts w:ascii="Cambria" w:hAnsi="Cambria"/>
          <w:sz w:val="20"/>
          <w:szCs w:val="20"/>
        </w:rPr>
        <w:t xml:space="preserve"> </w:t>
      </w:r>
      <w:r w:rsidR="00CA45DF" w:rsidRPr="0034190F">
        <w:rPr>
          <w:rFonts w:ascii="Cambria" w:hAnsi="Cambria"/>
          <w:sz w:val="20"/>
          <w:szCs w:val="20"/>
        </w:rPr>
        <w:t xml:space="preserve">On September 1, 2009, the Commission notified the parties </w:t>
      </w:r>
      <w:r w:rsidR="00C9421B" w:rsidRPr="0034190F">
        <w:rPr>
          <w:rFonts w:ascii="Cambria" w:hAnsi="Cambria"/>
          <w:sz w:val="20"/>
          <w:szCs w:val="20"/>
        </w:rPr>
        <w:t xml:space="preserve">of that report </w:t>
      </w:r>
      <w:r w:rsidR="00CA45DF" w:rsidRPr="0034190F">
        <w:rPr>
          <w:rFonts w:ascii="Cambria" w:hAnsi="Cambria"/>
          <w:sz w:val="20"/>
          <w:szCs w:val="20"/>
        </w:rPr>
        <w:t xml:space="preserve">and </w:t>
      </w:r>
      <w:r w:rsidR="001F4F6E" w:rsidRPr="0034190F">
        <w:rPr>
          <w:rFonts w:ascii="Cambria" w:hAnsi="Cambria"/>
          <w:sz w:val="20"/>
          <w:szCs w:val="20"/>
        </w:rPr>
        <w:t>offered its good offices</w:t>
      </w:r>
      <w:r w:rsidR="00BF2212" w:rsidRPr="0034190F">
        <w:rPr>
          <w:rFonts w:ascii="Cambria" w:hAnsi="Cambria"/>
          <w:sz w:val="20"/>
          <w:szCs w:val="20"/>
        </w:rPr>
        <w:t xml:space="preserve"> </w:t>
      </w:r>
      <w:r w:rsidR="00CA45DF" w:rsidRPr="0034190F">
        <w:rPr>
          <w:rFonts w:ascii="Cambria" w:hAnsi="Cambria"/>
          <w:sz w:val="20"/>
          <w:szCs w:val="20"/>
        </w:rPr>
        <w:t xml:space="preserve">to </w:t>
      </w:r>
      <w:r w:rsidR="001F4F6E" w:rsidRPr="0034190F">
        <w:rPr>
          <w:rFonts w:ascii="Cambria" w:hAnsi="Cambria"/>
          <w:sz w:val="20"/>
          <w:szCs w:val="20"/>
        </w:rPr>
        <w:t xml:space="preserve">help </w:t>
      </w:r>
      <w:r w:rsidR="00CA45DF" w:rsidRPr="0034190F">
        <w:rPr>
          <w:rFonts w:ascii="Cambria" w:hAnsi="Cambria"/>
          <w:sz w:val="20"/>
          <w:szCs w:val="20"/>
        </w:rPr>
        <w:t xml:space="preserve">reach a friendly settlement. The parties had </w:t>
      </w:r>
      <w:r w:rsidR="00516296" w:rsidRPr="0034190F">
        <w:rPr>
          <w:rFonts w:ascii="Cambria" w:hAnsi="Cambria"/>
          <w:sz w:val="20"/>
          <w:szCs w:val="20"/>
        </w:rPr>
        <w:t>the prescribed</w:t>
      </w:r>
      <w:r w:rsidR="00CA45DF" w:rsidRPr="0034190F">
        <w:rPr>
          <w:rFonts w:ascii="Cambria" w:hAnsi="Cambria"/>
          <w:sz w:val="20"/>
          <w:szCs w:val="20"/>
        </w:rPr>
        <w:t xml:space="preserve"> deadlines </w:t>
      </w:r>
      <w:r w:rsidR="00516296" w:rsidRPr="0034190F">
        <w:rPr>
          <w:rFonts w:ascii="Cambria" w:hAnsi="Cambria"/>
          <w:sz w:val="20"/>
          <w:szCs w:val="20"/>
        </w:rPr>
        <w:t xml:space="preserve">in which </w:t>
      </w:r>
      <w:r w:rsidR="00CA45DF" w:rsidRPr="0034190F">
        <w:rPr>
          <w:rFonts w:ascii="Cambria" w:hAnsi="Cambria"/>
          <w:sz w:val="20"/>
          <w:szCs w:val="20"/>
        </w:rPr>
        <w:t xml:space="preserve">to present their additional observations on the merits. The petitioning party presented its observations on the merits on October 26, 2009, </w:t>
      </w:r>
      <w:r w:rsidR="005211FE" w:rsidRPr="0034190F">
        <w:rPr>
          <w:rFonts w:ascii="Cambria" w:hAnsi="Cambria"/>
          <w:sz w:val="20"/>
          <w:szCs w:val="20"/>
        </w:rPr>
        <w:t>expressing</w:t>
      </w:r>
      <w:r w:rsidR="00CA45DF" w:rsidRPr="0034190F">
        <w:rPr>
          <w:rFonts w:ascii="Cambria" w:hAnsi="Cambria"/>
          <w:sz w:val="20"/>
          <w:szCs w:val="20"/>
        </w:rPr>
        <w:t xml:space="preserve"> its willingness to reach a friendly settlement. For its part, the State presented observations on September 2, 2011, without referring to a potential friendly settlement. All information received was duly forwarded to the other parties.</w:t>
      </w:r>
    </w:p>
    <w:p w:rsidR="0079243E" w:rsidRPr="0034190F" w:rsidRDefault="0079243E" w:rsidP="0079243E">
      <w:pPr>
        <w:pStyle w:val="ListParagraph"/>
        <w:rPr>
          <w:color w:val="auto"/>
          <w:sz w:val="20"/>
          <w:szCs w:val="20"/>
        </w:rPr>
      </w:pPr>
    </w:p>
    <w:p w:rsidR="0079243E" w:rsidRPr="0034190F" w:rsidRDefault="0079243E" w:rsidP="0079243E">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The petitioning party alleged that Nicaraguan police in the municipality of Chinandega fired indiscriminately and in a discriminatory manner at a van in which 30 to 40 migrants were traveling, </w:t>
      </w:r>
      <w:r w:rsidR="00385F18" w:rsidRPr="0034190F">
        <w:rPr>
          <w:rFonts w:ascii="Cambria" w:hAnsi="Cambria"/>
          <w:sz w:val="20"/>
          <w:szCs w:val="20"/>
        </w:rPr>
        <w:t>trying</w:t>
      </w:r>
      <w:r w:rsidRPr="0034190F">
        <w:rPr>
          <w:rFonts w:ascii="Cambria" w:hAnsi="Cambria"/>
          <w:sz w:val="20"/>
          <w:szCs w:val="20"/>
        </w:rPr>
        <w:t xml:space="preserve"> to get to the United States of America. The petitioner indicated that the</w:t>
      </w:r>
      <w:r w:rsidR="005211FE" w:rsidRPr="0034190F">
        <w:rPr>
          <w:rFonts w:ascii="Cambria" w:hAnsi="Cambria"/>
          <w:sz w:val="20"/>
          <w:szCs w:val="20"/>
        </w:rPr>
        <w:t xml:space="preserve"> migrants</w:t>
      </w:r>
      <w:r w:rsidRPr="0034190F">
        <w:rPr>
          <w:rFonts w:ascii="Cambria" w:hAnsi="Cambria"/>
          <w:sz w:val="20"/>
          <w:szCs w:val="20"/>
        </w:rPr>
        <w:t xml:space="preserve"> were abandoned in a</w:t>
      </w:r>
      <w:r w:rsidR="00385F18" w:rsidRPr="0034190F">
        <w:rPr>
          <w:rFonts w:ascii="Cambria" w:hAnsi="Cambria"/>
          <w:sz w:val="20"/>
          <w:szCs w:val="20"/>
        </w:rPr>
        <w:t xml:space="preserve"> </w:t>
      </w:r>
      <w:r w:rsidR="008758E2" w:rsidRPr="0034190F">
        <w:rPr>
          <w:rFonts w:ascii="Cambria" w:hAnsi="Cambria"/>
          <w:sz w:val="20"/>
          <w:szCs w:val="20"/>
        </w:rPr>
        <w:t>deserted</w:t>
      </w:r>
      <w:r w:rsidRPr="0034190F">
        <w:rPr>
          <w:rFonts w:ascii="Cambria" w:hAnsi="Cambria"/>
          <w:sz w:val="20"/>
          <w:szCs w:val="20"/>
        </w:rPr>
        <w:t xml:space="preserve"> area and that on the morning of the next day they received </w:t>
      </w:r>
      <w:r w:rsidR="005211FE" w:rsidRPr="0034190F">
        <w:rPr>
          <w:rFonts w:ascii="Cambria" w:hAnsi="Cambria"/>
          <w:sz w:val="20"/>
          <w:szCs w:val="20"/>
        </w:rPr>
        <w:t>assistance</w:t>
      </w:r>
      <w:r w:rsidRPr="0034190F">
        <w:rPr>
          <w:rFonts w:ascii="Cambria" w:hAnsi="Cambria"/>
          <w:sz w:val="20"/>
          <w:szCs w:val="20"/>
        </w:rPr>
        <w:t xml:space="preserve"> from </w:t>
      </w:r>
      <w:r w:rsidR="00385F18" w:rsidRPr="0034190F">
        <w:rPr>
          <w:rFonts w:ascii="Cambria" w:hAnsi="Cambria"/>
          <w:sz w:val="20"/>
          <w:szCs w:val="20"/>
        </w:rPr>
        <w:t>a group of locals</w:t>
      </w:r>
      <w:r w:rsidRPr="0034190F">
        <w:rPr>
          <w:rFonts w:ascii="Cambria" w:hAnsi="Cambria"/>
          <w:sz w:val="20"/>
          <w:szCs w:val="20"/>
        </w:rPr>
        <w:t>, who took them to the hospital. The</w:t>
      </w:r>
      <w:r w:rsidR="005211FE" w:rsidRPr="0034190F">
        <w:rPr>
          <w:rFonts w:ascii="Cambria" w:hAnsi="Cambria"/>
          <w:sz w:val="20"/>
          <w:szCs w:val="20"/>
        </w:rPr>
        <w:t xml:space="preserve"> petitioner</w:t>
      </w:r>
      <w:r w:rsidRPr="0034190F">
        <w:rPr>
          <w:rFonts w:ascii="Cambria" w:hAnsi="Cambria"/>
          <w:sz w:val="20"/>
          <w:szCs w:val="20"/>
        </w:rPr>
        <w:t xml:space="preserve"> indicated that as a result of that attack, Pedro Bacilio Roche Azaña lost his life and five individuals were seriously wounded, including Patricio Roche Azaña, who </w:t>
      </w:r>
      <w:r w:rsidR="00AA0B78" w:rsidRPr="0034190F">
        <w:rPr>
          <w:rFonts w:ascii="Cambria" w:hAnsi="Cambria"/>
          <w:sz w:val="20"/>
          <w:szCs w:val="20"/>
        </w:rPr>
        <w:t>states</w:t>
      </w:r>
      <w:r w:rsidRPr="0034190F">
        <w:rPr>
          <w:rFonts w:ascii="Cambria" w:hAnsi="Cambria"/>
          <w:sz w:val="20"/>
          <w:szCs w:val="20"/>
        </w:rPr>
        <w:t xml:space="preserve"> that he was hospitalized for three months, the first </w:t>
      </w:r>
      <w:r w:rsidR="00AA0B78" w:rsidRPr="0034190F">
        <w:rPr>
          <w:rFonts w:ascii="Cambria" w:hAnsi="Cambria"/>
          <w:sz w:val="20"/>
          <w:szCs w:val="20"/>
        </w:rPr>
        <w:t xml:space="preserve">of these </w:t>
      </w:r>
      <w:r w:rsidRPr="0034190F">
        <w:rPr>
          <w:rFonts w:ascii="Cambria" w:hAnsi="Cambria"/>
          <w:sz w:val="20"/>
          <w:szCs w:val="20"/>
        </w:rPr>
        <w:t xml:space="preserve">in a coma, and was subsequently able to return to Ecuador, where he was operated on six times and currently suffers permanent physical </w:t>
      </w:r>
      <w:r w:rsidR="00703749" w:rsidRPr="0034190F">
        <w:rPr>
          <w:rFonts w:ascii="Cambria" w:hAnsi="Cambria"/>
          <w:sz w:val="20"/>
          <w:szCs w:val="20"/>
        </w:rPr>
        <w:t>impairment</w:t>
      </w:r>
      <w:r w:rsidRPr="0034190F">
        <w:rPr>
          <w:rFonts w:ascii="Cambria" w:hAnsi="Cambria"/>
          <w:sz w:val="20"/>
          <w:szCs w:val="20"/>
        </w:rPr>
        <w:t>. The petition</w:t>
      </w:r>
      <w:r w:rsidR="00703749" w:rsidRPr="0034190F">
        <w:rPr>
          <w:rFonts w:ascii="Cambria" w:hAnsi="Cambria"/>
          <w:sz w:val="20"/>
          <w:szCs w:val="20"/>
        </w:rPr>
        <w:t>ing party</w:t>
      </w:r>
      <w:r w:rsidRPr="0034190F">
        <w:rPr>
          <w:rFonts w:ascii="Cambria" w:hAnsi="Cambria"/>
          <w:sz w:val="20"/>
          <w:szCs w:val="20"/>
        </w:rPr>
        <w:t xml:space="preserve"> also </w:t>
      </w:r>
      <w:r w:rsidR="00703749" w:rsidRPr="0034190F">
        <w:rPr>
          <w:rFonts w:ascii="Cambria" w:hAnsi="Cambria"/>
          <w:sz w:val="20"/>
          <w:szCs w:val="20"/>
        </w:rPr>
        <w:t>claimed</w:t>
      </w:r>
      <w:r w:rsidRPr="0034190F">
        <w:rPr>
          <w:rFonts w:ascii="Cambria" w:hAnsi="Cambria"/>
          <w:sz w:val="20"/>
          <w:szCs w:val="20"/>
        </w:rPr>
        <w:t xml:space="preserve"> that the </w:t>
      </w:r>
      <w:r w:rsidR="00703749" w:rsidRPr="0034190F">
        <w:rPr>
          <w:rFonts w:ascii="Cambria" w:hAnsi="Cambria"/>
          <w:sz w:val="20"/>
          <w:szCs w:val="20"/>
        </w:rPr>
        <w:t>alleged</w:t>
      </w:r>
      <w:r w:rsidRPr="0034190F">
        <w:rPr>
          <w:rFonts w:ascii="Cambria" w:hAnsi="Cambria"/>
          <w:sz w:val="20"/>
          <w:szCs w:val="20"/>
        </w:rPr>
        <w:t xml:space="preserve"> victims did not have access to justice due to the acquittal and release of the </w:t>
      </w:r>
      <w:r w:rsidR="00703749" w:rsidRPr="0034190F">
        <w:rPr>
          <w:rFonts w:ascii="Cambria" w:hAnsi="Cambria"/>
          <w:sz w:val="20"/>
          <w:szCs w:val="20"/>
        </w:rPr>
        <w:t>defendants</w:t>
      </w:r>
      <w:r w:rsidRPr="0034190F">
        <w:rPr>
          <w:rFonts w:ascii="Cambria" w:hAnsi="Cambria"/>
          <w:sz w:val="20"/>
          <w:szCs w:val="20"/>
        </w:rPr>
        <w:t xml:space="preserve">, as well as </w:t>
      </w:r>
      <w:r w:rsidR="00703749" w:rsidRPr="0034190F">
        <w:rPr>
          <w:rFonts w:ascii="Cambria" w:hAnsi="Cambria"/>
          <w:sz w:val="20"/>
          <w:szCs w:val="20"/>
        </w:rPr>
        <w:t xml:space="preserve">to </w:t>
      </w:r>
      <w:r w:rsidRPr="0034190F">
        <w:rPr>
          <w:rFonts w:ascii="Cambria" w:hAnsi="Cambria"/>
          <w:sz w:val="20"/>
          <w:szCs w:val="20"/>
        </w:rPr>
        <w:t xml:space="preserve">violations of due process, as </w:t>
      </w:r>
      <w:r w:rsidR="00703749" w:rsidRPr="0034190F">
        <w:rPr>
          <w:rFonts w:ascii="Cambria" w:hAnsi="Cambria"/>
          <w:sz w:val="20"/>
          <w:szCs w:val="20"/>
        </w:rPr>
        <w:t>the petitioner’s</w:t>
      </w:r>
      <w:r w:rsidRPr="0034190F">
        <w:rPr>
          <w:rFonts w:ascii="Cambria" w:hAnsi="Cambria"/>
          <w:sz w:val="20"/>
          <w:szCs w:val="20"/>
        </w:rPr>
        <w:t xml:space="preserve"> statements were not taken during the criminal prosecution, nor </w:t>
      </w:r>
      <w:r w:rsidR="00703749" w:rsidRPr="0034190F">
        <w:rPr>
          <w:rFonts w:ascii="Cambria" w:hAnsi="Cambria"/>
          <w:sz w:val="20"/>
          <w:szCs w:val="20"/>
        </w:rPr>
        <w:t>was he</w:t>
      </w:r>
      <w:r w:rsidRPr="0034190F">
        <w:rPr>
          <w:rFonts w:ascii="Cambria" w:hAnsi="Cambria"/>
          <w:sz w:val="20"/>
          <w:szCs w:val="20"/>
        </w:rPr>
        <w:t xml:space="preserve"> informed of any decision.</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6A04C3" w:rsidRPr="0034190F" w:rsidRDefault="006A04C3"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The State </w:t>
      </w:r>
      <w:r w:rsidR="00B77E3C" w:rsidRPr="0034190F">
        <w:rPr>
          <w:rFonts w:ascii="Cambria" w:hAnsi="Cambria"/>
          <w:sz w:val="20"/>
          <w:szCs w:val="20"/>
        </w:rPr>
        <w:t>alleged</w:t>
      </w:r>
      <w:r w:rsidRPr="0034190F">
        <w:rPr>
          <w:rFonts w:ascii="Cambria" w:hAnsi="Cambria"/>
          <w:sz w:val="20"/>
          <w:szCs w:val="20"/>
        </w:rPr>
        <w:t xml:space="preserve"> that the van went through a police checkpoint after being given multiple warnings </w:t>
      </w:r>
      <w:r w:rsidR="00B77E3C" w:rsidRPr="0034190F">
        <w:rPr>
          <w:rFonts w:ascii="Cambria" w:hAnsi="Cambria"/>
          <w:sz w:val="20"/>
          <w:szCs w:val="20"/>
        </w:rPr>
        <w:t>to</w:t>
      </w:r>
      <w:r w:rsidRPr="0034190F">
        <w:rPr>
          <w:rFonts w:ascii="Cambria" w:hAnsi="Cambria"/>
          <w:sz w:val="20"/>
          <w:szCs w:val="20"/>
        </w:rPr>
        <w:t xml:space="preserve"> stop, and that the driver ignored the warnings and continued to flee at high speed, forcing the police officers to fire. The State maintained that it was impossible for the police to know that these were migrants. It added that it was the police who, upon being </w:t>
      </w:r>
      <w:r w:rsidR="00B77E3C" w:rsidRPr="0034190F">
        <w:rPr>
          <w:rFonts w:ascii="Cambria" w:hAnsi="Cambria"/>
          <w:sz w:val="20"/>
          <w:szCs w:val="20"/>
        </w:rPr>
        <w:t>alerted</w:t>
      </w:r>
      <w:r w:rsidRPr="0034190F">
        <w:rPr>
          <w:rFonts w:ascii="Cambria" w:hAnsi="Cambria"/>
          <w:sz w:val="20"/>
          <w:szCs w:val="20"/>
        </w:rPr>
        <w:t xml:space="preserve"> by locals, assisted the migrants </w:t>
      </w:r>
      <w:r w:rsidR="00967A0A" w:rsidRPr="0034190F">
        <w:rPr>
          <w:rFonts w:ascii="Cambria" w:hAnsi="Cambria"/>
          <w:sz w:val="20"/>
          <w:szCs w:val="20"/>
        </w:rPr>
        <w:t>and</w:t>
      </w:r>
      <w:r w:rsidR="001F4F6E" w:rsidRPr="0034190F">
        <w:rPr>
          <w:rFonts w:ascii="Cambria" w:hAnsi="Cambria"/>
          <w:sz w:val="20"/>
          <w:szCs w:val="20"/>
        </w:rPr>
        <w:t xml:space="preserve"> humane</w:t>
      </w:r>
      <w:r w:rsidR="00967A0A" w:rsidRPr="0034190F">
        <w:rPr>
          <w:rFonts w:ascii="Cambria" w:hAnsi="Cambria"/>
          <w:sz w:val="20"/>
          <w:szCs w:val="20"/>
        </w:rPr>
        <w:t xml:space="preserve">ly </w:t>
      </w:r>
      <w:r w:rsidRPr="0034190F">
        <w:rPr>
          <w:rFonts w:ascii="Cambria" w:hAnsi="Cambria"/>
          <w:sz w:val="20"/>
          <w:szCs w:val="20"/>
        </w:rPr>
        <w:t xml:space="preserve">took them to the hospital in Chinandega. Finally, the State </w:t>
      </w:r>
      <w:r w:rsidR="00C206E2" w:rsidRPr="0034190F">
        <w:rPr>
          <w:rFonts w:ascii="Cambria" w:hAnsi="Cambria"/>
          <w:sz w:val="20"/>
          <w:szCs w:val="20"/>
        </w:rPr>
        <w:t>maintained</w:t>
      </w:r>
      <w:r w:rsidRPr="0034190F">
        <w:rPr>
          <w:rFonts w:ascii="Cambria" w:hAnsi="Cambria"/>
          <w:sz w:val="20"/>
          <w:szCs w:val="20"/>
        </w:rPr>
        <w:t xml:space="preserve"> that procedural </w:t>
      </w:r>
      <w:r w:rsidR="00C206E2" w:rsidRPr="0034190F">
        <w:rPr>
          <w:rFonts w:ascii="Cambria" w:hAnsi="Cambria"/>
          <w:sz w:val="20"/>
          <w:szCs w:val="20"/>
        </w:rPr>
        <w:t>guarantees</w:t>
      </w:r>
      <w:r w:rsidRPr="0034190F">
        <w:rPr>
          <w:rFonts w:ascii="Cambria" w:hAnsi="Cambria"/>
          <w:sz w:val="20"/>
          <w:szCs w:val="20"/>
        </w:rPr>
        <w:t xml:space="preserve"> were respected at all times and that the events </w:t>
      </w:r>
      <w:r w:rsidR="00C206E2" w:rsidRPr="0034190F">
        <w:rPr>
          <w:rFonts w:ascii="Cambria" w:hAnsi="Cambria"/>
          <w:sz w:val="20"/>
          <w:szCs w:val="20"/>
        </w:rPr>
        <w:t xml:space="preserve">in question </w:t>
      </w:r>
      <w:r w:rsidRPr="0034190F">
        <w:rPr>
          <w:rFonts w:ascii="Cambria" w:hAnsi="Cambria"/>
          <w:sz w:val="20"/>
          <w:szCs w:val="20"/>
        </w:rPr>
        <w:t xml:space="preserve">were analyzed and </w:t>
      </w:r>
      <w:r w:rsidR="00C206E2" w:rsidRPr="0034190F">
        <w:rPr>
          <w:rFonts w:ascii="Cambria" w:hAnsi="Cambria"/>
          <w:sz w:val="20"/>
          <w:szCs w:val="20"/>
        </w:rPr>
        <w:t xml:space="preserve">decided upon by means of a jury </w:t>
      </w:r>
      <w:r w:rsidRPr="0034190F">
        <w:rPr>
          <w:rFonts w:ascii="Cambria" w:hAnsi="Cambria"/>
          <w:sz w:val="20"/>
          <w:szCs w:val="20"/>
        </w:rPr>
        <w:t xml:space="preserve">verdict. It claimed that Patricio Fernando Roche Azaña’s statement could not be taken before the legal procedural deadline due to his critical </w:t>
      </w:r>
      <w:r w:rsidR="009A43D3" w:rsidRPr="0034190F">
        <w:rPr>
          <w:rFonts w:ascii="Cambria" w:hAnsi="Cambria"/>
          <w:sz w:val="20"/>
          <w:szCs w:val="20"/>
        </w:rPr>
        <w:t>medical condition</w:t>
      </w:r>
      <w:r w:rsidRPr="0034190F">
        <w:rPr>
          <w:rFonts w:ascii="Cambria" w:hAnsi="Cambria"/>
          <w:sz w:val="20"/>
          <w:szCs w:val="20"/>
        </w:rPr>
        <w:t xml:space="preserve">, and that he was not notified of the judgment because he was not a private </w:t>
      </w:r>
      <w:r w:rsidR="00C206E2" w:rsidRPr="0034190F">
        <w:rPr>
          <w:rFonts w:ascii="Cambria" w:hAnsi="Cambria"/>
          <w:sz w:val="20"/>
          <w:szCs w:val="20"/>
        </w:rPr>
        <w:t>complainant</w:t>
      </w:r>
      <w:r w:rsidRPr="0034190F">
        <w:rPr>
          <w:rFonts w:ascii="Cambria" w:hAnsi="Cambria"/>
          <w:sz w:val="20"/>
          <w:szCs w:val="20"/>
        </w:rPr>
        <w:t xml:space="preserve"> in the case.</w:t>
      </w:r>
    </w:p>
    <w:p w:rsidR="006A04C3" w:rsidRPr="0034190F" w:rsidRDefault="006A04C3" w:rsidP="006A04C3">
      <w:pPr>
        <w:pStyle w:val="ListParagraph"/>
        <w:rPr>
          <w:color w:val="auto"/>
          <w:sz w:val="20"/>
          <w:szCs w:val="20"/>
        </w:rPr>
      </w:pPr>
    </w:p>
    <w:p w:rsidR="0043505F" w:rsidRPr="0034190F" w:rsidRDefault="001D0CD8"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Based on the determinations of fact and law, the Inter-American Commission concluded that the State is responsible for violating Articles 4.1 (right to life), 5.1 (right to humane treatment), 8.1 (right to a fair trial), and 25.1 (right to judicial protection) of the American Convention on Human Rights (hereinafter </w:t>
      </w:r>
      <w:r w:rsidRPr="0034190F">
        <w:rPr>
          <w:rFonts w:ascii="Cambria" w:hAnsi="Cambria"/>
          <w:sz w:val="20"/>
          <w:szCs w:val="20"/>
        </w:rPr>
        <w:lastRenderedPageBreak/>
        <w:t>“the American Convention” or “the Convention”)</w:t>
      </w:r>
      <w:r w:rsidR="002940D6" w:rsidRPr="0034190F">
        <w:rPr>
          <w:rFonts w:ascii="Cambria" w:hAnsi="Cambria"/>
          <w:sz w:val="20"/>
          <w:szCs w:val="20"/>
        </w:rPr>
        <w:t xml:space="preserve">, in connection with </w:t>
      </w:r>
      <w:r w:rsidRPr="0034190F">
        <w:rPr>
          <w:rFonts w:ascii="Cambria" w:hAnsi="Cambria"/>
          <w:sz w:val="20"/>
          <w:szCs w:val="20"/>
        </w:rPr>
        <w:t xml:space="preserve">the obligations established in Article 1.1 </w:t>
      </w:r>
      <w:r w:rsidR="002940D6" w:rsidRPr="0034190F">
        <w:rPr>
          <w:rFonts w:ascii="Cambria" w:hAnsi="Cambria"/>
          <w:sz w:val="20"/>
          <w:szCs w:val="20"/>
        </w:rPr>
        <w:t>thereof</w:t>
      </w:r>
      <w:r w:rsidRPr="0034190F">
        <w:rPr>
          <w:rFonts w:ascii="Cambria" w:hAnsi="Cambria"/>
          <w:sz w:val="20"/>
          <w:szCs w:val="20"/>
        </w:rPr>
        <w:t xml:space="preserve">. The Commission made the </w:t>
      </w:r>
      <w:r w:rsidR="00D46A5E" w:rsidRPr="0034190F">
        <w:rPr>
          <w:rFonts w:ascii="Cambria" w:hAnsi="Cambria"/>
          <w:sz w:val="20"/>
          <w:szCs w:val="20"/>
        </w:rPr>
        <w:t>corresponding</w:t>
      </w:r>
      <w:r w:rsidRPr="0034190F">
        <w:rPr>
          <w:rFonts w:ascii="Cambria" w:hAnsi="Cambria"/>
          <w:sz w:val="20"/>
          <w:szCs w:val="20"/>
        </w:rPr>
        <w:t xml:space="preserve"> recommendations.</w:t>
      </w:r>
    </w:p>
    <w:p w:rsidR="0043505F" w:rsidRPr="0034190F" w:rsidRDefault="0043505F" w:rsidP="0043505F">
      <w:pPr>
        <w:pStyle w:val="ListParagraph"/>
        <w:rPr>
          <w:color w:val="auto"/>
          <w:sz w:val="20"/>
          <w:szCs w:val="20"/>
        </w:rPr>
      </w:pPr>
    </w:p>
    <w:p w:rsidR="0043505F" w:rsidRPr="0034190F" w:rsidRDefault="0043505F" w:rsidP="0043505F">
      <w:pPr>
        <w:pStyle w:val="ListParagraph"/>
        <w:suppressAutoHyphens/>
        <w:ind w:left="1080"/>
        <w:rPr>
          <w:b/>
          <w:color w:val="auto"/>
          <w:sz w:val="20"/>
          <w:szCs w:val="20"/>
        </w:rPr>
      </w:pPr>
    </w:p>
    <w:p w:rsidR="0043505F" w:rsidRPr="0034190F" w:rsidRDefault="00457216" w:rsidP="0043505F">
      <w:pPr>
        <w:pStyle w:val="ListParagraph"/>
        <w:numPr>
          <w:ilvl w:val="0"/>
          <w:numId w:val="104"/>
        </w:numPr>
        <w:tabs>
          <w:tab w:val="left" w:pos="720"/>
        </w:tabs>
        <w:suppressAutoHyphens/>
        <w:ind w:left="1440"/>
        <w:rPr>
          <w:b/>
          <w:color w:val="auto"/>
          <w:sz w:val="20"/>
          <w:szCs w:val="20"/>
          <w:lang w:val="es-ES_tradnl"/>
        </w:rPr>
      </w:pPr>
      <w:r w:rsidRPr="0034190F">
        <w:rPr>
          <w:b/>
          <w:color w:val="auto"/>
          <w:sz w:val="20"/>
          <w:szCs w:val="20"/>
          <w:lang w:val="es-ES_tradnl"/>
        </w:rPr>
        <w:t>ARGUMENTS OF THE PARTIES</w:t>
      </w:r>
    </w:p>
    <w:p w:rsidR="0043505F" w:rsidRPr="0034190F" w:rsidRDefault="0043505F" w:rsidP="0043505F">
      <w:pPr>
        <w:pStyle w:val="NoSpacing"/>
        <w:spacing w:line="276" w:lineRule="auto"/>
        <w:rPr>
          <w:rFonts w:ascii="Cambria" w:hAnsi="Cambria"/>
          <w:sz w:val="20"/>
          <w:szCs w:val="20"/>
          <w:lang w:val="es-US"/>
        </w:rPr>
      </w:pPr>
    </w:p>
    <w:p w:rsidR="0043505F" w:rsidRPr="0034190F" w:rsidRDefault="00380B4A" w:rsidP="0043505F">
      <w:pPr>
        <w:pStyle w:val="ListParagraph"/>
        <w:numPr>
          <w:ilvl w:val="0"/>
          <w:numId w:val="105"/>
        </w:numPr>
        <w:suppressAutoHyphens/>
        <w:ind w:hanging="720"/>
        <w:rPr>
          <w:b/>
          <w:color w:val="auto"/>
          <w:sz w:val="20"/>
          <w:szCs w:val="20"/>
          <w:lang w:val="es-ES_tradnl"/>
        </w:rPr>
      </w:pPr>
      <w:r w:rsidRPr="0034190F">
        <w:rPr>
          <w:b/>
          <w:color w:val="auto"/>
          <w:sz w:val="20"/>
          <w:szCs w:val="20"/>
          <w:lang w:val="es-ES_tradnl"/>
        </w:rPr>
        <w:t>PETITION</w:t>
      </w:r>
      <w:r w:rsidR="001F4F6E" w:rsidRPr="0034190F">
        <w:rPr>
          <w:b/>
          <w:color w:val="auto"/>
          <w:sz w:val="20"/>
          <w:szCs w:val="20"/>
          <w:lang w:val="es-ES_tradnl"/>
        </w:rPr>
        <w:t>ER</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US"/>
        </w:rPr>
      </w:pPr>
    </w:p>
    <w:p w:rsidR="008277C1" w:rsidRPr="0034190F" w:rsidRDefault="008277C1"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The </w:t>
      </w:r>
      <w:r w:rsidR="00887C9F" w:rsidRPr="0034190F">
        <w:rPr>
          <w:rFonts w:ascii="Cambria" w:hAnsi="Cambria"/>
          <w:sz w:val="20"/>
          <w:szCs w:val="20"/>
        </w:rPr>
        <w:t>petition</w:t>
      </w:r>
      <w:r w:rsidR="001F4F6E" w:rsidRPr="0034190F">
        <w:rPr>
          <w:rFonts w:ascii="Cambria" w:hAnsi="Cambria"/>
          <w:sz w:val="20"/>
          <w:szCs w:val="20"/>
        </w:rPr>
        <w:t>er</w:t>
      </w:r>
      <w:r w:rsidR="00887C9F" w:rsidRPr="0034190F">
        <w:rPr>
          <w:rFonts w:ascii="Cambria" w:hAnsi="Cambria"/>
          <w:sz w:val="20"/>
          <w:szCs w:val="20"/>
        </w:rPr>
        <w:t xml:space="preserve"> </w:t>
      </w:r>
      <w:r w:rsidRPr="0034190F">
        <w:rPr>
          <w:rFonts w:ascii="Cambria" w:hAnsi="Cambria"/>
          <w:sz w:val="20"/>
          <w:szCs w:val="20"/>
        </w:rPr>
        <w:t>indicated that the Roche Azaña brothers left their place of origin in the province of Azuay, Ecuador, on April 8, 1996, with the intention of reaching the United States of America. The</w:t>
      </w:r>
      <w:r w:rsidR="001F4F6E" w:rsidRPr="0034190F">
        <w:rPr>
          <w:rFonts w:ascii="Cambria" w:hAnsi="Cambria"/>
          <w:sz w:val="20"/>
          <w:szCs w:val="20"/>
        </w:rPr>
        <w:t xml:space="preserve"> brothers</w:t>
      </w:r>
      <w:r w:rsidRPr="0034190F">
        <w:rPr>
          <w:rFonts w:ascii="Cambria" w:hAnsi="Cambria"/>
          <w:sz w:val="20"/>
          <w:szCs w:val="20"/>
        </w:rPr>
        <w:t xml:space="preserve"> </w:t>
      </w:r>
      <w:r w:rsidR="00887C9F" w:rsidRPr="0034190F">
        <w:rPr>
          <w:rFonts w:ascii="Cambria" w:hAnsi="Cambria"/>
          <w:sz w:val="20"/>
          <w:szCs w:val="20"/>
        </w:rPr>
        <w:t>reportedly</w:t>
      </w:r>
      <w:r w:rsidRPr="0034190F">
        <w:rPr>
          <w:rFonts w:ascii="Cambria" w:hAnsi="Cambria"/>
          <w:sz w:val="20"/>
          <w:szCs w:val="20"/>
        </w:rPr>
        <w:t xml:space="preserve"> headed for the city of Guayaquil, to then leave for Panama, and reached Nicaragua on April 14, 1996. The</w:t>
      </w:r>
      <w:r w:rsidR="00887C9F" w:rsidRPr="0034190F">
        <w:rPr>
          <w:rFonts w:ascii="Cambria" w:hAnsi="Cambria"/>
          <w:sz w:val="20"/>
          <w:szCs w:val="20"/>
        </w:rPr>
        <w:t xml:space="preserve"> petitioner</w:t>
      </w:r>
      <w:r w:rsidRPr="0034190F">
        <w:rPr>
          <w:rFonts w:ascii="Cambria" w:hAnsi="Cambria"/>
          <w:sz w:val="20"/>
          <w:szCs w:val="20"/>
        </w:rPr>
        <w:t xml:space="preserve"> indicated that in Managua, the person who was transporting them proceeded to put them together with approximately 30 migrants to be transported to the city of Chinandega, Nicaragua, where they loaded them into a van-type vehicle, completely enclosed, </w:t>
      </w:r>
      <w:r w:rsidR="00887C9F" w:rsidRPr="0034190F">
        <w:rPr>
          <w:rFonts w:ascii="Cambria" w:hAnsi="Cambria"/>
          <w:sz w:val="20"/>
          <w:szCs w:val="20"/>
        </w:rPr>
        <w:t>with the aim</w:t>
      </w:r>
      <w:r w:rsidRPr="0034190F">
        <w:rPr>
          <w:rFonts w:ascii="Cambria" w:hAnsi="Cambria"/>
          <w:sz w:val="20"/>
          <w:szCs w:val="20"/>
        </w:rPr>
        <w:t xml:space="preserve"> of taking them to Honduras. They stated that the van had space for only 12 people.</w:t>
      </w:r>
    </w:p>
    <w:p w:rsidR="008277C1" w:rsidRPr="0034190F" w:rsidRDefault="008277C1" w:rsidP="008277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43505F" w:rsidRPr="0034190F" w:rsidRDefault="008277C1"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The petition</w:t>
      </w:r>
      <w:r w:rsidR="001F4F6E" w:rsidRPr="0034190F">
        <w:rPr>
          <w:rFonts w:ascii="Cambria" w:hAnsi="Cambria"/>
          <w:sz w:val="20"/>
          <w:szCs w:val="20"/>
        </w:rPr>
        <w:t>er</w:t>
      </w:r>
      <w:r w:rsidRPr="0034190F">
        <w:rPr>
          <w:rFonts w:ascii="Cambria" w:hAnsi="Cambria"/>
          <w:sz w:val="20"/>
          <w:szCs w:val="20"/>
        </w:rPr>
        <w:t xml:space="preserve"> indicated that at 8 p.m.</w:t>
      </w:r>
      <w:r w:rsidR="00E80090" w:rsidRPr="0034190F">
        <w:rPr>
          <w:rFonts w:ascii="Cambria" w:hAnsi="Cambria"/>
          <w:sz w:val="20"/>
          <w:szCs w:val="20"/>
        </w:rPr>
        <w:t>—</w:t>
      </w:r>
      <w:r w:rsidR="00C34AF8" w:rsidRPr="0034190F">
        <w:rPr>
          <w:rFonts w:ascii="Cambria" w:hAnsi="Cambria"/>
          <w:sz w:val="20"/>
          <w:szCs w:val="20"/>
        </w:rPr>
        <w:t>suddenly</w:t>
      </w:r>
      <w:r w:rsidR="00E80090" w:rsidRPr="0034190F">
        <w:rPr>
          <w:rFonts w:ascii="Cambria" w:hAnsi="Cambria"/>
          <w:sz w:val="20"/>
          <w:szCs w:val="20"/>
        </w:rPr>
        <w:t xml:space="preserve">, </w:t>
      </w:r>
      <w:r w:rsidRPr="0034190F">
        <w:rPr>
          <w:rFonts w:ascii="Cambria" w:hAnsi="Cambria"/>
          <w:sz w:val="20"/>
          <w:szCs w:val="20"/>
        </w:rPr>
        <w:t xml:space="preserve">and </w:t>
      </w:r>
      <w:r w:rsidR="00E80090" w:rsidRPr="0034190F">
        <w:rPr>
          <w:rFonts w:ascii="Cambria" w:hAnsi="Cambria"/>
          <w:sz w:val="20"/>
          <w:szCs w:val="20"/>
        </w:rPr>
        <w:t>simply because</w:t>
      </w:r>
      <w:r w:rsidRPr="0034190F">
        <w:rPr>
          <w:rFonts w:ascii="Cambria" w:hAnsi="Cambria"/>
          <w:sz w:val="20"/>
          <w:szCs w:val="20"/>
        </w:rPr>
        <w:t xml:space="preserve"> they </w:t>
      </w:r>
      <w:r w:rsidR="00C34AF8" w:rsidRPr="0034190F">
        <w:rPr>
          <w:rFonts w:ascii="Cambria" w:hAnsi="Cambria"/>
          <w:sz w:val="20"/>
          <w:szCs w:val="20"/>
        </w:rPr>
        <w:t>believed</w:t>
      </w:r>
      <w:r w:rsidRPr="0034190F">
        <w:rPr>
          <w:rFonts w:ascii="Cambria" w:hAnsi="Cambria"/>
          <w:sz w:val="20"/>
          <w:szCs w:val="20"/>
        </w:rPr>
        <w:t xml:space="preserve"> </w:t>
      </w:r>
      <w:r w:rsidR="00E80090" w:rsidRPr="0034190F">
        <w:rPr>
          <w:rFonts w:ascii="Cambria" w:hAnsi="Cambria"/>
          <w:sz w:val="20"/>
          <w:szCs w:val="20"/>
        </w:rPr>
        <w:t xml:space="preserve">them to be </w:t>
      </w:r>
      <w:r w:rsidR="00C34AF8" w:rsidRPr="0034190F">
        <w:rPr>
          <w:rFonts w:ascii="Cambria" w:hAnsi="Cambria"/>
          <w:sz w:val="20"/>
          <w:szCs w:val="20"/>
        </w:rPr>
        <w:t>im</w:t>
      </w:r>
      <w:r w:rsidRPr="0034190F">
        <w:rPr>
          <w:rFonts w:ascii="Cambria" w:hAnsi="Cambria"/>
          <w:sz w:val="20"/>
          <w:szCs w:val="20"/>
        </w:rPr>
        <w:t>migrants or foreigners</w:t>
      </w:r>
      <w:r w:rsidR="00E80090" w:rsidRPr="0034190F">
        <w:rPr>
          <w:rFonts w:ascii="Cambria" w:hAnsi="Cambria"/>
          <w:sz w:val="20"/>
          <w:szCs w:val="20"/>
        </w:rPr>
        <w:t>—</w:t>
      </w:r>
      <w:r w:rsidR="00C34AF8" w:rsidRPr="0034190F">
        <w:rPr>
          <w:rFonts w:ascii="Cambria" w:hAnsi="Cambria"/>
          <w:sz w:val="20"/>
          <w:szCs w:val="20"/>
        </w:rPr>
        <w:t xml:space="preserve">members of the </w:t>
      </w:r>
      <w:r w:rsidR="00E80090" w:rsidRPr="0034190F">
        <w:rPr>
          <w:rFonts w:ascii="Cambria" w:hAnsi="Cambria"/>
          <w:sz w:val="20"/>
          <w:szCs w:val="20"/>
        </w:rPr>
        <w:t xml:space="preserve">Chinandega </w:t>
      </w:r>
      <w:r w:rsidR="00C34AF8" w:rsidRPr="0034190F">
        <w:rPr>
          <w:rFonts w:ascii="Cambria" w:hAnsi="Cambria"/>
          <w:sz w:val="20"/>
          <w:szCs w:val="20"/>
        </w:rPr>
        <w:t xml:space="preserve">Municipal Police </w:t>
      </w:r>
      <w:r w:rsidR="00E80090" w:rsidRPr="0034190F">
        <w:rPr>
          <w:rFonts w:ascii="Cambria" w:hAnsi="Cambria"/>
          <w:sz w:val="20"/>
          <w:szCs w:val="20"/>
        </w:rPr>
        <w:t>fired</w:t>
      </w:r>
      <w:r w:rsidR="008758E2" w:rsidRPr="0034190F">
        <w:rPr>
          <w:rFonts w:ascii="Cambria" w:hAnsi="Cambria"/>
          <w:sz w:val="20"/>
          <w:szCs w:val="20"/>
        </w:rPr>
        <w:t xml:space="preserve"> </w:t>
      </w:r>
      <w:r w:rsidR="00C34AF8" w:rsidRPr="0034190F">
        <w:rPr>
          <w:rFonts w:ascii="Cambria" w:hAnsi="Cambria"/>
          <w:sz w:val="20"/>
          <w:szCs w:val="20"/>
        </w:rPr>
        <w:t xml:space="preserve">without warning </w:t>
      </w:r>
      <w:r w:rsidRPr="0034190F">
        <w:rPr>
          <w:rFonts w:ascii="Cambria" w:hAnsi="Cambria"/>
          <w:sz w:val="20"/>
          <w:szCs w:val="20"/>
        </w:rPr>
        <w:t>at the vehicle in which the</w:t>
      </w:r>
      <w:r w:rsidR="001F4F6E" w:rsidRPr="0034190F">
        <w:rPr>
          <w:rFonts w:ascii="Cambria" w:hAnsi="Cambria"/>
          <w:sz w:val="20"/>
          <w:szCs w:val="20"/>
        </w:rPr>
        <w:t xml:space="preserve"> migrants</w:t>
      </w:r>
      <w:r w:rsidRPr="0034190F">
        <w:rPr>
          <w:rFonts w:ascii="Cambria" w:hAnsi="Cambria"/>
          <w:sz w:val="20"/>
          <w:szCs w:val="20"/>
        </w:rPr>
        <w:t xml:space="preserve"> were traveling. The</w:t>
      </w:r>
      <w:r w:rsidR="00E80090" w:rsidRPr="0034190F">
        <w:rPr>
          <w:rFonts w:ascii="Cambria" w:hAnsi="Cambria"/>
          <w:sz w:val="20"/>
          <w:szCs w:val="20"/>
        </w:rPr>
        <w:t xml:space="preserve"> petitioner</w:t>
      </w:r>
      <w:r w:rsidRPr="0034190F">
        <w:rPr>
          <w:rFonts w:ascii="Cambria" w:hAnsi="Cambria"/>
          <w:sz w:val="20"/>
          <w:szCs w:val="20"/>
        </w:rPr>
        <w:t xml:space="preserve"> maintained that they were unable to get out or do anything to defend themselves</w:t>
      </w:r>
      <w:r w:rsidR="00E80090" w:rsidRPr="0034190F">
        <w:rPr>
          <w:rFonts w:ascii="Cambria" w:hAnsi="Cambria"/>
          <w:sz w:val="20"/>
          <w:szCs w:val="20"/>
        </w:rPr>
        <w:t>,</w:t>
      </w:r>
      <w:r w:rsidRPr="0034190F">
        <w:rPr>
          <w:rFonts w:ascii="Cambria" w:hAnsi="Cambria"/>
          <w:sz w:val="20"/>
          <w:szCs w:val="20"/>
        </w:rPr>
        <w:t xml:space="preserve"> as they were </w:t>
      </w:r>
      <w:r w:rsidR="001F4F6E" w:rsidRPr="0034190F">
        <w:rPr>
          <w:rFonts w:ascii="Cambria" w:hAnsi="Cambria"/>
          <w:sz w:val="20"/>
          <w:szCs w:val="20"/>
        </w:rPr>
        <w:t>penned</w:t>
      </w:r>
      <w:r w:rsidR="00C34AF8" w:rsidRPr="0034190F">
        <w:rPr>
          <w:rFonts w:ascii="Cambria" w:hAnsi="Cambria"/>
          <w:sz w:val="20"/>
          <w:szCs w:val="20"/>
        </w:rPr>
        <w:t xml:space="preserve"> in</w:t>
      </w:r>
      <w:r w:rsidRPr="0034190F">
        <w:rPr>
          <w:rFonts w:ascii="Cambria" w:hAnsi="Cambria"/>
          <w:sz w:val="20"/>
          <w:szCs w:val="20"/>
        </w:rPr>
        <w:t xml:space="preserve"> and</w:t>
      </w:r>
      <w:r w:rsidR="00C34AF8" w:rsidRPr="0034190F">
        <w:rPr>
          <w:rFonts w:ascii="Cambria" w:hAnsi="Cambria"/>
          <w:sz w:val="20"/>
          <w:szCs w:val="20"/>
        </w:rPr>
        <w:t xml:space="preserve"> </w:t>
      </w:r>
      <w:r w:rsidRPr="0034190F">
        <w:rPr>
          <w:rFonts w:ascii="Cambria" w:hAnsi="Cambria"/>
          <w:sz w:val="20"/>
          <w:szCs w:val="20"/>
        </w:rPr>
        <w:t>unarmed. The</w:t>
      </w:r>
      <w:r w:rsidR="008758E2" w:rsidRPr="0034190F">
        <w:rPr>
          <w:rFonts w:ascii="Cambria" w:hAnsi="Cambria"/>
          <w:sz w:val="20"/>
          <w:szCs w:val="20"/>
        </w:rPr>
        <w:t xml:space="preserve"> petitioner</w:t>
      </w:r>
      <w:r w:rsidRPr="0034190F">
        <w:rPr>
          <w:rFonts w:ascii="Cambria" w:hAnsi="Cambria"/>
          <w:sz w:val="20"/>
          <w:szCs w:val="20"/>
        </w:rPr>
        <w:t xml:space="preserve"> added that</w:t>
      </w:r>
      <w:r w:rsidR="008758E2" w:rsidRPr="0034190F">
        <w:rPr>
          <w:rFonts w:ascii="Cambria" w:hAnsi="Cambria"/>
          <w:sz w:val="20"/>
          <w:szCs w:val="20"/>
        </w:rPr>
        <w:t xml:space="preserve"> </w:t>
      </w:r>
      <w:r w:rsidRPr="0034190F">
        <w:rPr>
          <w:rFonts w:ascii="Cambria" w:hAnsi="Cambria"/>
          <w:sz w:val="20"/>
          <w:szCs w:val="20"/>
        </w:rPr>
        <w:t xml:space="preserve">approximately five individuals were wounded </w:t>
      </w:r>
      <w:r w:rsidR="008758E2" w:rsidRPr="0034190F">
        <w:rPr>
          <w:rFonts w:ascii="Cambria" w:hAnsi="Cambria"/>
          <w:sz w:val="20"/>
          <w:szCs w:val="20"/>
        </w:rPr>
        <w:t xml:space="preserve">in the attack </w:t>
      </w:r>
      <w:r w:rsidRPr="0034190F">
        <w:rPr>
          <w:rFonts w:ascii="Cambria" w:hAnsi="Cambria"/>
          <w:sz w:val="20"/>
          <w:szCs w:val="20"/>
        </w:rPr>
        <w:t xml:space="preserve">and were abandoned in </w:t>
      </w:r>
      <w:r w:rsidR="00E80090" w:rsidRPr="0034190F">
        <w:rPr>
          <w:rFonts w:ascii="Cambria" w:hAnsi="Cambria"/>
          <w:sz w:val="20"/>
          <w:szCs w:val="20"/>
        </w:rPr>
        <w:t>a</w:t>
      </w:r>
      <w:r w:rsidRPr="0034190F">
        <w:rPr>
          <w:rFonts w:ascii="Cambria" w:hAnsi="Cambria"/>
          <w:sz w:val="20"/>
          <w:szCs w:val="20"/>
        </w:rPr>
        <w:t xml:space="preserve"> </w:t>
      </w:r>
      <w:r w:rsidR="008758E2" w:rsidRPr="0034190F">
        <w:rPr>
          <w:rFonts w:ascii="Cambria" w:hAnsi="Cambria"/>
          <w:sz w:val="20"/>
          <w:szCs w:val="20"/>
        </w:rPr>
        <w:t>deserted</w:t>
      </w:r>
      <w:r w:rsidRPr="0034190F">
        <w:rPr>
          <w:rFonts w:ascii="Cambria" w:hAnsi="Cambria"/>
          <w:sz w:val="20"/>
          <w:szCs w:val="20"/>
        </w:rPr>
        <w:t xml:space="preserve"> area. </w:t>
      </w:r>
      <w:r w:rsidR="008758E2" w:rsidRPr="0034190F">
        <w:rPr>
          <w:rFonts w:ascii="Cambria" w:hAnsi="Cambria"/>
          <w:sz w:val="20"/>
          <w:szCs w:val="20"/>
        </w:rPr>
        <w:t>O</w:t>
      </w:r>
      <w:r w:rsidRPr="0034190F">
        <w:rPr>
          <w:rFonts w:ascii="Cambria" w:hAnsi="Cambria"/>
          <w:sz w:val="20"/>
          <w:szCs w:val="20"/>
        </w:rPr>
        <w:t>ne of those individuals</w:t>
      </w:r>
      <w:r w:rsidR="008758E2" w:rsidRPr="0034190F">
        <w:rPr>
          <w:rFonts w:ascii="Cambria" w:hAnsi="Cambria"/>
          <w:sz w:val="20"/>
          <w:szCs w:val="20"/>
        </w:rPr>
        <w:t>, according to the petitioner,</w:t>
      </w:r>
      <w:r w:rsidRPr="0034190F">
        <w:rPr>
          <w:rFonts w:ascii="Cambria" w:hAnsi="Cambria"/>
          <w:sz w:val="20"/>
          <w:szCs w:val="20"/>
        </w:rPr>
        <w:t xml:space="preserve"> was Pedro Bacilio Roche Azaña, who had received a gunshot wound to the head and suffered in agony until midnight of that same day, when he died.</w:t>
      </w:r>
      <w:r w:rsidR="0043505F" w:rsidRPr="0034190F">
        <w:rPr>
          <w:rFonts w:ascii="Cambria" w:hAnsi="Cambria"/>
          <w:sz w:val="20"/>
          <w:szCs w:val="20"/>
        </w:rPr>
        <w:t xml:space="preserve"> </w:t>
      </w:r>
    </w:p>
    <w:p w:rsidR="0043505F" w:rsidRPr="0034190F" w:rsidRDefault="0043505F" w:rsidP="00166A95">
      <w:pPr>
        <w:rPr>
          <w:rFonts w:ascii="Cambria" w:hAnsi="Cambria"/>
          <w:sz w:val="20"/>
          <w:szCs w:val="20"/>
        </w:rPr>
      </w:pPr>
    </w:p>
    <w:p w:rsidR="00227A50" w:rsidRPr="0034190F" w:rsidRDefault="00227A50"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The petitioning party </w:t>
      </w:r>
      <w:r w:rsidR="00166A95" w:rsidRPr="0034190F">
        <w:rPr>
          <w:rFonts w:ascii="Cambria" w:hAnsi="Cambria"/>
          <w:sz w:val="20"/>
          <w:szCs w:val="20"/>
        </w:rPr>
        <w:t>recounted</w:t>
      </w:r>
      <w:r w:rsidRPr="0034190F">
        <w:rPr>
          <w:rFonts w:ascii="Cambria" w:hAnsi="Cambria"/>
          <w:sz w:val="20"/>
          <w:szCs w:val="20"/>
        </w:rPr>
        <w:t xml:space="preserve"> that Patricio Fernando Roche Azaña was </w:t>
      </w:r>
      <w:r w:rsidR="0017044E" w:rsidRPr="0034190F">
        <w:rPr>
          <w:rFonts w:ascii="Cambria" w:hAnsi="Cambria"/>
          <w:sz w:val="20"/>
          <w:szCs w:val="20"/>
        </w:rPr>
        <w:t>hit</w:t>
      </w:r>
      <w:r w:rsidRPr="0034190F">
        <w:rPr>
          <w:rFonts w:ascii="Cambria" w:hAnsi="Cambria"/>
          <w:sz w:val="20"/>
          <w:szCs w:val="20"/>
        </w:rPr>
        <w:t xml:space="preserve"> by </w:t>
      </w:r>
      <w:r w:rsidR="0017044E" w:rsidRPr="0034190F">
        <w:rPr>
          <w:rFonts w:ascii="Cambria" w:hAnsi="Cambria"/>
          <w:sz w:val="20"/>
          <w:szCs w:val="20"/>
        </w:rPr>
        <w:t>gunfire</w:t>
      </w:r>
      <w:r w:rsidRPr="0034190F">
        <w:rPr>
          <w:rFonts w:ascii="Cambria" w:hAnsi="Cambria"/>
          <w:sz w:val="20"/>
          <w:szCs w:val="20"/>
        </w:rPr>
        <w:t xml:space="preserve"> at </w:t>
      </w:r>
      <w:r w:rsidR="009D0BF6" w:rsidRPr="0034190F">
        <w:rPr>
          <w:rFonts w:ascii="Cambria" w:hAnsi="Cambria"/>
          <w:sz w:val="20"/>
          <w:szCs w:val="20"/>
        </w:rPr>
        <w:t>the</w:t>
      </w:r>
      <w:r w:rsidRPr="0034190F">
        <w:rPr>
          <w:rFonts w:ascii="Cambria" w:hAnsi="Cambria"/>
          <w:sz w:val="20"/>
          <w:szCs w:val="20"/>
        </w:rPr>
        <w:t xml:space="preserve"> height</w:t>
      </w:r>
      <w:r w:rsidR="009D0BF6" w:rsidRPr="0034190F">
        <w:rPr>
          <w:rFonts w:ascii="Cambria" w:hAnsi="Cambria"/>
          <w:sz w:val="20"/>
          <w:szCs w:val="20"/>
        </w:rPr>
        <w:t xml:space="preserve"> of his thoracic cavity</w:t>
      </w:r>
      <w:r w:rsidRPr="0034190F">
        <w:rPr>
          <w:rFonts w:ascii="Cambria" w:hAnsi="Cambria"/>
          <w:sz w:val="20"/>
          <w:szCs w:val="20"/>
        </w:rPr>
        <w:t xml:space="preserve">, which wounded him </w:t>
      </w:r>
      <w:r w:rsidR="0017044E" w:rsidRPr="0034190F">
        <w:rPr>
          <w:rFonts w:ascii="Cambria" w:hAnsi="Cambria"/>
          <w:sz w:val="20"/>
          <w:szCs w:val="20"/>
        </w:rPr>
        <w:t>severely</w:t>
      </w:r>
      <w:r w:rsidRPr="0034190F">
        <w:rPr>
          <w:rFonts w:ascii="Cambria" w:hAnsi="Cambria"/>
          <w:sz w:val="20"/>
          <w:szCs w:val="20"/>
        </w:rPr>
        <w:t xml:space="preserve">; however, an individual </w:t>
      </w:r>
      <w:r w:rsidR="0017044E" w:rsidRPr="0034190F">
        <w:rPr>
          <w:rFonts w:ascii="Cambria" w:hAnsi="Cambria"/>
          <w:sz w:val="20"/>
          <w:szCs w:val="20"/>
        </w:rPr>
        <w:t xml:space="preserve">helped him by binding </w:t>
      </w:r>
      <w:r w:rsidRPr="0034190F">
        <w:rPr>
          <w:rFonts w:ascii="Cambria" w:hAnsi="Cambria"/>
          <w:sz w:val="20"/>
          <w:szCs w:val="20"/>
        </w:rPr>
        <w:t xml:space="preserve">the wound tightly. The petitioner indicated that on the morning of the next day, locals from the area tried to help them, and they were taken to the hospital in Chinandega, where </w:t>
      </w:r>
      <w:r w:rsidR="00C34AF8" w:rsidRPr="0034190F">
        <w:rPr>
          <w:rFonts w:ascii="Cambria" w:hAnsi="Cambria"/>
          <w:sz w:val="20"/>
          <w:szCs w:val="20"/>
        </w:rPr>
        <w:t xml:space="preserve">Patricio Fernando Roche Azaña </w:t>
      </w:r>
      <w:r w:rsidRPr="0034190F">
        <w:rPr>
          <w:rFonts w:ascii="Cambria" w:hAnsi="Cambria"/>
          <w:sz w:val="20"/>
          <w:szCs w:val="20"/>
        </w:rPr>
        <w:t xml:space="preserve">remained unconscious and in a coma for approximately one month, far away from his family. The petitioner indicated that he remained in the hospital for a total of three months and after that began his return </w:t>
      </w:r>
      <w:r w:rsidR="009D0BF6" w:rsidRPr="0034190F">
        <w:rPr>
          <w:rFonts w:ascii="Cambria" w:hAnsi="Cambria"/>
          <w:sz w:val="20"/>
          <w:szCs w:val="20"/>
        </w:rPr>
        <w:t>trip</w:t>
      </w:r>
      <w:r w:rsidRPr="0034190F">
        <w:rPr>
          <w:rFonts w:ascii="Cambria" w:hAnsi="Cambria"/>
          <w:sz w:val="20"/>
          <w:szCs w:val="20"/>
        </w:rPr>
        <w:t xml:space="preserve"> to Ecuador.</w:t>
      </w:r>
    </w:p>
    <w:p w:rsidR="00227A50" w:rsidRPr="0034190F" w:rsidRDefault="00227A50" w:rsidP="00227A50">
      <w:pPr>
        <w:pStyle w:val="ListParagraph"/>
        <w:rPr>
          <w:color w:val="auto"/>
          <w:sz w:val="20"/>
          <w:szCs w:val="20"/>
        </w:rPr>
      </w:pPr>
    </w:p>
    <w:p w:rsidR="0043505F" w:rsidRPr="0034190F" w:rsidRDefault="00CE18DF"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The petitioner alleged that on April 23, 1996, </w:t>
      </w:r>
      <w:r w:rsidR="008A465D" w:rsidRPr="0034190F">
        <w:rPr>
          <w:rFonts w:ascii="Cambria" w:hAnsi="Cambria"/>
          <w:sz w:val="20"/>
          <w:szCs w:val="20"/>
        </w:rPr>
        <w:t>a criminal case was brought</w:t>
      </w:r>
      <w:r w:rsidRPr="0034190F">
        <w:rPr>
          <w:rFonts w:ascii="Cambria" w:hAnsi="Cambria"/>
          <w:sz w:val="20"/>
          <w:szCs w:val="20"/>
        </w:rPr>
        <w:t xml:space="preserve"> against seven members of the Nicaraguan police for the crimes of culpable homicide and </w:t>
      </w:r>
      <w:r w:rsidR="008A465D" w:rsidRPr="0034190F">
        <w:rPr>
          <w:rFonts w:ascii="Cambria" w:hAnsi="Cambria"/>
          <w:sz w:val="20"/>
          <w:szCs w:val="20"/>
        </w:rPr>
        <w:t>grievous</w:t>
      </w:r>
      <w:r w:rsidRPr="0034190F">
        <w:rPr>
          <w:rFonts w:ascii="Cambria" w:hAnsi="Cambria"/>
          <w:sz w:val="20"/>
          <w:szCs w:val="20"/>
        </w:rPr>
        <w:t xml:space="preserve"> bodily harm, but that the police were acquitted and were released via a </w:t>
      </w:r>
      <w:r w:rsidR="008A465D" w:rsidRPr="0034190F">
        <w:rPr>
          <w:rFonts w:ascii="Cambria" w:hAnsi="Cambria"/>
          <w:sz w:val="20"/>
          <w:szCs w:val="20"/>
        </w:rPr>
        <w:t>“Jury Council” ruling</w:t>
      </w:r>
      <w:r w:rsidRPr="0034190F">
        <w:rPr>
          <w:rFonts w:ascii="Cambria" w:hAnsi="Cambria"/>
          <w:sz w:val="20"/>
          <w:szCs w:val="20"/>
        </w:rPr>
        <w:t xml:space="preserve"> not subject to appeal. The petition</w:t>
      </w:r>
      <w:r w:rsidR="008A465D" w:rsidRPr="0034190F">
        <w:rPr>
          <w:rFonts w:ascii="Cambria" w:hAnsi="Cambria"/>
          <w:sz w:val="20"/>
          <w:szCs w:val="20"/>
        </w:rPr>
        <w:t>ing party</w:t>
      </w:r>
      <w:r w:rsidRPr="0034190F">
        <w:rPr>
          <w:rFonts w:ascii="Cambria" w:hAnsi="Cambria"/>
          <w:sz w:val="20"/>
          <w:szCs w:val="20"/>
        </w:rPr>
        <w:t xml:space="preserve"> indicated that no statement was taken from Patricio Roche Azaña during the criminal trial because of his </w:t>
      </w:r>
      <w:r w:rsidR="008A465D" w:rsidRPr="0034190F">
        <w:rPr>
          <w:rFonts w:ascii="Cambria" w:hAnsi="Cambria"/>
          <w:sz w:val="20"/>
          <w:szCs w:val="20"/>
        </w:rPr>
        <w:t>medical condition</w:t>
      </w:r>
      <w:r w:rsidRPr="0034190F">
        <w:rPr>
          <w:rFonts w:ascii="Cambria" w:hAnsi="Cambria"/>
          <w:sz w:val="20"/>
          <w:szCs w:val="20"/>
        </w:rPr>
        <w:t>, and that there was also no opportunity for him to give testimony once he had recovered. The petition</w:t>
      </w:r>
      <w:r w:rsidR="008A465D" w:rsidRPr="0034190F">
        <w:rPr>
          <w:rFonts w:ascii="Cambria" w:hAnsi="Cambria"/>
          <w:sz w:val="20"/>
          <w:szCs w:val="20"/>
        </w:rPr>
        <w:t>er said</w:t>
      </w:r>
      <w:r w:rsidRPr="0034190F">
        <w:rPr>
          <w:rFonts w:ascii="Cambria" w:hAnsi="Cambria"/>
          <w:sz w:val="20"/>
          <w:szCs w:val="20"/>
        </w:rPr>
        <w:t xml:space="preserve"> that he was not informed of his rights as a victim in the case, that he had no access to any participation in the </w:t>
      </w:r>
      <w:r w:rsidR="008A465D" w:rsidRPr="0034190F">
        <w:rPr>
          <w:rFonts w:ascii="Cambria" w:hAnsi="Cambria"/>
          <w:sz w:val="20"/>
          <w:szCs w:val="20"/>
        </w:rPr>
        <w:t>proceedings</w:t>
      </w:r>
      <w:r w:rsidRPr="0034190F">
        <w:rPr>
          <w:rFonts w:ascii="Cambria" w:hAnsi="Cambria"/>
          <w:sz w:val="20"/>
          <w:szCs w:val="20"/>
        </w:rPr>
        <w:t>, and that he was not directly notified by the State of any judicial decision, but learned of the Nicaraguan court’s decision in August 1998, when his mother informally received a copy of the judgment from the Ecuador</w:t>
      </w:r>
      <w:r w:rsidR="005B41BB" w:rsidRPr="0034190F">
        <w:rPr>
          <w:rFonts w:ascii="Cambria" w:hAnsi="Cambria"/>
          <w:sz w:val="20"/>
          <w:szCs w:val="20"/>
        </w:rPr>
        <w:t xml:space="preserve">ian </w:t>
      </w:r>
      <w:r w:rsidR="00F7253F" w:rsidRPr="0034190F">
        <w:rPr>
          <w:rFonts w:ascii="Cambria" w:hAnsi="Cambria"/>
          <w:sz w:val="20"/>
          <w:szCs w:val="20"/>
        </w:rPr>
        <w:t>F</w:t>
      </w:r>
      <w:r w:rsidR="005B41BB" w:rsidRPr="0034190F">
        <w:rPr>
          <w:rFonts w:ascii="Cambria" w:hAnsi="Cambria"/>
          <w:sz w:val="20"/>
          <w:szCs w:val="20"/>
        </w:rPr>
        <w:t xml:space="preserve">oreign </w:t>
      </w:r>
      <w:r w:rsidR="00F7253F" w:rsidRPr="0034190F">
        <w:rPr>
          <w:rFonts w:ascii="Cambria" w:hAnsi="Cambria"/>
          <w:sz w:val="20"/>
          <w:szCs w:val="20"/>
        </w:rPr>
        <w:t>M</w:t>
      </w:r>
      <w:r w:rsidR="005B41BB" w:rsidRPr="0034190F">
        <w:rPr>
          <w:rFonts w:ascii="Cambria" w:hAnsi="Cambria"/>
          <w:sz w:val="20"/>
          <w:szCs w:val="20"/>
        </w:rPr>
        <w:t>inistry</w:t>
      </w:r>
      <w:r w:rsidRPr="0034190F">
        <w:rPr>
          <w:rFonts w:ascii="Cambria" w:hAnsi="Cambria"/>
          <w:sz w:val="20"/>
          <w:szCs w:val="20"/>
        </w:rPr>
        <w:t xml:space="preserve">. </w:t>
      </w:r>
    </w:p>
    <w:p w:rsidR="00906C29" w:rsidRPr="0034190F" w:rsidRDefault="00906C29" w:rsidP="00166A95">
      <w:pPr>
        <w:rPr>
          <w:rFonts w:ascii="Cambria" w:hAnsi="Cambria"/>
          <w:sz w:val="20"/>
          <w:szCs w:val="20"/>
        </w:rPr>
      </w:pPr>
    </w:p>
    <w:p w:rsidR="00906C29" w:rsidRPr="0034190F" w:rsidRDefault="00906C29" w:rsidP="00906C2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The </w:t>
      </w:r>
      <w:r w:rsidR="00E05F07" w:rsidRPr="0034190F">
        <w:rPr>
          <w:rFonts w:ascii="Cambria" w:hAnsi="Cambria"/>
          <w:sz w:val="20"/>
          <w:szCs w:val="20"/>
        </w:rPr>
        <w:t>petitioner</w:t>
      </w:r>
      <w:r w:rsidRPr="0034190F">
        <w:rPr>
          <w:rFonts w:ascii="Cambria" w:hAnsi="Cambria"/>
          <w:sz w:val="20"/>
          <w:szCs w:val="20"/>
        </w:rPr>
        <w:t xml:space="preserve"> indicated that in Ecuador he began a series of medical treatments </w:t>
      </w:r>
      <w:r w:rsidR="00E05F07" w:rsidRPr="0034190F">
        <w:rPr>
          <w:rFonts w:ascii="Cambria" w:hAnsi="Cambria"/>
          <w:sz w:val="20"/>
          <w:szCs w:val="20"/>
        </w:rPr>
        <w:t>but that he has still not</w:t>
      </w:r>
      <w:r w:rsidRPr="0034190F">
        <w:rPr>
          <w:rFonts w:ascii="Cambria" w:hAnsi="Cambria"/>
          <w:sz w:val="20"/>
          <w:szCs w:val="20"/>
        </w:rPr>
        <w:t xml:space="preserve"> achieve</w:t>
      </w:r>
      <w:r w:rsidR="00E05F07" w:rsidRPr="0034190F">
        <w:rPr>
          <w:rFonts w:ascii="Cambria" w:hAnsi="Cambria"/>
          <w:sz w:val="20"/>
          <w:szCs w:val="20"/>
        </w:rPr>
        <w:t>d recovery</w:t>
      </w:r>
      <w:r w:rsidRPr="0034190F">
        <w:rPr>
          <w:rFonts w:ascii="Cambria" w:hAnsi="Cambria"/>
          <w:sz w:val="20"/>
          <w:szCs w:val="20"/>
        </w:rPr>
        <w:t xml:space="preserve"> to this day, since after “almost seven” surgical interventions he has been left with permanent injuries that have </w:t>
      </w:r>
      <w:r w:rsidR="00967A0A" w:rsidRPr="0034190F">
        <w:rPr>
          <w:rFonts w:ascii="Cambria" w:hAnsi="Cambria"/>
          <w:sz w:val="20"/>
          <w:szCs w:val="20"/>
        </w:rPr>
        <w:t>rendered</w:t>
      </w:r>
      <w:r w:rsidRPr="0034190F">
        <w:rPr>
          <w:rFonts w:ascii="Cambria" w:hAnsi="Cambria"/>
          <w:sz w:val="20"/>
          <w:szCs w:val="20"/>
        </w:rPr>
        <w:t xml:space="preserve"> him </w:t>
      </w:r>
      <w:r w:rsidR="007E78C5" w:rsidRPr="0034190F">
        <w:rPr>
          <w:rFonts w:ascii="Cambria" w:hAnsi="Cambria"/>
          <w:sz w:val="20"/>
          <w:szCs w:val="20"/>
        </w:rPr>
        <w:t xml:space="preserve">unable to </w:t>
      </w:r>
      <w:r w:rsidRPr="0034190F">
        <w:rPr>
          <w:rFonts w:ascii="Cambria" w:hAnsi="Cambria"/>
          <w:sz w:val="20"/>
          <w:szCs w:val="20"/>
        </w:rPr>
        <w:t xml:space="preserve">carry out activities </w:t>
      </w:r>
      <w:r w:rsidR="007E78C5" w:rsidRPr="0034190F">
        <w:rPr>
          <w:rFonts w:ascii="Cambria" w:hAnsi="Cambria"/>
          <w:sz w:val="20"/>
          <w:szCs w:val="20"/>
        </w:rPr>
        <w:t>and</w:t>
      </w:r>
      <w:r w:rsidRPr="0034190F">
        <w:rPr>
          <w:rFonts w:ascii="Cambria" w:hAnsi="Cambria"/>
          <w:sz w:val="20"/>
          <w:szCs w:val="20"/>
        </w:rPr>
        <w:t xml:space="preserve"> live a normal and </w:t>
      </w:r>
      <w:r w:rsidR="007E78C5" w:rsidRPr="0034190F">
        <w:rPr>
          <w:rFonts w:ascii="Cambria" w:hAnsi="Cambria"/>
          <w:sz w:val="20"/>
          <w:szCs w:val="20"/>
        </w:rPr>
        <w:t>well</w:t>
      </w:r>
      <w:r w:rsidRPr="0034190F">
        <w:rPr>
          <w:rFonts w:ascii="Cambria" w:hAnsi="Cambria"/>
          <w:sz w:val="20"/>
          <w:szCs w:val="20"/>
        </w:rPr>
        <w:t xml:space="preserve"> life. The petitioner indicated that the treatment and </w:t>
      </w:r>
      <w:r w:rsidR="007E78C5" w:rsidRPr="0034190F">
        <w:rPr>
          <w:rFonts w:ascii="Cambria" w:hAnsi="Cambria"/>
          <w:sz w:val="20"/>
          <w:szCs w:val="20"/>
        </w:rPr>
        <w:t xml:space="preserve">the </w:t>
      </w:r>
      <w:r w:rsidRPr="0034190F">
        <w:rPr>
          <w:rFonts w:ascii="Cambria" w:hAnsi="Cambria"/>
          <w:sz w:val="20"/>
          <w:szCs w:val="20"/>
        </w:rPr>
        <w:t>expenses to recover the body of his deceased brother had left hi</w:t>
      </w:r>
      <w:r w:rsidR="00CB6829" w:rsidRPr="0034190F">
        <w:rPr>
          <w:rFonts w:ascii="Cambria" w:hAnsi="Cambria"/>
          <w:sz w:val="20"/>
          <w:szCs w:val="20"/>
        </w:rPr>
        <w:t>s</w:t>
      </w:r>
      <w:r w:rsidRPr="0034190F">
        <w:rPr>
          <w:rFonts w:ascii="Cambria" w:hAnsi="Cambria"/>
          <w:sz w:val="20"/>
          <w:szCs w:val="20"/>
        </w:rPr>
        <w:t xml:space="preserve"> family in “</w:t>
      </w:r>
      <w:r w:rsidR="007E78C5" w:rsidRPr="0034190F">
        <w:rPr>
          <w:rFonts w:ascii="Cambria" w:hAnsi="Cambria"/>
          <w:sz w:val="20"/>
          <w:szCs w:val="20"/>
        </w:rPr>
        <w:t>abject poverty</w:t>
      </w:r>
      <w:r w:rsidRPr="0034190F">
        <w:rPr>
          <w:rFonts w:ascii="Cambria" w:hAnsi="Cambria"/>
          <w:sz w:val="20"/>
          <w:szCs w:val="20"/>
        </w:rPr>
        <w:t>.”</w:t>
      </w:r>
    </w:p>
    <w:p w:rsidR="0043505F" w:rsidRPr="0034190F" w:rsidRDefault="0043505F" w:rsidP="00CB68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43505F" w:rsidRPr="0034190F" w:rsidRDefault="00CB6829" w:rsidP="0043505F">
      <w:pPr>
        <w:pStyle w:val="ListParagraph"/>
        <w:numPr>
          <w:ilvl w:val="0"/>
          <w:numId w:val="105"/>
        </w:numPr>
        <w:suppressAutoHyphens/>
        <w:ind w:hanging="720"/>
        <w:rPr>
          <w:b/>
          <w:color w:val="auto"/>
          <w:sz w:val="20"/>
          <w:szCs w:val="20"/>
          <w:lang w:val="es-ES_tradnl"/>
        </w:rPr>
      </w:pPr>
      <w:r w:rsidRPr="0034190F">
        <w:rPr>
          <w:b/>
          <w:color w:val="auto"/>
          <w:sz w:val="20"/>
          <w:szCs w:val="20"/>
          <w:lang w:val="es-ES_tradnl"/>
        </w:rPr>
        <w:t>STATE</w:t>
      </w:r>
      <w:r w:rsidR="0043505F" w:rsidRPr="0034190F">
        <w:rPr>
          <w:b/>
          <w:color w:val="auto"/>
          <w:sz w:val="20"/>
          <w:szCs w:val="20"/>
          <w:lang w:val="es-ES_tradnl"/>
        </w:rPr>
        <w:t xml:space="preserve"> </w:t>
      </w:r>
    </w:p>
    <w:p w:rsidR="0043505F" w:rsidRPr="0034190F" w:rsidRDefault="0043505F" w:rsidP="0043505F">
      <w:pPr>
        <w:suppressAutoHyphens/>
        <w:rPr>
          <w:rFonts w:ascii="Cambria" w:hAnsi="Cambria"/>
          <w:sz w:val="20"/>
          <w:szCs w:val="20"/>
          <w:lang w:val="es-ES_tradnl"/>
        </w:rPr>
      </w:pPr>
    </w:p>
    <w:p w:rsidR="0043505F" w:rsidRPr="0034190F" w:rsidRDefault="00CB6829" w:rsidP="00CB682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The State indicated that on April 14, 1996, approximately 30 Peruvian, Ecuadorian, and Colombian </w:t>
      </w:r>
      <w:r w:rsidR="00967A0A" w:rsidRPr="0034190F">
        <w:rPr>
          <w:rFonts w:ascii="Cambria" w:hAnsi="Cambria"/>
          <w:sz w:val="20"/>
          <w:szCs w:val="20"/>
        </w:rPr>
        <w:t>nationals</w:t>
      </w:r>
      <w:r w:rsidRPr="0034190F">
        <w:rPr>
          <w:rFonts w:ascii="Cambria" w:hAnsi="Cambria"/>
          <w:sz w:val="20"/>
          <w:szCs w:val="20"/>
        </w:rPr>
        <w:t xml:space="preserve"> entered Nicaraguan territory “illegally” via the border with Costa Rica, in transit to the United States. It </w:t>
      </w:r>
      <w:r w:rsidR="007E78C5" w:rsidRPr="0034190F">
        <w:rPr>
          <w:rFonts w:ascii="Cambria" w:hAnsi="Cambria"/>
          <w:sz w:val="20"/>
          <w:szCs w:val="20"/>
        </w:rPr>
        <w:t>said</w:t>
      </w:r>
      <w:r w:rsidRPr="0034190F">
        <w:rPr>
          <w:rFonts w:ascii="Cambria" w:hAnsi="Cambria"/>
          <w:sz w:val="20"/>
          <w:szCs w:val="20"/>
        </w:rPr>
        <w:t xml:space="preserve"> that </w:t>
      </w:r>
      <w:r w:rsidR="00967A0A" w:rsidRPr="0034190F">
        <w:rPr>
          <w:rFonts w:ascii="Cambria" w:hAnsi="Cambria"/>
          <w:sz w:val="20"/>
          <w:szCs w:val="20"/>
        </w:rPr>
        <w:t xml:space="preserve">on </w:t>
      </w:r>
      <w:r w:rsidRPr="0034190F">
        <w:rPr>
          <w:rFonts w:ascii="Cambria" w:hAnsi="Cambria"/>
          <w:sz w:val="20"/>
          <w:szCs w:val="20"/>
        </w:rPr>
        <w:t xml:space="preserve">that day they boarded a bus that had </w:t>
      </w:r>
      <w:r w:rsidR="007E78C5" w:rsidRPr="0034190F">
        <w:rPr>
          <w:rFonts w:ascii="Cambria" w:hAnsi="Cambria"/>
          <w:sz w:val="20"/>
          <w:szCs w:val="20"/>
        </w:rPr>
        <w:t>tinted</w:t>
      </w:r>
      <w:r w:rsidRPr="0034190F">
        <w:rPr>
          <w:rFonts w:ascii="Cambria" w:hAnsi="Cambria"/>
          <w:sz w:val="20"/>
          <w:szCs w:val="20"/>
        </w:rPr>
        <w:t xml:space="preserve"> windows to </w:t>
      </w:r>
      <w:r w:rsidR="00967A0A" w:rsidRPr="0034190F">
        <w:rPr>
          <w:rFonts w:ascii="Cambria" w:hAnsi="Cambria"/>
          <w:sz w:val="20"/>
          <w:szCs w:val="20"/>
        </w:rPr>
        <w:t>conceal</w:t>
      </w:r>
      <w:r w:rsidRPr="0034190F">
        <w:rPr>
          <w:rFonts w:ascii="Cambria" w:hAnsi="Cambria"/>
          <w:sz w:val="20"/>
          <w:szCs w:val="20"/>
        </w:rPr>
        <w:t xml:space="preserve"> the number of passengers inside. According to the State’s account, </w:t>
      </w:r>
      <w:r w:rsidR="007E78C5" w:rsidRPr="0034190F">
        <w:rPr>
          <w:rFonts w:ascii="Cambria" w:hAnsi="Cambria"/>
          <w:sz w:val="20"/>
          <w:szCs w:val="20"/>
        </w:rPr>
        <w:t xml:space="preserve">on the highway </w:t>
      </w:r>
      <w:r w:rsidRPr="0034190F">
        <w:rPr>
          <w:rFonts w:ascii="Cambria" w:hAnsi="Cambria"/>
          <w:sz w:val="20"/>
          <w:szCs w:val="20"/>
        </w:rPr>
        <w:t xml:space="preserve">the bus came upon a checkpoint </w:t>
      </w:r>
      <w:r w:rsidR="007E78C5" w:rsidRPr="0034190F">
        <w:rPr>
          <w:rFonts w:ascii="Cambria" w:hAnsi="Cambria"/>
          <w:sz w:val="20"/>
          <w:szCs w:val="20"/>
        </w:rPr>
        <w:t>where</w:t>
      </w:r>
      <w:r w:rsidRPr="0034190F">
        <w:rPr>
          <w:rFonts w:ascii="Cambria" w:hAnsi="Cambria"/>
          <w:sz w:val="20"/>
          <w:szCs w:val="20"/>
        </w:rPr>
        <w:t xml:space="preserve"> </w:t>
      </w:r>
      <w:r w:rsidRPr="0034190F">
        <w:rPr>
          <w:rFonts w:ascii="Cambria" w:hAnsi="Cambria"/>
          <w:sz w:val="20"/>
          <w:szCs w:val="20"/>
        </w:rPr>
        <w:lastRenderedPageBreak/>
        <w:t xml:space="preserve">police </w:t>
      </w:r>
      <w:r w:rsidR="007E78C5" w:rsidRPr="0034190F">
        <w:rPr>
          <w:rFonts w:ascii="Cambria" w:hAnsi="Cambria"/>
          <w:sz w:val="20"/>
          <w:szCs w:val="20"/>
        </w:rPr>
        <w:t xml:space="preserve">officers </w:t>
      </w:r>
      <w:r w:rsidRPr="0034190F">
        <w:rPr>
          <w:rFonts w:ascii="Cambria" w:hAnsi="Cambria"/>
          <w:sz w:val="20"/>
          <w:szCs w:val="20"/>
        </w:rPr>
        <w:t xml:space="preserve">were working that night to control and prevent contraband activity and other crimes that tend to occur in the area, and that the police signaled to the vehicle to stop but that the signals were ignored by the driver who had been hired by the migrants. </w:t>
      </w:r>
    </w:p>
    <w:p w:rsidR="0043505F" w:rsidRPr="0034190F" w:rsidRDefault="0043505F" w:rsidP="0043505F">
      <w:pPr>
        <w:rPr>
          <w:rFonts w:ascii="Cambria" w:hAnsi="Cambria"/>
          <w:sz w:val="20"/>
          <w:szCs w:val="20"/>
        </w:rPr>
      </w:pPr>
    </w:p>
    <w:p w:rsidR="00CB6829" w:rsidRPr="0034190F" w:rsidRDefault="00CB6829"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The State indicated that the driver deliberately failed to heed the </w:t>
      </w:r>
      <w:r w:rsidR="000E25AC" w:rsidRPr="0034190F">
        <w:rPr>
          <w:rFonts w:ascii="Cambria" w:hAnsi="Cambria"/>
          <w:sz w:val="20"/>
          <w:szCs w:val="20"/>
        </w:rPr>
        <w:t>signals</w:t>
      </w:r>
      <w:r w:rsidRPr="0034190F">
        <w:rPr>
          <w:rFonts w:ascii="Cambria" w:hAnsi="Cambria"/>
          <w:sz w:val="20"/>
          <w:szCs w:val="20"/>
        </w:rPr>
        <w:t xml:space="preserve"> to stop </w:t>
      </w:r>
      <w:r w:rsidR="000E25AC" w:rsidRPr="0034190F">
        <w:rPr>
          <w:rFonts w:ascii="Cambria" w:hAnsi="Cambria"/>
          <w:sz w:val="20"/>
          <w:szCs w:val="20"/>
        </w:rPr>
        <w:t xml:space="preserve">made by </w:t>
      </w:r>
      <w:r w:rsidRPr="0034190F">
        <w:rPr>
          <w:rFonts w:ascii="Cambria" w:hAnsi="Cambria"/>
          <w:sz w:val="20"/>
          <w:szCs w:val="20"/>
        </w:rPr>
        <w:t xml:space="preserve">the police </w:t>
      </w:r>
      <w:r w:rsidR="000E25AC" w:rsidRPr="0034190F">
        <w:rPr>
          <w:rFonts w:ascii="Cambria" w:hAnsi="Cambria"/>
          <w:sz w:val="20"/>
          <w:szCs w:val="20"/>
        </w:rPr>
        <w:t xml:space="preserve">at the </w:t>
      </w:r>
      <w:r w:rsidRPr="0034190F">
        <w:rPr>
          <w:rFonts w:ascii="Cambria" w:hAnsi="Cambria"/>
          <w:sz w:val="20"/>
          <w:szCs w:val="20"/>
        </w:rPr>
        <w:t>checkpoint and that instead he sped up the vehicle and “</w:t>
      </w:r>
      <w:r w:rsidR="000E25AC" w:rsidRPr="0034190F">
        <w:rPr>
          <w:rFonts w:ascii="Cambria" w:hAnsi="Cambria"/>
          <w:sz w:val="20"/>
          <w:szCs w:val="20"/>
        </w:rPr>
        <w:t>willfully</w:t>
      </w:r>
      <w:r w:rsidRPr="0034190F">
        <w:rPr>
          <w:rFonts w:ascii="Cambria" w:hAnsi="Cambria"/>
          <w:sz w:val="20"/>
          <w:szCs w:val="20"/>
        </w:rPr>
        <w:t xml:space="preserve">” fled the scene at full speed, and that consequently “the police authorities were forced to fire on the vehicle in order to halt its escape.” The State added that even with the gunshots, the driver continued on until he reached </w:t>
      </w:r>
      <w:r w:rsidR="003E342B" w:rsidRPr="0034190F">
        <w:rPr>
          <w:rFonts w:ascii="Cambria" w:hAnsi="Cambria"/>
          <w:sz w:val="20"/>
          <w:szCs w:val="20"/>
        </w:rPr>
        <w:t xml:space="preserve">a </w:t>
      </w:r>
      <w:r w:rsidR="00B74D38" w:rsidRPr="0034190F">
        <w:rPr>
          <w:rFonts w:ascii="Cambria" w:hAnsi="Cambria"/>
          <w:sz w:val="20"/>
          <w:szCs w:val="20"/>
        </w:rPr>
        <w:t>deserted</w:t>
      </w:r>
      <w:r w:rsidRPr="0034190F">
        <w:rPr>
          <w:rFonts w:ascii="Cambria" w:hAnsi="Cambria"/>
          <w:sz w:val="20"/>
          <w:szCs w:val="20"/>
        </w:rPr>
        <w:t xml:space="preserve"> area where he </w:t>
      </w:r>
      <w:r w:rsidR="00B74D38" w:rsidRPr="0034190F">
        <w:rPr>
          <w:rFonts w:ascii="Cambria" w:hAnsi="Cambria"/>
          <w:sz w:val="20"/>
          <w:szCs w:val="20"/>
        </w:rPr>
        <w:t>came to a stop</w:t>
      </w:r>
      <w:r w:rsidRPr="0034190F">
        <w:rPr>
          <w:rFonts w:ascii="Cambria" w:hAnsi="Cambria"/>
          <w:sz w:val="20"/>
          <w:szCs w:val="20"/>
        </w:rPr>
        <w:t xml:space="preserve"> and then fled</w:t>
      </w:r>
      <w:r w:rsidR="00B74D38" w:rsidRPr="0034190F">
        <w:rPr>
          <w:rFonts w:ascii="Cambria" w:hAnsi="Cambria"/>
          <w:sz w:val="20"/>
          <w:szCs w:val="20"/>
        </w:rPr>
        <w:t xml:space="preserve"> again</w:t>
      </w:r>
      <w:r w:rsidRPr="0034190F">
        <w:rPr>
          <w:rFonts w:ascii="Cambria" w:hAnsi="Cambria"/>
          <w:sz w:val="20"/>
          <w:szCs w:val="20"/>
        </w:rPr>
        <w:t>, abandoning the migrants</w:t>
      </w:r>
      <w:r w:rsidR="00B74D38" w:rsidRPr="0034190F">
        <w:rPr>
          <w:rFonts w:ascii="Cambria" w:hAnsi="Cambria"/>
          <w:sz w:val="20"/>
          <w:szCs w:val="20"/>
        </w:rPr>
        <w:t xml:space="preserve"> there</w:t>
      </w:r>
      <w:r w:rsidRPr="0034190F">
        <w:rPr>
          <w:rFonts w:ascii="Cambria" w:hAnsi="Cambria"/>
          <w:sz w:val="20"/>
          <w:szCs w:val="20"/>
        </w:rPr>
        <w:t xml:space="preserve">. The State alleged that Patricio Roche Azaña and four other persons were </w:t>
      </w:r>
      <w:r w:rsidR="00B74D38" w:rsidRPr="0034190F">
        <w:rPr>
          <w:rFonts w:ascii="Cambria" w:hAnsi="Cambria"/>
          <w:sz w:val="20"/>
          <w:szCs w:val="20"/>
        </w:rPr>
        <w:t>wounded</w:t>
      </w:r>
      <w:r w:rsidRPr="0034190F">
        <w:rPr>
          <w:rFonts w:ascii="Cambria" w:hAnsi="Cambria"/>
          <w:sz w:val="20"/>
          <w:szCs w:val="20"/>
        </w:rPr>
        <w:t xml:space="preserve"> and that Pedro Bacilio Roche Azaña lost his life, primarily because of the driver’s attitude. It also indicated that it was the National Police, upon being </w:t>
      </w:r>
      <w:r w:rsidR="00B74D38" w:rsidRPr="0034190F">
        <w:rPr>
          <w:rFonts w:ascii="Cambria" w:hAnsi="Cambria"/>
          <w:sz w:val="20"/>
          <w:szCs w:val="20"/>
        </w:rPr>
        <w:t>alerted</w:t>
      </w:r>
      <w:r w:rsidRPr="0034190F">
        <w:rPr>
          <w:rFonts w:ascii="Cambria" w:hAnsi="Cambria"/>
          <w:sz w:val="20"/>
          <w:szCs w:val="20"/>
        </w:rPr>
        <w:t xml:space="preserve"> by area residents, that subsequently </w:t>
      </w:r>
      <w:r w:rsidR="00B74D38" w:rsidRPr="0034190F">
        <w:rPr>
          <w:rFonts w:ascii="Cambria" w:hAnsi="Cambria"/>
          <w:sz w:val="20"/>
          <w:szCs w:val="20"/>
        </w:rPr>
        <w:t>helped the migrants</w:t>
      </w:r>
      <w:r w:rsidRPr="0034190F">
        <w:rPr>
          <w:rFonts w:ascii="Cambria" w:hAnsi="Cambria"/>
          <w:sz w:val="20"/>
          <w:szCs w:val="20"/>
        </w:rPr>
        <w:t xml:space="preserve"> and </w:t>
      </w:r>
      <w:r w:rsidR="00967A0A" w:rsidRPr="0034190F">
        <w:rPr>
          <w:rFonts w:ascii="Cambria" w:hAnsi="Cambria"/>
          <w:sz w:val="20"/>
          <w:szCs w:val="20"/>
        </w:rPr>
        <w:t xml:space="preserve">humanely </w:t>
      </w:r>
      <w:r w:rsidRPr="0034190F">
        <w:rPr>
          <w:rFonts w:ascii="Cambria" w:hAnsi="Cambria"/>
          <w:sz w:val="20"/>
          <w:szCs w:val="20"/>
        </w:rPr>
        <w:t>took them to the hospital in Chinandega.</w:t>
      </w:r>
    </w:p>
    <w:p w:rsidR="00CB6829" w:rsidRPr="0034190F" w:rsidRDefault="00CB6829" w:rsidP="00CB6829">
      <w:pPr>
        <w:pStyle w:val="ListParagraph"/>
        <w:rPr>
          <w:color w:val="auto"/>
          <w:sz w:val="20"/>
          <w:szCs w:val="20"/>
        </w:rPr>
      </w:pPr>
    </w:p>
    <w:p w:rsidR="0043505F" w:rsidRPr="0034190F" w:rsidRDefault="006D43F4"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The State mentioned that, </w:t>
      </w:r>
      <w:r w:rsidR="005A7915" w:rsidRPr="0034190F">
        <w:rPr>
          <w:rFonts w:ascii="Cambria" w:hAnsi="Cambria"/>
          <w:sz w:val="20"/>
          <w:szCs w:val="20"/>
        </w:rPr>
        <w:t xml:space="preserve">from an </w:t>
      </w:r>
      <w:r w:rsidRPr="0034190F">
        <w:rPr>
          <w:rFonts w:ascii="Cambria" w:hAnsi="Cambria"/>
          <w:sz w:val="20"/>
          <w:szCs w:val="20"/>
        </w:rPr>
        <w:t>objective</w:t>
      </w:r>
      <w:r w:rsidR="005A7915" w:rsidRPr="0034190F">
        <w:rPr>
          <w:rFonts w:ascii="Cambria" w:hAnsi="Cambria"/>
          <w:sz w:val="20"/>
          <w:szCs w:val="20"/>
        </w:rPr>
        <w:t xml:space="preserve"> standpoint</w:t>
      </w:r>
      <w:r w:rsidRPr="0034190F">
        <w:rPr>
          <w:rFonts w:ascii="Cambria" w:hAnsi="Cambria"/>
          <w:sz w:val="20"/>
          <w:szCs w:val="20"/>
        </w:rPr>
        <w:t xml:space="preserve">, the National Police </w:t>
      </w:r>
      <w:r w:rsidR="005A7915" w:rsidRPr="0034190F">
        <w:rPr>
          <w:rFonts w:ascii="Cambria" w:hAnsi="Cambria"/>
          <w:sz w:val="20"/>
          <w:szCs w:val="20"/>
        </w:rPr>
        <w:t xml:space="preserve">officers </w:t>
      </w:r>
      <w:r w:rsidRPr="0034190F">
        <w:rPr>
          <w:rFonts w:ascii="Cambria" w:hAnsi="Cambria"/>
          <w:sz w:val="20"/>
          <w:szCs w:val="20"/>
        </w:rPr>
        <w:t xml:space="preserve">could not know </w:t>
      </w:r>
      <w:r w:rsidR="005A7915" w:rsidRPr="0034190F">
        <w:rPr>
          <w:rFonts w:ascii="Cambria" w:hAnsi="Cambria"/>
          <w:sz w:val="20"/>
          <w:szCs w:val="20"/>
        </w:rPr>
        <w:t>beforehand</w:t>
      </w:r>
      <w:r w:rsidRPr="0034190F">
        <w:rPr>
          <w:rFonts w:ascii="Cambria" w:hAnsi="Cambria"/>
          <w:sz w:val="20"/>
          <w:szCs w:val="20"/>
        </w:rPr>
        <w:t xml:space="preserve"> that the</w:t>
      </w:r>
      <w:r w:rsidR="005A7915" w:rsidRPr="0034190F">
        <w:rPr>
          <w:rFonts w:ascii="Cambria" w:hAnsi="Cambria"/>
          <w:sz w:val="20"/>
          <w:szCs w:val="20"/>
        </w:rPr>
        <w:t>r</w:t>
      </w:r>
      <w:r w:rsidRPr="0034190F">
        <w:rPr>
          <w:rFonts w:ascii="Cambria" w:hAnsi="Cambria"/>
          <w:sz w:val="20"/>
          <w:szCs w:val="20"/>
        </w:rPr>
        <w:t xml:space="preserve">e were individuals hiding inside the vehicle, nor that these were migrants, as they were traveling at night, hidden in a completely enclosed microbus and in an unlighted area. </w:t>
      </w:r>
    </w:p>
    <w:p w:rsidR="0043505F" w:rsidRPr="0034190F" w:rsidRDefault="0043505F" w:rsidP="00783A78">
      <w:pPr>
        <w:rPr>
          <w:rFonts w:ascii="Cambria" w:hAnsi="Cambria"/>
          <w:sz w:val="20"/>
          <w:szCs w:val="20"/>
        </w:rPr>
      </w:pPr>
    </w:p>
    <w:p w:rsidR="006D43F4" w:rsidRPr="0034190F" w:rsidRDefault="006D43F4"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The State maintained that procedural guarantees were </w:t>
      </w:r>
      <w:r w:rsidR="00783A78" w:rsidRPr="0034190F">
        <w:rPr>
          <w:rFonts w:ascii="Cambria" w:hAnsi="Cambria"/>
          <w:sz w:val="20"/>
          <w:szCs w:val="20"/>
        </w:rPr>
        <w:t>respected</w:t>
      </w:r>
      <w:r w:rsidRPr="0034190F">
        <w:rPr>
          <w:rFonts w:ascii="Cambria" w:hAnsi="Cambria"/>
          <w:sz w:val="20"/>
          <w:szCs w:val="20"/>
        </w:rPr>
        <w:t xml:space="preserve"> at all times in the context of the case brought as a result of </w:t>
      </w:r>
      <w:r w:rsidR="00DD20BE" w:rsidRPr="0034190F">
        <w:rPr>
          <w:rFonts w:ascii="Cambria" w:hAnsi="Cambria"/>
          <w:sz w:val="20"/>
          <w:szCs w:val="20"/>
        </w:rPr>
        <w:t>the</w:t>
      </w:r>
      <w:r w:rsidRPr="0034190F">
        <w:rPr>
          <w:rFonts w:ascii="Cambria" w:hAnsi="Cambria"/>
          <w:sz w:val="20"/>
          <w:szCs w:val="20"/>
        </w:rPr>
        <w:t xml:space="preserve"> events</w:t>
      </w:r>
      <w:r w:rsidR="00DD20BE" w:rsidRPr="0034190F">
        <w:rPr>
          <w:rFonts w:ascii="Cambria" w:hAnsi="Cambria"/>
          <w:sz w:val="20"/>
          <w:szCs w:val="20"/>
        </w:rPr>
        <w:t xml:space="preserve"> </w:t>
      </w:r>
      <w:r w:rsidR="00783A78" w:rsidRPr="0034190F">
        <w:rPr>
          <w:rFonts w:ascii="Cambria" w:hAnsi="Cambria"/>
          <w:sz w:val="20"/>
          <w:szCs w:val="20"/>
        </w:rPr>
        <w:t>in question</w:t>
      </w:r>
      <w:r w:rsidRPr="0034190F">
        <w:rPr>
          <w:rFonts w:ascii="Cambria" w:hAnsi="Cambria"/>
          <w:sz w:val="20"/>
          <w:szCs w:val="20"/>
        </w:rPr>
        <w:t xml:space="preserve">. It indicated that the Attorney General’s Office determined the responsibility of five police officers and that the citizen who was transporting the migrants and who had fled the scene had been identified. The State indicated that the events </w:t>
      </w:r>
      <w:r w:rsidR="00783A78" w:rsidRPr="0034190F">
        <w:rPr>
          <w:rFonts w:ascii="Cambria" w:hAnsi="Cambria"/>
          <w:sz w:val="20"/>
          <w:szCs w:val="20"/>
        </w:rPr>
        <w:t xml:space="preserve">in question </w:t>
      </w:r>
      <w:r w:rsidRPr="0034190F">
        <w:rPr>
          <w:rFonts w:ascii="Cambria" w:hAnsi="Cambria"/>
          <w:sz w:val="20"/>
          <w:szCs w:val="20"/>
        </w:rPr>
        <w:t xml:space="preserve">were </w:t>
      </w:r>
      <w:r w:rsidR="00DD20BE" w:rsidRPr="0034190F">
        <w:rPr>
          <w:rFonts w:ascii="Cambria" w:hAnsi="Cambria"/>
          <w:sz w:val="20"/>
          <w:szCs w:val="20"/>
        </w:rPr>
        <w:t xml:space="preserve">the object of an unappealable </w:t>
      </w:r>
      <w:r w:rsidRPr="0034190F">
        <w:rPr>
          <w:rFonts w:ascii="Cambria" w:hAnsi="Cambria"/>
          <w:sz w:val="20"/>
          <w:szCs w:val="20"/>
        </w:rPr>
        <w:t xml:space="preserve">verdict of the Jury </w:t>
      </w:r>
      <w:r w:rsidR="00DD20BE" w:rsidRPr="0034190F">
        <w:rPr>
          <w:rFonts w:ascii="Cambria" w:hAnsi="Cambria"/>
          <w:sz w:val="20"/>
          <w:szCs w:val="20"/>
        </w:rPr>
        <w:t>Court</w:t>
      </w:r>
      <w:r w:rsidRPr="0034190F">
        <w:rPr>
          <w:rFonts w:ascii="Cambria" w:hAnsi="Cambria"/>
          <w:sz w:val="20"/>
          <w:szCs w:val="20"/>
        </w:rPr>
        <w:t xml:space="preserve">, which decided to acquit and release those purportedly responsible. It reiterated that there was no violation of the principle of equality before the law, given that the rights of the alleged victims were protected specifically through the public </w:t>
      </w:r>
      <w:r w:rsidR="00DD20BE" w:rsidRPr="0034190F">
        <w:rPr>
          <w:rFonts w:ascii="Cambria" w:hAnsi="Cambria"/>
          <w:sz w:val="20"/>
          <w:szCs w:val="20"/>
        </w:rPr>
        <w:t>prosecutor’s representation of them in</w:t>
      </w:r>
      <w:r w:rsidRPr="0034190F">
        <w:rPr>
          <w:rFonts w:ascii="Cambria" w:hAnsi="Cambria"/>
          <w:sz w:val="20"/>
          <w:szCs w:val="20"/>
        </w:rPr>
        <w:t xml:space="preserve"> in the proce</w:t>
      </w:r>
      <w:r w:rsidR="00DD20BE" w:rsidRPr="0034190F">
        <w:rPr>
          <w:rFonts w:ascii="Cambria" w:hAnsi="Cambria"/>
          <w:sz w:val="20"/>
          <w:szCs w:val="20"/>
        </w:rPr>
        <w:t>edings</w:t>
      </w:r>
      <w:r w:rsidRPr="0034190F">
        <w:rPr>
          <w:rFonts w:ascii="Cambria" w:hAnsi="Cambria"/>
          <w:sz w:val="20"/>
          <w:szCs w:val="20"/>
        </w:rPr>
        <w:t xml:space="preserve">, and that </w:t>
      </w:r>
      <w:r w:rsidR="00DD20BE" w:rsidRPr="0034190F">
        <w:rPr>
          <w:rFonts w:ascii="Cambria" w:hAnsi="Cambria"/>
          <w:sz w:val="20"/>
          <w:szCs w:val="20"/>
        </w:rPr>
        <w:t>most of</w:t>
      </w:r>
      <w:r w:rsidRPr="0034190F">
        <w:rPr>
          <w:rFonts w:ascii="Cambria" w:hAnsi="Cambria"/>
          <w:sz w:val="20"/>
          <w:szCs w:val="20"/>
        </w:rPr>
        <w:t xml:space="preserve"> the victims in the </w:t>
      </w:r>
      <w:r w:rsidR="00DD20BE" w:rsidRPr="0034190F">
        <w:rPr>
          <w:rFonts w:ascii="Cambria" w:hAnsi="Cambria"/>
          <w:sz w:val="20"/>
          <w:szCs w:val="20"/>
        </w:rPr>
        <w:t xml:space="preserve">case </w:t>
      </w:r>
      <w:r w:rsidR="00783A78" w:rsidRPr="0034190F">
        <w:rPr>
          <w:rFonts w:ascii="Cambria" w:hAnsi="Cambria"/>
          <w:sz w:val="20"/>
          <w:szCs w:val="20"/>
        </w:rPr>
        <w:t xml:space="preserve">did </w:t>
      </w:r>
      <w:r w:rsidR="00DD20BE" w:rsidRPr="0034190F">
        <w:rPr>
          <w:rFonts w:ascii="Cambria" w:hAnsi="Cambria"/>
          <w:sz w:val="20"/>
          <w:szCs w:val="20"/>
        </w:rPr>
        <w:t>participate directly</w:t>
      </w:r>
      <w:r w:rsidRPr="0034190F">
        <w:rPr>
          <w:rFonts w:ascii="Cambria" w:hAnsi="Cambria"/>
          <w:sz w:val="20"/>
          <w:szCs w:val="20"/>
        </w:rPr>
        <w:t>.</w:t>
      </w:r>
    </w:p>
    <w:p w:rsidR="00DD20BE" w:rsidRPr="0034190F" w:rsidRDefault="00DD20BE" w:rsidP="00DD20B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43505F" w:rsidRPr="0034190F" w:rsidRDefault="00DD20BE" w:rsidP="00DD20BE">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 The State </w:t>
      </w:r>
      <w:r w:rsidR="00B53941" w:rsidRPr="0034190F">
        <w:rPr>
          <w:rFonts w:ascii="Cambria" w:hAnsi="Cambria"/>
          <w:sz w:val="20"/>
          <w:szCs w:val="20"/>
        </w:rPr>
        <w:t>held</w:t>
      </w:r>
      <w:r w:rsidRPr="0034190F">
        <w:rPr>
          <w:rFonts w:ascii="Cambria" w:hAnsi="Cambria"/>
          <w:sz w:val="20"/>
          <w:szCs w:val="20"/>
        </w:rPr>
        <w:t xml:space="preserve"> that </w:t>
      </w:r>
      <w:r w:rsidR="00282605" w:rsidRPr="0034190F">
        <w:rPr>
          <w:rFonts w:ascii="Cambria" w:hAnsi="Cambria"/>
          <w:sz w:val="20"/>
          <w:szCs w:val="20"/>
        </w:rPr>
        <w:t xml:space="preserve">on April 30, 1996, </w:t>
      </w:r>
      <w:r w:rsidR="00FD32AD" w:rsidRPr="0034190F">
        <w:rPr>
          <w:rFonts w:ascii="Cambria" w:hAnsi="Cambria"/>
          <w:sz w:val="20"/>
          <w:szCs w:val="20"/>
        </w:rPr>
        <w:t xml:space="preserve">during the legally mandated 10-day period, </w:t>
      </w:r>
      <w:r w:rsidRPr="0034190F">
        <w:rPr>
          <w:rFonts w:ascii="Cambria" w:hAnsi="Cambria"/>
          <w:sz w:val="20"/>
          <w:szCs w:val="20"/>
        </w:rPr>
        <w:t xml:space="preserve">the First District Criminal Judge </w:t>
      </w:r>
      <w:r w:rsidR="00F6189E" w:rsidRPr="0034190F">
        <w:rPr>
          <w:rFonts w:ascii="Cambria" w:hAnsi="Cambria"/>
          <w:sz w:val="20"/>
          <w:szCs w:val="20"/>
        </w:rPr>
        <w:t>of</w:t>
      </w:r>
      <w:r w:rsidRPr="0034190F">
        <w:rPr>
          <w:rFonts w:ascii="Cambria" w:hAnsi="Cambria"/>
          <w:sz w:val="20"/>
          <w:szCs w:val="20"/>
        </w:rPr>
        <w:t xml:space="preserve"> Chinandega </w:t>
      </w:r>
      <w:r w:rsidR="00282605" w:rsidRPr="0034190F">
        <w:rPr>
          <w:rFonts w:ascii="Cambria" w:hAnsi="Cambria"/>
          <w:sz w:val="20"/>
          <w:szCs w:val="20"/>
        </w:rPr>
        <w:t>went to</w:t>
      </w:r>
      <w:r w:rsidRPr="0034190F">
        <w:rPr>
          <w:rFonts w:ascii="Cambria" w:hAnsi="Cambria"/>
          <w:sz w:val="20"/>
          <w:szCs w:val="20"/>
        </w:rPr>
        <w:t xml:space="preserve"> the </w:t>
      </w:r>
      <w:r w:rsidR="00FD32AD" w:rsidRPr="0034190F">
        <w:rPr>
          <w:rFonts w:ascii="Cambria" w:hAnsi="Cambria"/>
          <w:sz w:val="20"/>
          <w:szCs w:val="20"/>
        </w:rPr>
        <w:t xml:space="preserve">facility </w:t>
      </w:r>
      <w:r w:rsidRPr="0034190F">
        <w:rPr>
          <w:rFonts w:ascii="Cambria" w:hAnsi="Cambria"/>
          <w:sz w:val="20"/>
          <w:szCs w:val="20"/>
        </w:rPr>
        <w:t xml:space="preserve">where Mr. Roche Azaña was </w:t>
      </w:r>
      <w:r w:rsidR="00FD32AD" w:rsidRPr="0034190F">
        <w:rPr>
          <w:rFonts w:ascii="Cambria" w:hAnsi="Cambria"/>
          <w:sz w:val="20"/>
          <w:szCs w:val="20"/>
        </w:rPr>
        <w:t>hospitalized</w:t>
      </w:r>
      <w:r w:rsidRPr="0034190F">
        <w:rPr>
          <w:rFonts w:ascii="Cambria" w:hAnsi="Cambria"/>
          <w:sz w:val="20"/>
          <w:szCs w:val="20"/>
        </w:rPr>
        <w:t xml:space="preserve">, for the purpose of taking his statement and </w:t>
      </w:r>
      <w:r w:rsidR="00FD32AD" w:rsidRPr="0034190F">
        <w:rPr>
          <w:rFonts w:ascii="Cambria" w:hAnsi="Cambria"/>
          <w:sz w:val="20"/>
          <w:szCs w:val="20"/>
        </w:rPr>
        <w:t>informing him of</w:t>
      </w:r>
      <w:r w:rsidRPr="0034190F">
        <w:rPr>
          <w:rFonts w:ascii="Cambria" w:hAnsi="Cambria"/>
          <w:sz w:val="20"/>
          <w:szCs w:val="20"/>
        </w:rPr>
        <w:t xml:space="preserve"> his rights </w:t>
      </w:r>
      <w:r w:rsidR="00FD32AD" w:rsidRPr="0034190F">
        <w:rPr>
          <w:rFonts w:ascii="Cambria" w:hAnsi="Cambria"/>
          <w:sz w:val="20"/>
          <w:szCs w:val="20"/>
        </w:rPr>
        <w:t xml:space="preserve">and the fact that he was being represented </w:t>
      </w:r>
      <w:r w:rsidRPr="0034190F">
        <w:rPr>
          <w:rFonts w:ascii="Cambria" w:hAnsi="Cambria"/>
          <w:sz w:val="20"/>
          <w:szCs w:val="20"/>
        </w:rPr>
        <w:t xml:space="preserve">by the </w:t>
      </w:r>
      <w:r w:rsidR="00FD32AD" w:rsidRPr="0034190F">
        <w:rPr>
          <w:rFonts w:ascii="Cambria" w:hAnsi="Cambria"/>
          <w:sz w:val="20"/>
          <w:szCs w:val="20"/>
        </w:rPr>
        <w:t xml:space="preserve">Attorney General’s </w:t>
      </w:r>
      <w:r w:rsidRPr="0034190F">
        <w:rPr>
          <w:rFonts w:ascii="Cambria" w:hAnsi="Cambria"/>
          <w:sz w:val="20"/>
          <w:szCs w:val="20"/>
        </w:rPr>
        <w:t xml:space="preserve">Office. Nevertheless, </w:t>
      </w:r>
      <w:r w:rsidR="00FD32AD" w:rsidRPr="0034190F">
        <w:rPr>
          <w:rFonts w:ascii="Cambria" w:hAnsi="Cambria"/>
          <w:sz w:val="20"/>
          <w:szCs w:val="20"/>
        </w:rPr>
        <w:t xml:space="preserve">the State indicated, </w:t>
      </w:r>
      <w:r w:rsidRPr="0034190F">
        <w:rPr>
          <w:rFonts w:ascii="Cambria" w:hAnsi="Cambria"/>
          <w:sz w:val="20"/>
          <w:szCs w:val="20"/>
        </w:rPr>
        <w:t xml:space="preserve">because of </w:t>
      </w:r>
      <w:r w:rsidR="00967A0A" w:rsidRPr="0034190F">
        <w:rPr>
          <w:rFonts w:ascii="Cambria" w:hAnsi="Cambria"/>
          <w:sz w:val="20"/>
          <w:szCs w:val="20"/>
        </w:rPr>
        <w:t xml:space="preserve">Mr. Roche Azaña’s </w:t>
      </w:r>
      <w:r w:rsidRPr="0034190F">
        <w:rPr>
          <w:rFonts w:ascii="Cambria" w:hAnsi="Cambria"/>
          <w:sz w:val="20"/>
          <w:szCs w:val="20"/>
        </w:rPr>
        <w:t xml:space="preserve">critical </w:t>
      </w:r>
      <w:r w:rsidR="00FD32AD" w:rsidRPr="0034190F">
        <w:rPr>
          <w:rFonts w:ascii="Cambria" w:hAnsi="Cambria"/>
          <w:sz w:val="20"/>
          <w:szCs w:val="20"/>
        </w:rPr>
        <w:t>medical condition</w:t>
      </w:r>
      <w:r w:rsidRPr="0034190F">
        <w:rPr>
          <w:rFonts w:ascii="Cambria" w:hAnsi="Cambria"/>
          <w:sz w:val="20"/>
          <w:szCs w:val="20"/>
        </w:rPr>
        <w:t xml:space="preserve">, the judge was unable to take his statement before the deadline. </w:t>
      </w:r>
      <w:r w:rsidR="00FD32AD" w:rsidRPr="0034190F">
        <w:rPr>
          <w:rFonts w:ascii="Cambria" w:hAnsi="Cambria"/>
          <w:sz w:val="20"/>
          <w:szCs w:val="20"/>
        </w:rPr>
        <w:t>The State</w:t>
      </w:r>
      <w:r w:rsidRPr="0034190F">
        <w:rPr>
          <w:rFonts w:ascii="Cambria" w:hAnsi="Cambria"/>
          <w:sz w:val="20"/>
          <w:szCs w:val="20"/>
        </w:rPr>
        <w:t xml:space="preserve"> maintained that neither </w:t>
      </w:r>
      <w:r w:rsidR="00FD32AD" w:rsidRPr="0034190F">
        <w:rPr>
          <w:rFonts w:ascii="Cambria" w:hAnsi="Cambria"/>
          <w:sz w:val="20"/>
          <w:szCs w:val="20"/>
        </w:rPr>
        <w:t xml:space="preserve">Mr. </w:t>
      </w:r>
      <w:r w:rsidRPr="0034190F">
        <w:rPr>
          <w:rFonts w:ascii="Cambria" w:hAnsi="Cambria"/>
          <w:sz w:val="20"/>
          <w:szCs w:val="20"/>
        </w:rPr>
        <w:t xml:space="preserve">Patricio Fernando Roche Azaña nor his mother, either </w:t>
      </w:r>
      <w:r w:rsidR="00FD32AD" w:rsidRPr="0034190F">
        <w:rPr>
          <w:rFonts w:ascii="Cambria" w:hAnsi="Cambria"/>
          <w:sz w:val="20"/>
          <w:szCs w:val="20"/>
        </w:rPr>
        <w:t>acting on their own behalf</w:t>
      </w:r>
      <w:r w:rsidRPr="0034190F">
        <w:rPr>
          <w:rFonts w:ascii="Cambria" w:hAnsi="Cambria"/>
          <w:sz w:val="20"/>
          <w:szCs w:val="20"/>
        </w:rPr>
        <w:t xml:space="preserve"> or through representatives or </w:t>
      </w:r>
      <w:r w:rsidR="000C66F9" w:rsidRPr="0034190F">
        <w:rPr>
          <w:rFonts w:ascii="Cambria" w:hAnsi="Cambria"/>
          <w:sz w:val="20"/>
          <w:szCs w:val="20"/>
        </w:rPr>
        <w:t xml:space="preserve">through </w:t>
      </w:r>
      <w:r w:rsidRPr="0034190F">
        <w:rPr>
          <w:rFonts w:ascii="Cambria" w:hAnsi="Cambria"/>
          <w:sz w:val="20"/>
          <w:szCs w:val="20"/>
        </w:rPr>
        <w:t xml:space="preserve">the consular service of the </w:t>
      </w:r>
      <w:r w:rsidR="00FD32AD" w:rsidRPr="0034190F">
        <w:rPr>
          <w:rFonts w:ascii="Cambria" w:hAnsi="Cambria"/>
          <w:sz w:val="20"/>
          <w:szCs w:val="20"/>
        </w:rPr>
        <w:t>E</w:t>
      </w:r>
      <w:r w:rsidRPr="0034190F">
        <w:rPr>
          <w:rFonts w:ascii="Cambria" w:hAnsi="Cambria"/>
          <w:sz w:val="20"/>
          <w:szCs w:val="20"/>
        </w:rPr>
        <w:t>mbassy of Ecuador</w:t>
      </w:r>
      <w:r w:rsidR="00FD32AD" w:rsidRPr="0034190F">
        <w:rPr>
          <w:rFonts w:ascii="Cambria" w:hAnsi="Cambria"/>
          <w:sz w:val="20"/>
          <w:szCs w:val="20"/>
        </w:rPr>
        <w:t xml:space="preserve">, </w:t>
      </w:r>
      <w:r w:rsidR="000C66F9" w:rsidRPr="0034190F">
        <w:rPr>
          <w:rFonts w:ascii="Cambria" w:hAnsi="Cambria"/>
          <w:sz w:val="20"/>
          <w:szCs w:val="20"/>
        </w:rPr>
        <w:t>came forward as a “private accuser” in the trial—i</w:t>
      </w:r>
      <w:r w:rsidR="00FD32AD" w:rsidRPr="0034190F">
        <w:rPr>
          <w:rFonts w:ascii="Cambria" w:hAnsi="Cambria"/>
          <w:sz w:val="20"/>
          <w:szCs w:val="20"/>
        </w:rPr>
        <w:t xml:space="preserve">n spite of the broad </w:t>
      </w:r>
      <w:r w:rsidRPr="0034190F">
        <w:rPr>
          <w:rFonts w:ascii="Cambria" w:hAnsi="Cambria"/>
          <w:sz w:val="20"/>
          <w:szCs w:val="20"/>
        </w:rPr>
        <w:t>dissemination and public awareness of the events</w:t>
      </w:r>
      <w:r w:rsidR="000C66F9" w:rsidRPr="0034190F">
        <w:rPr>
          <w:rFonts w:ascii="Cambria" w:hAnsi="Cambria"/>
          <w:sz w:val="20"/>
          <w:szCs w:val="20"/>
        </w:rPr>
        <w:t xml:space="preserve"> in question—</w:t>
      </w:r>
      <w:r w:rsidRPr="0034190F">
        <w:rPr>
          <w:rFonts w:ascii="Cambria" w:hAnsi="Cambria"/>
          <w:sz w:val="20"/>
          <w:szCs w:val="20"/>
        </w:rPr>
        <w:t xml:space="preserve">and that therefore there was no obligation to notify them, under Nicaraguan </w:t>
      </w:r>
      <w:r w:rsidR="00490932" w:rsidRPr="0034190F">
        <w:rPr>
          <w:rFonts w:ascii="Cambria" w:hAnsi="Cambria"/>
          <w:sz w:val="20"/>
          <w:szCs w:val="20"/>
        </w:rPr>
        <w:t>legislation</w:t>
      </w:r>
      <w:r w:rsidRPr="0034190F">
        <w:rPr>
          <w:rFonts w:ascii="Cambria" w:hAnsi="Cambria"/>
          <w:sz w:val="20"/>
          <w:szCs w:val="20"/>
        </w:rPr>
        <w:t xml:space="preserve"> in </w:t>
      </w:r>
      <w:r w:rsidR="000C66F9" w:rsidRPr="0034190F">
        <w:rPr>
          <w:rFonts w:ascii="Cambria" w:hAnsi="Cambria"/>
          <w:sz w:val="20"/>
          <w:szCs w:val="20"/>
        </w:rPr>
        <w:t>force</w:t>
      </w:r>
      <w:r w:rsidRPr="0034190F">
        <w:rPr>
          <w:rFonts w:ascii="Cambria" w:hAnsi="Cambria"/>
          <w:sz w:val="20"/>
          <w:szCs w:val="20"/>
        </w:rPr>
        <w:t xml:space="preserve"> at th</w:t>
      </w:r>
      <w:r w:rsidR="00490932" w:rsidRPr="0034190F">
        <w:rPr>
          <w:rFonts w:ascii="Cambria" w:hAnsi="Cambria"/>
          <w:sz w:val="20"/>
          <w:szCs w:val="20"/>
        </w:rPr>
        <w:t>at</w:t>
      </w:r>
      <w:r w:rsidRPr="0034190F">
        <w:rPr>
          <w:rFonts w:ascii="Cambria" w:hAnsi="Cambria"/>
          <w:sz w:val="20"/>
          <w:szCs w:val="20"/>
        </w:rPr>
        <w:t xml:space="preserve"> time. </w:t>
      </w:r>
      <w:r w:rsidR="00490932" w:rsidRPr="0034190F">
        <w:rPr>
          <w:rFonts w:ascii="Cambria" w:hAnsi="Cambria"/>
          <w:sz w:val="20"/>
          <w:szCs w:val="20"/>
        </w:rPr>
        <w:t>According to the</w:t>
      </w:r>
      <w:r w:rsidRPr="0034190F">
        <w:rPr>
          <w:rFonts w:ascii="Cambria" w:hAnsi="Cambria"/>
          <w:sz w:val="20"/>
          <w:szCs w:val="20"/>
        </w:rPr>
        <w:t xml:space="preserve"> State</w:t>
      </w:r>
      <w:r w:rsidR="00490932" w:rsidRPr="0034190F">
        <w:rPr>
          <w:rFonts w:ascii="Cambria" w:hAnsi="Cambria"/>
          <w:sz w:val="20"/>
          <w:szCs w:val="20"/>
        </w:rPr>
        <w:t xml:space="preserve">, that </w:t>
      </w:r>
      <w:r w:rsidRPr="0034190F">
        <w:rPr>
          <w:rFonts w:ascii="Cambria" w:hAnsi="Cambria"/>
          <w:sz w:val="20"/>
          <w:szCs w:val="20"/>
        </w:rPr>
        <w:t xml:space="preserve">legislation </w:t>
      </w:r>
      <w:r w:rsidR="00490932" w:rsidRPr="0034190F">
        <w:rPr>
          <w:rFonts w:ascii="Cambria" w:hAnsi="Cambria"/>
          <w:sz w:val="20"/>
          <w:szCs w:val="20"/>
        </w:rPr>
        <w:t>defined the parties involved in criminal proceedings as</w:t>
      </w:r>
      <w:r w:rsidRPr="0034190F">
        <w:rPr>
          <w:rFonts w:ascii="Cambria" w:hAnsi="Cambria"/>
          <w:sz w:val="20"/>
          <w:szCs w:val="20"/>
        </w:rPr>
        <w:t xml:space="preserve"> the judge, the </w:t>
      </w:r>
      <w:r w:rsidR="00490932" w:rsidRPr="0034190F">
        <w:rPr>
          <w:rFonts w:ascii="Cambria" w:hAnsi="Cambria"/>
          <w:sz w:val="20"/>
          <w:szCs w:val="20"/>
        </w:rPr>
        <w:t>defendant</w:t>
      </w:r>
      <w:r w:rsidRPr="0034190F">
        <w:rPr>
          <w:rFonts w:ascii="Cambria" w:hAnsi="Cambria"/>
          <w:sz w:val="20"/>
          <w:szCs w:val="20"/>
        </w:rPr>
        <w:t>, the individu</w:t>
      </w:r>
      <w:r w:rsidR="00490932" w:rsidRPr="0034190F">
        <w:rPr>
          <w:rFonts w:ascii="Cambria" w:hAnsi="Cambria"/>
          <w:sz w:val="20"/>
          <w:szCs w:val="20"/>
        </w:rPr>
        <w:t xml:space="preserve">al </w:t>
      </w:r>
      <w:r w:rsidRPr="0034190F">
        <w:rPr>
          <w:rFonts w:ascii="Cambria" w:hAnsi="Cambria"/>
          <w:sz w:val="20"/>
          <w:szCs w:val="20"/>
        </w:rPr>
        <w:t xml:space="preserve">accuser </w:t>
      </w:r>
      <w:r w:rsidR="00490932" w:rsidRPr="0034190F">
        <w:rPr>
          <w:rFonts w:ascii="Cambria" w:hAnsi="Cambria"/>
          <w:sz w:val="20"/>
          <w:szCs w:val="20"/>
        </w:rPr>
        <w:t>and/</w:t>
      </w:r>
      <w:r w:rsidRPr="0034190F">
        <w:rPr>
          <w:rFonts w:ascii="Cambria" w:hAnsi="Cambria"/>
          <w:sz w:val="20"/>
          <w:szCs w:val="20"/>
        </w:rPr>
        <w:t xml:space="preserve">or the </w:t>
      </w:r>
      <w:r w:rsidR="00490932" w:rsidRPr="0034190F">
        <w:rPr>
          <w:rFonts w:ascii="Cambria" w:hAnsi="Cambria"/>
          <w:sz w:val="20"/>
          <w:szCs w:val="20"/>
        </w:rPr>
        <w:t>criminal</w:t>
      </w:r>
      <w:r w:rsidRPr="0034190F">
        <w:rPr>
          <w:rFonts w:ascii="Cambria" w:hAnsi="Cambria"/>
          <w:sz w:val="20"/>
          <w:szCs w:val="20"/>
        </w:rPr>
        <w:t xml:space="preserve"> prosecutor, </w:t>
      </w:r>
      <w:r w:rsidR="00490932" w:rsidRPr="0034190F">
        <w:rPr>
          <w:rFonts w:ascii="Cambria" w:hAnsi="Cambria"/>
          <w:sz w:val="20"/>
          <w:szCs w:val="20"/>
        </w:rPr>
        <w:t xml:space="preserve">with </w:t>
      </w:r>
      <w:r w:rsidRPr="0034190F">
        <w:rPr>
          <w:rFonts w:ascii="Cambria" w:hAnsi="Cambria"/>
          <w:sz w:val="20"/>
          <w:szCs w:val="20"/>
        </w:rPr>
        <w:t xml:space="preserve">the latter </w:t>
      </w:r>
      <w:r w:rsidR="00490932" w:rsidRPr="0034190F">
        <w:rPr>
          <w:rFonts w:ascii="Cambria" w:hAnsi="Cambria"/>
          <w:sz w:val="20"/>
          <w:szCs w:val="20"/>
        </w:rPr>
        <w:t xml:space="preserve">serving as the victim’s </w:t>
      </w:r>
      <w:r w:rsidRPr="0034190F">
        <w:rPr>
          <w:rFonts w:ascii="Cambria" w:hAnsi="Cambria"/>
          <w:sz w:val="20"/>
          <w:szCs w:val="20"/>
        </w:rPr>
        <w:t xml:space="preserve">representative </w:t>
      </w:r>
      <w:r w:rsidR="00490932" w:rsidRPr="0034190F">
        <w:rPr>
          <w:rFonts w:ascii="Cambria" w:hAnsi="Cambria"/>
          <w:sz w:val="20"/>
          <w:szCs w:val="20"/>
        </w:rPr>
        <w:t>through whom notice of judgments and other judicial decisions was to be given.</w:t>
      </w:r>
      <w:r w:rsidRPr="0034190F">
        <w:rPr>
          <w:rFonts w:ascii="Cambria" w:hAnsi="Cambria"/>
          <w:sz w:val="20"/>
          <w:szCs w:val="20"/>
        </w:rPr>
        <w:t xml:space="preserve"> Finally, the State mentioned that it </w:t>
      </w:r>
      <w:r w:rsidR="000C66F9" w:rsidRPr="0034190F">
        <w:rPr>
          <w:rFonts w:ascii="Cambria" w:hAnsi="Cambria"/>
          <w:sz w:val="20"/>
          <w:szCs w:val="20"/>
        </w:rPr>
        <w:t xml:space="preserve">had protected and represented the migrants’ rights by </w:t>
      </w:r>
      <w:r w:rsidR="00490932" w:rsidRPr="0034190F">
        <w:rPr>
          <w:rFonts w:ascii="Cambria" w:hAnsi="Cambria"/>
          <w:sz w:val="20"/>
          <w:szCs w:val="20"/>
        </w:rPr>
        <w:t>ma</w:t>
      </w:r>
      <w:r w:rsidR="000C66F9" w:rsidRPr="0034190F">
        <w:rPr>
          <w:rFonts w:ascii="Cambria" w:hAnsi="Cambria"/>
          <w:sz w:val="20"/>
          <w:szCs w:val="20"/>
        </w:rPr>
        <w:t>king</w:t>
      </w:r>
      <w:r w:rsidRPr="0034190F">
        <w:rPr>
          <w:rFonts w:ascii="Cambria" w:hAnsi="Cambria"/>
          <w:sz w:val="20"/>
          <w:szCs w:val="20"/>
        </w:rPr>
        <w:t xml:space="preserve"> the necessary </w:t>
      </w:r>
      <w:r w:rsidR="00490932" w:rsidRPr="0034190F">
        <w:rPr>
          <w:rFonts w:ascii="Cambria" w:hAnsi="Cambria"/>
          <w:sz w:val="20"/>
          <w:szCs w:val="20"/>
        </w:rPr>
        <w:t xml:space="preserve">arrangements </w:t>
      </w:r>
      <w:r w:rsidRPr="0034190F">
        <w:rPr>
          <w:rFonts w:ascii="Cambria" w:hAnsi="Cambria"/>
          <w:sz w:val="20"/>
          <w:szCs w:val="20"/>
        </w:rPr>
        <w:t xml:space="preserve">so that </w:t>
      </w:r>
      <w:r w:rsidR="000C66F9" w:rsidRPr="0034190F">
        <w:rPr>
          <w:rFonts w:ascii="Cambria" w:hAnsi="Cambria"/>
          <w:sz w:val="20"/>
          <w:szCs w:val="20"/>
        </w:rPr>
        <w:t>they</w:t>
      </w:r>
      <w:r w:rsidRPr="0034190F">
        <w:rPr>
          <w:rFonts w:ascii="Cambria" w:hAnsi="Cambria"/>
          <w:sz w:val="20"/>
          <w:szCs w:val="20"/>
        </w:rPr>
        <w:t xml:space="preserve"> could return to their country of origin</w:t>
      </w:r>
      <w:r w:rsidR="0043505F" w:rsidRPr="0034190F">
        <w:rPr>
          <w:rFonts w:ascii="Cambria" w:hAnsi="Cambria"/>
          <w:sz w:val="20"/>
          <w:szCs w:val="20"/>
        </w:rPr>
        <w:t>.</w:t>
      </w:r>
    </w:p>
    <w:p w:rsidR="0043505F" w:rsidRPr="0034190F" w:rsidRDefault="0043505F" w:rsidP="0043505F">
      <w:pPr>
        <w:rPr>
          <w:rFonts w:ascii="Cambria" w:hAnsi="Cambria"/>
          <w:b/>
          <w:sz w:val="20"/>
          <w:szCs w:val="20"/>
        </w:rPr>
      </w:pPr>
    </w:p>
    <w:p w:rsidR="0043505F" w:rsidRPr="0034190F" w:rsidRDefault="00380B4A" w:rsidP="0043505F">
      <w:pPr>
        <w:pStyle w:val="ListParagraph"/>
        <w:numPr>
          <w:ilvl w:val="0"/>
          <w:numId w:val="104"/>
        </w:numPr>
        <w:tabs>
          <w:tab w:val="left" w:pos="720"/>
          <w:tab w:val="left" w:pos="810"/>
        </w:tabs>
        <w:ind w:left="1440"/>
        <w:jc w:val="both"/>
        <w:rPr>
          <w:b/>
          <w:color w:val="auto"/>
          <w:sz w:val="20"/>
          <w:szCs w:val="20"/>
          <w:lang w:val="es-ES_tradnl"/>
        </w:rPr>
      </w:pPr>
      <w:r w:rsidRPr="0034190F">
        <w:rPr>
          <w:b/>
          <w:color w:val="auto"/>
          <w:sz w:val="20"/>
          <w:szCs w:val="20"/>
          <w:lang w:val="es-ES_tradnl"/>
        </w:rPr>
        <w:t>FINDINGS OF FACT</w:t>
      </w:r>
    </w:p>
    <w:p w:rsidR="0043505F" w:rsidRPr="0034190F" w:rsidRDefault="0043505F" w:rsidP="0043505F">
      <w:pPr>
        <w:jc w:val="both"/>
        <w:rPr>
          <w:rFonts w:ascii="Cambria" w:hAnsi="Cambria"/>
          <w:b/>
          <w:sz w:val="20"/>
          <w:szCs w:val="20"/>
          <w:lang w:val="es-ES_tradnl"/>
        </w:rPr>
      </w:pPr>
    </w:p>
    <w:p w:rsidR="0043505F" w:rsidRPr="0034190F" w:rsidRDefault="00380B4A" w:rsidP="0043505F">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1440" w:hanging="720"/>
        <w:jc w:val="both"/>
        <w:rPr>
          <w:b/>
          <w:color w:val="auto"/>
          <w:sz w:val="20"/>
          <w:szCs w:val="20"/>
        </w:rPr>
      </w:pPr>
      <w:r w:rsidRPr="0034190F">
        <w:rPr>
          <w:b/>
          <w:color w:val="auto"/>
          <w:sz w:val="20"/>
          <w:szCs w:val="20"/>
        </w:rPr>
        <w:t xml:space="preserve">Regarding the migration of the </w:t>
      </w:r>
      <w:r w:rsidR="0043505F" w:rsidRPr="0034190F">
        <w:rPr>
          <w:b/>
          <w:color w:val="auto"/>
          <w:sz w:val="20"/>
          <w:szCs w:val="20"/>
        </w:rPr>
        <w:t xml:space="preserve">Roche Azaña </w:t>
      </w:r>
      <w:r w:rsidRPr="0034190F">
        <w:rPr>
          <w:b/>
          <w:color w:val="auto"/>
          <w:sz w:val="20"/>
          <w:szCs w:val="20"/>
        </w:rPr>
        <w:t xml:space="preserve">brothers and the use of force by Nicaraguan authorities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b/>
          <w:sz w:val="20"/>
          <w:szCs w:val="20"/>
        </w:rPr>
      </w:pPr>
    </w:p>
    <w:p w:rsidR="0043505F" w:rsidRPr="0034190F" w:rsidRDefault="00B53941"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According to the petitioning party’s account, Pedro Bacilio and Patricio Fernando, both surnamed Roche Azaña, are sons of José Fernando Roche Zhizhingo and María Angélica Azaña Tesaca. The family lived in the province of Azuay, in the </w:t>
      </w:r>
      <w:r w:rsidR="008A7B25" w:rsidRPr="0034190F">
        <w:rPr>
          <w:rFonts w:ascii="Cambria" w:hAnsi="Cambria"/>
          <w:sz w:val="20"/>
          <w:szCs w:val="20"/>
        </w:rPr>
        <w:t xml:space="preserve">canton of </w:t>
      </w:r>
      <w:r w:rsidRPr="0034190F">
        <w:rPr>
          <w:rFonts w:ascii="Cambria" w:hAnsi="Cambria"/>
          <w:sz w:val="20"/>
          <w:szCs w:val="20"/>
        </w:rPr>
        <w:t xml:space="preserve">San Fernando in Ecuador, and worked in agriculture. Both brothers decided to leave their country in search of better opportunities in the United States at the ages of 21 in the case of Pedro and 23 in the case of Patricio. On April 8, 1996, the Roche Azaña brothers left their home in the province of Azuay, Republic of Ecuador, and headed to the city of Guayaquil, to </w:t>
      </w:r>
      <w:r w:rsidR="008A7B25" w:rsidRPr="0034190F">
        <w:rPr>
          <w:rFonts w:ascii="Cambria" w:hAnsi="Cambria"/>
          <w:sz w:val="20"/>
          <w:szCs w:val="20"/>
        </w:rPr>
        <w:t>leave</w:t>
      </w:r>
      <w:r w:rsidRPr="0034190F">
        <w:rPr>
          <w:rFonts w:ascii="Cambria" w:hAnsi="Cambria"/>
          <w:sz w:val="20"/>
          <w:szCs w:val="20"/>
        </w:rPr>
        <w:t xml:space="preserve"> from there to the Republic of Panama and then on to Nicaragua, arriving in that country on April 14, 1996. In the city of </w:t>
      </w:r>
      <w:r w:rsidRPr="0034190F">
        <w:rPr>
          <w:rFonts w:ascii="Cambria" w:hAnsi="Cambria"/>
          <w:sz w:val="20"/>
          <w:szCs w:val="20"/>
        </w:rPr>
        <w:lastRenderedPageBreak/>
        <w:t xml:space="preserve">Managua, they met up with 30 </w:t>
      </w:r>
      <w:r w:rsidR="008A7B25" w:rsidRPr="0034190F">
        <w:rPr>
          <w:rFonts w:ascii="Cambria" w:hAnsi="Cambria"/>
          <w:sz w:val="20"/>
          <w:szCs w:val="20"/>
        </w:rPr>
        <w:t xml:space="preserve">other </w:t>
      </w:r>
      <w:r w:rsidRPr="0034190F">
        <w:rPr>
          <w:rFonts w:ascii="Cambria" w:hAnsi="Cambria"/>
          <w:sz w:val="20"/>
          <w:szCs w:val="20"/>
        </w:rPr>
        <w:t>migrants, with whom they were transported in a van to the city of Chinandega, Nicaragua.</w:t>
      </w:r>
      <w:r w:rsidR="0043505F" w:rsidRPr="0034190F">
        <w:rPr>
          <w:rStyle w:val="FootnoteReference"/>
          <w:rFonts w:ascii="Cambria" w:hAnsi="Cambria"/>
          <w:sz w:val="20"/>
          <w:szCs w:val="20"/>
          <w:lang w:val="es-ES_tradnl"/>
        </w:rPr>
        <w:footnoteReference w:id="3"/>
      </w:r>
      <w:r w:rsidR="0043505F" w:rsidRPr="0034190F">
        <w:rPr>
          <w:rFonts w:ascii="Cambria" w:hAnsi="Cambria"/>
          <w:sz w:val="20"/>
          <w:szCs w:val="20"/>
        </w:rPr>
        <w:t xml:space="preserve"> </w:t>
      </w:r>
      <w:r w:rsidRPr="0034190F">
        <w:rPr>
          <w:rFonts w:ascii="Cambria" w:hAnsi="Cambria"/>
          <w:sz w:val="20"/>
          <w:szCs w:val="20"/>
        </w:rPr>
        <w:t>The State did not dispute this information</w:t>
      </w:r>
      <w:r w:rsidR="0043505F" w:rsidRPr="0034190F">
        <w:rPr>
          <w:rFonts w:ascii="Cambria" w:hAnsi="Cambria"/>
          <w:sz w:val="20"/>
          <w:szCs w:val="20"/>
        </w:rPr>
        <w:t>.</w:t>
      </w:r>
    </w:p>
    <w:p w:rsidR="0043505F" w:rsidRPr="0034190F" w:rsidRDefault="0043505F" w:rsidP="0043505F">
      <w:pPr>
        <w:pStyle w:val="ListParagraph"/>
        <w:rPr>
          <w:color w:val="auto"/>
          <w:sz w:val="20"/>
          <w:szCs w:val="20"/>
        </w:rPr>
      </w:pPr>
    </w:p>
    <w:p w:rsidR="0043505F" w:rsidRPr="0034190F" w:rsidRDefault="003160F5"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The IACHR notes that the visual inspection </w:t>
      </w:r>
      <w:r w:rsidR="008A7B25" w:rsidRPr="0034190F">
        <w:rPr>
          <w:rFonts w:ascii="Cambria" w:hAnsi="Cambria"/>
          <w:sz w:val="20"/>
          <w:szCs w:val="20"/>
        </w:rPr>
        <w:t>report on</w:t>
      </w:r>
      <w:r w:rsidRPr="0034190F">
        <w:rPr>
          <w:rFonts w:ascii="Cambria" w:hAnsi="Cambria"/>
          <w:sz w:val="20"/>
          <w:szCs w:val="20"/>
        </w:rPr>
        <w:t xml:space="preserve"> the vehicle</w:t>
      </w:r>
      <w:r w:rsidR="0043505F" w:rsidRPr="0034190F">
        <w:rPr>
          <w:rFonts w:ascii="Cambria" w:hAnsi="Cambria"/>
          <w:sz w:val="20"/>
          <w:szCs w:val="20"/>
        </w:rPr>
        <w:t xml:space="preserve"> </w:t>
      </w:r>
      <w:r w:rsidRPr="0034190F">
        <w:rPr>
          <w:rFonts w:ascii="Cambria" w:hAnsi="Cambria"/>
          <w:sz w:val="20"/>
          <w:szCs w:val="20"/>
        </w:rPr>
        <w:t>shows</w:t>
      </w:r>
      <w:r w:rsidR="0043505F" w:rsidRPr="0034190F">
        <w:rPr>
          <w:rFonts w:ascii="Cambria" w:hAnsi="Cambria"/>
          <w:sz w:val="20"/>
          <w:szCs w:val="20"/>
        </w:rPr>
        <w:t xml:space="preserve"> </w:t>
      </w:r>
      <w:r w:rsidRPr="0034190F">
        <w:rPr>
          <w:rFonts w:ascii="Cambria" w:hAnsi="Cambria"/>
          <w:sz w:val="20"/>
          <w:szCs w:val="20"/>
        </w:rPr>
        <w:t xml:space="preserve">that the migrants were in a van with a capacity for approximately 12 people. The vehicle also had </w:t>
      </w:r>
      <w:r w:rsidR="008A7B25" w:rsidRPr="0034190F">
        <w:rPr>
          <w:rFonts w:ascii="Cambria" w:hAnsi="Cambria"/>
          <w:sz w:val="20"/>
          <w:szCs w:val="20"/>
        </w:rPr>
        <w:t>tinted</w:t>
      </w:r>
      <w:r w:rsidRPr="0034190F">
        <w:rPr>
          <w:rFonts w:ascii="Cambria" w:hAnsi="Cambria"/>
          <w:sz w:val="20"/>
          <w:szCs w:val="20"/>
        </w:rPr>
        <w:t xml:space="preserve"> windows in front and the two front doors, as well as two small windows in the back. The sliding doors on the side were completely </w:t>
      </w:r>
      <w:r w:rsidR="00967A0A" w:rsidRPr="0034190F">
        <w:rPr>
          <w:rFonts w:ascii="Cambria" w:hAnsi="Cambria"/>
          <w:sz w:val="20"/>
          <w:szCs w:val="20"/>
        </w:rPr>
        <w:t>en</w:t>
      </w:r>
      <w:r w:rsidRPr="0034190F">
        <w:rPr>
          <w:rFonts w:ascii="Cambria" w:hAnsi="Cambria"/>
          <w:sz w:val="20"/>
          <w:szCs w:val="20"/>
        </w:rPr>
        <w:t>closed.</w:t>
      </w:r>
      <w:r w:rsidR="0043505F" w:rsidRPr="0034190F">
        <w:rPr>
          <w:rStyle w:val="FootnoteReference"/>
          <w:rFonts w:ascii="Cambria" w:hAnsi="Cambria"/>
          <w:sz w:val="20"/>
          <w:szCs w:val="20"/>
          <w:lang w:val="es-ES_tradnl"/>
        </w:rPr>
        <w:footnoteReference w:id="4"/>
      </w:r>
    </w:p>
    <w:p w:rsidR="0043505F" w:rsidRPr="0034190F" w:rsidRDefault="0043505F" w:rsidP="0043505F">
      <w:pPr>
        <w:pStyle w:val="ListParagraph"/>
        <w:rPr>
          <w:color w:val="auto"/>
          <w:sz w:val="20"/>
          <w:szCs w:val="20"/>
        </w:rPr>
      </w:pPr>
    </w:p>
    <w:p w:rsidR="0043505F" w:rsidRPr="0034190F" w:rsidRDefault="003160F5"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On April 14, 1996, the van went through a first police checkpoint that was trying to intercept vehicles that were </w:t>
      </w:r>
      <w:r w:rsidR="005B2522" w:rsidRPr="0034190F">
        <w:rPr>
          <w:rFonts w:ascii="Cambria" w:hAnsi="Cambria"/>
          <w:sz w:val="20"/>
          <w:szCs w:val="20"/>
        </w:rPr>
        <w:t xml:space="preserve">allegedly </w:t>
      </w:r>
      <w:r w:rsidR="00F65793" w:rsidRPr="0034190F">
        <w:rPr>
          <w:rFonts w:ascii="Cambria" w:hAnsi="Cambria"/>
          <w:sz w:val="20"/>
          <w:szCs w:val="20"/>
        </w:rPr>
        <w:t>bringing</w:t>
      </w:r>
      <w:r w:rsidRPr="0034190F">
        <w:rPr>
          <w:rFonts w:ascii="Cambria" w:hAnsi="Cambria"/>
          <w:sz w:val="20"/>
          <w:szCs w:val="20"/>
        </w:rPr>
        <w:t xml:space="preserve"> </w:t>
      </w:r>
      <w:r w:rsidR="00967A0A" w:rsidRPr="0034190F">
        <w:rPr>
          <w:rFonts w:ascii="Cambria" w:hAnsi="Cambria"/>
          <w:sz w:val="20"/>
          <w:szCs w:val="20"/>
        </w:rPr>
        <w:t>illegal</w:t>
      </w:r>
      <w:r w:rsidRPr="0034190F">
        <w:rPr>
          <w:rFonts w:ascii="Cambria" w:hAnsi="Cambria"/>
          <w:sz w:val="20"/>
          <w:szCs w:val="20"/>
        </w:rPr>
        <w:t xml:space="preserve"> merchandise into Nicaragua.</w:t>
      </w:r>
      <w:r w:rsidR="00F65793" w:rsidRPr="0034190F">
        <w:rPr>
          <w:rFonts w:ascii="Cambria" w:hAnsi="Cambria"/>
          <w:sz w:val="20"/>
          <w:szCs w:val="20"/>
        </w:rPr>
        <w:t xml:space="preserve"> According to one testimony,</w:t>
      </w:r>
      <w:r w:rsidR="0043505F" w:rsidRPr="0034190F">
        <w:rPr>
          <w:rStyle w:val="FootnoteReference"/>
          <w:rFonts w:ascii="Cambria" w:hAnsi="Cambria"/>
          <w:sz w:val="20"/>
          <w:szCs w:val="20"/>
          <w:lang w:val="es-ES_tradnl"/>
        </w:rPr>
        <w:footnoteReference w:id="5"/>
      </w:r>
      <w:r w:rsidR="0043505F" w:rsidRPr="0034190F">
        <w:rPr>
          <w:rFonts w:ascii="Cambria" w:hAnsi="Cambria"/>
          <w:sz w:val="20"/>
          <w:szCs w:val="20"/>
        </w:rPr>
        <w:t xml:space="preserve"> </w:t>
      </w:r>
      <w:r w:rsidR="00F65793" w:rsidRPr="0034190F">
        <w:rPr>
          <w:rFonts w:ascii="Cambria" w:hAnsi="Cambria"/>
          <w:sz w:val="20"/>
          <w:szCs w:val="20"/>
        </w:rPr>
        <w:t>two pickups</w:t>
      </w:r>
      <w:r w:rsidR="005B2522" w:rsidRPr="0034190F">
        <w:rPr>
          <w:rFonts w:ascii="Cambria" w:hAnsi="Cambria"/>
          <w:sz w:val="20"/>
          <w:szCs w:val="20"/>
        </w:rPr>
        <w:t xml:space="preserve"> </w:t>
      </w:r>
      <w:r w:rsidR="00F65793" w:rsidRPr="0034190F">
        <w:rPr>
          <w:rFonts w:ascii="Cambria" w:hAnsi="Cambria"/>
          <w:sz w:val="20"/>
          <w:szCs w:val="20"/>
        </w:rPr>
        <w:t>loaded with contraband had gone by Lieutentant Germán Pineda, who then notified Lieutenant Garmendia for them to be stopped. Lieutenant Garmendia, for his part, passed on those orders to patrol cars 0142 and 0143.</w:t>
      </w:r>
      <w:r w:rsidR="0043505F" w:rsidRPr="0034190F">
        <w:rPr>
          <w:rStyle w:val="FootnoteReference"/>
          <w:rFonts w:ascii="Cambria" w:hAnsi="Cambria"/>
          <w:sz w:val="20"/>
          <w:szCs w:val="20"/>
          <w:lang w:val="es-ES_tradnl"/>
        </w:rPr>
        <w:footnoteReference w:id="6"/>
      </w:r>
    </w:p>
    <w:p w:rsidR="0043505F" w:rsidRPr="0034190F" w:rsidRDefault="0043505F" w:rsidP="0043505F">
      <w:pPr>
        <w:rPr>
          <w:rFonts w:ascii="Cambria" w:hAnsi="Cambria"/>
          <w:sz w:val="20"/>
          <w:szCs w:val="20"/>
        </w:rPr>
      </w:pPr>
    </w:p>
    <w:p w:rsidR="0043505F" w:rsidRPr="0034190F" w:rsidRDefault="00F65793"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According to testimon</w:t>
      </w:r>
      <w:r w:rsidR="005B2522" w:rsidRPr="0034190F">
        <w:rPr>
          <w:rFonts w:ascii="Cambria" w:hAnsi="Cambria"/>
          <w:sz w:val="20"/>
          <w:szCs w:val="20"/>
        </w:rPr>
        <w:t>y</w:t>
      </w:r>
      <w:r w:rsidR="00166A95" w:rsidRPr="0034190F">
        <w:rPr>
          <w:rFonts w:ascii="Cambria" w:hAnsi="Cambria"/>
          <w:sz w:val="20"/>
          <w:szCs w:val="20"/>
        </w:rPr>
        <w:t xml:space="preserve"> provided</w:t>
      </w:r>
      <w:r w:rsidRPr="0034190F">
        <w:rPr>
          <w:rFonts w:ascii="Cambria" w:hAnsi="Cambria"/>
          <w:sz w:val="20"/>
          <w:szCs w:val="20"/>
        </w:rPr>
        <w:t>, the first patrol car, of which Officer Carlos Aguirre was in charge, took position at Villa Quince de Junio, before the bridge. When the van went by, Officer Isaac Melsiades Real</w:t>
      </w:r>
      <w:r w:rsidR="005B2522" w:rsidRPr="0034190F">
        <w:rPr>
          <w:rFonts w:ascii="Cambria" w:hAnsi="Cambria"/>
          <w:sz w:val="20"/>
          <w:szCs w:val="20"/>
        </w:rPr>
        <w:t>, who</w:t>
      </w:r>
      <w:r w:rsidRPr="0034190F">
        <w:rPr>
          <w:rFonts w:ascii="Cambria" w:hAnsi="Cambria"/>
          <w:sz w:val="20"/>
          <w:szCs w:val="20"/>
        </w:rPr>
        <w:t xml:space="preserve"> </w:t>
      </w:r>
      <w:r w:rsidR="005B2522" w:rsidRPr="0034190F">
        <w:rPr>
          <w:rFonts w:ascii="Cambria" w:hAnsi="Cambria"/>
          <w:sz w:val="20"/>
          <w:szCs w:val="20"/>
        </w:rPr>
        <w:t xml:space="preserve">situated himself at the side of the road, </w:t>
      </w:r>
      <w:r w:rsidRPr="0034190F">
        <w:rPr>
          <w:rFonts w:ascii="Cambria" w:hAnsi="Cambria"/>
          <w:sz w:val="20"/>
          <w:szCs w:val="20"/>
        </w:rPr>
        <w:t xml:space="preserve">signaled with a traffic baton for the vehicle to stop, but </w:t>
      </w:r>
      <w:r w:rsidR="005B2522" w:rsidRPr="0034190F">
        <w:rPr>
          <w:rFonts w:ascii="Cambria" w:hAnsi="Cambria"/>
          <w:sz w:val="20"/>
          <w:szCs w:val="20"/>
        </w:rPr>
        <w:t>the vehicle</w:t>
      </w:r>
      <w:r w:rsidRPr="0034190F">
        <w:rPr>
          <w:rFonts w:ascii="Cambria" w:hAnsi="Cambria"/>
          <w:sz w:val="20"/>
          <w:szCs w:val="20"/>
        </w:rPr>
        <w:t xml:space="preserve"> accelerated further and did not try to stop, and the police officer had to get out of the way. He asked that the patrol car’s lights be turned on, which </w:t>
      </w:r>
      <w:r w:rsidR="00967A0A" w:rsidRPr="0034190F">
        <w:rPr>
          <w:rFonts w:ascii="Cambria" w:hAnsi="Cambria"/>
          <w:sz w:val="20"/>
          <w:szCs w:val="20"/>
        </w:rPr>
        <w:t>enabled them to</w:t>
      </w:r>
      <w:r w:rsidRPr="0034190F">
        <w:rPr>
          <w:rFonts w:ascii="Cambria" w:hAnsi="Cambria"/>
          <w:sz w:val="20"/>
          <w:szCs w:val="20"/>
        </w:rPr>
        <w:t xml:space="preserve"> see that th</w:t>
      </w:r>
      <w:r w:rsidR="007A4E79" w:rsidRPr="0034190F">
        <w:rPr>
          <w:rFonts w:ascii="Cambria" w:hAnsi="Cambria"/>
          <w:sz w:val="20"/>
          <w:szCs w:val="20"/>
        </w:rPr>
        <w:t>e vehicle</w:t>
      </w:r>
      <w:r w:rsidRPr="0034190F">
        <w:rPr>
          <w:rFonts w:ascii="Cambria" w:hAnsi="Cambria"/>
          <w:sz w:val="20"/>
          <w:szCs w:val="20"/>
        </w:rPr>
        <w:t xml:space="preserve"> was a white van. No shots were fired at this</w:t>
      </w:r>
      <w:r w:rsidR="00AF6E01" w:rsidRPr="0034190F">
        <w:rPr>
          <w:rFonts w:ascii="Cambria" w:hAnsi="Cambria"/>
          <w:sz w:val="20"/>
          <w:szCs w:val="20"/>
        </w:rPr>
        <w:t xml:space="preserve"> first</w:t>
      </w:r>
      <w:r w:rsidRPr="0034190F">
        <w:rPr>
          <w:rFonts w:ascii="Cambria" w:hAnsi="Cambria"/>
          <w:sz w:val="20"/>
          <w:szCs w:val="20"/>
        </w:rPr>
        <w:t xml:space="preserve"> checkpoint, nor was the vehicle pursued</w:t>
      </w:r>
      <w:r w:rsidR="0043505F" w:rsidRPr="0034190F">
        <w:rPr>
          <w:rFonts w:ascii="Cambria" w:hAnsi="Cambria"/>
          <w:sz w:val="20"/>
          <w:szCs w:val="20"/>
        </w:rPr>
        <w:t>.</w:t>
      </w:r>
      <w:r w:rsidR="0043505F" w:rsidRPr="0034190F">
        <w:rPr>
          <w:rStyle w:val="FootnoteReference"/>
          <w:rFonts w:ascii="Cambria" w:hAnsi="Cambria"/>
          <w:sz w:val="20"/>
          <w:szCs w:val="20"/>
          <w:lang w:val="es-ES_tradnl"/>
        </w:rPr>
        <w:footnoteReference w:id="7"/>
      </w:r>
      <w:r w:rsidR="0043505F" w:rsidRPr="0034190F">
        <w:rPr>
          <w:rFonts w:ascii="Cambria" w:hAnsi="Cambria"/>
          <w:sz w:val="20"/>
          <w:szCs w:val="20"/>
        </w:rPr>
        <w:t xml:space="preserve"> </w:t>
      </w:r>
      <w:r w:rsidR="003B5560" w:rsidRPr="0034190F">
        <w:rPr>
          <w:rFonts w:ascii="Cambria" w:hAnsi="Cambria"/>
          <w:sz w:val="20"/>
          <w:szCs w:val="20"/>
        </w:rPr>
        <w:t xml:space="preserve">Officer Carlos Aguirre notified Lieutenant José Carcache Yañez Pineda, who was in a </w:t>
      </w:r>
      <w:r w:rsidR="00AF6E01" w:rsidRPr="0034190F">
        <w:rPr>
          <w:rFonts w:ascii="Cambria" w:hAnsi="Cambria"/>
          <w:sz w:val="20"/>
          <w:szCs w:val="20"/>
        </w:rPr>
        <w:t xml:space="preserve">police </w:t>
      </w:r>
      <w:r w:rsidR="003B5560" w:rsidRPr="0034190F">
        <w:rPr>
          <w:rFonts w:ascii="Cambria" w:hAnsi="Cambria"/>
          <w:sz w:val="20"/>
          <w:szCs w:val="20"/>
        </w:rPr>
        <w:t xml:space="preserve">patrol car three kilometers toward the area </w:t>
      </w:r>
      <w:r w:rsidR="00AF6E01" w:rsidRPr="0034190F">
        <w:rPr>
          <w:rFonts w:ascii="Cambria" w:hAnsi="Cambria"/>
          <w:sz w:val="20"/>
          <w:szCs w:val="20"/>
        </w:rPr>
        <w:t>of</w:t>
      </w:r>
      <w:r w:rsidR="003B5560" w:rsidRPr="0034190F">
        <w:rPr>
          <w:rFonts w:ascii="Cambria" w:hAnsi="Cambria"/>
          <w:sz w:val="20"/>
          <w:szCs w:val="20"/>
        </w:rPr>
        <w:t xml:space="preserve"> Somotillo, about the vehicle that had just passed and had refused to stop.</w:t>
      </w:r>
      <w:r w:rsidR="0043505F" w:rsidRPr="0034190F">
        <w:rPr>
          <w:rStyle w:val="FootnoteReference"/>
          <w:rFonts w:ascii="Cambria" w:hAnsi="Cambria"/>
          <w:sz w:val="20"/>
          <w:szCs w:val="20"/>
          <w:lang w:val="es-MX"/>
        </w:rPr>
        <w:footnoteReference w:id="8"/>
      </w:r>
    </w:p>
    <w:p w:rsidR="0043505F" w:rsidRPr="0034190F" w:rsidRDefault="0043505F" w:rsidP="0043505F">
      <w:pPr>
        <w:pStyle w:val="ListParagraph"/>
        <w:rPr>
          <w:color w:val="auto"/>
          <w:sz w:val="20"/>
          <w:szCs w:val="20"/>
        </w:rPr>
      </w:pPr>
    </w:p>
    <w:p w:rsidR="0043505F" w:rsidRPr="0034190F" w:rsidRDefault="0043505F"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 </w:t>
      </w:r>
      <w:r w:rsidR="0045546B" w:rsidRPr="0034190F">
        <w:rPr>
          <w:rFonts w:ascii="Cambria" w:hAnsi="Cambria"/>
          <w:sz w:val="20"/>
          <w:szCs w:val="20"/>
        </w:rPr>
        <w:t xml:space="preserve">The second checkpoint was some meters ahead, at the entrance to Las Mercedes, at kilometer 168. According to the police accounts, when they saw the vehicle approaching they signaled it to stop, but the driver made no attempt to </w:t>
      </w:r>
      <w:r w:rsidR="00AF6E01" w:rsidRPr="0034190F">
        <w:rPr>
          <w:rFonts w:ascii="Cambria" w:hAnsi="Cambria"/>
          <w:sz w:val="20"/>
          <w:szCs w:val="20"/>
        </w:rPr>
        <w:t>do so</w:t>
      </w:r>
      <w:r w:rsidR="0045546B" w:rsidRPr="0034190F">
        <w:rPr>
          <w:rFonts w:ascii="Cambria" w:hAnsi="Cambria"/>
          <w:sz w:val="20"/>
          <w:szCs w:val="20"/>
        </w:rPr>
        <w:t>. On that point, the police off</w:t>
      </w:r>
      <w:r w:rsidR="00AF6E01" w:rsidRPr="0034190F">
        <w:rPr>
          <w:rFonts w:ascii="Cambria" w:hAnsi="Cambria"/>
          <w:sz w:val="20"/>
          <w:szCs w:val="20"/>
        </w:rPr>
        <w:t>ic</w:t>
      </w:r>
      <w:r w:rsidR="0045546B" w:rsidRPr="0034190F">
        <w:rPr>
          <w:rFonts w:ascii="Cambria" w:hAnsi="Cambria"/>
          <w:sz w:val="20"/>
          <w:szCs w:val="20"/>
        </w:rPr>
        <w:t>ers gave the following descriptions:</w:t>
      </w:r>
      <w:r w:rsidRPr="0034190F">
        <w:rPr>
          <w:rFonts w:ascii="Cambria" w:hAnsi="Cambria"/>
          <w:sz w:val="20"/>
          <w:szCs w:val="20"/>
        </w:rPr>
        <w:t xml:space="preserve"> Francisco Simón Ordoñez Nájera </w:t>
      </w:r>
      <w:r w:rsidR="0045546B" w:rsidRPr="0034190F">
        <w:rPr>
          <w:rFonts w:ascii="Cambria" w:hAnsi="Cambria"/>
          <w:sz w:val="20"/>
          <w:szCs w:val="20"/>
        </w:rPr>
        <w:t>stated that he had fired two shots into the air</w:t>
      </w:r>
      <w:r w:rsidR="0045546B" w:rsidRPr="0034190F">
        <w:rPr>
          <w:rStyle w:val="FootnoteReference"/>
          <w:rFonts w:ascii="Cambria" w:hAnsi="Cambria"/>
          <w:sz w:val="20"/>
          <w:szCs w:val="20"/>
        </w:rPr>
        <w:t xml:space="preserve"> </w:t>
      </w:r>
      <w:r w:rsidRPr="0034190F">
        <w:rPr>
          <w:rStyle w:val="FootnoteReference"/>
          <w:rFonts w:ascii="Cambria" w:hAnsi="Cambria"/>
          <w:sz w:val="20"/>
          <w:szCs w:val="20"/>
          <w:lang w:val="es-MX"/>
        </w:rPr>
        <w:footnoteReference w:id="9"/>
      </w:r>
      <w:r w:rsidRPr="0034190F">
        <w:rPr>
          <w:rFonts w:ascii="Cambria" w:hAnsi="Cambria"/>
          <w:sz w:val="20"/>
          <w:szCs w:val="20"/>
        </w:rPr>
        <w:t xml:space="preserve">; Ricardo Javier Salgado Ojeda </w:t>
      </w:r>
      <w:r w:rsidR="0045546B" w:rsidRPr="0034190F">
        <w:rPr>
          <w:rFonts w:ascii="Cambria" w:hAnsi="Cambria"/>
          <w:sz w:val="20"/>
          <w:szCs w:val="20"/>
        </w:rPr>
        <w:t>stated that he</w:t>
      </w:r>
      <w:r w:rsidR="00AF6E01" w:rsidRPr="0034190F">
        <w:rPr>
          <w:rFonts w:ascii="Cambria" w:hAnsi="Cambria"/>
          <w:sz w:val="20"/>
          <w:szCs w:val="20"/>
        </w:rPr>
        <w:t xml:space="preserve"> had</w:t>
      </w:r>
      <w:r w:rsidR="0045546B" w:rsidRPr="0034190F">
        <w:rPr>
          <w:rFonts w:ascii="Cambria" w:hAnsi="Cambria"/>
          <w:sz w:val="20"/>
          <w:szCs w:val="20"/>
        </w:rPr>
        <w:t xml:space="preserve"> fired three shots into the air</w:t>
      </w:r>
      <w:r w:rsidR="0045546B" w:rsidRPr="0034190F">
        <w:rPr>
          <w:rStyle w:val="FootnoteReference"/>
          <w:rFonts w:ascii="Cambria" w:hAnsi="Cambria"/>
          <w:sz w:val="20"/>
          <w:szCs w:val="20"/>
        </w:rPr>
        <w:t xml:space="preserve"> </w:t>
      </w:r>
      <w:r w:rsidRPr="0034190F">
        <w:rPr>
          <w:rStyle w:val="FootnoteReference"/>
          <w:rFonts w:ascii="Cambria" w:hAnsi="Cambria"/>
          <w:sz w:val="20"/>
          <w:szCs w:val="20"/>
          <w:lang w:val="es-MX"/>
        </w:rPr>
        <w:footnoteReference w:id="10"/>
      </w:r>
      <w:r w:rsidRPr="0034190F">
        <w:rPr>
          <w:rFonts w:ascii="Cambria" w:hAnsi="Cambria"/>
          <w:sz w:val="20"/>
          <w:szCs w:val="20"/>
        </w:rPr>
        <w:t>; Silvio Antonio Vanegas Blandon</w:t>
      </w:r>
      <w:r w:rsidR="0045546B" w:rsidRPr="0034190F">
        <w:rPr>
          <w:rFonts w:ascii="Cambria" w:hAnsi="Cambria"/>
          <w:sz w:val="20"/>
          <w:szCs w:val="20"/>
        </w:rPr>
        <w:t>, one shot into the air</w:t>
      </w:r>
      <w:r w:rsidRPr="0034190F">
        <w:rPr>
          <w:rStyle w:val="FootnoteReference"/>
          <w:rFonts w:ascii="Cambria" w:hAnsi="Cambria"/>
          <w:sz w:val="20"/>
          <w:szCs w:val="20"/>
          <w:lang w:val="es-MX"/>
        </w:rPr>
        <w:footnoteReference w:id="11"/>
      </w:r>
      <w:r w:rsidRPr="0034190F">
        <w:rPr>
          <w:rFonts w:ascii="Cambria" w:hAnsi="Cambria"/>
          <w:sz w:val="20"/>
          <w:szCs w:val="20"/>
        </w:rPr>
        <w:t>; José Marcelino Ramírez Vargas</w:t>
      </w:r>
      <w:r w:rsidR="0045546B" w:rsidRPr="0034190F">
        <w:rPr>
          <w:rFonts w:ascii="Cambria" w:hAnsi="Cambria"/>
          <w:sz w:val="20"/>
          <w:szCs w:val="20"/>
        </w:rPr>
        <w:t>,</w:t>
      </w:r>
      <w:r w:rsidRPr="0034190F">
        <w:rPr>
          <w:rFonts w:ascii="Cambria" w:hAnsi="Cambria"/>
          <w:sz w:val="20"/>
          <w:szCs w:val="20"/>
        </w:rPr>
        <w:t xml:space="preserve"> </w:t>
      </w:r>
      <w:r w:rsidR="0045546B" w:rsidRPr="0034190F">
        <w:rPr>
          <w:rFonts w:ascii="Cambria" w:hAnsi="Cambria"/>
          <w:sz w:val="20"/>
          <w:szCs w:val="20"/>
        </w:rPr>
        <w:t xml:space="preserve">three </w:t>
      </w:r>
      <w:r w:rsidR="00AF6E01" w:rsidRPr="0034190F">
        <w:rPr>
          <w:rFonts w:ascii="Cambria" w:hAnsi="Cambria"/>
          <w:sz w:val="20"/>
          <w:szCs w:val="20"/>
        </w:rPr>
        <w:t>to</w:t>
      </w:r>
      <w:r w:rsidR="0045546B" w:rsidRPr="0034190F">
        <w:rPr>
          <w:rFonts w:ascii="Cambria" w:hAnsi="Cambria"/>
          <w:sz w:val="20"/>
          <w:szCs w:val="20"/>
        </w:rPr>
        <w:t xml:space="preserve"> four shots “without authorization” in the direction of the tires </w:t>
      </w:r>
      <w:r w:rsidR="00AF6E01" w:rsidRPr="0034190F">
        <w:rPr>
          <w:rFonts w:ascii="Cambria" w:hAnsi="Cambria"/>
          <w:sz w:val="20"/>
          <w:szCs w:val="20"/>
        </w:rPr>
        <w:t>on</w:t>
      </w:r>
      <w:r w:rsidR="0045546B" w:rsidRPr="0034190F">
        <w:rPr>
          <w:rFonts w:ascii="Cambria" w:hAnsi="Cambria"/>
          <w:sz w:val="20"/>
          <w:szCs w:val="20"/>
        </w:rPr>
        <w:t xml:space="preserve"> the right side of the vehicle</w:t>
      </w:r>
      <w:r w:rsidRPr="0034190F">
        <w:rPr>
          <w:rStyle w:val="FootnoteReference"/>
          <w:rFonts w:ascii="Cambria" w:hAnsi="Cambria"/>
          <w:sz w:val="20"/>
          <w:szCs w:val="20"/>
          <w:lang w:val="es-MX"/>
        </w:rPr>
        <w:footnoteReference w:id="12"/>
      </w:r>
      <w:r w:rsidRPr="0034190F">
        <w:rPr>
          <w:rFonts w:ascii="Cambria" w:hAnsi="Cambria"/>
          <w:sz w:val="20"/>
          <w:szCs w:val="20"/>
        </w:rPr>
        <w:t xml:space="preserve">; </w:t>
      </w:r>
      <w:r w:rsidR="0045546B" w:rsidRPr="0034190F">
        <w:rPr>
          <w:rFonts w:ascii="Cambria" w:hAnsi="Cambria"/>
          <w:sz w:val="20"/>
          <w:szCs w:val="20"/>
        </w:rPr>
        <w:t>and</w:t>
      </w:r>
      <w:r w:rsidRPr="0034190F">
        <w:rPr>
          <w:rFonts w:ascii="Cambria" w:hAnsi="Cambria"/>
          <w:sz w:val="20"/>
          <w:szCs w:val="20"/>
        </w:rPr>
        <w:t xml:space="preserve"> José Reynaldo Pineda Silva </w:t>
      </w:r>
      <w:r w:rsidR="0045546B" w:rsidRPr="0034190F">
        <w:rPr>
          <w:rFonts w:ascii="Cambria" w:hAnsi="Cambria"/>
          <w:sz w:val="20"/>
          <w:szCs w:val="20"/>
        </w:rPr>
        <w:t xml:space="preserve">maintained that he did not fire </w:t>
      </w:r>
      <w:r w:rsidR="00AF6E01" w:rsidRPr="0034190F">
        <w:rPr>
          <w:rFonts w:ascii="Cambria" w:hAnsi="Cambria"/>
          <w:sz w:val="20"/>
          <w:szCs w:val="20"/>
        </w:rPr>
        <w:t xml:space="preserve">any </w:t>
      </w:r>
      <w:r w:rsidR="0045546B" w:rsidRPr="0034190F">
        <w:rPr>
          <w:rFonts w:ascii="Cambria" w:hAnsi="Cambria"/>
          <w:sz w:val="20"/>
          <w:szCs w:val="20"/>
        </w:rPr>
        <w:t>gunshots when the vehicle chase began</w:t>
      </w:r>
      <w:r w:rsidRPr="0034190F">
        <w:rPr>
          <w:rFonts w:ascii="Cambria" w:hAnsi="Cambria"/>
          <w:sz w:val="20"/>
          <w:szCs w:val="20"/>
        </w:rPr>
        <w:t xml:space="preserve">.  </w:t>
      </w:r>
    </w:p>
    <w:p w:rsidR="0043505F" w:rsidRPr="0034190F" w:rsidRDefault="0043505F" w:rsidP="0043505F">
      <w:pPr>
        <w:pStyle w:val="ListParagraph"/>
        <w:rPr>
          <w:color w:val="auto"/>
          <w:sz w:val="20"/>
          <w:szCs w:val="20"/>
        </w:rPr>
      </w:pPr>
    </w:p>
    <w:p w:rsidR="0043505F" w:rsidRPr="0034190F" w:rsidRDefault="0045546B"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Specifically, José Marcelino Ramírez Vargas stated the following</w:t>
      </w:r>
      <w:r w:rsidR="0043505F" w:rsidRPr="0034190F">
        <w:rPr>
          <w:rFonts w:ascii="Cambria" w:hAnsi="Cambria"/>
          <w:sz w:val="20"/>
          <w:szCs w:val="20"/>
        </w:rPr>
        <w:t xml:space="preserve">: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43505F" w:rsidRPr="0034190F" w:rsidRDefault="009502C1"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sz w:val="20"/>
          <w:szCs w:val="20"/>
        </w:rPr>
      </w:pPr>
      <w:r w:rsidRPr="0034190F">
        <w:rPr>
          <w:rFonts w:ascii="Cambria" w:hAnsi="Cambria"/>
          <w:sz w:val="20"/>
          <w:szCs w:val="20"/>
        </w:rPr>
        <w:t xml:space="preserve">We observed the lights of a vehicle that was traveling from south to north, so Ricardo and I immediately went out into the road, almost </w:t>
      </w:r>
      <w:r w:rsidR="000863F5" w:rsidRPr="0034190F">
        <w:rPr>
          <w:rFonts w:ascii="Cambria" w:hAnsi="Cambria"/>
          <w:sz w:val="20"/>
          <w:szCs w:val="20"/>
        </w:rPr>
        <w:t>in</w:t>
      </w:r>
      <w:r w:rsidRPr="0034190F">
        <w:rPr>
          <w:rFonts w:ascii="Cambria" w:hAnsi="Cambria"/>
          <w:sz w:val="20"/>
          <w:szCs w:val="20"/>
        </w:rPr>
        <w:t>to the middle of the highway, to again use the signals to warn the vehicle to stop. When I’m doing the signals with the lamp and gloves I manage to see that it was a white ban [sic]</w:t>
      </w:r>
      <w:r w:rsidR="00B64162" w:rsidRPr="0034190F">
        <w:rPr>
          <w:rFonts w:ascii="Cambria" w:hAnsi="Cambria"/>
          <w:sz w:val="20"/>
          <w:szCs w:val="20"/>
        </w:rPr>
        <w:t>,</w:t>
      </w:r>
      <w:r w:rsidRPr="0034190F">
        <w:rPr>
          <w:rFonts w:ascii="Cambria" w:hAnsi="Cambria"/>
          <w:sz w:val="20"/>
          <w:szCs w:val="20"/>
        </w:rPr>
        <w:t xml:space="preserve"> without noticing the glass</w:t>
      </w:r>
      <w:r w:rsidR="00B64162" w:rsidRPr="0034190F">
        <w:rPr>
          <w:rFonts w:ascii="Cambria" w:hAnsi="Cambria"/>
          <w:sz w:val="20"/>
          <w:szCs w:val="20"/>
        </w:rPr>
        <w:t>,</w:t>
      </w:r>
      <w:r w:rsidRPr="0034190F">
        <w:rPr>
          <w:rFonts w:ascii="Cambria" w:hAnsi="Cambria"/>
          <w:sz w:val="20"/>
          <w:szCs w:val="20"/>
        </w:rPr>
        <w:t xml:space="preserve"> and </w:t>
      </w:r>
      <w:r w:rsidR="00B64162" w:rsidRPr="0034190F">
        <w:rPr>
          <w:rFonts w:ascii="Cambria" w:hAnsi="Cambria"/>
          <w:sz w:val="20"/>
          <w:szCs w:val="20"/>
        </w:rPr>
        <w:t>at the same time</w:t>
      </w:r>
      <w:r w:rsidRPr="0034190F">
        <w:rPr>
          <w:rFonts w:ascii="Cambria" w:hAnsi="Cambria"/>
          <w:sz w:val="20"/>
          <w:szCs w:val="20"/>
        </w:rPr>
        <w:t xml:space="preserve"> it</w:t>
      </w:r>
      <w:r w:rsidR="007A4E79" w:rsidRPr="0034190F">
        <w:rPr>
          <w:rFonts w:ascii="Cambria" w:hAnsi="Cambria"/>
          <w:sz w:val="20"/>
          <w:szCs w:val="20"/>
        </w:rPr>
        <w:t xml:space="preserve">’s </w:t>
      </w:r>
      <w:r w:rsidRPr="0034190F">
        <w:rPr>
          <w:rFonts w:ascii="Cambria" w:hAnsi="Cambria"/>
          <w:sz w:val="20"/>
          <w:szCs w:val="20"/>
        </w:rPr>
        <w:t>not obeying the traffic signal</w:t>
      </w:r>
      <w:r w:rsidR="00B64162" w:rsidRPr="0034190F">
        <w:rPr>
          <w:rFonts w:ascii="Cambria" w:hAnsi="Cambria"/>
          <w:sz w:val="20"/>
          <w:szCs w:val="20"/>
        </w:rPr>
        <w:t>s</w:t>
      </w:r>
      <w:r w:rsidRPr="0034190F">
        <w:rPr>
          <w:rFonts w:ascii="Cambria" w:hAnsi="Cambria"/>
          <w:sz w:val="20"/>
          <w:szCs w:val="20"/>
        </w:rPr>
        <w:t xml:space="preserve"> and just about runs us over. By instinct and without authorization, I fired three </w:t>
      </w:r>
      <w:r w:rsidR="000863F5" w:rsidRPr="0034190F">
        <w:rPr>
          <w:rFonts w:ascii="Cambria" w:hAnsi="Cambria"/>
          <w:sz w:val="20"/>
          <w:szCs w:val="20"/>
        </w:rPr>
        <w:t>to</w:t>
      </w:r>
      <w:r w:rsidRPr="0034190F">
        <w:rPr>
          <w:rFonts w:ascii="Cambria" w:hAnsi="Cambria"/>
          <w:sz w:val="20"/>
          <w:szCs w:val="20"/>
        </w:rPr>
        <w:t xml:space="preserve"> four shots in the direction of the tires </w:t>
      </w:r>
      <w:r w:rsidR="000863F5" w:rsidRPr="0034190F">
        <w:rPr>
          <w:rFonts w:ascii="Cambria" w:hAnsi="Cambria"/>
          <w:sz w:val="20"/>
          <w:szCs w:val="20"/>
        </w:rPr>
        <w:t>on</w:t>
      </w:r>
      <w:r w:rsidRPr="0034190F">
        <w:rPr>
          <w:rFonts w:ascii="Cambria" w:hAnsi="Cambria"/>
          <w:sz w:val="20"/>
          <w:szCs w:val="20"/>
        </w:rPr>
        <w:t xml:space="preserve"> the right </w:t>
      </w:r>
      <w:r w:rsidR="009E07EA" w:rsidRPr="0034190F">
        <w:rPr>
          <w:rFonts w:ascii="Cambria" w:hAnsi="Cambria"/>
          <w:sz w:val="20"/>
          <w:szCs w:val="20"/>
        </w:rPr>
        <w:t xml:space="preserve">side </w:t>
      </w:r>
      <w:r w:rsidRPr="0034190F">
        <w:rPr>
          <w:rFonts w:ascii="Cambria" w:hAnsi="Cambria"/>
          <w:sz w:val="20"/>
          <w:szCs w:val="20"/>
        </w:rPr>
        <w:t>of the vehicle, the same as Ricardo, the other policeman at the entrance to Las Mercedes.</w:t>
      </w:r>
      <w:r w:rsidR="0043505F" w:rsidRPr="0034190F">
        <w:rPr>
          <w:rStyle w:val="FootnoteReference"/>
          <w:rFonts w:ascii="Cambria" w:hAnsi="Cambria"/>
          <w:sz w:val="20"/>
          <w:szCs w:val="20"/>
          <w:lang w:val="es-MX"/>
        </w:rPr>
        <w:footnoteReference w:id="13"/>
      </w:r>
    </w:p>
    <w:p w:rsidR="0043505F" w:rsidRPr="0034190F" w:rsidRDefault="0043505F" w:rsidP="0043505F">
      <w:pPr>
        <w:pStyle w:val="ListParagraph"/>
        <w:rPr>
          <w:color w:val="auto"/>
          <w:sz w:val="20"/>
          <w:szCs w:val="20"/>
        </w:rPr>
      </w:pPr>
    </w:p>
    <w:p w:rsidR="0043505F" w:rsidRPr="0034190F" w:rsidRDefault="00921F48"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In the </w:t>
      </w:r>
      <w:r w:rsidR="00166A95" w:rsidRPr="0034190F">
        <w:rPr>
          <w:rFonts w:ascii="Cambria" w:hAnsi="Cambria"/>
          <w:sz w:val="20"/>
          <w:szCs w:val="20"/>
        </w:rPr>
        <w:t>vicinity</w:t>
      </w:r>
      <w:r w:rsidRPr="0034190F">
        <w:rPr>
          <w:rFonts w:ascii="Cambria" w:hAnsi="Cambria"/>
          <w:sz w:val="20"/>
          <w:szCs w:val="20"/>
        </w:rPr>
        <w:t xml:space="preserve"> of the second checkpoint, </w:t>
      </w:r>
      <w:r w:rsidR="00B64162" w:rsidRPr="0034190F">
        <w:rPr>
          <w:rFonts w:ascii="Cambria" w:hAnsi="Cambria"/>
          <w:sz w:val="20"/>
          <w:szCs w:val="20"/>
        </w:rPr>
        <w:t>one</w:t>
      </w:r>
      <w:r w:rsidRPr="0034190F">
        <w:rPr>
          <w:rFonts w:ascii="Cambria" w:hAnsi="Cambria"/>
          <w:sz w:val="20"/>
          <w:szCs w:val="20"/>
        </w:rPr>
        <w:t xml:space="preserve"> bullet </w:t>
      </w:r>
      <w:r w:rsidR="00497500" w:rsidRPr="0034190F">
        <w:rPr>
          <w:rFonts w:ascii="Cambria" w:hAnsi="Cambria"/>
          <w:sz w:val="20"/>
          <w:szCs w:val="20"/>
        </w:rPr>
        <w:t>casing</w:t>
      </w:r>
      <w:r w:rsidRPr="0034190F">
        <w:rPr>
          <w:rFonts w:ascii="Cambria" w:hAnsi="Cambria"/>
          <w:sz w:val="20"/>
          <w:szCs w:val="20"/>
        </w:rPr>
        <w:t xml:space="preserve"> was found along the edge of the </w:t>
      </w:r>
      <w:r w:rsidR="00B64162" w:rsidRPr="0034190F">
        <w:rPr>
          <w:rFonts w:ascii="Cambria" w:hAnsi="Cambria"/>
          <w:sz w:val="20"/>
          <w:szCs w:val="20"/>
        </w:rPr>
        <w:t xml:space="preserve">lane going from south to </w:t>
      </w:r>
      <w:r w:rsidRPr="0034190F">
        <w:rPr>
          <w:rFonts w:ascii="Cambria" w:hAnsi="Cambria"/>
          <w:sz w:val="20"/>
          <w:szCs w:val="20"/>
        </w:rPr>
        <w:t xml:space="preserve">north, seven </w:t>
      </w:r>
      <w:r w:rsidR="00497500" w:rsidRPr="0034190F">
        <w:rPr>
          <w:rFonts w:ascii="Cambria" w:hAnsi="Cambria"/>
          <w:sz w:val="20"/>
          <w:szCs w:val="20"/>
        </w:rPr>
        <w:t xml:space="preserve">casings </w:t>
      </w:r>
      <w:r w:rsidRPr="0034190F">
        <w:rPr>
          <w:rFonts w:ascii="Cambria" w:hAnsi="Cambria"/>
          <w:sz w:val="20"/>
          <w:szCs w:val="20"/>
        </w:rPr>
        <w:t xml:space="preserve">along the edge of the north–south lane, and one at a distance of </w:t>
      </w:r>
      <w:r w:rsidRPr="0034190F">
        <w:rPr>
          <w:rFonts w:ascii="Cambria" w:hAnsi="Cambria"/>
          <w:sz w:val="20"/>
          <w:szCs w:val="20"/>
        </w:rPr>
        <w:lastRenderedPageBreak/>
        <w:t>1,500 meters from the police checkpoint, in front of the first house in the Cooperativa Pedro Joaquín Chamorro.</w:t>
      </w:r>
      <w:r w:rsidR="0043505F" w:rsidRPr="0034190F">
        <w:rPr>
          <w:rStyle w:val="FootnoteReference"/>
          <w:rFonts w:ascii="Cambria" w:hAnsi="Cambria"/>
          <w:sz w:val="20"/>
          <w:szCs w:val="20"/>
          <w:lang w:val="es-ES_tradnl"/>
        </w:rPr>
        <w:footnoteReference w:id="14"/>
      </w:r>
      <w:r w:rsidR="0043505F" w:rsidRPr="0034190F">
        <w:rPr>
          <w:rFonts w:ascii="Cambria" w:hAnsi="Cambria"/>
          <w:sz w:val="20"/>
          <w:szCs w:val="20"/>
        </w:rPr>
        <w:t xml:space="preserve"> </w:t>
      </w:r>
      <w:r w:rsidR="00424DA5" w:rsidRPr="0034190F">
        <w:rPr>
          <w:rFonts w:ascii="Cambria" w:hAnsi="Cambria"/>
          <w:sz w:val="20"/>
          <w:szCs w:val="20"/>
        </w:rPr>
        <w:t>The visual inspection of the vehicle on April 18, 1996, found six bullet holes: two in the front, two in the back, one on the left side, and another in the right door</w:t>
      </w:r>
      <w:r w:rsidR="00424DA5" w:rsidRPr="0034190F">
        <w:rPr>
          <w:rStyle w:val="FootnoteReference"/>
          <w:rFonts w:ascii="Cambria" w:hAnsi="Cambria"/>
          <w:sz w:val="20"/>
          <w:szCs w:val="20"/>
        </w:rPr>
        <w:t xml:space="preserve"> </w:t>
      </w:r>
      <w:r w:rsidR="00424DA5" w:rsidRPr="0034190F">
        <w:rPr>
          <w:rFonts w:ascii="Cambria" w:hAnsi="Cambria"/>
          <w:sz w:val="20"/>
          <w:szCs w:val="20"/>
        </w:rPr>
        <w:t>.</w:t>
      </w:r>
      <w:r w:rsidR="0043505F" w:rsidRPr="0034190F">
        <w:rPr>
          <w:rStyle w:val="FootnoteReference"/>
          <w:rFonts w:ascii="Cambria" w:hAnsi="Cambria"/>
          <w:sz w:val="20"/>
          <w:szCs w:val="20"/>
          <w:lang w:val="es-ES_tradnl"/>
        </w:rPr>
        <w:footnoteReference w:id="15"/>
      </w:r>
      <w:r w:rsidR="0043505F" w:rsidRPr="0034190F">
        <w:rPr>
          <w:rFonts w:ascii="Cambria" w:hAnsi="Cambria"/>
          <w:sz w:val="20"/>
          <w:szCs w:val="20"/>
        </w:rPr>
        <w:t xml:space="preserve">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43505F" w:rsidRPr="0034190F" w:rsidRDefault="00C37F8E"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In their testimonies,</w:t>
      </w:r>
      <w:r w:rsidR="0043505F" w:rsidRPr="0034190F">
        <w:rPr>
          <w:rFonts w:ascii="Cambria" w:hAnsi="Cambria"/>
          <w:sz w:val="20"/>
          <w:szCs w:val="20"/>
        </w:rPr>
        <w:t xml:space="preserve"> </w:t>
      </w:r>
      <w:r w:rsidRPr="0034190F">
        <w:rPr>
          <w:rFonts w:ascii="Cambria" w:hAnsi="Cambria"/>
          <w:sz w:val="20"/>
          <w:szCs w:val="20"/>
        </w:rPr>
        <w:t>the migrants said that they had repeatedly asked the driver to stop the vehicle, as some people had been wounded as a result of the gunshots. However, the driver continued on to Marimboro, where he went off on</w:t>
      </w:r>
      <w:r w:rsidR="00760851" w:rsidRPr="0034190F">
        <w:rPr>
          <w:rFonts w:ascii="Cambria" w:hAnsi="Cambria"/>
          <w:sz w:val="20"/>
          <w:szCs w:val="20"/>
        </w:rPr>
        <w:t>to</w:t>
      </w:r>
      <w:r w:rsidRPr="0034190F">
        <w:rPr>
          <w:rFonts w:ascii="Cambria" w:hAnsi="Cambria"/>
          <w:sz w:val="20"/>
          <w:szCs w:val="20"/>
        </w:rPr>
        <w:t xml:space="preserve"> a dirt road, traveling approximately nine kilometers to a community known as Jucote, where he stopped and got the migrants out of the vehicle, abandoning them </w:t>
      </w:r>
      <w:r w:rsidR="007A4E79" w:rsidRPr="0034190F">
        <w:rPr>
          <w:rFonts w:ascii="Cambria" w:hAnsi="Cambria"/>
          <w:sz w:val="20"/>
          <w:szCs w:val="20"/>
        </w:rPr>
        <w:t>there</w:t>
      </w:r>
      <w:r w:rsidRPr="0034190F">
        <w:rPr>
          <w:rFonts w:ascii="Cambria" w:hAnsi="Cambria"/>
          <w:sz w:val="20"/>
          <w:szCs w:val="20"/>
        </w:rPr>
        <w:t xml:space="preserve"> while he continued to flee.</w:t>
      </w:r>
      <w:r w:rsidR="0043505F" w:rsidRPr="0034190F">
        <w:rPr>
          <w:rStyle w:val="FootnoteReference"/>
          <w:rFonts w:ascii="Cambria" w:hAnsi="Cambria"/>
          <w:sz w:val="20"/>
          <w:szCs w:val="20"/>
          <w:lang w:val="es-ES_tradnl"/>
        </w:rPr>
        <w:footnoteReference w:id="16"/>
      </w:r>
    </w:p>
    <w:p w:rsidR="0043505F" w:rsidRPr="0034190F" w:rsidRDefault="0043505F" w:rsidP="0043505F">
      <w:pPr>
        <w:pStyle w:val="ListParagraph"/>
        <w:rPr>
          <w:color w:val="auto"/>
          <w:sz w:val="20"/>
          <w:szCs w:val="20"/>
        </w:rPr>
      </w:pPr>
    </w:p>
    <w:p w:rsidR="0043505F" w:rsidRPr="0034190F" w:rsidRDefault="006219C4"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According to the migrants’ testimonies, when the vehicle stopped everyone scattered into the </w:t>
      </w:r>
      <w:r w:rsidR="0050753C" w:rsidRPr="0034190F">
        <w:rPr>
          <w:rFonts w:ascii="Cambria" w:hAnsi="Cambria"/>
          <w:sz w:val="20"/>
          <w:szCs w:val="20"/>
        </w:rPr>
        <w:t>scrub</w:t>
      </w:r>
      <w:r w:rsidRPr="0034190F">
        <w:rPr>
          <w:rFonts w:ascii="Cambria" w:hAnsi="Cambria"/>
          <w:sz w:val="20"/>
          <w:szCs w:val="20"/>
        </w:rPr>
        <w:t xml:space="preserve"> for fear of being arrested. There were five </w:t>
      </w:r>
      <w:r w:rsidR="0050753C" w:rsidRPr="0034190F">
        <w:rPr>
          <w:rFonts w:ascii="Cambria" w:hAnsi="Cambria"/>
          <w:sz w:val="20"/>
          <w:szCs w:val="20"/>
        </w:rPr>
        <w:t>individuals</w:t>
      </w:r>
      <w:r w:rsidRPr="0034190F">
        <w:rPr>
          <w:rFonts w:ascii="Cambria" w:hAnsi="Cambria"/>
          <w:sz w:val="20"/>
          <w:szCs w:val="20"/>
        </w:rPr>
        <w:t xml:space="preserve"> who were injured and Pedro Bacilio Roche Azaña, who was suffering in agony and later died. Some of the migrants helped the wounded to a nearby shack, where</w:t>
      </w:r>
      <w:r w:rsidR="0050753C" w:rsidRPr="0034190F">
        <w:rPr>
          <w:rFonts w:ascii="Cambria" w:hAnsi="Cambria"/>
          <w:sz w:val="20"/>
          <w:szCs w:val="20"/>
        </w:rPr>
        <w:t xml:space="preserve"> local</w:t>
      </w:r>
      <w:r w:rsidRPr="0034190F">
        <w:rPr>
          <w:rFonts w:ascii="Cambria" w:hAnsi="Cambria"/>
          <w:sz w:val="20"/>
          <w:szCs w:val="20"/>
        </w:rPr>
        <w:t xml:space="preserve"> campesinos attended to and helped them.</w:t>
      </w:r>
      <w:r w:rsidR="0043505F" w:rsidRPr="0034190F">
        <w:rPr>
          <w:rStyle w:val="FootnoteReference"/>
          <w:rFonts w:ascii="Cambria" w:hAnsi="Cambria"/>
          <w:sz w:val="20"/>
          <w:szCs w:val="20"/>
          <w:lang w:val="es-ES_tradnl"/>
        </w:rPr>
        <w:footnoteReference w:id="17"/>
      </w:r>
      <w:r w:rsidR="0043505F" w:rsidRPr="0034190F">
        <w:rPr>
          <w:rFonts w:ascii="Cambria" w:hAnsi="Cambria"/>
          <w:sz w:val="20"/>
          <w:szCs w:val="20"/>
        </w:rPr>
        <w:t xml:space="preserve"> </w:t>
      </w:r>
    </w:p>
    <w:p w:rsidR="0043505F" w:rsidRPr="0034190F" w:rsidRDefault="0043505F" w:rsidP="0043505F">
      <w:pPr>
        <w:pStyle w:val="ListParagraph"/>
        <w:rPr>
          <w:color w:val="auto"/>
          <w:sz w:val="20"/>
          <w:szCs w:val="20"/>
        </w:rPr>
      </w:pPr>
    </w:p>
    <w:p w:rsidR="0043505F" w:rsidRPr="0034190F" w:rsidRDefault="0043505F"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A</w:t>
      </w:r>
      <w:r w:rsidR="00E73FB8" w:rsidRPr="0034190F">
        <w:rPr>
          <w:rFonts w:ascii="Cambria" w:hAnsi="Cambria"/>
          <w:sz w:val="20"/>
          <w:szCs w:val="20"/>
        </w:rPr>
        <w:t xml:space="preserve">round midnight, </w:t>
      </w:r>
      <w:r w:rsidR="007217B2" w:rsidRPr="0034190F">
        <w:rPr>
          <w:rFonts w:ascii="Cambria" w:hAnsi="Cambria"/>
          <w:sz w:val="20"/>
          <w:szCs w:val="20"/>
        </w:rPr>
        <w:t xml:space="preserve">Mr. </w:t>
      </w:r>
      <w:r w:rsidR="00E73FB8" w:rsidRPr="0034190F">
        <w:rPr>
          <w:rFonts w:ascii="Cambria" w:hAnsi="Cambria"/>
          <w:sz w:val="20"/>
          <w:szCs w:val="20"/>
        </w:rPr>
        <w:t xml:space="preserve">Pedro Bacilio Roche Azaña died of </w:t>
      </w:r>
      <w:r w:rsidR="0050753C" w:rsidRPr="0034190F">
        <w:rPr>
          <w:rFonts w:ascii="Cambria" w:hAnsi="Cambria"/>
          <w:sz w:val="20"/>
          <w:szCs w:val="20"/>
        </w:rPr>
        <w:t>the</w:t>
      </w:r>
      <w:r w:rsidR="00E73FB8" w:rsidRPr="0034190F">
        <w:rPr>
          <w:rFonts w:ascii="Cambria" w:hAnsi="Cambria"/>
          <w:sz w:val="20"/>
          <w:szCs w:val="20"/>
        </w:rPr>
        <w:t xml:space="preserve"> gunshot wound. The legal medical </w:t>
      </w:r>
      <w:r w:rsidR="00F276EB" w:rsidRPr="0034190F">
        <w:rPr>
          <w:rFonts w:ascii="Cambria" w:hAnsi="Cambria"/>
          <w:sz w:val="20"/>
          <w:szCs w:val="20"/>
        </w:rPr>
        <w:t>report</w:t>
      </w:r>
      <w:r w:rsidR="00E73FB8" w:rsidRPr="0034190F">
        <w:rPr>
          <w:rFonts w:ascii="Cambria" w:hAnsi="Cambria"/>
          <w:sz w:val="20"/>
          <w:szCs w:val="20"/>
        </w:rPr>
        <w:t xml:space="preserve"> states: “It is clear that citizen Pedro Bacilio Roche Azaña died due to external violence, consist</w:t>
      </w:r>
      <w:r w:rsidR="001A2AB9" w:rsidRPr="0034190F">
        <w:rPr>
          <w:rFonts w:ascii="Cambria" w:hAnsi="Cambria"/>
          <w:sz w:val="20"/>
          <w:szCs w:val="20"/>
        </w:rPr>
        <w:t>ing of</w:t>
      </w:r>
      <w:r w:rsidR="00E73FB8" w:rsidRPr="0034190F">
        <w:rPr>
          <w:rFonts w:ascii="Cambria" w:hAnsi="Cambria"/>
          <w:sz w:val="20"/>
          <w:szCs w:val="20"/>
        </w:rPr>
        <w:t xml:space="preserve"> a penetrating </w:t>
      </w:r>
      <w:r w:rsidR="001A2AB9" w:rsidRPr="0034190F">
        <w:rPr>
          <w:rFonts w:ascii="Cambria" w:hAnsi="Cambria"/>
          <w:sz w:val="20"/>
          <w:szCs w:val="20"/>
        </w:rPr>
        <w:t xml:space="preserve">wound </w:t>
      </w:r>
      <w:r w:rsidR="00C531D4" w:rsidRPr="0034190F">
        <w:rPr>
          <w:rFonts w:ascii="Cambria" w:hAnsi="Cambria"/>
          <w:sz w:val="20"/>
          <w:szCs w:val="20"/>
        </w:rPr>
        <w:t>caused by</w:t>
      </w:r>
      <w:r w:rsidR="001A2AB9" w:rsidRPr="0034190F">
        <w:rPr>
          <w:rFonts w:ascii="Cambria" w:hAnsi="Cambria"/>
          <w:sz w:val="20"/>
          <w:szCs w:val="20"/>
        </w:rPr>
        <w:t xml:space="preserve"> a </w:t>
      </w:r>
      <w:r w:rsidR="00E73FB8" w:rsidRPr="0034190F">
        <w:rPr>
          <w:rFonts w:ascii="Cambria" w:hAnsi="Cambria"/>
          <w:sz w:val="20"/>
          <w:szCs w:val="20"/>
        </w:rPr>
        <w:t xml:space="preserve">firearm projectile, that this projectile was </w:t>
      </w:r>
      <w:r w:rsidR="000B4E39" w:rsidRPr="0034190F">
        <w:rPr>
          <w:rFonts w:ascii="Cambria" w:hAnsi="Cambria"/>
          <w:sz w:val="20"/>
          <w:szCs w:val="20"/>
        </w:rPr>
        <w:t>found</w:t>
      </w:r>
      <w:r w:rsidR="00E73FB8" w:rsidRPr="0034190F">
        <w:rPr>
          <w:rFonts w:ascii="Cambria" w:hAnsi="Cambria"/>
          <w:sz w:val="20"/>
          <w:szCs w:val="20"/>
        </w:rPr>
        <w:t xml:space="preserve"> to be the type known as AK (a weapon of war)</w:t>
      </w:r>
      <w:r w:rsidR="000B4E39" w:rsidRPr="0034190F">
        <w:rPr>
          <w:rFonts w:ascii="Cambria" w:hAnsi="Cambria"/>
          <w:sz w:val="20"/>
          <w:szCs w:val="20"/>
        </w:rPr>
        <w:t>.”</w:t>
      </w:r>
      <w:r w:rsidRPr="0034190F">
        <w:rPr>
          <w:rStyle w:val="FootnoteReference"/>
          <w:rFonts w:ascii="Cambria" w:hAnsi="Cambria"/>
          <w:sz w:val="20"/>
          <w:szCs w:val="20"/>
          <w:lang w:val="es-ES_tradnl"/>
        </w:rPr>
        <w:footnoteReference w:id="18"/>
      </w:r>
      <w:r w:rsidRPr="0034190F">
        <w:rPr>
          <w:rFonts w:ascii="Cambria" w:hAnsi="Cambria"/>
          <w:sz w:val="20"/>
          <w:szCs w:val="20"/>
        </w:rPr>
        <w:t xml:space="preserve"> </w:t>
      </w:r>
      <w:r w:rsidR="000B4E39" w:rsidRPr="0034190F">
        <w:rPr>
          <w:rFonts w:ascii="Cambria" w:hAnsi="Cambria"/>
          <w:sz w:val="20"/>
          <w:szCs w:val="20"/>
        </w:rPr>
        <w:t xml:space="preserve">On April 27, 1996, the </w:t>
      </w:r>
      <w:r w:rsidR="0050753C" w:rsidRPr="0034190F">
        <w:rPr>
          <w:rFonts w:ascii="Cambria" w:hAnsi="Cambria"/>
          <w:sz w:val="20"/>
          <w:szCs w:val="20"/>
        </w:rPr>
        <w:t>procedure</w:t>
      </w:r>
      <w:r w:rsidR="0064423C" w:rsidRPr="0034190F">
        <w:rPr>
          <w:rFonts w:ascii="Cambria" w:hAnsi="Cambria"/>
          <w:sz w:val="20"/>
          <w:szCs w:val="20"/>
        </w:rPr>
        <w:t>s</w:t>
      </w:r>
      <w:r w:rsidR="0050753C" w:rsidRPr="0034190F">
        <w:rPr>
          <w:rFonts w:ascii="Cambria" w:hAnsi="Cambria"/>
          <w:sz w:val="20"/>
          <w:szCs w:val="20"/>
        </w:rPr>
        <w:t xml:space="preserve"> to</w:t>
      </w:r>
      <w:r w:rsidR="000B4E39" w:rsidRPr="0034190F">
        <w:rPr>
          <w:rFonts w:ascii="Cambria" w:hAnsi="Cambria"/>
          <w:sz w:val="20"/>
          <w:szCs w:val="20"/>
        </w:rPr>
        <w:t xml:space="preserve"> preserve and prepare</w:t>
      </w:r>
      <w:r w:rsidR="0050753C" w:rsidRPr="0034190F">
        <w:rPr>
          <w:rFonts w:ascii="Cambria" w:hAnsi="Cambria"/>
          <w:sz w:val="20"/>
          <w:szCs w:val="20"/>
        </w:rPr>
        <w:t xml:space="preserve"> the body w</w:t>
      </w:r>
      <w:r w:rsidR="0064423C" w:rsidRPr="0034190F">
        <w:rPr>
          <w:rFonts w:ascii="Cambria" w:hAnsi="Cambria"/>
          <w:sz w:val="20"/>
          <w:szCs w:val="20"/>
        </w:rPr>
        <w:t>ere</w:t>
      </w:r>
      <w:r w:rsidR="0050753C" w:rsidRPr="0034190F">
        <w:rPr>
          <w:rFonts w:ascii="Cambria" w:hAnsi="Cambria"/>
          <w:sz w:val="20"/>
          <w:szCs w:val="20"/>
        </w:rPr>
        <w:t xml:space="preserve"> carried out</w:t>
      </w:r>
      <w:r w:rsidR="000B4E39" w:rsidRPr="0034190F">
        <w:rPr>
          <w:rFonts w:ascii="Cambria" w:hAnsi="Cambria"/>
          <w:sz w:val="20"/>
          <w:szCs w:val="20"/>
        </w:rPr>
        <w:t xml:space="preserve"> at the morgue in the Hospital España in Chinandega, </w:t>
      </w:r>
      <w:r w:rsidR="0064423C" w:rsidRPr="0034190F">
        <w:rPr>
          <w:rFonts w:ascii="Cambria" w:hAnsi="Cambria"/>
          <w:sz w:val="20"/>
          <w:szCs w:val="20"/>
        </w:rPr>
        <w:t xml:space="preserve">so that the body could </w:t>
      </w:r>
      <w:r w:rsidR="000B4E39" w:rsidRPr="0034190F">
        <w:rPr>
          <w:rFonts w:ascii="Cambria" w:hAnsi="Cambria"/>
          <w:sz w:val="20"/>
          <w:szCs w:val="20"/>
        </w:rPr>
        <w:t>be transported to the Republic of Ecuador.</w:t>
      </w:r>
      <w:r w:rsidRPr="0034190F">
        <w:rPr>
          <w:rStyle w:val="FootnoteReference"/>
          <w:rFonts w:ascii="Cambria" w:hAnsi="Cambria"/>
          <w:sz w:val="20"/>
          <w:szCs w:val="20"/>
          <w:lang w:val="es-ES_tradnl"/>
        </w:rPr>
        <w:footnoteReference w:id="19"/>
      </w:r>
      <w:r w:rsidRPr="0034190F">
        <w:rPr>
          <w:rFonts w:ascii="Cambria" w:hAnsi="Cambria"/>
          <w:sz w:val="20"/>
          <w:szCs w:val="20"/>
        </w:rPr>
        <w:t xml:space="preserve">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43505F" w:rsidRPr="0034190F" w:rsidRDefault="001A2AB9"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According</w:t>
      </w:r>
      <w:r w:rsidR="0043505F" w:rsidRPr="0034190F">
        <w:rPr>
          <w:rFonts w:ascii="Cambria" w:hAnsi="Cambria"/>
          <w:sz w:val="20"/>
          <w:szCs w:val="20"/>
        </w:rPr>
        <w:t xml:space="preserve"> </w:t>
      </w:r>
      <w:r w:rsidRPr="0034190F">
        <w:rPr>
          <w:rFonts w:ascii="Cambria" w:hAnsi="Cambria"/>
          <w:sz w:val="20"/>
          <w:szCs w:val="20"/>
        </w:rPr>
        <w:t xml:space="preserve">to the migrants’ testimony, some of them helped the wounded, carrying them to a </w:t>
      </w:r>
      <w:r w:rsidR="0064423C" w:rsidRPr="0034190F">
        <w:rPr>
          <w:rFonts w:ascii="Cambria" w:hAnsi="Cambria"/>
          <w:sz w:val="20"/>
          <w:szCs w:val="20"/>
        </w:rPr>
        <w:t xml:space="preserve">small </w:t>
      </w:r>
      <w:r w:rsidR="00B72B36" w:rsidRPr="0034190F">
        <w:rPr>
          <w:rFonts w:ascii="Cambria" w:hAnsi="Cambria"/>
          <w:sz w:val="20"/>
          <w:szCs w:val="20"/>
        </w:rPr>
        <w:t>farmhouse</w:t>
      </w:r>
      <w:r w:rsidRPr="0034190F">
        <w:rPr>
          <w:rFonts w:ascii="Cambria" w:hAnsi="Cambria"/>
          <w:sz w:val="20"/>
          <w:szCs w:val="20"/>
        </w:rPr>
        <w:t xml:space="preserve"> </w:t>
      </w:r>
      <w:r w:rsidR="00B72B36" w:rsidRPr="0034190F">
        <w:rPr>
          <w:rFonts w:ascii="Cambria" w:hAnsi="Cambria"/>
          <w:sz w:val="20"/>
          <w:szCs w:val="20"/>
        </w:rPr>
        <w:t>located</w:t>
      </w:r>
      <w:r w:rsidRPr="0034190F">
        <w:rPr>
          <w:rFonts w:ascii="Cambria" w:hAnsi="Cambria"/>
          <w:sz w:val="20"/>
          <w:szCs w:val="20"/>
        </w:rPr>
        <w:t xml:space="preserve"> about 40 meters from the place where the vehicle had stopped. They stayed there, helped by </w:t>
      </w:r>
      <w:r w:rsidR="00B72B36" w:rsidRPr="0034190F">
        <w:rPr>
          <w:rFonts w:ascii="Cambria" w:hAnsi="Cambria"/>
          <w:sz w:val="20"/>
          <w:szCs w:val="20"/>
        </w:rPr>
        <w:t xml:space="preserve">Mr. </w:t>
      </w:r>
      <w:r w:rsidRPr="0034190F">
        <w:rPr>
          <w:rFonts w:ascii="Cambria" w:hAnsi="Cambria"/>
          <w:sz w:val="20"/>
          <w:szCs w:val="20"/>
        </w:rPr>
        <w:t xml:space="preserve">Ruperto Méndez Méndez, who obtained the assistance of </w:t>
      </w:r>
      <w:r w:rsidR="00B72B36" w:rsidRPr="0034190F">
        <w:rPr>
          <w:rFonts w:ascii="Cambria" w:hAnsi="Cambria"/>
          <w:sz w:val="20"/>
          <w:szCs w:val="20"/>
        </w:rPr>
        <w:t xml:space="preserve">Mr. </w:t>
      </w:r>
      <w:r w:rsidRPr="0034190F">
        <w:rPr>
          <w:rFonts w:ascii="Cambria" w:hAnsi="Cambria"/>
          <w:sz w:val="20"/>
          <w:szCs w:val="20"/>
        </w:rPr>
        <w:t xml:space="preserve">Luis Guerrero to take them in his personal vehicle to the health-care center in Villanueva. </w:t>
      </w:r>
      <w:r w:rsidR="00B72B36" w:rsidRPr="0034190F">
        <w:rPr>
          <w:rFonts w:ascii="Cambria" w:hAnsi="Cambria"/>
          <w:sz w:val="20"/>
          <w:szCs w:val="20"/>
        </w:rPr>
        <w:t>Given</w:t>
      </w:r>
      <w:r w:rsidRPr="0034190F">
        <w:rPr>
          <w:rFonts w:ascii="Cambria" w:hAnsi="Cambria"/>
          <w:sz w:val="20"/>
          <w:szCs w:val="20"/>
        </w:rPr>
        <w:t xml:space="preserve"> the</w:t>
      </w:r>
      <w:r w:rsidR="00B72B36" w:rsidRPr="0034190F">
        <w:rPr>
          <w:rFonts w:ascii="Cambria" w:hAnsi="Cambria"/>
          <w:sz w:val="20"/>
          <w:szCs w:val="20"/>
        </w:rPr>
        <w:t>ir</w:t>
      </w:r>
      <w:r w:rsidRPr="0034190F">
        <w:rPr>
          <w:rFonts w:ascii="Cambria" w:hAnsi="Cambria"/>
          <w:sz w:val="20"/>
          <w:szCs w:val="20"/>
        </w:rPr>
        <w:t xml:space="preserve"> serious</w:t>
      </w:r>
      <w:r w:rsidR="00B72B36" w:rsidRPr="0034190F">
        <w:rPr>
          <w:rFonts w:ascii="Cambria" w:hAnsi="Cambria"/>
          <w:sz w:val="20"/>
          <w:szCs w:val="20"/>
        </w:rPr>
        <w:t xml:space="preserve"> </w:t>
      </w:r>
      <w:r w:rsidRPr="0034190F">
        <w:rPr>
          <w:rFonts w:ascii="Cambria" w:hAnsi="Cambria"/>
          <w:sz w:val="20"/>
          <w:szCs w:val="20"/>
        </w:rPr>
        <w:t xml:space="preserve">condition, an ambulance later arrived and took them to </w:t>
      </w:r>
      <w:r w:rsidR="00B72B36" w:rsidRPr="0034190F">
        <w:rPr>
          <w:rFonts w:ascii="Cambria" w:hAnsi="Cambria"/>
          <w:sz w:val="20"/>
          <w:szCs w:val="20"/>
        </w:rPr>
        <w:t xml:space="preserve">the </w:t>
      </w:r>
      <w:r w:rsidRPr="0034190F">
        <w:rPr>
          <w:rFonts w:ascii="Cambria" w:hAnsi="Cambria"/>
          <w:sz w:val="20"/>
          <w:szCs w:val="20"/>
        </w:rPr>
        <w:t>Hospital España for treatment.</w:t>
      </w:r>
      <w:r w:rsidR="0043505F" w:rsidRPr="0034190F">
        <w:rPr>
          <w:rStyle w:val="FootnoteReference"/>
          <w:rFonts w:ascii="Cambria" w:hAnsi="Cambria"/>
          <w:sz w:val="20"/>
          <w:szCs w:val="20"/>
          <w:lang w:val="es-ES_tradnl"/>
        </w:rPr>
        <w:footnoteReference w:id="20"/>
      </w:r>
      <w:r w:rsidR="0043505F" w:rsidRPr="0034190F">
        <w:rPr>
          <w:rFonts w:ascii="Cambria" w:hAnsi="Cambria"/>
          <w:sz w:val="20"/>
          <w:szCs w:val="20"/>
        </w:rPr>
        <w:t xml:space="preserve">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43505F" w:rsidRPr="0034190F" w:rsidRDefault="001A2AB9"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According to the medical </w:t>
      </w:r>
      <w:r w:rsidR="00F276EB" w:rsidRPr="0034190F">
        <w:rPr>
          <w:rFonts w:ascii="Cambria" w:hAnsi="Cambria"/>
          <w:sz w:val="20"/>
          <w:szCs w:val="20"/>
        </w:rPr>
        <w:t>report</w:t>
      </w:r>
      <w:r w:rsidRPr="0034190F">
        <w:rPr>
          <w:rFonts w:ascii="Cambria" w:hAnsi="Cambria"/>
          <w:sz w:val="20"/>
          <w:szCs w:val="20"/>
        </w:rPr>
        <w:t xml:space="preserve">, Patricio Roche Azaña was gravely wounded, having suffered a perforation of the pelvic floor and an intestinal perforation. He also had an ischiorectal hematoma, perforation of the colon, and due to his serious condition, he </w:t>
      </w:r>
      <w:r w:rsidR="00166A95" w:rsidRPr="0034190F">
        <w:rPr>
          <w:rFonts w:ascii="Cambria" w:hAnsi="Cambria"/>
          <w:sz w:val="20"/>
          <w:szCs w:val="20"/>
        </w:rPr>
        <w:t>underwent</w:t>
      </w:r>
      <w:r w:rsidRPr="0034190F">
        <w:rPr>
          <w:rFonts w:ascii="Cambria" w:hAnsi="Cambria"/>
          <w:sz w:val="20"/>
          <w:szCs w:val="20"/>
        </w:rPr>
        <w:t xml:space="preserve"> another surgery on April 21, 1996. There was also a fracture of the left femur, and it was determined that he was at imminent risk of death.</w:t>
      </w:r>
      <w:r w:rsidRPr="0034190F">
        <w:rPr>
          <w:rStyle w:val="FootnoteReference"/>
          <w:rFonts w:ascii="Cambria" w:hAnsi="Cambria"/>
          <w:sz w:val="20"/>
          <w:szCs w:val="20"/>
        </w:rPr>
        <w:footnoteReference w:id="21"/>
      </w:r>
      <w:r w:rsidRPr="0034190F">
        <w:rPr>
          <w:rFonts w:ascii="Cambria" w:hAnsi="Cambria"/>
          <w:sz w:val="20"/>
          <w:szCs w:val="20"/>
        </w:rPr>
        <w:t xml:space="preserve"> In addition, five other individuals received gunshot wounds to different parts of their bodies.</w:t>
      </w:r>
      <w:r w:rsidR="0043505F" w:rsidRPr="0034190F">
        <w:rPr>
          <w:rStyle w:val="FootnoteReference"/>
          <w:rFonts w:ascii="Cambria" w:hAnsi="Cambria"/>
          <w:sz w:val="20"/>
          <w:szCs w:val="20"/>
          <w:lang w:val="es-ES_tradnl"/>
        </w:rPr>
        <w:footnoteReference w:id="22"/>
      </w:r>
      <w:r w:rsidR="0043505F" w:rsidRPr="0034190F">
        <w:rPr>
          <w:rFonts w:ascii="Cambria" w:hAnsi="Cambria"/>
          <w:sz w:val="20"/>
          <w:szCs w:val="20"/>
        </w:rPr>
        <w:t xml:space="preserve">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43505F" w:rsidRPr="0034190F" w:rsidRDefault="000B4E39"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lastRenderedPageBreak/>
        <w:t xml:space="preserve">Nicaragua’s </w:t>
      </w:r>
      <w:r w:rsidR="000C07B5" w:rsidRPr="0034190F">
        <w:rPr>
          <w:rFonts w:ascii="Cambria" w:hAnsi="Cambria"/>
          <w:sz w:val="20"/>
          <w:szCs w:val="20"/>
        </w:rPr>
        <w:t>Directorate</w:t>
      </w:r>
      <w:r w:rsidRPr="0034190F">
        <w:rPr>
          <w:rFonts w:ascii="Cambria" w:hAnsi="Cambria"/>
          <w:sz w:val="20"/>
          <w:szCs w:val="20"/>
        </w:rPr>
        <w:t xml:space="preserve"> of </w:t>
      </w:r>
      <w:r w:rsidR="000C07B5" w:rsidRPr="0034190F">
        <w:rPr>
          <w:rFonts w:ascii="Cambria" w:hAnsi="Cambria"/>
          <w:sz w:val="20"/>
          <w:szCs w:val="20"/>
        </w:rPr>
        <w:t>M</w:t>
      </w:r>
      <w:r w:rsidRPr="0034190F">
        <w:rPr>
          <w:rFonts w:ascii="Cambria" w:hAnsi="Cambria"/>
          <w:sz w:val="20"/>
          <w:szCs w:val="20"/>
        </w:rPr>
        <w:t>igration and Nationality authorized the foreigners</w:t>
      </w:r>
      <w:r w:rsidR="000C07B5" w:rsidRPr="0034190F">
        <w:rPr>
          <w:rFonts w:ascii="Cambria" w:hAnsi="Cambria"/>
          <w:sz w:val="20"/>
          <w:szCs w:val="20"/>
        </w:rPr>
        <w:t>’ departure</w:t>
      </w:r>
      <w:r w:rsidRPr="0034190F">
        <w:rPr>
          <w:rFonts w:ascii="Cambria" w:hAnsi="Cambria"/>
          <w:sz w:val="20"/>
          <w:szCs w:val="20"/>
        </w:rPr>
        <w:t xml:space="preserve"> to their countries of origin without </w:t>
      </w:r>
      <w:r w:rsidR="000C07B5" w:rsidRPr="0034190F">
        <w:rPr>
          <w:rFonts w:ascii="Cambria" w:hAnsi="Cambria"/>
          <w:sz w:val="20"/>
          <w:szCs w:val="20"/>
        </w:rPr>
        <w:t xml:space="preserve">initiating </w:t>
      </w:r>
      <w:r w:rsidRPr="0034190F">
        <w:rPr>
          <w:rFonts w:ascii="Cambria" w:hAnsi="Cambria"/>
          <w:sz w:val="20"/>
          <w:szCs w:val="20"/>
        </w:rPr>
        <w:t>criminal proceeding</w:t>
      </w:r>
      <w:r w:rsidR="000C07B5" w:rsidRPr="0034190F">
        <w:rPr>
          <w:rFonts w:ascii="Cambria" w:hAnsi="Cambria"/>
          <w:sz w:val="20"/>
          <w:szCs w:val="20"/>
        </w:rPr>
        <w:t>s</w:t>
      </w:r>
      <w:r w:rsidRPr="0034190F">
        <w:rPr>
          <w:rFonts w:ascii="Cambria" w:hAnsi="Cambria"/>
          <w:sz w:val="20"/>
          <w:szCs w:val="20"/>
        </w:rPr>
        <w:t xml:space="preserve"> against them for being migrants with irregular status, which at the time was a crime.</w:t>
      </w:r>
      <w:r w:rsidR="0043505F" w:rsidRPr="0034190F">
        <w:rPr>
          <w:rStyle w:val="FootnoteReference"/>
          <w:rFonts w:ascii="Cambria" w:hAnsi="Cambria"/>
          <w:sz w:val="20"/>
          <w:szCs w:val="20"/>
          <w:lang w:val="es-ES_tradnl"/>
        </w:rPr>
        <w:footnoteReference w:id="23"/>
      </w:r>
      <w:r w:rsidR="0043505F" w:rsidRPr="0034190F">
        <w:rPr>
          <w:rFonts w:ascii="Cambria" w:hAnsi="Cambria"/>
          <w:sz w:val="20"/>
          <w:szCs w:val="20"/>
        </w:rPr>
        <w:t xml:space="preserve">  </w:t>
      </w:r>
    </w:p>
    <w:p w:rsidR="0043505F" w:rsidRPr="0034190F" w:rsidRDefault="0043505F" w:rsidP="0043505F">
      <w:pPr>
        <w:rPr>
          <w:rFonts w:ascii="Cambria" w:hAnsi="Cambria"/>
          <w:b/>
          <w:sz w:val="20"/>
          <w:szCs w:val="20"/>
        </w:rPr>
      </w:pPr>
    </w:p>
    <w:p w:rsidR="0043505F" w:rsidRPr="0034190F" w:rsidRDefault="00380B4A" w:rsidP="0043505F">
      <w:pPr>
        <w:pStyle w:val="ListParagraph"/>
        <w:numPr>
          <w:ilvl w:val="0"/>
          <w:numId w:val="110"/>
        </w:numPr>
        <w:ind w:firstLine="0"/>
        <w:jc w:val="both"/>
        <w:rPr>
          <w:b/>
          <w:color w:val="auto"/>
          <w:sz w:val="20"/>
          <w:szCs w:val="20"/>
          <w:lang w:val="es-ES_tradnl"/>
        </w:rPr>
      </w:pPr>
      <w:r w:rsidRPr="0034190F">
        <w:rPr>
          <w:b/>
          <w:color w:val="auto"/>
          <w:sz w:val="20"/>
          <w:szCs w:val="20"/>
          <w:lang w:val="es-ES_tradnl"/>
        </w:rPr>
        <w:t>Regarding the domestic proceedings</w:t>
      </w:r>
    </w:p>
    <w:p w:rsidR="0043505F" w:rsidRPr="0034190F" w:rsidRDefault="0043505F" w:rsidP="0043505F">
      <w:pPr>
        <w:ind w:left="1080"/>
        <w:jc w:val="both"/>
        <w:rPr>
          <w:rFonts w:ascii="Cambria" w:hAnsi="Cambria"/>
          <w:b/>
          <w:sz w:val="20"/>
          <w:szCs w:val="20"/>
          <w:lang w:val="es-ES_tradnl"/>
        </w:rPr>
      </w:pPr>
    </w:p>
    <w:p w:rsidR="0043505F" w:rsidRPr="0034190F" w:rsidRDefault="000B4E39"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_tradnl"/>
        </w:rPr>
      </w:pPr>
      <w:r w:rsidRPr="0034190F">
        <w:rPr>
          <w:rFonts w:ascii="Cambria" w:hAnsi="Cambria"/>
          <w:sz w:val="20"/>
          <w:szCs w:val="20"/>
          <w:lang w:val="es-ES_tradnl"/>
        </w:rPr>
        <w:t xml:space="preserve">The assistant criminal prosecutor in Chinandega filed charges against </w:t>
      </w:r>
      <w:r w:rsidR="0043505F" w:rsidRPr="0034190F">
        <w:rPr>
          <w:rFonts w:ascii="Cambria" w:hAnsi="Cambria"/>
          <w:sz w:val="20"/>
          <w:szCs w:val="20"/>
          <w:lang w:val="es-ES_tradnl"/>
        </w:rPr>
        <w:t>Fernando Antonio Carcache Pineda, José Marcelino Ramírez Vargas, Ricardo Javier Salgado Ojeda, Silvio Antonio Vanegas Blandon, Francisco Simon Ordoñez Nájarez</w:t>
      </w:r>
      <w:r w:rsidRPr="0034190F">
        <w:rPr>
          <w:rFonts w:ascii="Cambria" w:hAnsi="Cambria"/>
          <w:sz w:val="20"/>
          <w:szCs w:val="20"/>
          <w:lang w:val="es-ES_tradnl"/>
        </w:rPr>
        <w:t xml:space="preserve">, and </w:t>
      </w:r>
      <w:r w:rsidR="0043505F" w:rsidRPr="0034190F">
        <w:rPr>
          <w:rFonts w:ascii="Cambria" w:hAnsi="Cambria"/>
          <w:sz w:val="20"/>
          <w:szCs w:val="20"/>
          <w:lang w:val="es-ES_tradnl"/>
        </w:rPr>
        <w:t xml:space="preserve">José Reynaldo Pineda Silva </w:t>
      </w:r>
      <w:r w:rsidRPr="0034190F">
        <w:rPr>
          <w:rFonts w:ascii="Cambria" w:hAnsi="Cambria"/>
          <w:sz w:val="20"/>
          <w:szCs w:val="20"/>
          <w:lang w:val="es-ES_tradnl"/>
        </w:rPr>
        <w:t xml:space="preserve">as alleged perpetrators of the crimes of culpable homicide to the detriment of </w:t>
      </w:r>
      <w:r w:rsidR="0043505F" w:rsidRPr="0034190F">
        <w:rPr>
          <w:rFonts w:ascii="Cambria" w:hAnsi="Cambria"/>
          <w:sz w:val="20"/>
          <w:szCs w:val="20"/>
          <w:lang w:val="es-ES_tradnl"/>
        </w:rPr>
        <w:t xml:space="preserve">Pedro Basilio Roche Azaña </w:t>
      </w:r>
      <w:r w:rsidRPr="0034190F">
        <w:rPr>
          <w:rFonts w:ascii="Cambria" w:hAnsi="Cambria"/>
          <w:sz w:val="20"/>
          <w:szCs w:val="20"/>
          <w:lang w:val="es-ES_tradnl"/>
        </w:rPr>
        <w:t xml:space="preserve">and </w:t>
      </w:r>
      <w:r w:rsidR="00D81EB0" w:rsidRPr="0034190F">
        <w:rPr>
          <w:rFonts w:ascii="Cambria" w:hAnsi="Cambria"/>
          <w:sz w:val="20"/>
          <w:szCs w:val="20"/>
          <w:lang w:val="es-ES_tradnl"/>
        </w:rPr>
        <w:t>willful injury</w:t>
      </w:r>
      <w:r w:rsidRPr="0034190F">
        <w:rPr>
          <w:rFonts w:ascii="Cambria" w:hAnsi="Cambria"/>
          <w:sz w:val="20"/>
          <w:szCs w:val="20"/>
          <w:lang w:val="es-ES_tradnl"/>
        </w:rPr>
        <w:t xml:space="preserve"> to the detriment of </w:t>
      </w:r>
      <w:r w:rsidR="0043505F" w:rsidRPr="0034190F">
        <w:rPr>
          <w:rFonts w:ascii="Cambria" w:hAnsi="Cambria"/>
          <w:sz w:val="20"/>
          <w:szCs w:val="20"/>
          <w:lang w:val="es-ES_tradnl"/>
        </w:rPr>
        <w:t>Patricio Roche Azaña, Maribel Quispe Pohuanare, Nora Doza Samaniego, Adolfo Castillo Sarmiento</w:t>
      </w:r>
      <w:r w:rsidRPr="0034190F">
        <w:rPr>
          <w:rFonts w:ascii="Cambria" w:hAnsi="Cambria"/>
          <w:sz w:val="20"/>
          <w:szCs w:val="20"/>
          <w:lang w:val="es-ES_tradnl"/>
        </w:rPr>
        <w:t xml:space="preserve">, and </w:t>
      </w:r>
      <w:r w:rsidR="0043505F" w:rsidRPr="0034190F">
        <w:rPr>
          <w:rFonts w:ascii="Cambria" w:hAnsi="Cambria"/>
          <w:sz w:val="20"/>
          <w:szCs w:val="20"/>
          <w:lang w:val="es-ES_tradnl"/>
        </w:rPr>
        <w:t>Marcelino Cajamarca Ruviola</w:t>
      </w:r>
      <w:r w:rsidRPr="0034190F">
        <w:rPr>
          <w:rFonts w:ascii="Cambria" w:hAnsi="Cambria"/>
          <w:sz w:val="20"/>
          <w:szCs w:val="20"/>
          <w:lang w:val="es-ES_tradnl"/>
        </w:rPr>
        <w:t>.</w:t>
      </w:r>
      <w:r w:rsidR="0043505F" w:rsidRPr="0034190F">
        <w:rPr>
          <w:rStyle w:val="FootnoteReference"/>
          <w:rFonts w:ascii="Cambria" w:hAnsi="Cambria"/>
          <w:sz w:val="20"/>
          <w:szCs w:val="20"/>
        </w:rPr>
        <w:footnoteReference w:id="24"/>
      </w:r>
      <w:r w:rsidR="0043505F" w:rsidRPr="0034190F">
        <w:rPr>
          <w:rFonts w:ascii="Cambria" w:hAnsi="Cambria"/>
          <w:sz w:val="20"/>
          <w:szCs w:val="20"/>
          <w:lang w:val="es-ES_tradnl"/>
        </w:rPr>
        <w:t xml:space="preserve">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_tradnl"/>
        </w:rPr>
      </w:pPr>
    </w:p>
    <w:p w:rsidR="0043505F" w:rsidRPr="0034190F" w:rsidRDefault="00DE6143"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On May 6, 1996, t</w:t>
      </w:r>
      <w:r w:rsidR="009A521C" w:rsidRPr="0034190F">
        <w:rPr>
          <w:rFonts w:ascii="Cambria" w:hAnsi="Cambria"/>
          <w:sz w:val="20"/>
          <w:szCs w:val="20"/>
        </w:rPr>
        <w:t>he First</w:t>
      </w:r>
      <w:r w:rsidR="0043505F" w:rsidRPr="0034190F">
        <w:rPr>
          <w:rFonts w:ascii="Cambria" w:hAnsi="Cambria"/>
          <w:sz w:val="20"/>
          <w:szCs w:val="20"/>
        </w:rPr>
        <w:t xml:space="preserve"> </w:t>
      </w:r>
      <w:r w:rsidR="009A521C" w:rsidRPr="0034190F">
        <w:rPr>
          <w:rFonts w:ascii="Cambria" w:hAnsi="Cambria"/>
          <w:sz w:val="20"/>
          <w:szCs w:val="20"/>
        </w:rPr>
        <w:t xml:space="preserve">District Criminal Court </w:t>
      </w:r>
      <w:r w:rsidRPr="0034190F">
        <w:rPr>
          <w:rFonts w:ascii="Cambria" w:hAnsi="Cambria"/>
          <w:sz w:val="20"/>
          <w:szCs w:val="20"/>
        </w:rPr>
        <w:t xml:space="preserve">issued a formal </w:t>
      </w:r>
      <w:r w:rsidR="009A521C" w:rsidRPr="0034190F">
        <w:rPr>
          <w:rFonts w:ascii="Cambria" w:hAnsi="Cambria"/>
          <w:sz w:val="20"/>
          <w:szCs w:val="20"/>
        </w:rPr>
        <w:t>order</w:t>
      </w:r>
      <w:r w:rsidRPr="0034190F">
        <w:rPr>
          <w:rFonts w:ascii="Cambria" w:hAnsi="Cambria"/>
          <w:sz w:val="20"/>
          <w:szCs w:val="20"/>
        </w:rPr>
        <w:t xml:space="preserve"> for the imprisonment of the </w:t>
      </w:r>
      <w:r w:rsidR="000C07B5" w:rsidRPr="0034190F">
        <w:rPr>
          <w:rFonts w:ascii="Cambria" w:hAnsi="Cambria"/>
          <w:sz w:val="20"/>
          <w:szCs w:val="20"/>
        </w:rPr>
        <w:t>defendants</w:t>
      </w:r>
      <w:r w:rsidRPr="0034190F">
        <w:rPr>
          <w:rFonts w:ascii="Cambria" w:hAnsi="Cambria"/>
          <w:sz w:val="20"/>
          <w:szCs w:val="20"/>
        </w:rPr>
        <w:t xml:space="preserve"> </w:t>
      </w:r>
      <w:r w:rsidR="0043505F" w:rsidRPr="0034190F">
        <w:rPr>
          <w:rFonts w:ascii="Cambria" w:hAnsi="Cambria"/>
          <w:sz w:val="20"/>
          <w:szCs w:val="20"/>
        </w:rPr>
        <w:t xml:space="preserve">Fernando Antonio Carcache Pineda, José Marcelino Ramírez Vargas, Ricardo Javier Salgado Ojeda, Silvio Antonio Vanegas Blandon, </w:t>
      </w:r>
      <w:r w:rsidRPr="0034190F">
        <w:rPr>
          <w:rFonts w:ascii="Cambria" w:hAnsi="Cambria"/>
          <w:sz w:val="20"/>
          <w:szCs w:val="20"/>
        </w:rPr>
        <w:t xml:space="preserve">and </w:t>
      </w:r>
      <w:r w:rsidR="0043505F" w:rsidRPr="0034190F">
        <w:rPr>
          <w:rFonts w:ascii="Cambria" w:hAnsi="Cambria"/>
          <w:sz w:val="20"/>
          <w:szCs w:val="20"/>
        </w:rPr>
        <w:t xml:space="preserve">Francisco Simon Ordoñez Nájarez. </w:t>
      </w:r>
      <w:r w:rsidRPr="0034190F">
        <w:rPr>
          <w:rFonts w:ascii="Cambria" w:hAnsi="Cambria"/>
          <w:sz w:val="20"/>
          <w:szCs w:val="20"/>
        </w:rPr>
        <w:t xml:space="preserve">In addition, </w:t>
      </w:r>
      <w:r w:rsidR="0043505F" w:rsidRPr="0034190F">
        <w:rPr>
          <w:rFonts w:ascii="Cambria" w:hAnsi="Cambria"/>
          <w:sz w:val="20"/>
          <w:szCs w:val="20"/>
        </w:rPr>
        <w:t>José Reynaldo Pineda Silva</w:t>
      </w:r>
      <w:r w:rsidRPr="0034190F">
        <w:rPr>
          <w:rFonts w:ascii="Cambria" w:hAnsi="Cambria"/>
          <w:sz w:val="20"/>
          <w:szCs w:val="20"/>
        </w:rPr>
        <w:t xml:space="preserve"> was cleared of charges</w:t>
      </w:r>
      <w:r w:rsidR="0043505F" w:rsidRPr="0034190F">
        <w:rPr>
          <w:rFonts w:ascii="Cambria" w:hAnsi="Cambria"/>
          <w:sz w:val="20"/>
          <w:szCs w:val="20"/>
        </w:rPr>
        <w:t xml:space="preserve">, </w:t>
      </w:r>
      <w:r w:rsidRPr="0034190F">
        <w:rPr>
          <w:rFonts w:ascii="Cambria" w:hAnsi="Cambria"/>
          <w:sz w:val="20"/>
          <w:szCs w:val="20"/>
        </w:rPr>
        <w:t>as it could not be determined that he fired shots on the day of the events in question.</w:t>
      </w:r>
      <w:r w:rsidR="0043505F" w:rsidRPr="0034190F">
        <w:rPr>
          <w:rStyle w:val="FootnoteReference"/>
          <w:rFonts w:ascii="Cambria" w:hAnsi="Cambria"/>
          <w:sz w:val="20"/>
          <w:szCs w:val="20"/>
          <w:lang w:val="es-ES_tradnl"/>
        </w:rPr>
        <w:footnoteReference w:id="25"/>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43505F" w:rsidRPr="0034190F" w:rsidRDefault="00504B00"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A judgment handed down </w:t>
      </w:r>
      <w:r w:rsidR="000729B3" w:rsidRPr="0034190F">
        <w:rPr>
          <w:rFonts w:ascii="Cambria" w:hAnsi="Cambria"/>
          <w:sz w:val="20"/>
          <w:szCs w:val="20"/>
        </w:rPr>
        <w:t xml:space="preserve">on August 28, 1996, </w:t>
      </w:r>
      <w:r w:rsidRPr="0034190F">
        <w:rPr>
          <w:rFonts w:ascii="Cambria" w:hAnsi="Cambria"/>
          <w:sz w:val="20"/>
          <w:szCs w:val="20"/>
        </w:rPr>
        <w:t>by the Criminal Chamber of the Appeals Court, Western Region</w:t>
      </w:r>
      <w:r w:rsidR="000729B3" w:rsidRPr="0034190F">
        <w:rPr>
          <w:rFonts w:ascii="Cambria" w:hAnsi="Cambria"/>
          <w:sz w:val="20"/>
          <w:szCs w:val="20"/>
        </w:rPr>
        <w:t xml:space="preserve">, upheld the imprisonment of the </w:t>
      </w:r>
      <w:r w:rsidR="00985F47" w:rsidRPr="0034190F">
        <w:rPr>
          <w:rFonts w:ascii="Cambria" w:hAnsi="Cambria"/>
          <w:sz w:val="20"/>
          <w:szCs w:val="20"/>
        </w:rPr>
        <w:t>defendants</w:t>
      </w:r>
      <w:r w:rsidR="000729B3" w:rsidRPr="0034190F">
        <w:rPr>
          <w:rFonts w:ascii="Cambria" w:hAnsi="Cambria"/>
          <w:sz w:val="20"/>
          <w:szCs w:val="20"/>
        </w:rPr>
        <w:t xml:space="preserve">, except for </w:t>
      </w:r>
      <w:r w:rsidR="0043505F" w:rsidRPr="0034190F">
        <w:rPr>
          <w:rFonts w:ascii="Cambria" w:hAnsi="Cambria"/>
          <w:sz w:val="20"/>
          <w:szCs w:val="20"/>
        </w:rPr>
        <w:t xml:space="preserve">Fernando Antonio Carcache, </w:t>
      </w:r>
      <w:r w:rsidR="00B25DE6" w:rsidRPr="0034190F">
        <w:rPr>
          <w:rFonts w:ascii="Cambria" w:hAnsi="Cambria"/>
          <w:sz w:val="20"/>
          <w:szCs w:val="20"/>
        </w:rPr>
        <w:t>against</w:t>
      </w:r>
      <w:r w:rsidR="000729B3" w:rsidRPr="0034190F">
        <w:rPr>
          <w:rFonts w:ascii="Cambria" w:hAnsi="Cambria"/>
          <w:sz w:val="20"/>
          <w:szCs w:val="20"/>
        </w:rPr>
        <w:t xml:space="preserve"> whom charges were dismissed because when the events in question occurred he was parking the patrol vehicle that he was driving at that moment.</w:t>
      </w:r>
      <w:r w:rsidR="0043505F" w:rsidRPr="0034190F">
        <w:rPr>
          <w:rStyle w:val="FootnoteReference"/>
          <w:rFonts w:ascii="Cambria" w:hAnsi="Cambria"/>
          <w:sz w:val="20"/>
          <w:szCs w:val="20"/>
          <w:lang w:val="es-ES_tradnl"/>
        </w:rPr>
        <w:footnoteReference w:id="26"/>
      </w:r>
      <w:r w:rsidR="0043505F" w:rsidRPr="0034190F">
        <w:rPr>
          <w:rFonts w:ascii="Cambria" w:hAnsi="Cambria"/>
          <w:sz w:val="20"/>
          <w:szCs w:val="20"/>
        </w:rPr>
        <w:t xml:space="preserve">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43505F" w:rsidRPr="0034190F" w:rsidRDefault="000729B3"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On February 24, </w:t>
      </w:r>
      <w:r w:rsidR="0043505F" w:rsidRPr="0034190F">
        <w:rPr>
          <w:rFonts w:ascii="Cambria" w:hAnsi="Cambria"/>
          <w:sz w:val="20"/>
          <w:szCs w:val="20"/>
        </w:rPr>
        <w:t>1997</w:t>
      </w:r>
      <w:r w:rsidRPr="0034190F">
        <w:rPr>
          <w:rFonts w:ascii="Cambria" w:hAnsi="Cambria"/>
          <w:sz w:val="20"/>
          <w:szCs w:val="20"/>
        </w:rPr>
        <w:t>, the Jury Court found the defendants innocent</w:t>
      </w:r>
      <w:r w:rsidR="00692C9B" w:rsidRPr="0034190F">
        <w:rPr>
          <w:rFonts w:ascii="Cambria" w:hAnsi="Cambria"/>
          <w:sz w:val="20"/>
          <w:szCs w:val="20"/>
        </w:rPr>
        <w:t xml:space="preserve"> </w:t>
      </w:r>
      <w:r w:rsidRPr="0034190F">
        <w:rPr>
          <w:rFonts w:ascii="Cambria" w:hAnsi="Cambria"/>
          <w:sz w:val="20"/>
          <w:szCs w:val="20"/>
        </w:rPr>
        <w:t xml:space="preserve">of the crimes of culpable homicide and </w:t>
      </w:r>
      <w:r w:rsidR="00D81EB0" w:rsidRPr="0034190F">
        <w:rPr>
          <w:rFonts w:ascii="Cambria" w:hAnsi="Cambria"/>
          <w:sz w:val="20"/>
          <w:szCs w:val="20"/>
        </w:rPr>
        <w:t>willful</w:t>
      </w:r>
      <w:r w:rsidR="001C66C4" w:rsidRPr="0034190F">
        <w:rPr>
          <w:rFonts w:ascii="Cambria" w:hAnsi="Cambria"/>
          <w:sz w:val="20"/>
          <w:szCs w:val="20"/>
        </w:rPr>
        <w:t xml:space="preserve"> injury.</w:t>
      </w:r>
      <w:r w:rsidR="0043505F" w:rsidRPr="0034190F">
        <w:rPr>
          <w:rStyle w:val="FootnoteReference"/>
          <w:rFonts w:ascii="Cambria" w:hAnsi="Cambria"/>
          <w:sz w:val="20"/>
          <w:szCs w:val="20"/>
          <w:lang w:val="es-ES_tradnl"/>
        </w:rPr>
        <w:footnoteReference w:id="27"/>
      </w:r>
      <w:r w:rsidR="0043505F" w:rsidRPr="0034190F">
        <w:rPr>
          <w:rFonts w:ascii="Cambria" w:hAnsi="Cambria"/>
          <w:sz w:val="20"/>
          <w:szCs w:val="20"/>
        </w:rPr>
        <w:t xml:space="preserve"> </w:t>
      </w:r>
      <w:r w:rsidR="001C66C4" w:rsidRPr="0034190F">
        <w:rPr>
          <w:rFonts w:ascii="Cambria" w:hAnsi="Cambria"/>
          <w:sz w:val="20"/>
          <w:szCs w:val="20"/>
        </w:rPr>
        <w:t xml:space="preserve">The Commission notes that this ruling </w:t>
      </w:r>
      <w:r w:rsidR="00B25DE6" w:rsidRPr="0034190F">
        <w:rPr>
          <w:rFonts w:ascii="Cambria" w:hAnsi="Cambria"/>
          <w:sz w:val="20"/>
          <w:szCs w:val="20"/>
        </w:rPr>
        <w:t>covers</w:t>
      </w:r>
      <w:r w:rsidR="001C66C4" w:rsidRPr="0034190F">
        <w:rPr>
          <w:rFonts w:ascii="Cambria" w:hAnsi="Cambria"/>
          <w:sz w:val="20"/>
          <w:szCs w:val="20"/>
        </w:rPr>
        <w:t xml:space="preserve"> only </w:t>
      </w:r>
      <w:r w:rsidR="00692C9B" w:rsidRPr="0034190F">
        <w:rPr>
          <w:rFonts w:ascii="Cambria" w:hAnsi="Cambria"/>
          <w:sz w:val="20"/>
          <w:szCs w:val="20"/>
        </w:rPr>
        <w:t xml:space="preserve">how the decision went but does not </w:t>
      </w:r>
      <w:r w:rsidR="00B25DE6" w:rsidRPr="0034190F">
        <w:rPr>
          <w:rFonts w:ascii="Cambria" w:hAnsi="Cambria"/>
          <w:sz w:val="20"/>
          <w:szCs w:val="20"/>
        </w:rPr>
        <w:t>include</w:t>
      </w:r>
      <w:r w:rsidR="00692C9B" w:rsidRPr="0034190F">
        <w:rPr>
          <w:rFonts w:ascii="Cambria" w:hAnsi="Cambria"/>
          <w:sz w:val="20"/>
          <w:szCs w:val="20"/>
        </w:rPr>
        <w:t xml:space="preserve"> the grounds upon which the jury reached its conclusion. In keeping with the verdict, the First District Criminal Court in Chinandega </w:t>
      </w:r>
      <w:r w:rsidR="00BE305D" w:rsidRPr="0034190F">
        <w:rPr>
          <w:rFonts w:ascii="Cambria" w:hAnsi="Cambria"/>
          <w:sz w:val="20"/>
          <w:szCs w:val="20"/>
        </w:rPr>
        <w:t>cleared</w:t>
      </w:r>
      <w:r w:rsidR="00692C9B" w:rsidRPr="0034190F">
        <w:rPr>
          <w:rFonts w:ascii="Cambria" w:hAnsi="Cambria"/>
          <w:sz w:val="20"/>
          <w:szCs w:val="20"/>
        </w:rPr>
        <w:t xml:space="preserve"> the defendants on February 27, 1997.</w:t>
      </w:r>
      <w:r w:rsidR="0043505F" w:rsidRPr="0034190F">
        <w:rPr>
          <w:rStyle w:val="FootnoteReference"/>
          <w:rFonts w:ascii="Cambria" w:hAnsi="Cambria"/>
          <w:sz w:val="20"/>
          <w:szCs w:val="20"/>
          <w:lang w:val="es-ES_tradnl"/>
        </w:rPr>
        <w:footnoteReference w:id="28"/>
      </w:r>
      <w:r w:rsidR="0043505F" w:rsidRPr="0034190F">
        <w:rPr>
          <w:rFonts w:ascii="Cambria" w:hAnsi="Cambria"/>
          <w:sz w:val="20"/>
          <w:szCs w:val="20"/>
        </w:rPr>
        <w:t xml:space="preserve"> </w:t>
      </w:r>
      <w:r w:rsidR="00692C9B" w:rsidRPr="0034190F">
        <w:rPr>
          <w:rFonts w:ascii="Cambria" w:hAnsi="Cambria"/>
          <w:sz w:val="20"/>
          <w:szCs w:val="20"/>
        </w:rPr>
        <w:t xml:space="preserve">As with the other ruling, this decision does not include the reasoning behind </w:t>
      </w:r>
      <w:r w:rsidR="00B25DE6" w:rsidRPr="0034190F">
        <w:rPr>
          <w:rFonts w:ascii="Cambria" w:hAnsi="Cambria"/>
          <w:sz w:val="20"/>
          <w:szCs w:val="20"/>
        </w:rPr>
        <w:t>it</w:t>
      </w:r>
      <w:r w:rsidR="00692C9B" w:rsidRPr="0034190F">
        <w:rPr>
          <w:rFonts w:ascii="Cambria" w:hAnsi="Cambria"/>
          <w:sz w:val="20"/>
          <w:szCs w:val="20"/>
        </w:rPr>
        <w:t>. Under the laws of the State of Nicaragua, the decision cannot be appealed.</w:t>
      </w:r>
      <w:r w:rsidR="0043505F" w:rsidRPr="0034190F">
        <w:rPr>
          <w:rStyle w:val="FootnoteReference"/>
          <w:rFonts w:ascii="Cambria" w:hAnsi="Cambria"/>
          <w:sz w:val="20"/>
          <w:szCs w:val="20"/>
          <w:lang w:val="es-ES_tradnl"/>
        </w:rPr>
        <w:footnoteReference w:id="29"/>
      </w:r>
      <w:r w:rsidR="0043505F" w:rsidRPr="0034190F">
        <w:rPr>
          <w:rFonts w:ascii="Cambria" w:hAnsi="Cambria"/>
          <w:sz w:val="20"/>
          <w:szCs w:val="20"/>
        </w:rPr>
        <w:t xml:space="preserve"> </w:t>
      </w:r>
    </w:p>
    <w:p w:rsidR="0043505F" w:rsidRPr="0034190F" w:rsidRDefault="0043505F" w:rsidP="0043505F">
      <w:pPr>
        <w:pStyle w:val="ListParagraph"/>
        <w:rPr>
          <w:color w:val="auto"/>
          <w:sz w:val="20"/>
          <w:szCs w:val="20"/>
        </w:rPr>
      </w:pPr>
    </w:p>
    <w:p w:rsidR="0043505F" w:rsidRPr="0034190F" w:rsidRDefault="00DF1A7D"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sidRPr="0034190F">
        <w:rPr>
          <w:rFonts w:ascii="Cambria" w:hAnsi="Cambria"/>
          <w:sz w:val="20"/>
          <w:szCs w:val="20"/>
        </w:rPr>
        <w:t>During the investigation, the procedural steps carried out included the taking of statements of 32 migrants who had been traveling in the van</w:t>
      </w:r>
      <w:r w:rsidR="0043505F" w:rsidRPr="0034190F">
        <w:rPr>
          <w:rStyle w:val="FootnoteReference"/>
          <w:rFonts w:ascii="Cambria" w:hAnsi="Cambria"/>
          <w:sz w:val="20"/>
          <w:szCs w:val="20"/>
          <w:lang w:val="es-ES_tradnl"/>
        </w:rPr>
        <w:footnoteReference w:id="30"/>
      </w:r>
      <w:r w:rsidR="0043505F" w:rsidRPr="0034190F">
        <w:rPr>
          <w:rFonts w:ascii="Cambria" w:hAnsi="Cambria"/>
          <w:sz w:val="20"/>
          <w:szCs w:val="20"/>
        </w:rPr>
        <w:t xml:space="preserve"> </w:t>
      </w:r>
      <w:r w:rsidRPr="0034190F">
        <w:rPr>
          <w:rFonts w:ascii="Cambria" w:hAnsi="Cambria"/>
          <w:sz w:val="20"/>
          <w:szCs w:val="20"/>
        </w:rPr>
        <w:t xml:space="preserve">and </w:t>
      </w:r>
      <w:r w:rsidR="0043505F" w:rsidRPr="0034190F">
        <w:rPr>
          <w:rFonts w:ascii="Cambria" w:hAnsi="Cambria"/>
          <w:sz w:val="20"/>
          <w:szCs w:val="20"/>
        </w:rPr>
        <w:t xml:space="preserve">8 </w:t>
      </w:r>
      <w:r w:rsidRPr="0034190F">
        <w:rPr>
          <w:rFonts w:ascii="Cambria" w:hAnsi="Cambria"/>
          <w:sz w:val="20"/>
          <w:szCs w:val="20"/>
        </w:rPr>
        <w:t xml:space="preserve">Nicaraguans who </w:t>
      </w:r>
      <w:r w:rsidR="00B25DE6" w:rsidRPr="0034190F">
        <w:rPr>
          <w:rFonts w:ascii="Cambria" w:hAnsi="Cambria"/>
          <w:sz w:val="20"/>
          <w:szCs w:val="20"/>
        </w:rPr>
        <w:t xml:space="preserve">either </w:t>
      </w:r>
      <w:r w:rsidRPr="0034190F">
        <w:rPr>
          <w:rFonts w:ascii="Cambria" w:hAnsi="Cambria"/>
          <w:sz w:val="20"/>
          <w:szCs w:val="20"/>
        </w:rPr>
        <w:t>heard the gunshots or helped the wounded</w:t>
      </w:r>
      <w:r w:rsidR="0043505F" w:rsidRPr="0034190F">
        <w:rPr>
          <w:rStyle w:val="FootnoteReference"/>
          <w:rFonts w:ascii="Cambria" w:hAnsi="Cambria"/>
          <w:sz w:val="20"/>
          <w:szCs w:val="20"/>
          <w:lang w:val="es-ES_tradnl"/>
        </w:rPr>
        <w:footnoteReference w:id="31"/>
      </w:r>
      <w:r w:rsidR="0043505F" w:rsidRPr="0034190F">
        <w:rPr>
          <w:rFonts w:ascii="Cambria" w:hAnsi="Cambria"/>
          <w:sz w:val="20"/>
          <w:szCs w:val="20"/>
        </w:rPr>
        <w:t xml:space="preserve">; 22 </w:t>
      </w:r>
      <w:r w:rsidRPr="0034190F">
        <w:rPr>
          <w:rFonts w:ascii="Cambria" w:hAnsi="Cambria"/>
          <w:sz w:val="20"/>
          <w:szCs w:val="20"/>
        </w:rPr>
        <w:t xml:space="preserve">statements from police officers </w:t>
      </w:r>
      <w:r w:rsidR="00B25DE6" w:rsidRPr="0034190F">
        <w:rPr>
          <w:rFonts w:ascii="Cambria" w:hAnsi="Cambria"/>
          <w:sz w:val="20"/>
          <w:szCs w:val="20"/>
        </w:rPr>
        <w:t>with knowledge of</w:t>
      </w:r>
      <w:r w:rsidRPr="0034190F">
        <w:rPr>
          <w:rFonts w:ascii="Cambria" w:hAnsi="Cambria"/>
          <w:sz w:val="20"/>
          <w:szCs w:val="20"/>
        </w:rPr>
        <w:t xml:space="preserve"> </w:t>
      </w:r>
      <w:r w:rsidR="00D77A69" w:rsidRPr="0034190F">
        <w:rPr>
          <w:rFonts w:ascii="Cambria" w:hAnsi="Cambria"/>
          <w:sz w:val="20"/>
          <w:szCs w:val="20"/>
        </w:rPr>
        <w:t>the events</w:t>
      </w:r>
      <w:r w:rsidR="0043505F" w:rsidRPr="0034190F">
        <w:rPr>
          <w:rStyle w:val="FootnoteReference"/>
          <w:rFonts w:ascii="Cambria" w:hAnsi="Cambria"/>
          <w:sz w:val="20"/>
          <w:szCs w:val="20"/>
          <w:lang w:val="es-ES_tradnl"/>
        </w:rPr>
        <w:footnoteReference w:id="32"/>
      </w:r>
      <w:r w:rsidR="0043505F" w:rsidRPr="0034190F">
        <w:rPr>
          <w:rFonts w:ascii="Cambria" w:hAnsi="Cambria"/>
          <w:sz w:val="20"/>
          <w:szCs w:val="20"/>
        </w:rPr>
        <w:t xml:space="preserve">; </w:t>
      </w:r>
      <w:r w:rsidR="00D77A69" w:rsidRPr="0034190F">
        <w:rPr>
          <w:rFonts w:ascii="Cambria" w:hAnsi="Cambria"/>
          <w:sz w:val="20"/>
          <w:szCs w:val="20"/>
        </w:rPr>
        <w:t>and the statements of the defendants who indicated they had fired their weapons.</w:t>
      </w:r>
      <w:r w:rsidR="0043505F" w:rsidRPr="0034190F">
        <w:rPr>
          <w:rStyle w:val="FootnoteReference"/>
          <w:rFonts w:ascii="Cambria" w:hAnsi="Cambria"/>
          <w:sz w:val="20"/>
          <w:szCs w:val="20"/>
          <w:lang w:val="es-ES_tradnl"/>
        </w:rPr>
        <w:footnoteReference w:id="33"/>
      </w:r>
      <w:r w:rsidR="0043505F" w:rsidRPr="0034190F">
        <w:rPr>
          <w:rFonts w:ascii="Cambria" w:hAnsi="Cambria"/>
          <w:sz w:val="20"/>
          <w:szCs w:val="20"/>
        </w:rPr>
        <w:t xml:space="preserve"> </w:t>
      </w:r>
      <w:r w:rsidR="00B25DE6" w:rsidRPr="0034190F">
        <w:rPr>
          <w:rFonts w:ascii="Cambria" w:hAnsi="Cambria"/>
          <w:sz w:val="20"/>
          <w:szCs w:val="20"/>
        </w:rPr>
        <w:t>In addition</w:t>
      </w:r>
      <w:r w:rsidR="00D77A69" w:rsidRPr="0034190F">
        <w:rPr>
          <w:rFonts w:ascii="Cambria" w:hAnsi="Cambria"/>
          <w:sz w:val="20"/>
          <w:szCs w:val="20"/>
        </w:rPr>
        <w:t>, a visual inspection was done of the vehicle, which, as mentioned</w:t>
      </w:r>
      <w:r w:rsidR="00B25DE6" w:rsidRPr="0034190F">
        <w:rPr>
          <w:rFonts w:ascii="Cambria" w:hAnsi="Cambria"/>
          <w:sz w:val="20"/>
          <w:szCs w:val="20"/>
        </w:rPr>
        <w:t xml:space="preserve"> earlier</w:t>
      </w:r>
      <w:r w:rsidR="00D77A69" w:rsidRPr="0034190F">
        <w:rPr>
          <w:rFonts w:ascii="Cambria" w:hAnsi="Cambria"/>
          <w:sz w:val="20"/>
          <w:szCs w:val="20"/>
        </w:rPr>
        <w:t>, showed</w:t>
      </w:r>
      <w:r w:rsidR="007801C8" w:rsidRPr="0034190F">
        <w:rPr>
          <w:rFonts w:ascii="Cambria" w:hAnsi="Cambria"/>
          <w:sz w:val="20"/>
          <w:szCs w:val="20"/>
        </w:rPr>
        <w:t xml:space="preserve"> </w:t>
      </w:r>
      <w:r w:rsidR="00D77A69" w:rsidRPr="0034190F">
        <w:rPr>
          <w:rFonts w:ascii="Cambria" w:hAnsi="Cambria"/>
          <w:sz w:val="20"/>
          <w:szCs w:val="20"/>
        </w:rPr>
        <w:t>six bullet holes</w:t>
      </w:r>
      <w:r w:rsidR="0043505F" w:rsidRPr="0034190F">
        <w:rPr>
          <w:rStyle w:val="FootnoteReference"/>
          <w:rFonts w:ascii="Cambria" w:hAnsi="Cambria"/>
          <w:sz w:val="20"/>
          <w:szCs w:val="20"/>
          <w:lang w:val="es-ES_tradnl"/>
        </w:rPr>
        <w:footnoteReference w:id="34"/>
      </w:r>
      <w:r w:rsidR="0043505F" w:rsidRPr="0034190F">
        <w:rPr>
          <w:rFonts w:ascii="Cambria" w:hAnsi="Cambria"/>
          <w:sz w:val="20"/>
          <w:szCs w:val="20"/>
        </w:rPr>
        <w:t xml:space="preserve">; </w:t>
      </w:r>
      <w:r w:rsidR="00D77A69" w:rsidRPr="0034190F">
        <w:rPr>
          <w:rFonts w:ascii="Cambria" w:hAnsi="Cambria"/>
          <w:sz w:val="20"/>
          <w:szCs w:val="20"/>
        </w:rPr>
        <w:t xml:space="preserve">a visual inspection found nine bullet </w:t>
      </w:r>
      <w:r w:rsidR="00497500" w:rsidRPr="0034190F">
        <w:rPr>
          <w:rFonts w:ascii="Cambria" w:hAnsi="Cambria"/>
          <w:sz w:val="20"/>
          <w:szCs w:val="20"/>
        </w:rPr>
        <w:t xml:space="preserve">casings </w:t>
      </w:r>
      <w:r w:rsidR="0043505F" w:rsidRPr="0034190F">
        <w:rPr>
          <w:rStyle w:val="FootnoteReference"/>
          <w:rFonts w:ascii="Cambria" w:hAnsi="Cambria"/>
          <w:sz w:val="20"/>
          <w:szCs w:val="20"/>
          <w:lang w:val="es-ES_tradnl"/>
        </w:rPr>
        <w:footnoteReference w:id="35"/>
      </w:r>
      <w:r w:rsidR="0043505F" w:rsidRPr="0034190F">
        <w:rPr>
          <w:rFonts w:ascii="Cambria" w:hAnsi="Cambria"/>
          <w:sz w:val="20"/>
          <w:szCs w:val="20"/>
        </w:rPr>
        <w:t xml:space="preserve">; </w:t>
      </w:r>
      <w:r w:rsidR="00D77A69" w:rsidRPr="0034190F">
        <w:rPr>
          <w:rFonts w:ascii="Cambria" w:hAnsi="Cambria"/>
          <w:sz w:val="20"/>
          <w:szCs w:val="20"/>
        </w:rPr>
        <w:t xml:space="preserve">a </w:t>
      </w:r>
      <w:r w:rsidR="00F276EB" w:rsidRPr="0034190F">
        <w:rPr>
          <w:rFonts w:ascii="Cambria" w:hAnsi="Cambria"/>
          <w:sz w:val="20"/>
          <w:szCs w:val="20"/>
        </w:rPr>
        <w:t>diagram</w:t>
      </w:r>
      <w:r w:rsidR="00D77A69" w:rsidRPr="0034190F">
        <w:rPr>
          <w:rFonts w:ascii="Cambria" w:hAnsi="Cambria"/>
          <w:sz w:val="20"/>
          <w:szCs w:val="20"/>
        </w:rPr>
        <w:t xml:space="preserve"> was made of the scene</w:t>
      </w:r>
      <w:r w:rsidR="0043505F" w:rsidRPr="0034190F">
        <w:rPr>
          <w:rStyle w:val="FootnoteReference"/>
          <w:rFonts w:ascii="Cambria" w:hAnsi="Cambria"/>
          <w:sz w:val="20"/>
          <w:szCs w:val="20"/>
          <w:lang w:val="es-ES_tradnl"/>
        </w:rPr>
        <w:footnoteReference w:id="36"/>
      </w:r>
      <w:r w:rsidR="0043505F" w:rsidRPr="0034190F">
        <w:rPr>
          <w:rFonts w:ascii="Cambria" w:hAnsi="Cambria"/>
          <w:sz w:val="20"/>
          <w:szCs w:val="20"/>
        </w:rPr>
        <w:t xml:space="preserve">; </w:t>
      </w:r>
      <w:r w:rsidR="00D77A69" w:rsidRPr="0034190F">
        <w:rPr>
          <w:rFonts w:ascii="Cambria" w:hAnsi="Cambria"/>
          <w:sz w:val="20"/>
          <w:szCs w:val="20"/>
        </w:rPr>
        <w:t xml:space="preserve">medical </w:t>
      </w:r>
      <w:r w:rsidR="007801C8" w:rsidRPr="0034190F">
        <w:rPr>
          <w:rFonts w:ascii="Cambria" w:hAnsi="Cambria"/>
          <w:sz w:val="20"/>
          <w:szCs w:val="20"/>
        </w:rPr>
        <w:t>reports were done on the</w:t>
      </w:r>
      <w:r w:rsidR="00D77A69" w:rsidRPr="0034190F">
        <w:rPr>
          <w:rFonts w:ascii="Cambria" w:hAnsi="Cambria"/>
          <w:sz w:val="20"/>
          <w:szCs w:val="20"/>
        </w:rPr>
        <w:t xml:space="preserve"> wounde</w:t>
      </w:r>
      <w:r w:rsidR="00BE305D" w:rsidRPr="0034190F">
        <w:rPr>
          <w:rFonts w:ascii="Cambria" w:hAnsi="Cambria"/>
          <w:sz w:val="20"/>
          <w:szCs w:val="20"/>
        </w:rPr>
        <w:t>d</w:t>
      </w:r>
      <w:r w:rsidR="0043505F" w:rsidRPr="0034190F">
        <w:rPr>
          <w:rStyle w:val="FootnoteReference"/>
          <w:rFonts w:ascii="Cambria" w:hAnsi="Cambria"/>
          <w:sz w:val="20"/>
          <w:szCs w:val="20"/>
          <w:lang w:val="es-ES_tradnl"/>
        </w:rPr>
        <w:footnoteReference w:id="37"/>
      </w:r>
      <w:r w:rsidR="00D77A69" w:rsidRPr="0034190F">
        <w:rPr>
          <w:rFonts w:ascii="Cambria" w:hAnsi="Cambria"/>
          <w:sz w:val="20"/>
          <w:szCs w:val="20"/>
        </w:rPr>
        <w:t xml:space="preserve">; and the body </w:t>
      </w:r>
      <w:r w:rsidR="00D77A69" w:rsidRPr="0034190F">
        <w:rPr>
          <w:rFonts w:ascii="Cambria" w:hAnsi="Cambria"/>
          <w:sz w:val="20"/>
          <w:szCs w:val="20"/>
        </w:rPr>
        <w:lastRenderedPageBreak/>
        <w:t>was examined.</w:t>
      </w:r>
      <w:r w:rsidR="0043505F" w:rsidRPr="0034190F">
        <w:rPr>
          <w:rStyle w:val="FootnoteReference"/>
          <w:rFonts w:ascii="Cambria" w:hAnsi="Cambria"/>
          <w:sz w:val="20"/>
          <w:szCs w:val="20"/>
          <w:lang w:val="es-ES_tradnl"/>
        </w:rPr>
        <w:footnoteReference w:id="38"/>
      </w:r>
      <w:r w:rsidR="0043505F" w:rsidRPr="0034190F">
        <w:rPr>
          <w:rFonts w:ascii="Cambria" w:hAnsi="Cambria"/>
          <w:sz w:val="20"/>
          <w:szCs w:val="20"/>
        </w:rPr>
        <w:t xml:space="preserve"> </w:t>
      </w:r>
      <w:r w:rsidR="00D77A69" w:rsidRPr="0034190F">
        <w:rPr>
          <w:rFonts w:ascii="Cambria" w:hAnsi="Cambria"/>
          <w:sz w:val="20"/>
          <w:szCs w:val="20"/>
        </w:rPr>
        <w:t>In addition, expert ballistics and chemical tests were done on the AK weapons</w:t>
      </w:r>
      <w:r w:rsidR="0043505F" w:rsidRPr="0034190F">
        <w:rPr>
          <w:rStyle w:val="FootnoteReference"/>
          <w:rFonts w:ascii="Cambria" w:hAnsi="Cambria"/>
          <w:sz w:val="20"/>
          <w:szCs w:val="20"/>
          <w:lang w:val="es-ES_tradnl"/>
        </w:rPr>
        <w:footnoteReference w:id="39"/>
      </w:r>
      <w:r w:rsidR="0043505F" w:rsidRPr="0034190F">
        <w:rPr>
          <w:rFonts w:ascii="Cambria" w:hAnsi="Cambria"/>
          <w:sz w:val="20"/>
          <w:szCs w:val="20"/>
        </w:rPr>
        <w:t xml:space="preserve"> </w:t>
      </w:r>
      <w:r w:rsidR="00D77A69" w:rsidRPr="0034190F">
        <w:rPr>
          <w:rFonts w:ascii="Cambria" w:hAnsi="Cambria"/>
          <w:sz w:val="20"/>
          <w:szCs w:val="20"/>
        </w:rPr>
        <w:t xml:space="preserve">and </w:t>
      </w:r>
      <w:r w:rsidR="004963AC" w:rsidRPr="0034190F">
        <w:rPr>
          <w:rFonts w:ascii="Cambria" w:hAnsi="Cambria"/>
          <w:sz w:val="20"/>
          <w:szCs w:val="20"/>
        </w:rPr>
        <w:t>bullet markings, which</w:t>
      </w:r>
      <w:r w:rsidR="005A3722" w:rsidRPr="0034190F">
        <w:rPr>
          <w:rFonts w:ascii="Cambria" w:hAnsi="Cambria"/>
          <w:sz w:val="20"/>
          <w:szCs w:val="20"/>
        </w:rPr>
        <w:t xml:space="preserve"> </w:t>
      </w:r>
      <w:r w:rsidR="00D77A69" w:rsidRPr="0034190F">
        <w:rPr>
          <w:rFonts w:ascii="Cambria" w:hAnsi="Cambria"/>
          <w:sz w:val="20"/>
          <w:szCs w:val="20"/>
        </w:rPr>
        <w:t xml:space="preserve">established the connection between the weapons and the </w:t>
      </w:r>
      <w:r w:rsidR="00497500" w:rsidRPr="0034190F">
        <w:rPr>
          <w:rFonts w:ascii="Cambria" w:hAnsi="Cambria"/>
          <w:sz w:val="20"/>
          <w:szCs w:val="20"/>
        </w:rPr>
        <w:t>casings</w:t>
      </w:r>
      <w:r w:rsidR="00D77A69" w:rsidRPr="0034190F">
        <w:rPr>
          <w:rFonts w:ascii="Cambria" w:hAnsi="Cambria"/>
          <w:sz w:val="20"/>
          <w:szCs w:val="20"/>
        </w:rPr>
        <w:t>. Finally, tests were done on the blood and hair found in the van,</w:t>
      </w:r>
      <w:r w:rsidR="0043505F" w:rsidRPr="0034190F">
        <w:rPr>
          <w:rStyle w:val="FootnoteReference"/>
          <w:rFonts w:ascii="Cambria" w:hAnsi="Cambria"/>
          <w:sz w:val="20"/>
          <w:szCs w:val="20"/>
          <w:lang w:val="es-ES_tradnl"/>
        </w:rPr>
        <w:footnoteReference w:id="40"/>
      </w:r>
      <w:r w:rsidR="0043505F" w:rsidRPr="0034190F">
        <w:rPr>
          <w:rFonts w:ascii="Cambria" w:hAnsi="Cambria"/>
          <w:sz w:val="20"/>
          <w:szCs w:val="20"/>
        </w:rPr>
        <w:t xml:space="preserve"> </w:t>
      </w:r>
      <w:r w:rsidR="00D77A69" w:rsidRPr="0034190F">
        <w:rPr>
          <w:rFonts w:ascii="Cambria" w:hAnsi="Cambria"/>
          <w:sz w:val="20"/>
          <w:szCs w:val="20"/>
        </w:rPr>
        <w:t xml:space="preserve">which showed that they belonged to the migrants. </w:t>
      </w:r>
    </w:p>
    <w:p w:rsidR="0043505F" w:rsidRPr="0034190F" w:rsidRDefault="0043505F" w:rsidP="0043505F">
      <w:pPr>
        <w:rPr>
          <w:rFonts w:ascii="Cambria" w:hAnsi="Cambria"/>
          <w:sz w:val="20"/>
          <w:szCs w:val="20"/>
        </w:rPr>
      </w:pPr>
    </w:p>
    <w:p w:rsidR="0043505F" w:rsidRPr="0034190F" w:rsidRDefault="00380B4A" w:rsidP="0043505F">
      <w:pPr>
        <w:pStyle w:val="ListParagraph"/>
        <w:numPr>
          <w:ilvl w:val="0"/>
          <w:numId w:val="110"/>
        </w:numPr>
        <w:ind w:firstLine="0"/>
        <w:jc w:val="both"/>
        <w:rPr>
          <w:b/>
          <w:color w:val="auto"/>
          <w:sz w:val="20"/>
          <w:szCs w:val="20"/>
        </w:rPr>
      </w:pPr>
      <w:r w:rsidRPr="0034190F">
        <w:rPr>
          <w:b/>
          <w:color w:val="auto"/>
          <w:sz w:val="20"/>
          <w:szCs w:val="20"/>
        </w:rPr>
        <w:t xml:space="preserve">Regarding </w:t>
      </w:r>
      <w:r w:rsidR="0043505F" w:rsidRPr="0034190F">
        <w:rPr>
          <w:b/>
          <w:color w:val="auto"/>
          <w:sz w:val="20"/>
          <w:szCs w:val="20"/>
        </w:rPr>
        <w:t>Patricio Roche Azaña</w:t>
      </w:r>
      <w:r w:rsidRPr="0034190F">
        <w:rPr>
          <w:b/>
          <w:color w:val="auto"/>
          <w:sz w:val="20"/>
          <w:szCs w:val="20"/>
        </w:rPr>
        <w:t xml:space="preserve">’s lack of participation in the proceedings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43505F" w:rsidRPr="0034190F" w:rsidRDefault="00F811DF"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The Code of Criminal Instruction indicated that </w:t>
      </w:r>
      <w:r w:rsidR="009313D9" w:rsidRPr="0034190F">
        <w:rPr>
          <w:rFonts w:ascii="Cambria" w:hAnsi="Cambria"/>
          <w:sz w:val="20"/>
          <w:szCs w:val="20"/>
        </w:rPr>
        <w:t xml:space="preserve">the </w:t>
      </w:r>
      <w:r w:rsidRPr="0034190F">
        <w:rPr>
          <w:rFonts w:ascii="Cambria" w:hAnsi="Cambria"/>
          <w:sz w:val="20"/>
          <w:szCs w:val="20"/>
        </w:rPr>
        <w:t xml:space="preserve">first steps </w:t>
      </w:r>
      <w:r w:rsidR="00094598" w:rsidRPr="0034190F">
        <w:rPr>
          <w:rFonts w:ascii="Cambria" w:hAnsi="Cambria"/>
          <w:sz w:val="20"/>
          <w:szCs w:val="20"/>
        </w:rPr>
        <w:t>in a</w:t>
      </w:r>
      <w:r w:rsidRPr="0034190F">
        <w:rPr>
          <w:rFonts w:ascii="Cambria" w:hAnsi="Cambria"/>
          <w:sz w:val="20"/>
          <w:szCs w:val="20"/>
        </w:rPr>
        <w:t xml:space="preserve"> criminal inquiry</w:t>
      </w:r>
      <w:r w:rsidR="00094598" w:rsidRPr="0034190F">
        <w:rPr>
          <w:rFonts w:ascii="Cambria" w:hAnsi="Cambria"/>
          <w:sz w:val="20"/>
          <w:szCs w:val="20"/>
        </w:rPr>
        <w:t xml:space="preserve">—which include gathering </w:t>
      </w:r>
      <w:r w:rsidRPr="0034190F">
        <w:rPr>
          <w:rFonts w:ascii="Cambria" w:hAnsi="Cambria"/>
          <w:sz w:val="20"/>
          <w:szCs w:val="20"/>
        </w:rPr>
        <w:t>all the evidence</w:t>
      </w:r>
      <w:r w:rsidR="00094598" w:rsidRPr="0034190F">
        <w:rPr>
          <w:rFonts w:ascii="Cambria" w:hAnsi="Cambria"/>
          <w:sz w:val="20"/>
          <w:szCs w:val="20"/>
        </w:rPr>
        <w:t xml:space="preserve"> to</w:t>
      </w:r>
      <w:r w:rsidR="00E32B67" w:rsidRPr="0034190F">
        <w:rPr>
          <w:rFonts w:ascii="Cambria" w:hAnsi="Cambria"/>
          <w:sz w:val="20"/>
          <w:szCs w:val="20"/>
        </w:rPr>
        <w:t xml:space="preserve"> determine whether</w:t>
      </w:r>
      <w:r w:rsidR="00094598" w:rsidRPr="0034190F">
        <w:rPr>
          <w:rFonts w:ascii="Cambria" w:hAnsi="Cambria"/>
          <w:sz w:val="20"/>
          <w:szCs w:val="20"/>
        </w:rPr>
        <w:t xml:space="preserve"> or not</w:t>
      </w:r>
      <w:r w:rsidR="00E32B67" w:rsidRPr="0034190F">
        <w:rPr>
          <w:rFonts w:ascii="Cambria" w:hAnsi="Cambria"/>
          <w:sz w:val="20"/>
          <w:szCs w:val="20"/>
        </w:rPr>
        <w:t xml:space="preserve"> a crime has been committed</w:t>
      </w:r>
      <w:r w:rsidR="00094598" w:rsidRPr="0034190F">
        <w:rPr>
          <w:rFonts w:ascii="Cambria" w:hAnsi="Cambria"/>
          <w:sz w:val="20"/>
          <w:szCs w:val="20"/>
        </w:rPr>
        <w:t xml:space="preserve"> and establishing whether or not the defendants are responsible—must conclude within a peremptory period of 10 days from the time the resolution was issued initiating the criminal proceedings; otherwise, the accused could be released on grounds of illegal detention.</w:t>
      </w:r>
      <w:r w:rsidR="0043505F" w:rsidRPr="0034190F">
        <w:rPr>
          <w:rStyle w:val="FootnoteReference"/>
          <w:rFonts w:ascii="Cambria" w:hAnsi="Cambria"/>
          <w:sz w:val="20"/>
          <w:szCs w:val="20"/>
          <w:lang w:val="es-ES_tradnl"/>
        </w:rPr>
        <w:footnoteReference w:id="41"/>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r w:rsidRPr="0034190F">
        <w:rPr>
          <w:rFonts w:ascii="Cambria" w:hAnsi="Cambria"/>
          <w:sz w:val="20"/>
          <w:szCs w:val="20"/>
        </w:rPr>
        <w:t xml:space="preserve"> </w:t>
      </w:r>
    </w:p>
    <w:p w:rsidR="0043505F" w:rsidRPr="0034190F" w:rsidRDefault="00D16873"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Based on these criteria, </w:t>
      </w:r>
      <w:r w:rsidR="00C344D8" w:rsidRPr="0034190F">
        <w:rPr>
          <w:rFonts w:ascii="Cambria" w:hAnsi="Cambria"/>
          <w:sz w:val="20"/>
          <w:szCs w:val="20"/>
        </w:rPr>
        <w:t>it was ordered</w:t>
      </w:r>
      <w:r w:rsidR="00F07B59" w:rsidRPr="0034190F">
        <w:rPr>
          <w:rFonts w:ascii="Cambria" w:hAnsi="Cambria"/>
          <w:sz w:val="20"/>
          <w:szCs w:val="20"/>
        </w:rPr>
        <w:t xml:space="preserve"> </w:t>
      </w:r>
      <w:r w:rsidR="00F07B59" w:rsidRPr="0034190F">
        <w:rPr>
          <w:rFonts w:ascii="Cambria" w:hAnsi="Cambria"/>
          <w:i/>
          <w:sz w:val="20"/>
          <w:szCs w:val="20"/>
        </w:rPr>
        <w:t>ex officio</w:t>
      </w:r>
      <w:r w:rsidR="00F07B59" w:rsidRPr="0034190F">
        <w:rPr>
          <w:rFonts w:ascii="Cambria" w:hAnsi="Cambria"/>
          <w:sz w:val="20"/>
          <w:szCs w:val="20"/>
        </w:rPr>
        <w:t>, as part of the investigation,</w:t>
      </w:r>
      <w:r w:rsidR="00C344D8" w:rsidRPr="0034190F">
        <w:rPr>
          <w:rFonts w:ascii="Cambria" w:hAnsi="Cambria"/>
          <w:sz w:val="20"/>
          <w:szCs w:val="20"/>
        </w:rPr>
        <w:t xml:space="preserve"> that statements be taken from the individuals hospitalized at </w:t>
      </w:r>
      <w:r w:rsidR="0043505F" w:rsidRPr="0034190F">
        <w:rPr>
          <w:rFonts w:ascii="Cambria" w:hAnsi="Cambria"/>
          <w:sz w:val="20"/>
          <w:szCs w:val="20"/>
        </w:rPr>
        <w:t>Hospital España</w:t>
      </w:r>
      <w:r w:rsidR="00E917FE" w:rsidRPr="0034190F">
        <w:rPr>
          <w:rFonts w:ascii="Cambria" w:hAnsi="Cambria"/>
          <w:sz w:val="20"/>
          <w:szCs w:val="20"/>
        </w:rPr>
        <w:t xml:space="preserve"> and that they be notified </w:t>
      </w:r>
      <w:r w:rsidR="00C344D8" w:rsidRPr="0034190F">
        <w:rPr>
          <w:rFonts w:ascii="Cambria" w:hAnsi="Cambria"/>
          <w:sz w:val="20"/>
          <w:szCs w:val="20"/>
        </w:rPr>
        <w:t xml:space="preserve">that they </w:t>
      </w:r>
      <w:r w:rsidR="00E917FE" w:rsidRPr="0034190F">
        <w:rPr>
          <w:rFonts w:ascii="Cambria" w:hAnsi="Cambria"/>
          <w:sz w:val="20"/>
          <w:szCs w:val="20"/>
        </w:rPr>
        <w:t>could</w:t>
      </w:r>
      <w:r w:rsidR="00C344D8" w:rsidRPr="0034190F">
        <w:rPr>
          <w:rFonts w:ascii="Cambria" w:hAnsi="Cambria"/>
          <w:sz w:val="20"/>
          <w:szCs w:val="20"/>
        </w:rPr>
        <w:t xml:space="preserve"> intervene in the </w:t>
      </w:r>
      <w:r w:rsidR="00F7253F" w:rsidRPr="0034190F">
        <w:rPr>
          <w:rFonts w:ascii="Cambria" w:hAnsi="Cambria"/>
          <w:sz w:val="20"/>
          <w:szCs w:val="20"/>
        </w:rPr>
        <w:t>proceedings</w:t>
      </w:r>
      <w:r w:rsidR="00C344D8" w:rsidRPr="0034190F">
        <w:rPr>
          <w:rFonts w:ascii="Cambria" w:hAnsi="Cambria"/>
          <w:sz w:val="20"/>
          <w:szCs w:val="20"/>
        </w:rPr>
        <w:t xml:space="preserve">. In this </w:t>
      </w:r>
      <w:r w:rsidR="00F07B59" w:rsidRPr="0034190F">
        <w:rPr>
          <w:rFonts w:ascii="Cambria" w:hAnsi="Cambria"/>
          <w:sz w:val="20"/>
          <w:szCs w:val="20"/>
        </w:rPr>
        <w:t>context</w:t>
      </w:r>
      <w:r w:rsidR="00C344D8" w:rsidRPr="0034190F">
        <w:rPr>
          <w:rFonts w:ascii="Cambria" w:hAnsi="Cambria"/>
          <w:sz w:val="20"/>
          <w:szCs w:val="20"/>
        </w:rPr>
        <w:t xml:space="preserve">, </w:t>
      </w:r>
      <w:r w:rsidR="0043505F" w:rsidRPr="0034190F">
        <w:rPr>
          <w:rFonts w:ascii="Cambria" w:hAnsi="Cambria"/>
          <w:sz w:val="20"/>
          <w:szCs w:val="20"/>
        </w:rPr>
        <w:t xml:space="preserve">Maribel Quispe </w:t>
      </w:r>
      <w:r w:rsidR="00C344D8" w:rsidRPr="0034190F">
        <w:rPr>
          <w:rFonts w:ascii="Cambria" w:hAnsi="Cambria"/>
          <w:sz w:val="20"/>
          <w:szCs w:val="20"/>
        </w:rPr>
        <w:t>and</w:t>
      </w:r>
      <w:r w:rsidR="0043505F" w:rsidRPr="0034190F">
        <w:rPr>
          <w:rFonts w:ascii="Cambria" w:hAnsi="Cambria"/>
          <w:sz w:val="20"/>
          <w:szCs w:val="20"/>
        </w:rPr>
        <w:t xml:space="preserve"> Nora Doza Samaniego </w:t>
      </w:r>
      <w:r w:rsidR="00C344D8" w:rsidRPr="0034190F">
        <w:rPr>
          <w:rFonts w:ascii="Cambria" w:hAnsi="Cambria"/>
          <w:sz w:val="20"/>
          <w:szCs w:val="20"/>
        </w:rPr>
        <w:t xml:space="preserve">joined the case, providing their </w:t>
      </w:r>
      <w:r w:rsidR="00E32B67" w:rsidRPr="0034190F">
        <w:rPr>
          <w:rFonts w:ascii="Cambria" w:hAnsi="Cambria"/>
          <w:sz w:val="20"/>
          <w:szCs w:val="20"/>
        </w:rPr>
        <w:t xml:space="preserve">respective </w:t>
      </w:r>
      <w:r w:rsidR="00C344D8" w:rsidRPr="0034190F">
        <w:rPr>
          <w:rFonts w:ascii="Cambria" w:hAnsi="Cambria"/>
          <w:sz w:val="20"/>
          <w:szCs w:val="20"/>
        </w:rPr>
        <w:t>statements.</w:t>
      </w:r>
      <w:r w:rsidR="0043505F" w:rsidRPr="0034190F">
        <w:rPr>
          <w:rStyle w:val="FootnoteReference"/>
          <w:rFonts w:ascii="Cambria" w:hAnsi="Cambria"/>
          <w:sz w:val="20"/>
          <w:szCs w:val="20"/>
          <w:lang w:val="es-ES_tradnl"/>
        </w:rPr>
        <w:footnoteReference w:id="42"/>
      </w:r>
      <w:r w:rsidR="0043505F" w:rsidRPr="0034190F">
        <w:rPr>
          <w:rFonts w:ascii="Cambria" w:hAnsi="Cambria"/>
          <w:sz w:val="20"/>
          <w:szCs w:val="20"/>
        </w:rPr>
        <w:t xml:space="preserve"> </w:t>
      </w:r>
    </w:p>
    <w:p w:rsidR="0043505F" w:rsidRPr="0034190F" w:rsidRDefault="0043505F" w:rsidP="0043505F">
      <w:pPr>
        <w:pStyle w:val="ListParagraph"/>
        <w:rPr>
          <w:color w:val="auto"/>
          <w:sz w:val="20"/>
          <w:szCs w:val="20"/>
        </w:rPr>
      </w:pPr>
    </w:p>
    <w:p w:rsidR="0043505F" w:rsidRPr="0034190F" w:rsidRDefault="0043505F"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 </w:t>
      </w:r>
      <w:r w:rsidR="00C344D8" w:rsidRPr="0034190F">
        <w:rPr>
          <w:rFonts w:ascii="Cambria" w:hAnsi="Cambria"/>
          <w:sz w:val="20"/>
          <w:szCs w:val="20"/>
        </w:rPr>
        <w:t xml:space="preserve">However, when the authorities went to the hospital to take the statement of </w:t>
      </w:r>
      <w:r w:rsidRPr="0034190F">
        <w:rPr>
          <w:rFonts w:ascii="Cambria" w:hAnsi="Cambria"/>
          <w:sz w:val="20"/>
          <w:szCs w:val="20"/>
        </w:rPr>
        <w:t xml:space="preserve">Patricio Roche Azaña, </w:t>
      </w:r>
      <w:r w:rsidR="00C344D8" w:rsidRPr="0034190F">
        <w:rPr>
          <w:rFonts w:ascii="Cambria" w:hAnsi="Cambria"/>
          <w:sz w:val="20"/>
          <w:szCs w:val="20"/>
        </w:rPr>
        <w:t>they were unable to do so because of the medical condition of the alleged victim, who was in a coma.</w:t>
      </w:r>
      <w:r w:rsidRPr="0034190F">
        <w:rPr>
          <w:rStyle w:val="FootnoteReference"/>
          <w:rFonts w:ascii="Cambria" w:hAnsi="Cambria"/>
          <w:sz w:val="20"/>
          <w:szCs w:val="20"/>
          <w:lang w:val="es-ES_tradnl"/>
        </w:rPr>
        <w:footnoteReference w:id="43"/>
      </w:r>
      <w:r w:rsidRPr="0034190F">
        <w:rPr>
          <w:rFonts w:ascii="Cambria" w:hAnsi="Cambria"/>
          <w:sz w:val="20"/>
          <w:szCs w:val="20"/>
        </w:rPr>
        <w:t xml:space="preserve"> </w:t>
      </w:r>
      <w:r w:rsidR="00C344D8" w:rsidRPr="0034190F">
        <w:rPr>
          <w:rFonts w:ascii="Cambria" w:hAnsi="Cambria"/>
          <w:sz w:val="20"/>
          <w:szCs w:val="20"/>
        </w:rPr>
        <w:t xml:space="preserve">According to the State, “the absence of the </w:t>
      </w:r>
      <w:r w:rsidR="00E917FE" w:rsidRPr="0034190F">
        <w:rPr>
          <w:rFonts w:ascii="Cambria" w:hAnsi="Cambria"/>
          <w:sz w:val="20"/>
          <w:szCs w:val="20"/>
        </w:rPr>
        <w:t>offended party’s</w:t>
      </w:r>
      <w:r w:rsidR="00C344D8" w:rsidRPr="0034190F">
        <w:rPr>
          <w:rFonts w:ascii="Cambria" w:hAnsi="Cambria"/>
          <w:sz w:val="20"/>
          <w:szCs w:val="20"/>
        </w:rPr>
        <w:t xml:space="preserve"> testimony was </w:t>
      </w:r>
      <w:r w:rsidR="00E917FE" w:rsidRPr="0034190F">
        <w:rPr>
          <w:rFonts w:ascii="Cambria" w:hAnsi="Cambria"/>
          <w:sz w:val="20"/>
          <w:szCs w:val="20"/>
        </w:rPr>
        <w:t>justified</w:t>
      </w:r>
      <w:r w:rsidR="00C344D8" w:rsidRPr="0034190F">
        <w:rPr>
          <w:rFonts w:ascii="Cambria" w:hAnsi="Cambria"/>
          <w:sz w:val="20"/>
          <w:szCs w:val="20"/>
        </w:rPr>
        <w:t xml:space="preserve"> because of his state of health and was not essential for the purposes of the proceedings.</w:t>
      </w:r>
      <w:r w:rsidRPr="0034190F">
        <w:rPr>
          <w:rFonts w:ascii="Cambria" w:hAnsi="Cambria"/>
          <w:sz w:val="20"/>
          <w:szCs w:val="20"/>
        </w:rPr>
        <w:t>”</w:t>
      </w:r>
      <w:r w:rsidRPr="0034190F">
        <w:rPr>
          <w:rStyle w:val="FootnoteReference"/>
          <w:rFonts w:ascii="Cambria" w:hAnsi="Cambria"/>
          <w:sz w:val="20"/>
          <w:szCs w:val="20"/>
          <w:lang w:val="es-ES_tradnl"/>
        </w:rPr>
        <w:footnoteReference w:id="44"/>
      </w:r>
      <w:r w:rsidRPr="0034190F">
        <w:rPr>
          <w:rFonts w:ascii="Cambria" w:hAnsi="Cambria"/>
          <w:sz w:val="20"/>
          <w:szCs w:val="20"/>
        </w:rPr>
        <w:t xml:space="preserve"> </w:t>
      </w:r>
    </w:p>
    <w:p w:rsidR="0043505F" w:rsidRPr="0034190F" w:rsidRDefault="0043505F" w:rsidP="0043505F">
      <w:pPr>
        <w:pStyle w:val="ListParagraph"/>
        <w:rPr>
          <w:color w:val="auto"/>
          <w:sz w:val="20"/>
          <w:szCs w:val="20"/>
        </w:rPr>
      </w:pPr>
    </w:p>
    <w:p w:rsidR="0043505F" w:rsidRPr="0034190F" w:rsidRDefault="0043505F"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 </w:t>
      </w:r>
      <w:r w:rsidR="007A27AB" w:rsidRPr="0034190F">
        <w:rPr>
          <w:rFonts w:ascii="Cambria" w:hAnsi="Cambria"/>
          <w:sz w:val="20"/>
          <w:szCs w:val="20"/>
        </w:rPr>
        <w:t xml:space="preserve">Finally, the decisions made in the case were notified only to the individuals who actively intervened in the proceedings as complainants or private accusers, pursuant to the domestic laws of the Nicaraguan State. The case file shows that the </w:t>
      </w:r>
      <w:r w:rsidR="00E917FE" w:rsidRPr="0034190F">
        <w:rPr>
          <w:rFonts w:ascii="Cambria" w:hAnsi="Cambria"/>
          <w:sz w:val="20"/>
          <w:szCs w:val="20"/>
        </w:rPr>
        <w:t>offended parties</w:t>
      </w:r>
      <w:r w:rsidR="007A27AB" w:rsidRPr="0034190F">
        <w:rPr>
          <w:rFonts w:ascii="Cambria" w:hAnsi="Cambria"/>
          <w:sz w:val="20"/>
          <w:szCs w:val="20"/>
        </w:rPr>
        <w:t xml:space="preserve"> </w:t>
      </w:r>
      <w:r w:rsidRPr="0034190F">
        <w:rPr>
          <w:rFonts w:ascii="Cambria" w:hAnsi="Cambria"/>
          <w:sz w:val="20"/>
          <w:szCs w:val="20"/>
        </w:rPr>
        <w:t xml:space="preserve">Nora Doza Samaniego </w:t>
      </w:r>
      <w:r w:rsidR="007A27AB" w:rsidRPr="0034190F">
        <w:rPr>
          <w:rFonts w:ascii="Cambria" w:hAnsi="Cambria"/>
          <w:sz w:val="20"/>
          <w:szCs w:val="20"/>
        </w:rPr>
        <w:t xml:space="preserve">and </w:t>
      </w:r>
      <w:r w:rsidRPr="0034190F">
        <w:rPr>
          <w:rFonts w:ascii="Cambria" w:hAnsi="Cambria"/>
          <w:sz w:val="20"/>
          <w:szCs w:val="20"/>
        </w:rPr>
        <w:t xml:space="preserve">Maribel Quispe Pomahuanare </w:t>
      </w:r>
      <w:r w:rsidR="007A27AB" w:rsidRPr="0034190F">
        <w:rPr>
          <w:rFonts w:ascii="Cambria" w:hAnsi="Cambria"/>
          <w:sz w:val="20"/>
          <w:szCs w:val="20"/>
        </w:rPr>
        <w:t xml:space="preserve">were </w:t>
      </w:r>
      <w:r w:rsidR="00E917FE" w:rsidRPr="0034190F">
        <w:rPr>
          <w:rFonts w:ascii="Cambria" w:hAnsi="Cambria"/>
          <w:sz w:val="20"/>
          <w:szCs w:val="20"/>
        </w:rPr>
        <w:t xml:space="preserve">notified </w:t>
      </w:r>
      <w:r w:rsidR="007A27AB" w:rsidRPr="0034190F">
        <w:rPr>
          <w:rFonts w:ascii="Cambria" w:hAnsi="Cambria"/>
          <w:sz w:val="20"/>
          <w:szCs w:val="20"/>
        </w:rPr>
        <w:t xml:space="preserve">by means of </w:t>
      </w:r>
      <w:r w:rsidR="00E917FE" w:rsidRPr="0034190F">
        <w:rPr>
          <w:rFonts w:ascii="Cambria" w:hAnsi="Cambria"/>
          <w:sz w:val="20"/>
          <w:szCs w:val="20"/>
        </w:rPr>
        <w:t>a posting</w:t>
      </w:r>
      <w:r w:rsidR="00F7253F" w:rsidRPr="0034190F">
        <w:rPr>
          <w:rFonts w:ascii="Cambria" w:hAnsi="Cambria"/>
          <w:sz w:val="20"/>
          <w:szCs w:val="20"/>
        </w:rPr>
        <w:t xml:space="preserve"> left up on a notification board</w:t>
      </w:r>
      <w:r w:rsidR="007A27AB" w:rsidRPr="0034190F">
        <w:rPr>
          <w:rFonts w:ascii="Cambria" w:hAnsi="Cambria"/>
          <w:sz w:val="20"/>
          <w:szCs w:val="20"/>
        </w:rPr>
        <w:t>.</w:t>
      </w:r>
      <w:r w:rsidRPr="0034190F">
        <w:rPr>
          <w:rStyle w:val="FootnoteReference"/>
          <w:rFonts w:ascii="Cambria" w:hAnsi="Cambria"/>
          <w:sz w:val="20"/>
          <w:szCs w:val="20"/>
          <w:lang w:val="es-ES_tradnl"/>
        </w:rPr>
        <w:footnoteReference w:id="45"/>
      </w:r>
      <w:r w:rsidRPr="0034190F">
        <w:rPr>
          <w:rFonts w:ascii="Cambria" w:hAnsi="Cambria"/>
          <w:sz w:val="20"/>
          <w:szCs w:val="20"/>
        </w:rPr>
        <w:t xml:space="preserve"> </w:t>
      </w:r>
      <w:r w:rsidR="007A27AB" w:rsidRPr="0034190F">
        <w:rPr>
          <w:rFonts w:ascii="Cambria" w:hAnsi="Cambria"/>
          <w:sz w:val="20"/>
          <w:szCs w:val="20"/>
        </w:rPr>
        <w:t xml:space="preserve">This is because at that time, both women had already returned to Peru. </w:t>
      </w:r>
      <w:r w:rsidRPr="0034190F">
        <w:rPr>
          <w:rFonts w:ascii="Cambria" w:hAnsi="Cambria"/>
          <w:sz w:val="20"/>
          <w:szCs w:val="20"/>
        </w:rPr>
        <w:t xml:space="preserve">  </w:t>
      </w:r>
    </w:p>
    <w:p w:rsidR="0043505F" w:rsidRPr="0034190F" w:rsidRDefault="0043505F" w:rsidP="0043505F">
      <w:pPr>
        <w:rPr>
          <w:rFonts w:ascii="Cambria" w:hAnsi="Cambria"/>
          <w:sz w:val="20"/>
          <w:szCs w:val="20"/>
        </w:rPr>
      </w:pPr>
    </w:p>
    <w:p w:rsidR="0043505F" w:rsidRPr="0034190F" w:rsidRDefault="007A27AB" w:rsidP="00FA5A8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Due to the foregoing</w:t>
      </w:r>
      <w:r w:rsidR="0043505F" w:rsidRPr="0034190F">
        <w:rPr>
          <w:rFonts w:ascii="Cambria" w:hAnsi="Cambria"/>
          <w:sz w:val="20"/>
          <w:szCs w:val="20"/>
        </w:rPr>
        <w:t xml:space="preserve">, </w:t>
      </w:r>
      <w:r w:rsidRPr="0034190F">
        <w:rPr>
          <w:rFonts w:ascii="Cambria" w:hAnsi="Cambria"/>
          <w:sz w:val="20"/>
          <w:szCs w:val="20"/>
        </w:rPr>
        <w:t>no</w:t>
      </w:r>
      <w:r w:rsidR="00B34664" w:rsidRPr="0034190F">
        <w:rPr>
          <w:rFonts w:ascii="Cambria" w:hAnsi="Cambria"/>
          <w:sz w:val="20"/>
          <w:szCs w:val="20"/>
        </w:rPr>
        <w:t xml:space="preserve"> judicial decision handed down in this case was notified to </w:t>
      </w:r>
      <w:r w:rsidR="0043505F" w:rsidRPr="0034190F">
        <w:rPr>
          <w:rFonts w:ascii="Cambria" w:hAnsi="Cambria"/>
          <w:sz w:val="20"/>
          <w:szCs w:val="20"/>
        </w:rPr>
        <w:t xml:space="preserve">Patricio Roche Azaña </w:t>
      </w:r>
      <w:r w:rsidR="00B34664" w:rsidRPr="0034190F">
        <w:rPr>
          <w:rFonts w:ascii="Cambria" w:hAnsi="Cambria"/>
          <w:sz w:val="20"/>
          <w:szCs w:val="20"/>
        </w:rPr>
        <w:t xml:space="preserve">or his </w:t>
      </w:r>
      <w:r w:rsidR="00F7253F" w:rsidRPr="0034190F">
        <w:rPr>
          <w:rFonts w:ascii="Cambria" w:hAnsi="Cambria"/>
          <w:sz w:val="20"/>
          <w:szCs w:val="20"/>
        </w:rPr>
        <w:t>family members</w:t>
      </w:r>
      <w:r w:rsidR="0043505F" w:rsidRPr="0034190F">
        <w:rPr>
          <w:rFonts w:ascii="Cambria" w:hAnsi="Cambria"/>
          <w:sz w:val="20"/>
          <w:szCs w:val="20"/>
        </w:rPr>
        <w:t xml:space="preserve">. </w:t>
      </w:r>
      <w:r w:rsidR="00B34664" w:rsidRPr="0034190F">
        <w:rPr>
          <w:rFonts w:ascii="Cambria" w:hAnsi="Cambria"/>
          <w:sz w:val="20"/>
          <w:szCs w:val="20"/>
        </w:rPr>
        <w:t xml:space="preserve">The first he learned of the judicial ruling was in August 1998, when his mother informally received a copy of the </w:t>
      </w:r>
      <w:r w:rsidR="00FA5A85" w:rsidRPr="0034190F">
        <w:rPr>
          <w:rFonts w:ascii="Cambria" w:hAnsi="Cambria"/>
          <w:sz w:val="20"/>
          <w:szCs w:val="20"/>
        </w:rPr>
        <w:t>judgment</w:t>
      </w:r>
      <w:r w:rsidR="00B34664" w:rsidRPr="0034190F">
        <w:rPr>
          <w:rFonts w:ascii="Cambria" w:hAnsi="Cambria"/>
          <w:sz w:val="20"/>
          <w:szCs w:val="20"/>
        </w:rPr>
        <w:t xml:space="preserve"> issued by the Chinandega District Criminal Jury Court</w:t>
      </w:r>
      <w:r w:rsidR="00FA5A85" w:rsidRPr="0034190F">
        <w:rPr>
          <w:rFonts w:ascii="Cambria" w:hAnsi="Cambria"/>
          <w:sz w:val="20"/>
          <w:szCs w:val="20"/>
        </w:rPr>
        <w:t xml:space="preserve"> from an official at the Ecuadorian Foreign Ministry</w:t>
      </w:r>
      <w:r w:rsidR="0043505F" w:rsidRPr="0034190F">
        <w:rPr>
          <w:rFonts w:ascii="Cambria" w:hAnsi="Cambria"/>
          <w:sz w:val="20"/>
          <w:szCs w:val="20"/>
        </w:rPr>
        <w:t xml:space="preserve">. </w:t>
      </w:r>
    </w:p>
    <w:p w:rsidR="0043505F" w:rsidRPr="0034190F" w:rsidRDefault="0043505F" w:rsidP="0043505F">
      <w:pPr>
        <w:rPr>
          <w:rFonts w:ascii="Cambria" w:hAnsi="Cambria"/>
          <w:b/>
          <w:sz w:val="20"/>
          <w:szCs w:val="20"/>
        </w:rPr>
      </w:pPr>
    </w:p>
    <w:p w:rsidR="0034190F" w:rsidRPr="0034190F" w:rsidRDefault="0034190F">
      <w:pPr>
        <w:rPr>
          <w:rFonts w:ascii="Cambria" w:eastAsia="Cambria" w:hAnsi="Cambria" w:cs="Cambria"/>
          <w:b/>
          <w:sz w:val="20"/>
          <w:szCs w:val="20"/>
          <w:u w:color="000000"/>
          <w:lang w:eastAsia="es-ES"/>
        </w:rPr>
      </w:pPr>
      <w:r w:rsidRPr="0034190F">
        <w:rPr>
          <w:rFonts w:ascii="Cambria" w:hAnsi="Cambria"/>
          <w:b/>
          <w:sz w:val="20"/>
          <w:szCs w:val="20"/>
        </w:rPr>
        <w:br w:type="page"/>
      </w:r>
    </w:p>
    <w:p w:rsidR="0043505F" w:rsidRPr="0034190F" w:rsidRDefault="00380B4A" w:rsidP="0043505F">
      <w:pPr>
        <w:pStyle w:val="ListParagraph"/>
        <w:numPr>
          <w:ilvl w:val="0"/>
          <w:numId w:val="104"/>
        </w:numPr>
        <w:suppressAutoHyphens/>
        <w:ind w:left="1440"/>
        <w:rPr>
          <w:b/>
          <w:color w:val="auto"/>
          <w:sz w:val="20"/>
          <w:szCs w:val="20"/>
          <w:lang w:val="es-ES_tradnl"/>
        </w:rPr>
      </w:pPr>
      <w:r w:rsidRPr="0034190F">
        <w:rPr>
          <w:b/>
          <w:color w:val="auto"/>
          <w:sz w:val="20"/>
          <w:szCs w:val="20"/>
          <w:lang w:val="es-ES_tradnl"/>
        </w:rPr>
        <w:lastRenderedPageBreak/>
        <w:t>ANALYSIS OF LAW</w:t>
      </w:r>
    </w:p>
    <w:p w:rsidR="0043505F" w:rsidRPr="0034190F" w:rsidRDefault="0043505F" w:rsidP="0043505F">
      <w:pPr>
        <w:suppressAutoHyphens/>
        <w:rPr>
          <w:rFonts w:ascii="Cambria" w:hAnsi="Cambria"/>
          <w:b/>
          <w:sz w:val="20"/>
          <w:szCs w:val="20"/>
          <w:lang w:val="es-ES_tradnl"/>
        </w:rPr>
      </w:pPr>
    </w:p>
    <w:p w:rsidR="0043505F" w:rsidRPr="0034190F" w:rsidRDefault="006A0E66" w:rsidP="0043505F">
      <w:pPr>
        <w:pStyle w:val="Heading2"/>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rFonts w:ascii="Cambria" w:hAnsi="Cambria"/>
          <w:b/>
          <w:i/>
          <w:color w:val="auto"/>
          <w:sz w:val="20"/>
          <w:szCs w:val="20"/>
        </w:rPr>
      </w:pPr>
      <w:r w:rsidRPr="0034190F">
        <w:rPr>
          <w:rFonts w:ascii="Cambria" w:hAnsi="Cambria"/>
          <w:b/>
          <w:color w:val="auto"/>
          <w:sz w:val="20"/>
          <w:szCs w:val="20"/>
        </w:rPr>
        <w:t>Right to life</w:t>
      </w:r>
      <w:r w:rsidR="0043505F" w:rsidRPr="0034190F">
        <w:rPr>
          <w:rStyle w:val="FootnoteReference"/>
          <w:rFonts w:ascii="Cambria" w:hAnsi="Cambria"/>
          <w:b/>
          <w:color w:val="auto"/>
          <w:sz w:val="20"/>
          <w:szCs w:val="20"/>
        </w:rPr>
        <w:footnoteReference w:id="46"/>
      </w:r>
      <w:r w:rsidR="0043505F" w:rsidRPr="0034190F">
        <w:rPr>
          <w:rFonts w:ascii="Cambria" w:hAnsi="Cambria"/>
          <w:b/>
          <w:color w:val="auto"/>
          <w:sz w:val="20"/>
          <w:szCs w:val="20"/>
        </w:rPr>
        <w:t xml:space="preserve"> (</w:t>
      </w:r>
      <w:r w:rsidRPr="0034190F">
        <w:rPr>
          <w:rFonts w:ascii="Cambria" w:hAnsi="Cambria"/>
          <w:b/>
          <w:color w:val="auto"/>
          <w:sz w:val="20"/>
          <w:szCs w:val="20"/>
        </w:rPr>
        <w:t>Article</w:t>
      </w:r>
      <w:r w:rsidR="0043505F" w:rsidRPr="0034190F">
        <w:rPr>
          <w:rFonts w:ascii="Cambria" w:hAnsi="Cambria"/>
          <w:b/>
          <w:color w:val="auto"/>
          <w:sz w:val="20"/>
          <w:szCs w:val="20"/>
        </w:rPr>
        <w:t xml:space="preserve"> 4.1) </w:t>
      </w:r>
      <w:r w:rsidRPr="0034190F">
        <w:rPr>
          <w:rFonts w:ascii="Cambria" w:hAnsi="Cambria"/>
          <w:b/>
          <w:color w:val="auto"/>
          <w:sz w:val="20"/>
          <w:szCs w:val="20"/>
        </w:rPr>
        <w:t>and right to humane treatment</w:t>
      </w:r>
      <w:r w:rsidR="0043505F" w:rsidRPr="0034190F">
        <w:rPr>
          <w:rStyle w:val="FootnoteReference"/>
          <w:rFonts w:ascii="Cambria" w:hAnsi="Cambria"/>
          <w:b/>
          <w:color w:val="auto"/>
          <w:sz w:val="20"/>
          <w:szCs w:val="20"/>
        </w:rPr>
        <w:footnoteReference w:id="47"/>
      </w:r>
      <w:r w:rsidR="0043505F" w:rsidRPr="0034190F">
        <w:rPr>
          <w:rFonts w:ascii="Cambria" w:hAnsi="Cambria"/>
          <w:b/>
          <w:color w:val="auto"/>
          <w:sz w:val="20"/>
          <w:szCs w:val="20"/>
        </w:rPr>
        <w:t xml:space="preserve"> (</w:t>
      </w:r>
      <w:r w:rsidRPr="0034190F">
        <w:rPr>
          <w:rFonts w:ascii="Cambria" w:hAnsi="Cambria"/>
          <w:b/>
          <w:color w:val="auto"/>
          <w:sz w:val="20"/>
          <w:szCs w:val="20"/>
        </w:rPr>
        <w:t xml:space="preserve">Article </w:t>
      </w:r>
      <w:r w:rsidR="0043505F" w:rsidRPr="0034190F">
        <w:rPr>
          <w:rFonts w:ascii="Cambria" w:hAnsi="Cambria"/>
          <w:b/>
          <w:color w:val="auto"/>
          <w:sz w:val="20"/>
          <w:szCs w:val="20"/>
        </w:rPr>
        <w:t>5.1)</w:t>
      </w:r>
      <w:r w:rsidR="0064423C" w:rsidRPr="0034190F">
        <w:rPr>
          <w:rFonts w:ascii="Cambria" w:hAnsi="Cambria"/>
          <w:b/>
          <w:color w:val="auto"/>
          <w:sz w:val="20"/>
          <w:szCs w:val="20"/>
        </w:rPr>
        <w:t>,</w:t>
      </w:r>
      <w:r w:rsidR="0043505F" w:rsidRPr="0034190F">
        <w:rPr>
          <w:rFonts w:ascii="Cambria" w:hAnsi="Cambria"/>
          <w:b/>
          <w:color w:val="auto"/>
          <w:sz w:val="20"/>
          <w:szCs w:val="20"/>
        </w:rPr>
        <w:t xml:space="preserve"> </w:t>
      </w:r>
      <w:r w:rsidRPr="0034190F">
        <w:rPr>
          <w:rFonts w:ascii="Cambria" w:hAnsi="Cambria"/>
          <w:b/>
          <w:color w:val="auto"/>
          <w:sz w:val="20"/>
          <w:szCs w:val="20"/>
        </w:rPr>
        <w:t>in connection with</w:t>
      </w:r>
      <w:r w:rsidR="0043505F" w:rsidRPr="0034190F">
        <w:rPr>
          <w:rFonts w:ascii="Cambria" w:hAnsi="Cambria"/>
          <w:b/>
          <w:color w:val="auto"/>
          <w:sz w:val="20"/>
          <w:szCs w:val="20"/>
        </w:rPr>
        <w:t xml:space="preserve"> </w:t>
      </w:r>
      <w:r w:rsidRPr="0034190F">
        <w:rPr>
          <w:rFonts w:ascii="Cambria" w:hAnsi="Cambria"/>
          <w:b/>
          <w:color w:val="auto"/>
          <w:sz w:val="20"/>
          <w:szCs w:val="20"/>
        </w:rPr>
        <w:t xml:space="preserve">Article </w:t>
      </w:r>
      <w:r w:rsidR="0043505F" w:rsidRPr="0034190F">
        <w:rPr>
          <w:rFonts w:ascii="Cambria" w:hAnsi="Cambria"/>
          <w:b/>
          <w:color w:val="auto"/>
          <w:sz w:val="20"/>
          <w:szCs w:val="20"/>
        </w:rPr>
        <w:t xml:space="preserve">1.1 </w:t>
      </w:r>
      <w:r w:rsidRPr="0034190F">
        <w:rPr>
          <w:rFonts w:ascii="Cambria" w:hAnsi="Cambria"/>
          <w:b/>
          <w:color w:val="auto"/>
          <w:sz w:val="20"/>
          <w:szCs w:val="20"/>
        </w:rPr>
        <w:t>of the American Convention</w:t>
      </w:r>
      <w:r w:rsidR="0064423C" w:rsidRPr="0034190F">
        <w:rPr>
          <w:rFonts w:ascii="Cambria" w:hAnsi="Cambria"/>
          <w:b/>
          <w:color w:val="auto"/>
          <w:sz w:val="20"/>
          <w:szCs w:val="20"/>
        </w:rPr>
        <w:t>,</w:t>
      </w:r>
      <w:r w:rsidRPr="0034190F">
        <w:rPr>
          <w:rFonts w:ascii="Cambria" w:hAnsi="Cambria"/>
          <w:b/>
          <w:color w:val="auto"/>
          <w:sz w:val="20"/>
          <w:szCs w:val="20"/>
        </w:rPr>
        <w:t xml:space="preserve"> with respect to</w:t>
      </w:r>
      <w:r w:rsidR="0043505F" w:rsidRPr="0034190F">
        <w:rPr>
          <w:rFonts w:ascii="Cambria" w:hAnsi="Cambria"/>
          <w:b/>
          <w:color w:val="auto"/>
          <w:sz w:val="20"/>
          <w:szCs w:val="20"/>
        </w:rPr>
        <w:t xml:space="preserve"> Pedro Bacilio </w:t>
      </w:r>
      <w:r w:rsidRPr="0034190F">
        <w:rPr>
          <w:rFonts w:ascii="Cambria" w:hAnsi="Cambria"/>
          <w:b/>
          <w:color w:val="auto"/>
          <w:sz w:val="20"/>
          <w:szCs w:val="20"/>
        </w:rPr>
        <w:t>and</w:t>
      </w:r>
      <w:r w:rsidR="0043505F" w:rsidRPr="0034190F">
        <w:rPr>
          <w:rFonts w:ascii="Cambria" w:hAnsi="Cambria"/>
          <w:b/>
          <w:color w:val="auto"/>
          <w:sz w:val="20"/>
          <w:szCs w:val="20"/>
        </w:rPr>
        <w:t xml:space="preserve"> Patricio Fernando Roche Azaña</w:t>
      </w:r>
    </w:p>
    <w:p w:rsidR="0043505F" w:rsidRPr="0034190F" w:rsidRDefault="0043505F" w:rsidP="0043505F">
      <w:pPr>
        <w:pStyle w:val="Heading3"/>
        <w:spacing w:before="0"/>
        <w:ind w:left="1440"/>
        <w:rPr>
          <w:rFonts w:ascii="Cambria" w:hAnsi="Cambria"/>
          <w:b/>
          <w:color w:val="auto"/>
          <w:sz w:val="20"/>
          <w:szCs w:val="20"/>
        </w:rPr>
      </w:pPr>
    </w:p>
    <w:p w:rsidR="0043505F" w:rsidRPr="0034190F" w:rsidRDefault="006A0E66" w:rsidP="0043505F">
      <w:pPr>
        <w:pStyle w:val="Heading3"/>
        <w:keepLines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rFonts w:ascii="Cambria" w:hAnsi="Cambria"/>
          <w:b/>
          <w:color w:val="auto"/>
          <w:sz w:val="20"/>
          <w:szCs w:val="20"/>
        </w:rPr>
      </w:pPr>
      <w:r w:rsidRPr="0034190F">
        <w:rPr>
          <w:rFonts w:ascii="Cambria" w:hAnsi="Cambria"/>
          <w:b/>
          <w:color w:val="auto"/>
          <w:sz w:val="20"/>
          <w:szCs w:val="20"/>
        </w:rPr>
        <w:t>General considerations and burden of proof</w:t>
      </w:r>
      <w:r w:rsidR="0043505F" w:rsidRPr="0034190F">
        <w:rPr>
          <w:rFonts w:ascii="Cambria" w:hAnsi="Cambria"/>
          <w:b/>
          <w:color w:val="auto"/>
          <w:sz w:val="20"/>
          <w:szCs w:val="20"/>
        </w:rPr>
        <w:t xml:space="preserve"> (“</w:t>
      </w:r>
      <w:r w:rsidRPr="0034190F">
        <w:rPr>
          <w:rFonts w:ascii="Cambria" w:hAnsi="Cambria"/>
          <w:b/>
          <w:color w:val="auto"/>
          <w:sz w:val="20"/>
          <w:szCs w:val="20"/>
        </w:rPr>
        <w:t>satisfactory explanation</w:t>
      </w:r>
      <w:r w:rsidR="0043505F" w:rsidRPr="0034190F">
        <w:rPr>
          <w:rFonts w:ascii="Cambria" w:hAnsi="Cambria"/>
          <w:b/>
          <w:color w:val="auto"/>
          <w:sz w:val="20"/>
          <w:szCs w:val="20"/>
        </w:rPr>
        <w:t xml:space="preserve">”) </w:t>
      </w:r>
      <w:r w:rsidRPr="0034190F">
        <w:rPr>
          <w:rFonts w:ascii="Cambria" w:hAnsi="Cambria"/>
          <w:b/>
          <w:color w:val="auto"/>
          <w:sz w:val="20"/>
          <w:szCs w:val="20"/>
        </w:rPr>
        <w:t>in cases involving the use of force and firearms by State agents</w:t>
      </w:r>
    </w:p>
    <w:p w:rsidR="0043505F" w:rsidRPr="0034190F" w:rsidRDefault="0043505F" w:rsidP="0043505F">
      <w:pPr>
        <w:rPr>
          <w:rFonts w:ascii="Cambria" w:hAnsi="Cambria"/>
          <w:sz w:val="20"/>
          <w:szCs w:val="20"/>
        </w:rPr>
      </w:pPr>
    </w:p>
    <w:p w:rsidR="0043505F" w:rsidRPr="0034190F" w:rsidRDefault="00577CB2" w:rsidP="00E20117">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pacing w:val="-2"/>
          <w:sz w:val="20"/>
          <w:szCs w:val="20"/>
        </w:rPr>
      </w:pPr>
      <w:r w:rsidRPr="0034190F">
        <w:rPr>
          <w:rFonts w:ascii="Cambria" w:hAnsi="Cambria"/>
          <w:sz w:val="20"/>
          <w:szCs w:val="20"/>
        </w:rPr>
        <w:t xml:space="preserve">Both the Inter-American Commission and Court have </w:t>
      </w:r>
      <w:r w:rsidR="00432D4D" w:rsidRPr="0034190F">
        <w:rPr>
          <w:rFonts w:ascii="Cambria" w:hAnsi="Cambria"/>
          <w:sz w:val="20"/>
          <w:szCs w:val="20"/>
        </w:rPr>
        <w:t>held</w:t>
      </w:r>
      <w:r w:rsidRPr="0034190F">
        <w:rPr>
          <w:rFonts w:ascii="Cambria" w:hAnsi="Cambria"/>
          <w:sz w:val="20"/>
          <w:szCs w:val="20"/>
        </w:rPr>
        <w:t xml:space="preserve"> that </w:t>
      </w:r>
      <w:r w:rsidR="0033131E" w:rsidRPr="0034190F">
        <w:rPr>
          <w:rFonts w:ascii="Cambria" w:hAnsi="Cambria"/>
          <w:sz w:val="20"/>
          <w:szCs w:val="20"/>
        </w:rPr>
        <w:t xml:space="preserve">the use of force must be examined </w:t>
      </w:r>
      <w:r w:rsidRPr="0034190F">
        <w:rPr>
          <w:rFonts w:ascii="Cambria" w:hAnsi="Cambria"/>
          <w:sz w:val="20"/>
          <w:szCs w:val="20"/>
        </w:rPr>
        <w:t xml:space="preserve">in all cases </w:t>
      </w:r>
      <w:r w:rsidR="0033131E" w:rsidRPr="0034190F">
        <w:rPr>
          <w:rFonts w:ascii="Cambria" w:hAnsi="Cambria"/>
          <w:sz w:val="20"/>
          <w:szCs w:val="20"/>
        </w:rPr>
        <w:t xml:space="preserve">in which </w:t>
      </w:r>
      <w:r w:rsidRPr="0034190F">
        <w:rPr>
          <w:rFonts w:ascii="Cambria" w:hAnsi="Cambria"/>
          <w:sz w:val="20"/>
          <w:szCs w:val="20"/>
        </w:rPr>
        <w:t xml:space="preserve">force </w:t>
      </w:r>
      <w:r w:rsidR="0033131E" w:rsidRPr="0034190F">
        <w:rPr>
          <w:rFonts w:ascii="Cambria" w:hAnsi="Cambria"/>
          <w:sz w:val="20"/>
          <w:szCs w:val="20"/>
        </w:rPr>
        <w:t xml:space="preserve">has been deployed and </w:t>
      </w:r>
      <w:r w:rsidRPr="0034190F">
        <w:rPr>
          <w:rFonts w:ascii="Cambria" w:hAnsi="Cambria"/>
          <w:sz w:val="20"/>
          <w:szCs w:val="20"/>
        </w:rPr>
        <w:t xml:space="preserve">in which </w:t>
      </w:r>
      <w:r w:rsidR="0033131E" w:rsidRPr="0034190F">
        <w:rPr>
          <w:rFonts w:ascii="Cambria" w:hAnsi="Cambria"/>
          <w:sz w:val="20"/>
          <w:szCs w:val="20"/>
        </w:rPr>
        <w:t xml:space="preserve">State </w:t>
      </w:r>
      <w:r w:rsidRPr="0034190F">
        <w:rPr>
          <w:rFonts w:ascii="Cambria" w:hAnsi="Cambria"/>
          <w:sz w:val="20"/>
          <w:szCs w:val="20"/>
        </w:rPr>
        <w:t xml:space="preserve">agents have </w:t>
      </w:r>
      <w:r w:rsidR="0033131E" w:rsidRPr="0034190F">
        <w:rPr>
          <w:rFonts w:ascii="Cambria" w:hAnsi="Cambria"/>
          <w:sz w:val="20"/>
          <w:szCs w:val="20"/>
        </w:rPr>
        <w:t>killed or injured anyone</w:t>
      </w:r>
      <w:r w:rsidRPr="0034190F">
        <w:rPr>
          <w:rFonts w:ascii="Cambria" w:hAnsi="Cambria"/>
          <w:sz w:val="20"/>
          <w:szCs w:val="20"/>
        </w:rPr>
        <w:t>.</w:t>
      </w:r>
      <w:r w:rsidR="0043505F" w:rsidRPr="0034190F">
        <w:rPr>
          <w:rStyle w:val="FootnoteReference"/>
          <w:rFonts w:ascii="Cambria" w:hAnsi="Cambria"/>
          <w:spacing w:val="-2"/>
          <w:sz w:val="20"/>
          <w:szCs w:val="20"/>
          <w:lang w:val="es-CR"/>
        </w:rPr>
        <w:footnoteReference w:id="48"/>
      </w:r>
      <w:r w:rsidR="0043505F" w:rsidRPr="0034190F">
        <w:rPr>
          <w:rFonts w:ascii="Cambria" w:hAnsi="Cambria"/>
          <w:spacing w:val="-2"/>
          <w:sz w:val="20"/>
          <w:szCs w:val="20"/>
        </w:rPr>
        <w:t xml:space="preserve"> </w:t>
      </w:r>
      <w:r w:rsidR="00633138" w:rsidRPr="0034190F">
        <w:rPr>
          <w:rFonts w:ascii="Cambria" w:hAnsi="Cambria"/>
          <w:spacing w:val="-2"/>
          <w:sz w:val="20"/>
          <w:szCs w:val="20"/>
        </w:rPr>
        <w:t>In that connection</w:t>
      </w:r>
      <w:r w:rsidRPr="0034190F">
        <w:rPr>
          <w:rFonts w:ascii="Cambria" w:hAnsi="Cambria"/>
          <w:spacing w:val="-2"/>
          <w:sz w:val="20"/>
          <w:szCs w:val="20"/>
        </w:rPr>
        <w:t xml:space="preserve">, the Commission will </w:t>
      </w:r>
      <w:r w:rsidR="0033131E" w:rsidRPr="0034190F">
        <w:rPr>
          <w:rFonts w:ascii="Cambria" w:hAnsi="Cambria"/>
          <w:spacing w:val="-2"/>
          <w:sz w:val="20"/>
          <w:szCs w:val="20"/>
        </w:rPr>
        <w:t>examine</w:t>
      </w:r>
      <w:r w:rsidRPr="0034190F">
        <w:rPr>
          <w:rFonts w:ascii="Cambria" w:hAnsi="Cambria"/>
          <w:spacing w:val="-2"/>
          <w:sz w:val="20"/>
          <w:szCs w:val="20"/>
        </w:rPr>
        <w:t xml:space="preserve"> the facts of the case taking into account what inter-American case law has stated regarding the right to life, in </w:t>
      </w:r>
      <w:r w:rsidR="0033131E" w:rsidRPr="0034190F">
        <w:rPr>
          <w:rFonts w:ascii="Cambria" w:hAnsi="Cambria"/>
          <w:spacing w:val="-2"/>
          <w:sz w:val="20"/>
          <w:szCs w:val="20"/>
        </w:rPr>
        <w:t>connection with</w:t>
      </w:r>
      <w:r w:rsidRPr="0034190F">
        <w:rPr>
          <w:rFonts w:ascii="Cambria" w:hAnsi="Cambria"/>
          <w:spacing w:val="-2"/>
          <w:sz w:val="20"/>
          <w:szCs w:val="20"/>
        </w:rPr>
        <w:t xml:space="preserve"> the obligations </w:t>
      </w:r>
      <w:r w:rsidR="0033131E" w:rsidRPr="0034190F">
        <w:rPr>
          <w:rFonts w:ascii="Cambria" w:hAnsi="Cambria"/>
          <w:spacing w:val="-2"/>
          <w:sz w:val="20"/>
          <w:szCs w:val="20"/>
        </w:rPr>
        <w:t>to respect and guarantee rights and in the matter of</w:t>
      </w:r>
      <w:r w:rsidRPr="0034190F">
        <w:rPr>
          <w:rFonts w:ascii="Cambria" w:hAnsi="Cambria"/>
          <w:spacing w:val="-2"/>
          <w:sz w:val="20"/>
          <w:szCs w:val="20"/>
        </w:rPr>
        <w:t xml:space="preserve"> use of force. In so</w:t>
      </w:r>
      <w:r w:rsidR="00E71EAC" w:rsidRPr="0034190F">
        <w:rPr>
          <w:rFonts w:ascii="Cambria" w:hAnsi="Cambria"/>
          <w:spacing w:val="-2"/>
          <w:sz w:val="20"/>
          <w:szCs w:val="20"/>
        </w:rPr>
        <w:t xml:space="preserve"> doing</w:t>
      </w:r>
      <w:r w:rsidRPr="0034190F">
        <w:rPr>
          <w:rFonts w:ascii="Cambria" w:hAnsi="Cambria"/>
          <w:spacing w:val="-2"/>
          <w:sz w:val="20"/>
          <w:szCs w:val="20"/>
        </w:rPr>
        <w:t xml:space="preserve">, the IACHR will </w:t>
      </w:r>
      <w:r w:rsidR="0033131E" w:rsidRPr="0034190F">
        <w:rPr>
          <w:rFonts w:ascii="Cambria" w:hAnsi="Cambria"/>
          <w:spacing w:val="-2"/>
          <w:sz w:val="20"/>
          <w:szCs w:val="20"/>
        </w:rPr>
        <w:t>consider</w:t>
      </w:r>
      <w:r w:rsidRPr="0034190F">
        <w:rPr>
          <w:rFonts w:ascii="Cambria" w:hAnsi="Cambria"/>
          <w:spacing w:val="-2"/>
          <w:sz w:val="20"/>
          <w:szCs w:val="20"/>
        </w:rPr>
        <w:t xml:space="preserve"> various </w:t>
      </w:r>
      <w:r w:rsidR="0033131E" w:rsidRPr="0034190F">
        <w:rPr>
          <w:rFonts w:ascii="Cambria" w:hAnsi="Cambria"/>
          <w:spacing w:val="-2"/>
          <w:sz w:val="20"/>
          <w:szCs w:val="20"/>
        </w:rPr>
        <w:t xml:space="preserve">relevant </w:t>
      </w:r>
      <w:r w:rsidRPr="0034190F">
        <w:rPr>
          <w:rFonts w:ascii="Cambria" w:hAnsi="Cambria"/>
          <w:spacing w:val="-2"/>
          <w:sz w:val="20"/>
          <w:szCs w:val="20"/>
        </w:rPr>
        <w:t>international instruments</w:t>
      </w:r>
      <w:r w:rsidR="0033131E" w:rsidRPr="0034190F">
        <w:rPr>
          <w:rFonts w:ascii="Cambria" w:hAnsi="Cambria"/>
          <w:spacing w:val="-2"/>
          <w:sz w:val="20"/>
          <w:szCs w:val="20"/>
        </w:rPr>
        <w:t xml:space="preserve"> </w:t>
      </w:r>
      <w:r w:rsidRPr="0034190F">
        <w:rPr>
          <w:rFonts w:ascii="Cambria" w:hAnsi="Cambria"/>
          <w:spacing w:val="-2"/>
          <w:sz w:val="20"/>
          <w:szCs w:val="20"/>
        </w:rPr>
        <w:t>and specifically the Basic Principles on the Use of Force and Firearms by Law Enforcement Officials</w:t>
      </w:r>
      <w:r w:rsidR="00E20117" w:rsidRPr="0034190F">
        <w:rPr>
          <w:rFonts w:ascii="Cambria" w:hAnsi="Cambria"/>
          <w:spacing w:val="-2"/>
          <w:sz w:val="20"/>
          <w:szCs w:val="20"/>
        </w:rPr>
        <w:t xml:space="preserve"> and the Code of Conduct for Law Enforcement Officials (hereinafter “Principles on the Use of Force” and “Code of Conduct,” respectively). </w:t>
      </w:r>
    </w:p>
    <w:p w:rsidR="0043505F" w:rsidRPr="0034190F" w:rsidRDefault="0043505F" w:rsidP="0043505F">
      <w:pPr>
        <w:tabs>
          <w:tab w:val="left" w:pos="720"/>
          <w:tab w:val="left" w:pos="1440"/>
        </w:tabs>
        <w:ind w:left="630"/>
        <w:jc w:val="both"/>
        <w:rPr>
          <w:rFonts w:ascii="Cambria" w:hAnsi="Cambria"/>
          <w:spacing w:val="-2"/>
          <w:sz w:val="20"/>
          <w:szCs w:val="20"/>
        </w:rPr>
      </w:pPr>
    </w:p>
    <w:p w:rsidR="0043505F" w:rsidRPr="0034190F" w:rsidRDefault="00E20117" w:rsidP="00E20117">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rPr>
      </w:pPr>
      <w:r w:rsidRPr="0034190F">
        <w:rPr>
          <w:rFonts w:ascii="Cambria" w:hAnsi="Cambria"/>
          <w:sz w:val="20"/>
          <w:szCs w:val="20"/>
        </w:rPr>
        <w:t xml:space="preserve">When </w:t>
      </w:r>
      <w:r w:rsidR="00E34B83" w:rsidRPr="0034190F">
        <w:rPr>
          <w:rFonts w:ascii="Cambria" w:hAnsi="Cambria"/>
          <w:sz w:val="20"/>
          <w:szCs w:val="20"/>
        </w:rPr>
        <w:t>allegations are made</w:t>
      </w:r>
      <w:r w:rsidRPr="0034190F">
        <w:rPr>
          <w:rFonts w:ascii="Cambria" w:hAnsi="Cambria"/>
          <w:sz w:val="20"/>
          <w:szCs w:val="20"/>
        </w:rPr>
        <w:t xml:space="preserve"> that a death </w:t>
      </w:r>
      <w:r w:rsidR="00E34B83" w:rsidRPr="0034190F">
        <w:rPr>
          <w:rFonts w:ascii="Cambria" w:hAnsi="Cambria"/>
          <w:sz w:val="20"/>
          <w:szCs w:val="20"/>
        </w:rPr>
        <w:t>was the result of</w:t>
      </w:r>
      <w:r w:rsidRPr="0034190F">
        <w:rPr>
          <w:rFonts w:ascii="Cambria" w:hAnsi="Cambria"/>
          <w:sz w:val="20"/>
          <w:szCs w:val="20"/>
        </w:rPr>
        <w:t xml:space="preserve"> the use of force, </w:t>
      </w:r>
      <w:r w:rsidR="00D84F74" w:rsidRPr="0034190F">
        <w:rPr>
          <w:rFonts w:ascii="Cambria" w:hAnsi="Cambria"/>
          <w:sz w:val="20"/>
          <w:szCs w:val="20"/>
        </w:rPr>
        <w:t>both the IACHR and the In</w:t>
      </w:r>
      <w:r w:rsidRPr="0034190F">
        <w:rPr>
          <w:rFonts w:ascii="Cambria" w:hAnsi="Cambria"/>
          <w:sz w:val="20"/>
          <w:szCs w:val="20"/>
        </w:rPr>
        <w:t xml:space="preserve">ter-American </w:t>
      </w:r>
      <w:r w:rsidR="00D84F74" w:rsidRPr="0034190F">
        <w:rPr>
          <w:rFonts w:ascii="Cambria" w:hAnsi="Cambria"/>
          <w:sz w:val="20"/>
          <w:szCs w:val="20"/>
        </w:rPr>
        <w:t>Court</w:t>
      </w:r>
      <w:r w:rsidRPr="0034190F">
        <w:rPr>
          <w:rFonts w:ascii="Cambria" w:hAnsi="Cambria"/>
          <w:sz w:val="20"/>
          <w:szCs w:val="20"/>
        </w:rPr>
        <w:t xml:space="preserve"> have established clear rules </w:t>
      </w:r>
      <w:r w:rsidR="00E34B83" w:rsidRPr="0034190F">
        <w:rPr>
          <w:rFonts w:ascii="Cambria" w:hAnsi="Cambria"/>
          <w:sz w:val="20"/>
          <w:szCs w:val="20"/>
        </w:rPr>
        <w:t>on the</w:t>
      </w:r>
      <w:r w:rsidRPr="0034190F">
        <w:rPr>
          <w:rFonts w:ascii="Cambria" w:hAnsi="Cambria"/>
          <w:sz w:val="20"/>
          <w:szCs w:val="20"/>
        </w:rPr>
        <w:t xml:space="preserve"> burden of proof. The Inter-American Court has indicated that “…whenever the use of force [by state agents] results in the death or injuries to one or more individuals, the State has the obligation to give a satisfactory and convincing explanation of the events and to rebut allegations over its liability, through appropriate evidentiary elements.”</w:t>
      </w:r>
      <w:r w:rsidR="0043505F" w:rsidRPr="0034190F">
        <w:rPr>
          <w:rStyle w:val="FootnoteReference"/>
          <w:rFonts w:ascii="Cambria" w:hAnsi="Cambria" w:cs="Verdana"/>
          <w:sz w:val="20"/>
          <w:szCs w:val="20"/>
        </w:rPr>
        <w:footnoteReference w:id="49"/>
      </w:r>
      <w:r w:rsidR="0043505F" w:rsidRPr="0034190F">
        <w:rPr>
          <w:rFonts w:ascii="Cambria" w:hAnsi="Cambria" w:cs="Verdana"/>
          <w:sz w:val="20"/>
          <w:szCs w:val="20"/>
        </w:rPr>
        <w:t xml:space="preserve"> </w:t>
      </w:r>
    </w:p>
    <w:p w:rsidR="0043505F" w:rsidRPr="0034190F" w:rsidRDefault="0043505F" w:rsidP="0043505F">
      <w:pPr>
        <w:tabs>
          <w:tab w:val="left" w:pos="720"/>
          <w:tab w:val="left" w:pos="1440"/>
        </w:tabs>
        <w:jc w:val="both"/>
        <w:rPr>
          <w:rFonts w:ascii="Cambria" w:hAnsi="Cambria"/>
          <w:sz w:val="20"/>
          <w:szCs w:val="20"/>
        </w:rPr>
      </w:pPr>
    </w:p>
    <w:p w:rsidR="0043505F" w:rsidRPr="0034190F" w:rsidRDefault="00195631" w:rsidP="00195631">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rPr>
      </w:pPr>
      <w:r w:rsidRPr="0034190F">
        <w:rPr>
          <w:rFonts w:ascii="Cambria" w:hAnsi="Cambria" w:cs="Verdana"/>
          <w:sz w:val="20"/>
          <w:szCs w:val="20"/>
        </w:rPr>
        <w:t>Similarly</w:t>
      </w:r>
      <w:r w:rsidR="00D63B16" w:rsidRPr="0034190F">
        <w:rPr>
          <w:rFonts w:ascii="Cambria" w:hAnsi="Cambria" w:cs="Verdana"/>
          <w:sz w:val="20"/>
          <w:szCs w:val="20"/>
        </w:rPr>
        <w:t xml:space="preserve">, the UN Human Rights Committee has </w:t>
      </w:r>
      <w:r w:rsidRPr="0034190F">
        <w:rPr>
          <w:rFonts w:ascii="Cambria" w:hAnsi="Cambria" w:cs="Verdana"/>
          <w:sz w:val="20"/>
          <w:szCs w:val="20"/>
        </w:rPr>
        <w:t>held</w:t>
      </w:r>
      <w:r w:rsidR="00D63B16" w:rsidRPr="0034190F">
        <w:rPr>
          <w:rFonts w:ascii="Cambria" w:hAnsi="Cambria" w:cs="Verdana"/>
          <w:sz w:val="20"/>
          <w:szCs w:val="20"/>
        </w:rPr>
        <w:t xml:space="preserve"> that in cases where</w:t>
      </w:r>
      <w:r w:rsidR="00282605" w:rsidRPr="0034190F">
        <w:rPr>
          <w:rFonts w:ascii="Cambria" w:hAnsi="Cambria" w:cs="Verdana"/>
          <w:sz w:val="20"/>
          <w:szCs w:val="20"/>
        </w:rPr>
        <w:t xml:space="preserve"> </w:t>
      </w:r>
      <w:r w:rsidR="005173F9" w:rsidRPr="0034190F">
        <w:rPr>
          <w:rFonts w:ascii="Cambria" w:hAnsi="Cambria" w:cs="Verdana"/>
          <w:sz w:val="20"/>
          <w:szCs w:val="20"/>
        </w:rPr>
        <w:t xml:space="preserve">further </w:t>
      </w:r>
      <w:r w:rsidR="00282605" w:rsidRPr="0034190F">
        <w:rPr>
          <w:rFonts w:ascii="Cambria" w:hAnsi="Cambria" w:cs="Verdana"/>
          <w:sz w:val="20"/>
          <w:szCs w:val="20"/>
        </w:rPr>
        <w:t xml:space="preserve">clarification of the facts </w:t>
      </w:r>
      <w:r w:rsidR="005173F9" w:rsidRPr="0034190F">
        <w:rPr>
          <w:rFonts w:ascii="Cambria" w:hAnsi="Cambria" w:cs="Verdana"/>
          <w:sz w:val="20"/>
          <w:szCs w:val="20"/>
        </w:rPr>
        <w:t>depends on information</w:t>
      </w:r>
      <w:r w:rsidR="00282605" w:rsidRPr="0034190F">
        <w:rPr>
          <w:rFonts w:ascii="Cambria" w:hAnsi="Cambria" w:cs="Verdana"/>
          <w:sz w:val="20"/>
          <w:szCs w:val="20"/>
        </w:rPr>
        <w:t xml:space="preserve"> exclusively </w:t>
      </w:r>
      <w:r w:rsidR="005173F9" w:rsidRPr="0034190F">
        <w:rPr>
          <w:rFonts w:ascii="Cambria" w:hAnsi="Cambria" w:cs="Verdana"/>
          <w:sz w:val="20"/>
          <w:szCs w:val="20"/>
        </w:rPr>
        <w:t>in the hands of</w:t>
      </w:r>
      <w:r w:rsidR="00282605" w:rsidRPr="0034190F">
        <w:rPr>
          <w:rFonts w:ascii="Cambria" w:hAnsi="Cambria" w:cs="Verdana"/>
          <w:sz w:val="20"/>
          <w:szCs w:val="20"/>
        </w:rPr>
        <w:t xml:space="preserve"> the State, allegations may be considered substantiated in the absence of satisfactory evidence or explanation to</w:t>
      </w:r>
      <w:r w:rsidR="005173F9" w:rsidRPr="0034190F">
        <w:rPr>
          <w:rFonts w:ascii="Cambria" w:hAnsi="Cambria" w:cs="Verdana"/>
          <w:sz w:val="20"/>
          <w:szCs w:val="20"/>
        </w:rPr>
        <w:t xml:space="preserve"> </w:t>
      </w:r>
      <w:r w:rsidR="00282605" w:rsidRPr="0034190F">
        <w:rPr>
          <w:rFonts w:ascii="Cambria" w:hAnsi="Cambria" w:cs="Verdana"/>
          <w:sz w:val="20"/>
          <w:szCs w:val="20"/>
        </w:rPr>
        <w:t>refute</w:t>
      </w:r>
      <w:r w:rsidRPr="0034190F">
        <w:rPr>
          <w:rFonts w:ascii="Cambria" w:hAnsi="Cambria" w:cs="Verdana"/>
          <w:sz w:val="20"/>
          <w:szCs w:val="20"/>
        </w:rPr>
        <w:t xml:space="preserve"> the </w:t>
      </w:r>
      <w:r w:rsidR="005173F9" w:rsidRPr="0034190F">
        <w:rPr>
          <w:rFonts w:ascii="Cambria" w:hAnsi="Cambria" w:cs="Verdana"/>
          <w:sz w:val="20"/>
          <w:szCs w:val="20"/>
        </w:rPr>
        <w:t xml:space="preserve">claims of the </w:t>
      </w:r>
      <w:r w:rsidR="00D80F3D" w:rsidRPr="0034190F">
        <w:rPr>
          <w:rFonts w:ascii="Cambria" w:hAnsi="Cambria" w:cs="Verdana"/>
          <w:sz w:val="20"/>
          <w:szCs w:val="20"/>
        </w:rPr>
        <w:t>complainants</w:t>
      </w:r>
      <w:r w:rsidRPr="0034190F">
        <w:rPr>
          <w:rFonts w:ascii="Cambria" w:hAnsi="Cambria" w:cs="Verdana"/>
          <w:sz w:val="20"/>
          <w:szCs w:val="20"/>
        </w:rPr>
        <w:t>.</w:t>
      </w:r>
      <w:r w:rsidR="0043505F" w:rsidRPr="0034190F">
        <w:rPr>
          <w:rStyle w:val="FootnoteReference"/>
          <w:rFonts w:ascii="Cambria" w:hAnsi="Cambria" w:cs="Verdana"/>
          <w:sz w:val="20"/>
          <w:szCs w:val="20"/>
          <w:lang w:val="es-CO"/>
        </w:rPr>
        <w:footnoteReference w:id="50"/>
      </w:r>
      <w:r w:rsidR="0043505F" w:rsidRPr="0034190F">
        <w:rPr>
          <w:rFonts w:ascii="Cambria" w:hAnsi="Cambria" w:cs="Verdana"/>
          <w:sz w:val="20"/>
          <w:szCs w:val="20"/>
        </w:rPr>
        <w:t xml:space="preserve"> </w:t>
      </w:r>
      <w:r w:rsidRPr="0034190F">
        <w:rPr>
          <w:rFonts w:ascii="Cambria" w:hAnsi="Cambria" w:cs="Verdana"/>
          <w:sz w:val="20"/>
          <w:szCs w:val="20"/>
        </w:rPr>
        <w:t xml:space="preserve">This is </w:t>
      </w:r>
      <w:r w:rsidR="005173F9" w:rsidRPr="0034190F">
        <w:rPr>
          <w:rFonts w:ascii="Cambria" w:hAnsi="Cambria" w:cs="Verdana"/>
          <w:sz w:val="20"/>
          <w:szCs w:val="20"/>
        </w:rPr>
        <w:t>in line</w:t>
      </w:r>
      <w:r w:rsidRPr="0034190F">
        <w:rPr>
          <w:rFonts w:ascii="Cambria" w:hAnsi="Cambria" w:cs="Verdana"/>
          <w:sz w:val="20"/>
          <w:szCs w:val="20"/>
        </w:rPr>
        <w:t xml:space="preserve"> with </w:t>
      </w:r>
      <w:r w:rsidR="005173F9" w:rsidRPr="0034190F">
        <w:rPr>
          <w:rFonts w:ascii="Cambria" w:hAnsi="Cambria" w:cs="Verdana"/>
          <w:sz w:val="20"/>
          <w:szCs w:val="20"/>
        </w:rPr>
        <w:t>the holding of</w:t>
      </w:r>
      <w:r w:rsidRPr="0034190F">
        <w:rPr>
          <w:rFonts w:ascii="Cambria" w:hAnsi="Cambria" w:cs="Verdana"/>
          <w:sz w:val="20"/>
          <w:szCs w:val="20"/>
        </w:rPr>
        <w:t xml:space="preserve"> the European Court to the effect that in cases </w:t>
      </w:r>
      <w:r w:rsidR="005173F9" w:rsidRPr="0034190F">
        <w:rPr>
          <w:rFonts w:ascii="Cambria" w:hAnsi="Cambria" w:cs="Verdana"/>
          <w:sz w:val="20"/>
          <w:szCs w:val="20"/>
        </w:rPr>
        <w:t xml:space="preserve">of </w:t>
      </w:r>
      <w:r w:rsidRPr="0034190F">
        <w:rPr>
          <w:rFonts w:ascii="Cambria" w:hAnsi="Cambria" w:cs="Verdana"/>
          <w:sz w:val="20"/>
          <w:szCs w:val="20"/>
        </w:rPr>
        <w:t xml:space="preserve">death as a consequence of </w:t>
      </w:r>
      <w:r w:rsidR="005173F9" w:rsidRPr="0034190F">
        <w:rPr>
          <w:rFonts w:ascii="Cambria" w:hAnsi="Cambria" w:cs="Verdana"/>
          <w:sz w:val="20"/>
          <w:szCs w:val="20"/>
        </w:rPr>
        <w:t>the use of lethal</w:t>
      </w:r>
      <w:r w:rsidRPr="0034190F">
        <w:rPr>
          <w:rFonts w:ascii="Cambria" w:hAnsi="Cambria" w:cs="Verdana"/>
          <w:sz w:val="20"/>
          <w:szCs w:val="20"/>
        </w:rPr>
        <w:t xml:space="preserve"> forc</w:t>
      </w:r>
      <w:r w:rsidR="005173F9" w:rsidRPr="0034190F">
        <w:rPr>
          <w:rFonts w:ascii="Cambria" w:hAnsi="Cambria" w:cs="Verdana"/>
          <w:sz w:val="20"/>
          <w:szCs w:val="20"/>
        </w:rPr>
        <w:t>e</w:t>
      </w:r>
      <w:r w:rsidRPr="0034190F">
        <w:rPr>
          <w:rFonts w:ascii="Cambria" w:hAnsi="Cambria" w:cs="Verdana"/>
          <w:sz w:val="20"/>
          <w:szCs w:val="20"/>
        </w:rPr>
        <w:t xml:space="preserve">, the strictest test must be </w:t>
      </w:r>
      <w:r w:rsidR="005173F9" w:rsidRPr="0034190F">
        <w:rPr>
          <w:rFonts w:ascii="Cambria" w:hAnsi="Cambria" w:cs="Verdana"/>
          <w:sz w:val="20"/>
          <w:szCs w:val="20"/>
        </w:rPr>
        <w:t xml:space="preserve">used </w:t>
      </w:r>
      <w:r w:rsidR="00926596" w:rsidRPr="0034190F">
        <w:rPr>
          <w:rFonts w:ascii="Cambria" w:hAnsi="Cambria" w:cs="Verdana"/>
          <w:sz w:val="20"/>
          <w:szCs w:val="20"/>
        </w:rPr>
        <w:t>to determine whether the</w:t>
      </w:r>
      <w:r w:rsidR="00432D4D" w:rsidRPr="0034190F">
        <w:rPr>
          <w:rFonts w:ascii="Cambria" w:hAnsi="Cambria" w:cs="Verdana"/>
          <w:sz w:val="20"/>
          <w:szCs w:val="20"/>
        </w:rPr>
        <w:t xml:space="preserve"> use of </w:t>
      </w:r>
      <w:r w:rsidR="005173F9" w:rsidRPr="0034190F">
        <w:rPr>
          <w:rFonts w:ascii="Cambria" w:hAnsi="Cambria" w:cs="Verdana"/>
          <w:sz w:val="20"/>
          <w:szCs w:val="20"/>
        </w:rPr>
        <w:t>force</w:t>
      </w:r>
      <w:r w:rsidR="00926596" w:rsidRPr="0034190F">
        <w:rPr>
          <w:rFonts w:ascii="Cambria" w:hAnsi="Cambria" w:cs="Verdana"/>
          <w:sz w:val="20"/>
          <w:szCs w:val="20"/>
        </w:rPr>
        <w:t xml:space="preserve"> is of compelling necessity</w:t>
      </w:r>
      <w:r w:rsidR="005173F9" w:rsidRPr="0034190F">
        <w:rPr>
          <w:rFonts w:ascii="Cambria" w:hAnsi="Cambria" w:cs="Verdana"/>
          <w:sz w:val="20"/>
          <w:szCs w:val="20"/>
        </w:rPr>
        <w:t>.</w:t>
      </w:r>
      <w:r w:rsidR="0043505F" w:rsidRPr="0034190F">
        <w:rPr>
          <w:rStyle w:val="FootnoteReference"/>
          <w:rFonts w:ascii="Cambria" w:hAnsi="Cambria" w:cs="Verdana"/>
          <w:sz w:val="20"/>
          <w:szCs w:val="20"/>
          <w:lang w:val="es-CO"/>
        </w:rPr>
        <w:footnoteReference w:id="51"/>
      </w:r>
      <w:r w:rsidR="0043505F" w:rsidRPr="0034190F">
        <w:rPr>
          <w:rFonts w:ascii="Cambria" w:hAnsi="Cambria" w:cs="Verdana"/>
          <w:sz w:val="20"/>
          <w:szCs w:val="20"/>
        </w:rPr>
        <w:t xml:space="preserve">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eastAsia="ja-JP"/>
        </w:rPr>
      </w:pPr>
    </w:p>
    <w:p w:rsidR="0043505F" w:rsidRPr="0034190F" w:rsidRDefault="00432D4D"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As such, for an explanation of the use of deadly force to be deemed satisfactory, it must be the </w:t>
      </w:r>
      <w:r w:rsidR="00AA51CE" w:rsidRPr="0034190F">
        <w:rPr>
          <w:rFonts w:ascii="Cambria" w:hAnsi="Cambria"/>
          <w:sz w:val="20"/>
          <w:szCs w:val="20"/>
        </w:rPr>
        <w:t>product</w:t>
      </w:r>
      <w:r w:rsidRPr="0034190F">
        <w:rPr>
          <w:rFonts w:ascii="Cambria" w:hAnsi="Cambria"/>
          <w:sz w:val="20"/>
          <w:szCs w:val="20"/>
        </w:rPr>
        <w:t xml:space="preserve"> of an investigation that is compatible with guarantees of </w:t>
      </w:r>
      <w:r w:rsidR="00E34B83" w:rsidRPr="0034190F">
        <w:rPr>
          <w:rFonts w:ascii="Cambria" w:hAnsi="Cambria"/>
          <w:sz w:val="20"/>
          <w:szCs w:val="20"/>
        </w:rPr>
        <w:t>i</w:t>
      </w:r>
      <w:r w:rsidRPr="0034190F">
        <w:rPr>
          <w:rFonts w:ascii="Cambria" w:hAnsi="Cambria"/>
          <w:sz w:val="20"/>
          <w:szCs w:val="20"/>
        </w:rPr>
        <w:t>ndependence, impartiality, and due diligence and, additionally, must meet certain requirements under inter-American legal precedent in order to justify the use of force</w:t>
      </w:r>
      <w:r w:rsidR="00FE175A" w:rsidRPr="0034190F">
        <w:rPr>
          <w:rFonts w:ascii="Cambria" w:hAnsi="Cambria"/>
          <w:sz w:val="20"/>
          <w:szCs w:val="20"/>
        </w:rPr>
        <w:t xml:space="preserve">. These </w:t>
      </w:r>
      <w:r w:rsidRPr="0034190F">
        <w:rPr>
          <w:rFonts w:ascii="Cambria" w:hAnsi="Cambria"/>
          <w:sz w:val="20"/>
          <w:szCs w:val="20"/>
        </w:rPr>
        <w:t xml:space="preserve">are: </w:t>
      </w:r>
    </w:p>
    <w:p w:rsidR="0043505F" w:rsidRPr="0034190F" w:rsidRDefault="0043505F" w:rsidP="0043505F">
      <w:pPr>
        <w:ind w:right="720" w:firstLine="720"/>
        <w:jc w:val="both"/>
        <w:rPr>
          <w:rFonts w:ascii="Cambria" w:hAnsi="Cambria"/>
          <w:sz w:val="20"/>
          <w:szCs w:val="20"/>
        </w:rPr>
      </w:pPr>
    </w:p>
    <w:p w:rsidR="0043505F" w:rsidRPr="0034190F" w:rsidRDefault="0043505F" w:rsidP="0043505F">
      <w:pPr>
        <w:ind w:right="720" w:firstLine="720"/>
        <w:jc w:val="both"/>
        <w:rPr>
          <w:rFonts w:ascii="Cambria" w:hAnsi="Cambria"/>
          <w:sz w:val="20"/>
          <w:szCs w:val="20"/>
        </w:rPr>
      </w:pPr>
      <w:r w:rsidRPr="0034190F">
        <w:rPr>
          <w:rFonts w:ascii="Cambria" w:hAnsi="Cambria"/>
          <w:sz w:val="20"/>
          <w:szCs w:val="20"/>
        </w:rPr>
        <w:t xml:space="preserve">i. </w:t>
      </w:r>
      <w:r w:rsidR="00E34B83" w:rsidRPr="0034190F">
        <w:rPr>
          <w:rFonts w:ascii="Cambria" w:hAnsi="Cambria"/>
          <w:sz w:val="20"/>
          <w:szCs w:val="20"/>
        </w:rPr>
        <w:t>Legitimate purpose</w:t>
      </w:r>
      <w:r w:rsidRPr="0034190F">
        <w:rPr>
          <w:rFonts w:ascii="Cambria" w:hAnsi="Cambria"/>
          <w:sz w:val="20"/>
          <w:szCs w:val="20"/>
        </w:rPr>
        <w:t xml:space="preserve">: </w:t>
      </w:r>
      <w:r w:rsidR="00E34B83" w:rsidRPr="0034190F">
        <w:rPr>
          <w:rFonts w:ascii="Cambria" w:hAnsi="Cambria"/>
          <w:sz w:val="20"/>
          <w:szCs w:val="20"/>
        </w:rPr>
        <w:t>the use of force must be aimed at achieving a legitimate purpose</w:t>
      </w:r>
      <w:r w:rsidR="00AA51CE" w:rsidRPr="0034190F">
        <w:rPr>
          <w:rFonts w:ascii="Cambria" w:hAnsi="Cambria"/>
          <w:sz w:val="20"/>
          <w:szCs w:val="20"/>
        </w:rPr>
        <w:t xml:space="preserve">…. </w:t>
      </w:r>
    </w:p>
    <w:p w:rsidR="0043505F" w:rsidRPr="0034190F" w:rsidRDefault="0043505F" w:rsidP="0043505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color w:val="auto"/>
          <w:sz w:val="20"/>
          <w:szCs w:val="20"/>
          <w:lang w:val="en-US"/>
        </w:rPr>
      </w:pPr>
    </w:p>
    <w:p w:rsidR="0043505F" w:rsidRPr="0034190F" w:rsidRDefault="0043505F" w:rsidP="0043505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color w:val="auto"/>
          <w:sz w:val="20"/>
          <w:szCs w:val="20"/>
          <w:lang w:val="en-US"/>
        </w:rPr>
      </w:pPr>
      <w:r w:rsidRPr="0034190F">
        <w:rPr>
          <w:rFonts w:ascii="Cambria" w:hAnsi="Cambria"/>
          <w:color w:val="auto"/>
          <w:sz w:val="20"/>
          <w:szCs w:val="20"/>
          <w:lang w:val="en-US"/>
        </w:rPr>
        <w:lastRenderedPageBreak/>
        <w:t>ii. Absolut</w:t>
      </w:r>
      <w:r w:rsidR="00E34B83" w:rsidRPr="0034190F">
        <w:rPr>
          <w:rFonts w:ascii="Cambria" w:hAnsi="Cambria"/>
          <w:color w:val="auto"/>
          <w:sz w:val="20"/>
          <w:szCs w:val="20"/>
          <w:lang w:val="en-US"/>
        </w:rPr>
        <w:t>e necessity</w:t>
      </w:r>
      <w:r w:rsidRPr="0034190F">
        <w:rPr>
          <w:rFonts w:ascii="Cambria" w:hAnsi="Cambria"/>
          <w:color w:val="auto"/>
          <w:sz w:val="20"/>
          <w:szCs w:val="20"/>
          <w:lang w:val="en-US"/>
        </w:rPr>
        <w:t xml:space="preserve">: </w:t>
      </w:r>
      <w:r w:rsidR="00E34B83" w:rsidRPr="0034190F">
        <w:rPr>
          <w:rFonts w:ascii="Cambria" w:hAnsi="Cambria"/>
          <w:color w:val="auto"/>
          <w:sz w:val="20"/>
          <w:szCs w:val="20"/>
          <w:lang w:val="en-US"/>
        </w:rPr>
        <w:t>it is necessary to verify whether other less harmful means exist to safeguard the life and integrity of the person or situation that is sought to protect, according to the circumstances of the case</w:t>
      </w:r>
      <w:r w:rsidR="00AA51CE" w:rsidRPr="0034190F">
        <w:rPr>
          <w:rFonts w:ascii="Cambria" w:hAnsi="Cambria"/>
          <w:color w:val="auto"/>
          <w:sz w:val="20"/>
          <w:szCs w:val="20"/>
          <w:lang w:val="en-US"/>
        </w:rPr>
        <w:t>….</w:t>
      </w:r>
    </w:p>
    <w:p w:rsidR="0043505F" w:rsidRPr="0034190F" w:rsidRDefault="0043505F" w:rsidP="0043505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color w:val="auto"/>
          <w:sz w:val="20"/>
          <w:szCs w:val="20"/>
          <w:lang w:val="en-US"/>
        </w:rPr>
      </w:pPr>
    </w:p>
    <w:p w:rsidR="0043505F" w:rsidRPr="0034190F" w:rsidRDefault="0043505F" w:rsidP="0043505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color w:val="auto"/>
          <w:sz w:val="20"/>
          <w:szCs w:val="20"/>
          <w:lang w:val="en-US"/>
        </w:rPr>
      </w:pPr>
      <w:r w:rsidRPr="0034190F">
        <w:rPr>
          <w:rFonts w:ascii="Cambria" w:hAnsi="Cambria"/>
          <w:color w:val="auto"/>
          <w:sz w:val="20"/>
          <w:szCs w:val="20"/>
          <w:lang w:val="en-US"/>
        </w:rPr>
        <w:t xml:space="preserve">iii. </w:t>
      </w:r>
      <w:r w:rsidR="00E34B83" w:rsidRPr="0034190F">
        <w:rPr>
          <w:rFonts w:ascii="Cambria" w:hAnsi="Cambria"/>
          <w:color w:val="auto"/>
          <w:sz w:val="20"/>
          <w:szCs w:val="20"/>
          <w:lang w:val="en-US"/>
        </w:rPr>
        <w:t>Proportionality</w:t>
      </w:r>
      <w:r w:rsidRPr="0034190F">
        <w:rPr>
          <w:rFonts w:ascii="Cambria" w:hAnsi="Cambria"/>
          <w:color w:val="auto"/>
          <w:sz w:val="20"/>
          <w:szCs w:val="20"/>
          <w:lang w:val="en-US"/>
        </w:rPr>
        <w:t xml:space="preserve">: </w:t>
      </w:r>
      <w:r w:rsidR="00E34B83" w:rsidRPr="0034190F">
        <w:rPr>
          <w:rFonts w:ascii="Cambria" w:hAnsi="Cambria"/>
          <w:color w:val="auto"/>
          <w:sz w:val="20"/>
          <w:szCs w:val="20"/>
          <w:lang w:val="en-US"/>
        </w:rPr>
        <w:t>the level of force used must be in accordance with the level of resistance offered, which implies striking a balance between the situation that the agent is facing and his response, considering the potential harm that could be caused.</w:t>
      </w:r>
      <w:r w:rsidRPr="0034190F">
        <w:rPr>
          <w:rStyle w:val="FootnoteReference"/>
          <w:rFonts w:ascii="Cambria" w:eastAsia="Trebuchet MS" w:hAnsi="Cambria"/>
          <w:color w:val="auto"/>
          <w:sz w:val="20"/>
          <w:szCs w:val="20"/>
        </w:rPr>
        <w:footnoteReference w:id="52"/>
      </w:r>
    </w:p>
    <w:p w:rsidR="0043505F" w:rsidRPr="0034190F" w:rsidRDefault="0043505F" w:rsidP="0043505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Cambria" w:hAnsi="Cambria"/>
          <w:color w:val="auto"/>
          <w:sz w:val="20"/>
          <w:szCs w:val="20"/>
          <w:lang w:val="en-US"/>
        </w:rPr>
      </w:pPr>
    </w:p>
    <w:p w:rsidR="0043505F" w:rsidRPr="0034190F" w:rsidRDefault="00E34B83"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cs="Verdana"/>
          <w:sz w:val="20"/>
          <w:szCs w:val="20"/>
        </w:rPr>
        <w:t>Along the same lines</w:t>
      </w:r>
      <w:r w:rsidR="0043505F" w:rsidRPr="0034190F">
        <w:rPr>
          <w:rFonts w:ascii="Cambria" w:hAnsi="Cambria" w:cs="Verdana"/>
          <w:sz w:val="20"/>
          <w:szCs w:val="20"/>
        </w:rPr>
        <w:t xml:space="preserve">, </w:t>
      </w:r>
      <w:r w:rsidRPr="0034190F">
        <w:rPr>
          <w:rFonts w:ascii="Cambria" w:hAnsi="Cambria" w:cs="Verdana"/>
          <w:sz w:val="20"/>
          <w:szCs w:val="20"/>
        </w:rPr>
        <w:t>the Commission notes that the Principles on the Use of Fo</w:t>
      </w:r>
      <w:r w:rsidR="00D87D08" w:rsidRPr="0034190F">
        <w:rPr>
          <w:rFonts w:ascii="Cambria" w:hAnsi="Cambria" w:cs="Verdana"/>
          <w:sz w:val="20"/>
          <w:szCs w:val="20"/>
        </w:rPr>
        <w:t>rce provide for the use of firearms “to arrest a person presenting such a danger and resisting their authority.</w:t>
      </w:r>
      <w:r w:rsidR="0043505F" w:rsidRPr="0034190F">
        <w:rPr>
          <w:rFonts w:ascii="Cambria" w:hAnsi="Cambria"/>
          <w:sz w:val="20"/>
          <w:szCs w:val="20"/>
        </w:rPr>
        <w:t>”</w:t>
      </w:r>
      <w:r w:rsidR="0043505F" w:rsidRPr="0034190F">
        <w:rPr>
          <w:rStyle w:val="FootnoteReference"/>
          <w:rFonts w:ascii="Cambria" w:hAnsi="Cambria"/>
          <w:sz w:val="20"/>
          <w:szCs w:val="20"/>
        </w:rPr>
        <w:footnoteReference w:id="53"/>
      </w:r>
      <w:r w:rsidR="0043505F" w:rsidRPr="0034190F">
        <w:rPr>
          <w:rFonts w:ascii="Cambria" w:hAnsi="Cambria"/>
          <w:sz w:val="20"/>
          <w:szCs w:val="20"/>
        </w:rPr>
        <w:t xml:space="preserve"> </w:t>
      </w:r>
      <w:r w:rsidR="007B2767" w:rsidRPr="0034190F">
        <w:rPr>
          <w:rFonts w:ascii="Cambria" w:hAnsi="Cambria"/>
          <w:sz w:val="20"/>
          <w:szCs w:val="20"/>
        </w:rPr>
        <w:t>Nevertheless</w:t>
      </w:r>
      <w:r w:rsidR="00D87D08" w:rsidRPr="0034190F">
        <w:rPr>
          <w:rFonts w:ascii="Cambria" w:hAnsi="Cambria"/>
          <w:sz w:val="20"/>
          <w:szCs w:val="20"/>
        </w:rPr>
        <w:t xml:space="preserve">, as part of the requirements to authorize the use of force in </w:t>
      </w:r>
      <w:r w:rsidR="002205D5" w:rsidRPr="0034190F">
        <w:rPr>
          <w:rFonts w:ascii="Cambria" w:hAnsi="Cambria"/>
          <w:sz w:val="20"/>
          <w:szCs w:val="20"/>
        </w:rPr>
        <w:t>that</w:t>
      </w:r>
      <w:r w:rsidR="00D87D08" w:rsidRPr="0034190F">
        <w:rPr>
          <w:rFonts w:ascii="Cambria" w:hAnsi="Cambria"/>
          <w:sz w:val="20"/>
          <w:szCs w:val="20"/>
        </w:rPr>
        <w:t xml:space="preserve"> hypothetical situation, the Principles establish that: </w:t>
      </w:r>
      <w:r w:rsidR="002205D5" w:rsidRPr="0034190F">
        <w:rPr>
          <w:rFonts w:ascii="Cambria" w:hAnsi="Cambria"/>
          <w:sz w:val="20"/>
          <w:szCs w:val="20"/>
        </w:rPr>
        <w:t>i</w:t>
      </w:r>
      <w:r w:rsidR="00D87D08" w:rsidRPr="0034190F">
        <w:rPr>
          <w:rFonts w:ascii="Cambria" w:hAnsi="Cambria"/>
          <w:sz w:val="20"/>
          <w:szCs w:val="20"/>
        </w:rPr>
        <w:t xml:space="preserve">) it </w:t>
      </w:r>
      <w:r w:rsidR="002205D5" w:rsidRPr="0034190F">
        <w:rPr>
          <w:rFonts w:ascii="Cambria" w:hAnsi="Cambria"/>
          <w:sz w:val="20"/>
          <w:szCs w:val="20"/>
        </w:rPr>
        <w:t>may be used only when other, less extreme means are insufficient to achieve this purpose; ii) it should be used only “when strictly unavoidable in order to protect life”; iii) officers must “give a clear warning of their intent to use firearms”; and iv) this warning must be given with sufficient time for the warning to be observed, except when such a warning would unduly place the officer at risk or create a risk of death o</w:t>
      </w:r>
      <w:r w:rsidR="00E71EAC" w:rsidRPr="0034190F">
        <w:rPr>
          <w:rFonts w:ascii="Cambria" w:hAnsi="Cambria"/>
          <w:sz w:val="20"/>
          <w:szCs w:val="20"/>
        </w:rPr>
        <w:t>r</w:t>
      </w:r>
      <w:r w:rsidR="002205D5" w:rsidRPr="0034190F">
        <w:rPr>
          <w:rFonts w:ascii="Cambria" w:hAnsi="Cambria"/>
          <w:sz w:val="20"/>
          <w:szCs w:val="20"/>
        </w:rPr>
        <w:t xml:space="preserve"> serious harm to other persons.</w:t>
      </w:r>
      <w:r w:rsidR="00693E9B" w:rsidRPr="0034190F">
        <w:rPr>
          <w:rFonts w:ascii="Cambria" w:hAnsi="Cambria"/>
          <w:sz w:val="20"/>
          <w:szCs w:val="20"/>
        </w:rPr>
        <w:t xml:space="preserve"> </w:t>
      </w:r>
    </w:p>
    <w:p w:rsidR="0043505F" w:rsidRPr="0034190F" w:rsidRDefault="0043505F" w:rsidP="0043505F">
      <w:pPr>
        <w:tabs>
          <w:tab w:val="left" w:pos="720"/>
          <w:tab w:val="left" w:pos="1440"/>
        </w:tabs>
        <w:ind w:left="630"/>
        <w:jc w:val="both"/>
        <w:rPr>
          <w:rFonts w:ascii="Cambria" w:hAnsi="Cambria"/>
          <w:sz w:val="20"/>
          <w:szCs w:val="20"/>
        </w:rPr>
      </w:pPr>
    </w:p>
    <w:p w:rsidR="0043505F" w:rsidRPr="0034190F" w:rsidRDefault="00693E9B"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It follows from this that legitimate purpose, absolute necessity, and proportionality of the use of </w:t>
      </w:r>
      <w:r w:rsidR="00586337" w:rsidRPr="0034190F">
        <w:rPr>
          <w:rFonts w:ascii="Cambria" w:hAnsi="Cambria"/>
          <w:sz w:val="20"/>
          <w:szCs w:val="20"/>
        </w:rPr>
        <w:t>lethal</w:t>
      </w:r>
      <w:r w:rsidRPr="0034190F">
        <w:rPr>
          <w:rFonts w:ascii="Cambria" w:hAnsi="Cambria"/>
          <w:sz w:val="20"/>
          <w:szCs w:val="20"/>
        </w:rPr>
        <w:t xml:space="preserve"> force must be substantiated by the State in light of the particular circumstances of the specific case involved. Additionally, as a consequence of these principles, the Commission recalls that State agents who intervene in such operations must apply the criteria of “differentiated and progressive use of force, determining the degree of cooperation, resistance or violence of the subject against whom the intervention is intended and, on this basis, employ negotiating tactics, control or use of force, as required.”</w:t>
      </w:r>
      <w:r w:rsidR="0043505F" w:rsidRPr="0034190F">
        <w:rPr>
          <w:rStyle w:val="FootnoteReference"/>
          <w:rFonts w:ascii="Cambria" w:hAnsi="Cambria"/>
          <w:sz w:val="20"/>
          <w:szCs w:val="20"/>
        </w:rPr>
        <w:footnoteReference w:id="54"/>
      </w:r>
    </w:p>
    <w:p w:rsidR="0043505F" w:rsidRPr="0034190F" w:rsidRDefault="0043505F" w:rsidP="0043505F">
      <w:pPr>
        <w:pStyle w:val="ListParagraph"/>
        <w:rPr>
          <w:color w:val="auto"/>
          <w:sz w:val="20"/>
          <w:szCs w:val="20"/>
        </w:rPr>
      </w:pPr>
    </w:p>
    <w:p w:rsidR="0043505F" w:rsidRPr="0034190F" w:rsidRDefault="005433FC"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Regarding the use of force in</w:t>
      </w:r>
      <w:r w:rsidR="00B51063" w:rsidRPr="0034190F">
        <w:rPr>
          <w:rFonts w:ascii="Cambria" w:hAnsi="Cambria"/>
          <w:sz w:val="20"/>
          <w:szCs w:val="20"/>
        </w:rPr>
        <w:t xml:space="preserve"> migration-related operations, the Court has held the following, in the Nadege Dorzema case, on the need to </w:t>
      </w:r>
      <w:r w:rsidR="00303359" w:rsidRPr="0034190F">
        <w:rPr>
          <w:rFonts w:ascii="Cambria" w:hAnsi="Cambria"/>
          <w:sz w:val="20"/>
          <w:szCs w:val="20"/>
        </w:rPr>
        <w:t>implement</w:t>
      </w:r>
      <w:r w:rsidR="00B51063" w:rsidRPr="0034190F">
        <w:rPr>
          <w:rFonts w:ascii="Cambria" w:hAnsi="Cambria"/>
          <w:sz w:val="20"/>
          <w:szCs w:val="20"/>
        </w:rPr>
        <w:t xml:space="preserve"> less </w:t>
      </w:r>
      <w:r w:rsidR="00303359" w:rsidRPr="0034190F">
        <w:rPr>
          <w:rFonts w:ascii="Cambria" w:hAnsi="Cambria"/>
          <w:sz w:val="20"/>
          <w:szCs w:val="20"/>
        </w:rPr>
        <w:t xml:space="preserve">harmful </w:t>
      </w:r>
      <w:r w:rsidR="00E71EAC" w:rsidRPr="0034190F">
        <w:rPr>
          <w:rFonts w:ascii="Cambria" w:hAnsi="Cambria"/>
          <w:sz w:val="20"/>
          <w:szCs w:val="20"/>
        </w:rPr>
        <w:t>means</w:t>
      </w:r>
      <w:r w:rsidR="0043505F" w:rsidRPr="0034190F">
        <w:rPr>
          <w:rFonts w:ascii="Cambria" w:hAnsi="Cambria"/>
          <w:sz w:val="20"/>
          <w:szCs w:val="20"/>
        </w:rPr>
        <w:t>:</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43505F" w:rsidRPr="0034190F" w:rsidRDefault="00885F2D" w:rsidP="0043505F">
      <w:pPr>
        <w:ind w:left="720"/>
        <w:jc w:val="both"/>
        <w:rPr>
          <w:rFonts w:ascii="Cambria" w:hAnsi="Cambria"/>
          <w:sz w:val="20"/>
          <w:szCs w:val="20"/>
        </w:rPr>
      </w:pPr>
      <w:r w:rsidRPr="0034190F">
        <w:rPr>
          <w:rFonts w:ascii="Cambria" w:hAnsi="Cambria"/>
          <w:sz w:val="20"/>
          <w:szCs w:val="20"/>
        </w:rPr>
        <w:t>…</w:t>
      </w:r>
      <w:r w:rsidR="00B51063" w:rsidRPr="0034190F">
        <w:rPr>
          <w:rFonts w:ascii="Cambria" w:hAnsi="Cambria"/>
          <w:sz w:val="20"/>
          <w:szCs w:val="20"/>
        </w:rPr>
        <w:t>in this case, les</w:t>
      </w:r>
      <w:r w:rsidRPr="0034190F">
        <w:rPr>
          <w:rFonts w:ascii="Cambria" w:hAnsi="Cambria"/>
          <w:sz w:val="20"/>
          <w:szCs w:val="20"/>
        </w:rPr>
        <w:t>s</w:t>
      </w:r>
      <w:r w:rsidR="00B51063" w:rsidRPr="0034190F">
        <w:rPr>
          <w:rFonts w:ascii="Cambria" w:hAnsi="Cambria"/>
          <w:sz w:val="20"/>
          <w:szCs w:val="20"/>
        </w:rPr>
        <w:t xml:space="preserve"> harmful means could have been used for the traffic control sought and to avoid </w:t>
      </w:r>
      <w:r w:rsidRPr="0034190F">
        <w:rPr>
          <w:rFonts w:ascii="Cambria" w:hAnsi="Cambria"/>
          <w:sz w:val="20"/>
          <w:szCs w:val="20"/>
        </w:rPr>
        <w:t xml:space="preserve">a </w:t>
      </w:r>
      <w:r w:rsidR="00B51063" w:rsidRPr="0034190F">
        <w:rPr>
          <w:rFonts w:ascii="Cambria" w:hAnsi="Cambria"/>
          <w:sz w:val="20"/>
          <w:szCs w:val="20"/>
        </w:rPr>
        <w:t xml:space="preserve">violent pursuit; for example, by setting up traffic controls, with barricades, speed bumps, tire puncturing devices, and/or cameras that permit the non-violent recording and identification of those involved and an improved control of the </w:t>
      </w:r>
      <w:r w:rsidRPr="0034190F">
        <w:rPr>
          <w:rFonts w:ascii="Cambria" w:hAnsi="Cambria"/>
          <w:sz w:val="20"/>
          <w:szCs w:val="20"/>
        </w:rPr>
        <w:t>f</w:t>
      </w:r>
      <w:r w:rsidR="00B51063" w:rsidRPr="0034190F">
        <w:rPr>
          <w:rFonts w:ascii="Cambria" w:hAnsi="Cambria"/>
          <w:sz w:val="20"/>
          <w:szCs w:val="20"/>
        </w:rPr>
        <w:t>low of traffic in the area. Mainly, measures that are in keeping with the daily transit of migrants in the area.</w:t>
      </w:r>
      <w:r w:rsidR="0043505F" w:rsidRPr="0034190F">
        <w:rPr>
          <w:rStyle w:val="FootnoteReference"/>
          <w:rFonts w:ascii="Cambria" w:hAnsi="Cambria"/>
          <w:sz w:val="20"/>
          <w:szCs w:val="20"/>
          <w:lang w:val="es-US"/>
        </w:rPr>
        <w:footnoteReference w:id="55"/>
      </w:r>
    </w:p>
    <w:p w:rsidR="0043505F" w:rsidRPr="0034190F" w:rsidRDefault="0043505F" w:rsidP="0043505F">
      <w:pPr>
        <w:ind w:left="720"/>
        <w:jc w:val="both"/>
        <w:rPr>
          <w:rFonts w:ascii="Cambria" w:hAnsi="Cambria"/>
          <w:sz w:val="20"/>
          <w:szCs w:val="20"/>
        </w:rPr>
      </w:pPr>
    </w:p>
    <w:p w:rsidR="0043505F" w:rsidRPr="0034190F" w:rsidRDefault="00303359"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In the same case</w:t>
      </w:r>
      <w:r w:rsidR="0043505F" w:rsidRPr="0034190F">
        <w:rPr>
          <w:rFonts w:ascii="Cambria" w:hAnsi="Cambria"/>
          <w:sz w:val="20"/>
          <w:szCs w:val="20"/>
        </w:rPr>
        <w:t xml:space="preserve">, </w:t>
      </w:r>
      <w:r w:rsidRPr="0034190F">
        <w:rPr>
          <w:rFonts w:ascii="Cambria" w:hAnsi="Cambria"/>
          <w:sz w:val="20"/>
          <w:szCs w:val="20"/>
        </w:rPr>
        <w:t xml:space="preserve">the Court specified that the migrants did not represent a real </w:t>
      </w:r>
      <w:r w:rsidR="00CB2791" w:rsidRPr="0034190F">
        <w:rPr>
          <w:rFonts w:ascii="Cambria" w:hAnsi="Cambria"/>
          <w:sz w:val="20"/>
          <w:szCs w:val="20"/>
        </w:rPr>
        <w:t xml:space="preserve">danger or </w:t>
      </w:r>
      <w:r w:rsidRPr="0034190F">
        <w:rPr>
          <w:rFonts w:ascii="Cambria" w:hAnsi="Cambria"/>
          <w:sz w:val="20"/>
          <w:szCs w:val="20"/>
        </w:rPr>
        <w:t>threat</w:t>
      </w:r>
      <w:r w:rsidR="00CB01C0" w:rsidRPr="0034190F">
        <w:rPr>
          <w:rFonts w:ascii="Cambria" w:hAnsi="Cambria"/>
          <w:sz w:val="20"/>
          <w:szCs w:val="20"/>
        </w:rPr>
        <w:t>,</w:t>
      </w:r>
      <w:r w:rsidRPr="0034190F">
        <w:rPr>
          <w:rFonts w:ascii="Cambria" w:hAnsi="Cambria"/>
          <w:sz w:val="20"/>
          <w:szCs w:val="20"/>
        </w:rPr>
        <w:t xml:space="preserve"> and consequently</w:t>
      </w:r>
      <w:r w:rsidR="005725C2" w:rsidRPr="0034190F">
        <w:rPr>
          <w:rFonts w:ascii="Cambria" w:hAnsi="Cambria"/>
          <w:sz w:val="20"/>
          <w:szCs w:val="20"/>
        </w:rPr>
        <w:t>,</w:t>
      </w:r>
      <w:r w:rsidRPr="0034190F">
        <w:rPr>
          <w:rFonts w:ascii="Cambria" w:hAnsi="Cambria"/>
          <w:sz w:val="20"/>
          <w:szCs w:val="20"/>
        </w:rPr>
        <w:t xml:space="preserve"> the use of lethal force was not absolutely necessary</w:t>
      </w:r>
      <w:r w:rsidR="005725C2" w:rsidRPr="0034190F">
        <w:rPr>
          <w:rFonts w:ascii="Cambria" w:hAnsi="Cambria"/>
          <w:sz w:val="20"/>
          <w:szCs w:val="20"/>
        </w:rPr>
        <w:t>;</w:t>
      </w:r>
      <w:r w:rsidRPr="0034190F">
        <w:rPr>
          <w:rFonts w:ascii="Cambria" w:hAnsi="Cambria"/>
          <w:sz w:val="20"/>
          <w:szCs w:val="20"/>
        </w:rPr>
        <w:t xml:space="preserve"> and that the State could have </w:t>
      </w:r>
      <w:r w:rsidR="005725C2" w:rsidRPr="0034190F">
        <w:rPr>
          <w:rFonts w:ascii="Cambria" w:hAnsi="Cambria"/>
          <w:sz w:val="20"/>
          <w:szCs w:val="20"/>
        </w:rPr>
        <w:t>established</w:t>
      </w:r>
      <w:r w:rsidRPr="0034190F">
        <w:rPr>
          <w:rFonts w:ascii="Cambria" w:hAnsi="Cambria"/>
          <w:sz w:val="20"/>
          <w:szCs w:val="20"/>
        </w:rPr>
        <w:t xml:space="preserve"> les</w:t>
      </w:r>
      <w:r w:rsidR="005725C2" w:rsidRPr="0034190F">
        <w:rPr>
          <w:rFonts w:ascii="Cambria" w:hAnsi="Cambria"/>
          <w:sz w:val="20"/>
          <w:szCs w:val="20"/>
        </w:rPr>
        <w:t>s</w:t>
      </w:r>
      <w:r w:rsidRPr="0034190F">
        <w:rPr>
          <w:rFonts w:ascii="Cambria" w:hAnsi="Cambria"/>
          <w:sz w:val="20"/>
          <w:szCs w:val="20"/>
        </w:rPr>
        <w:t xml:space="preserve"> extreme </w:t>
      </w:r>
      <w:r w:rsidR="005725C2" w:rsidRPr="0034190F">
        <w:rPr>
          <w:rFonts w:ascii="Cambria" w:hAnsi="Cambria"/>
          <w:sz w:val="20"/>
          <w:szCs w:val="20"/>
        </w:rPr>
        <w:t>means</w:t>
      </w:r>
      <w:r w:rsidRPr="0034190F">
        <w:rPr>
          <w:rFonts w:ascii="Cambria" w:hAnsi="Cambria"/>
          <w:sz w:val="20"/>
          <w:szCs w:val="20"/>
        </w:rPr>
        <w:t xml:space="preserve"> to achieve the same </w:t>
      </w:r>
      <w:r w:rsidR="005725C2" w:rsidRPr="0034190F">
        <w:rPr>
          <w:rFonts w:ascii="Cambria" w:hAnsi="Cambria"/>
          <w:sz w:val="20"/>
          <w:szCs w:val="20"/>
        </w:rPr>
        <w:t>end</w:t>
      </w:r>
      <w:r w:rsidR="00CB01C0" w:rsidRPr="0034190F">
        <w:rPr>
          <w:rFonts w:ascii="Cambria" w:hAnsi="Cambria"/>
          <w:sz w:val="20"/>
          <w:szCs w:val="20"/>
        </w:rPr>
        <w:t>,</w:t>
      </w:r>
      <w:r w:rsidRPr="0034190F">
        <w:rPr>
          <w:rFonts w:ascii="Cambria" w:hAnsi="Cambria"/>
          <w:sz w:val="20"/>
          <w:szCs w:val="20"/>
        </w:rPr>
        <w:t xml:space="preserve"> and therefore there was no proportionality</w:t>
      </w:r>
      <w:r w:rsidR="005725C2" w:rsidRPr="0034190F">
        <w:rPr>
          <w:rFonts w:ascii="Cambria" w:hAnsi="Cambria"/>
          <w:sz w:val="20"/>
          <w:szCs w:val="20"/>
        </w:rPr>
        <w:t>.</w:t>
      </w:r>
      <w:r w:rsidR="0043505F" w:rsidRPr="0034190F">
        <w:rPr>
          <w:rStyle w:val="FootnoteReference"/>
          <w:rFonts w:ascii="Cambria" w:hAnsi="Cambria"/>
          <w:sz w:val="20"/>
          <w:szCs w:val="20"/>
          <w:lang w:val="es-MX"/>
        </w:rPr>
        <w:footnoteReference w:id="56"/>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eastAsia="ja-JP"/>
        </w:rPr>
      </w:pPr>
    </w:p>
    <w:p w:rsidR="0043505F" w:rsidRPr="0034190F" w:rsidRDefault="00B0656C" w:rsidP="0043505F">
      <w:pPr>
        <w:pStyle w:val="Heading3"/>
        <w:keepLines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0" w:after="60"/>
        <w:ind w:left="1440" w:hanging="720"/>
        <w:jc w:val="both"/>
        <w:rPr>
          <w:rFonts w:ascii="Cambria" w:hAnsi="Cambria"/>
          <w:b/>
          <w:color w:val="auto"/>
          <w:sz w:val="20"/>
          <w:szCs w:val="20"/>
        </w:rPr>
      </w:pPr>
      <w:bookmarkStart w:id="1" w:name="_Toc520804260"/>
      <w:r w:rsidRPr="0034190F">
        <w:rPr>
          <w:rFonts w:ascii="Cambria" w:hAnsi="Cambria"/>
          <w:b/>
          <w:color w:val="auto"/>
          <w:sz w:val="20"/>
          <w:szCs w:val="20"/>
        </w:rPr>
        <w:t xml:space="preserve">General standards on the right to life, the right to humane treatment, and the right to personal </w:t>
      </w:r>
      <w:r w:rsidR="00CB2791" w:rsidRPr="0034190F">
        <w:rPr>
          <w:rFonts w:ascii="Cambria" w:hAnsi="Cambria"/>
          <w:b/>
          <w:color w:val="auto"/>
          <w:sz w:val="20"/>
          <w:szCs w:val="20"/>
        </w:rPr>
        <w:t>l</w:t>
      </w:r>
      <w:r w:rsidRPr="0034190F">
        <w:rPr>
          <w:rFonts w:ascii="Cambria" w:hAnsi="Cambria"/>
          <w:b/>
          <w:color w:val="auto"/>
          <w:sz w:val="20"/>
          <w:szCs w:val="20"/>
        </w:rPr>
        <w:t>iberty in cases related to alleged illegitimate use of lethal force</w:t>
      </w:r>
      <w:bookmarkEnd w:id="1"/>
      <w:r w:rsidRPr="0034190F">
        <w:rPr>
          <w:rFonts w:ascii="Cambria" w:hAnsi="Cambria"/>
          <w:b/>
          <w:color w:val="auto"/>
          <w:sz w:val="20"/>
          <w:szCs w:val="20"/>
        </w:rPr>
        <w:t xml:space="preserve"> </w:t>
      </w:r>
    </w:p>
    <w:p w:rsidR="0043505F" w:rsidRPr="0034190F" w:rsidRDefault="0043505F" w:rsidP="0043505F">
      <w:pPr>
        <w:rPr>
          <w:rFonts w:ascii="Cambria" w:hAnsi="Cambria"/>
          <w:sz w:val="20"/>
          <w:szCs w:val="20"/>
        </w:rPr>
      </w:pPr>
    </w:p>
    <w:p w:rsidR="0043505F" w:rsidRPr="0034190F" w:rsidRDefault="00CB01C0"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The Commission calls to mind that the right to life is </w:t>
      </w:r>
      <w:r w:rsidR="00662D2B" w:rsidRPr="0034190F">
        <w:rPr>
          <w:rFonts w:ascii="Cambria" w:hAnsi="Cambria"/>
          <w:sz w:val="20"/>
          <w:szCs w:val="20"/>
        </w:rPr>
        <w:t xml:space="preserve">a prerequisite for the </w:t>
      </w:r>
      <w:r w:rsidR="00FE018A" w:rsidRPr="0034190F">
        <w:rPr>
          <w:rFonts w:ascii="Cambria" w:hAnsi="Cambria"/>
          <w:sz w:val="20"/>
          <w:szCs w:val="20"/>
        </w:rPr>
        <w:t xml:space="preserve">enjoyment of all other human rights and that </w:t>
      </w:r>
      <w:r w:rsidR="00943D91" w:rsidRPr="0034190F">
        <w:rPr>
          <w:rFonts w:ascii="Cambria" w:hAnsi="Cambria"/>
          <w:sz w:val="20"/>
          <w:szCs w:val="20"/>
        </w:rPr>
        <w:t>without the respect for this right</w:t>
      </w:r>
      <w:r w:rsidR="00FE018A" w:rsidRPr="0034190F">
        <w:rPr>
          <w:rFonts w:ascii="Cambria" w:hAnsi="Cambria"/>
          <w:sz w:val="20"/>
          <w:szCs w:val="20"/>
        </w:rPr>
        <w:t xml:space="preserve">, all other rights </w:t>
      </w:r>
      <w:r w:rsidR="00943D91" w:rsidRPr="0034190F">
        <w:rPr>
          <w:rFonts w:ascii="Cambria" w:hAnsi="Cambria"/>
          <w:sz w:val="20"/>
          <w:szCs w:val="20"/>
        </w:rPr>
        <w:t>are</w:t>
      </w:r>
      <w:r w:rsidR="00FE018A" w:rsidRPr="0034190F">
        <w:rPr>
          <w:rFonts w:ascii="Cambria" w:hAnsi="Cambria"/>
          <w:sz w:val="20"/>
          <w:szCs w:val="20"/>
        </w:rPr>
        <w:t xml:space="preserve"> meaning</w:t>
      </w:r>
      <w:r w:rsidR="00943D91" w:rsidRPr="0034190F">
        <w:rPr>
          <w:rFonts w:ascii="Cambria" w:hAnsi="Cambria"/>
          <w:sz w:val="20"/>
          <w:szCs w:val="20"/>
        </w:rPr>
        <w:t>less</w:t>
      </w:r>
      <w:r w:rsidR="00FE018A" w:rsidRPr="0034190F">
        <w:rPr>
          <w:rFonts w:ascii="Cambria" w:hAnsi="Cambria"/>
          <w:sz w:val="20"/>
          <w:szCs w:val="20"/>
        </w:rPr>
        <w:t>.</w:t>
      </w:r>
      <w:r w:rsidR="0043505F" w:rsidRPr="0034190F">
        <w:rPr>
          <w:rFonts w:ascii="Cambria" w:hAnsi="Cambria"/>
          <w:sz w:val="20"/>
          <w:szCs w:val="20"/>
          <w:vertAlign w:val="superscript"/>
          <w:lang w:val="es-ES_tradnl"/>
        </w:rPr>
        <w:footnoteReference w:id="57"/>
      </w:r>
      <w:r w:rsidR="0043505F" w:rsidRPr="0034190F">
        <w:rPr>
          <w:rFonts w:ascii="Cambria" w:hAnsi="Cambria"/>
          <w:sz w:val="20"/>
          <w:szCs w:val="20"/>
          <w:vertAlign w:val="superscript"/>
        </w:rPr>
        <w:t>.</w:t>
      </w:r>
      <w:r w:rsidR="0043505F" w:rsidRPr="0034190F">
        <w:rPr>
          <w:rFonts w:ascii="Cambria" w:hAnsi="Cambria"/>
          <w:sz w:val="20"/>
          <w:szCs w:val="20"/>
        </w:rPr>
        <w:t xml:space="preserve"> </w:t>
      </w:r>
      <w:r w:rsidR="00FE018A" w:rsidRPr="0034190F">
        <w:rPr>
          <w:rFonts w:ascii="Cambria" w:hAnsi="Cambria"/>
          <w:sz w:val="20"/>
          <w:szCs w:val="20"/>
        </w:rPr>
        <w:t>Compliance with Article 4 of the American Convention, in connection with Article 1.1 thereof,</w:t>
      </w:r>
      <w:r w:rsidR="00761782" w:rsidRPr="0034190F">
        <w:rPr>
          <w:rFonts w:ascii="Cambria" w:hAnsi="Cambria"/>
          <w:sz w:val="20"/>
          <w:szCs w:val="20"/>
        </w:rPr>
        <w:t xml:space="preserve"> </w:t>
      </w:r>
      <w:r w:rsidR="00943D91" w:rsidRPr="0034190F">
        <w:rPr>
          <w:rFonts w:ascii="Cambria" w:hAnsi="Cambria"/>
          <w:sz w:val="20"/>
          <w:szCs w:val="20"/>
        </w:rPr>
        <w:t xml:space="preserve">does </w:t>
      </w:r>
      <w:r w:rsidR="00761782" w:rsidRPr="0034190F">
        <w:rPr>
          <w:rFonts w:ascii="Cambria" w:hAnsi="Cambria"/>
          <w:sz w:val="20"/>
          <w:szCs w:val="20"/>
        </w:rPr>
        <w:t xml:space="preserve">not only presuppose </w:t>
      </w:r>
      <w:r w:rsidR="00761782" w:rsidRPr="0034190F">
        <w:rPr>
          <w:rFonts w:ascii="Cambria" w:hAnsi="Cambria"/>
          <w:sz w:val="20"/>
          <w:szCs w:val="20"/>
        </w:rPr>
        <w:lastRenderedPageBreak/>
        <w:t xml:space="preserve">that no person can be </w:t>
      </w:r>
      <w:r w:rsidR="00943D91" w:rsidRPr="0034190F">
        <w:rPr>
          <w:rFonts w:ascii="Cambria" w:hAnsi="Cambria"/>
          <w:sz w:val="20"/>
          <w:szCs w:val="20"/>
        </w:rPr>
        <w:t xml:space="preserve">arbitrarily </w:t>
      </w:r>
      <w:r w:rsidR="00761782" w:rsidRPr="0034190F">
        <w:rPr>
          <w:rFonts w:ascii="Cambria" w:hAnsi="Cambria"/>
          <w:sz w:val="20"/>
          <w:szCs w:val="20"/>
        </w:rPr>
        <w:t>deprived of his or her life but also requires that the States adopt any and all necessary measures to protect and preserve</w:t>
      </w:r>
      <w:r w:rsidR="00943D91" w:rsidRPr="0034190F">
        <w:rPr>
          <w:rFonts w:ascii="Cambria" w:hAnsi="Cambria"/>
          <w:sz w:val="20"/>
          <w:szCs w:val="20"/>
        </w:rPr>
        <w:t xml:space="preserve"> </w:t>
      </w:r>
      <w:r w:rsidR="00761782" w:rsidRPr="0034190F">
        <w:rPr>
          <w:rFonts w:ascii="Cambria" w:hAnsi="Cambria"/>
          <w:sz w:val="20"/>
          <w:szCs w:val="20"/>
        </w:rPr>
        <w:t xml:space="preserve">the right to life, based on their obligation to guarantee the full and free exercise of the rights of </w:t>
      </w:r>
      <w:r w:rsidR="00943D91" w:rsidRPr="0034190F">
        <w:rPr>
          <w:rFonts w:ascii="Cambria" w:hAnsi="Cambria"/>
          <w:sz w:val="20"/>
          <w:szCs w:val="20"/>
        </w:rPr>
        <w:t>all individuals</w:t>
      </w:r>
      <w:r w:rsidR="00761782" w:rsidRPr="0034190F">
        <w:rPr>
          <w:rFonts w:ascii="Cambria" w:hAnsi="Cambria"/>
          <w:sz w:val="20"/>
          <w:szCs w:val="20"/>
        </w:rPr>
        <w:t xml:space="preserve"> under their jurisdiction.</w:t>
      </w:r>
      <w:r w:rsidR="0043505F" w:rsidRPr="0034190F">
        <w:rPr>
          <w:rFonts w:ascii="Cambria" w:hAnsi="Cambria"/>
          <w:sz w:val="20"/>
          <w:szCs w:val="20"/>
          <w:vertAlign w:val="superscript"/>
          <w:lang w:val="es-ES_tradnl"/>
        </w:rPr>
        <w:footnoteReference w:id="58"/>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43505F" w:rsidRPr="0034190F" w:rsidRDefault="00982AAD"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In keeping with the foregoing</w:t>
      </w:r>
      <w:r w:rsidR="0043505F" w:rsidRPr="0034190F">
        <w:rPr>
          <w:rFonts w:ascii="Cambria" w:hAnsi="Cambria"/>
          <w:sz w:val="20"/>
          <w:szCs w:val="20"/>
        </w:rPr>
        <w:t>,</w:t>
      </w:r>
      <w:r w:rsidRPr="0034190F">
        <w:rPr>
          <w:rFonts w:ascii="Cambria" w:hAnsi="Cambria"/>
          <w:sz w:val="20"/>
          <w:szCs w:val="20"/>
        </w:rPr>
        <w:t xml:space="preserve"> the Commission has established that “extrajudicial or summary executions [involve] the deliberate, illegitimate deprivation of life on the part of State agents, usually acting on orders or at least with the consent and acceptance of the authorities. Therefore, extrajudicial executions are </w:t>
      </w:r>
      <w:r w:rsidR="003E4A6E" w:rsidRPr="0034190F">
        <w:rPr>
          <w:rFonts w:ascii="Cambria" w:hAnsi="Cambria"/>
          <w:sz w:val="20"/>
          <w:szCs w:val="20"/>
        </w:rPr>
        <w:t>illegal</w:t>
      </w:r>
      <w:r w:rsidRPr="0034190F">
        <w:rPr>
          <w:rFonts w:ascii="Cambria" w:hAnsi="Cambria"/>
          <w:sz w:val="20"/>
          <w:szCs w:val="20"/>
        </w:rPr>
        <w:t xml:space="preserve"> acts committed by precisely those persons who have been invested with the power originally conceived to protect and guarantee [people’s security and lives].”</w:t>
      </w:r>
      <w:r w:rsidR="0043505F" w:rsidRPr="0034190F">
        <w:rPr>
          <w:rStyle w:val="FootnoteReference"/>
          <w:rFonts w:ascii="Cambria" w:hAnsi="Cambria"/>
          <w:sz w:val="20"/>
          <w:szCs w:val="20"/>
          <w:lang w:val="es-ES"/>
        </w:rPr>
        <w:footnoteReference w:id="59"/>
      </w:r>
      <w:r w:rsidR="0043505F" w:rsidRPr="0034190F">
        <w:rPr>
          <w:rFonts w:ascii="Cambria" w:hAnsi="Cambria"/>
          <w:sz w:val="20"/>
          <w:szCs w:val="20"/>
        </w:rPr>
        <w:t xml:space="preserve">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43505F" w:rsidRPr="0034190F" w:rsidRDefault="003E4A6E"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Moreover, the Commission calls to mind that in the inter-American system</w:t>
      </w:r>
      <w:r w:rsidR="00EB793E" w:rsidRPr="0034190F">
        <w:rPr>
          <w:rFonts w:ascii="Cambria" w:hAnsi="Cambria"/>
          <w:sz w:val="20"/>
          <w:szCs w:val="20"/>
        </w:rPr>
        <w:t>, cases</w:t>
      </w:r>
      <w:r w:rsidR="0043505F" w:rsidRPr="0034190F">
        <w:rPr>
          <w:rFonts w:ascii="Cambria" w:hAnsi="Cambria"/>
          <w:sz w:val="20"/>
          <w:szCs w:val="20"/>
        </w:rPr>
        <w:t xml:space="preserve"> </w:t>
      </w:r>
      <w:r w:rsidRPr="0034190F">
        <w:rPr>
          <w:rFonts w:ascii="Cambria" w:hAnsi="Cambria"/>
          <w:sz w:val="20"/>
          <w:szCs w:val="20"/>
        </w:rPr>
        <w:t xml:space="preserve">involving extrajudicial executions, depending on their characteristics, </w:t>
      </w:r>
      <w:r w:rsidR="00EB793E" w:rsidRPr="0034190F">
        <w:rPr>
          <w:rFonts w:ascii="Cambria" w:hAnsi="Cambria"/>
          <w:sz w:val="20"/>
          <w:szCs w:val="20"/>
        </w:rPr>
        <w:t>can reveal</w:t>
      </w:r>
      <w:r w:rsidR="00DE5609" w:rsidRPr="0034190F">
        <w:rPr>
          <w:rFonts w:ascii="Cambria" w:hAnsi="Cambria"/>
          <w:sz w:val="20"/>
          <w:szCs w:val="20"/>
        </w:rPr>
        <w:t xml:space="preserve"> violations </w:t>
      </w:r>
      <w:r w:rsidR="00504F21" w:rsidRPr="0034190F">
        <w:rPr>
          <w:rFonts w:ascii="Cambria" w:hAnsi="Cambria"/>
          <w:sz w:val="20"/>
          <w:szCs w:val="20"/>
        </w:rPr>
        <w:t xml:space="preserve">of other human rights, </w:t>
      </w:r>
      <w:r w:rsidR="00DE5609" w:rsidRPr="0034190F">
        <w:rPr>
          <w:rFonts w:ascii="Cambria" w:hAnsi="Cambria"/>
          <w:sz w:val="20"/>
          <w:szCs w:val="20"/>
        </w:rPr>
        <w:t xml:space="preserve">such as the right to humane treatment. </w:t>
      </w:r>
      <w:r w:rsidR="00633138" w:rsidRPr="0034190F">
        <w:rPr>
          <w:rFonts w:ascii="Cambria" w:hAnsi="Cambria"/>
          <w:sz w:val="20"/>
          <w:szCs w:val="20"/>
        </w:rPr>
        <w:t>In these terms</w:t>
      </w:r>
      <w:r w:rsidR="00DE5609" w:rsidRPr="0034190F">
        <w:rPr>
          <w:rFonts w:ascii="Cambria" w:hAnsi="Cambria"/>
          <w:sz w:val="20"/>
          <w:szCs w:val="20"/>
        </w:rPr>
        <w:t xml:space="preserve">, the Inter-American Court has determined that </w:t>
      </w:r>
      <w:r w:rsidRPr="0034190F">
        <w:rPr>
          <w:rFonts w:ascii="Cambria" w:hAnsi="Cambria"/>
          <w:sz w:val="20"/>
          <w:szCs w:val="20"/>
        </w:rPr>
        <w:t>“it is reasonable to as</w:t>
      </w:r>
      <w:r w:rsidR="00DE5609" w:rsidRPr="0034190F">
        <w:rPr>
          <w:rFonts w:ascii="Cambria" w:hAnsi="Cambria"/>
          <w:sz w:val="20"/>
          <w:szCs w:val="20"/>
        </w:rPr>
        <w:t>s</w:t>
      </w:r>
      <w:r w:rsidRPr="0034190F">
        <w:rPr>
          <w:rFonts w:ascii="Cambria" w:hAnsi="Cambria"/>
          <w:sz w:val="20"/>
          <w:szCs w:val="20"/>
        </w:rPr>
        <w:t xml:space="preserve">ume that, during the moments before they were deprived of their life, </w:t>
      </w:r>
      <w:r w:rsidR="00DE5609" w:rsidRPr="0034190F">
        <w:rPr>
          <w:rFonts w:ascii="Cambria" w:hAnsi="Cambria"/>
          <w:sz w:val="20"/>
          <w:szCs w:val="20"/>
        </w:rPr>
        <w:t>[those executed]</w:t>
      </w:r>
      <w:r w:rsidRPr="0034190F">
        <w:rPr>
          <w:rFonts w:ascii="Cambria" w:hAnsi="Cambria"/>
          <w:sz w:val="20"/>
          <w:szCs w:val="20"/>
        </w:rPr>
        <w:t xml:space="preserve"> suffered profound fear in the face of the real and imminent danger that events would culminate in their death, as effectively occurred</w:t>
      </w:r>
      <w:r w:rsidR="00504F21" w:rsidRPr="0034190F">
        <w:rPr>
          <w:rFonts w:ascii="Cambria" w:hAnsi="Cambria"/>
          <w:sz w:val="20"/>
          <w:szCs w:val="20"/>
        </w:rPr>
        <w:t>,</w:t>
      </w:r>
      <w:r w:rsidRPr="0034190F">
        <w:rPr>
          <w:rFonts w:ascii="Cambria" w:hAnsi="Cambria"/>
          <w:sz w:val="20"/>
          <w:szCs w:val="20"/>
        </w:rPr>
        <w:t>”</w:t>
      </w:r>
      <w:r w:rsidR="0043505F" w:rsidRPr="0034190F">
        <w:rPr>
          <w:rStyle w:val="FootnoteReference"/>
          <w:rFonts w:ascii="Cambria" w:hAnsi="Cambria"/>
          <w:sz w:val="20"/>
          <w:szCs w:val="20"/>
          <w:lang w:val="es-ES"/>
        </w:rPr>
        <w:footnoteReference w:id="60"/>
      </w:r>
      <w:r w:rsidR="0043505F" w:rsidRPr="0034190F">
        <w:rPr>
          <w:rFonts w:ascii="Cambria" w:hAnsi="Cambria"/>
          <w:sz w:val="20"/>
          <w:szCs w:val="20"/>
        </w:rPr>
        <w:t xml:space="preserve"> </w:t>
      </w:r>
      <w:r w:rsidR="008F7AA2" w:rsidRPr="0034190F">
        <w:rPr>
          <w:rFonts w:ascii="Cambria" w:hAnsi="Cambria"/>
          <w:sz w:val="20"/>
          <w:szCs w:val="20"/>
        </w:rPr>
        <w:t>a situation that</w:t>
      </w:r>
      <w:r w:rsidR="00504F21" w:rsidRPr="0034190F">
        <w:rPr>
          <w:rFonts w:ascii="Cambria" w:hAnsi="Cambria"/>
          <w:sz w:val="20"/>
          <w:szCs w:val="20"/>
        </w:rPr>
        <w:t xml:space="preserve"> </w:t>
      </w:r>
      <w:r w:rsidR="00F02D28" w:rsidRPr="0034190F">
        <w:rPr>
          <w:rFonts w:ascii="Cambria" w:hAnsi="Cambria"/>
          <w:sz w:val="20"/>
          <w:szCs w:val="20"/>
        </w:rPr>
        <w:t>involves</w:t>
      </w:r>
      <w:r w:rsidR="00504F21" w:rsidRPr="0034190F">
        <w:rPr>
          <w:rFonts w:ascii="Cambria" w:hAnsi="Cambria"/>
          <w:sz w:val="20"/>
          <w:szCs w:val="20"/>
        </w:rPr>
        <w:t xml:space="preserve"> a violation </w:t>
      </w:r>
      <w:r w:rsidR="00F02D28" w:rsidRPr="0034190F">
        <w:rPr>
          <w:rFonts w:ascii="Cambria" w:hAnsi="Cambria"/>
          <w:sz w:val="20"/>
          <w:szCs w:val="20"/>
        </w:rPr>
        <w:t>of</w:t>
      </w:r>
      <w:r w:rsidR="00504F21" w:rsidRPr="0034190F">
        <w:rPr>
          <w:rFonts w:ascii="Cambria" w:hAnsi="Cambria"/>
          <w:sz w:val="20"/>
          <w:szCs w:val="20"/>
        </w:rPr>
        <w:t xml:space="preserve"> the right to humane treatment </w:t>
      </w:r>
      <w:r w:rsidR="00F02D28" w:rsidRPr="0034190F">
        <w:rPr>
          <w:rFonts w:ascii="Cambria" w:hAnsi="Cambria"/>
          <w:sz w:val="20"/>
          <w:szCs w:val="20"/>
        </w:rPr>
        <w:t>established</w:t>
      </w:r>
      <w:r w:rsidR="00504F21" w:rsidRPr="0034190F">
        <w:rPr>
          <w:rFonts w:ascii="Cambria" w:hAnsi="Cambria"/>
          <w:sz w:val="20"/>
          <w:szCs w:val="20"/>
        </w:rPr>
        <w:t xml:space="preserve"> in Article 5 of the American Convention. </w:t>
      </w:r>
      <w:r w:rsidR="0043505F" w:rsidRPr="0034190F">
        <w:rPr>
          <w:rFonts w:ascii="Cambria" w:hAnsi="Cambria"/>
          <w:sz w:val="20"/>
          <w:szCs w:val="20"/>
        </w:rPr>
        <w:t xml:space="preserve"> </w:t>
      </w:r>
    </w:p>
    <w:p w:rsidR="0043505F" w:rsidRPr="0034190F" w:rsidRDefault="0043505F" w:rsidP="0043505F">
      <w:pPr>
        <w:pStyle w:val="ListParagraph"/>
        <w:rPr>
          <w:rFonts w:eastAsia="Times New Roman"/>
          <w:color w:val="auto"/>
          <w:sz w:val="20"/>
          <w:szCs w:val="20"/>
        </w:rPr>
      </w:pPr>
    </w:p>
    <w:p w:rsidR="0043505F" w:rsidRPr="0034190F" w:rsidRDefault="00614DD1"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sz w:val="20"/>
          <w:szCs w:val="20"/>
        </w:rPr>
      </w:pPr>
      <w:r w:rsidRPr="0034190F">
        <w:rPr>
          <w:rFonts w:ascii="Cambria" w:eastAsia="Times New Roman" w:hAnsi="Cambria"/>
          <w:sz w:val="20"/>
          <w:szCs w:val="20"/>
        </w:rPr>
        <w:t xml:space="preserve">In </w:t>
      </w:r>
      <w:r w:rsidR="0043505F" w:rsidRPr="0034190F">
        <w:rPr>
          <w:rFonts w:ascii="Cambria" w:eastAsia="Times New Roman" w:hAnsi="Cambria"/>
          <w:i/>
          <w:sz w:val="20"/>
          <w:szCs w:val="20"/>
        </w:rPr>
        <w:t xml:space="preserve">Nadege Dorzema </w:t>
      </w:r>
      <w:r w:rsidRPr="0034190F">
        <w:rPr>
          <w:rFonts w:ascii="Cambria" w:eastAsia="Times New Roman" w:hAnsi="Cambria"/>
          <w:i/>
          <w:sz w:val="20"/>
          <w:szCs w:val="20"/>
        </w:rPr>
        <w:t>et al.</w:t>
      </w:r>
      <w:r w:rsidR="0043505F" w:rsidRPr="0034190F">
        <w:rPr>
          <w:rFonts w:ascii="Cambria" w:eastAsia="Times New Roman" w:hAnsi="Cambria"/>
          <w:i/>
          <w:sz w:val="20"/>
          <w:szCs w:val="20"/>
        </w:rPr>
        <w:t xml:space="preserve"> v. </w:t>
      </w:r>
      <w:r w:rsidRPr="0034190F">
        <w:rPr>
          <w:rFonts w:ascii="Cambria" w:eastAsia="Times New Roman" w:hAnsi="Cambria"/>
          <w:i/>
          <w:sz w:val="20"/>
          <w:szCs w:val="20"/>
        </w:rPr>
        <w:t>Dominican Republic</w:t>
      </w:r>
      <w:r w:rsidR="0043505F" w:rsidRPr="0034190F">
        <w:rPr>
          <w:rFonts w:ascii="Cambria" w:eastAsia="Times New Roman" w:hAnsi="Cambria"/>
          <w:sz w:val="20"/>
          <w:szCs w:val="20"/>
        </w:rPr>
        <w:t xml:space="preserve">, </w:t>
      </w:r>
      <w:r w:rsidRPr="0034190F">
        <w:rPr>
          <w:rFonts w:ascii="Cambria" w:eastAsia="Times New Roman" w:hAnsi="Cambria"/>
          <w:sz w:val="20"/>
          <w:szCs w:val="20"/>
        </w:rPr>
        <w:t>the Court elaborated on the use of force and humane treatment and established that “if anyone is injured owing to the use of force, assistance and medical aid should be ensured and rendered, and relatives or close friends should be notified at the earliest possible moment.</w:t>
      </w:r>
      <w:r w:rsidR="0043505F" w:rsidRPr="0034190F">
        <w:rPr>
          <w:rFonts w:ascii="Cambria" w:eastAsia="Times New Roman" w:hAnsi="Cambria"/>
          <w:sz w:val="20"/>
          <w:szCs w:val="20"/>
        </w:rPr>
        <w:t>”</w:t>
      </w:r>
      <w:r w:rsidR="0043505F" w:rsidRPr="0034190F">
        <w:rPr>
          <w:rStyle w:val="FootnoteReference"/>
          <w:rFonts w:ascii="Cambria" w:eastAsia="Times New Roman" w:hAnsi="Cambria"/>
          <w:sz w:val="20"/>
          <w:szCs w:val="20"/>
          <w:lang w:val="es-ES_tradnl"/>
        </w:rPr>
        <w:footnoteReference w:id="61"/>
      </w:r>
    </w:p>
    <w:p w:rsidR="0043505F" w:rsidRPr="0034190F" w:rsidRDefault="0043505F" w:rsidP="0043505F">
      <w:pPr>
        <w:rPr>
          <w:rFonts w:ascii="Cambria" w:hAnsi="Cambria"/>
          <w:sz w:val="20"/>
          <w:szCs w:val="20"/>
        </w:rPr>
      </w:pPr>
    </w:p>
    <w:p w:rsidR="0043505F" w:rsidRPr="0034190F" w:rsidRDefault="00B0656C" w:rsidP="0043505F">
      <w:pPr>
        <w:pStyle w:val="Heading3"/>
        <w:keepLines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0" w:after="60"/>
        <w:ind w:left="1440" w:hanging="720"/>
        <w:jc w:val="both"/>
        <w:rPr>
          <w:rFonts w:ascii="Cambria" w:hAnsi="Cambria"/>
          <w:b/>
          <w:color w:val="auto"/>
          <w:sz w:val="20"/>
          <w:szCs w:val="20"/>
        </w:rPr>
      </w:pPr>
      <w:bookmarkStart w:id="2" w:name="_Toc520804261"/>
      <w:r w:rsidRPr="0034190F">
        <w:rPr>
          <w:rFonts w:ascii="Cambria" w:hAnsi="Cambria"/>
          <w:b/>
          <w:color w:val="auto"/>
          <w:sz w:val="20"/>
          <w:szCs w:val="20"/>
        </w:rPr>
        <w:t xml:space="preserve">Determination of legitimacy of the deprivation of life of </w:t>
      </w:r>
      <w:r w:rsidR="0043505F" w:rsidRPr="0034190F">
        <w:rPr>
          <w:rFonts w:ascii="Cambria" w:hAnsi="Cambria"/>
          <w:b/>
          <w:color w:val="auto"/>
          <w:sz w:val="20"/>
          <w:szCs w:val="20"/>
        </w:rPr>
        <w:t xml:space="preserve">Pedro Roche Azaña </w:t>
      </w:r>
      <w:r w:rsidRPr="0034190F">
        <w:rPr>
          <w:rFonts w:ascii="Cambria" w:hAnsi="Cambria"/>
          <w:b/>
          <w:color w:val="auto"/>
          <w:sz w:val="20"/>
          <w:szCs w:val="20"/>
        </w:rPr>
        <w:t xml:space="preserve">and the bodily </w:t>
      </w:r>
      <w:r w:rsidR="005A3722" w:rsidRPr="0034190F">
        <w:rPr>
          <w:rFonts w:ascii="Cambria" w:hAnsi="Cambria"/>
          <w:b/>
          <w:color w:val="auto"/>
          <w:sz w:val="20"/>
          <w:szCs w:val="20"/>
        </w:rPr>
        <w:t>harm</w:t>
      </w:r>
      <w:r w:rsidRPr="0034190F">
        <w:rPr>
          <w:rFonts w:ascii="Cambria" w:hAnsi="Cambria"/>
          <w:b/>
          <w:color w:val="auto"/>
          <w:sz w:val="20"/>
          <w:szCs w:val="20"/>
        </w:rPr>
        <w:t xml:space="preserve"> of </w:t>
      </w:r>
      <w:r w:rsidR="0043505F" w:rsidRPr="0034190F">
        <w:rPr>
          <w:rFonts w:ascii="Cambria" w:hAnsi="Cambria"/>
          <w:b/>
          <w:color w:val="auto"/>
          <w:sz w:val="20"/>
          <w:szCs w:val="20"/>
        </w:rPr>
        <w:t xml:space="preserve">Patricio Roche Azaña </w:t>
      </w:r>
      <w:r w:rsidRPr="0034190F">
        <w:rPr>
          <w:rFonts w:ascii="Cambria" w:hAnsi="Cambria"/>
          <w:b/>
          <w:color w:val="auto"/>
          <w:sz w:val="20"/>
          <w:szCs w:val="20"/>
        </w:rPr>
        <w:t xml:space="preserve">through use of lethal force, and analysis of the “satisfactory explanation” standard of </w:t>
      </w:r>
      <w:bookmarkEnd w:id="2"/>
      <w:r w:rsidRPr="0034190F">
        <w:rPr>
          <w:rFonts w:ascii="Cambria" w:hAnsi="Cambria"/>
          <w:b/>
          <w:color w:val="auto"/>
          <w:sz w:val="20"/>
          <w:szCs w:val="20"/>
        </w:rPr>
        <w:t>the State</w:t>
      </w:r>
    </w:p>
    <w:p w:rsidR="0043505F" w:rsidRPr="0034190F" w:rsidRDefault="0043505F" w:rsidP="0043505F">
      <w:pPr>
        <w:rPr>
          <w:rFonts w:ascii="Cambria" w:hAnsi="Cambria"/>
          <w:sz w:val="20"/>
          <w:szCs w:val="20"/>
        </w:rPr>
      </w:pPr>
    </w:p>
    <w:p w:rsidR="0043505F" w:rsidRPr="0034190F" w:rsidRDefault="00934A79"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There is no dispute over the fact that </w:t>
      </w:r>
      <w:r w:rsidR="0043505F" w:rsidRPr="0034190F">
        <w:rPr>
          <w:rFonts w:ascii="Cambria" w:hAnsi="Cambria"/>
          <w:sz w:val="20"/>
          <w:szCs w:val="20"/>
        </w:rPr>
        <w:t xml:space="preserve">Pedro Roche Azaña </w:t>
      </w:r>
      <w:r w:rsidRPr="0034190F">
        <w:rPr>
          <w:rFonts w:ascii="Cambria" w:hAnsi="Cambria"/>
          <w:sz w:val="20"/>
          <w:szCs w:val="20"/>
        </w:rPr>
        <w:t xml:space="preserve">died and </w:t>
      </w:r>
      <w:r w:rsidR="0043505F" w:rsidRPr="0034190F">
        <w:rPr>
          <w:rFonts w:ascii="Cambria" w:hAnsi="Cambria"/>
          <w:sz w:val="20"/>
          <w:szCs w:val="20"/>
        </w:rPr>
        <w:t xml:space="preserve">Patricio Roche Azaña </w:t>
      </w:r>
      <w:r w:rsidRPr="0034190F">
        <w:rPr>
          <w:rFonts w:ascii="Cambria" w:hAnsi="Cambria"/>
          <w:sz w:val="20"/>
          <w:szCs w:val="20"/>
        </w:rPr>
        <w:t xml:space="preserve">was </w:t>
      </w:r>
      <w:r w:rsidR="00D81EB0" w:rsidRPr="0034190F">
        <w:rPr>
          <w:rFonts w:ascii="Cambria" w:hAnsi="Cambria"/>
          <w:sz w:val="20"/>
          <w:szCs w:val="20"/>
        </w:rPr>
        <w:t>a victim of grievous bodily harm</w:t>
      </w:r>
      <w:r w:rsidRPr="0034190F">
        <w:rPr>
          <w:rFonts w:ascii="Cambria" w:hAnsi="Cambria"/>
          <w:sz w:val="20"/>
          <w:szCs w:val="20"/>
        </w:rPr>
        <w:t xml:space="preserve"> because of the use of lethal force by the State. The dispute revolves around whether, as the State maintains, the death and the impacts to physical integrity were the result of legitimate acts by police officers who were forced to fire when the van began to flee or whether, as the petitioner state</w:t>
      </w:r>
      <w:r w:rsidR="00A738B8" w:rsidRPr="0034190F">
        <w:rPr>
          <w:rFonts w:ascii="Cambria" w:hAnsi="Cambria"/>
          <w:sz w:val="20"/>
          <w:szCs w:val="20"/>
        </w:rPr>
        <w:t>s</w:t>
      </w:r>
      <w:r w:rsidRPr="0034190F">
        <w:rPr>
          <w:rFonts w:ascii="Cambria" w:hAnsi="Cambria"/>
          <w:sz w:val="20"/>
          <w:szCs w:val="20"/>
        </w:rPr>
        <w:t xml:space="preserve">, this was an illegitimate use of force. Based on the standards described above, it is </w:t>
      </w:r>
      <w:r w:rsidR="008F7AA2" w:rsidRPr="0034190F">
        <w:rPr>
          <w:rFonts w:ascii="Cambria" w:hAnsi="Cambria"/>
          <w:sz w:val="20"/>
          <w:szCs w:val="20"/>
        </w:rPr>
        <w:t>incumbent upon</w:t>
      </w:r>
      <w:r w:rsidRPr="0034190F">
        <w:rPr>
          <w:rFonts w:ascii="Cambria" w:hAnsi="Cambria"/>
          <w:sz w:val="20"/>
          <w:szCs w:val="20"/>
        </w:rPr>
        <w:t xml:space="preserve"> the Commission to examine whether the State has satisfactorily explained that the death of </w:t>
      </w:r>
      <w:r w:rsidR="0043505F" w:rsidRPr="0034190F">
        <w:rPr>
          <w:rFonts w:ascii="Cambria" w:hAnsi="Cambria"/>
          <w:sz w:val="20"/>
          <w:szCs w:val="20"/>
        </w:rPr>
        <w:t xml:space="preserve">Pedro Roche Azaña </w:t>
      </w:r>
      <w:r w:rsidRPr="0034190F">
        <w:rPr>
          <w:rFonts w:ascii="Cambria" w:hAnsi="Cambria"/>
          <w:sz w:val="20"/>
          <w:szCs w:val="20"/>
        </w:rPr>
        <w:t xml:space="preserve">resulted from a legitimate use of lethal force. </w:t>
      </w:r>
    </w:p>
    <w:p w:rsidR="0043505F" w:rsidRPr="0034190F" w:rsidRDefault="0043505F" w:rsidP="0043505F">
      <w:pPr>
        <w:pStyle w:val="ListParagraph"/>
        <w:rPr>
          <w:color w:val="auto"/>
          <w:sz w:val="20"/>
          <w:szCs w:val="20"/>
        </w:rPr>
      </w:pPr>
    </w:p>
    <w:p w:rsidR="0043505F" w:rsidRPr="0034190F" w:rsidRDefault="009928AB"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At the time of the events in question</w:t>
      </w:r>
      <w:r w:rsidR="0043505F" w:rsidRPr="0034190F">
        <w:rPr>
          <w:rFonts w:ascii="Cambria" w:hAnsi="Cambria"/>
          <w:sz w:val="20"/>
          <w:szCs w:val="20"/>
        </w:rPr>
        <w:t xml:space="preserve">, </w:t>
      </w:r>
      <w:r w:rsidRPr="0034190F">
        <w:rPr>
          <w:rFonts w:ascii="Cambria" w:hAnsi="Cambria"/>
          <w:sz w:val="20"/>
          <w:szCs w:val="20"/>
        </w:rPr>
        <w:t xml:space="preserve">Nicaragua’s Organic Law </w:t>
      </w:r>
      <w:r w:rsidR="00A738B8" w:rsidRPr="0034190F">
        <w:rPr>
          <w:rFonts w:ascii="Cambria" w:hAnsi="Cambria"/>
          <w:sz w:val="20"/>
          <w:szCs w:val="20"/>
        </w:rPr>
        <w:t xml:space="preserve">of the National Police </w:t>
      </w:r>
      <w:r w:rsidRPr="0034190F">
        <w:rPr>
          <w:rFonts w:ascii="Cambria" w:hAnsi="Cambria"/>
          <w:sz w:val="20"/>
          <w:szCs w:val="20"/>
        </w:rPr>
        <w:t>was not</w:t>
      </w:r>
      <w:r w:rsidR="008F7AA2" w:rsidRPr="0034190F">
        <w:rPr>
          <w:rFonts w:ascii="Cambria" w:hAnsi="Cambria"/>
          <w:sz w:val="20"/>
          <w:szCs w:val="20"/>
        </w:rPr>
        <w:t xml:space="preserve"> yet</w:t>
      </w:r>
      <w:r w:rsidRPr="0034190F">
        <w:rPr>
          <w:rFonts w:ascii="Cambria" w:hAnsi="Cambria"/>
          <w:sz w:val="20"/>
          <w:szCs w:val="20"/>
        </w:rPr>
        <w:t xml:space="preserve"> in </w:t>
      </w:r>
      <w:r w:rsidR="00A738B8" w:rsidRPr="0034190F">
        <w:rPr>
          <w:rFonts w:ascii="Cambria" w:hAnsi="Cambria"/>
          <w:sz w:val="20"/>
          <w:szCs w:val="20"/>
        </w:rPr>
        <w:t>force</w:t>
      </w:r>
      <w:r w:rsidRPr="0034190F">
        <w:rPr>
          <w:rFonts w:ascii="Cambria" w:hAnsi="Cambria"/>
          <w:sz w:val="20"/>
          <w:szCs w:val="20"/>
        </w:rPr>
        <w:t xml:space="preserve">; it was published on August 28, 1996. However, Executive Decree </w:t>
      </w:r>
      <w:r w:rsidR="0043505F" w:rsidRPr="0034190F">
        <w:rPr>
          <w:rFonts w:ascii="Cambria" w:hAnsi="Cambria"/>
          <w:sz w:val="20"/>
          <w:szCs w:val="20"/>
        </w:rPr>
        <w:t xml:space="preserve">45-92 </w:t>
      </w:r>
      <w:r w:rsidRPr="0034190F">
        <w:rPr>
          <w:rFonts w:ascii="Cambria" w:hAnsi="Cambria"/>
          <w:sz w:val="20"/>
          <w:szCs w:val="20"/>
        </w:rPr>
        <w:t>of</w:t>
      </w:r>
      <w:r w:rsidR="0043505F" w:rsidRPr="0034190F">
        <w:rPr>
          <w:rFonts w:ascii="Cambria" w:hAnsi="Cambria"/>
          <w:sz w:val="20"/>
          <w:szCs w:val="20"/>
        </w:rPr>
        <w:t xml:space="preserve"> 1992</w:t>
      </w:r>
      <w:r w:rsidRPr="0034190F">
        <w:rPr>
          <w:rFonts w:ascii="Cambria" w:hAnsi="Cambria"/>
          <w:sz w:val="20"/>
          <w:szCs w:val="20"/>
        </w:rPr>
        <w:t>, which</w:t>
      </w:r>
      <w:r w:rsidR="0043505F" w:rsidRPr="0034190F">
        <w:rPr>
          <w:rFonts w:ascii="Cambria" w:hAnsi="Cambria"/>
          <w:sz w:val="20"/>
          <w:szCs w:val="20"/>
        </w:rPr>
        <w:t xml:space="preserve"> </w:t>
      </w:r>
      <w:r w:rsidRPr="0034190F">
        <w:rPr>
          <w:rFonts w:ascii="Cambria" w:hAnsi="Cambria"/>
          <w:sz w:val="20"/>
          <w:szCs w:val="20"/>
        </w:rPr>
        <w:t>defined the functions and organization of the National Police, established that the p</w:t>
      </w:r>
      <w:r w:rsidR="00DC5F34" w:rsidRPr="0034190F">
        <w:rPr>
          <w:rFonts w:ascii="Cambria" w:hAnsi="Cambria"/>
          <w:sz w:val="20"/>
          <w:szCs w:val="20"/>
        </w:rPr>
        <w:t>o</w:t>
      </w:r>
      <w:r w:rsidRPr="0034190F">
        <w:rPr>
          <w:rFonts w:ascii="Cambria" w:hAnsi="Cambria"/>
          <w:sz w:val="20"/>
          <w:szCs w:val="20"/>
        </w:rPr>
        <w:t xml:space="preserve">lice would employ weapons only in situations in which there was a reasonably serious risk to their life or physical integrity or that of others, or when </w:t>
      </w:r>
      <w:r w:rsidR="006B5CE4" w:rsidRPr="0034190F">
        <w:rPr>
          <w:rFonts w:ascii="Cambria" w:hAnsi="Cambria"/>
          <w:sz w:val="20"/>
          <w:szCs w:val="20"/>
        </w:rPr>
        <w:t xml:space="preserve">a serious risk to public order </w:t>
      </w:r>
      <w:r w:rsidR="00DC5F34" w:rsidRPr="0034190F">
        <w:rPr>
          <w:rFonts w:ascii="Cambria" w:hAnsi="Cambria"/>
          <w:sz w:val="20"/>
          <w:szCs w:val="20"/>
        </w:rPr>
        <w:t xml:space="preserve">was involved. Despite this provision, the State has not demonstrated that at the time of the events in question there were clear regulations in place with a prevention policy on use of force, in </w:t>
      </w:r>
      <w:r w:rsidR="000E0870" w:rsidRPr="0034190F">
        <w:rPr>
          <w:rFonts w:ascii="Cambria" w:hAnsi="Cambria"/>
          <w:sz w:val="20"/>
          <w:szCs w:val="20"/>
        </w:rPr>
        <w:t>keeping</w:t>
      </w:r>
      <w:r w:rsidR="00DC5F34" w:rsidRPr="0034190F">
        <w:rPr>
          <w:rFonts w:ascii="Cambria" w:hAnsi="Cambria"/>
          <w:sz w:val="20"/>
          <w:szCs w:val="20"/>
        </w:rPr>
        <w:t xml:space="preserve"> with its international obligations in this area</w:t>
      </w:r>
      <w:r w:rsidR="0043505F" w:rsidRPr="0034190F">
        <w:rPr>
          <w:rFonts w:ascii="Cambria" w:hAnsi="Cambria"/>
          <w:sz w:val="20"/>
          <w:szCs w:val="20"/>
        </w:rPr>
        <w:t>.</w:t>
      </w:r>
      <w:r w:rsidR="00DC5F34" w:rsidRPr="0034190F">
        <w:rPr>
          <w:rFonts w:ascii="Cambria" w:hAnsi="Cambria"/>
          <w:sz w:val="20"/>
          <w:szCs w:val="20"/>
        </w:rPr>
        <w:t xml:space="preserve"> Moreover, there is no information in the case file on whether there were protocols for oversight or control of operations to ensure a valid use of force.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43505F" w:rsidRPr="0034190F" w:rsidRDefault="009F6EBC"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The State argued that</w:t>
      </w:r>
      <w:r w:rsidR="0043505F" w:rsidRPr="0034190F">
        <w:rPr>
          <w:rFonts w:ascii="Cambria" w:hAnsi="Cambria"/>
          <w:sz w:val="20"/>
          <w:szCs w:val="20"/>
        </w:rPr>
        <w:t xml:space="preserve"> “</w:t>
      </w:r>
      <w:r w:rsidRPr="0034190F">
        <w:rPr>
          <w:rFonts w:ascii="Cambria" w:hAnsi="Cambria"/>
          <w:sz w:val="20"/>
          <w:szCs w:val="20"/>
        </w:rPr>
        <w:t>the police authorities were forced to fire on the vehicle in order to halt its escape; even so, it continued on until it reached a sparsely populated area.”</w:t>
      </w:r>
      <w:r w:rsidR="0043505F" w:rsidRPr="0034190F">
        <w:rPr>
          <w:rStyle w:val="FootnoteReference"/>
          <w:rFonts w:ascii="Cambria" w:hAnsi="Cambria"/>
          <w:sz w:val="20"/>
          <w:szCs w:val="20"/>
          <w:lang w:val="es-ES_tradnl"/>
        </w:rPr>
        <w:footnoteReference w:id="62"/>
      </w:r>
      <w:r w:rsidR="0043505F" w:rsidRPr="0034190F">
        <w:rPr>
          <w:rFonts w:ascii="Cambria" w:hAnsi="Cambria"/>
          <w:sz w:val="20"/>
          <w:szCs w:val="20"/>
        </w:rPr>
        <w:t xml:space="preserve"> </w:t>
      </w:r>
      <w:r w:rsidR="00435F8A" w:rsidRPr="0034190F">
        <w:rPr>
          <w:rFonts w:ascii="Cambria" w:hAnsi="Cambria"/>
          <w:sz w:val="20"/>
          <w:szCs w:val="20"/>
        </w:rPr>
        <w:t xml:space="preserve">However, there are no indications in the case file that the migrants or the driver were armed or that they </w:t>
      </w:r>
      <w:r w:rsidR="00E50ADD" w:rsidRPr="0034190F">
        <w:rPr>
          <w:rFonts w:ascii="Cambria" w:hAnsi="Cambria"/>
          <w:sz w:val="20"/>
          <w:szCs w:val="20"/>
        </w:rPr>
        <w:t xml:space="preserve">carried out </w:t>
      </w:r>
      <w:r w:rsidR="000E0870" w:rsidRPr="0034190F">
        <w:rPr>
          <w:rFonts w:ascii="Cambria" w:hAnsi="Cambria"/>
          <w:sz w:val="20"/>
          <w:szCs w:val="20"/>
        </w:rPr>
        <w:t>some</w:t>
      </w:r>
      <w:r w:rsidR="00E50ADD" w:rsidRPr="0034190F">
        <w:rPr>
          <w:rFonts w:ascii="Cambria" w:hAnsi="Cambria"/>
          <w:sz w:val="20"/>
          <w:szCs w:val="20"/>
        </w:rPr>
        <w:t xml:space="preserve"> act of </w:t>
      </w:r>
      <w:r w:rsidR="00E50ADD" w:rsidRPr="0034190F">
        <w:rPr>
          <w:rFonts w:ascii="Cambria" w:hAnsi="Cambria"/>
          <w:sz w:val="20"/>
          <w:szCs w:val="20"/>
        </w:rPr>
        <w:lastRenderedPageBreak/>
        <w:t xml:space="preserve">aggression that could have been interpreted as a threat to the State or engaged in violent acts that could pose a risk to life and therefore would warrant the use of lethal armed force as a last and necessary </w:t>
      </w:r>
      <w:r w:rsidR="008F7AA2" w:rsidRPr="0034190F">
        <w:rPr>
          <w:rFonts w:ascii="Cambria" w:hAnsi="Cambria"/>
          <w:sz w:val="20"/>
          <w:szCs w:val="20"/>
        </w:rPr>
        <w:t>resort</w:t>
      </w:r>
      <w:r w:rsidR="00E50ADD" w:rsidRPr="0034190F">
        <w:rPr>
          <w:rFonts w:ascii="Cambria" w:hAnsi="Cambria"/>
          <w:sz w:val="20"/>
          <w:szCs w:val="20"/>
        </w:rPr>
        <w:t xml:space="preserve"> in that situation. In that regard, the Inter-American Commission calls to mind that the only legitimate use of firearms in cases of flight risk is when the life of a person is </w:t>
      </w:r>
      <w:r w:rsidR="00606515" w:rsidRPr="0034190F">
        <w:rPr>
          <w:rFonts w:ascii="Cambria" w:hAnsi="Cambria"/>
          <w:sz w:val="20"/>
          <w:szCs w:val="20"/>
        </w:rPr>
        <w:t>in jeopardy</w:t>
      </w:r>
      <w:r w:rsidR="00E50ADD" w:rsidRPr="0034190F">
        <w:rPr>
          <w:rFonts w:ascii="Cambria" w:hAnsi="Cambria"/>
          <w:sz w:val="20"/>
          <w:szCs w:val="20"/>
        </w:rPr>
        <w:t xml:space="preserve">, a situation that does not </w:t>
      </w:r>
      <w:r w:rsidR="00606515" w:rsidRPr="0034190F">
        <w:rPr>
          <w:rFonts w:ascii="Cambria" w:hAnsi="Cambria"/>
          <w:sz w:val="20"/>
          <w:szCs w:val="20"/>
        </w:rPr>
        <w:t>arise in this case as there is no evidence that would point to the existence</w:t>
      </w:r>
      <w:r w:rsidR="000E0870" w:rsidRPr="0034190F">
        <w:rPr>
          <w:rFonts w:ascii="Cambria" w:hAnsi="Cambria"/>
          <w:sz w:val="20"/>
          <w:szCs w:val="20"/>
        </w:rPr>
        <w:t xml:space="preserve"> or indications</w:t>
      </w:r>
      <w:r w:rsidR="00606515" w:rsidRPr="0034190F">
        <w:rPr>
          <w:rFonts w:ascii="Cambria" w:hAnsi="Cambria"/>
          <w:sz w:val="20"/>
          <w:szCs w:val="20"/>
        </w:rPr>
        <w:t xml:space="preserve"> of risk to the lives of the policemen who </w:t>
      </w:r>
      <w:r w:rsidR="00E06042" w:rsidRPr="0034190F">
        <w:rPr>
          <w:rFonts w:ascii="Cambria" w:hAnsi="Cambria"/>
          <w:sz w:val="20"/>
          <w:szCs w:val="20"/>
        </w:rPr>
        <w:t>were manning the checkpoints</w:t>
      </w:r>
      <w:r w:rsidR="0043505F" w:rsidRPr="0034190F">
        <w:rPr>
          <w:rFonts w:ascii="Cambria" w:hAnsi="Cambria"/>
          <w:sz w:val="20"/>
          <w:szCs w:val="20"/>
        </w:rPr>
        <w:t xml:space="preserve">. </w:t>
      </w:r>
    </w:p>
    <w:p w:rsidR="0043505F" w:rsidRPr="0034190F" w:rsidRDefault="0043505F" w:rsidP="0043505F">
      <w:pPr>
        <w:pStyle w:val="ListParagraph"/>
        <w:rPr>
          <w:color w:val="auto"/>
          <w:sz w:val="20"/>
          <w:szCs w:val="20"/>
        </w:rPr>
      </w:pPr>
    </w:p>
    <w:p w:rsidR="0043505F" w:rsidRPr="0034190F" w:rsidRDefault="0043505F"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 </w:t>
      </w:r>
      <w:r w:rsidR="00835AF0" w:rsidRPr="0034190F">
        <w:rPr>
          <w:rFonts w:ascii="Cambria" w:hAnsi="Cambria"/>
          <w:sz w:val="20"/>
          <w:szCs w:val="20"/>
        </w:rPr>
        <w:t>The statements of the</w:t>
      </w:r>
      <w:r w:rsidRPr="0034190F">
        <w:rPr>
          <w:rFonts w:ascii="Cambria" w:hAnsi="Cambria"/>
          <w:sz w:val="20"/>
          <w:szCs w:val="20"/>
        </w:rPr>
        <w:t xml:space="preserve"> </w:t>
      </w:r>
      <w:r w:rsidR="00835AF0" w:rsidRPr="0034190F">
        <w:rPr>
          <w:rFonts w:ascii="Cambria" w:hAnsi="Cambria"/>
          <w:sz w:val="20"/>
          <w:szCs w:val="20"/>
        </w:rPr>
        <w:t xml:space="preserve">police officers themselves indicate that at both checkpoints the authorities signaled the vehicle to stop. At the first, the policemen stated, the signal to stop was made by waving a traffic baton and asking that the patrol car lights be turned on; at the second, they stated that they had signaled the vehicle to stop and that subsequently three police officers said they had fired into the air  </w:t>
      </w:r>
      <w:r w:rsidRPr="0034190F">
        <w:rPr>
          <w:rFonts w:ascii="Cambria" w:hAnsi="Cambria"/>
          <w:sz w:val="20"/>
          <w:szCs w:val="20"/>
        </w:rPr>
        <w:t>(Francisco Simón Ordoñez Nájera, Ricardo Javier Salgado Ojeda</w:t>
      </w:r>
      <w:r w:rsidR="00835AF0" w:rsidRPr="0034190F">
        <w:rPr>
          <w:rFonts w:ascii="Cambria" w:hAnsi="Cambria"/>
          <w:sz w:val="20"/>
          <w:szCs w:val="20"/>
        </w:rPr>
        <w:t xml:space="preserve">, and </w:t>
      </w:r>
      <w:r w:rsidRPr="0034190F">
        <w:rPr>
          <w:rFonts w:ascii="Cambria" w:hAnsi="Cambria"/>
          <w:sz w:val="20"/>
          <w:szCs w:val="20"/>
        </w:rPr>
        <w:t xml:space="preserve">Silvio Antonio Vanegas Blandon) </w:t>
      </w:r>
      <w:r w:rsidR="00835AF0" w:rsidRPr="0034190F">
        <w:rPr>
          <w:rFonts w:ascii="Cambria" w:hAnsi="Cambria"/>
          <w:sz w:val="20"/>
          <w:szCs w:val="20"/>
        </w:rPr>
        <w:t>and</w:t>
      </w:r>
      <w:r w:rsidRPr="0034190F">
        <w:rPr>
          <w:rFonts w:ascii="Cambria" w:hAnsi="Cambria"/>
          <w:sz w:val="20"/>
          <w:szCs w:val="20"/>
        </w:rPr>
        <w:t xml:space="preserve"> </w:t>
      </w:r>
      <w:r w:rsidR="00835AF0" w:rsidRPr="0034190F">
        <w:rPr>
          <w:rFonts w:ascii="Cambria" w:hAnsi="Cambria"/>
          <w:sz w:val="20"/>
          <w:szCs w:val="20"/>
        </w:rPr>
        <w:t xml:space="preserve">one officer, </w:t>
      </w:r>
      <w:r w:rsidRPr="0034190F">
        <w:rPr>
          <w:rFonts w:ascii="Cambria" w:hAnsi="Cambria"/>
          <w:sz w:val="20"/>
          <w:szCs w:val="20"/>
        </w:rPr>
        <w:t>José Marcelino Ramírez Vargas</w:t>
      </w:r>
      <w:r w:rsidR="00835AF0" w:rsidRPr="0034190F">
        <w:rPr>
          <w:rFonts w:ascii="Cambria" w:hAnsi="Cambria"/>
          <w:sz w:val="20"/>
          <w:szCs w:val="20"/>
        </w:rPr>
        <w:t xml:space="preserve">, said he had fired three </w:t>
      </w:r>
      <w:r w:rsidR="000E0870" w:rsidRPr="0034190F">
        <w:rPr>
          <w:rFonts w:ascii="Cambria" w:hAnsi="Cambria"/>
          <w:sz w:val="20"/>
          <w:szCs w:val="20"/>
        </w:rPr>
        <w:t>to</w:t>
      </w:r>
      <w:r w:rsidR="00835AF0" w:rsidRPr="0034190F">
        <w:rPr>
          <w:rFonts w:ascii="Cambria" w:hAnsi="Cambria"/>
          <w:sz w:val="20"/>
          <w:szCs w:val="20"/>
        </w:rPr>
        <w:t xml:space="preserve"> four times without authorization in the direction of the tires </w:t>
      </w:r>
      <w:r w:rsidR="000863F5" w:rsidRPr="0034190F">
        <w:rPr>
          <w:rFonts w:ascii="Cambria" w:hAnsi="Cambria"/>
          <w:sz w:val="20"/>
          <w:szCs w:val="20"/>
        </w:rPr>
        <w:t>on</w:t>
      </w:r>
      <w:r w:rsidR="00835AF0" w:rsidRPr="0034190F">
        <w:rPr>
          <w:rFonts w:ascii="Cambria" w:hAnsi="Cambria"/>
          <w:sz w:val="20"/>
          <w:szCs w:val="20"/>
        </w:rPr>
        <w:t xml:space="preserve"> the right </w:t>
      </w:r>
      <w:r w:rsidR="009E07EA" w:rsidRPr="0034190F">
        <w:rPr>
          <w:rFonts w:ascii="Cambria" w:hAnsi="Cambria"/>
          <w:sz w:val="20"/>
          <w:szCs w:val="20"/>
        </w:rPr>
        <w:t xml:space="preserve">side </w:t>
      </w:r>
      <w:r w:rsidR="00835AF0" w:rsidRPr="0034190F">
        <w:rPr>
          <w:rFonts w:ascii="Cambria" w:hAnsi="Cambria"/>
          <w:sz w:val="20"/>
          <w:szCs w:val="20"/>
        </w:rPr>
        <w:t xml:space="preserve">of the vehicle. </w:t>
      </w:r>
    </w:p>
    <w:p w:rsidR="0043505F" w:rsidRPr="0034190F" w:rsidRDefault="0043505F" w:rsidP="0043505F">
      <w:pPr>
        <w:pStyle w:val="ListParagraph"/>
        <w:rPr>
          <w:color w:val="auto"/>
          <w:sz w:val="20"/>
          <w:szCs w:val="20"/>
        </w:rPr>
      </w:pPr>
    </w:p>
    <w:p w:rsidR="0043505F" w:rsidRPr="0034190F" w:rsidRDefault="003E579E"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Even though </w:t>
      </w:r>
      <w:r w:rsidR="009E07EA" w:rsidRPr="0034190F">
        <w:rPr>
          <w:rFonts w:ascii="Cambria" w:hAnsi="Cambria"/>
          <w:sz w:val="20"/>
          <w:szCs w:val="20"/>
        </w:rPr>
        <w:t>the police officers</w:t>
      </w:r>
      <w:r w:rsidRPr="0034190F">
        <w:rPr>
          <w:rFonts w:ascii="Cambria" w:hAnsi="Cambria"/>
          <w:sz w:val="20"/>
          <w:szCs w:val="20"/>
        </w:rPr>
        <w:t xml:space="preserve"> stated that all the shots </w:t>
      </w:r>
      <w:r w:rsidR="00131981" w:rsidRPr="0034190F">
        <w:rPr>
          <w:rFonts w:ascii="Cambria" w:hAnsi="Cambria"/>
          <w:sz w:val="20"/>
          <w:szCs w:val="20"/>
        </w:rPr>
        <w:t>were</w:t>
      </w:r>
      <w:r w:rsidRPr="0034190F">
        <w:rPr>
          <w:rFonts w:ascii="Cambria" w:hAnsi="Cambria"/>
          <w:sz w:val="20"/>
          <w:szCs w:val="20"/>
        </w:rPr>
        <w:t xml:space="preserve"> fired into the air or at the vehicle’s tires, the visual inspection report in the case file shows that no shot</w:t>
      </w:r>
      <w:r w:rsidR="009E07EA" w:rsidRPr="0034190F">
        <w:rPr>
          <w:rFonts w:ascii="Cambria" w:hAnsi="Cambria"/>
          <w:sz w:val="20"/>
          <w:szCs w:val="20"/>
        </w:rPr>
        <w:t>s</w:t>
      </w:r>
      <w:r w:rsidRPr="0034190F">
        <w:rPr>
          <w:rFonts w:ascii="Cambria" w:hAnsi="Cambria"/>
          <w:sz w:val="20"/>
          <w:szCs w:val="20"/>
        </w:rPr>
        <w:t xml:space="preserve"> hit the tires or the motor to stop the vehicle, but rather that the gunshots were directed at the upper part of the vehicle, </w:t>
      </w:r>
      <w:r w:rsidR="009E07EA" w:rsidRPr="0034190F">
        <w:rPr>
          <w:rFonts w:ascii="Cambria" w:hAnsi="Cambria"/>
          <w:sz w:val="20"/>
          <w:szCs w:val="20"/>
        </w:rPr>
        <w:t>hitting</w:t>
      </w:r>
      <w:r w:rsidRPr="0034190F">
        <w:rPr>
          <w:rFonts w:ascii="Cambria" w:hAnsi="Cambria"/>
          <w:sz w:val="20"/>
          <w:szCs w:val="20"/>
        </w:rPr>
        <w:t xml:space="preserve"> </w:t>
      </w:r>
      <w:r w:rsidR="009E07EA" w:rsidRPr="0034190F">
        <w:rPr>
          <w:rFonts w:ascii="Cambria" w:hAnsi="Cambria"/>
          <w:sz w:val="20"/>
          <w:szCs w:val="20"/>
        </w:rPr>
        <w:t>individuals</w:t>
      </w:r>
      <w:r w:rsidRPr="0034190F">
        <w:rPr>
          <w:rFonts w:ascii="Cambria" w:hAnsi="Cambria"/>
          <w:sz w:val="20"/>
          <w:szCs w:val="20"/>
        </w:rPr>
        <w:t xml:space="preserve"> inside the van, as was effectively </w:t>
      </w:r>
      <w:r w:rsidR="00131981" w:rsidRPr="0034190F">
        <w:rPr>
          <w:rFonts w:ascii="Cambria" w:hAnsi="Cambria"/>
          <w:sz w:val="20"/>
          <w:szCs w:val="20"/>
        </w:rPr>
        <w:t>proved</w:t>
      </w:r>
      <w:r w:rsidRPr="0034190F">
        <w:rPr>
          <w:rFonts w:ascii="Cambria" w:hAnsi="Cambria"/>
          <w:sz w:val="20"/>
          <w:szCs w:val="20"/>
        </w:rPr>
        <w:t xml:space="preserve"> with the death of one of the alleged victims and the </w:t>
      </w:r>
      <w:r w:rsidR="00131981" w:rsidRPr="0034190F">
        <w:rPr>
          <w:rFonts w:ascii="Cambria" w:hAnsi="Cambria"/>
          <w:sz w:val="20"/>
          <w:szCs w:val="20"/>
        </w:rPr>
        <w:t>grievous bodily harm</w:t>
      </w:r>
      <w:r w:rsidR="00512298" w:rsidRPr="0034190F">
        <w:rPr>
          <w:rFonts w:ascii="Cambria" w:hAnsi="Cambria"/>
          <w:sz w:val="20"/>
          <w:szCs w:val="20"/>
        </w:rPr>
        <w:t xml:space="preserve"> to the other and to another group of people. </w:t>
      </w:r>
      <w:r w:rsidR="0043505F" w:rsidRPr="0034190F">
        <w:rPr>
          <w:rFonts w:ascii="Cambria" w:hAnsi="Cambria"/>
          <w:sz w:val="20"/>
          <w:szCs w:val="20"/>
        </w:rPr>
        <w:t xml:space="preserve"> </w:t>
      </w:r>
    </w:p>
    <w:p w:rsidR="0043505F" w:rsidRPr="0034190F" w:rsidRDefault="0043505F" w:rsidP="0043505F">
      <w:pPr>
        <w:tabs>
          <w:tab w:val="left" w:pos="720"/>
          <w:tab w:val="left" w:pos="1440"/>
        </w:tabs>
        <w:ind w:left="630"/>
        <w:jc w:val="both"/>
        <w:rPr>
          <w:rFonts w:ascii="Cambria" w:hAnsi="Cambria"/>
          <w:sz w:val="20"/>
          <w:szCs w:val="20"/>
        </w:rPr>
      </w:pPr>
    </w:p>
    <w:p w:rsidR="0043505F" w:rsidRPr="0034190F" w:rsidRDefault="00D067A1"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In any case</w:t>
      </w:r>
      <w:r w:rsidR="0043505F" w:rsidRPr="0034190F">
        <w:rPr>
          <w:rFonts w:ascii="Cambria" w:hAnsi="Cambria"/>
          <w:sz w:val="20"/>
          <w:szCs w:val="20"/>
        </w:rPr>
        <w:t xml:space="preserve">, </w:t>
      </w:r>
      <w:r w:rsidRPr="0034190F">
        <w:rPr>
          <w:rFonts w:ascii="Cambria" w:hAnsi="Cambria"/>
          <w:sz w:val="20"/>
          <w:szCs w:val="20"/>
        </w:rPr>
        <w:t xml:space="preserve">even accepting the police officers’ account regarding the use of less lethal means to stop the </w:t>
      </w:r>
      <w:r w:rsidR="00131981" w:rsidRPr="0034190F">
        <w:rPr>
          <w:rFonts w:ascii="Cambria" w:hAnsi="Cambria"/>
          <w:sz w:val="20"/>
          <w:szCs w:val="20"/>
        </w:rPr>
        <w:t>vehicle</w:t>
      </w:r>
      <w:r w:rsidRPr="0034190F">
        <w:rPr>
          <w:rFonts w:ascii="Cambria" w:hAnsi="Cambria"/>
          <w:sz w:val="20"/>
          <w:szCs w:val="20"/>
        </w:rPr>
        <w:t xml:space="preserve">, based on the standards cited </w:t>
      </w:r>
      <w:r w:rsidR="00131981" w:rsidRPr="0034190F">
        <w:rPr>
          <w:rFonts w:ascii="Cambria" w:hAnsi="Cambria"/>
          <w:sz w:val="20"/>
          <w:szCs w:val="20"/>
        </w:rPr>
        <w:t>earlier</w:t>
      </w:r>
      <w:r w:rsidRPr="0034190F">
        <w:rPr>
          <w:rFonts w:ascii="Cambria" w:hAnsi="Cambria"/>
          <w:sz w:val="20"/>
          <w:szCs w:val="20"/>
        </w:rPr>
        <w:t xml:space="preserve"> the use of firearms should have been avoided at all cost by taking other types of preventive action, especially considering that there is a constant flow of illegal merchandise and human trafficking in that area. This is even more evident considering</w:t>
      </w:r>
      <w:r w:rsidR="001F69D8" w:rsidRPr="0034190F">
        <w:rPr>
          <w:rFonts w:ascii="Cambria" w:hAnsi="Cambria"/>
          <w:sz w:val="20"/>
          <w:szCs w:val="20"/>
        </w:rPr>
        <w:t>, as mentioned earlier,</w:t>
      </w:r>
      <w:r w:rsidRPr="0034190F">
        <w:rPr>
          <w:rFonts w:ascii="Cambria" w:hAnsi="Cambria"/>
          <w:sz w:val="20"/>
          <w:szCs w:val="20"/>
        </w:rPr>
        <w:t xml:space="preserve"> that there is no evidence suggesting that the alleged victims and those who were inside the van represented any type of threat to the lives of the police officers or of others. </w:t>
      </w:r>
      <w:r w:rsidR="0043505F" w:rsidRPr="0034190F">
        <w:rPr>
          <w:rFonts w:ascii="Cambria" w:hAnsi="Cambria"/>
          <w:sz w:val="20"/>
          <w:szCs w:val="20"/>
        </w:rPr>
        <w:t xml:space="preserve"> </w:t>
      </w:r>
    </w:p>
    <w:p w:rsidR="0043505F" w:rsidRPr="0034190F" w:rsidRDefault="0043505F" w:rsidP="0043505F">
      <w:pPr>
        <w:tabs>
          <w:tab w:val="left" w:pos="1440"/>
        </w:tabs>
        <w:ind w:left="630"/>
        <w:jc w:val="both"/>
        <w:rPr>
          <w:rFonts w:ascii="Cambria" w:hAnsi="Cambria"/>
          <w:sz w:val="20"/>
          <w:szCs w:val="20"/>
        </w:rPr>
      </w:pPr>
    </w:p>
    <w:p w:rsidR="0043505F" w:rsidRPr="0034190F" w:rsidRDefault="00B226BF"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The Commission reiterates that the use of lethal weapons at police or immigration checkpoints</w:t>
      </w:r>
      <w:r w:rsidR="002117A6" w:rsidRPr="0034190F">
        <w:rPr>
          <w:rFonts w:ascii="Cambria" w:hAnsi="Cambria"/>
          <w:sz w:val="20"/>
          <w:szCs w:val="20"/>
        </w:rPr>
        <w:t xml:space="preserve"> will always</w:t>
      </w:r>
      <w:r w:rsidR="0043505F" w:rsidRPr="0034190F">
        <w:rPr>
          <w:rFonts w:ascii="Cambria" w:hAnsi="Cambria"/>
          <w:sz w:val="20"/>
          <w:szCs w:val="20"/>
        </w:rPr>
        <w:t xml:space="preserve"> </w:t>
      </w:r>
      <w:r w:rsidR="001F69D8" w:rsidRPr="0034190F">
        <w:rPr>
          <w:rFonts w:ascii="Cambria" w:hAnsi="Cambria"/>
          <w:sz w:val="20"/>
          <w:szCs w:val="20"/>
        </w:rPr>
        <w:t xml:space="preserve">prove to be </w:t>
      </w:r>
      <w:r w:rsidR="002117A6" w:rsidRPr="0034190F">
        <w:rPr>
          <w:rFonts w:ascii="Cambria" w:hAnsi="Cambria"/>
          <w:sz w:val="20"/>
          <w:szCs w:val="20"/>
        </w:rPr>
        <w:t xml:space="preserve">arbitrary and contrary to the principles of legality, absolute necessity, and proportionality when a vehicle tries to flee, unless there is aggression involved or indications that someone’s life is in danger. In this case, the use of legitimate force was not substantiated, and the </w:t>
      </w:r>
      <w:r w:rsidR="007217B2" w:rsidRPr="0034190F">
        <w:rPr>
          <w:rFonts w:ascii="Cambria" w:hAnsi="Cambria"/>
          <w:sz w:val="20"/>
          <w:szCs w:val="20"/>
        </w:rPr>
        <w:t>grave</w:t>
      </w:r>
      <w:r w:rsidR="002117A6" w:rsidRPr="0034190F">
        <w:rPr>
          <w:rFonts w:ascii="Cambria" w:hAnsi="Cambria"/>
          <w:sz w:val="20"/>
          <w:szCs w:val="20"/>
        </w:rPr>
        <w:t xml:space="preserve"> consequence was the death of Mr. </w:t>
      </w:r>
      <w:r w:rsidR="0043505F" w:rsidRPr="0034190F">
        <w:rPr>
          <w:rFonts w:ascii="Cambria" w:hAnsi="Cambria"/>
          <w:sz w:val="20"/>
          <w:szCs w:val="20"/>
        </w:rPr>
        <w:t>Pedro Roche Azaña</w:t>
      </w:r>
      <w:r w:rsidR="002117A6" w:rsidRPr="0034190F">
        <w:rPr>
          <w:rFonts w:ascii="Cambria" w:hAnsi="Cambria"/>
          <w:sz w:val="20"/>
          <w:szCs w:val="20"/>
        </w:rPr>
        <w:t xml:space="preserve"> and the serious </w:t>
      </w:r>
      <w:r w:rsidR="008F7AA2" w:rsidRPr="0034190F">
        <w:rPr>
          <w:rFonts w:ascii="Cambria" w:hAnsi="Cambria"/>
          <w:sz w:val="20"/>
          <w:szCs w:val="20"/>
        </w:rPr>
        <w:t>condition</w:t>
      </w:r>
      <w:r w:rsidR="002117A6" w:rsidRPr="0034190F">
        <w:rPr>
          <w:rFonts w:ascii="Cambria" w:hAnsi="Cambria"/>
          <w:sz w:val="20"/>
          <w:szCs w:val="20"/>
        </w:rPr>
        <w:t xml:space="preserve"> of </w:t>
      </w:r>
      <w:r w:rsidR="0043505F" w:rsidRPr="0034190F">
        <w:rPr>
          <w:rFonts w:ascii="Cambria" w:hAnsi="Cambria"/>
          <w:sz w:val="20"/>
          <w:szCs w:val="20"/>
        </w:rPr>
        <w:t xml:space="preserve">Patricio Roche Azaña. </w:t>
      </w:r>
      <w:r w:rsidR="002117A6" w:rsidRPr="0034190F">
        <w:rPr>
          <w:rFonts w:ascii="Cambria" w:hAnsi="Cambria"/>
          <w:sz w:val="20"/>
          <w:szCs w:val="20"/>
        </w:rPr>
        <w:t xml:space="preserve">The unnecessary and disproportionate </w:t>
      </w:r>
      <w:r w:rsidR="001F69D8" w:rsidRPr="0034190F">
        <w:rPr>
          <w:rFonts w:ascii="Cambria" w:hAnsi="Cambria"/>
          <w:sz w:val="20"/>
          <w:szCs w:val="20"/>
        </w:rPr>
        <w:t xml:space="preserve">use of </w:t>
      </w:r>
      <w:r w:rsidR="002117A6" w:rsidRPr="0034190F">
        <w:rPr>
          <w:rFonts w:ascii="Cambria" w:hAnsi="Cambria"/>
          <w:sz w:val="20"/>
          <w:szCs w:val="20"/>
        </w:rPr>
        <w:t xml:space="preserve">force </w:t>
      </w:r>
      <w:r w:rsidR="006B6CEE" w:rsidRPr="0034190F">
        <w:rPr>
          <w:rFonts w:ascii="Cambria" w:hAnsi="Cambria"/>
          <w:sz w:val="20"/>
          <w:szCs w:val="20"/>
        </w:rPr>
        <w:t>can be</w:t>
      </w:r>
      <w:r w:rsidR="002117A6" w:rsidRPr="0034190F">
        <w:rPr>
          <w:rFonts w:ascii="Cambria" w:hAnsi="Cambria"/>
          <w:sz w:val="20"/>
          <w:szCs w:val="20"/>
        </w:rPr>
        <w:t xml:space="preserve"> attribut</w:t>
      </w:r>
      <w:r w:rsidR="006B6CEE" w:rsidRPr="0034190F">
        <w:rPr>
          <w:rFonts w:ascii="Cambria" w:hAnsi="Cambria"/>
          <w:sz w:val="20"/>
          <w:szCs w:val="20"/>
        </w:rPr>
        <w:t>ed</w:t>
      </w:r>
      <w:r w:rsidR="002117A6" w:rsidRPr="0034190F">
        <w:rPr>
          <w:rFonts w:ascii="Cambria" w:hAnsi="Cambria"/>
          <w:sz w:val="20"/>
          <w:szCs w:val="20"/>
        </w:rPr>
        <w:t xml:space="preserve"> to the Nicaraguan State </w:t>
      </w:r>
      <w:r w:rsidR="006B6CEE" w:rsidRPr="0034190F">
        <w:rPr>
          <w:rFonts w:ascii="Cambria" w:hAnsi="Cambria"/>
          <w:sz w:val="20"/>
          <w:szCs w:val="20"/>
        </w:rPr>
        <w:t>owing to</w:t>
      </w:r>
      <w:r w:rsidR="002117A6" w:rsidRPr="0034190F">
        <w:rPr>
          <w:rFonts w:ascii="Cambria" w:hAnsi="Cambria"/>
          <w:sz w:val="20"/>
          <w:szCs w:val="20"/>
        </w:rPr>
        <w:t xml:space="preserve"> the act</w:t>
      </w:r>
      <w:r w:rsidR="001F69D8" w:rsidRPr="0034190F">
        <w:rPr>
          <w:rFonts w:ascii="Cambria" w:hAnsi="Cambria"/>
          <w:sz w:val="20"/>
          <w:szCs w:val="20"/>
        </w:rPr>
        <w:t>ion</w:t>
      </w:r>
      <w:r w:rsidR="006B6CEE" w:rsidRPr="0034190F">
        <w:rPr>
          <w:rFonts w:ascii="Cambria" w:hAnsi="Cambria"/>
          <w:sz w:val="20"/>
          <w:szCs w:val="20"/>
        </w:rPr>
        <w:t xml:space="preserve">s </w:t>
      </w:r>
      <w:r w:rsidR="002117A6" w:rsidRPr="0034190F">
        <w:rPr>
          <w:rFonts w:ascii="Cambria" w:hAnsi="Cambria"/>
          <w:sz w:val="20"/>
          <w:szCs w:val="20"/>
        </w:rPr>
        <w:t>of law enforcement officials.</w:t>
      </w:r>
      <w:r w:rsidR="0043505F" w:rsidRPr="0034190F">
        <w:rPr>
          <w:rStyle w:val="FootnoteReference"/>
          <w:rFonts w:ascii="Cambria" w:hAnsi="Cambria"/>
          <w:sz w:val="20"/>
          <w:szCs w:val="20"/>
          <w:lang w:val="es-US"/>
        </w:rPr>
        <w:footnoteReference w:id="63"/>
      </w:r>
      <w:r w:rsidR="0043505F" w:rsidRPr="0034190F">
        <w:rPr>
          <w:rFonts w:ascii="Cambria" w:hAnsi="Cambria"/>
          <w:sz w:val="20"/>
          <w:szCs w:val="20"/>
        </w:rPr>
        <w:t xml:space="preserve"> </w:t>
      </w:r>
      <w:r w:rsidR="006B6CEE" w:rsidRPr="0034190F">
        <w:rPr>
          <w:rFonts w:ascii="Cambria" w:hAnsi="Cambria"/>
          <w:sz w:val="20"/>
          <w:szCs w:val="20"/>
        </w:rPr>
        <w:t>This conclusion is sufficient to establish the State’s international responsibility for that use of force</w:t>
      </w:r>
      <w:r w:rsidR="0043505F" w:rsidRPr="0034190F">
        <w:rPr>
          <w:rFonts w:ascii="Cambria" w:hAnsi="Cambria"/>
          <w:sz w:val="20"/>
          <w:szCs w:val="20"/>
        </w:rPr>
        <w:t xml:space="preserve">. </w:t>
      </w:r>
    </w:p>
    <w:p w:rsidR="0043505F" w:rsidRPr="0034190F" w:rsidRDefault="0043505F" w:rsidP="0043505F">
      <w:pPr>
        <w:pStyle w:val="ListParagraph"/>
        <w:rPr>
          <w:rFonts w:eastAsia="Times New Roman"/>
          <w:color w:val="auto"/>
          <w:sz w:val="20"/>
          <w:szCs w:val="20"/>
        </w:rPr>
      </w:pPr>
    </w:p>
    <w:p w:rsidR="0043505F" w:rsidRPr="0034190F" w:rsidRDefault="00850EBD"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cs="Arial"/>
          <w:sz w:val="20"/>
          <w:szCs w:val="20"/>
        </w:rPr>
      </w:pPr>
      <w:r w:rsidRPr="0034190F">
        <w:rPr>
          <w:rFonts w:ascii="Cambria" w:eastAsia="Times New Roman" w:hAnsi="Cambria" w:cs="Arial"/>
          <w:sz w:val="20"/>
          <w:szCs w:val="20"/>
        </w:rPr>
        <w:t>Moreover, in terms of the details of the harm to the two brothers’ physical integrity, the petitioning party referred to “the now</w:t>
      </w:r>
      <w:r w:rsidR="001F69D8" w:rsidRPr="0034190F">
        <w:rPr>
          <w:rFonts w:ascii="Cambria" w:eastAsia="Times New Roman" w:hAnsi="Cambria" w:cs="Arial"/>
          <w:sz w:val="20"/>
          <w:szCs w:val="20"/>
        </w:rPr>
        <w:t>-</w:t>
      </w:r>
      <w:r w:rsidRPr="0034190F">
        <w:rPr>
          <w:rFonts w:ascii="Cambria" w:eastAsia="Times New Roman" w:hAnsi="Cambria" w:cs="Arial"/>
          <w:sz w:val="20"/>
          <w:szCs w:val="20"/>
        </w:rPr>
        <w:t>deceased</w:t>
      </w:r>
      <w:r w:rsidR="0043505F" w:rsidRPr="0034190F">
        <w:rPr>
          <w:rFonts w:ascii="Cambria" w:eastAsia="Times New Roman" w:hAnsi="Cambria" w:cs="Arial"/>
          <w:sz w:val="20"/>
          <w:szCs w:val="20"/>
        </w:rPr>
        <w:t xml:space="preserve"> Pedro Bacilio Roche Azaña, </w:t>
      </w:r>
      <w:r w:rsidRPr="0034190F">
        <w:rPr>
          <w:rFonts w:ascii="Cambria" w:eastAsia="Times New Roman" w:hAnsi="Cambria" w:cs="Arial"/>
          <w:sz w:val="20"/>
          <w:szCs w:val="20"/>
        </w:rPr>
        <w:t xml:space="preserve">who in a </w:t>
      </w:r>
      <w:r w:rsidR="001F69D8" w:rsidRPr="0034190F">
        <w:rPr>
          <w:rFonts w:ascii="Cambria" w:eastAsia="Times New Roman" w:hAnsi="Cambria" w:cs="Arial"/>
          <w:sz w:val="20"/>
          <w:szCs w:val="20"/>
        </w:rPr>
        <w:t>desperate</w:t>
      </w:r>
      <w:r w:rsidRPr="0034190F">
        <w:rPr>
          <w:rFonts w:ascii="Cambria" w:eastAsia="Times New Roman" w:hAnsi="Cambria" w:cs="Arial"/>
          <w:sz w:val="20"/>
          <w:szCs w:val="20"/>
        </w:rPr>
        <w:t xml:space="preserve"> state remained in agony until midnight (approximately) of that same day, when he died as </w:t>
      </w:r>
      <w:r w:rsidR="0076664E" w:rsidRPr="0034190F">
        <w:rPr>
          <w:rFonts w:ascii="Cambria" w:eastAsia="Times New Roman" w:hAnsi="Cambria" w:cs="Arial"/>
          <w:sz w:val="20"/>
          <w:szCs w:val="20"/>
        </w:rPr>
        <w:t>a</w:t>
      </w:r>
      <w:r w:rsidRPr="0034190F">
        <w:rPr>
          <w:rFonts w:ascii="Cambria" w:eastAsia="Times New Roman" w:hAnsi="Cambria" w:cs="Arial"/>
          <w:sz w:val="20"/>
          <w:szCs w:val="20"/>
        </w:rPr>
        <w:t xml:space="preserve"> result of the </w:t>
      </w:r>
      <w:r w:rsidR="0076664E" w:rsidRPr="0034190F">
        <w:rPr>
          <w:rFonts w:ascii="Cambria" w:eastAsia="Times New Roman" w:hAnsi="Cambria" w:cs="Arial"/>
          <w:sz w:val="20"/>
          <w:szCs w:val="20"/>
        </w:rPr>
        <w:t>fatal</w:t>
      </w:r>
      <w:r w:rsidRPr="0034190F">
        <w:rPr>
          <w:rFonts w:ascii="Cambria" w:eastAsia="Times New Roman" w:hAnsi="Cambria" w:cs="Arial"/>
          <w:sz w:val="20"/>
          <w:szCs w:val="20"/>
        </w:rPr>
        <w:t xml:space="preserve"> wound reportedly caused by the bullet hitting his skull.”</w:t>
      </w:r>
      <w:r w:rsidR="0043505F" w:rsidRPr="0034190F">
        <w:rPr>
          <w:rStyle w:val="FootnoteReference"/>
          <w:rFonts w:ascii="Cambria" w:eastAsia="Times New Roman" w:hAnsi="Cambria" w:cs="Arial"/>
          <w:sz w:val="20"/>
          <w:szCs w:val="20"/>
          <w:lang w:val="es-ES_tradnl"/>
        </w:rPr>
        <w:footnoteReference w:id="64"/>
      </w:r>
      <w:r w:rsidR="0043505F" w:rsidRPr="0034190F">
        <w:rPr>
          <w:rFonts w:ascii="Cambria" w:eastAsia="Times New Roman" w:hAnsi="Cambria" w:cs="Arial"/>
          <w:sz w:val="20"/>
          <w:szCs w:val="20"/>
        </w:rPr>
        <w:t xml:space="preserve"> </w:t>
      </w:r>
      <w:r w:rsidRPr="0034190F">
        <w:rPr>
          <w:rFonts w:ascii="Cambria" w:eastAsia="Times New Roman" w:hAnsi="Cambria" w:cs="Arial"/>
          <w:sz w:val="20"/>
          <w:szCs w:val="20"/>
        </w:rPr>
        <w:t xml:space="preserve">In addition, with respect to </w:t>
      </w:r>
      <w:r w:rsidR="0043505F" w:rsidRPr="0034190F">
        <w:rPr>
          <w:rFonts w:ascii="Cambria" w:eastAsia="Times New Roman" w:hAnsi="Cambria" w:cs="Arial"/>
          <w:sz w:val="20"/>
          <w:szCs w:val="20"/>
        </w:rPr>
        <w:t xml:space="preserve">Patricio Fernando Roche Azaña, </w:t>
      </w:r>
      <w:r w:rsidRPr="0034190F">
        <w:rPr>
          <w:rFonts w:ascii="Cambria" w:eastAsia="Times New Roman" w:hAnsi="Cambria" w:cs="Arial"/>
          <w:sz w:val="20"/>
          <w:szCs w:val="20"/>
        </w:rPr>
        <w:t xml:space="preserve">the petitioner indicated that he received a gunshot wound and was without medical attention until the </w:t>
      </w:r>
      <w:r w:rsidR="0076664E" w:rsidRPr="0034190F">
        <w:rPr>
          <w:rFonts w:ascii="Cambria" w:eastAsia="Times New Roman" w:hAnsi="Cambria" w:cs="Arial"/>
          <w:sz w:val="20"/>
          <w:szCs w:val="20"/>
        </w:rPr>
        <w:t>following</w:t>
      </w:r>
      <w:r w:rsidRPr="0034190F">
        <w:rPr>
          <w:rFonts w:ascii="Cambria" w:eastAsia="Times New Roman" w:hAnsi="Cambria" w:cs="Arial"/>
          <w:sz w:val="20"/>
          <w:szCs w:val="20"/>
        </w:rPr>
        <w:t xml:space="preserve"> morning; as a result, he remained in a coma for approximately two weeks and later had to stay in the hospital for another three months. Patricio Roche was operated on three times in Nicaragua and two more times in Ecuador, and “has been left with permanent injuries that have made him unable to carry out any economic activity that would allow him to live </w:t>
      </w:r>
      <w:r w:rsidR="0076664E" w:rsidRPr="0034190F">
        <w:rPr>
          <w:rFonts w:ascii="Cambria" w:eastAsia="Times New Roman" w:hAnsi="Cambria" w:cs="Arial"/>
          <w:sz w:val="20"/>
          <w:szCs w:val="20"/>
        </w:rPr>
        <w:t>well</w:t>
      </w:r>
      <w:r w:rsidRPr="0034190F">
        <w:rPr>
          <w:rFonts w:ascii="Cambria" w:eastAsia="Times New Roman" w:hAnsi="Cambria" w:cs="Arial"/>
          <w:sz w:val="20"/>
          <w:szCs w:val="20"/>
        </w:rPr>
        <w:t xml:space="preserve"> and normally; and on top of this ongoing and desperate </w:t>
      </w:r>
      <w:r w:rsidR="00B05633" w:rsidRPr="0034190F">
        <w:rPr>
          <w:rFonts w:ascii="Cambria" w:eastAsia="Times New Roman" w:hAnsi="Cambria" w:cs="Arial"/>
          <w:sz w:val="20"/>
          <w:szCs w:val="20"/>
        </w:rPr>
        <w:t xml:space="preserve">pain there is the bitter loneliness and anguish at having lost </w:t>
      </w:r>
      <w:r w:rsidR="0043505F" w:rsidRPr="0034190F">
        <w:rPr>
          <w:rFonts w:ascii="Cambria" w:eastAsia="Times New Roman" w:hAnsi="Cambria" w:cs="Arial"/>
          <w:sz w:val="20"/>
          <w:szCs w:val="20"/>
        </w:rPr>
        <w:t xml:space="preserve">Pedro Bacilio Roche Azaña, </w:t>
      </w:r>
      <w:r w:rsidR="00B05633" w:rsidRPr="0034190F">
        <w:rPr>
          <w:rFonts w:ascii="Cambria" w:eastAsia="Times New Roman" w:hAnsi="Cambria" w:cs="Arial"/>
          <w:sz w:val="20"/>
          <w:szCs w:val="20"/>
        </w:rPr>
        <w:t>a member of his family.”</w:t>
      </w:r>
      <w:r w:rsidR="0043505F" w:rsidRPr="0034190F">
        <w:rPr>
          <w:rStyle w:val="FootnoteReference"/>
          <w:rFonts w:ascii="Cambria" w:eastAsia="Times New Roman" w:hAnsi="Cambria" w:cs="Arial"/>
          <w:sz w:val="20"/>
          <w:szCs w:val="20"/>
          <w:lang w:val="es-ES_tradnl"/>
        </w:rPr>
        <w:footnoteReference w:id="65"/>
      </w:r>
      <w:r w:rsidR="0043505F" w:rsidRPr="0034190F">
        <w:rPr>
          <w:rFonts w:ascii="Cambria" w:eastAsia="Times New Roman" w:hAnsi="Cambria" w:cs="Arial"/>
          <w:sz w:val="20"/>
          <w:szCs w:val="20"/>
        </w:rPr>
        <w:t xml:space="preserve"> </w:t>
      </w:r>
    </w:p>
    <w:p w:rsidR="0043505F" w:rsidRPr="0034190F" w:rsidRDefault="0043505F" w:rsidP="0043505F">
      <w:pPr>
        <w:pStyle w:val="ListParagraph"/>
        <w:rPr>
          <w:color w:val="auto"/>
          <w:sz w:val="20"/>
          <w:szCs w:val="20"/>
        </w:rPr>
      </w:pPr>
    </w:p>
    <w:p w:rsidR="0043505F" w:rsidRPr="0034190F" w:rsidRDefault="00A86B2E"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cs="Arial"/>
          <w:sz w:val="20"/>
          <w:szCs w:val="20"/>
        </w:rPr>
      </w:pPr>
      <w:r w:rsidRPr="0034190F">
        <w:rPr>
          <w:rFonts w:ascii="Cambria" w:hAnsi="Cambria"/>
          <w:sz w:val="20"/>
          <w:szCs w:val="20"/>
        </w:rPr>
        <w:lastRenderedPageBreak/>
        <w:t>Based on the foregoing</w:t>
      </w:r>
      <w:r w:rsidR="0043505F" w:rsidRPr="0034190F">
        <w:rPr>
          <w:rFonts w:ascii="Cambria" w:hAnsi="Cambria"/>
          <w:sz w:val="20"/>
          <w:szCs w:val="20"/>
        </w:rPr>
        <w:t xml:space="preserve">, </w:t>
      </w:r>
      <w:r w:rsidRPr="0034190F">
        <w:rPr>
          <w:rFonts w:ascii="Cambria" w:hAnsi="Cambria"/>
          <w:sz w:val="20"/>
          <w:szCs w:val="20"/>
        </w:rPr>
        <w:t xml:space="preserve">the Commission concludes that Nicaragua is responsible for violating the rights to life and </w:t>
      </w:r>
      <w:r w:rsidR="00A133B0" w:rsidRPr="0034190F">
        <w:rPr>
          <w:rFonts w:ascii="Cambria" w:hAnsi="Cambria"/>
          <w:sz w:val="20"/>
          <w:szCs w:val="20"/>
        </w:rPr>
        <w:t>humane treatment</w:t>
      </w:r>
      <w:r w:rsidRPr="0034190F">
        <w:rPr>
          <w:rFonts w:ascii="Cambria" w:hAnsi="Cambria"/>
          <w:sz w:val="20"/>
          <w:szCs w:val="20"/>
        </w:rPr>
        <w:t xml:space="preserve"> established in Articles 4.1 and 5.1 of the American Convention, in connection with the obligations established in Articles 1.1 and 2 thereof, to the detriment of </w:t>
      </w:r>
      <w:r w:rsidR="0043505F" w:rsidRPr="0034190F">
        <w:rPr>
          <w:rFonts w:ascii="Cambria" w:hAnsi="Cambria"/>
          <w:sz w:val="20"/>
          <w:szCs w:val="20"/>
        </w:rPr>
        <w:t xml:space="preserve">Pedro Bacilio Roche Azaña. </w:t>
      </w:r>
      <w:r w:rsidRPr="0034190F">
        <w:rPr>
          <w:rFonts w:ascii="Cambria" w:hAnsi="Cambria"/>
          <w:sz w:val="20"/>
          <w:szCs w:val="20"/>
        </w:rPr>
        <w:t xml:space="preserve">The </w:t>
      </w:r>
      <w:r w:rsidR="00A133B0" w:rsidRPr="0034190F">
        <w:rPr>
          <w:rFonts w:ascii="Cambria" w:hAnsi="Cambria"/>
          <w:sz w:val="20"/>
          <w:szCs w:val="20"/>
        </w:rPr>
        <w:t>Commission</w:t>
      </w:r>
      <w:r w:rsidRPr="0034190F">
        <w:rPr>
          <w:rFonts w:ascii="Cambria" w:hAnsi="Cambria"/>
          <w:sz w:val="20"/>
          <w:szCs w:val="20"/>
        </w:rPr>
        <w:t xml:space="preserve"> also concludes that the Nicaraguan State is </w:t>
      </w:r>
      <w:r w:rsidR="00A133B0" w:rsidRPr="0034190F">
        <w:rPr>
          <w:rFonts w:ascii="Cambria" w:hAnsi="Cambria"/>
          <w:sz w:val="20"/>
          <w:szCs w:val="20"/>
        </w:rPr>
        <w:t>responsible</w:t>
      </w:r>
      <w:r w:rsidRPr="0034190F">
        <w:rPr>
          <w:rFonts w:ascii="Cambria" w:hAnsi="Cambria"/>
          <w:sz w:val="20"/>
          <w:szCs w:val="20"/>
        </w:rPr>
        <w:t xml:space="preserve"> for violating the right to </w:t>
      </w:r>
      <w:r w:rsidR="00A133B0" w:rsidRPr="0034190F">
        <w:rPr>
          <w:rFonts w:ascii="Cambria" w:hAnsi="Cambria"/>
          <w:sz w:val="20"/>
          <w:szCs w:val="20"/>
        </w:rPr>
        <w:t>humane treatment</w:t>
      </w:r>
      <w:r w:rsidRPr="0034190F">
        <w:rPr>
          <w:rFonts w:ascii="Cambria" w:hAnsi="Cambria"/>
          <w:sz w:val="20"/>
          <w:szCs w:val="20"/>
        </w:rPr>
        <w:t xml:space="preserve"> established in Article 5.1 of the American Convention, in connection with </w:t>
      </w:r>
      <w:r w:rsidR="00A133B0" w:rsidRPr="0034190F">
        <w:rPr>
          <w:rFonts w:ascii="Cambria" w:hAnsi="Cambria"/>
          <w:sz w:val="20"/>
          <w:szCs w:val="20"/>
        </w:rPr>
        <w:t xml:space="preserve">the obligations established in </w:t>
      </w:r>
      <w:r w:rsidRPr="0034190F">
        <w:rPr>
          <w:rFonts w:ascii="Cambria" w:hAnsi="Cambria"/>
          <w:sz w:val="20"/>
          <w:szCs w:val="20"/>
        </w:rPr>
        <w:t xml:space="preserve">Articles 1.1 and 2 thereof, to the detriment of </w:t>
      </w:r>
      <w:r w:rsidR="0043505F" w:rsidRPr="0034190F">
        <w:rPr>
          <w:rFonts w:ascii="Cambria" w:hAnsi="Cambria"/>
          <w:sz w:val="20"/>
          <w:szCs w:val="20"/>
        </w:rPr>
        <w:t>Patricio Fernando Roche Azaña.</w:t>
      </w:r>
    </w:p>
    <w:p w:rsidR="0043505F" w:rsidRPr="0034190F" w:rsidRDefault="0043505F" w:rsidP="0043505F">
      <w:pPr>
        <w:pStyle w:val="ListParagraph"/>
        <w:rPr>
          <w:color w:val="auto"/>
          <w:sz w:val="20"/>
          <w:szCs w:val="20"/>
        </w:rPr>
      </w:pPr>
    </w:p>
    <w:p w:rsidR="0043505F" w:rsidRPr="0034190F" w:rsidRDefault="00B0656C" w:rsidP="0043505F">
      <w:pPr>
        <w:pStyle w:val="Heading2"/>
        <w:keepLines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810"/>
        <w:jc w:val="both"/>
        <w:rPr>
          <w:rFonts w:ascii="Cambria" w:hAnsi="Cambria"/>
          <w:i/>
          <w:color w:val="auto"/>
          <w:sz w:val="20"/>
          <w:szCs w:val="20"/>
        </w:rPr>
      </w:pPr>
      <w:bookmarkStart w:id="3" w:name="_Toc520804263"/>
      <w:r w:rsidRPr="0034190F">
        <w:rPr>
          <w:rFonts w:ascii="Cambria" w:hAnsi="Cambria"/>
          <w:color w:val="auto"/>
          <w:sz w:val="20"/>
          <w:szCs w:val="20"/>
        </w:rPr>
        <w:t xml:space="preserve">Rights to a fair trial, judicial protection, and humane treatment </w:t>
      </w:r>
      <w:r w:rsidR="0043505F" w:rsidRPr="0034190F">
        <w:rPr>
          <w:rFonts w:ascii="Cambria" w:hAnsi="Cambria"/>
          <w:color w:val="auto"/>
          <w:sz w:val="20"/>
          <w:szCs w:val="20"/>
        </w:rPr>
        <w:t>(</w:t>
      </w:r>
      <w:r w:rsidRPr="0034190F">
        <w:rPr>
          <w:rFonts w:ascii="Cambria" w:hAnsi="Cambria"/>
          <w:color w:val="auto"/>
          <w:sz w:val="20"/>
          <w:szCs w:val="20"/>
        </w:rPr>
        <w:t>Articles</w:t>
      </w:r>
      <w:r w:rsidR="0043505F" w:rsidRPr="0034190F">
        <w:rPr>
          <w:rFonts w:ascii="Cambria" w:hAnsi="Cambria"/>
          <w:color w:val="auto"/>
          <w:sz w:val="20"/>
          <w:szCs w:val="20"/>
        </w:rPr>
        <w:t xml:space="preserve"> 8</w:t>
      </w:r>
      <w:r w:rsidR="00BC3FBF" w:rsidRPr="0034190F">
        <w:rPr>
          <w:rFonts w:ascii="Cambria" w:hAnsi="Cambria"/>
          <w:color w:val="auto"/>
          <w:sz w:val="20"/>
          <w:szCs w:val="20"/>
        </w:rPr>
        <w:t>,</w:t>
      </w:r>
      <w:r w:rsidR="0043505F" w:rsidRPr="0034190F">
        <w:rPr>
          <w:rFonts w:ascii="Cambria" w:hAnsi="Cambria"/>
          <w:color w:val="auto"/>
          <w:sz w:val="20"/>
          <w:szCs w:val="20"/>
          <w:vertAlign w:val="superscript"/>
        </w:rPr>
        <w:footnoteReference w:id="66"/>
      </w:r>
      <w:r w:rsidR="0043505F" w:rsidRPr="0034190F">
        <w:rPr>
          <w:rFonts w:ascii="Cambria" w:hAnsi="Cambria"/>
          <w:color w:val="auto"/>
          <w:sz w:val="20"/>
          <w:szCs w:val="20"/>
          <w:vertAlign w:val="superscript"/>
        </w:rPr>
        <w:t xml:space="preserve"> </w:t>
      </w:r>
      <w:r w:rsidR="0043505F" w:rsidRPr="0034190F">
        <w:rPr>
          <w:rFonts w:ascii="Cambria" w:hAnsi="Cambria"/>
          <w:color w:val="auto"/>
          <w:sz w:val="20"/>
          <w:szCs w:val="20"/>
        </w:rPr>
        <w:t>25.1</w:t>
      </w:r>
      <w:r w:rsidRPr="0034190F">
        <w:rPr>
          <w:rFonts w:ascii="Cambria" w:hAnsi="Cambria"/>
          <w:color w:val="auto"/>
          <w:sz w:val="20"/>
          <w:szCs w:val="20"/>
        </w:rPr>
        <w:t>,</w:t>
      </w:r>
      <w:r w:rsidR="0043505F" w:rsidRPr="0034190F">
        <w:rPr>
          <w:rFonts w:ascii="Cambria" w:hAnsi="Cambria"/>
          <w:color w:val="auto"/>
          <w:sz w:val="20"/>
          <w:szCs w:val="20"/>
          <w:vertAlign w:val="superscript"/>
        </w:rPr>
        <w:footnoteReference w:id="67"/>
      </w:r>
      <w:r w:rsidR="0043505F" w:rsidRPr="0034190F">
        <w:rPr>
          <w:rFonts w:ascii="Cambria" w:hAnsi="Cambria"/>
          <w:color w:val="auto"/>
          <w:sz w:val="20"/>
          <w:szCs w:val="20"/>
        </w:rPr>
        <w:t xml:space="preserve"> </w:t>
      </w:r>
      <w:r w:rsidRPr="0034190F">
        <w:rPr>
          <w:rFonts w:ascii="Cambria" w:hAnsi="Cambria"/>
          <w:color w:val="auto"/>
          <w:sz w:val="20"/>
          <w:szCs w:val="20"/>
        </w:rPr>
        <w:t>and</w:t>
      </w:r>
      <w:r w:rsidR="0043505F" w:rsidRPr="0034190F">
        <w:rPr>
          <w:rFonts w:ascii="Cambria" w:hAnsi="Cambria"/>
          <w:color w:val="auto"/>
          <w:sz w:val="20"/>
          <w:szCs w:val="20"/>
        </w:rPr>
        <w:t xml:space="preserve"> 5.1)</w:t>
      </w:r>
      <w:r w:rsidR="00BC3FBF" w:rsidRPr="0034190F">
        <w:rPr>
          <w:rFonts w:ascii="Cambria" w:hAnsi="Cambria"/>
          <w:color w:val="auto"/>
          <w:sz w:val="20"/>
          <w:szCs w:val="20"/>
        </w:rPr>
        <w:t>,</w:t>
      </w:r>
      <w:r w:rsidR="0043505F" w:rsidRPr="0034190F">
        <w:rPr>
          <w:rFonts w:ascii="Cambria" w:hAnsi="Cambria"/>
          <w:color w:val="auto"/>
          <w:sz w:val="20"/>
          <w:szCs w:val="20"/>
        </w:rPr>
        <w:t xml:space="preserve"> </w:t>
      </w:r>
      <w:r w:rsidRPr="0034190F">
        <w:rPr>
          <w:rFonts w:ascii="Cambria" w:hAnsi="Cambria"/>
          <w:color w:val="auto"/>
          <w:sz w:val="20"/>
          <w:szCs w:val="20"/>
        </w:rPr>
        <w:t>in connection with</w:t>
      </w:r>
      <w:r w:rsidR="0043505F" w:rsidRPr="0034190F">
        <w:rPr>
          <w:rFonts w:ascii="Cambria" w:hAnsi="Cambria"/>
          <w:color w:val="auto"/>
          <w:sz w:val="20"/>
          <w:szCs w:val="20"/>
        </w:rPr>
        <w:t xml:space="preserve"> </w:t>
      </w:r>
      <w:r w:rsidRPr="0034190F">
        <w:rPr>
          <w:rFonts w:ascii="Cambria" w:hAnsi="Cambria"/>
          <w:color w:val="auto"/>
          <w:sz w:val="20"/>
          <w:szCs w:val="20"/>
        </w:rPr>
        <w:t>Article</w:t>
      </w:r>
      <w:r w:rsidR="0043505F" w:rsidRPr="0034190F">
        <w:rPr>
          <w:rFonts w:ascii="Cambria" w:hAnsi="Cambria"/>
          <w:color w:val="auto"/>
          <w:sz w:val="20"/>
          <w:szCs w:val="20"/>
        </w:rPr>
        <w:t xml:space="preserve"> 1.1 </w:t>
      </w:r>
      <w:bookmarkEnd w:id="3"/>
      <w:r w:rsidRPr="0034190F">
        <w:rPr>
          <w:rFonts w:ascii="Cambria" w:hAnsi="Cambria"/>
          <w:color w:val="auto"/>
          <w:sz w:val="20"/>
          <w:szCs w:val="20"/>
        </w:rPr>
        <w:t>of the American Convention</w:t>
      </w:r>
    </w:p>
    <w:p w:rsidR="0043505F" w:rsidRPr="0034190F" w:rsidRDefault="0043505F" w:rsidP="0043505F">
      <w:pPr>
        <w:pStyle w:val="ListParagraph"/>
        <w:ind w:left="1440"/>
        <w:rPr>
          <w:b/>
          <w:color w:val="auto"/>
          <w:sz w:val="20"/>
          <w:szCs w:val="20"/>
        </w:rPr>
      </w:pPr>
    </w:p>
    <w:p w:rsidR="0043505F" w:rsidRPr="0034190F" w:rsidRDefault="00380B4A" w:rsidP="0043505F">
      <w:pPr>
        <w:pStyle w:val="ListParagraph"/>
        <w:numPr>
          <w:ilvl w:val="0"/>
          <w:numId w:val="111"/>
        </w:numPr>
        <w:ind w:left="1440" w:hanging="720"/>
        <w:rPr>
          <w:b/>
          <w:color w:val="auto"/>
          <w:sz w:val="20"/>
          <w:szCs w:val="20"/>
          <w:lang w:val="es-ES"/>
        </w:rPr>
      </w:pPr>
      <w:r w:rsidRPr="0034190F">
        <w:rPr>
          <w:b/>
          <w:color w:val="auto"/>
          <w:sz w:val="20"/>
          <w:szCs w:val="20"/>
          <w:lang w:val="es-ES"/>
        </w:rPr>
        <w:t>General considerations</w:t>
      </w:r>
    </w:p>
    <w:p w:rsidR="0043505F" w:rsidRPr="0034190F" w:rsidRDefault="0043505F" w:rsidP="0043505F">
      <w:pPr>
        <w:rPr>
          <w:rFonts w:ascii="Cambria" w:hAnsi="Cambria"/>
          <w:sz w:val="20"/>
          <w:szCs w:val="20"/>
          <w:lang w:val="es-ES"/>
        </w:rPr>
      </w:pPr>
    </w:p>
    <w:p w:rsidR="0043505F" w:rsidRPr="0034190F" w:rsidRDefault="006B5A09" w:rsidP="007F65A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pacing w:val="-2"/>
          <w:sz w:val="20"/>
          <w:szCs w:val="20"/>
        </w:rPr>
        <w:t xml:space="preserve">The Court has held that the States </w:t>
      </w:r>
      <w:r w:rsidR="007F65A6" w:rsidRPr="0034190F">
        <w:rPr>
          <w:rFonts w:ascii="Cambria" w:hAnsi="Cambria"/>
          <w:spacing w:val="-2"/>
          <w:sz w:val="20"/>
          <w:szCs w:val="20"/>
        </w:rPr>
        <w:t>have an obligation</w:t>
      </w:r>
      <w:r w:rsidRPr="0034190F">
        <w:rPr>
          <w:rFonts w:ascii="Cambria" w:hAnsi="Cambria"/>
          <w:spacing w:val="-2"/>
          <w:sz w:val="20"/>
          <w:szCs w:val="20"/>
        </w:rPr>
        <w:t xml:space="preserve"> to provide effective judicial </w:t>
      </w:r>
      <w:r w:rsidR="007F65A6" w:rsidRPr="0034190F">
        <w:rPr>
          <w:rFonts w:ascii="Cambria" w:hAnsi="Cambria"/>
          <w:spacing w:val="-2"/>
          <w:sz w:val="20"/>
          <w:szCs w:val="20"/>
        </w:rPr>
        <w:t>remedies</w:t>
      </w:r>
      <w:r w:rsidRPr="0034190F">
        <w:rPr>
          <w:rFonts w:ascii="Cambria" w:hAnsi="Cambria"/>
          <w:spacing w:val="-2"/>
          <w:sz w:val="20"/>
          <w:szCs w:val="20"/>
        </w:rPr>
        <w:t xml:space="preserve"> to victims of human rights violations  </w:t>
      </w:r>
      <w:r w:rsidR="0043505F" w:rsidRPr="0034190F">
        <w:rPr>
          <w:rFonts w:ascii="Cambria" w:hAnsi="Cambria"/>
          <w:spacing w:val="-2"/>
          <w:sz w:val="20"/>
          <w:szCs w:val="20"/>
        </w:rPr>
        <w:t>(</w:t>
      </w:r>
      <w:r w:rsidRPr="0034190F">
        <w:rPr>
          <w:rFonts w:ascii="Cambria" w:hAnsi="Cambria"/>
          <w:spacing w:val="-2"/>
          <w:sz w:val="20"/>
          <w:szCs w:val="20"/>
        </w:rPr>
        <w:t>Article</w:t>
      </w:r>
      <w:r w:rsidR="0043505F" w:rsidRPr="0034190F">
        <w:rPr>
          <w:rFonts w:ascii="Cambria" w:hAnsi="Cambria"/>
          <w:spacing w:val="-2"/>
          <w:sz w:val="20"/>
          <w:szCs w:val="20"/>
        </w:rPr>
        <w:t xml:space="preserve"> 25), </w:t>
      </w:r>
      <w:r w:rsidR="007F65A6" w:rsidRPr="0034190F">
        <w:rPr>
          <w:rFonts w:ascii="Cambria" w:hAnsi="Cambria"/>
          <w:spacing w:val="-2"/>
          <w:sz w:val="20"/>
          <w:szCs w:val="20"/>
        </w:rPr>
        <w:t>remedies that</w:t>
      </w:r>
      <w:r w:rsidRPr="0034190F">
        <w:rPr>
          <w:rFonts w:ascii="Cambria" w:hAnsi="Cambria"/>
          <w:spacing w:val="-2"/>
          <w:sz w:val="20"/>
          <w:szCs w:val="20"/>
        </w:rPr>
        <w:t xml:space="preserve"> must be</w:t>
      </w:r>
      <w:r w:rsidR="007F65A6" w:rsidRPr="0034190F">
        <w:rPr>
          <w:rFonts w:ascii="Cambria" w:hAnsi="Cambria"/>
          <w:spacing w:val="-2"/>
          <w:sz w:val="20"/>
          <w:szCs w:val="20"/>
        </w:rPr>
        <w:t xml:space="preserve"> substantiated in accordance with the rules of due process of law (Article 8.1), all in keeping with the States’ general obligation to guarantee the free and full exercise of the rights recognized by the </w:t>
      </w:r>
      <w:r w:rsidR="007F65A6" w:rsidRPr="0034190F">
        <w:rPr>
          <w:rFonts w:ascii="Cambria" w:hAnsi="Cambria"/>
          <w:sz w:val="20"/>
          <w:szCs w:val="20"/>
        </w:rPr>
        <w:t>Convention to all persons subject to their jurisdiction (Article 1.1).</w:t>
      </w:r>
      <w:r w:rsidR="0043505F" w:rsidRPr="0034190F">
        <w:rPr>
          <w:rFonts w:ascii="Cambria" w:hAnsi="Cambria"/>
          <w:spacing w:val="-2"/>
          <w:sz w:val="20"/>
          <w:szCs w:val="20"/>
          <w:vertAlign w:val="superscript"/>
          <w:lang w:val="es-CR"/>
        </w:rPr>
        <w:footnoteReference w:id="68"/>
      </w:r>
      <w:r w:rsidR="0043505F" w:rsidRPr="0034190F">
        <w:rPr>
          <w:rFonts w:ascii="Cambria" w:hAnsi="Cambria"/>
          <w:spacing w:val="-2"/>
          <w:sz w:val="20"/>
          <w:szCs w:val="20"/>
        </w:rPr>
        <w:t xml:space="preserve"> </w:t>
      </w:r>
      <w:r w:rsidR="007F65A6" w:rsidRPr="0034190F">
        <w:rPr>
          <w:rFonts w:ascii="Cambria" w:hAnsi="Cambria"/>
          <w:spacing w:val="-2"/>
          <w:sz w:val="20"/>
          <w:szCs w:val="20"/>
        </w:rPr>
        <w:t xml:space="preserve">The guarantees </w:t>
      </w:r>
      <w:r w:rsidR="005563C4" w:rsidRPr="0034190F">
        <w:rPr>
          <w:rFonts w:ascii="Cambria" w:hAnsi="Cambria"/>
          <w:spacing w:val="-2"/>
          <w:sz w:val="20"/>
          <w:szCs w:val="20"/>
        </w:rPr>
        <w:t>of</w:t>
      </w:r>
      <w:r w:rsidR="007F65A6" w:rsidRPr="0034190F">
        <w:rPr>
          <w:rFonts w:ascii="Cambria" w:hAnsi="Cambria"/>
          <w:spacing w:val="-2"/>
          <w:sz w:val="20"/>
          <w:szCs w:val="20"/>
        </w:rPr>
        <w:t xml:space="preserve"> Article 8.1 protect the right of the accused to due process and also safeguard the rights of </w:t>
      </w:r>
      <w:r w:rsidR="007D2A2A" w:rsidRPr="0034190F">
        <w:rPr>
          <w:rFonts w:ascii="Cambria" w:hAnsi="Cambria"/>
          <w:spacing w:val="-2"/>
          <w:sz w:val="20"/>
          <w:szCs w:val="20"/>
        </w:rPr>
        <w:t>a</w:t>
      </w:r>
      <w:r w:rsidR="007F65A6" w:rsidRPr="0034190F">
        <w:rPr>
          <w:rFonts w:ascii="Cambria" w:hAnsi="Cambria"/>
          <w:spacing w:val="-2"/>
          <w:sz w:val="20"/>
          <w:szCs w:val="20"/>
        </w:rPr>
        <w:t xml:space="preserve">ccess to justice of the victim of a crime or his or her </w:t>
      </w:r>
      <w:r w:rsidR="005563C4" w:rsidRPr="0034190F">
        <w:rPr>
          <w:rFonts w:ascii="Cambria" w:hAnsi="Cambria"/>
          <w:spacing w:val="-2"/>
          <w:sz w:val="20"/>
          <w:szCs w:val="20"/>
        </w:rPr>
        <w:t>next of kin</w:t>
      </w:r>
      <w:r w:rsidR="007F65A6" w:rsidRPr="0034190F">
        <w:rPr>
          <w:rFonts w:ascii="Cambria" w:hAnsi="Cambria"/>
          <w:spacing w:val="-2"/>
          <w:sz w:val="20"/>
          <w:szCs w:val="20"/>
        </w:rPr>
        <w:t xml:space="preserve">, and the right </w:t>
      </w:r>
      <w:r w:rsidR="005563C4" w:rsidRPr="0034190F">
        <w:rPr>
          <w:rFonts w:ascii="Cambria" w:hAnsi="Cambria"/>
          <w:spacing w:val="-2"/>
          <w:sz w:val="20"/>
          <w:szCs w:val="20"/>
        </w:rPr>
        <w:t xml:space="preserve">of the next of kin </w:t>
      </w:r>
      <w:r w:rsidR="007F65A6" w:rsidRPr="0034190F">
        <w:rPr>
          <w:rFonts w:ascii="Cambria" w:hAnsi="Cambria"/>
          <w:spacing w:val="-2"/>
          <w:sz w:val="20"/>
          <w:szCs w:val="20"/>
        </w:rPr>
        <w:t>to know the</w:t>
      </w:r>
      <w:r w:rsidR="00AE4264" w:rsidRPr="0034190F">
        <w:rPr>
          <w:rFonts w:ascii="Cambria" w:hAnsi="Cambria"/>
          <w:spacing w:val="-2"/>
          <w:sz w:val="20"/>
          <w:szCs w:val="20"/>
        </w:rPr>
        <w:t xml:space="preserve"> truth.</w:t>
      </w:r>
      <w:r w:rsidR="0043505F" w:rsidRPr="0034190F">
        <w:rPr>
          <w:rStyle w:val="FootnoteReference"/>
          <w:rFonts w:ascii="Cambria" w:hAnsi="Cambria"/>
          <w:sz w:val="20"/>
          <w:szCs w:val="20"/>
          <w:lang w:val="es-ES_tradnl"/>
        </w:rPr>
        <w:footnoteReference w:id="69"/>
      </w:r>
      <w:r w:rsidR="0043505F" w:rsidRPr="0034190F">
        <w:rPr>
          <w:rFonts w:ascii="Cambria" w:hAnsi="Cambria"/>
          <w:sz w:val="20"/>
          <w:szCs w:val="20"/>
        </w:rPr>
        <w:t xml:space="preserve">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43505F" w:rsidRPr="0034190F" w:rsidRDefault="00AE4264"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Both the IACHR and the Court have established that in cases involving extrajudicial executions, the State has the duty to </w:t>
      </w:r>
      <w:r w:rsidR="0046654C" w:rsidRPr="0034190F">
        <w:rPr>
          <w:rFonts w:ascii="Cambria" w:hAnsi="Cambria"/>
          <w:sz w:val="20"/>
          <w:szCs w:val="20"/>
        </w:rPr>
        <w:t>undertake</w:t>
      </w:r>
      <w:r w:rsidRPr="0034190F">
        <w:rPr>
          <w:rFonts w:ascii="Cambria" w:hAnsi="Cambria"/>
          <w:sz w:val="20"/>
          <w:szCs w:val="20"/>
        </w:rPr>
        <w:t xml:space="preserve"> a serious, impartial, and effective investigation, </w:t>
      </w:r>
      <w:r w:rsidRPr="0034190F">
        <w:rPr>
          <w:rFonts w:ascii="Cambria" w:hAnsi="Cambria"/>
          <w:i/>
          <w:sz w:val="20"/>
          <w:szCs w:val="20"/>
        </w:rPr>
        <w:t>ex officio</w:t>
      </w:r>
      <w:r w:rsidRPr="0034190F">
        <w:rPr>
          <w:rFonts w:ascii="Cambria" w:hAnsi="Cambria"/>
          <w:sz w:val="20"/>
          <w:szCs w:val="20"/>
        </w:rPr>
        <w:t xml:space="preserve"> and without delay.</w:t>
      </w:r>
      <w:r w:rsidR="0043505F" w:rsidRPr="0034190F">
        <w:rPr>
          <w:rStyle w:val="FootnoteReference"/>
          <w:rFonts w:ascii="Cambria" w:hAnsi="Cambria" w:cs="Verdana"/>
          <w:sz w:val="20"/>
          <w:szCs w:val="20"/>
          <w:lang w:val="es-ES"/>
        </w:rPr>
        <w:footnoteReference w:id="70"/>
      </w:r>
      <w:r w:rsidR="0043505F" w:rsidRPr="0034190F">
        <w:rPr>
          <w:rFonts w:ascii="Cambria" w:hAnsi="Cambria" w:cs="Verdana"/>
          <w:sz w:val="20"/>
          <w:szCs w:val="20"/>
        </w:rPr>
        <w:t xml:space="preserve"> </w:t>
      </w:r>
      <w:r w:rsidRPr="0034190F">
        <w:rPr>
          <w:rFonts w:ascii="Cambria" w:hAnsi="Cambria" w:cs="Verdana"/>
          <w:sz w:val="20"/>
          <w:szCs w:val="20"/>
        </w:rPr>
        <w:t xml:space="preserve">Along this same line of </w:t>
      </w:r>
      <w:r w:rsidR="0046654C" w:rsidRPr="0034190F">
        <w:rPr>
          <w:rFonts w:ascii="Cambria" w:hAnsi="Cambria" w:cs="Verdana"/>
          <w:sz w:val="20"/>
          <w:szCs w:val="20"/>
        </w:rPr>
        <w:t>precedent</w:t>
      </w:r>
      <w:r w:rsidR="0023600C" w:rsidRPr="0034190F">
        <w:rPr>
          <w:rFonts w:ascii="Cambria" w:hAnsi="Cambria" w:cs="Verdana"/>
          <w:sz w:val="20"/>
          <w:szCs w:val="20"/>
        </w:rPr>
        <w:t>s</w:t>
      </w:r>
      <w:r w:rsidRPr="0034190F">
        <w:rPr>
          <w:rFonts w:ascii="Cambria" w:hAnsi="Cambria" w:cs="Verdana"/>
          <w:sz w:val="20"/>
          <w:szCs w:val="20"/>
        </w:rPr>
        <w:t xml:space="preserve"> related to deaths </w:t>
      </w:r>
      <w:r w:rsidR="00994B8D" w:rsidRPr="0034190F">
        <w:rPr>
          <w:rFonts w:ascii="Cambria" w:hAnsi="Cambria" w:cs="Verdana"/>
          <w:sz w:val="20"/>
          <w:szCs w:val="20"/>
        </w:rPr>
        <w:t>involving</w:t>
      </w:r>
      <w:r w:rsidRPr="0034190F">
        <w:rPr>
          <w:rFonts w:ascii="Cambria" w:hAnsi="Cambria" w:cs="Verdana"/>
          <w:sz w:val="20"/>
          <w:szCs w:val="20"/>
        </w:rPr>
        <w:t xml:space="preserve"> agents of the State, “[the] investigation must be conducted using all available legal means to determine the truth and to investigate, prosecute and punish all those responsible for the facts, especially when State agents are or may be involved.”</w:t>
      </w:r>
      <w:r w:rsidR="0043505F" w:rsidRPr="0034190F">
        <w:rPr>
          <w:rStyle w:val="FootnoteReference"/>
          <w:rFonts w:ascii="Cambria" w:hAnsi="Cambria"/>
          <w:sz w:val="20"/>
          <w:szCs w:val="20"/>
          <w:lang w:val="es-ES"/>
        </w:rPr>
        <w:footnoteReference w:id="71"/>
      </w:r>
      <w:r w:rsidR="0043505F" w:rsidRPr="0034190F">
        <w:rPr>
          <w:rFonts w:ascii="Cambria" w:hAnsi="Cambria"/>
          <w:sz w:val="20"/>
          <w:szCs w:val="20"/>
        </w:rPr>
        <w:t xml:space="preserve"> </w:t>
      </w:r>
      <w:r w:rsidR="00D37AC3" w:rsidRPr="0034190F">
        <w:rPr>
          <w:rFonts w:ascii="Cambria" w:hAnsi="Cambria"/>
          <w:sz w:val="20"/>
          <w:szCs w:val="20"/>
        </w:rPr>
        <w:t>Thus, the duty to investigate must be undertaken in a serious manner and not as a mere formality preordained to be ineffective</w:t>
      </w:r>
      <w:r w:rsidR="00567231" w:rsidRPr="0034190F">
        <w:rPr>
          <w:rFonts w:ascii="Cambria" w:hAnsi="Cambria"/>
          <w:sz w:val="20"/>
          <w:szCs w:val="20"/>
        </w:rPr>
        <w:t xml:space="preserve">, and it </w:t>
      </w:r>
      <w:r w:rsidR="00D37AC3" w:rsidRPr="0034190F">
        <w:rPr>
          <w:rFonts w:ascii="Cambria" w:hAnsi="Cambria"/>
          <w:sz w:val="20"/>
          <w:szCs w:val="20"/>
        </w:rPr>
        <w:t>must have an objective and</w:t>
      </w:r>
      <w:r w:rsidR="00567231" w:rsidRPr="0034190F">
        <w:rPr>
          <w:rFonts w:ascii="Cambria" w:hAnsi="Cambria"/>
          <w:sz w:val="20"/>
          <w:szCs w:val="20"/>
        </w:rPr>
        <w:t xml:space="preserve"> be assumed by the State as its own legal duty, not as a</w:t>
      </w:r>
      <w:r w:rsidR="0043505F" w:rsidRPr="0034190F">
        <w:rPr>
          <w:rFonts w:ascii="Cambria" w:hAnsi="Cambria"/>
          <w:sz w:val="20"/>
          <w:szCs w:val="20"/>
        </w:rPr>
        <w:t xml:space="preserve"> </w:t>
      </w:r>
      <w:r w:rsidR="00567231" w:rsidRPr="0034190F">
        <w:rPr>
          <w:rFonts w:ascii="Cambria" w:hAnsi="Cambria"/>
          <w:sz w:val="20"/>
          <w:szCs w:val="20"/>
        </w:rPr>
        <w:t>step taken by private interests.</w:t>
      </w:r>
      <w:r w:rsidR="0043505F" w:rsidRPr="0034190F">
        <w:rPr>
          <w:rStyle w:val="FootnoteReference"/>
          <w:rFonts w:ascii="Cambria" w:hAnsi="Cambria"/>
          <w:sz w:val="20"/>
          <w:szCs w:val="20"/>
          <w:lang w:val="es-ES"/>
        </w:rPr>
        <w:footnoteReference w:id="72"/>
      </w:r>
      <w:r w:rsidR="0043505F" w:rsidRPr="0034190F">
        <w:rPr>
          <w:rFonts w:ascii="Cambria" w:hAnsi="Cambria"/>
          <w:sz w:val="20"/>
          <w:szCs w:val="20"/>
        </w:rPr>
        <w:t xml:space="preserve"> </w:t>
      </w:r>
      <w:r w:rsidR="00E90D25" w:rsidRPr="0034190F">
        <w:rPr>
          <w:rFonts w:ascii="Cambria" w:hAnsi="Cambria"/>
          <w:sz w:val="20"/>
          <w:szCs w:val="20"/>
        </w:rPr>
        <w:t>The IACHR also calls to mind that the obligation to investigate and punish every act that entails a violation of rights protected by the Convention requires that not only the direct perpetrators of human rights violations be punished, but also the masterminds.</w:t>
      </w:r>
      <w:r w:rsidR="0043505F" w:rsidRPr="0034190F">
        <w:rPr>
          <w:rFonts w:ascii="Cambria" w:hAnsi="Cambria"/>
          <w:sz w:val="20"/>
          <w:szCs w:val="20"/>
          <w:vertAlign w:val="superscript"/>
        </w:rPr>
        <w:footnoteReference w:id="73"/>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43505F" w:rsidRPr="0034190F" w:rsidRDefault="00F11011"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cs="Arial"/>
          <w:sz w:val="20"/>
          <w:szCs w:val="20"/>
        </w:rPr>
        <w:t xml:space="preserve">Case law has also established that in cases </w:t>
      </w:r>
      <w:r w:rsidR="002706C2" w:rsidRPr="0034190F">
        <w:rPr>
          <w:rFonts w:ascii="Cambria" w:hAnsi="Cambria" w:cs="Arial"/>
          <w:sz w:val="20"/>
          <w:szCs w:val="20"/>
        </w:rPr>
        <w:t>involving</w:t>
      </w:r>
      <w:r w:rsidRPr="0034190F">
        <w:rPr>
          <w:rFonts w:ascii="Cambria" w:hAnsi="Cambria" w:cs="Arial"/>
          <w:sz w:val="20"/>
          <w:szCs w:val="20"/>
        </w:rPr>
        <w:t xml:space="preserve"> deprivation of the right to life where there may be contradictory accounts, beyond ensuring that certain evidentiary steps are followed, “due </w:t>
      </w:r>
      <w:r w:rsidRPr="0034190F">
        <w:rPr>
          <w:rFonts w:ascii="Cambria" w:hAnsi="Cambria" w:cs="Arial"/>
          <w:sz w:val="20"/>
          <w:szCs w:val="20"/>
        </w:rPr>
        <w:lastRenderedPageBreak/>
        <w:t xml:space="preserve">diligence in the investigation must be evaluated in </w:t>
      </w:r>
      <w:r w:rsidR="00FB784F" w:rsidRPr="0034190F">
        <w:rPr>
          <w:rFonts w:ascii="Cambria" w:hAnsi="Cambria" w:cs="Arial"/>
          <w:sz w:val="20"/>
          <w:szCs w:val="20"/>
        </w:rPr>
        <w:t>connection</w:t>
      </w:r>
      <w:r w:rsidRPr="0034190F">
        <w:rPr>
          <w:rFonts w:ascii="Cambria" w:hAnsi="Cambria" w:cs="Arial"/>
          <w:sz w:val="20"/>
          <w:szCs w:val="20"/>
        </w:rPr>
        <w:t xml:space="preserve"> </w:t>
      </w:r>
      <w:r w:rsidR="002706C2" w:rsidRPr="0034190F">
        <w:rPr>
          <w:rFonts w:ascii="Cambria" w:hAnsi="Cambria" w:cs="Arial"/>
          <w:sz w:val="20"/>
          <w:szCs w:val="20"/>
        </w:rPr>
        <w:t>with</w:t>
      </w:r>
      <w:r w:rsidRPr="0034190F">
        <w:rPr>
          <w:rFonts w:ascii="Cambria" w:hAnsi="Cambria" w:cs="Arial"/>
          <w:sz w:val="20"/>
          <w:szCs w:val="20"/>
        </w:rPr>
        <w:t xml:space="preserve"> the need to determine the veracity of the </w:t>
      </w:r>
      <w:r w:rsidR="002706C2" w:rsidRPr="0034190F">
        <w:rPr>
          <w:rFonts w:ascii="Cambria" w:hAnsi="Cambria" w:cs="Arial"/>
          <w:sz w:val="20"/>
          <w:szCs w:val="20"/>
        </w:rPr>
        <w:t>versions</w:t>
      </w:r>
      <w:r w:rsidRPr="0034190F">
        <w:rPr>
          <w:rFonts w:ascii="Cambria" w:hAnsi="Cambria" w:cs="Arial"/>
          <w:sz w:val="20"/>
          <w:szCs w:val="20"/>
        </w:rPr>
        <w:t xml:space="preserve"> of </w:t>
      </w:r>
      <w:r w:rsidR="002706C2" w:rsidRPr="0034190F">
        <w:rPr>
          <w:rFonts w:ascii="Cambria" w:hAnsi="Cambria" w:cs="Arial"/>
          <w:sz w:val="20"/>
          <w:szCs w:val="20"/>
        </w:rPr>
        <w:t>events</w:t>
      </w:r>
      <w:r w:rsidR="00FB784F" w:rsidRPr="0034190F">
        <w:rPr>
          <w:rFonts w:ascii="Cambria" w:hAnsi="Cambria" w:cs="Arial"/>
          <w:sz w:val="20"/>
          <w:szCs w:val="20"/>
        </w:rPr>
        <w:t xml:space="preserve"> considered</w:t>
      </w:r>
      <w:r w:rsidRPr="0034190F">
        <w:rPr>
          <w:rFonts w:ascii="Cambria" w:hAnsi="Cambria" w:cs="Arial"/>
          <w:sz w:val="20"/>
          <w:szCs w:val="20"/>
        </w:rPr>
        <w:t xml:space="preserve"> in the context of the proceedings</w:t>
      </w:r>
      <w:r w:rsidR="002706C2" w:rsidRPr="0034190F">
        <w:rPr>
          <w:rFonts w:ascii="Cambria" w:hAnsi="Cambria" w:cs="Arial"/>
          <w:sz w:val="20"/>
          <w:szCs w:val="20"/>
        </w:rPr>
        <w:t>,</w:t>
      </w:r>
      <w:r w:rsidRPr="0034190F">
        <w:rPr>
          <w:rFonts w:ascii="Cambria" w:hAnsi="Cambria" w:cs="Arial"/>
          <w:sz w:val="20"/>
          <w:szCs w:val="20"/>
        </w:rPr>
        <w:t xml:space="preserve"> in other words, whether it was pos</w:t>
      </w:r>
      <w:r w:rsidR="00FB784F" w:rsidRPr="0034190F">
        <w:rPr>
          <w:rFonts w:ascii="Cambria" w:hAnsi="Cambria" w:cs="Arial"/>
          <w:sz w:val="20"/>
          <w:szCs w:val="20"/>
        </w:rPr>
        <w:t>s</w:t>
      </w:r>
      <w:r w:rsidRPr="0034190F">
        <w:rPr>
          <w:rFonts w:ascii="Cambria" w:hAnsi="Cambria" w:cs="Arial"/>
          <w:sz w:val="20"/>
          <w:szCs w:val="20"/>
        </w:rPr>
        <w:t xml:space="preserve">ible to obtain judicial clarification </w:t>
      </w:r>
      <w:r w:rsidR="00B64750" w:rsidRPr="0034190F">
        <w:rPr>
          <w:rFonts w:ascii="Cambria" w:hAnsi="Cambria" w:cs="Arial"/>
          <w:sz w:val="20"/>
          <w:szCs w:val="20"/>
        </w:rPr>
        <w:t>about what happened</w:t>
      </w:r>
      <w:r w:rsidRPr="0034190F">
        <w:rPr>
          <w:rFonts w:ascii="Cambria" w:hAnsi="Cambria" w:cs="Arial"/>
          <w:sz w:val="20"/>
          <w:szCs w:val="20"/>
        </w:rPr>
        <w:t xml:space="preserve"> and eventual legal </w:t>
      </w:r>
      <w:r w:rsidR="00B64750" w:rsidRPr="0034190F">
        <w:rPr>
          <w:rFonts w:ascii="Cambria" w:hAnsi="Cambria" w:cs="Arial"/>
          <w:sz w:val="20"/>
          <w:szCs w:val="20"/>
        </w:rPr>
        <w:t>characterization</w:t>
      </w:r>
      <w:r w:rsidR="0043505F" w:rsidRPr="0034190F">
        <w:rPr>
          <w:rFonts w:ascii="Cambria" w:hAnsi="Cambria" w:cs="Arial"/>
          <w:sz w:val="20"/>
          <w:szCs w:val="20"/>
        </w:rPr>
        <w:t xml:space="preserve"> </w:t>
      </w:r>
      <w:r w:rsidR="00B64750" w:rsidRPr="0034190F">
        <w:rPr>
          <w:rFonts w:ascii="Cambria" w:hAnsi="Cambria" w:cs="Arial"/>
          <w:sz w:val="20"/>
          <w:szCs w:val="20"/>
        </w:rPr>
        <w:t xml:space="preserve">of the facts </w:t>
      </w:r>
      <w:r w:rsidR="00FB784F" w:rsidRPr="0034190F">
        <w:rPr>
          <w:rFonts w:ascii="Cambria" w:hAnsi="Cambria" w:cs="Arial"/>
          <w:sz w:val="20"/>
          <w:szCs w:val="20"/>
        </w:rPr>
        <w:t xml:space="preserve">consistent with the events </w:t>
      </w:r>
      <w:r w:rsidR="00B64750" w:rsidRPr="0034190F">
        <w:rPr>
          <w:rFonts w:ascii="Cambria" w:hAnsi="Cambria" w:cs="Arial"/>
          <w:sz w:val="20"/>
          <w:szCs w:val="20"/>
        </w:rPr>
        <w:t>in question</w:t>
      </w:r>
      <w:r w:rsidR="00FB784F" w:rsidRPr="0034190F">
        <w:rPr>
          <w:rFonts w:ascii="Cambria" w:hAnsi="Cambria"/>
          <w:sz w:val="20"/>
          <w:szCs w:val="20"/>
        </w:rPr>
        <w:t>.</w:t>
      </w:r>
      <w:r w:rsidR="0043505F" w:rsidRPr="0034190F">
        <w:rPr>
          <w:rFonts w:ascii="Cambria" w:hAnsi="Cambria"/>
          <w:sz w:val="20"/>
          <w:szCs w:val="20"/>
        </w:rPr>
        <w:t>”</w:t>
      </w:r>
      <w:r w:rsidR="0043505F" w:rsidRPr="0034190F">
        <w:rPr>
          <w:rStyle w:val="FootnoteReference"/>
          <w:rFonts w:ascii="Cambria" w:hAnsi="Cambria"/>
          <w:sz w:val="20"/>
          <w:szCs w:val="20"/>
        </w:rPr>
        <w:footnoteReference w:id="74"/>
      </w:r>
      <w:r w:rsidR="0043505F" w:rsidRPr="0034190F">
        <w:rPr>
          <w:rFonts w:ascii="Cambria" w:hAnsi="Cambria"/>
        </w:rPr>
        <w:t xml:space="preserve">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43505F" w:rsidRPr="0034190F" w:rsidRDefault="00FB784F"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cs="Verdana"/>
          <w:sz w:val="20"/>
          <w:szCs w:val="20"/>
        </w:rPr>
        <w:t xml:space="preserve">Along the same lines, in order to ensure due diligence in the </w:t>
      </w:r>
      <w:r w:rsidR="003030E0" w:rsidRPr="0034190F">
        <w:rPr>
          <w:rFonts w:ascii="Cambria" w:hAnsi="Cambria" w:cs="Verdana"/>
          <w:sz w:val="20"/>
          <w:szCs w:val="20"/>
        </w:rPr>
        <w:t>conduct</w:t>
      </w:r>
      <w:r w:rsidRPr="0034190F">
        <w:rPr>
          <w:rFonts w:ascii="Cambria" w:hAnsi="Cambria" w:cs="Verdana"/>
          <w:sz w:val="20"/>
          <w:szCs w:val="20"/>
        </w:rPr>
        <w:t xml:space="preserve"> of a thorough and impartial investigation into a death under suspicious circumstances that involves agents of the State, the Commission </w:t>
      </w:r>
      <w:r w:rsidR="00013803" w:rsidRPr="0034190F">
        <w:rPr>
          <w:rFonts w:ascii="Cambria" w:hAnsi="Cambria" w:cs="Verdana"/>
          <w:sz w:val="20"/>
          <w:szCs w:val="20"/>
        </w:rPr>
        <w:t xml:space="preserve">takes </w:t>
      </w:r>
      <w:r w:rsidR="00111A70" w:rsidRPr="0034190F">
        <w:rPr>
          <w:rFonts w:ascii="Cambria" w:hAnsi="Cambria" w:cs="Verdana"/>
          <w:sz w:val="20"/>
          <w:szCs w:val="20"/>
        </w:rPr>
        <w:t>note</w:t>
      </w:r>
      <w:r w:rsidR="00013803" w:rsidRPr="0034190F">
        <w:rPr>
          <w:rFonts w:ascii="Cambria" w:hAnsi="Cambria" w:cs="Verdana"/>
          <w:sz w:val="20"/>
          <w:szCs w:val="20"/>
        </w:rPr>
        <w:t xml:space="preserve"> of</w:t>
      </w:r>
      <w:r w:rsidRPr="0034190F">
        <w:rPr>
          <w:rFonts w:ascii="Cambria" w:hAnsi="Cambria" w:cs="Verdana"/>
          <w:sz w:val="20"/>
          <w:szCs w:val="20"/>
        </w:rPr>
        <w:t xml:space="preserve"> some of the standards in the Minnesota Protocol, an instrument that establishes some of the </w:t>
      </w:r>
      <w:r w:rsidR="00FA3DEF" w:rsidRPr="0034190F">
        <w:rPr>
          <w:rFonts w:ascii="Cambria" w:hAnsi="Cambria" w:cs="Verdana"/>
          <w:sz w:val="20"/>
          <w:szCs w:val="20"/>
        </w:rPr>
        <w:t>minimum</w:t>
      </w:r>
      <w:r w:rsidRPr="0034190F">
        <w:rPr>
          <w:rFonts w:ascii="Cambria" w:hAnsi="Cambria" w:cs="Verdana"/>
          <w:sz w:val="20"/>
          <w:szCs w:val="20"/>
        </w:rPr>
        <w:t xml:space="preserve"> steps to take in an investigation</w:t>
      </w:r>
      <w:r w:rsidR="00013803" w:rsidRPr="0034190F">
        <w:rPr>
          <w:rFonts w:ascii="Cambria" w:hAnsi="Cambria" w:cs="Verdana"/>
          <w:sz w:val="20"/>
          <w:szCs w:val="20"/>
        </w:rPr>
        <w:t>. Such steps include</w:t>
      </w:r>
      <w:r w:rsidRPr="0034190F">
        <w:rPr>
          <w:rFonts w:ascii="Cambria" w:hAnsi="Cambria" w:cs="Verdana"/>
          <w:sz w:val="20"/>
          <w:szCs w:val="20"/>
        </w:rPr>
        <w:t>: identification of the victim</w:t>
      </w:r>
      <w:r w:rsidR="00692253" w:rsidRPr="0034190F">
        <w:rPr>
          <w:rFonts w:ascii="Cambria" w:hAnsi="Cambria" w:cs="Verdana"/>
          <w:sz w:val="20"/>
          <w:szCs w:val="20"/>
        </w:rPr>
        <w:t>;</w:t>
      </w:r>
      <w:r w:rsidRPr="0034190F">
        <w:rPr>
          <w:rFonts w:ascii="Cambria" w:hAnsi="Cambria" w:cs="Verdana"/>
          <w:sz w:val="20"/>
          <w:szCs w:val="20"/>
        </w:rPr>
        <w:t xml:space="preserve"> the collection and preservation of evidence related to the death to assist in the potential prosecution of those responsible</w:t>
      </w:r>
      <w:r w:rsidR="00692253" w:rsidRPr="0034190F">
        <w:rPr>
          <w:rFonts w:ascii="Cambria" w:hAnsi="Cambria" w:cs="Verdana"/>
          <w:sz w:val="20"/>
          <w:szCs w:val="20"/>
        </w:rPr>
        <w:t>;</w:t>
      </w:r>
      <w:r w:rsidRPr="0034190F">
        <w:rPr>
          <w:rFonts w:ascii="Cambria" w:hAnsi="Cambria" w:cs="Verdana"/>
          <w:sz w:val="20"/>
          <w:szCs w:val="20"/>
        </w:rPr>
        <w:t xml:space="preserve"> the identification of </w:t>
      </w:r>
      <w:r w:rsidR="00692253" w:rsidRPr="0034190F">
        <w:rPr>
          <w:rFonts w:ascii="Cambria" w:hAnsi="Cambria" w:cs="Verdana"/>
          <w:sz w:val="20"/>
          <w:szCs w:val="20"/>
        </w:rPr>
        <w:t>possible</w:t>
      </w:r>
      <w:r w:rsidRPr="0034190F">
        <w:rPr>
          <w:rFonts w:ascii="Cambria" w:hAnsi="Cambria" w:cs="Verdana"/>
          <w:sz w:val="20"/>
          <w:szCs w:val="20"/>
        </w:rPr>
        <w:t xml:space="preserve"> witnesses and the</w:t>
      </w:r>
      <w:r w:rsidR="00692253" w:rsidRPr="0034190F">
        <w:rPr>
          <w:rFonts w:ascii="Cambria" w:hAnsi="Cambria" w:cs="Verdana"/>
          <w:sz w:val="20"/>
          <w:szCs w:val="20"/>
        </w:rPr>
        <w:t xml:space="preserve"> taking of their statements related to the death; the determination of the cause, manner, place, and time of death, as well as any pattern</w:t>
      </w:r>
      <w:r w:rsidRPr="0034190F">
        <w:rPr>
          <w:rFonts w:ascii="Cambria" w:hAnsi="Cambria" w:cs="Verdana"/>
          <w:sz w:val="20"/>
          <w:szCs w:val="20"/>
        </w:rPr>
        <w:t xml:space="preserve"> </w:t>
      </w:r>
      <w:r w:rsidR="00692253" w:rsidRPr="0034190F">
        <w:rPr>
          <w:rFonts w:ascii="Cambria" w:hAnsi="Cambria" w:cs="Verdana"/>
          <w:sz w:val="20"/>
          <w:szCs w:val="20"/>
        </w:rPr>
        <w:t xml:space="preserve">or practice that may have </w:t>
      </w:r>
      <w:r w:rsidR="00F37363" w:rsidRPr="0034190F">
        <w:rPr>
          <w:rFonts w:ascii="Cambria" w:hAnsi="Cambria" w:cs="Verdana"/>
          <w:sz w:val="20"/>
          <w:szCs w:val="20"/>
        </w:rPr>
        <w:t xml:space="preserve">led to </w:t>
      </w:r>
      <w:r w:rsidR="00013803" w:rsidRPr="0034190F">
        <w:rPr>
          <w:rFonts w:ascii="Cambria" w:hAnsi="Cambria" w:cs="Verdana"/>
          <w:sz w:val="20"/>
          <w:szCs w:val="20"/>
        </w:rPr>
        <w:t>the death</w:t>
      </w:r>
      <w:r w:rsidR="00692253" w:rsidRPr="0034190F">
        <w:rPr>
          <w:rFonts w:ascii="Cambria" w:hAnsi="Cambria" w:cs="Verdana"/>
          <w:sz w:val="20"/>
          <w:szCs w:val="20"/>
        </w:rPr>
        <w:t xml:space="preserve">; the distinction between natural death, suicide, and homicide; the identification and arrest of the </w:t>
      </w:r>
      <w:r w:rsidR="00013803" w:rsidRPr="0034190F">
        <w:rPr>
          <w:rFonts w:ascii="Cambria" w:hAnsi="Cambria" w:cs="Verdana"/>
          <w:sz w:val="20"/>
          <w:szCs w:val="20"/>
        </w:rPr>
        <w:t>person or persons</w:t>
      </w:r>
      <w:r w:rsidR="00111A70" w:rsidRPr="0034190F">
        <w:rPr>
          <w:rFonts w:ascii="Cambria" w:hAnsi="Cambria" w:cs="Verdana"/>
          <w:sz w:val="20"/>
          <w:szCs w:val="20"/>
        </w:rPr>
        <w:t xml:space="preserve"> </w:t>
      </w:r>
      <w:r w:rsidR="00692253" w:rsidRPr="0034190F">
        <w:rPr>
          <w:rFonts w:ascii="Cambria" w:hAnsi="Cambria" w:cs="Verdana"/>
          <w:sz w:val="20"/>
          <w:szCs w:val="20"/>
        </w:rPr>
        <w:t>involved in the death; and the presentation of the alleged perpetrators before a competent court established by law.</w:t>
      </w:r>
      <w:r w:rsidR="0043505F" w:rsidRPr="0034190F">
        <w:rPr>
          <w:rStyle w:val="FootnoteReference"/>
          <w:rFonts w:ascii="Cambria" w:hAnsi="Cambria"/>
          <w:sz w:val="20"/>
          <w:szCs w:val="20"/>
        </w:rPr>
        <w:footnoteReference w:id="75"/>
      </w:r>
      <w:r w:rsidR="0043505F" w:rsidRPr="0034190F">
        <w:rPr>
          <w:rFonts w:ascii="Cambria" w:hAnsi="Cambria"/>
          <w:sz w:val="20"/>
          <w:szCs w:val="20"/>
        </w:rPr>
        <w:t xml:space="preserve"> </w:t>
      </w:r>
      <w:r w:rsidR="00692253" w:rsidRPr="0034190F">
        <w:rPr>
          <w:rFonts w:ascii="Cambria" w:hAnsi="Cambria"/>
          <w:sz w:val="20"/>
          <w:szCs w:val="20"/>
        </w:rPr>
        <w:t>As these standards state,</w:t>
      </w:r>
      <w:r w:rsidR="0043505F" w:rsidRPr="0034190F">
        <w:rPr>
          <w:rFonts w:ascii="Cambria" w:hAnsi="Cambria"/>
          <w:sz w:val="20"/>
          <w:szCs w:val="20"/>
        </w:rPr>
        <w:t xml:space="preserve"> </w:t>
      </w:r>
      <w:r w:rsidR="0043505F" w:rsidRPr="0034190F">
        <w:rPr>
          <w:rFonts w:ascii="Cambria" w:hAnsi="Cambria" w:cs="Verdana"/>
          <w:sz w:val="20"/>
          <w:szCs w:val="20"/>
        </w:rPr>
        <w:t>“</w:t>
      </w:r>
      <w:r w:rsidR="00692253" w:rsidRPr="0034190F">
        <w:rPr>
          <w:rFonts w:ascii="Cambria" w:hAnsi="Cambria" w:cs="Verdana"/>
          <w:sz w:val="20"/>
          <w:szCs w:val="20"/>
        </w:rPr>
        <w:t>When necessary, and subject to the consent of the individual(s) concerned, investigators should take steps to protect an interviewee and others from ill-treatment or intimidation as a consequence of providing information.</w:t>
      </w:r>
      <w:r w:rsidR="0043505F" w:rsidRPr="0034190F">
        <w:rPr>
          <w:rFonts w:ascii="Cambria" w:hAnsi="Cambria" w:cs="Verdana"/>
          <w:sz w:val="20"/>
          <w:szCs w:val="20"/>
        </w:rPr>
        <w:t>”</w:t>
      </w:r>
      <w:r w:rsidR="0043505F" w:rsidRPr="0034190F">
        <w:rPr>
          <w:rStyle w:val="FootnoteReference"/>
          <w:rFonts w:ascii="Cambria" w:hAnsi="Cambria" w:cs="Verdana"/>
          <w:sz w:val="20"/>
          <w:szCs w:val="20"/>
          <w:lang w:val="es-ES"/>
        </w:rPr>
        <w:footnoteReference w:id="76"/>
      </w:r>
      <w:r w:rsidR="0043505F" w:rsidRPr="0034190F">
        <w:rPr>
          <w:rFonts w:ascii="Cambria" w:hAnsi="Cambria" w:cs="Verdana"/>
          <w:sz w:val="20"/>
          <w:szCs w:val="20"/>
        </w:rPr>
        <w:t xml:space="preserve">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43505F" w:rsidRPr="0034190F" w:rsidRDefault="00380B4A"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The Commission has stated that the duty to provide grounds for a decision is a corollary of </w:t>
      </w:r>
      <w:r w:rsidR="00F37363" w:rsidRPr="0034190F">
        <w:rPr>
          <w:rFonts w:ascii="Cambria" w:hAnsi="Cambria"/>
          <w:sz w:val="20"/>
          <w:szCs w:val="20"/>
        </w:rPr>
        <w:t>due process</w:t>
      </w:r>
      <w:r w:rsidRPr="0034190F">
        <w:rPr>
          <w:rFonts w:ascii="Cambria" w:hAnsi="Cambria"/>
          <w:sz w:val="20"/>
          <w:szCs w:val="20"/>
        </w:rPr>
        <w:t xml:space="preserve"> guarantees, not only </w:t>
      </w:r>
      <w:r w:rsidR="00F37363" w:rsidRPr="0034190F">
        <w:rPr>
          <w:rFonts w:ascii="Cambria" w:hAnsi="Cambria"/>
          <w:sz w:val="20"/>
          <w:szCs w:val="20"/>
        </w:rPr>
        <w:t>in terms of</w:t>
      </w:r>
      <w:r w:rsidRPr="0034190F">
        <w:rPr>
          <w:rFonts w:ascii="Cambria" w:hAnsi="Cambria"/>
          <w:sz w:val="20"/>
          <w:szCs w:val="20"/>
        </w:rPr>
        <w:t xml:space="preserve"> the very legitimacy of the decision and the defense of the person accused, but also </w:t>
      </w:r>
      <w:r w:rsidR="00F37363" w:rsidRPr="0034190F">
        <w:rPr>
          <w:rFonts w:ascii="Cambria" w:hAnsi="Cambria"/>
          <w:sz w:val="20"/>
          <w:szCs w:val="20"/>
        </w:rPr>
        <w:t>in terms of</w:t>
      </w:r>
      <w:r w:rsidR="00396995" w:rsidRPr="0034190F">
        <w:rPr>
          <w:rFonts w:ascii="Cambria" w:hAnsi="Cambria"/>
          <w:sz w:val="20"/>
          <w:szCs w:val="20"/>
        </w:rPr>
        <w:t xml:space="preserve"> the expectation of</w:t>
      </w:r>
      <w:r w:rsidR="0043505F" w:rsidRPr="0034190F">
        <w:rPr>
          <w:rFonts w:ascii="Cambria" w:hAnsi="Cambria"/>
          <w:sz w:val="20"/>
          <w:szCs w:val="20"/>
        </w:rPr>
        <w:t xml:space="preserve"> </w:t>
      </w:r>
      <w:r w:rsidR="00EB0FE4" w:rsidRPr="0034190F">
        <w:rPr>
          <w:rFonts w:ascii="Cambria" w:hAnsi="Cambria"/>
          <w:sz w:val="20"/>
          <w:szCs w:val="20"/>
        </w:rPr>
        <w:t>a</w:t>
      </w:r>
      <w:r w:rsidR="00396995" w:rsidRPr="0034190F">
        <w:rPr>
          <w:rFonts w:ascii="Cambria" w:hAnsi="Cambria"/>
          <w:sz w:val="20"/>
          <w:szCs w:val="20"/>
        </w:rPr>
        <w:t>ccess to justice of victims whose rights have been violated. Moreover, the duty to provide grounds for decisions is a guarantee connected with the proper administration of justice; it also shows that the parties have been heard.</w:t>
      </w:r>
      <w:r w:rsidR="0043505F" w:rsidRPr="0034190F">
        <w:rPr>
          <w:rStyle w:val="FootnoteReference"/>
          <w:rFonts w:ascii="Cambria" w:hAnsi="Cambria"/>
          <w:sz w:val="20"/>
          <w:szCs w:val="20"/>
          <w:lang w:val="es-ES_tradnl"/>
        </w:rPr>
        <w:footnoteReference w:id="77"/>
      </w:r>
      <w:r w:rsidR="0043505F" w:rsidRPr="0034190F">
        <w:rPr>
          <w:rFonts w:ascii="Cambria" w:hAnsi="Cambria"/>
          <w:sz w:val="20"/>
          <w:szCs w:val="20"/>
        </w:rPr>
        <w:t xml:space="preserve"> </w:t>
      </w:r>
      <w:r w:rsidR="00633138" w:rsidRPr="0034190F">
        <w:rPr>
          <w:rFonts w:ascii="Cambria" w:hAnsi="Cambria"/>
          <w:sz w:val="20"/>
          <w:szCs w:val="20"/>
        </w:rPr>
        <w:t>In the same vein</w:t>
      </w:r>
      <w:r w:rsidR="00396995" w:rsidRPr="0034190F">
        <w:rPr>
          <w:rFonts w:ascii="Cambria" w:hAnsi="Cambria"/>
          <w:sz w:val="20"/>
          <w:szCs w:val="20"/>
        </w:rPr>
        <w:t xml:space="preserve">, the Inter-American Court has established that the duty to provide grounds is one of the “due guarantees” </w:t>
      </w:r>
      <w:r w:rsidR="00633138" w:rsidRPr="0034190F">
        <w:rPr>
          <w:rFonts w:ascii="Cambria" w:hAnsi="Cambria"/>
          <w:sz w:val="20"/>
          <w:szCs w:val="20"/>
        </w:rPr>
        <w:t>included</w:t>
      </w:r>
      <w:r w:rsidR="00396995" w:rsidRPr="0034190F">
        <w:rPr>
          <w:rFonts w:ascii="Cambria" w:hAnsi="Cambria"/>
          <w:sz w:val="20"/>
          <w:szCs w:val="20"/>
        </w:rPr>
        <w:t xml:space="preserve"> in Article 8.1 to safeguard the right to due process.</w:t>
      </w:r>
      <w:r w:rsidR="0043505F" w:rsidRPr="0034190F">
        <w:rPr>
          <w:rStyle w:val="FootnoteReference"/>
          <w:rFonts w:ascii="Cambria" w:hAnsi="Cambria"/>
          <w:sz w:val="20"/>
          <w:szCs w:val="20"/>
          <w:lang w:val="es-ES_tradnl"/>
        </w:rPr>
        <w:footnoteReference w:id="78"/>
      </w:r>
      <w:r w:rsidR="0043505F" w:rsidRPr="0034190F">
        <w:rPr>
          <w:rFonts w:ascii="Cambria" w:hAnsi="Cambria"/>
          <w:sz w:val="20"/>
          <w:szCs w:val="20"/>
        </w:rPr>
        <w:t xml:space="preserve"> </w:t>
      </w:r>
      <w:r w:rsidR="00396995" w:rsidRPr="0034190F">
        <w:rPr>
          <w:rFonts w:ascii="Cambria" w:hAnsi="Cambria"/>
          <w:sz w:val="20"/>
          <w:szCs w:val="20"/>
        </w:rPr>
        <w:t>In this regard</w:t>
      </w:r>
      <w:r w:rsidR="0043505F" w:rsidRPr="0034190F">
        <w:rPr>
          <w:rFonts w:ascii="Cambria" w:hAnsi="Cambria"/>
          <w:sz w:val="20"/>
          <w:szCs w:val="20"/>
        </w:rPr>
        <w:t xml:space="preserve">, </w:t>
      </w:r>
      <w:r w:rsidR="00396995" w:rsidRPr="0034190F">
        <w:rPr>
          <w:rFonts w:ascii="Cambria" w:hAnsi="Cambria"/>
          <w:sz w:val="20"/>
          <w:szCs w:val="20"/>
        </w:rPr>
        <w:t>the grounds</w:t>
      </w:r>
      <w:r w:rsidR="0043505F" w:rsidRPr="0034190F">
        <w:rPr>
          <w:rFonts w:ascii="Cambria" w:hAnsi="Cambria"/>
          <w:sz w:val="20"/>
          <w:szCs w:val="20"/>
        </w:rPr>
        <w:t xml:space="preserve"> “</w:t>
      </w:r>
      <w:r w:rsidR="00396995" w:rsidRPr="0034190F">
        <w:rPr>
          <w:rFonts w:ascii="Cambria" w:hAnsi="Cambria"/>
          <w:sz w:val="20"/>
          <w:szCs w:val="20"/>
        </w:rPr>
        <w:t xml:space="preserve">are the exteriorization of the reasoned justification that allows a conclusion to be reached” and </w:t>
      </w:r>
      <w:r w:rsidR="00004F7F" w:rsidRPr="0034190F">
        <w:rPr>
          <w:rFonts w:ascii="Cambria" w:hAnsi="Cambria"/>
          <w:sz w:val="20"/>
          <w:szCs w:val="20"/>
        </w:rPr>
        <w:t>include</w:t>
      </w:r>
      <w:r w:rsidR="00396995" w:rsidRPr="0034190F">
        <w:rPr>
          <w:rFonts w:ascii="Cambria" w:hAnsi="Cambria"/>
          <w:sz w:val="20"/>
          <w:szCs w:val="20"/>
        </w:rPr>
        <w:t xml:space="preserve"> an exposition of the rationale that led the judge to adopt a decision.</w:t>
      </w:r>
      <w:r w:rsidR="0043505F" w:rsidRPr="0034190F">
        <w:rPr>
          <w:rFonts w:ascii="Cambria" w:hAnsi="Cambria"/>
          <w:sz w:val="20"/>
          <w:szCs w:val="20"/>
        </w:rPr>
        <w:t xml:space="preserve"> </w:t>
      </w:r>
    </w:p>
    <w:p w:rsidR="0043505F" w:rsidRPr="0034190F" w:rsidRDefault="0043505F" w:rsidP="0043505F">
      <w:pPr>
        <w:rPr>
          <w:rFonts w:ascii="Cambria" w:hAnsi="Cambria"/>
          <w:sz w:val="20"/>
          <w:szCs w:val="20"/>
        </w:rPr>
      </w:pPr>
    </w:p>
    <w:p w:rsidR="0043505F" w:rsidRPr="0034190F" w:rsidRDefault="0083313D"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The Court has had the opportunity to </w:t>
      </w:r>
      <w:r w:rsidR="00720DF2" w:rsidRPr="0034190F">
        <w:rPr>
          <w:rFonts w:ascii="Cambria" w:hAnsi="Cambria"/>
          <w:sz w:val="20"/>
          <w:szCs w:val="20"/>
        </w:rPr>
        <w:t>address the subject of</w:t>
      </w:r>
      <w:r w:rsidR="00C02CAD" w:rsidRPr="0034190F">
        <w:rPr>
          <w:rFonts w:ascii="Cambria" w:hAnsi="Cambria"/>
          <w:sz w:val="20"/>
          <w:szCs w:val="20"/>
        </w:rPr>
        <w:t xml:space="preserve"> juries</w:t>
      </w:r>
      <w:r w:rsidR="00720DF2" w:rsidRPr="0034190F">
        <w:rPr>
          <w:rFonts w:ascii="Cambria" w:hAnsi="Cambria"/>
          <w:sz w:val="20"/>
          <w:szCs w:val="20"/>
        </w:rPr>
        <w:t xml:space="preserve"> and has</w:t>
      </w:r>
      <w:r w:rsidR="00C02CAD" w:rsidRPr="0034190F">
        <w:rPr>
          <w:rFonts w:ascii="Cambria" w:hAnsi="Cambria"/>
          <w:sz w:val="20"/>
          <w:szCs w:val="20"/>
        </w:rPr>
        <w:t xml:space="preserve"> establish</w:t>
      </w:r>
      <w:r w:rsidR="00720DF2" w:rsidRPr="0034190F">
        <w:rPr>
          <w:rFonts w:ascii="Cambria" w:hAnsi="Cambria"/>
          <w:sz w:val="20"/>
          <w:szCs w:val="20"/>
        </w:rPr>
        <w:t>ed</w:t>
      </w:r>
      <w:r w:rsidR="00C02CAD" w:rsidRPr="0034190F">
        <w:rPr>
          <w:rFonts w:ascii="Cambria" w:hAnsi="Cambria"/>
          <w:sz w:val="20"/>
          <w:szCs w:val="20"/>
        </w:rPr>
        <w:t xml:space="preserve"> that while</w:t>
      </w:r>
      <w:r w:rsidR="00720DF2" w:rsidRPr="0034190F">
        <w:rPr>
          <w:rFonts w:ascii="Cambria" w:hAnsi="Cambria"/>
          <w:sz w:val="20"/>
          <w:szCs w:val="20"/>
        </w:rPr>
        <w:t xml:space="preserve"> intimate conviction i</w:t>
      </w:r>
      <w:r w:rsidR="00C02CAD" w:rsidRPr="0034190F">
        <w:rPr>
          <w:rFonts w:ascii="Cambria" w:hAnsi="Cambria"/>
          <w:sz w:val="20"/>
          <w:szCs w:val="20"/>
        </w:rPr>
        <w:t>s not an arbitrary criterion</w:t>
      </w:r>
      <w:r w:rsidR="0025381E" w:rsidRPr="0034190F">
        <w:rPr>
          <w:rFonts w:ascii="Cambria" w:hAnsi="Cambria"/>
          <w:sz w:val="20"/>
          <w:szCs w:val="20"/>
        </w:rPr>
        <w:t xml:space="preserve"> for reaching a verdict</w:t>
      </w:r>
      <w:r w:rsidR="00C02CAD" w:rsidRPr="0034190F">
        <w:rPr>
          <w:rFonts w:ascii="Cambria" w:hAnsi="Cambria"/>
          <w:sz w:val="20"/>
          <w:szCs w:val="20"/>
        </w:rPr>
        <w:t xml:space="preserve">, </w:t>
      </w:r>
      <w:r w:rsidR="0025381E" w:rsidRPr="0034190F">
        <w:rPr>
          <w:rFonts w:ascii="Cambria" w:hAnsi="Cambria"/>
          <w:sz w:val="20"/>
          <w:szCs w:val="20"/>
        </w:rPr>
        <w:t>the</w:t>
      </w:r>
      <w:r w:rsidR="007D26EC" w:rsidRPr="0034190F">
        <w:rPr>
          <w:rFonts w:ascii="Cambria" w:hAnsi="Cambria"/>
          <w:sz w:val="20"/>
          <w:szCs w:val="20"/>
        </w:rPr>
        <w:t xml:space="preserve"> </w:t>
      </w:r>
      <w:r w:rsidR="00013803" w:rsidRPr="0034190F">
        <w:rPr>
          <w:rFonts w:ascii="Cambria" w:hAnsi="Cambria"/>
          <w:sz w:val="20"/>
          <w:szCs w:val="20"/>
        </w:rPr>
        <w:t xml:space="preserve">entire </w:t>
      </w:r>
      <w:r w:rsidR="007D26EC" w:rsidRPr="0034190F">
        <w:rPr>
          <w:rFonts w:ascii="Cambria" w:hAnsi="Cambria"/>
          <w:sz w:val="20"/>
          <w:szCs w:val="20"/>
        </w:rPr>
        <w:t>criminal proceeding should be examined</w:t>
      </w:r>
      <w:r w:rsidR="00013803" w:rsidRPr="0034190F">
        <w:rPr>
          <w:rFonts w:ascii="Cambria" w:hAnsi="Cambria"/>
          <w:sz w:val="20"/>
          <w:szCs w:val="20"/>
        </w:rPr>
        <w:t xml:space="preserve"> </w:t>
      </w:r>
      <w:r w:rsidR="007D26EC" w:rsidRPr="0034190F">
        <w:rPr>
          <w:rFonts w:ascii="Cambria" w:hAnsi="Cambria"/>
          <w:sz w:val="20"/>
          <w:szCs w:val="20"/>
        </w:rPr>
        <w:t xml:space="preserve">to see whether </w:t>
      </w:r>
      <w:r w:rsidR="0025381E" w:rsidRPr="0034190F">
        <w:rPr>
          <w:rFonts w:ascii="Cambria" w:hAnsi="Cambria"/>
          <w:sz w:val="20"/>
          <w:szCs w:val="20"/>
        </w:rPr>
        <w:t>it offered</w:t>
      </w:r>
      <w:r w:rsidR="007D26EC" w:rsidRPr="0034190F">
        <w:rPr>
          <w:rFonts w:ascii="Cambria" w:hAnsi="Cambria"/>
          <w:sz w:val="20"/>
          <w:szCs w:val="20"/>
        </w:rPr>
        <w:t xml:space="preserve"> safeguards against arbitrariness that allow the reasons for the verdict to be understood, not only </w:t>
      </w:r>
      <w:r w:rsidR="003417EA" w:rsidRPr="0034190F">
        <w:rPr>
          <w:rFonts w:ascii="Cambria" w:hAnsi="Cambria"/>
          <w:sz w:val="20"/>
          <w:szCs w:val="20"/>
        </w:rPr>
        <w:t xml:space="preserve">for </w:t>
      </w:r>
      <w:r w:rsidR="007D26EC" w:rsidRPr="0034190F">
        <w:rPr>
          <w:rFonts w:ascii="Cambria" w:hAnsi="Cambria"/>
          <w:sz w:val="20"/>
          <w:szCs w:val="20"/>
        </w:rPr>
        <w:t xml:space="preserve">the defendant but also </w:t>
      </w:r>
      <w:r w:rsidR="003417EA" w:rsidRPr="0034190F">
        <w:rPr>
          <w:rFonts w:ascii="Cambria" w:hAnsi="Cambria"/>
          <w:sz w:val="20"/>
          <w:szCs w:val="20"/>
        </w:rPr>
        <w:t xml:space="preserve">for </w:t>
      </w:r>
      <w:r w:rsidR="007D26EC" w:rsidRPr="0034190F">
        <w:rPr>
          <w:rFonts w:ascii="Cambria" w:hAnsi="Cambria"/>
          <w:sz w:val="20"/>
          <w:szCs w:val="20"/>
        </w:rPr>
        <w:t xml:space="preserve">the victim or the accuser. In this sense, “the need for the defendant and the victim of the crime or the accusing party to understand the reasons for the decision of guilt or innocence adopted by the jury in its verdict </w:t>
      </w:r>
      <w:r w:rsidR="003417EA" w:rsidRPr="0034190F">
        <w:rPr>
          <w:rFonts w:ascii="Cambria" w:hAnsi="Cambria"/>
          <w:sz w:val="20"/>
          <w:szCs w:val="20"/>
        </w:rPr>
        <w:t>remains in full force</w:t>
      </w:r>
      <w:r w:rsidR="007D26EC" w:rsidRPr="0034190F">
        <w:rPr>
          <w:rFonts w:ascii="Cambria" w:hAnsi="Cambria"/>
          <w:sz w:val="20"/>
          <w:szCs w:val="20"/>
        </w:rPr>
        <w:t xml:space="preserve"> as a guarantee against arbitrariness</w:t>
      </w:r>
      <w:r w:rsidR="0043505F" w:rsidRPr="0034190F">
        <w:rPr>
          <w:rFonts w:ascii="Cambria" w:hAnsi="Cambria"/>
          <w:sz w:val="20"/>
          <w:szCs w:val="20"/>
        </w:rPr>
        <w:t>.</w:t>
      </w:r>
      <w:r w:rsidR="007D26EC" w:rsidRPr="0034190F">
        <w:rPr>
          <w:rFonts w:ascii="Cambria" w:hAnsi="Cambria"/>
          <w:sz w:val="20"/>
          <w:szCs w:val="20"/>
        </w:rPr>
        <w:t>”</w:t>
      </w:r>
      <w:r w:rsidR="0043505F" w:rsidRPr="0034190F">
        <w:rPr>
          <w:rStyle w:val="FootnoteReference"/>
          <w:rFonts w:ascii="Cambria" w:hAnsi="Cambria"/>
          <w:sz w:val="20"/>
          <w:szCs w:val="20"/>
          <w:lang w:val="es-MX"/>
        </w:rPr>
        <w:footnoteReference w:id="79"/>
      </w:r>
      <w:r w:rsidR="0043505F" w:rsidRPr="0034190F">
        <w:rPr>
          <w:rFonts w:ascii="Cambria" w:hAnsi="Cambria"/>
          <w:sz w:val="20"/>
          <w:szCs w:val="20"/>
        </w:rPr>
        <w:t xml:space="preserve"> </w:t>
      </w:r>
      <w:r w:rsidR="00C252B8" w:rsidRPr="0034190F">
        <w:rPr>
          <w:rFonts w:ascii="Cambria" w:hAnsi="Cambria"/>
          <w:sz w:val="20"/>
          <w:szCs w:val="20"/>
        </w:rPr>
        <w:t>W</w:t>
      </w:r>
      <w:r w:rsidR="007D26EC" w:rsidRPr="0034190F">
        <w:rPr>
          <w:rFonts w:ascii="Cambria" w:hAnsi="Cambria"/>
          <w:sz w:val="20"/>
          <w:szCs w:val="20"/>
        </w:rPr>
        <w:t xml:space="preserve">hat is essential in these cases for the Court </w:t>
      </w:r>
      <w:r w:rsidR="002C615D" w:rsidRPr="0034190F">
        <w:rPr>
          <w:rFonts w:ascii="Cambria" w:hAnsi="Cambria"/>
          <w:sz w:val="20"/>
          <w:szCs w:val="20"/>
        </w:rPr>
        <w:t>is to determine</w:t>
      </w:r>
      <w:r w:rsidR="007D26EC" w:rsidRPr="0034190F">
        <w:rPr>
          <w:rFonts w:ascii="Cambria" w:hAnsi="Cambria"/>
          <w:sz w:val="20"/>
          <w:szCs w:val="20"/>
        </w:rPr>
        <w:t xml:space="preserve"> whether the proceedings in their entirety</w:t>
      </w:r>
      <w:r w:rsidR="00C252B8" w:rsidRPr="0034190F">
        <w:rPr>
          <w:rFonts w:ascii="Cambria" w:hAnsi="Cambria"/>
          <w:sz w:val="20"/>
          <w:szCs w:val="20"/>
        </w:rPr>
        <w:t xml:space="preserve"> offer sufficient guarantees against arbitrariness, so that the parties can understand the result of the process as a rational result of the evidence.</w:t>
      </w:r>
      <w:r w:rsidR="0043505F" w:rsidRPr="0034190F">
        <w:rPr>
          <w:rStyle w:val="FootnoteReference"/>
          <w:rFonts w:ascii="Cambria" w:hAnsi="Cambria"/>
          <w:sz w:val="20"/>
          <w:szCs w:val="20"/>
          <w:lang w:val="es-MX"/>
        </w:rPr>
        <w:footnoteReference w:id="80"/>
      </w:r>
    </w:p>
    <w:p w:rsidR="0043505F" w:rsidRPr="0034190F" w:rsidRDefault="0043505F" w:rsidP="0043505F">
      <w:pPr>
        <w:tabs>
          <w:tab w:val="left" w:pos="1440"/>
        </w:tabs>
        <w:ind w:left="630"/>
        <w:jc w:val="both"/>
        <w:rPr>
          <w:rFonts w:ascii="Cambria" w:hAnsi="Cambria"/>
          <w:sz w:val="20"/>
          <w:szCs w:val="20"/>
        </w:rPr>
      </w:pPr>
    </w:p>
    <w:p w:rsidR="0043505F" w:rsidRPr="0034190F" w:rsidRDefault="00C252B8"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Finally, the Inter-American Court has indicated that the right to due process of law must be ensured to migrants without discrimination of any kind, </w:t>
      </w:r>
      <w:r w:rsidR="00D61C4F" w:rsidRPr="0034190F">
        <w:rPr>
          <w:rFonts w:ascii="Cambria" w:hAnsi="Cambria"/>
          <w:sz w:val="20"/>
          <w:szCs w:val="20"/>
        </w:rPr>
        <w:t>irrespective</w:t>
      </w:r>
      <w:r w:rsidRPr="0034190F">
        <w:rPr>
          <w:rFonts w:ascii="Cambria" w:hAnsi="Cambria"/>
          <w:sz w:val="20"/>
          <w:szCs w:val="20"/>
        </w:rPr>
        <w:t xml:space="preserve"> of their migration status. This right must be </w:t>
      </w:r>
      <w:r w:rsidR="00D61C4F" w:rsidRPr="0034190F">
        <w:rPr>
          <w:rFonts w:ascii="Cambria" w:hAnsi="Cambria"/>
          <w:sz w:val="20"/>
          <w:szCs w:val="20"/>
        </w:rPr>
        <w:t xml:space="preserve">genuine and not </w:t>
      </w:r>
      <w:r w:rsidRPr="0034190F">
        <w:rPr>
          <w:rFonts w:ascii="Cambria" w:hAnsi="Cambria"/>
          <w:sz w:val="20"/>
          <w:szCs w:val="20"/>
        </w:rPr>
        <w:t>merely</w:t>
      </w:r>
      <w:r w:rsidR="00D61C4F" w:rsidRPr="0034190F">
        <w:rPr>
          <w:rFonts w:ascii="Cambria" w:hAnsi="Cambria"/>
          <w:sz w:val="20"/>
          <w:szCs w:val="20"/>
        </w:rPr>
        <w:t xml:space="preserve"> formal.</w:t>
      </w:r>
      <w:r w:rsidR="0043505F" w:rsidRPr="0034190F">
        <w:rPr>
          <w:rStyle w:val="FootnoteReference"/>
          <w:rFonts w:ascii="Cambria" w:hAnsi="Cambria"/>
          <w:sz w:val="20"/>
          <w:szCs w:val="20"/>
          <w:lang w:val="es-ES_tradnl"/>
        </w:rPr>
        <w:footnoteReference w:id="81"/>
      </w:r>
      <w:r w:rsidR="0043505F" w:rsidRPr="0034190F">
        <w:rPr>
          <w:rFonts w:ascii="Cambria" w:hAnsi="Cambria"/>
          <w:sz w:val="20"/>
          <w:szCs w:val="20"/>
        </w:rPr>
        <w:t xml:space="preserve"> </w:t>
      </w:r>
      <w:r w:rsidR="00D61C4F" w:rsidRPr="0034190F">
        <w:rPr>
          <w:rFonts w:ascii="Cambria" w:hAnsi="Cambria"/>
          <w:sz w:val="20"/>
          <w:szCs w:val="20"/>
        </w:rPr>
        <w:t xml:space="preserve">In its Advisory Opinion </w:t>
      </w:r>
      <w:r w:rsidR="0043505F" w:rsidRPr="0034190F">
        <w:rPr>
          <w:rFonts w:ascii="Cambria" w:hAnsi="Cambria"/>
          <w:sz w:val="20"/>
          <w:szCs w:val="20"/>
        </w:rPr>
        <w:t xml:space="preserve">18/03, </w:t>
      </w:r>
      <w:r w:rsidR="00D61C4F" w:rsidRPr="0034190F">
        <w:rPr>
          <w:rFonts w:ascii="Cambria" w:hAnsi="Cambria"/>
          <w:sz w:val="20"/>
          <w:szCs w:val="20"/>
        </w:rPr>
        <w:t xml:space="preserve">the Inter-American Court established that migrants are in a vulnerable situation as subjects of human rights; they are in an individual situation of </w:t>
      </w:r>
      <w:r w:rsidR="00D61C4F" w:rsidRPr="0034190F">
        <w:rPr>
          <w:rFonts w:ascii="Cambria" w:hAnsi="Cambria"/>
          <w:sz w:val="20"/>
          <w:szCs w:val="20"/>
        </w:rPr>
        <w:lastRenderedPageBreak/>
        <w:t>absence or difference of power with regard to non-migrants (nationals or residents).</w:t>
      </w:r>
      <w:r w:rsidR="0043505F" w:rsidRPr="0034190F">
        <w:rPr>
          <w:rStyle w:val="FootnoteReference"/>
          <w:rFonts w:ascii="Cambria" w:hAnsi="Cambria"/>
          <w:sz w:val="20"/>
          <w:szCs w:val="20"/>
          <w:lang w:val="es-ES_tradnl"/>
        </w:rPr>
        <w:footnoteReference w:id="82"/>
      </w:r>
      <w:r w:rsidR="0043505F" w:rsidRPr="0034190F">
        <w:rPr>
          <w:rFonts w:ascii="Cambria" w:hAnsi="Cambria"/>
          <w:sz w:val="20"/>
          <w:szCs w:val="20"/>
        </w:rPr>
        <w:t xml:space="preserve"> </w:t>
      </w:r>
      <w:r w:rsidR="00D61C4F" w:rsidRPr="0034190F">
        <w:rPr>
          <w:rFonts w:ascii="Cambria" w:hAnsi="Cambria"/>
          <w:sz w:val="20"/>
          <w:szCs w:val="20"/>
        </w:rPr>
        <w:t>This implies that in some cases States must take affirmative action to reverse or change discriminatory situations</w:t>
      </w:r>
      <w:r w:rsidR="002C615D" w:rsidRPr="0034190F">
        <w:rPr>
          <w:rFonts w:ascii="Cambria" w:hAnsi="Cambria"/>
          <w:sz w:val="20"/>
          <w:szCs w:val="20"/>
        </w:rPr>
        <w:t>.</w:t>
      </w:r>
      <w:r w:rsidR="0043505F" w:rsidRPr="0034190F">
        <w:rPr>
          <w:rStyle w:val="FootnoteReference"/>
          <w:rFonts w:ascii="Cambria" w:hAnsi="Cambria"/>
          <w:sz w:val="20"/>
          <w:szCs w:val="20"/>
          <w:lang w:val="es-ES_tradnl"/>
        </w:rPr>
        <w:footnoteReference w:id="83"/>
      </w:r>
    </w:p>
    <w:p w:rsidR="0043505F" w:rsidRPr="0034190F" w:rsidRDefault="0043505F" w:rsidP="0043505F">
      <w:pPr>
        <w:pStyle w:val="ListParagraph"/>
        <w:rPr>
          <w:color w:val="auto"/>
          <w:sz w:val="20"/>
          <w:szCs w:val="20"/>
        </w:rPr>
      </w:pPr>
    </w:p>
    <w:p w:rsidR="0043505F" w:rsidRPr="0034190F" w:rsidRDefault="00126914" w:rsidP="0043505F">
      <w:pPr>
        <w:pStyle w:val="ListParagraph"/>
        <w:numPr>
          <w:ilvl w:val="0"/>
          <w:numId w:val="111"/>
        </w:numPr>
        <w:ind w:left="1440" w:hanging="720"/>
        <w:rPr>
          <w:b/>
          <w:color w:val="auto"/>
          <w:sz w:val="20"/>
          <w:szCs w:val="20"/>
          <w:lang w:val="es-ES_tradnl"/>
        </w:rPr>
      </w:pPr>
      <w:r w:rsidRPr="0034190F">
        <w:rPr>
          <w:b/>
          <w:color w:val="auto"/>
          <w:sz w:val="20"/>
          <w:szCs w:val="20"/>
          <w:lang w:val="es-ES_tradnl"/>
        </w:rPr>
        <w:t>Analysis of the case</w:t>
      </w:r>
    </w:p>
    <w:p w:rsidR="0043505F" w:rsidRPr="0034190F" w:rsidRDefault="0043505F" w:rsidP="0043505F">
      <w:pPr>
        <w:pStyle w:val="ListParagraph"/>
        <w:rPr>
          <w:color w:val="auto"/>
          <w:sz w:val="20"/>
          <w:szCs w:val="20"/>
          <w:lang w:val="es-ES_tradnl"/>
        </w:rPr>
      </w:pPr>
    </w:p>
    <w:p w:rsidR="0043505F" w:rsidRPr="0034190F" w:rsidRDefault="00126914"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In this case, the investigation began after the events of April 14, 1996, and ended</w:t>
      </w:r>
      <w:r w:rsidR="002C615D" w:rsidRPr="0034190F">
        <w:rPr>
          <w:rFonts w:ascii="Cambria" w:hAnsi="Cambria"/>
          <w:sz w:val="20"/>
          <w:szCs w:val="20"/>
        </w:rPr>
        <w:t xml:space="preserve"> </w:t>
      </w:r>
      <w:r w:rsidRPr="0034190F">
        <w:rPr>
          <w:rFonts w:ascii="Cambria" w:hAnsi="Cambria"/>
          <w:sz w:val="20"/>
          <w:szCs w:val="20"/>
        </w:rPr>
        <w:t xml:space="preserve">on February </w:t>
      </w:r>
      <w:r w:rsidR="0043505F" w:rsidRPr="0034190F">
        <w:rPr>
          <w:rFonts w:ascii="Cambria" w:hAnsi="Cambria"/>
          <w:sz w:val="20"/>
          <w:szCs w:val="20"/>
        </w:rPr>
        <w:t>24</w:t>
      </w:r>
      <w:r w:rsidRPr="0034190F">
        <w:rPr>
          <w:rFonts w:ascii="Cambria" w:hAnsi="Cambria"/>
          <w:sz w:val="20"/>
          <w:szCs w:val="20"/>
        </w:rPr>
        <w:t xml:space="preserve">, </w:t>
      </w:r>
      <w:r w:rsidR="0043505F" w:rsidRPr="0034190F">
        <w:rPr>
          <w:rFonts w:ascii="Cambria" w:hAnsi="Cambria"/>
          <w:sz w:val="20"/>
          <w:szCs w:val="20"/>
        </w:rPr>
        <w:t>1997</w:t>
      </w:r>
      <w:r w:rsidRPr="0034190F">
        <w:rPr>
          <w:rFonts w:ascii="Cambria" w:hAnsi="Cambria"/>
          <w:sz w:val="20"/>
          <w:szCs w:val="20"/>
        </w:rPr>
        <w:t xml:space="preserve">, with a verdict and acquittal in sole instance. </w:t>
      </w:r>
      <w:r w:rsidR="008F387B" w:rsidRPr="0034190F">
        <w:rPr>
          <w:rFonts w:ascii="Cambria" w:hAnsi="Cambria"/>
          <w:sz w:val="20"/>
          <w:szCs w:val="20"/>
        </w:rPr>
        <w:t>With respect to the</w:t>
      </w:r>
      <w:r w:rsidR="00130089" w:rsidRPr="0034190F">
        <w:rPr>
          <w:rFonts w:ascii="Cambria" w:hAnsi="Cambria"/>
          <w:sz w:val="20"/>
          <w:szCs w:val="20"/>
        </w:rPr>
        <w:t xml:space="preserve"> gathering of evidence </w:t>
      </w:r>
      <w:r w:rsidRPr="0034190F">
        <w:rPr>
          <w:rFonts w:ascii="Cambria" w:hAnsi="Cambria"/>
          <w:sz w:val="20"/>
          <w:szCs w:val="20"/>
        </w:rPr>
        <w:t>in this case,</w:t>
      </w:r>
      <w:r w:rsidR="008F387B" w:rsidRPr="0034190F">
        <w:rPr>
          <w:rFonts w:ascii="Cambria" w:hAnsi="Cambria"/>
          <w:sz w:val="20"/>
          <w:szCs w:val="20"/>
        </w:rPr>
        <w:t xml:space="preserve"> covered in the section on findings of facts, </w:t>
      </w:r>
      <w:r w:rsidRPr="0034190F">
        <w:rPr>
          <w:rFonts w:ascii="Cambria" w:hAnsi="Cambria"/>
          <w:sz w:val="20"/>
          <w:szCs w:val="20"/>
        </w:rPr>
        <w:t xml:space="preserve">the IACHR does not have the elements </w:t>
      </w:r>
      <w:r w:rsidR="008A44BF" w:rsidRPr="0034190F">
        <w:rPr>
          <w:rFonts w:ascii="Cambria" w:hAnsi="Cambria"/>
          <w:sz w:val="20"/>
          <w:szCs w:val="20"/>
        </w:rPr>
        <w:t xml:space="preserve">available </w:t>
      </w:r>
      <w:r w:rsidRPr="0034190F">
        <w:rPr>
          <w:rFonts w:ascii="Cambria" w:hAnsi="Cambria"/>
          <w:sz w:val="20"/>
          <w:szCs w:val="20"/>
        </w:rPr>
        <w:t xml:space="preserve">to determine </w:t>
      </w:r>
      <w:r w:rsidR="008F387B" w:rsidRPr="0034190F">
        <w:rPr>
          <w:rFonts w:ascii="Cambria" w:hAnsi="Cambria"/>
          <w:sz w:val="20"/>
          <w:szCs w:val="20"/>
        </w:rPr>
        <w:t>whether there was a failure</w:t>
      </w:r>
      <w:r w:rsidR="00956134" w:rsidRPr="0034190F">
        <w:rPr>
          <w:rFonts w:ascii="Cambria" w:hAnsi="Cambria"/>
          <w:sz w:val="20"/>
          <w:szCs w:val="20"/>
        </w:rPr>
        <w:t xml:space="preserve"> to meet </w:t>
      </w:r>
      <w:r w:rsidR="008F387B" w:rsidRPr="0034190F">
        <w:rPr>
          <w:rFonts w:ascii="Cambria" w:hAnsi="Cambria"/>
          <w:sz w:val="20"/>
          <w:szCs w:val="20"/>
        </w:rPr>
        <w:t>an</w:t>
      </w:r>
      <w:r w:rsidRPr="0034190F">
        <w:rPr>
          <w:rFonts w:ascii="Cambria" w:hAnsi="Cambria"/>
          <w:sz w:val="20"/>
          <w:szCs w:val="20"/>
        </w:rPr>
        <w:t xml:space="preserve"> </w:t>
      </w:r>
      <w:r w:rsidR="00956134" w:rsidRPr="0034190F">
        <w:rPr>
          <w:rFonts w:ascii="Cambria" w:hAnsi="Cambria"/>
          <w:sz w:val="20"/>
          <w:szCs w:val="20"/>
        </w:rPr>
        <w:t>obligation of</w:t>
      </w:r>
      <w:r w:rsidRPr="0034190F">
        <w:rPr>
          <w:rFonts w:ascii="Cambria" w:hAnsi="Cambria"/>
          <w:sz w:val="20"/>
          <w:szCs w:val="20"/>
        </w:rPr>
        <w:t xml:space="preserve"> due diligence</w:t>
      </w:r>
      <w:r w:rsidR="0043505F" w:rsidRPr="0034190F">
        <w:rPr>
          <w:rFonts w:ascii="Cambria" w:hAnsi="Cambria"/>
          <w:sz w:val="20"/>
          <w:szCs w:val="20"/>
        </w:rPr>
        <w:t>.</w:t>
      </w:r>
      <w:r w:rsidRPr="0034190F">
        <w:rPr>
          <w:rFonts w:ascii="Cambria" w:hAnsi="Cambria"/>
          <w:sz w:val="20"/>
          <w:szCs w:val="20"/>
        </w:rPr>
        <w:t xml:space="preserve">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43505F" w:rsidRPr="0034190F" w:rsidRDefault="008A44BF"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Nevertheless</w:t>
      </w:r>
      <w:r w:rsidR="0043505F" w:rsidRPr="0034190F">
        <w:rPr>
          <w:rFonts w:ascii="Cambria" w:hAnsi="Cambria"/>
          <w:sz w:val="20"/>
          <w:szCs w:val="20"/>
        </w:rPr>
        <w:t xml:space="preserve">, </w:t>
      </w:r>
      <w:r w:rsidR="00126914" w:rsidRPr="0034190F">
        <w:rPr>
          <w:rFonts w:ascii="Cambria" w:hAnsi="Cambria"/>
          <w:sz w:val="20"/>
          <w:szCs w:val="20"/>
        </w:rPr>
        <w:t xml:space="preserve">the Commission observes that </w:t>
      </w:r>
      <w:r w:rsidR="006518C2" w:rsidRPr="0034190F">
        <w:rPr>
          <w:rFonts w:ascii="Cambria" w:hAnsi="Cambria"/>
          <w:sz w:val="20"/>
          <w:szCs w:val="20"/>
        </w:rPr>
        <w:t xml:space="preserve">given the total absence of grounds for the verdict and acquittal, it is not </w:t>
      </w:r>
      <w:r w:rsidR="00E12A2B" w:rsidRPr="0034190F">
        <w:rPr>
          <w:rFonts w:ascii="Cambria" w:hAnsi="Cambria"/>
          <w:sz w:val="20"/>
          <w:szCs w:val="20"/>
        </w:rPr>
        <w:t>possible</w:t>
      </w:r>
      <w:r w:rsidR="006518C2" w:rsidRPr="0034190F">
        <w:rPr>
          <w:rFonts w:ascii="Cambria" w:hAnsi="Cambria"/>
          <w:sz w:val="20"/>
          <w:szCs w:val="20"/>
        </w:rPr>
        <w:t xml:space="preserve"> to establish whether the proceedings as well as the final determination </w:t>
      </w:r>
      <w:r w:rsidRPr="0034190F">
        <w:rPr>
          <w:rFonts w:ascii="Cambria" w:hAnsi="Cambria"/>
          <w:sz w:val="20"/>
          <w:szCs w:val="20"/>
        </w:rPr>
        <w:t xml:space="preserve">aimed to </w:t>
      </w:r>
      <w:r w:rsidR="006518C2" w:rsidRPr="0034190F">
        <w:rPr>
          <w:rFonts w:ascii="Cambria" w:hAnsi="Cambria"/>
          <w:sz w:val="20"/>
          <w:szCs w:val="20"/>
        </w:rPr>
        <w:t xml:space="preserve">establish whether the use of lethal force was legitimate </w:t>
      </w:r>
      <w:r w:rsidRPr="0034190F">
        <w:rPr>
          <w:rFonts w:ascii="Cambria" w:hAnsi="Cambria"/>
          <w:sz w:val="20"/>
          <w:szCs w:val="20"/>
        </w:rPr>
        <w:t>by</w:t>
      </w:r>
      <w:r w:rsidR="006518C2" w:rsidRPr="0034190F">
        <w:rPr>
          <w:rFonts w:ascii="Cambria" w:hAnsi="Cambria"/>
          <w:sz w:val="20"/>
          <w:szCs w:val="20"/>
        </w:rPr>
        <w:t xml:space="preserve"> the standards of legitimate </w:t>
      </w:r>
      <w:r w:rsidRPr="0034190F">
        <w:rPr>
          <w:rFonts w:ascii="Cambria" w:hAnsi="Cambria"/>
          <w:sz w:val="20"/>
          <w:szCs w:val="20"/>
        </w:rPr>
        <w:t>purpose</w:t>
      </w:r>
      <w:r w:rsidR="006518C2" w:rsidRPr="0034190F">
        <w:rPr>
          <w:rFonts w:ascii="Cambria" w:hAnsi="Cambria"/>
          <w:sz w:val="20"/>
          <w:szCs w:val="20"/>
        </w:rPr>
        <w:t xml:space="preserve">, necessity, and proportionality examined above. To the contrary, it is clear from the conclusions established in the prior section that the </w:t>
      </w:r>
      <w:r w:rsidRPr="0034190F">
        <w:rPr>
          <w:rFonts w:ascii="Cambria" w:hAnsi="Cambria"/>
          <w:sz w:val="20"/>
          <w:szCs w:val="20"/>
        </w:rPr>
        <w:t>individuals</w:t>
      </w:r>
      <w:r w:rsidR="006518C2" w:rsidRPr="0034190F">
        <w:rPr>
          <w:rFonts w:ascii="Cambria" w:hAnsi="Cambria"/>
          <w:sz w:val="20"/>
          <w:szCs w:val="20"/>
        </w:rPr>
        <w:t xml:space="preserve"> in the van did not pose a risk to the lives of the police officers or others</w:t>
      </w:r>
      <w:r w:rsidR="0043505F" w:rsidRPr="0034190F">
        <w:rPr>
          <w:rFonts w:ascii="Cambria" w:hAnsi="Cambria"/>
          <w:sz w:val="20"/>
          <w:szCs w:val="20"/>
        </w:rPr>
        <w:t xml:space="preserve">. </w:t>
      </w:r>
      <w:r w:rsidR="006518C2" w:rsidRPr="0034190F">
        <w:rPr>
          <w:rFonts w:ascii="Cambria" w:hAnsi="Cambria"/>
          <w:sz w:val="20"/>
          <w:szCs w:val="20"/>
        </w:rPr>
        <w:t>Given the absence of grounds</w:t>
      </w:r>
      <w:r w:rsidRPr="0034190F">
        <w:rPr>
          <w:rFonts w:ascii="Cambria" w:hAnsi="Cambria"/>
          <w:sz w:val="20"/>
          <w:szCs w:val="20"/>
        </w:rPr>
        <w:t xml:space="preserve"> for the verdict</w:t>
      </w:r>
      <w:r w:rsidR="006518C2" w:rsidRPr="0034190F">
        <w:rPr>
          <w:rFonts w:ascii="Cambria" w:hAnsi="Cambria"/>
          <w:sz w:val="20"/>
          <w:szCs w:val="20"/>
        </w:rPr>
        <w:t xml:space="preserve">, the Commission rightly infers that such fundamental </w:t>
      </w:r>
      <w:r w:rsidRPr="0034190F">
        <w:rPr>
          <w:rFonts w:ascii="Cambria" w:hAnsi="Cambria"/>
          <w:sz w:val="20"/>
          <w:szCs w:val="20"/>
        </w:rPr>
        <w:t>valuations</w:t>
      </w:r>
      <w:r w:rsidR="006518C2" w:rsidRPr="0034190F">
        <w:rPr>
          <w:rFonts w:ascii="Cambria" w:hAnsi="Cambria"/>
          <w:sz w:val="20"/>
          <w:szCs w:val="20"/>
        </w:rPr>
        <w:t xml:space="preserve"> under international standards </w:t>
      </w:r>
      <w:r w:rsidRPr="0034190F">
        <w:rPr>
          <w:rFonts w:ascii="Cambria" w:hAnsi="Cambria"/>
          <w:sz w:val="20"/>
          <w:szCs w:val="20"/>
        </w:rPr>
        <w:t>on</w:t>
      </w:r>
      <w:r w:rsidR="006518C2" w:rsidRPr="0034190F">
        <w:rPr>
          <w:rFonts w:ascii="Cambria" w:hAnsi="Cambria"/>
          <w:sz w:val="20"/>
          <w:szCs w:val="20"/>
        </w:rPr>
        <w:t xml:space="preserve"> use of force were not </w:t>
      </w:r>
      <w:r w:rsidRPr="0034190F">
        <w:rPr>
          <w:rFonts w:ascii="Cambria" w:hAnsi="Cambria"/>
          <w:sz w:val="20"/>
          <w:szCs w:val="20"/>
        </w:rPr>
        <w:t>considered</w:t>
      </w:r>
      <w:r w:rsidR="006518C2" w:rsidRPr="0034190F">
        <w:rPr>
          <w:rFonts w:ascii="Cambria" w:hAnsi="Cambria"/>
          <w:sz w:val="20"/>
          <w:szCs w:val="20"/>
        </w:rPr>
        <w:t xml:space="preserve"> in determining the defendants’ criminal responsibility</w:t>
      </w:r>
      <w:r w:rsidR="0043505F" w:rsidRPr="0034190F">
        <w:rPr>
          <w:rFonts w:ascii="Cambria" w:hAnsi="Cambria"/>
          <w:sz w:val="20"/>
          <w:szCs w:val="20"/>
        </w:rPr>
        <w:t xml:space="preserve">. </w:t>
      </w:r>
      <w:r w:rsidR="006518C2" w:rsidRPr="0034190F">
        <w:rPr>
          <w:rFonts w:ascii="Cambria" w:hAnsi="Cambria"/>
          <w:sz w:val="20"/>
          <w:szCs w:val="20"/>
        </w:rPr>
        <w:t xml:space="preserve">In this case, it is reasonable to conclude that the verdict that </w:t>
      </w:r>
      <w:r w:rsidR="00B7497F" w:rsidRPr="0034190F">
        <w:rPr>
          <w:rFonts w:ascii="Cambria" w:hAnsi="Cambria"/>
          <w:sz w:val="20"/>
          <w:szCs w:val="20"/>
        </w:rPr>
        <w:t>rejected</w:t>
      </w:r>
      <w:r w:rsidR="006518C2" w:rsidRPr="0034190F">
        <w:rPr>
          <w:rFonts w:ascii="Cambria" w:hAnsi="Cambria"/>
          <w:sz w:val="20"/>
          <w:szCs w:val="20"/>
        </w:rPr>
        <w:t xml:space="preserve"> the </w:t>
      </w:r>
      <w:r w:rsidR="00B7497F" w:rsidRPr="0034190F">
        <w:rPr>
          <w:rFonts w:ascii="Cambria" w:hAnsi="Cambria"/>
          <w:sz w:val="20"/>
          <w:szCs w:val="20"/>
        </w:rPr>
        <w:t xml:space="preserve">defendants’ </w:t>
      </w:r>
      <w:r w:rsidR="006518C2" w:rsidRPr="0034190F">
        <w:rPr>
          <w:rFonts w:ascii="Cambria" w:hAnsi="Cambria"/>
          <w:sz w:val="20"/>
          <w:szCs w:val="20"/>
        </w:rPr>
        <w:t>guilt</w:t>
      </w:r>
      <w:r w:rsidR="00B7497F" w:rsidRPr="0034190F">
        <w:rPr>
          <w:rFonts w:ascii="Cambria" w:hAnsi="Cambria"/>
          <w:sz w:val="20"/>
          <w:szCs w:val="20"/>
        </w:rPr>
        <w:t xml:space="preserve"> </w:t>
      </w:r>
      <w:r w:rsidR="006518C2" w:rsidRPr="0034190F">
        <w:rPr>
          <w:rFonts w:ascii="Cambria" w:hAnsi="Cambria"/>
          <w:sz w:val="20"/>
          <w:szCs w:val="20"/>
        </w:rPr>
        <w:t xml:space="preserve">could not have been </w:t>
      </w:r>
      <w:r w:rsidRPr="0034190F">
        <w:rPr>
          <w:rFonts w:ascii="Cambria" w:hAnsi="Cambria"/>
          <w:sz w:val="20"/>
          <w:szCs w:val="20"/>
        </w:rPr>
        <w:t>predicted</w:t>
      </w:r>
      <w:r w:rsidR="006518C2" w:rsidRPr="0034190F">
        <w:rPr>
          <w:rFonts w:ascii="Cambria" w:hAnsi="Cambria"/>
          <w:sz w:val="20"/>
          <w:szCs w:val="20"/>
        </w:rPr>
        <w:t xml:space="preserve"> by the victims, as it showed no correlation with the events</w:t>
      </w:r>
      <w:r w:rsidR="00471DAE" w:rsidRPr="0034190F">
        <w:rPr>
          <w:rFonts w:ascii="Cambria" w:hAnsi="Cambria"/>
          <w:sz w:val="20"/>
          <w:szCs w:val="20"/>
        </w:rPr>
        <w:t xml:space="preserve"> in question</w:t>
      </w:r>
      <w:r w:rsidR="006518C2" w:rsidRPr="0034190F">
        <w:rPr>
          <w:rFonts w:ascii="Cambria" w:hAnsi="Cambria"/>
          <w:sz w:val="20"/>
          <w:szCs w:val="20"/>
        </w:rPr>
        <w:t>, the elements of proof in the accusation, and the evidence received in the domestic proceedings.</w:t>
      </w:r>
      <w:r w:rsidR="0043505F" w:rsidRPr="0034190F">
        <w:rPr>
          <w:rStyle w:val="FootnoteReference"/>
          <w:rFonts w:ascii="Cambria" w:hAnsi="Cambria"/>
          <w:sz w:val="20"/>
          <w:szCs w:val="20"/>
          <w:lang w:val="es-MX"/>
        </w:rPr>
        <w:footnoteReference w:id="84"/>
      </w:r>
      <w:r w:rsidR="0043505F" w:rsidRPr="0034190F">
        <w:rPr>
          <w:rFonts w:ascii="Cambria" w:hAnsi="Cambria"/>
          <w:sz w:val="20"/>
          <w:szCs w:val="20"/>
        </w:rPr>
        <w:t xml:space="preserve">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43505F" w:rsidRPr="0034190F" w:rsidRDefault="006518C2"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Thus, the absence of grounds for the verdict not only implied that the State </w:t>
      </w:r>
      <w:r w:rsidR="00471DAE" w:rsidRPr="0034190F">
        <w:rPr>
          <w:rFonts w:ascii="Cambria" w:hAnsi="Cambria"/>
          <w:sz w:val="20"/>
          <w:szCs w:val="20"/>
        </w:rPr>
        <w:t>failed</w:t>
      </w:r>
      <w:r w:rsidRPr="0034190F">
        <w:rPr>
          <w:rFonts w:ascii="Cambria" w:hAnsi="Cambria"/>
          <w:sz w:val="20"/>
          <w:szCs w:val="20"/>
        </w:rPr>
        <w:t xml:space="preserve"> to offer a satisfactory explanation regarding the use of lethal force, as it should have, but that this </w:t>
      </w:r>
      <w:r w:rsidR="00471DAE" w:rsidRPr="0034190F">
        <w:rPr>
          <w:rFonts w:ascii="Cambria" w:hAnsi="Cambria"/>
          <w:sz w:val="20"/>
          <w:szCs w:val="20"/>
        </w:rPr>
        <w:t xml:space="preserve">also </w:t>
      </w:r>
      <w:r w:rsidRPr="0034190F">
        <w:rPr>
          <w:rFonts w:ascii="Cambria" w:hAnsi="Cambria"/>
          <w:sz w:val="20"/>
          <w:szCs w:val="20"/>
        </w:rPr>
        <w:t xml:space="preserve">constituted a source of denial of justice for </w:t>
      </w:r>
      <w:r w:rsidR="0043505F" w:rsidRPr="0034190F">
        <w:rPr>
          <w:rFonts w:ascii="Cambria" w:hAnsi="Cambria"/>
          <w:sz w:val="20"/>
          <w:szCs w:val="20"/>
        </w:rPr>
        <w:t>Patricio Roche Azaña</w:t>
      </w:r>
      <w:r w:rsidRPr="0034190F">
        <w:rPr>
          <w:rFonts w:ascii="Cambria" w:hAnsi="Cambria"/>
          <w:sz w:val="20"/>
          <w:szCs w:val="20"/>
        </w:rPr>
        <w:t xml:space="preserve"> and his mother and father. </w:t>
      </w:r>
      <w:r w:rsidR="0043505F" w:rsidRPr="0034190F">
        <w:rPr>
          <w:rFonts w:ascii="Cambria" w:hAnsi="Cambria"/>
          <w:sz w:val="20"/>
          <w:szCs w:val="20"/>
        </w:rPr>
        <w:t xml:space="preserve">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43505F" w:rsidRPr="0034190F" w:rsidRDefault="006711CA"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 xml:space="preserve">In terms of </w:t>
      </w:r>
      <w:r w:rsidR="00471DAE" w:rsidRPr="0034190F">
        <w:rPr>
          <w:rFonts w:ascii="Cambria" w:hAnsi="Cambria"/>
          <w:sz w:val="20"/>
          <w:szCs w:val="20"/>
        </w:rPr>
        <w:t xml:space="preserve">the victims and their next of kin </w:t>
      </w:r>
      <w:r w:rsidRPr="0034190F">
        <w:rPr>
          <w:rFonts w:ascii="Cambria" w:hAnsi="Cambria"/>
          <w:sz w:val="20"/>
          <w:szCs w:val="20"/>
        </w:rPr>
        <w:t>being sufficiently and adequately</w:t>
      </w:r>
      <w:r w:rsidR="00471DAE" w:rsidRPr="0034190F">
        <w:rPr>
          <w:rFonts w:ascii="Cambria" w:hAnsi="Cambria"/>
          <w:sz w:val="20"/>
          <w:szCs w:val="20"/>
        </w:rPr>
        <w:t xml:space="preserve"> heard in a criminal proceeding related to human rights violations, the Commission observes that Nicaraguan legislation itself established that it was </w:t>
      </w:r>
      <w:r w:rsidR="00490F2C" w:rsidRPr="0034190F">
        <w:rPr>
          <w:rFonts w:ascii="Cambria" w:hAnsi="Cambria"/>
          <w:sz w:val="20"/>
          <w:szCs w:val="20"/>
        </w:rPr>
        <w:t>impossible</w:t>
      </w:r>
      <w:r w:rsidR="00471DAE" w:rsidRPr="0034190F">
        <w:rPr>
          <w:rFonts w:ascii="Cambria" w:hAnsi="Cambria"/>
          <w:sz w:val="20"/>
          <w:szCs w:val="20"/>
        </w:rPr>
        <w:t xml:space="preserve"> to appeal the Jury Court verdict, and therefore the proceeding did not offer sufficient guarantees to scrutinize the decision and ensure that it was not arbitrary and did not violate those individuals’ right to a fair trial and to judicial protection</w:t>
      </w:r>
      <w:r w:rsidR="00490F2C" w:rsidRPr="0034190F">
        <w:rPr>
          <w:rFonts w:ascii="Cambria" w:hAnsi="Cambria"/>
          <w:sz w:val="20"/>
          <w:szCs w:val="20"/>
        </w:rPr>
        <w:t>.</w:t>
      </w:r>
    </w:p>
    <w:p w:rsidR="0043505F" w:rsidRPr="0034190F" w:rsidRDefault="0043505F" w:rsidP="0043505F">
      <w:pPr>
        <w:pStyle w:val="ListParagraph"/>
        <w:rPr>
          <w:color w:val="auto"/>
          <w:sz w:val="20"/>
          <w:szCs w:val="20"/>
        </w:rPr>
      </w:pPr>
    </w:p>
    <w:p w:rsidR="0043505F" w:rsidRPr="0034190F" w:rsidRDefault="00D715CD"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Along s</w:t>
      </w:r>
      <w:r w:rsidR="00E12A2B" w:rsidRPr="0034190F">
        <w:rPr>
          <w:rFonts w:ascii="Cambria" w:hAnsi="Cambria"/>
          <w:sz w:val="20"/>
          <w:szCs w:val="20"/>
        </w:rPr>
        <w:t>imilar</w:t>
      </w:r>
      <w:r w:rsidRPr="0034190F">
        <w:rPr>
          <w:rFonts w:ascii="Cambria" w:hAnsi="Cambria"/>
          <w:sz w:val="20"/>
          <w:szCs w:val="20"/>
        </w:rPr>
        <w:t xml:space="preserve"> lines,</w:t>
      </w:r>
      <w:r w:rsidR="00E12A2B" w:rsidRPr="0034190F">
        <w:rPr>
          <w:rFonts w:ascii="Cambria" w:hAnsi="Cambria"/>
          <w:sz w:val="20"/>
          <w:szCs w:val="20"/>
        </w:rPr>
        <w:t xml:space="preserve"> with respect to the right to </w:t>
      </w:r>
      <w:r w:rsidR="00490F2C" w:rsidRPr="0034190F">
        <w:rPr>
          <w:rFonts w:ascii="Cambria" w:hAnsi="Cambria"/>
          <w:sz w:val="20"/>
          <w:szCs w:val="20"/>
        </w:rPr>
        <w:t>a hearing</w:t>
      </w:r>
      <w:r w:rsidR="00E12A2B" w:rsidRPr="0034190F">
        <w:rPr>
          <w:rFonts w:ascii="Cambria" w:hAnsi="Cambria"/>
          <w:sz w:val="20"/>
          <w:szCs w:val="20"/>
        </w:rPr>
        <w:t>, while it is true that it was not possible to take</w:t>
      </w:r>
      <w:r w:rsidR="0043505F" w:rsidRPr="0034190F">
        <w:rPr>
          <w:rFonts w:ascii="Cambria" w:hAnsi="Cambria"/>
          <w:sz w:val="20"/>
          <w:szCs w:val="20"/>
        </w:rPr>
        <w:t xml:space="preserve"> </w:t>
      </w:r>
      <w:r w:rsidR="00E12A2B" w:rsidRPr="0034190F">
        <w:rPr>
          <w:rFonts w:ascii="Cambria" w:hAnsi="Cambria"/>
          <w:sz w:val="20"/>
          <w:szCs w:val="20"/>
        </w:rPr>
        <w:t xml:space="preserve">Mr. </w:t>
      </w:r>
      <w:r w:rsidR="0043505F" w:rsidRPr="0034190F">
        <w:rPr>
          <w:rFonts w:ascii="Cambria" w:hAnsi="Cambria"/>
          <w:sz w:val="20"/>
          <w:szCs w:val="20"/>
        </w:rPr>
        <w:t>Patricio Roche Azaña</w:t>
      </w:r>
      <w:r w:rsidR="00E12A2B" w:rsidRPr="0034190F">
        <w:rPr>
          <w:rFonts w:ascii="Cambria" w:hAnsi="Cambria"/>
          <w:sz w:val="20"/>
          <w:szCs w:val="20"/>
        </w:rPr>
        <w:t xml:space="preserve">’s statement during the 10 days established in Nicaraguan law, due to his medical condition, it is also true that there were still possibilities for him to participate in the proceedings later on, a situation that was not </w:t>
      </w:r>
      <w:r w:rsidRPr="0034190F">
        <w:rPr>
          <w:rFonts w:ascii="Cambria" w:hAnsi="Cambria"/>
          <w:sz w:val="20"/>
          <w:szCs w:val="20"/>
        </w:rPr>
        <w:t>taken into account</w:t>
      </w:r>
      <w:r w:rsidR="00E12A2B" w:rsidRPr="0034190F">
        <w:rPr>
          <w:rFonts w:ascii="Cambria" w:hAnsi="Cambria"/>
          <w:sz w:val="20"/>
          <w:szCs w:val="20"/>
        </w:rPr>
        <w:t xml:space="preserve"> by the courts. To the contrary, he was never notified that a proceeding existed, how he could participate, and the repercussions </w:t>
      </w:r>
      <w:r w:rsidRPr="0034190F">
        <w:rPr>
          <w:rFonts w:ascii="Cambria" w:hAnsi="Cambria"/>
          <w:sz w:val="20"/>
          <w:szCs w:val="20"/>
        </w:rPr>
        <w:t xml:space="preserve">this could have </w:t>
      </w:r>
      <w:r w:rsidR="00E12A2B" w:rsidRPr="0034190F">
        <w:rPr>
          <w:rFonts w:ascii="Cambria" w:hAnsi="Cambria"/>
          <w:sz w:val="20"/>
          <w:szCs w:val="20"/>
        </w:rPr>
        <w:t xml:space="preserve">for him, even though he </w:t>
      </w:r>
      <w:r w:rsidRPr="0034190F">
        <w:rPr>
          <w:rFonts w:ascii="Cambria" w:hAnsi="Cambria"/>
          <w:sz w:val="20"/>
          <w:szCs w:val="20"/>
        </w:rPr>
        <w:t>had been</w:t>
      </w:r>
      <w:r w:rsidR="00E12A2B" w:rsidRPr="0034190F">
        <w:rPr>
          <w:rFonts w:ascii="Cambria" w:hAnsi="Cambria"/>
          <w:sz w:val="20"/>
          <w:szCs w:val="20"/>
        </w:rPr>
        <w:t xml:space="preserve"> able to emerge from his coma and it </w:t>
      </w:r>
      <w:r w:rsidRPr="0034190F">
        <w:rPr>
          <w:rFonts w:ascii="Cambria" w:hAnsi="Cambria"/>
          <w:sz w:val="20"/>
          <w:szCs w:val="20"/>
        </w:rPr>
        <w:t>would have been</w:t>
      </w:r>
      <w:r w:rsidR="00E12A2B" w:rsidRPr="0034190F">
        <w:rPr>
          <w:rFonts w:ascii="Cambria" w:hAnsi="Cambria"/>
          <w:sz w:val="20"/>
          <w:szCs w:val="20"/>
        </w:rPr>
        <w:t xml:space="preserve"> pos</w:t>
      </w:r>
      <w:r w:rsidRPr="0034190F">
        <w:rPr>
          <w:rFonts w:ascii="Cambria" w:hAnsi="Cambria"/>
          <w:sz w:val="20"/>
          <w:szCs w:val="20"/>
        </w:rPr>
        <w:t>s</w:t>
      </w:r>
      <w:r w:rsidR="00E12A2B" w:rsidRPr="0034190F">
        <w:rPr>
          <w:rFonts w:ascii="Cambria" w:hAnsi="Cambria"/>
          <w:sz w:val="20"/>
          <w:szCs w:val="20"/>
        </w:rPr>
        <w:t xml:space="preserve">ible for him to participate in the </w:t>
      </w:r>
      <w:r w:rsidRPr="0034190F">
        <w:rPr>
          <w:rFonts w:ascii="Cambria" w:hAnsi="Cambria"/>
          <w:sz w:val="20"/>
          <w:szCs w:val="20"/>
        </w:rPr>
        <w:t>case</w:t>
      </w:r>
      <w:r w:rsidR="0043505F" w:rsidRPr="0034190F">
        <w:rPr>
          <w:rFonts w:ascii="Cambria" w:hAnsi="Cambria"/>
          <w:sz w:val="20"/>
          <w:szCs w:val="20"/>
        </w:rPr>
        <w:t>.</w:t>
      </w:r>
    </w:p>
    <w:p w:rsidR="0043505F" w:rsidRPr="0034190F" w:rsidRDefault="0043505F" w:rsidP="0043505F">
      <w:pPr>
        <w:tabs>
          <w:tab w:val="left" w:pos="720"/>
          <w:tab w:val="left" w:pos="1440"/>
        </w:tabs>
        <w:ind w:left="630"/>
        <w:jc w:val="both"/>
        <w:rPr>
          <w:rFonts w:ascii="Cambria" w:hAnsi="Cambria"/>
          <w:sz w:val="20"/>
          <w:szCs w:val="20"/>
        </w:rPr>
      </w:pPr>
    </w:p>
    <w:p w:rsidR="0043505F" w:rsidRPr="0034190F" w:rsidRDefault="00FA19A7"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In this regard</w:t>
      </w:r>
      <w:r w:rsidR="00C9269B" w:rsidRPr="0034190F">
        <w:rPr>
          <w:rFonts w:ascii="Cambria" w:hAnsi="Cambria"/>
          <w:sz w:val="20"/>
          <w:szCs w:val="20"/>
        </w:rPr>
        <w:t xml:space="preserve">, it </w:t>
      </w:r>
      <w:r w:rsidR="00490F2C" w:rsidRPr="0034190F">
        <w:rPr>
          <w:rFonts w:ascii="Cambria" w:hAnsi="Cambria"/>
          <w:sz w:val="20"/>
          <w:szCs w:val="20"/>
        </w:rPr>
        <w:t>is worth</w:t>
      </w:r>
      <w:r w:rsidR="00C9269B" w:rsidRPr="0034190F">
        <w:rPr>
          <w:rFonts w:ascii="Cambria" w:hAnsi="Cambria"/>
          <w:sz w:val="20"/>
          <w:szCs w:val="20"/>
        </w:rPr>
        <w:t xml:space="preserve"> considering that migrants are </w:t>
      </w:r>
      <w:r w:rsidR="00490F2C" w:rsidRPr="0034190F">
        <w:rPr>
          <w:rFonts w:ascii="Cambria" w:hAnsi="Cambria"/>
          <w:sz w:val="20"/>
          <w:szCs w:val="20"/>
        </w:rPr>
        <w:t>at</w:t>
      </w:r>
      <w:r w:rsidR="00C9269B" w:rsidRPr="0034190F">
        <w:rPr>
          <w:rFonts w:ascii="Cambria" w:hAnsi="Cambria"/>
          <w:sz w:val="20"/>
          <w:szCs w:val="20"/>
        </w:rPr>
        <w:t xml:space="preserve"> considerable disadvantage in terms of defending their rights due to various barriers </w:t>
      </w:r>
      <w:r w:rsidR="00490F2C" w:rsidRPr="0034190F">
        <w:rPr>
          <w:rFonts w:ascii="Cambria" w:hAnsi="Cambria"/>
          <w:sz w:val="20"/>
          <w:szCs w:val="20"/>
        </w:rPr>
        <w:t>to</w:t>
      </w:r>
      <w:r w:rsidR="00C9269B" w:rsidRPr="0034190F">
        <w:rPr>
          <w:rFonts w:ascii="Cambria" w:hAnsi="Cambria"/>
          <w:sz w:val="20"/>
          <w:szCs w:val="20"/>
        </w:rPr>
        <w:t xml:space="preserve"> access to justice, among them the lack of knowledge about the laws and judicial system of the country </w:t>
      </w:r>
      <w:r w:rsidR="00490F2C" w:rsidRPr="0034190F">
        <w:rPr>
          <w:rFonts w:ascii="Cambria" w:hAnsi="Cambria"/>
          <w:sz w:val="20"/>
          <w:szCs w:val="20"/>
        </w:rPr>
        <w:t xml:space="preserve">they </w:t>
      </w:r>
      <w:r w:rsidR="00B7497F" w:rsidRPr="0034190F">
        <w:rPr>
          <w:rFonts w:ascii="Cambria" w:hAnsi="Cambria"/>
          <w:sz w:val="20"/>
          <w:szCs w:val="20"/>
        </w:rPr>
        <w:t>find themselves</w:t>
      </w:r>
      <w:r w:rsidR="00490F2C" w:rsidRPr="0034190F">
        <w:rPr>
          <w:rFonts w:ascii="Cambria" w:hAnsi="Cambria"/>
          <w:sz w:val="20"/>
          <w:szCs w:val="20"/>
        </w:rPr>
        <w:t xml:space="preserve"> in</w:t>
      </w:r>
      <w:r w:rsidR="00C9269B" w:rsidRPr="0034190F">
        <w:rPr>
          <w:rFonts w:ascii="Cambria" w:hAnsi="Cambria"/>
          <w:sz w:val="20"/>
          <w:szCs w:val="20"/>
        </w:rPr>
        <w:t xml:space="preserve">. </w:t>
      </w:r>
      <w:r w:rsidR="00490F2C" w:rsidRPr="0034190F">
        <w:rPr>
          <w:rFonts w:ascii="Cambria" w:hAnsi="Cambria"/>
          <w:sz w:val="20"/>
          <w:szCs w:val="20"/>
        </w:rPr>
        <w:t>T</w:t>
      </w:r>
      <w:r w:rsidR="00C9269B" w:rsidRPr="0034190F">
        <w:rPr>
          <w:rFonts w:ascii="Cambria" w:hAnsi="Cambria"/>
          <w:sz w:val="20"/>
          <w:szCs w:val="20"/>
        </w:rPr>
        <w:t>he</w:t>
      </w:r>
      <w:r w:rsidR="00D80F3D" w:rsidRPr="0034190F">
        <w:rPr>
          <w:rFonts w:ascii="Cambria" w:hAnsi="Cambria"/>
          <w:sz w:val="20"/>
          <w:szCs w:val="20"/>
        </w:rPr>
        <w:t>refore, the</w:t>
      </w:r>
      <w:r w:rsidR="00C9269B" w:rsidRPr="0034190F">
        <w:rPr>
          <w:rFonts w:ascii="Cambria" w:hAnsi="Cambria"/>
          <w:sz w:val="20"/>
          <w:szCs w:val="20"/>
        </w:rPr>
        <w:t xml:space="preserve"> right to information </w:t>
      </w:r>
      <w:r w:rsidR="00D80F3D" w:rsidRPr="0034190F">
        <w:rPr>
          <w:rFonts w:ascii="Cambria" w:hAnsi="Cambria"/>
          <w:sz w:val="20"/>
          <w:szCs w:val="20"/>
        </w:rPr>
        <w:t xml:space="preserve">in that respect </w:t>
      </w:r>
      <w:r w:rsidR="00C9269B" w:rsidRPr="0034190F">
        <w:rPr>
          <w:rFonts w:ascii="Cambria" w:hAnsi="Cambria"/>
          <w:sz w:val="20"/>
          <w:szCs w:val="20"/>
        </w:rPr>
        <w:t xml:space="preserve">has special value </w:t>
      </w:r>
      <w:r w:rsidR="00D80F3D" w:rsidRPr="0034190F">
        <w:rPr>
          <w:rFonts w:ascii="Cambria" w:hAnsi="Cambria"/>
          <w:sz w:val="20"/>
          <w:szCs w:val="20"/>
        </w:rPr>
        <w:t>because of</w:t>
      </w:r>
      <w:r w:rsidR="00C9269B" w:rsidRPr="0034190F">
        <w:rPr>
          <w:rFonts w:ascii="Cambria" w:hAnsi="Cambria"/>
          <w:sz w:val="20"/>
          <w:szCs w:val="20"/>
        </w:rPr>
        <w:t xml:space="preserve"> the weight it can have in migrants’ access to justice. The Nicaraguan State did not notify Mr. </w:t>
      </w:r>
      <w:r w:rsidR="0043505F" w:rsidRPr="0034190F">
        <w:rPr>
          <w:rFonts w:ascii="Cambria" w:hAnsi="Cambria"/>
          <w:sz w:val="20"/>
          <w:szCs w:val="20"/>
        </w:rPr>
        <w:t xml:space="preserve">Roche Azaña </w:t>
      </w:r>
      <w:r w:rsidR="00C9269B" w:rsidRPr="0034190F">
        <w:rPr>
          <w:rFonts w:ascii="Cambria" w:hAnsi="Cambria"/>
          <w:sz w:val="20"/>
          <w:szCs w:val="20"/>
        </w:rPr>
        <w:t xml:space="preserve">at any time about his right to participate during the </w:t>
      </w:r>
      <w:r w:rsidR="00D80F3D" w:rsidRPr="0034190F">
        <w:rPr>
          <w:rFonts w:ascii="Cambria" w:hAnsi="Cambria"/>
          <w:sz w:val="20"/>
          <w:szCs w:val="20"/>
        </w:rPr>
        <w:t>proceedings</w:t>
      </w:r>
      <w:r w:rsidR="00C9269B" w:rsidRPr="0034190F">
        <w:rPr>
          <w:rFonts w:ascii="Cambria" w:hAnsi="Cambria"/>
          <w:sz w:val="20"/>
          <w:szCs w:val="20"/>
        </w:rPr>
        <w:t>. This situation affected his right and that of his mother and father to a hearing with due guarantees and their right to be kept informed of the progress and results of the case</w:t>
      </w:r>
      <w:r w:rsidR="0043505F" w:rsidRPr="0034190F">
        <w:rPr>
          <w:rFonts w:ascii="Cambria" w:hAnsi="Cambria"/>
          <w:sz w:val="20"/>
          <w:szCs w:val="20"/>
        </w:rPr>
        <w:t>.</w:t>
      </w:r>
      <w:r w:rsidR="00C9269B" w:rsidRPr="0034190F">
        <w:rPr>
          <w:rFonts w:ascii="Cambria" w:hAnsi="Cambria"/>
          <w:sz w:val="20"/>
          <w:szCs w:val="20"/>
        </w:rPr>
        <w:t xml:space="preserve"> </w:t>
      </w:r>
    </w:p>
    <w:p w:rsidR="0043505F" w:rsidRPr="0034190F" w:rsidRDefault="0043505F" w:rsidP="0043505F">
      <w:pPr>
        <w:pStyle w:val="ListParagraph"/>
        <w:rPr>
          <w:color w:val="auto"/>
          <w:sz w:val="20"/>
          <w:szCs w:val="20"/>
        </w:rPr>
      </w:pPr>
    </w:p>
    <w:p w:rsidR="0043505F" w:rsidRPr="0034190F" w:rsidRDefault="00C9269B"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Consequently, the Commission considers that the State violated the rights to a fair trial and to judicial</w:t>
      </w:r>
      <w:r w:rsidR="0043505F" w:rsidRPr="0034190F">
        <w:rPr>
          <w:rFonts w:ascii="Cambria" w:hAnsi="Cambria"/>
          <w:sz w:val="20"/>
          <w:szCs w:val="20"/>
        </w:rPr>
        <w:t xml:space="preserve"> </w:t>
      </w:r>
      <w:r w:rsidR="00512CF5" w:rsidRPr="0034190F">
        <w:rPr>
          <w:rFonts w:ascii="Cambria" w:hAnsi="Cambria"/>
          <w:sz w:val="20"/>
          <w:szCs w:val="20"/>
        </w:rPr>
        <w:t>protection established in Articles 8.1 and 25 of the American Convention</w:t>
      </w:r>
      <w:r w:rsidR="0064423C" w:rsidRPr="0034190F">
        <w:rPr>
          <w:rFonts w:ascii="Cambria" w:hAnsi="Cambria"/>
          <w:sz w:val="20"/>
          <w:szCs w:val="20"/>
        </w:rPr>
        <w:t>,</w:t>
      </w:r>
      <w:r w:rsidR="00512CF5" w:rsidRPr="0034190F">
        <w:rPr>
          <w:rFonts w:ascii="Cambria" w:hAnsi="Cambria"/>
          <w:sz w:val="20"/>
          <w:szCs w:val="20"/>
        </w:rPr>
        <w:t xml:space="preserve"> in connection with the obligations established in Article 1.1 thereof, to the detriment of </w:t>
      </w:r>
      <w:r w:rsidR="0043505F" w:rsidRPr="0034190F">
        <w:rPr>
          <w:rFonts w:ascii="Cambria" w:hAnsi="Cambria"/>
          <w:sz w:val="20"/>
          <w:szCs w:val="20"/>
        </w:rPr>
        <w:t>Patricio Roche Azaña</w:t>
      </w:r>
      <w:r w:rsidR="00512CF5" w:rsidRPr="0034190F">
        <w:rPr>
          <w:rFonts w:ascii="Cambria" w:hAnsi="Cambria"/>
          <w:sz w:val="20"/>
          <w:szCs w:val="20"/>
        </w:rPr>
        <w:t xml:space="preserve"> and his mother and father</w:t>
      </w:r>
      <w:r w:rsidR="0043505F" w:rsidRPr="0034190F">
        <w:rPr>
          <w:rFonts w:ascii="Cambria" w:hAnsi="Cambria"/>
          <w:sz w:val="20"/>
          <w:szCs w:val="20"/>
        </w:rPr>
        <w:t xml:space="preserve">. </w:t>
      </w:r>
      <w:r w:rsidR="00512CF5" w:rsidRPr="0034190F">
        <w:rPr>
          <w:rFonts w:ascii="Cambria" w:hAnsi="Cambria"/>
          <w:sz w:val="20"/>
          <w:szCs w:val="20"/>
        </w:rPr>
        <w:t xml:space="preserve">The Commission also considers that the State violated the right to humane treatment established in </w:t>
      </w:r>
      <w:r w:rsidR="00512CF5" w:rsidRPr="0034190F">
        <w:rPr>
          <w:rFonts w:ascii="Cambria" w:hAnsi="Cambria"/>
          <w:sz w:val="20"/>
          <w:szCs w:val="20"/>
        </w:rPr>
        <w:lastRenderedPageBreak/>
        <w:t>Article 5.1 of the American Convention</w:t>
      </w:r>
      <w:r w:rsidR="0064423C" w:rsidRPr="0034190F">
        <w:rPr>
          <w:rFonts w:ascii="Cambria" w:hAnsi="Cambria"/>
          <w:sz w:val="20"/>
          <w:szCs w:val="20"/>
        </w:rPr>
        <w:t>,</w:t>
      </w:r>
      <w:r w:rsidR="00512CF5" w:rsidRPr="0034190F">
        <w:rPr>
          <w:rFonts w:ascii="Cambria" w:hAnsi="Cambria"/>
          <w:sz w:val="20"/>
          <w:szCs w:val="20"/>
        </w:rPr>
        <w:t xml:space="preserve"> in connection with the obligations established in Article 1.1 thereof, to the detriment of the mother and father of the </w:t>
      </w:r>
      <w:r w:rsidR="0043505F" w:rsidRPr="0034190F">
        <w:rPr>
          <w:rFonts w:ascii="Cambria" w:hAnsi="Cambria"/>
          <w:sz w:val="20"/>
          <w:szCs w:val="20"/>
        </w:rPr>
        <w:t>Roche Azaña</w:t>
      </w:r>
      <w:r w:rsidR="00512CF5" w:rsidRPr="0034190F">
        <w:rPr>
          <w:rFonts w:ascii="Cambria" w:hAnsi="Cambria"/>
          <w:sz w:val="20"/>
          <w:szCs w:val="20"/>
        </w:rPr>
        <w:t xml:space="preserve"> brothers</w:t>
      </w:r>
      <w:r w:rsidR="0043505F" w:rsidRPr="0034190F">
        <w:rPr>
          <w:rFonts w:ascii="Cambria" w:hAnsi="Cambria"/>
          <w:sz w:val="20"/>
          <w:szCs w:val="20"/>
        </w:rPr>
        <w:t xml:space="preserve">.  </w:t>
      </w: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43505F" w:rsidRPr="0034190F" w:rsidRDefault="00C47000" w:rsidP="0043505F">
      <w:pPr>
        <w:pStyle w:val="ListParagraph"/>
        <w:numPr>
          <w:ilvl w:val="0"/>
          <w:numId w:val="104"/>
        </w:numPr>
        <w:suppressAutoHyphens/>
        <w:ind w:left="1440"/>
        <w:rPr>
          <w:b/>
          <w:color w:val="auto"/>
          <w:sz w:val="20"/>
          <w:szCs w:val="20"/>
          <w:lang w:val="es-ES_tradnl"/>
        </w:rPr>
      </w:pPr>
      <w:r w:rsidRPr="0034190F">
        <w:rPr>
          <w:b/>
          <w:color w:val="auto"/>
          <w:sz w:val="20"/>
          <w:szCs w:val="20"/>
          <w:lang w:val="es-ES_tradnl"/>
        </w:rPr>
        <w:t>CONCLUSIONS AND RECOMMENDATIONS</w:t>
      </w:r>
    </w:p>
    <w:p w:rsidR="0043505F" w:rsidRPr="0034190F" w:rsidRDefault="0043505F" w:rsidP="0043505F">
      <w:pPr>
        <w:suppressAutoHyphens/>
        <w:rPr>
          <w:rFonts w:ascii="Cambria" w:hAnsi="Cambria"/>
          <w:b/>
          <w:sz w:val="20"/>
          <w:szCs w:val="20"/>
          <w:lang w:val="es-ES_tradnl"/>
        </w:rPr>
      </w:pPr>
    </w:p>
    <w:p w:rsidR="0043505F" w:rsidRPr="0034190F" w:rsidRDefault="0002272E" w:rsidP="0043505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34190F">
        <w:rPr>
          <w:rFonts w:ascii="Cambria" w:hAnsi="Cambria"/>
          <w:sz w:val="20"/>
          <w:szCs w:val="20"/>
        </w:rPr>
        <w:t>Based</w:t>
      </w:r>
      <w:r w:rsidR="00C47000" w:rsidRPr="0034190F">
        <w:rPr>
          <w:rFonts w:ascii="Cambria" w:hAnsi="Cambria"/>
          <w:sz w:val="20"/>
          <w:szCs w:val="20"/>
        </w:rPr>
        <w:t xml:space="preserve"> </w:t>
      </w:r>
      <w:r w:rsidRPr="0034190F">
        <w:rPr>
          <w:rFonts w:ascii="Cambria" w:hAnsi="Cambria"/>
          <w:sz w:val="20"/>
          <w:szCs w:val="20"/>
        </w:rPr>
        <w:t xml:space="preserve">on the determinations of fact and law, the Inter-American Commission concluded that the State is </w:t>
      </w:r>
      <w:r w:rsidR="00C47000" w:rsidRPr="0034190F">
        <w:rPr>
          <w:rFonts w:ascii="Cambria" w:hAnsi="Cambria"/>
          <w:sz w:val="20"/>
          <w:szCs w:val="20"/>
        </w:rPr>
        <w:t>responsible</w:t>
      </w:r>
      <w:r w:rsidRPr="0034190F">
        <w:rPr>
          <w:rFonts w:ascii="Cambria" w:hAnsi="Cambria"/>
          <w:sz w:val="20"/>
          <w:szCs w:val="20"/>
        </w:rPr>
        <w:t xml:space="preserve"> for violating Articles </w:t>
      </w:r>
      <w:r w:rsidR="0043505F" w:rsidRPr="0034190F">
        <w:rPr>
          <w:rFonts w:ascii="Cambria" w:hAnsi="Cambria"/>
          <w:sz w:val="20"/>
          <w:szCs w:val="20"/>
        </w:rPr>
        <w:t>4.1 (</w:t>
      </w:r>
      <w:r w:rsidRPr="0034190F">
        <w:rPr>
          <w:rFonts w:ascii="Cambria" w:hAnsi="Cambria"/>
          <w:sz w:val="20"/>
          <w:szCs w:val="20"/>
        </w:rPr>
        <w:t>right to life</w:t>
      </w:r>
      <w:r w:rsidR="0043505F" w:rsidRPr="0034190F">
        <w:rPr>
          <w:rFonts w:ascii="Cambria" w:hAnsi="Cambria"/>
          <w:sz w:val="20"/>
          <w:szCs w:val="20"/>
        </w:rPr>
        <w:t>), 5.1 (</w:t>
      </w:r>
      <w:r w:rsidRPr="0034190F">
        <w:rPr>
          <w:rFonts w:ascii="Cambria" w:hAnsi="Cambria"/>
          <w:sz w:val="20"/>
          <w:szCs w:val="20"/>
        </w:rPr>
        <w:t>right to humane treatment</w:t>
      </w:r>
      <w:r w:rsidR="0043505F" w:rsidRPr="0034190F">
        <w:rPr>
          <w:rFonts w:ascii="Cambria" w:hAnsi="Cambria"/>
          <w:sz w:val="20"/>
          <w:szCs w:val="20"/>
        </w:rPr>
        <w:t>), 8.1 (</w:t>
      </w:r>
      <w:r w:rsidRPr="0034190F">
        <w:rPr>
          <w:rFonts w:ascii="Cambria" w:hAnsi="Cambria"/>
          <w:sz w:val="20"/>
          <w:szCs w:val="20"/>
        </w:rPr>
        <w:t>right to a fair trial</w:t>
      </w:r>
      <w:r w:rsidR="0043505F" w:rsidRPr="0034190F">
        <w:rPr>
          <w:rFonts w:ascii="Cambria" w:hAnsi="Cambria"/>
          <w:sz w:val="20"/>
          <w:szCs w:val="20"/>
        </w:rPr>
        <w:t>)</w:t>
      </w:r>
      <w:r w:rsidRPr="0034190F">
        <w:rPr>
          <w:rFonts w:ascii="Cambria" w:hAnsi="Cambria"/>
          <w:sz w:val="20"/>
          <w:szCs w:val="20"/>
        </w:rPr>
        <w:t xml:space="preserve">, and </w:t>
      </w:r>
      <w:r w:rsidR="0043505F" w:rsidRPr="0034190F">
        <w:rPr>
          <w:rFonts w:ascii="Cambria" w:hAnsi="Cambria"/>
          <w:sz w:val="20"/>
          <w:szCs w:val="20"/>
        </w:rPr>
        <w:t>25.1 (</w:t>
      </w:r>
      <w:r w:rsidRPr="0034190F">
        <w:rPr>
          <w:rFonts w:ascii="Cambria" w:hAnsi="Cambria"/>
          <w:sz w:val="20"/>
          <w:szCs w:val="20"/>
        </w:rPr>
        <w:t xml:space="preserve">judicial </w:t>
      </w:r>
      <w:r w:rsidR="0043505F" w:rsidRPr="0034190F">
        <w:rPr>
          <w:rFonts w:ascii="Cambria" w:hAnsi="Cambria"/>
          <w:sz w:val="20"/>
          <w:szCs w:val="20"/>
        </w:rPr>
        <w:t>protec</w:t>
      </w:r>
      <w:r w:rsidRPr="0034190F">
        <w:rPr>
          <w:rFonts w:ascii="Cambria" w:hAnsi="Cambria"/>
          <w:sz w:val="20"/>
          <w:szCs w:val="20"/>
        </w:rPr>
        <w:t>tion</w:t>
      </w:r>
      <w:r w:rsidR="0043505F" w:rsidRPr="0034190F">
        <w:rPr>
          <w:rFonts w:ascii="Cambria" w:hAnsi="Cambria"/>
          <w:sz w:val="20"/>
          <w:szCs w:val="20"/>
        </w:rPr>
        <w:t xml:space="preserve">) </w:t>
      </w:r>
      <w:r w:rsidRPr="0034190F">
        <w:rPr>
          <w:rFonts w:ascii="Cambria" w:hAnsi="Cambria"/>
          <w:sz w:val="20"/>
          <w:szCs w:val="20"/>
        </w:rPr>
        <w:t xml:space="preserve">of the American Convention, in connection with the obligations established in Articles </w:t>
      </w:r>
      <w:r w:rsidR="0043505F" w:rsidRPr="0034190F">
        <w:rPr>
          <w:rFonts w:ascii="Cambria" w:hAnsi="Cambria"/>
          <w:sz w:val="20"/>
          <w:szCs w:val="20"/>
        </w:rPr>
        <w:t xml:space="preserve">1.1 </w:t>
      </w:r>
      <w:r w:rsidRPr="0034190F">
        <w:rPr>
          <w:rFonts w:ascii="Cambria" w:hAnsi="Cambria"/>
          <w:sz w:val="20"/>
          <w:szCs w:val="20"/>
        </w:rPr>
        <w:t>and</w:t>
      </w:r>
      <w:r w:rsidR="0043505F" w:rsidRPr="0034190F">
        <w:rPr>
          <w:rFonts w:ascii="Cambria" w:hAnsi="Cambria"/>
          <w:sz w:val="20"/>
          <w:szCs w:val="20"/>
        </w:rPr>
        <w:t xml:space="preserve"> 2 </w:t>
      </w:r>
      <w:r w:rsidRPr="0034190F">
        <w:rPr>
          <w:rFonts w:ascii="Cambria" w:hAnsi="Cambria"/>
          <w:sz w:val="20"/>
          <w:szCs w:val="20"/>
        </w:rPr>
        <w:t xml:space="preserve">thereof, to the detriment of those individuals indicated throughout this report. </w:t>
      </w:r>
    </w:p>
    <w:p w:rsidR="0043505F" w:rsidRPr="0034190F" w:rsidRDefault="0043505F" w:rsidP="0043505F">
      <w:pPr>
        <w:suppressAutoHyphens/>
        <w:jc w:val="both"/>
        <w:rPr>
          <w:rFonts w:ascii="Cambria" w:hAnsi="Cambria"/>
          <w:sz w:val="20"/>
          <w:szCs w:val="20"/>
        </w:rPr>
      </w:pPr>
    </w:p>
    <w:p w:rsidR="0043505F" w:rsidRPr="0034190F" w:rsidRDefault="0043505F" w:rsidP="0043505F">
      <w:pPr>
        <w:ind w:firstLine="720"/>
        <w:jc w:val="both"/>
        <w:rPr>
          <w:rFonts w:ascii="Cambria" w:hAnsi="Cambria"/>
          <w:b/>
          <w:sz w:val="20"/>
          <w:szCs w:val="20"/>
        </w:rPr>
      </w:pPr>
      <w:r w:rsidRPr="0034190F">
        <w:rPr>
          <w:rFonts w:ascii="Cambria" w:hAnsi="Cambria"/>
          <w:b/>
          <w:sz w:val="20"/>
          <w:szCs w:val="20"/>
        </w:rPr>
        <w:tab/>
      </w:r>
      <w:r w:rsidR="0064678D" w:rsidRPr="0034190F">
        <w:rPr>
          <w:rFonts w:ascii="Cambria" w:hAnsi="Cambria"/>
          <w:b/>
          <w:sz w:val="20"/>
          <w:szCs w:val="20"/>
        </w:rPr>
        <w:t xml:space="preserve">THE INTER-AMERICAN COMMISSION ON HUMAN RIGHTS RECOMMENDS THAT THE STATE OF </w:t>
      </w:r>
      <w:r w:rsidRPr="0034190F">
        <w:rPr>
          <w:rFonts w:ascii="Cambria" w:hAnsi="Cambria"/>
          <w:b/>
          <w:sz w:val="20"/>
          <w:szCs w:val="20"/>
        </w:rPr>
        <w:t>NICARAGUA:</w:t>
      </w:r>
    </w:p>
    <w:p w:rsidR="0043505F" w:rsidRPr="0034190F" w:rsidRDefault="0043505F" w:rsidP="0043505F">
      <w:pPr>
        <w:ind w:firstLine="720"/>
        <w:jc w:val="both"/>
        <w:rPr>
          <w:rFonts w:ascii="Cambria" w:hAnsi="Cambria"/>
          <w:b/>
          <w:sz w:val="20"/>
          <w:szCs w:val="20"/>
        </w:rPr>
      </w:pPr>
    </w:p>
    <w:p w:rsidR="0043505F" w:rsidRPr="0034190F" w:rsidRDefault="0043505F" w:rsidP="004350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43505F" w:rsidRPr="0034190F" w:rsidRDefault="0064678D" w:rsidP="0043505F">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ahoma"/>
          <w:color w:val="auto"/>
          <w:sz w:val="20"/>
          <w:szCs w:val="20"/>
          <w:bdr w:val="none" w:sz="0" w:space="0" w:color="auto"/>
        </w:rPr>
      </w:pPr>
      <w:r w:rsidRPr="0034190F">
        <w:rPr>
          <w:rFonts w:eastAsia="Times New Roman" w:cs="Tahoma"/>
          <w:color w:val="auto"/>
          <w:sz w:val="20"/>
          <w:szCs w:val="20"/>
          <w:bdr w:val="none" w:sz="0" w:space="0" w:color="auto"/>
        </w:rPr>
        <w:t xml:space="preserve">Provide full reparation, in </w:t>
      </w:r>
      <w:r w:rsidR="0056439B" w:rsidRPr="0034190F">
        <w:rPr>
          <w:rFonts w:eastAsia="Times New Roman" w:cs="Tahoma"/>
          <w:color w:val="auto"/>
          <w:sz w:val="20"/>
          <w:szCs w:val="20"/>
          <w:bdr w:val="none" w:sz="0" w:space="0" w:color="auto"/>
        </w:rPr>
        <w:t xml:space="preserve">both </w:t>
      </w:r>
      <w:r w:rsidRPr="0034190F">
        <w:rPr>
          <w:rFonts w:eastAsia="Times New Roman" w:cs="Tahoma"/>
          <w:color w:val="auto"/>
          <w:sz w:val="20"/>
          <w:szCs w:val="20"/>
          <w:bdr w:val="none" w:sz="0" w:space="0" w:color="auto"/>
        </w:rPr>
        <w:t xml:space="preserve">material and </w:t>
      </w:r>
      <w:r w:rsidR="0056439B" w:rsidRPr="0034190F">
        <w:rPr>
          <w:rFonts w:eastAsia="Times New Roman" w:cs="Tahoma"/>
          <w:color w:val="auto"/>
          <w:sz w:val="20"/>
          <w:szCs w:val="20"/>
          <w:bdr w:val="none" w:sz="0" w:space="0" w:color="auto"/>
        </w:rPr>
        <w:t>moral</w:t>
      </w:r>
      <w:r w:rsidRPr="0034190F">
        <w:rPr>
          <w:rFonts w:eastAsia="Times New Roman" w:cs="Tahoma"/>
          <w:color w:val="auto"/>
          <w:sz w:val="20"/>
          <w:szCs w:val="20"/>
          <w:bdr w:val="none" w:sz="0" w:space="0" w:color="auto"/>
        </w:rPr>
        <w:t xml:space="preserve"> </w:t>
      </w:r>
      <w:r w:rsidR="00BB013D" w:rsidRPr="0034190F">
        <w:rPr>
          <w:rFonts w:eastAsia="Times New Roman" w:cs="Tahoma"/>
          <w:color w:val="auto"/>
          <w:sz w:val="20"/>
          <w:szCs w:val="20"/>
          <w:bdr w:val="none" w:sz="0" w:space="0" w:color="auto"/>
        </w:rPr>
        <w:t>terms, for the human rights violations laid out in this report</w:t>
      </w:r>
      <w:r w:rsidRPr="0034190F">
        <w:rPr>
          <w:rFonts w:eastAsia="Times New Roman" w:cs="Tahoma"/>
          <w:color w:val="auto"/>
          <w:sz w:val="20"/>
          <w:szCs w:val="20"/>
          <w:bdr w:val="none" w:sz="0" w:space="0" w:color="auto"/>
        </w:rPr>
        <w:t>. The State should adopt measures of financial compensation and satisfaction</w:t>
      </w:r>
      <w:r w:rsidR="0056439B" w:rsidRPr="0034190F">
        <w:rPr>
          <w:rFonts w:eastAsia="Times New Roman" w:cs="Tahoma"/>
          <w:color w:val="auto"/>
          <w:sz w:val="20"/>
          <w:szCs w:val="20"/>
          <w:bdr w:val="none" w:sz="0" w:space="0" w:color="auto"/>
        </w:rPr>
        <w:t xml:space="preserve"> </w:t>
      </w:r>
      <w:r w:rsidRPr="0034190F">
        <w:rPr>
          <w:rFonts w:eastAsia="Times New Roman" w:cs="Tahoma"/>
          <w:color w:val="auto"/>
          <w:sz w:val="20"/>
          <w:szCs w:val="20"/>
          <w:bdr w:val="none" w:sz="0" w:space="0" w:color="auto"/>
        </w:rPr>
        <w:t xml:space="preserve">to the </w:t>
      </w:r>
      <w:r w:rsidR="0056439B" w:rsidRPr="0034190F">
        <w:rPr>
          <w:rFonts w:eastAsia="Times New Roman" w:cs="Tahoma"/>
          <w:color w:val="auto"/>
          <w:sz w:val="20"/>
          <w:szCs w:val="20"/>
          <w:bdr w:val="none" w:sz="0" w:space="0" w:color="auto"/>
        </w:rPr>
        <w:t>b</w:t>
      </w:r>
      <w:r w:rsidRPr="0034190F">
        <w:rPr>
          <w:rFonts w:eastAsia="Times New Roman" w:cs="Tahoma"/>
          <w:color w:val="auto"/>
          <w:sz w:val="20"/>
          <w:szCs w:val="20"/>
          <w:bdr w:val="none" w:sz="0" w:space="0" w:color="auto"/>
        </w:rPr>
        <w:t xml:space="preserve">enefit of Mr. </w:t>
      </w:r>
      <w:r w:rsidR="0043505F" w:rsidRPr="0034190F">
        <w:rPr>
          <w:rFonts w:eastAsia="Times New Roman" w:cs="Tahoma"/>
          <w:color w:val="auto"/>
          <w:sz w:val="20"/>
          <w:szCs w:val="20"/>
          <w:bdr w:val="none" w:sz="0" w:space="0" w:color="auto"/>
        </w:rPr>
        <w:t xml:space="preserve">Patricio Roche Azaña </w:t>
      </w:r>
      <w:r w:rsidRPr="0034190F">
        <w:rPr>
          <w:rFonts w:eastAsia="Times New Roman" w:cs="Tahoma"/>
          <w:color w:val="auto"/>
          <w:sz w:val="20"/>
          <w:szCs w:val="20"/>
          <w:bdr w:val="none" w:sz="0" w:space="0" w:color="auto"/>
        </w:rPr>
        <w:t>and his parents</w:t>
      </w:r>
      <w:r w:rsidR="0043505F" w:rsidRPr="0034190F">
        <w:rPr>
          <w:rFonts w:eastAsia="Times New Roman" w:cs="Tahoma"/>
          <w:color w:val="auto"/>
          <w:sz w:val="20"/>
          <w:szCs w:val="20"/>
          <w:bdr w:val="none" w:sz="0" w:space="0" w:color="auto"/>
        </w:rPr>
        <w:t>.</w:t>
      </w:r>
    </w:p>
    <w:p w:rsidR="0043505F" w:rsidRPr="0034190F" w:rsidRDefault="0043505F" w:rsidP="0043505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ahoma"/>
          <w:color w:val="auto"/>
          <w:sz w:val="20"/>
          <w:szCs w:val="20"/>
          <w:bdr w:val="none" w:sz="0" w:space="0" w:color="auto"/>
        </w:rPr>
      </w:pPr>
    </w:p>
    <w:p w:rsidR="0043505F" w:rsidRPr="0034190F" w:rsidRDefault="00205C2B" w:rsidP="0043505F">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ahoma"/>
          <w:color w:val="auto"/>
          <w:sz w:val="20"/>
          <w:szCs w:val="20"/>
          <w:bdr w:val="none" w:sz="0" w:space="0" w:color="auto"/>
        </w:rPr>
      </w:pPr>
      <w:r w:rsidRPr="0034190F">
        <w:rPr>
          <w:rFonts w:eastAsia="Times New Roman" w:cs="Tahoma"/>
          <w:color w:val="auto"/>
          <w:sz w:val="20"/>
          <w:szCs w:val="20"/>
          <w:bdr w:val="none" w:sz="0" w:space="0" w:color="auto"/>
        </w:rPr>
        <w:t>Reopen the criminal investigation</w:t>
      </w:r>
      <w:r w:rsidR="00BB013D" w:rsidRPr="0034190F">
        <w:rPr>
          <w:rFonts w:eastAsia="Times New Roman" w:cs="Tahoma"/>
          <w:color w:val="auto"/>
          <w:sz w:val="20"/>
          <w:szCs w:val="20"/>
          <w:bdr w:val="none" w:sz="0" w:space="0" w:color="auto"/>
        </w:rPr>
        <w:t>—</w:t>
      </w:r>
      <w:r w:rsidRPr="0034190F">
        <w:rPr>
          <w:rFonts w:eastAsia="Times New Roman" w:cs="Tahoma"/>
          <w:color w:val="auto"/>
          <w:sz w:val="20"/>
          <w:szCs w:val="20"/>
          <w:bdr w:val="none" w:sz="0" w:space="0" w:color="auto"/>
        </w:rPr>
        <w:t>diligent</w:t>
      </w:r>
      <w:r w:rsidR="00C96850" w:rsidRPr="0034190F">
        <w:rPr>
          <w:rFonts w:eastAsia="Times New Roman" w:cs="Tahoma"/>
          <w:color w:val="auto"/>
          <w:sz w:val="20"/>
          <w:szCs w:val="20"/>
          <w:bdr w:val="none" w:sz="0" w:space="0" w:color="auto"/>
        </w:rPr>
        <w:t>ly</w:t>
      </w:r>
      <w:r w:rsidRPr="0034190F">
        <w:rPr>
          <w:rFonts w:eastAsia="Times New Roman" w:cs="Tahoma"/>
          <w:color w:val="auto"/>
          <w:sz w:val="20"/>
          <w:szCs w:val="20"/>
          <w:bdr w:val="none" w:sz="0" w:space="0" w:color="auto"/>
        </w:rPr>
        <w:t>, effective</w:t>
      </w:r>
      <w:r w:rsidR="00C96850" w:rsidRPr="0034190F">
        <w:rPr>
          <w:rFonts w:eastAsia="Times New Roman" w:cs="Tahoma"/>
          <w:color w:val="auto"/>
          <w:sz w:val="20"/>
          <w:szCs w:val="20"/>
          <w:bdr w:val="none" w:sz="0" w:space="0" w:color="auto"/>
        </w:rPr>
        <w:t>ly</w:t>
      </w:r>
      <w:r w:rsidRPr="0034190F">
        <w:rPr>
          <w:rFonts w:eastAsia="Times New Roman" w:cs="Tahoma"/>
          <w:color w:val="auto"/>
          <w:sz w:val="20"/>
          <w:szCs w:val="20"/>
          <w:bdr w:val="none" w:sz="0" w:space="0" w:color="auto"/>
        </w:rPr>
        <w:t>, and within a reasonable period</w:t>
      </w:r>
      <w:r w:rsidR="00BB013D" w:rsidRPr="0034190F">
        <w:rPr>
          <w:rFonts w:eastAsia="Times New Roman" w:cs="Tahoma"/>
          <w:color w:val="auto"/>
          <w:sz w:val="20"/>
          <w:szCs w:val="20"/>
          <w:bdr w:val="none" w:sz="0" w:space="0" w:color="auto"/>
        </w:rPr>
        <w:t>—to</w:t>
      </w:r>
      <w:r w:rsidRPr="0034190F">
        <w:rPr>
          <w:rFonts w:eastAsia="Times New Roman" w:cs="Tahoma"/>
          <w:color w:val="auto"/>
          <w:sz w:val="20"/>
          <w:szCs w:val="20"/>
          <w:bdr w:val="none" w:sz="0" w:space="0" w:color="auto"/>
        </w:rPr>
        <w:t xml:space="preserve"> fully clarify the </w:t>
      </w:r>
      <w:r w:rsidR="0002272E" w:rsidRPr="0034190F">
        <w:rPr>
          <w:rFonts w:eastAsia="Times New Roman" w:cs="Tahoma"/>
          <w:color w:val="auto"/>
          <w:sz w:val="20"/>
          <w:szCs w:val="20"/>
          <w:bdr w:val="none" w:sz="0" w:space="0" w:color="auto"/>
        </w:rPr>
        <w:t>facts</w:t>
      </w:r>
      <w:r w:rsidRPr="0034190F">
        <w:rPr>
          <w:rFonts w:eastAsia="Times New Roman" w:cs="Tahoma"/>
          <w:color w:val="auto"/>
          <w:sz w:val="20"/>
          <w:szCs w:val="20"/>
          <w:bdr w:val="none" w:sz="0" w:space="0" w:color="auto"/>
        </w:rPr>
        <w:t>, identify any po</w:t>
      </w:r>
      <w:r w:rsidR="0002272E" w:rsidRPr="0034190F">
        <w:rPr>
          <w:rFonts w:eastAsia="Times New Roman" w:cs="Tahoma"/>
          <w:color w:val="auto"/>
          <w:sz w:val="20"/>
          <w:szCs w:val="20"/>
          <w:bdr w:val="none" w:sz="0" w:space="0" w:color="auto"/>
        </w:rPr>
        <w:t>s</w:t>
      </w:r>
      <w:r w:rsidRPr="0034190F">
        <w:rPr>
          <w:rFonts w:eastAsia="Times New Roman" w:cs="Tahoma"/>
          <w:color w:val="auto"/>
          <w:sz w:val="20"/>
          <w:szCs w:val="20"/>
          <w:bdr w:val="none" w:sz="0" w:space="0" w:color="auto"/>
        </w:rPr>
        <w:t>sible responsibility, and impos</w:t>
      </w:r>
      <w:r w:rsidR="00BB013D" w:rsidRPr="0034190F">
        <w:rPr>
          <w:rFonts w:eastAsia="Times New Roman" w:cs="Tahoma"/>
          <w:color w:val="auto"/>
          <w:sz w:val="20"/>
          <w:szCs w:val="20"/>
          <w:bdr w:val="none" w:sz="0" w:space="0" w:color="auto"/>
        </w:rPr>
        <w:t>e</w:t>
      </w:r>
      <w:r w:rsidRPr="0034190F">
        <w:rPr>
          <w:rFonts w:eastAsia="Times New Roman" w:cs="Tahoma"/>
          <w:color w:val="auto"/>
          <w:sz w:val="20"/>
          <w:szCs w:val="20"/>
          <w:bdr w:val="none" w:sz="0" w:space="0" w:color="auto"/>
        </w:rPr>
        <w:t xml:space="preserve"> the appropriate </w:t>
      </w:r>
      <w:r w:rsidR="00BB013D" w:rsidRPr="0034190F">
        <w:rPr>
          <w:rFonts w:eastAsia="Times New Roman" w:cs="Tahoma"/>
          <w:color w:val="auto"/>
          <w:sz w:val="20"/>
          <w:szCs w:val="20"/>
          <w:bdr w:val="none" w:sz="0" w:space="0" w:color="auto"/>
        </w:rPr>
        <w:t>penalties</w:t>
      </w:r>
      <w:r w:rsidRPr="0034190F">
        <w:rPr>
          <w:rFonts w:eastAsia="Times New Roman" w:cs="Tahoma"/>
          <w:color w:val="auto"/>
          <w:sz w:val="20"/>
          <w:szCs w:val="20"/>
          <w:bdr w:val="none" w:sz="0" w:space="0" w:color="auto"/>
        </w:rPr>
        <w:t xml:space="preserve"> for the human rights violations laid out in this report. </w:t>
      </w:r>
      <w:r w:rsidR="00BB013D" w:rsidRPr="0034190F">
        <w:rPr>
          <w:rFonts w:eastAsia="Times New Roman" w:cs="Tahoma"/>
          <w:color w:val="auto"/>
          <w:sz w:val="20"/>
          <w:szCs w:val="20"/>
          <w:bdr w:val="none" w:sz="0" w:space="0" w:color="auto"/>
        </w:rPr>
        <w:t>Considering</w:t>
      </w:r>
      <w:r w:rsidRPr="0034190F">
        <w:rPr>
          <w:rFonts w:eastAsia="Times New Roman" w:cs="Tahoma"/>
          <w:color w:val="auto"/>
          <w:sz w:val="20"/>
          <w:szCs w:val="20"/>
          <w:bdr w:val="none" w:sz="0" w:space="0" w:color="auto"/>
        </w:rPr>
        <w:t xml:space="preserve"> the seriousness of the </w:t>
      </w:r>
      <w:r w:rsidR="0002272E" w:rsidRPr="0034190F">
        <w:rPr>
          <w:rFonts w:eastAsia="Times New Roman" w:cs="Tahoma"/>
          <w:color w:val="auto"/>
          <w:sz w:val="20"/>
          <w:szCs w:val="20"/>
          <w:bdr w:val="none" w:sz="0" w:space="0" w:color="auto"/>
        </w:rPr>
        <w:t xml:space="preserve">stated </w:t>
      </w:r>
      <w:r w:rsidRPr="0034190F">
        <w:rPr>
          <w:rFonts w:eastAsia="Times New Roman" w:cs="Tahoma"/>
          <w:color w:val="auto"/>
          <w:sz w:val="20"/>
          <w:szCs w:val="20"/>
          <w:bdr w:val="none" w:sz="0" w:space="0" w:color="auto"/>
        </w:rPr>
        <w:t>violations</w:t>
      </w:r>
      <w:r w:rsidR="0002272E" w:rsidRPr="0034190F">
        <w:rPr>
          <w:rFonts w:eastAsia="Times New Roman" w:cs="Tahoma"/>
          <w:color w:val="auto"/>
          <w:sz w:val="20"/>
          <w:szCs w:val="20"/>
          <w:bdr w:val="none" w:sz="0" w:space="0" w:color="auto"/>
        </w:rPr>
        <w:t xml:space="preserve"> </w:t>
      </w:r>
      <w:r w:rsidRPr="0034190F">
        <w:rPr>
          <w:rFonts w:eastAsia="Times New Roman" w:cs="Tahoma"/>
          <w:color w:val="auto"/>
          <w:sz w:val="20"/>
          <w:szCs w:val="20"/>
          <w:bdr w:val="none" w:sz="0" w:space="0" w:color="auto"/>
        </w:rPr>
        <w:t xml:space="preserve">and </w:t>
      </w:r>
      <w:r w:rsidR="00BB013D" w:rsidRPr="0034190F">
        <w:rPr>
          <w:rFonts w:eastAsia="Times New Roman" w:cs="Tahoma"/>
          <w:color w:val="auto"/>
          <w:sz w:val="20"/>
          <w:szCs w:val="20"/>
          <w:bdr w:val="none" w:sz="0" w:space="0" w:color="auto"/>
        </w:rPr>
        <w:t>the</w:t>
      </w:r>
      <w:r w:rsidRPr="0034190F">
        <w:rPr>
          <w:rFonts w:eastAsia="Times New Roman" w:cs="Tahoma"/>
          <w:color w:val="auto"/>
          <w:sz w:val="20"/>
          <w:szCs w:val="20"/>
          <w:bdr w:val="none" w:sz="0" w:space="0" w:color="auto"/>
        </w:rPr>
        <w:t xml:space="preserve"> inter-American</w:t>
      </w:r>
      <w:r w:rsidR="0043505F" w:rsidRPr="0034190F">
        <w:rPr>
          <w:rFonts w:eastAsia="Times New Roman" w:cs="Tahoma"/>
          <w:color w:val="auto"/>
          <w:sz w:val="20"/>
          <w:szCs w:val="20"/>
          <w:bdr w:val="none" w:sz="0" w:space="0" w:color="auto"/>
        </w:rPr>
        <w:t xml:space="preserve"> </w:t>
      </w:r>
      <w:r w:rsidRPr="0034190F">
        <w:rPr>
          <w:rFonts w:eastAsia="Times New Roman" w:cs="Tahoma"/>
          <w:color w:val="auto"/>
          <w:sz w:val="20"/>
          <w:szCs w:val="20"/>
          <w:bdr w:val="none" w:sz="0" w:space="0" w:color="auto"/>
        </w:rPr>
        <w:t>standards</w:t>
      </w:r>
      <w:r w:rsidR="00BB013D" w:rsidRPr="0034190F">
        <w:rPr>
          <w:rFonts w:eastAsia="Times New Roman" w:cs="Tahoma"/>
          <w:color w:val="auto"/>
          <w:sz w:val="20"/>
          <w:szCs w:val="20"/>
          <w:bdr w:val="none" w:sz="0" w:space="0" w:color="auto"/>
        </w:rPr>
        <w:t xml:space="preserve"> involved</w:t>
      </w:r>
      <w:r w:rsidRPr="0034190F">
        <w:rPr>
          <w:rFonts w:eastAsia="Times New Roman" w:cs="Tahoma"/>
          <w:color w:val="auto"/>
          <w:sz w:val="20"/>
          <w:szCs w:val="20"/>
          <w:bdr w:val="none" w:sz="0" w:space="0" w:color="auto"/>
        </w:rPr>
        <w:t xml:space="preserve">, the Commission underscores that the State may not </w:t>
      </w:r>
      <w:r w:rsidR="00BB013D" w:rsidRPr="0034190F">
        <w:rPr>
          <w:rFonts w:eastAsia="Times New Roman" w:cs="Tahoma"/>
          <w:color w:val="auto"/>
          <w:sz w:val="20"/>
          <w:szCs w:val="20"/>
          <w:bdr w:val="none" w:sz="0" w:space="0" w:color="auto"/>
        </w:rPr>
        <w:t>put forth</w:t>
      </w:r>
      <w:r w:rsidR="0002272E" w:rsidRPr="0034190F">
        <w:rPr>
          <w:rFonts w:eastAsia="Times New Roman" w:cs="Tahoma"/>
          <w:color w:val="auto"/>
          <w:sz w:val="20"/>
          <w:szCs w:val="20"/>
          <w:bdr w:val="none" w:sz="0" w:space="0" w:color="auto"/>
        </w:rPr>
        <w:t xml:space="preserve"> the </w:t>
      </w:r>
      <w:r w:rsidR="00BB013D" w:rsidRPr="0034190F">
        <w:rPr>
          <w:rFonts w:eastAsia="Times New Roman" w:cs="Tahoma"/>
          <w:color w:val="auto"/>
          <w:sz w:val="20"/>
          <w:szCs w:val="20"/>
          <w:bdr w:val="none" w:sz="0" w:space="0" w:color="auto"/>
        </w:rPr>
        <w:t xml:space="preserve">argument that the </w:t>
      </w:r>
      <w:r w:rsidR="0002272E" w:rsidRPr="0034190F">
        <w:rPr>
          <w:rFonts w:eastAsia="Times New Roman" w:cs="Tahoma"/>
          <w:color w:val="auto"/>
          <w:sz w:val="20"/>
          <w:szCs w:val="20"/>
          <w:bdr w:val="none" w:sz="0" w:space="0" w:color="auto"/>
        </w:rPr>
        <w:t>guarantee</w:t>
      </w:r>
      <w:r w:rsidR="008E29C0" w:rsidRPr="0034190F">
        <w:rPr>
          <w:rFonts w:eastAsia="Times New Roman" w:cs="Tahoma"/>
          <w:color w:val="auto"/>
          <w:sz w:val="20"/>
          <w:szCs w:val="20"/>
          <w:bdr w:val="none" w:sz="0" w:space="0" w:color="auto"/>
        </w:rPr>
        <w:t>s</w:t>
      </w:r>
      <w:r w:rsidR="0002272E" w:rsidRPr="0034190F">
        <w:rPr>
          <w:rFonts w:eastAsia="Times New Roman" w:cs="Tahoma"/>
          <w:color w:val="auto"/>
          <w:sz w:val="20"/>
          <w:szCs w:val="20"/>
          <w:bdr w:val="none" w:sz="0" w:space="0" w:color="auto"/>
        </w:rPr>
        <w:t xml:space="preserve"> of </w:t>
      </w:r>
      <w:r w:rsidR="0043505F" w:rsidRPr="0034190F">
        <w:rPr>
          <w:i/>
          <w:color w:val="auto"/>
          <w:sz w:val="20"/>
          <w:szCs w:val="20"/>
        </w:rPr>
        <w:t>ne bis in ídem</w:t>
      </w:r>
      <w:r w:rsidR="0043505F" w:rsidRPr="0034190F">
        <w:rPr>
          <w:color w:val="auto"/>
          <w:sz w:val="20"/>
          <w:szCs w:val="20"/>
        </w:rPr>
        <w:t xml:space="preserve">, </w:t>
      </w:r>
      <w:r w:rsidR="0002272E" w:rsidRPr="0034190F">
        <w:rPr>
          <w:i/>
          <w:color w:val="auto"/>
          <w:sz w:val="20"/>
          <w:szCs w:val="20"/>
        </w:rPr>
        <w:t>res judicata</w:t>
      </w:r>
      <w:r w:rsidR="0002272E" w:rsidRPr="0034190F">
        <w:rPr>
          <w:color w:val="auto"/>
          <w:sz w:val="20"/>
          <w:szCs w:val="20"/>
        </w:rPr>
        <w:t xml:space="preserve">, or statutes of limitation justify a failure to comply with this recommendation. </w:t>
      </w:r>
    </w:p>
    <w:p w:rsidR="0043505F" w:rsidRPr="0034190F" w:rsidRDefault="0043505F" w:rsidP="0043505F">
      <w:pPr>
        <w:pStyle w:val="ListParagraph"/>
        <w:ind w:left="0" w:firstLine="720"/>
        <w:rPr>
          <w:rFonts w:eastAsia="Times New Roman" w:cs="Tahoma"/>
          <w:color w:val="auto"/>
          <w:sz w:val="20"/>
          <w:szCs w:val="20"/>
          <w:bdr w:val="none" w:sz="0" w:space="0" w:color="auto"/>
        </w:rPr>
      </w:pPr>
    </w:p>
    <w:p w:rsidR="0043505F" w:rsidRPr="0034190F" w:rsidRDefault="0002272E" w:rsidP="0043505F">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olor w:val="auto"/>
          <w:sz w:val="20"/>
          <w:szCs w:val="20"/>
          <w:bdr w:val="none" w:sz="0" w:space="0" w:color="auto"/>
        </w:rPr>
      </w:pPr>
      <w:r w:rsidRPr="0034190F">
        <w:rPr>
          <w:rFonts w:eastAsia="Times New Roman" w:cs="Tahoma"/>
          <w:color w:val="auto"/>
          <w:sz w:val="20"/>
          <w:szCs w:val="20"/>
          <w:bdr w:val="none" w:sz="0" w:space="0" w:color="auto"/>
        </w:rPr>
        <w:t xml:space="preserve">Provide the </w:t>
      </w:r>
      <w:r w:rsidR="00BB013D" w:rsidRPr="0034190F">
        <w:rPr>
          <w:rFonts w:eastAsia="Times New Roman" w:cs="Tahoma"/>
          <w:color w:val="auto"/>
          <w:sz w:val="20"/>
          <w:szCs w:val="20"/>
          <w:bdr w:val="none" w:sz="0" w:space="0" w:color="auto"/>
        </w:rPr>
        <w:t xml:space="preserve">necessary </w:t>
      </w:r>
      <w:r w:rsidRPr="0034190F">
        <w:rPr>
          <w:rFonts w:eastAsia="Times New Roman" w:cs="Tahoma"/>
          <w:color w:val="auto"/>
          <w:sz w:val="20"/>
          <w:szCs w:val="20"/>
          <w:bdr w:val="none" w:sz="0" w:space="0" w:color="auto"/>
        </w:rPr>
        <w:t>physical and mental health</w:t>
      </w:r>
      <w:r w:rsidR="00BB013D" w:rsidRPr="0034190F">
        <w:rPr>
          <w:rFonts w:eastAsia="Times New Roman" w:cs="Tahoma"/>
          <w:color w:val="auto"/>
          <w:sz w:val="20"/>
          <w:szCs w:val="20"/>
          <w:bdr w:val="none" w:sz="0" w:space="0" w:color="auto"/>
        </w:rPr>
        <w:t>-</w:t>
      </w:r>
      <w:r w:rsidRPr="0034190F">
        <w:rPr>
          <w:rFonts w:eastAsia="Times New Roman" w:cs="Tahoma"/>
          <w:color w:val="auto"/>
          <w:sz w:val="20"/>
          <w:szCs w:val="20"/>
          <w:bdr w:val="none" w:sz="0" w:space="0" w:color="auto"/>
        </w:rPr>
        <w:t xml:space="preserve">care measures for the rehabilitation of Mr. </w:t>
      </w:r>
      <w:r w:rsidR="0043505F" w:rsidRPr="0034190F">
        <w:rPr>
          <w:rFonts w:eastAsia="Times New Roman" w:cs="Tahoma"/>
          <w:color w:val="auto"/>
          <w:sz w:val="20"/>
          <w:szCs w:val="20"/>
          <w:bdr w:val="none" w:sz="0" w:space="0" w:color="auto"/>
        </w:rPr>
        <w:t xml:space="preserve">Patricio Roche Azaña </w:t>
      </w:r>
      <w:r w:rsidRPr="0034190F">
        <w:rPr>
          <w:rFonts w:eastAsia="Times New Roman" w:cs="Tahoma"/>
          <w:color w:val="auto"/>
          <w:sz w:val="20"/>
          <w:szCs w:val="20"/>
          <w:bdr w:val="none" w:sz="0" w:space="0" w:color="auto"/>
        </w:rPr>
        <w:t xml:space="preserve">and his parents, if </w:t>
      </w:r>
      <w:r w:rsidR="00294C07" w:rsidRPr="0034190F">
        <w:rPr>
          <w:rFonts w:eastAsia="Times New Roman" w:cs="Tahoma"/>
          <w:color w:val="auto"/>
          <w:sz w:val="20"/>
          <w:szCs w:val="20"/>
          <w:bdr w:val="none" w:sz="0" w:space="0" w:color="auto"/>
        </w:rPr>
        <w:t>they so</w:t>
      </w:r>
      <w:r w:rsidRPr="0034190F">
        <w:rPr>
          <w:rFonts w:eastAsia="Times New Roman" w:cs="Tahoma"/>
          <w:color w:val="auto"/>
          <w:sz w:val="20"/>
          <w:szCs w:val="20"/>
          <w:bdr w:val="none" w:sz="0" w:space="0" w:color="auto"/>
        </w:rPr>
        <w:t xml:space="preserve"> wish and in consultation with </w:t>
      </w:r>
      <w:r w:rsidR="00294C07" w:rsidRPr="0034190F">
        <w:rPr>
          <w:rFonts w:eastAsia="Times New Roman" w:cs="Tahoma"/>
          <w:color w:val="auto"/>
          <w:sz w:val="20"/>
          <w:szCs w:val="20"/>
          <w:bdr w:val="none" w:sz="0" w:space="0" w:color="auto"/>
        </w:rPr>
        <w:t>them</w:t>
      </w:r>
      <w:r w:rsidRPr="0034190F">
        <w:rPr>
          <w:rFonts w:eastAsia="Times New Roman" w:cs="Tahoma"/>
          <w:color w:val="auto"/>
          <w:sz w:val="20"/>
          <w:szCs w:val="20"/>
          <w:bdr w:val="none" w:sz="0" w:space="0" w:color="auto"/>
        </w:rPr>
        <w:t xml:space="preserve">. </w:t>
      </w:r>
    </w:p>
    <w:p w:rsidR="0043505F" w:rsidRPr="0034190F" w:rsidRDefault="0043505F" w:rsidP="0043505F">
      <w:pPr>
        <w:ind w:firstLine="720"/>
        <w:rPr>
          <w:rFonts w:ascii="Cambria" w:eastAsia="Times New Roman" w:hAnsi="Cambria" w:cs="Tahoma"/>
          <w:sz w:val="20"/>
          <w:szCs w:val="20"/>
          <w:bdr w:val="none" w:sz="0" w:space="0" w:color="auto"/>
        </w:rPr>
      </w:pPr>
    </w:p>
    <w:p w:rsidR="0043505F" w:rsidRPr="0034190F" w:rsidRDefault="0002272E" w:rsidP="0043505F">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olor w:val="auto"/>
          <w:sz w:val="20"/>
          <w:szCs w:val="20"/>
          <w:bdr w:val="none" w:sz="0" w:space="0" w:color="auto"/>
        </w:rPr>
      </w:pPr>
      <w:r w:rsidRPr="0034190F">
        <w:rPr>
          <w:rFonts w:eastAsia="Times New Roman" w:cs="Tahoma"/>
          <w:color w:val="auto"/>
          <w:sz w:val="20"/>
          <w:szCs w:val="20"/>
          <w:bdr w:val="none" w:sz="0" w:space="0" w:color="auto"/>
        </w:rPr>
        <w:t xml:space="preserve">Provide non-repetition mechanisms that include the training of authorities on the use of force, in </w:t>
      </w:r>
      <w:r w:rsidR="00CC3250" w:rsidRPr="0034190F">
        <w:rPr>
          <w:rFonts w:eastAsia="Times New Roman" w:cs="Tahoma"/>
          <w:color w:val="auto"/>
          <w:sz w:val="20"/>
          <w:szCs w:val="20"/>
          <w:bdr w:val="none" w:sz="0" w:space="0" w:color="auto"/>
        </w:rPr>
        <w:t>keeping</w:t>
      </w:r>
      <w:r w:rsidRPr="0034190F">
        <w:rPr>
          <w:rFonts w:eastAsia="Times New Roman" w:cs="Tahoma"/>
          <w:color w:val="auto"/>
          <w:sz w:val="20"/>
          <w:szCs w:val="20"/>
          <w:bdr w:val="none" w:sz="0" w:space="0" w:color="auto"/>
        </w:rPr>
        <w:t xml:space="preserve"> with the standards described in this </w:t>
      </w:r>
      <w:r w:rsidR="00CE166B" w:rsidRPr="0034190F">
        <w:rPr>
          <w:rFonts w:eastAsia="Times New Roman" w:cs="Tahoma"/>
          <w:color w:val="auto"/>
          <w:sz w:val="20"/>
          <w:szCs w:val="20"/>
          <w:bdr w:val="none" w:sz="0" w:space="0" w:color="auto"/>
        </w:rPr>
        <w:t xml:space="preserve">merits </w:t>
      </w:r>
      <w:r w:rsidRPr="0034190F">
        <w:rPr>
          <w:rFonts w:eastAsia="Times New Roman" w:cs="Tahoma"/>
          <w:color w:val="auto"/>
          <w:sz w:val="20"/>
          <w:szCs w:val="20"/>
          <w:bdr w:val="none" w:sz="0" w:space="0" w:color="auto"/>
        </w:rPr>
        <w:t xml:space="preserve">report, as well as </w:t>
      </w:r>
      <w:r w:rsidR="00CC3250" w:rsidRPr="0034190F">
        <w:rPr>
          <w:rFonts w:eastAsia="Times New Roman" w:cs="Tahoma"/>
          <w:color w:val="auto"/>
          <w:sz w:val="20"/>
          <w:szCs w:val="20"/>
          <w:bdr w:val="none" w:sz="0" w:space="0" w:color="auto"/>
        </w:rPr>
        <w:t xml:space="preserve">training </w:t>
      </w:r>
      <w:r w:rsidRPr="0034190F">
        <w:rPr>
          <w:rFonts w:eastAsia="Times New Roman" w:cs="Tahoma"/>
          <w:color w:val="auto"/>
          <w:sz w:val="20"/>
          <w:szCs w:val="20"/>
          <w:bdr w:val="none" w:sz="0" w:space="0" w:color="auto"/>
        </w:rPr>
        <w:t>on the human rights of migrant persons.</w:t>
      </w:r>
    </w:p>
    <w:p w:rsidR="0043505F" w:rsidRPr="0034190F" w:rsidRDefault="0043505F" w:rsidP="0043505F">
      <w:pPr>
        <w:ind w:firstLine="720"/>
        <w:jc w:val="both"/>
        <w:rPr>
          <w:rFonts w:ascii="Cambria" w:hAnsi="Cambria"/>
          <w:b/>
          <w:sz w:val="20"/>
          <w:szCs w:val="20"/>
        </w:rPr>
      </w:pPr>
    </w:p>
    <w:p w:rsidR="00C55560" w:rsidRPr="0034190F" w:rsidRDefault="00C55560" w:rsidP="0043505F">
      <w:pPr>
        <w:tabs>
          <w:tab w:val="center" w:pos="5400"/>
        </w:tabs>
        <w:suppressAutoHyphens/>
        <w:spacing w:line="276" w:lineRule="auto"/>
        <w:jc w:val="center"/>
        <w:rPr>
          <w:rFonts w:ascii="Cambria" w:hAnsi="Cambria"/>
          <w:sz w:val="20"/>
          <w:szCs w:val="20"/>
        </w:rPr>
      </w:pPr>
    </w:p>
    <w:sectPr w:rsidR="00C55560" w:rsidRPr="0034190F" w:rsidSect="006311DA">
      <w:footerReference w:type="first" r:id="rId17"/>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9523D0" w16cid:durableId="1F4646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582" w:rsidRDefault="00247582" w:rsidP="00036A8A">
      <w:r>
        <w:separator/>
      </w:r>
    </w:p>
  </w:endnote>
  <w:endnote w:type="continuationSeparator" w:id="0">
    <w:p w:rsidR="00247582" w:rsidRDefault="0024758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0E7166" w:rsidRPr="006311DA" w:rsidRDefault="000E716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05881">
          <w:rPr>
            <w:noProof/>
            <w:sz w:val="16"/>
          </w:rPr>
          <w:t>1</w:t>
        </w:r>
        <w:r w:rsidRPr="006311DA">
          <w:rPr>
            <w:noProof/>
            <w:sz w:val="16"/>
          </w:rPr>
          <w:fldChar w:fldCharType="end"/>
        </w:r>
      </w:p>
    </w:sdtContent>
  </w:sdt>
  <w:p w:rsidR="000E7166" w:rsidRDefault="000E71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66" w:rsidRDefault="000E7166">
    <w:pPr>
      <w:pStyle w:val="Footer"/>
      <w:jc w:val="center"/>
    </w:pPr>
  </w:p>
  <w:p w:rsidR="000E7166" w:rsidRDefault="000E71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0E7166" w:rsidRDefault="000E716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E7166" w:rsidRDefault="000E7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582" w:rsidRPr="00036A8A" w:rsidRDefault="0024758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47582" w:rsidRPr="00036A8A" w:rsidRDefault="00247582" w:rsidP="00036A8A">
      <w:pPr>
        <w:rPr>
          <w:rFonts w:asciiTheme="majorHAnsi" w:hAnsiTheme="majorHAnsi"/>
          <w:sz w:val="16"/>
          <w:szCs w:val="16"/>
        </w:rPr>
      </w:pPr>
      <w:r w:rsidRPr="00036A8A">
        <w:rPr>
          <w:rFonts w:asciiTheme="majorHAnsi" w:hAnsiTheme="majorHAnsi"/>
          <w:sz w:val="16"/>
          <w:szCs w:val="16"/>
        </w:rPr>
        <w:separator/>
      </w:r>
    </w:p>
    <w:p w:rsidR="00247582" w:rsidRPr="00036A8A" w:rsidRDefault="0024758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247582" w:rsidRPr="0093441A" w:rsidRDefault="00247582"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0E7166" w:rsidRPr="007B0C44" w:rsidRDefault="000E7166" w:rsidP="0043505F">
      <w:pPr>
        <w:pStyle w:val="FootnoteText"/>
        <w:spacing w:after="120"/>
        <w:ind w:firstLine="720"/>
        <w:jc w:val="both"/>
        <w:rPr>
          <w:rFonts w:asciiTheme="majorHAnsi" w:hAnsiTheme="majorHAnsi"/>
          <w:sz w:val="16"/>
          <w:szCs w:val="16"/>
        </w:rPr>
      </w:pPr>
      <w:r w:rsidRPr="00A01230">
        <w:rPr>
          <w:rStyle w:val="FootnoteReference"/>
          <w:rFonts w:asciiTheme="majorHAnsi" w:hAnsiTheme="majorHAnsi"/>
          <w:sz w:val="16"/>
          <w:szCs w:val="16"/>
        </w:rPr>
        <w:footnoteRef/>
      </w:r>
      <w:r w:rsidRPr="00FA6ECA">
        <w:rPr>
          <w:rFonts w:asciiTheme="majorHAnsi" w:hAnsiTheme="majorHAnsi"/>
          <w:sz w:val="16"/>
          <w:szCs w:val="16"/>
        </w:rPr>
        <w:t xml:space="preserve"> </w:t>
      </w:r>
      <w:proofErr w:type="gramStart"/>
      <w:r w:rsidRPr="00FA6ECA">
        <w:rPr>
          <w:rFonts w:asciiTheme="majorHAnsi" w:hAnsiTheme="majorHAnsi"/>
          <w:color w:val="auto"/>
          <w:sz w:val="16"/>
          <w:szCs w:val="16"/>
        </w:rPr>
        <w:t>IACHR.</w:t>
      </w:r>
      <w:proofErr w:type="gramEnd"/>
      <w:r w:rsidRPr="00FA6ECA">
        <w:rPr>
          <w:rFonts w:asciiTheme="majorHAnsi" w:hAnsiTheme="majorHAnsi"/>
          <w:color w:val="auto"/>
          <w:sz w:val="16"/>
          <w:szCs w:val="16"/>
        </w:rPr>
        <w:t xml:space="preserve"> Report No. 88/09. </w:t>
      </w:r>
      <w:proofErr w:type="gramStart"/>
      <w:r w:rsidRPr="00FA6ECA">
        <w:rPr>
          <w:rFonts w:asciiTheme="majorHAnsi" w:hAnsiTheme="majorHAnsi"/>
          <w:color w:val="auto"/>
          <w:sz w:val="16"/>
          <w:szCs w:val="16"/>
        </w:rPr>
        <w:t>Petition 405-99.</w:t>
      </w:r>
      <w:proofErr w:type="gramEnd"/>
      <w:r w:rsidRPr="00FA6ECA">
        <w:rPr>
          <w:rFonts w:asciiTheme="majorHAnsi" w:hAnsiTheme="majorHAnsi"/>
          <w:color w:val="auto"/>
          <w:sz w:val="16"/>
          <w:szCs w:val="16"/>
        </w:rPr>
        <w:t xml:space="preserve"> </w:t>
      </w:r>
      <w:proofErr w:type="gramStart"/>
      <w:r w:rsidRPr="00FA6ECA">
        <w:rPr>
          <w:rFonts w:asciiTheme="majorHAnsi" w:hAnsiTheme="majorHAnsi"/>
          <w:color w:val="auto"/>
          <w:sz w:val="16"/>
          <w:szCs w:val="16"/>
        </w:rPr>
        <w:t>Admissibility.</w:t>
      </w:r>
      <w:proofErr w:type="gramEnd"/>
      <w:r w:rsidRPr="00FA6ECA">
        <w:rPr>
          <w:rFonts w:asciiTheme="majorHAnsi" w:hAnsiTheme="majorHAnsi"/>
          <w:color w:val="auto"/>
          <w:sz w:val="16"/>
          <w:szCs w:val="16"/>
        </w:rPr>
        <w:t xml:space="preserve"> </w:t>
      </w:r>
      <w:r w:rsidRPr="00E16A46">
        <w:rPr>
          <w:rFonts w:asciiTheme="majorHAnsi" w:hAnsiTheme="majorHAnsi"/>
          <w:color w:val="auto"/>
          <w:sz w:val="16"/>
          <w:szCs w:val="16"/>
        </w:rPr>
        <w:t xml:space="preserve">Patricio Fernando Roche Azaña et al. </w:t>
      </w:r>
      <w:r w:rsidRPr="00E8055D">
        <w:rPr>
          <w:rFonts w:asciiTheme="majorHAnsi" w:hAnsiTheme="majorHAnsi"/>
          <w:color w:val="auto"/>
          <w:sz w:val="16"/>
          <w:szCs w:val="16"/>
        </w:rPr>
        <w:t xml:space="preserve">Nicaragua. August 7, 2009. </w:t>
      </w:r>
      <w:r w:rsidRPr="007B0C44">
        <w:rPr>
          <w:rFonts w:asciiTheme="majorHAnsi" w:hAnsiTheme="majorHAnsi"/>
          <w:color w:val="auto"/>
          <w:sz w:val="16"/>
          <w:szCs w:val="16"/>
        </w:rPr>
        <w:t>The Commission declared the petition admissible with respect to Articles 1.1, 4.1, 5.1, 8.1, and 24 of the American Convention on Human Rights; it also declared the petition inadmissible with respect to Article 22 of the American Convention on Human Rights.</w:t>
      </w:r>
    </w:p>
  </w:footnote>
  <w:footnote w:id="3">
    <w:p w:rsidR="000E7166" w:rsidRPr="007D60E2" w:rsidRDefault="000E7166" w:rsidP="0043505F">
      <w:pPr>
        <w:pStyle w:val="FootnoteText"/>
        <w:rPr>
          <w:rFonts w:asciiTheme="majorHAnsi" w:hAnsiTheme="majorHAnsi"/>
          <w:sz w:val="16"/>
          <w:szCs w:val="16"/>
        </w:rPr>
      </w:pPr>
      <w:r w:rsidRPr="00A01230">
        <w:rPr>
          <w:rStyle w:val="FootnoteReference"/>
          <w:rFonts w:asciiTheme="majorHAnsi" w:hAnsiTheme="majorHAnsi"/>
          <w:sz w:val="16"/>
          <w:szCs w:val="16"/>
        </w:rPr>
        <w:footnoteRef/>
      </w:r>
      <w:r w:rsidRPr="007D60E2">
        <w:rPr>
          <w:rFonts w:asciiTheme="majorHAnsi" w:hAnsiTheme="majorHAnsi"/>
          <w:sz w:val="16"/>
          <w:szCs w:val="16"/>
        </w:rPr>
        <w:t xml:space="preserve"> </w:t>
      </w:r>
      <w:proofErr w:type="gramStart"/>
      <w:r w:rsidRPr="007D60E2">
        <w:rPr>
          <w:rFonts w:asciiTheme="majorHAnsi" w:hAnsiTheme="majorHAnsi" w:cs="Times New Roman"/>
          <w:color w:val="auto"/>
          <w:sz w:val="16"/>
          <w:szCs w:val="16"/>
          <w:bdr w:val="none" w:sz="0" w:space="0" w:color="auto"/>
          <w:lang w:eastAsia="en-US"/>
        </w:rPr>
        <w:t>Initial petition of December 23, 1998.</w:t>
      </w:r>
      <w:proofErr w:type="gramEnd"/>
    </w:p>
  </w:footnote>
  <w:footnote w:id="4">
    <w:p w:rsidR="000E7166" w:rsidRPr="00E8055D"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7D60E2">
        <w:rPr>
          <w:rFonts w:asciiTheme="majorHAnsi" w:hAnsiTheme="majorHAnsi"/>
          <w:sz w:val="16"/>
          <w:szCs w:val="16"/>
        </w:rPr>
        <w:t xml:space="preserve"> Annex XX. </w:t>
      </w:r>
      <w:proofErr w:type="gramStart"/>
      <w:r w:rsidRPr="00E80090">
        <w:rPr>
          <w:rFonts w:asciiTheme="majorHAnsi" w:hAnsiTheme="majorHAnsi"/>
          <w:sz w:val="16"/>
          <w:szCs w:val="16"/>
        </w:rPr>
        <w:t>Case File.</w:t>
      </w:r>
      <w:proofErr w:type="gramEnd"/>
      <w:r w:rsidRPr="00E80090">
        <w:rPr>
          <w:rFonts w:asciiTheme="majorHAnsi" w:hAnsiTheme="majorHAnsi"/>
          <w:sz w:val="16"/>
          <w:szCs w:val="16"/>
        </w:rPr>
        <w:t xml:space="preserve"> </w:t>
      </w:r>
      <w:proofErr w:type="gramStart"/>
      <w:r w:rsidRPr="00E8055D">
        <w:rPr>
          <w:rFonts w:asciiTheme="majorHAnsi" w:hAnsiTheme="majorHAnsi"/>
          <w:sz w:val="16"/>
          <w:szCs w:val="16"/>
        </w:rPr>
        <w:t xml:space="preserve">Visual Inspection </w:t>
      </w:r>
      <w:r>
        <w:rPr>
          <w:rFonts w:asciiTheme="majorHAnsi" w:hAnsiTheme="majorHAnsi"/>
          <w:sz w:val="16"/>
          <w:szCs w:val="16"/>
        </w:rPr>
        <w:t xml:space="preserve">Report </w:t>
      </w:r>
      <w:r w:rsidRPr="00E8055D">
        <w:rPr>
          <w:rFonts w:asciiTheme="majorHAnsi" w:hAnsiTheme="majorHAnsi"/>
          <w:sz w:val="16"/>
          <w:szCs w:val="16"/>
        </w:rPr>
        <w:t>o</w:t>
      </w:r>
      <w:r>
        <w:rPr>
          <w:rFonts w:asciiTheme="majorHAnsi" w:hAnsiTheme="majorHAnsi"/>
          <w:sz w:val="16"/>
          <w:szCs w:val="16"/>
        </w:rPr>
        <w:t>n</w:t>
      </w:r>
      <w:r w:rsidRPr="00E8055D">
        <w:rPr>
          <w:rFonts w:asciiTheme="majorHAnsi" w:hAnsiTheme="majorHAnsi"/>
          <w:sz w:val="16"/>
          <w:szCs w:val="16"/>
        </w:rPr>
        <w:t xml:space="preserve"> Vehicle.</w:t>
      </w:r>
      <w:proofErr w:type="gramEnd"/>
      <w:r w:rsidRPr="00E8055D">
        <w:rPr>
          <w:rFonts w:asciiTheme="majorHAnsi" w:hAnsiTheme="majorHAnsi"/>
          <w:sz w:val="16"/>
          <w:szCs w:val="16"/>
        </w:rPr>
        <w:t xml:space="preserve"> </w:t>
      </w:r>
      <w:proofErr w:type="gramStart"/>
      <w:r w:rsidRPr="00E8055D">
        <w:rPr>
          <w:rFonts w:asciiTheme="majorHAnsi" w:hAnsiTheme="majorHAnsi"/>
          <w:sz w:val="16"/>
          <w:szCs w:val="16"/>
        </w:rPr>
        <w:t>April 18, 1996, p. 12.</w:t>
      </w:r>
      <w:proofErr w:type="gramEnd"/>
    </w:p>
  </w:footnote>
  <w:footnote w:id="5">
    <w:p w:rsidR="000E7166" w:rsidRPr="00E8055D"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8055D">
        <w:rPr>
          <w:rFonts w:asciiTheme="majorHAnsi" w:hAnsiTheme="majorHAnsi"/>
          <w:sz w:val="16"/>
          <w:szCs w:val="16"/>
        </w:rPr>
        <w:t xml:space="preserve"> </w:t>
      </w:r>
      <w:r w:rsidRPr="007D60E2">
        <w:rPr>
          <w:rFonts w:asciiTheme="majorHAnsi" w:hAnsiTheme="majorHAnsi"/>
          <w:sz w:val="16"/>
          <w:szCs w:val="16"/>
        </w:rPr>
        <w:t xml:space="preserve">Annex XX. </w:t>
      </w:r>
      <w:proofErr w:type="gramStart"/>
      <w:r w:rsidRPr="00E8055D">
        <w:rPr>
          <w:rFonts w:asciiTheme="majorHAnsi" w:hAnsiTheme="majorHAnsi"/>
          <w:sz w:val="16"/>
          <w:szCs w:val="16"/>
        </w:rPr>
        <w:t>Case File.</w:t>
      </w:r>
      <w:proofErr w:type="gramEnd"/>
      <w:r w:rsidRPr="00E8055D">
        <w:rPr>
          <w:rFonts w:asciiTheme="majorHAnsi" w:hAnsiTheme="majorHAnsi"/>
          <w:sz w:val="16"/>
          <w:szCs w:val="16"/>
        </w:rPr>
        <w:t xml:space="preserve"> Statement</w:t>
      </w:r>
      <w:r>
        <w:rPr>
          <w:rFonts w:asciiTheme="majorHAnsi" w:hAnsiTheme="majorHAnsi"/>
          <w:sz w:val="16"/>
          <w:szCs w:val="16"/>
        </w:rPr>
        <w:t>,</w:t>
      </w:r>
      <w:r w:rsidRPr="00E8055D">
        <w:rPr>
          <w:rFonts w:asciiTheme="majorHAnsi" w:hAnsiTheme="majorHAnsi"/>
          <w:sz w:val="16"/>
          <w:szCs w:val="16"/>
        </w:rPr>
        <w:t xml:space="preserve"> </w:t>
      </w:r>
      <w:proofErr w:type="spellStart"/>
      <w:r w:rsidRPr="00E8055D">
        <w:rPr>
          <w:rFonts w:asciiTheme="majorHAnsi" w:hAnsiTheme="majorHAnsi"/>
          <w:sz w:val="16"/>
          <w:szCs w:val="16"/>
        </w:rPr>
        <w:t>Germán</w:t>
      </w:r>
      <w:proofErr w:type="spellEnd"/>
      <w:r w:rsidRPr="00E8055D">
        <w:rPr>
          <w:rFonts w:asciiTheme="majorHAnsi" w:hAnsiTheme="majorHAnsi"/>
          <w:sz w:val="16"/>
          <w:szCs w:val="16"/>
        </w:rPr>
        <w:t xml:space="preserve"> Pineda </w:t>
      </w:r>
      <w:proofErr w:type="spellStart"/>
      <w:r w:rsidRPr="00E8055D">
        <w:rPr>
          <w:rFonts w:asciiTheme="majorHAnsi" w:hAnsiTheme="majorHAnsi"/>
          <w:sz w:val="16"/>
          <w:szCs w:val="16"/>
        </w:rPr>
        <w:t>Dávila</w:t>
      </w:r>
      <w:proofErr w:type="spellEnd"/>
      <w:r w:rsidRPr="00E8055D">
        <w:rPr>
          <w:rFonts w:asciiTheme="majorHAnsi" w:hAnsiTheme="majorHAnsi"/>
          <w:sz w:val="16"/>
          <w:szCs w:val="16"/>
        </w:rPr>
        <w:t>, p. 109.</w:t>
      </w:r>
    </w:p>
  </w:footnote>
  <w:footnote w:id="6">
    <w:p w:rsidR="000E7166" w:rsidRPr="00E8055D"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8055D">
        <w:rPr>
          <w:rFonts w:asciiTheme="majorHAnsi" w:hAnsiTheme="majorHAnsi"/>
          <w:sz w:val="16"/>
          <w:szCs w:val="16"/>
        </w:rPr>
        <w:t xml:space="preserve"> </w:t>
      </w:r>
      <w:r w:rsidRPr="007D60E2">
        <w:rPr>
          <w:rFonts w:asciiTheme="majorHAnsi" w:hAnsiTheme="majorHAnsi"/>
          <w:sz w:val="16"/>
          <w:szCs w:val="16"/>
        </w:rPr>
        <w:t xml:space="preserve">Annex XX. </w:t>
      </w:r>
      <w:proofErr w:type="gramStart"/>
      <w:r w:rsidRPr="00E8055D">
        <w:rPr>
          <w:rFonts w:asciiTheme="majorHAnsi" w:hAnsiTheme="majorHAnsi"/>
          <w:sz w:val="16"/>
          <w:szCs w:val="16"/>
        </w:rPr>
        <w:t>Case File.</w:t>
      </w:r>
      <w:proofErr w:type="gramEnd"/>
      <w:r w:rsidRPr="00E8055D">
        <w:rPr>
          <w:rFonts w:asciiTheme="majorHAnsi" w:hAnsiTheme="majorHAnsi"/>
          <w:sz w:val="16"/>
          <w:szCs w:val="16"/>
        </w:rPr>
        <w:t xml:space="preserve"> Statement</w:t>
      </w:r>
      <w:r>
        <w:rPr>
          <w:rFonts w:asciiTheme="majorHAnsi" w:hAnsiTheme="majorHAnsi"/>
          <w:sz w:val="16"/>
          <w:szCs w:val="16"/>
        </w:rPr>
        <w:t xml:space="preserve">, </w:t>
      </w:r>
      <w:proofErr w:type="spellStart"/>
      <w:r w:rsidRPr="00E8055D">
        <w:rPr>
          <w:rFonts w:asciiTheme="majorHAnsi" w:hAnsiTheme="majorHAnsi"/>
          <w:sz w:val="16"/>
          <w:szCs w:val="16"/>
        </w:rPr>
        <w:t>Germán</w:t>
      </w:r>
      <w:proofErr w:type="spellEnd"/>
      <w:r w:rsidRPr="00E8055D">
        <w:rPr>
          <w:rFonts w:asciiTheme="majorHAnsi" w:hAnsiTheme="majorHAnsi"/>
          <w:sz w:val="16"/>
          <w:szCs w:val="16"/>
        </w:rPr>
        <w:t xml:space="preserve"> Pineda </w:t>
      </w:r>
      <w:proofErr w:type="spellStart"/>
      <w:r w:rsidRPr="00E8055D">
        <w:rPr>
          <w:rFonts w:asciiTheme="majorHAnsi" w:hAnsiTheme="majorHAnsi"/>
          <w:sz w:val="16"/>
          <w:szCs w:val="16"/>
        </w:rPr>
        <w:t>Dávila</w:t>
      </w:r>
      <w:proofErr w:type="spellEnd"/>
      <w:r w:rsidRPr="00E8055D">
        <w:rPr>
          <w:rFonts w:asciiTheme="majorHAnsi" w:hAnsiTheme="majorHAnsi"/>
          <w:sz w:val="16"/>
          <w:szCs w:val="16"/>
        </w:rPr>
        <w:t>, p. 109.</w:t>
      </w:r>
    </w:p>
  </w:footnote>
  <w:footnote w:id="7">
    <w:p w:rsidR="000E7166" w:rsidRPr="00E8055D"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8055D">
        <w:rPr>
          <w:rFonts w:asciiTheme="majorHAnsi" w:hAnsiTheme="majorHAnsi"/>
          <w:sz w:val="16"/>
          <w:szCs w:val="16"/>
        </w:rPr>
        <w:t xml:space="preserve"> </w:t>
      </w:r>
      <w:r w:rsidRPr="007D60E2">
        <w:rPr>
          <w:rFonts w:asciiTheme="majorHAnsi" w:hAnsiTheme="majorHAnsi"/>
          <w:sz w:val="16"/>
          <w:szCs w:val="16"/>
        </w:rPr>
        <w:t xml:space="preserve">Annex XX. </w:t>
      </w:r>
      <w:proofErr w:type="gramStart"/>
      <w:r w:rsidRPr="00E8055D">
        <w:rPr>
          <w:rFonts w:asciiTheme="majorHAnsi" w:hAnsiTheme="majorHAnsi"/>
          <w:sz w:val="16"/>
          <w:szCs w:val="16"/>
        </w:rPr>
        <w:t>Case File.</w:t>
      </w:r>
      <w:proofErr w:type="gramEnd"/>
      <w:r w:rsidRPr="00E8055D">
        <w:rPr>
          <w:rFonts w:asciiTheme="majorHAnsi" w:hAnsiTheme="majorHAnsi"/>
          <w:sz w:val="16"/>
          <w:szCs w:val="16"/>
        </w:rPr>
        <w:t xml:space="preserve"> Statement</w:t>
      </w:r>
      <w:r>
        <w:rPr>
          <w:rFonts w:asciiTheme="majorHAnsi" w:hAnsiTheme="majorHAnsi"/>
          <w:sz w:val="16"/>
          <w:szCs w:val="16"/>
        </w:rPr>
        <w:t>,</w:t>
      </w:r>
      <w:r w:rsidRPr="00E8055D">
        <w:rPr>
          <w:rFonts w:asciiTheme="majorHAnsi" w:hAnsiTheme="majorHAnsi"/>
          <w:sz w:val="16"/>
          <w:szCs w:val="16"/>
        </w:rPr>
        <w:t xml:space="preserve"> Isaac Real Reyes, p. 120</w:t>
      </w:r>
      <w:r>
        <w:rPr>
          <w:rFonts w:asciiTheme="majorHAnsi" w:hAnsiTheme="majorHAnsi"/>
          <w:sz w:val="16"/>
          <w:szCs w:val="16"/>
        </w:rPr>
        <w:t>.</w:t>
      </w:r>
    </w:p>
  </w:footnote>
  <w:footnote w:id="8">
    <w:p w:rsidR="000E7166" w:rsidRPr="0034190F"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8055D">
        <w:rPr>
          <w:rFonts w:asciiTheme="majorHAnsi" w:hAnsiTheme="majorHAnsi"/>
          <w:sz w:val="16"/>
          <w:szCs w:val="16"/>
        </w:rPr>
        <w:t xml:space="preserve"> </w:t>
      </w:r>
      <w:r w:rsidRPr="007D60E2">
        <w:rPr>
          <w:rFonts w:asciiTheme="majorHAnsi" w:hAnsiTheme="majorHAnsi"/>
          <w:sz w:val="16"/>
          <w:szCs w:val="16"/>
        </w:rPr>
        <w:t xml:space="preserve">Annex XX. </w:t>
      </w:r>
      <w:proofErr w:type="gramStart"/>
      <w:r w:rsidRPr="00E8055D">
        <w:rPr>
          <w:rFonts w:asciiTheme="majorHAnsi" w:hAnsiTheme="majorHAnsi"/>
          <w:sz w:val="16"/>
          <w:szCs w:val="16"/>
        </w:rPr>
        <w:t>Case File.</w:t>
      </w:r>
      <w:proofErr w:type="gramEnd"/>
      <w:r w:rsidRPr="00E8055D">
        <w:rPr>
          <w:rFonts w:asciiTheme="majorHAnsi" w:hAnsiTheme="majorHAnsi"/>
          <w:sz w:val="16"/>
          <w:szCs w:val="16"/>
        </w:rPr>
        <w:t xml:space="preserve"> </w:t>
      </w:r>
      <w:r w:rsidRPr="0034190F">
        <w:rPr>
          <w:rFonts w:asciiTheme="majorHAnsi" w:hAnsiTheme="majorHAnsi"/>
          <w:sz w:val="16"/>
          <w:szCs w:val="16"/>
        </w:rPr>
        <w:t xml:space="preserve">Statement, Fernando Antonio </w:t>
      </w:r>
      <w:proofErr w:type="spellStart"/>
      <w:r w:rsidRPr="0034190F">
        <w:rPr>
          <w:rFonts w:asciiTheme="majorHAnsi" w:hAnsiTheme="majorHAnsi"/>
          <w:sz w:val="16"/>
          <w:szCs w:val="16"/>
        </w:rPr>
        <w:t>Carcache</w:t>
      </w:r>
      <w:proofErr w:type="spellEnd"/>
      <w:r w:rsidRPr="0034190F">
        <w:rPr>
          <w:rFonts w:asciiTheme="majorHAnsi" w:hAnsiTheme="majorHAnsi"/>
          <w:sz w:val="16"/>
          <w:szCs w:val="16"/>
        </w:rPr>
        <w:t xml:space="preserve"> Pineda, p. 114.</w:t>
      </w:r>
    </w:p>
  </w:footnote>
  <w:footnote w:id="9">
    <w:p w:rsidR="000E7166" w:rsidRPr="00E8055D"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8055D">
        <w:rPr>
          <w:rFonts w:asciiTheme="majorHAnsi" w:hAnsiTheme="majorHAnsi"/>
          <w:sz w:val="16"/>
          <w:szCs w:val="16"/>
        </w:rPr>
        <w:t xml:space="preserve"> </w:t>
      </w:r>
      <w:r w:rsidRPr="007D60E2">
        <w:rPr>
          <w:rFonts w:asciiTheme="majorHAnsi" w:hAnsiTheme="majorHAnsi"/>
          <w:sz w:val="16"/>
          <w:szCs w:val="16"/>
        </w:rPr>
        <w:t xml:space="preserve">Annex XX. </w:t>
      </w:r>
      <w:proofErr w:type="gramStart"/>
      <w:r w:rsidRPr="00E8055D">
        <w:rPr>
          <w:rFonts w:asciiTheme="majorHAnsi" w:hAnsiTheme="majorHAnsi"/>
          <w:sz w:val="16"/>
          <w:szCs w:val="16"/>
        </w:rPr>
        <w:t>Case File.</w:t>
      </w:r>
      <w:proofErr w:type="gramEnd"/>
      <w:r w:rsidRPr="00E8055D">
        <w:rPr>
          <w:rFonts w:asciiTheme="majorHAnsi" w:hAnsiTheme="majorHAnsi"/>
          <w:sz w:val="16"/>
          <w:szCs w:val="16"/>
        </w:rPr>
        <w:t xml:space="preserve"> Statement</w:t>
      </w:r>
      <w:r>
        <w:rPr>
          <w:rFonts w:asciiTheme="majorHAnsi" w:hAnsiTheme="majorHAnsi"/>
          <w:sz w:val="16"/>
          <w:szCs w:val="16"/>
        </w:rPr>
        <w:t>,</w:t>
      </w:r>
      <w:r w:rsidRPr="00E8055D">
        <w:rPr>
          <w:rFonts w:asciiTheme="majorHAnsi" w:hAnsiTheme="majorHAnsi"/>
          <w:sz w:val="16"/>
          <w:szCs w:val="16"/>
        </w:rPr>
        <w:t xml:space="preserve"> Francisco </w:t>
      </w:r>
      <w:proofErr w:type="spellStart"/>
      <w:r w:rsidRPr="00E8055D">
        <w:rPr>
          <w:rFonts w:asciiTheme="majorHAnsi" w:hAnsiTheme="majorHAnsi"/>
          <w:sz w:val="16"/>
          <w:szCs w:val="16"/>
        </w:rPr>
        <w:t>Simón</w:t>
      </w:r>
      <w:proofErr w:type="spellEnd"/>
      <w:r w:rsidRPr="00E8055D">
        <w:rPr>
          <w:rFonts w:asciiTheme="majorHAnsi" w:hAnsiTheme="majorHAnsi"/>
          <w:sz w:val="16"/>
          <w:szCs w:val="16"/>
        </w:rPr>
        <w:t xml:space="preserve"> </w:t>
      </w:r>
      <w:proofErr w:type="spellStart"/>
      <w:r w:rsidRPr="00E8055D">
        <w:rPr>
          <w:rFonts w:asciiTheme="majorHAnsi" w:hAnsiTheme="majorHAnsi"/>
          <w:sz w:val="16"/>
          <w:szCs w:val="16"/>
        </w:rPr>
        <w:t>Ordoñez</w:t>
      </w:r>
      <w:proofErr w:type="spellEnd"/>
      <w:r w:rsidRPr="00E8055D">
        <w:rPr>
          <w:rFonts w:asciiTheme="majorHAnsi" w:hAnsiTheme="majorHAnsi"/>
          <w:sz w:val="16"/>
          <w:szCs w:val="16"/>
        </w:rPr>
        <w:t xml:space="preserve"> </w:t>
      </w:r>
      <w:proofErr w:type="spellStart"/>
      <w:r w:rsidRPr="00E8055D">
        <w:rPr>
          <w:rFonts w:asciiTheme="majorHAnsi" w:hAnsiTheme="majorHAnsi"/>
          <w:sz w:val="16"/>
          <w:szCs w:val="16"/>
        </w:rPr>
        <w:t>Nájera</w:t>
      </w:r>
      <w:proofErr w:type="spellEnd"/>
      <w:r w:rsidRPr="00E8055D">
        <w:rPr>
          <w:rFonts w:asciiTheme="majorHAnsi" w:hAnsiTheme="majorHAnsi"/>
          <w:sz w:val="16"/>
          <w:szCs w:val="16"/>
        </w:rPr>
        <w:t>, p. 175.</w:t>
      </w:r>
    </w:p>
  </w:footnote>
  <w:footnote w:id="10">
    <w:p w:rsidR="000E7166" w:rsidRPr="0034190F"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16A46">
        <w:rPr>
          <w:rFonts w:asciiTheme="majorHAnsi" w:hAnsiTheme="majorHAnsi"/>
          <w:sz w:val="16"/>
          <w:szCs w:val="16"/>
        </w:rPr>
        <w:t xml:space="preserve"> </w:t>
      </w:r>
      <w:r w:rsidRPr="007D60E2">
        <w:rPr>
          <w:rFonts w:asciiTheme="majorHAnsi" w:hAnsiTheme="majorHAnsi"/>
          <w:sz w:val="16"/>
          <w:szCs w:val="16"/>
        </w:rPr>
        <w:t xml:space="preserve">Annex XX. </w:t>
      </w:r>
      <w:proofErr w:type="gramStart"/>
      <w:r w:rsidRPr="00E8055D">
        <w:rPr>
          <w:rFonts w:asciiTheme="majorHAnsi" w:hAnsiTheme="majorHAnsi"/>
          <w:sz w:val="16"/>
          <w:szCs w:val="16"/>
        </w:rPr>
        <w:t>Case File.</w:t>
      </w:r>
      <w:proofErr w:type="gramEnd"/>
      <w:r w:rsidRPr="00E8055D">
        <w:rPr>
          <w:rFonts w:asciiTheme="majorHAnsi" w:hAnsiTheme="majorHAnsi"/>
          <w:sz w:val="16"/>
          <w:szCs w:val="16"/>
        </w:rPr>
        <w:t xml:space="preserve"> </w:t>
      </w:r>
      <w:r w:rsidRPr="0034190F">
        <w:rPr>
          <w:rFonts w:asciiTheme="majorHAnsi" w:hAnsiTheme="majorHAnsi"/>
          <w:sz w:val="16"/>
          <w:szCs w:val="16"/>
        </w:rPr>
        <w:t>Statement, Ricardo Javier Salgado Ojeda, p. 173.</w:t>
      </w:r>
    </w:p>
  </w:footnote>
  <w:footnote w:id="11">
    <w:p w:rsidR="000E7166" w:rsidRPr="00E8055D"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16A46">
        <w:rPr>
          <w:rFonts w:asciiTheme="majorHAnsi" w:hAnsiTheme="majorHAnsi"/>
          <w:sz w:val="16"/>
          <w:szCs w:val="16"/>
        </w:rPr>
        <w:t xml:space="preserve"> </w:t>
      </w:r>
      <w:r w:rsidRPr="007D60E2">
        <w:rPr>
          <w:rFonts w:asciiTheme="majorHAnsi" w:hAnsiTheme="majorHAnsi"/>
          <w:sz w:val="16"/>
          <w:szCs w:val="16"/>
        </w:rPr>
        <w:t xml:space="preserve">Annex XX. </w:t>
      </w:r>
      <w:proofErr w:type="gramStart"/>
      <w:r w:rsidRPr="00E8055D">
        <w:rPr>
          <w:rFonts w:asciiTheme="majorHAnsi" w:hAnsiTheme="majorHAnsi"/>
          <w:sz w:val="16"/>
          <w:szCs w:val="16"/>
        </w:rPr>
        <w:t>Case File.</w:t>
      </w:r>
      <w:proofErr w:type="gramEnd"/>
      <w:r w:rsidRPr="00E8055D">
        <w:rPr>
          <w:rFonts w:asciiTheme="majorHAnsi" w:hAnsiTheme="majorHAnsi"/>
          <w:sz w:val="16"/>
          <w:szCs w:val="16"/>
        </w:rPr>
        <w:t xml:space="preserve"> Statement</w:t>
      </w:r>
      <w:r>
        <w:rPr>
          <w:rFonts w:asciiTheme="majorHAnsi" w:hAnsiTheme="majorHAnsi"/>
          <w:sz w:val="16"/>
          <w:szCs w:val="16"/>
        </w:rPr>
        <w:t>,</w:t>
      </w:r>
      <w:r w:rsidRPr="00E8055D">
        <w:rPr>
          <w:rFonts w:asciiTheme="majorHAnsi" w:hAnsiTheme="majorHAnsi"/>
          <w:sz w:val="16"/>
          <w:szCs w:val="16"/>
        </w:rPr>
        <w:t xml:space="preserve"> Silvio Antonio Vanegas Blandon, p. 171.</w:t>
      </w:r>
    </w:p>
  </w:footnote>
  <w:footnote w:id="12">
    <w:p w:rsidR="000E7166" w:rsidRPr="00E16A46" w:rsidRDefault="000E7166" w:rsidP="0043505F">
      <w:pPr>
        <w:pStyle w:val="FootnoteText"/>
        <w:jc w:val="both"/>
        <w:rPr>
          <w:rFonts w:asciiTheme="majorHAnsi" w:hAnsiTheme="majorHAnsi"/>
          <w:sz w:val="16"/>
          <w:szCs w:val="16"/>
          <w:lang w:val="fr-CA"/>
        </w:rPr>
      </w:pPr>
      <w:r w:rsidRPr="00A01230">
        <w:rPr>
          <w:rStyle w:val="FootnoteReference"/>
          <w:rFonts w:asciiTheme="majorHAnsi" w:hAnsiTheme="majorHAnsi"/>
          <w:sz w:val="16"/>
          <w:szCs w:val="16"/>
        </w:rPr>
        <w:footnoteRef/>
      </w:r>
      <w:r w:rsidRPr="00E8055D">
        <w:rPr>
          <w:rFonts w:asciiTheme="majorHAnsi" w:hAnsiTheme="majorHAnsi"/>
          <w:sz w:val="16"/>
          <w:szCs w:val="16"/>
        </w:rPr>
        <w:t xml:space="preserve"> </w:t>
      </w:r>
      <w:r w:rsidRPr="007D60E2">
        <w:rPr>
          <w:rFonts w:asciiTheme="majorHAnsi" w:hAnsiTheme="majorHAnsi"/>
          <w:sz w:val="16"/>
          <w:szCs w:val="16"/>
        </w:rPr>
        <w:t xml:space="preserve">Annex XX. </w:t>
      </w:r>
      <w:proofErr w:type="gramStart"/>
      <w:r w:rsidRPr="00E8055D">
        <w:rPr>
          <w:rFonts w:asciiTheme="majorHAnsi" w:hAnsiTheme="majorHAnsi"/>
          <w:sz w:val="16"/>
          <w:szCs w:val="16"/>
        </w:rPr>
        <w:t>Case File.</w:t>
      </w:r>
      <w:proofErr w:type="gramEnd"/>
      <w:r w:rsidRPr="00E8055D">
        <w:rPr>
          <w:rFonts w:asciiTheme="majorHAnsi" w:hAnsiTheme="majorHAnsi"/>
          <w:sz w:val="16"/>
          <w:szCs w:val="16"/>
        </w:rPr>
        <w:t xml:space="preserve"> </w:t>
      </w:r>
      <w:r w:rsidRPr="00E16A46">
        <w:rPr>
          <w:rFonts w:asciiTheme="majorHAnsi" w:hAnsiTheme="majorHAnsi"/>
          <w:sz w:val="16"/>
          <w:szCs w:val="16"/>
          <w:lang w:val="fr-CA"/>
        </w:rPr>
        <w:t>Statement, José Marcelino Ramírez Vargas, p. 179.</w:t>
      </w:r>
    </w:p>
  </w:footnote>
  <w:footnote w:id="13">
    <w:p w:rsidR="000E7166" w:rsidRPr="00796B9A"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796B9A">
        <w:rPr>
          <w:rFonts w:asciiTheme="majorHAnsi" w:hAnsiTheme="majorHAnsi"/>
          <w:sz w:val="16"/>
          <w:szCs w:val="16"/>
        </w:rPr>
        <w:t xml:space="preserve"> </w:t>
      </w:r>
      <w:r w:rsidRPr="007D60E2">
        <w:rPr>
          <w:rFonts w:asciiTheme="majorHAnsi" w:hAnsiTheme="majorHAnsi"/>
          <w:sz w:val="16"/>
          <w:szCs w:val="16"/>
        </w:rPr>
        <w:t xml:space="preserve">Annex XX. </w:t>
      </w:r>
      <w:proofErr w:type="gramStart"/>
      <w:r w:rsidRPr="00E8055D">
        <w:rPr>
          <w:rFonts w:asciiTheme="majorHAnsi" w:hAnsiTheme="majorHAnsi"/>
          <w:sz w:val="16"/>
          <w:szCs w:val="16"/>
        </w:rPr>
        <w:t>Case File.</w:t>
      </w:r>
      <w:proofErr w:type="gramEnd"/>
      <w:r w:rsidRPr="00E8055D">
        <w:rPr>
          <w:rFonts w:asciiTheme="majorHAnsi" w:hAnsiTheme="majorHAnsi"/>
          <w:sz w:val="16"/>
          <w:szCs w:val="16"/>
        </w:rPr>
        <w:t xml:space="preserve"> Statement</w:t>
      </w:r>
      <w:r>
        <w:rPr>
          <w:rFonts w:asciiTheme="majorHAnsi" w:hAnsiTheme="majorHAnsi"/>
          <w:sz w:val="16"/>
          <w:szCs w:val="16"/>
        </w:rPr>
        <w:t>,</w:t>
      </w:r>
      <w:r w:rsidRPr="00E8055D">
        <w:rPr>
          <w:rFonts w:asciiTheme="majorHAnsi" w:hAnsiTheme="majorHAnsi"/>
          <w:sz w:val="16"/>
          <w:szCs w:val="16"/>
        </w:rPr>
        <w:t xml:space="preserve"> </w:t>
      </w:r>
      <w:r w:rsidRPr="00796B9A">
        <w:rPr>
          <w:rFonts w:asciiTheme="majorHAnsi" w:hAnsiTheme="majorHAnsi"/>
          <w:sz w:val="16"/>
          <w:szCs w:val="16"/>
        </w:rPr>
        <w:t xml:space="preserve">José Marcelino </w:t>
      </w:r>
      <w:proofErr w:type="spellStart"/>
      <w:r w:rsidRPr="00796B9A">
        <w:rPr>
          <w:rFonts w:asciiTheme="majorHAnsi" w:hAnsiTheme="majorHAnsi"/>
          <w:sz w:val="16"/>
          <w:szCs w:val="16"/>
        </w:rPr>
        <w:t>Ramírez</w:t>
      </w:r>
      <w:proofErr w:type="spellEnd"/>
      <w:r w:rsidRPr="00796B9A">
        <w:rPr>
          <w:rFonts w:asciiTheme="majorHAnsi" w:hAnsiTheme="majorHAnsi"/>
          <w:sz w:val="16"/>
          <w:szCs w:val="16"/>
        </w:rPr>
        <w:t xml:space="preserve"> Vargas, p. 179.</w:t>
      </w:r>
    </w:p>
  </w:footnote>
  <w:footnote w:id="14">
    <w:p w:rsidR="000E7166" w:rsidRPr="00796B9A"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796B9A">
        <w:rPr>
          <w:rFonts w:asciiTheme="majorHAnsi" w:hAnsiTheme="majorHAnsi"/>
          <w:sz w:val="16"/>
          <w:szCs w:val="16"/>
        </w:rPr>
        <w:t xml:space="preserve"> </w:t>
      </w:r>
      <w:r w:rsidRPr="007D60E2">
        <w:rPr>
          <w:rFonts w:asciiTheme="majorHAnsi" w:hAnsiTheme="majorHAnsi"/>
          <w:sz w:val="16"/>
          <w:szCs w:val="16"/>
        </w:rPr>
        <w:t xml:space="preserve">Annex XX. </w:t>
      </w:r>
      <w:proofErr w:type="gramStart"/>
      <w:r w:rsidRPr="00E8055D">
        <w:rPr>
          <w:rFonts w:asciiTheme="majorHAnsi" w:hAnsiTheme="majorHAnsi"/>
          <w:sz w:val="16"/>
          <w:szCs w:val="16"/>
        </w:rPr>
        <w:t>Case File.</w:t>
      </w:r>
      <w:proofErr w:type="gramEnd"/>
      <w:r w:rsidRPr="00E8055D">
        <w:rPr>
          <w:rFonts w:asciiTheme="majorHAnsi" w:hAnsiTheme="majorHAnsi"/>
          <w:sz w:val="16"/>
          <w:szCs w:val="16"/>
        </w:rPr>
        <w:t xml:space="preserve"> </w:t>
      </w:r>
      <w:r w:rsidRPr="00796B9A">
        <w:rPr>
          <w:rFonts w:asciiTheme="majorHAnsi" w:hAnsiTheme="majorHAnsi"/>
          <w:sz w:val="16"/>
          <w:szCs w:val="16"/>
        </w:rPr>
        <w:t xml:space="preserve">Criminal Inspection Report regarding </w:t>
      </w:r>
      <w:r>
        <w:rPr>
          <w:rFonts w:asciiTheme="majorHAnsi" w:hAnsiTheme="majorHAnsi"/>
          <w:sz w:val="16"/>
          <w:szCs w:val="16"/>
        </w:rPr>
        <w:t xml:space="preserve">the Case of </w:t>
      </w:r>
      <w:r w:rsidRPr="00796B9A">
        <w:rPr>
          <w:rFonts w:asciiTheme="majorHAnsi" w:hAnsiTheme="majorHAnsi"/>
          <w:sz w:val="16"/>
          <w:szCs w:val="16"/>
        </w:rPr>
        <w:t>Homicide followed by gri</w:t>
      </w:r>
      <w:r>
        <w:rPr>
          <w:rFonts w:asciiTheme="majorHAnsi" w:hAnsiTheme="majorHAnsi"/>
          <w:sz w:val="16"/>
          <w:szCs w:val="16"/>
        </w:rPr>
        <w:t xml:space="preserve">evous bodily harm and abuse of authority. </w:t>
      </w:r>
      <w:proofErr w:type="gramStart"/>
      <w:r>
        <w:rPr>
          <w:rFonts w:asciiTheme="majorHAnsi" w:hAnsiTheme="majorHAnsi"/>
          <w:sz w:val="16"/>
          <w:szCs w:val="16"/>
        </w:rPr>
        <w:t xml:space="preserve">April </w:t>
      </w:r>
      <w:r w:rsidRPr="00796B9A">
        <w:rPr>
          <w:rFonts w:asciiTheme="majorHAnsi" w:hAnsiTheme="majorHAnsi"/>
          <w:sz w:val="16"/>
          <w:szCs w:val="16"/>
        </w:rPr>
        <w:t>14, 1996, p. 207.</w:t>
      </w:r>
      <w:proofErr w:type="gramEnd"/>
    </w:p>
  </w:footnote>
  <w:footnote w:id="15">
    <w:p w:rsidR="000E7166" w:rsidRPr="00E80090" w:rsidRDefault="000E7166" w:rsidP="0043505F">
      <w:pPr>
        <w:pStyle w:val="FootnoteText"/>
        <w:rPr>
          <w:rFonts w:asciiTheme="majorHAnsi" w:hAnsiTheme="majorHAnsi"/>
          <w:sz w:val="16"/>
          <w:szCs w:val="16"/>
        </w:rPr>
      </w:pPr>
      <w:r w:rsidRPr="00A01230">
        <w:rPr>
          <w:rStyle w:val="FootnoteReference"/>
          <w:rFonts w:asciiTheme="majorHAnsi" w:hAnsiTheme="majorHAnsi"/>
          <w:sz w:val="16"/>
          <w:szCs w:val="16"/>
        </w:rPr>
        <w:footnoteRef/>
      </w:r>
      <w:r w:rsidRPr="00796B9A">
        <w:rPr>
          <w:rFonts w:asciiTheme="majorHAnsi" w:hAnsiTheme="majorHAnsi"/>
          <w:sz w:val="16"/>
          <w:szCs w:val="16"/>
        </w:rPr>
        <w:t xml:space="preserve"> </w:t>
      </w:r>
      <w:r w:rsidRPr="007D60E2">
        <w:rPr>
          <w:rFonts w:asciiTheme="majorHAnsi" w:hAnsiTheme="majorHAnsi"/>
          <w:sz w:val="16"/>
          <w:szCs w:val="16"/>
        </w:rPr>
        <w:t xml:space="preserve">Annex XX. </w:t>
      </w:r>
      <w:proofErr w:type="gramStart"/>
      <w:r w:rsidRPr="00796B9A">
        <w:rPr>
          <w:rFonts w:asciiTheme="majorHAnsi" w:hAnsiTheme="majorHAnsi"/>
          <w:sz w:val="16"/>
          <w:szCs w:val="16"/>
        </w:rPr>
        <w:t>Case File.</w:t>
      </w:r>
      <w:proofErr w:type="gramEnd"/>
      <w:r w:rsidRPr="00796B9A">
        <w:rPr>
          <w:rFonts w:asciiTheme="majorHAnsi" w:hAnsiTheme="majorHAnsi"/>
          <w:sz w:val="16"/>
          <w:szCs w:val="16"/>
        </w:rPr>
        <w:t xml:space="preserve"> </w:t>
      </w:r>
      <w:proofErr w:type="gramStart"/>
      <w:r w:rsidRPr="00E8055D">
        <w:rPr>
          <w:rFonts w:asciiTheme="majorHAnsi" w:hAnsiTheme="majorHAnsi"/>
          <w:sz w:val="16"/>
          <w:szCs w:val="16"/>
        </w:rPr>
        <w:t xml:space="preserve">Visual Inspection </w:t>
      </w:r>
      <w:r>
        <w:rPr>
          <w:rFonts w:asciiTheme="majorHAnsi" w:hAnsiTheme="majorHAnsi"/>
          <w:sz w:val="16"/>
          <w:szCs w:val="16"/>
        </w:rPr>
        <w:t xml:space="preserve">Report </w:t>
      </w:r>
      <w:r w:rsidRPr="00E8055D">
        <w:rPr>
          <w:rFonts w:asciiTheme="majorHAnsi" w:hAnsiTheme="majorHAnsi"/>
          <w:sz w:val="16"/>
          <w:szCs w:val="16"/>
        </w:rPr>
        <w:t>o</w:t>
      </w:r>
      <w:r>
        <w:rPr>
          <w:rFonts w:asciiTheme="majorHAnsi" w:hAnsiTheme="majorHAnsi"/>
          <w:sz w:val="16"/>
          <w:szCs w:val="16"/>
        </w:rPr>
        <w:t>n</w:t>
      </w:r>
      <w:r w:rsidRPr="00E8055D">
        <w:rPr>
          <w:rFonts w:asciiTheme="majorHAnsi" w:hAnsiTheme="majorHAnsi"/>
          <w:sz w:val="16"/>
          <w:szCs w:val="16"/>
        </w:rPr>
        <w:t xml:space="preserve"> Vehicle.</w:t>
      </w:r>
      <w:proofErr w:type="gramEnd"/>
      <w:r w:rsidRPr="00E8055D">
        <w:rPr>
          <w:rFonts w:asciiTheme="majorHAnsi" w:hAnsiTheme="majorHAnsi"/>
          <w:sz w:val="16"/>
          <w:szCs w:val="16"/>
        </w:rPr>
        <w:t xml:space="preserve"> </w:t>
      </w:r>
      <w:proofErr w:type="gramStart"/>
      <w:r w:rsidRPr="00E8055D">
        <w:rPr>
          <w:rFonts w:asciiTheme="majorHAnsi" w:hAnsiTheme="majorHAnsi"/>
          <w:sz w:val="16"/>
          <w:szCs w:val="16"/>
        </w:rPr>
        <w:t>April 18, 1996, p. 12.</w:t>
      </w:r>
      <w:proofErr w:type="gramEnd"/>
    </w:p>
  </w:footnote>
  <w:footnote w:id="16">
    <w:p w:rsidR="000E7166" w:rsidRPr="00E16A46"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796B9A">
        <w:rPr>
          <w:rFonts w:asciiTheme="majorHAnsi" w:hAnsiTheme="majorHAnsi"/>
          <w:sz w:val="16"/>
          <w:szCs w:val="16"/>
        </w:rPr>
        <w:t xml:space="preserve"> </w:t>
      </w:r>
      <w:r w:rsidRPr="007D60E2">
        <w:rPr>
          <w:rFonts w:asciiTheme="majorHAnsi" w:hAnsiTheme="majorHAnsi"/>
          <w:sz w:val="16"/>
          <w:szCs w:val="16"/>
        </w:rPr>
        <w:t xml:space="preserve">Annex XX. </w:t>
      </w:r>
      <w:proofErr w:type="gramStart"/>
      <w:r w:rsidRPr="00E80090">
        <w:rPr>
          <w:rFonts w:asciiTheme="majorHAnsi" w:hAnsiTheme="majorHAnsi"/>
          <w:sz w:val="16"/>
          <w:szCs w:val="16"/>
        </w:rPr>
        <w:t>Case File.</w:t>
      </w:r>
      <w:proofErr w:type="gramEnd"/>
      <w:r w:rsidRPr="00E80090">
        <w:rPr>
          <w:rFonts w:asciiTheme="majorHAnsi" w:hAnsiTheme="majorHAnsi"/>
          <w:sz w:val="16"/>
          <w:szCs w:val="16"/>
        </w:rPr>
        <w:t xml:space="preserve"> </w:t>
      </w:r>
      <w:r w:rsidRPr="00E16A46">
        <w:rPr>
          <w:rFonts w:asciiTheme="majorHAnsi" w:hAnsiTheme="majorHAnsi"/>
          <w:sz w:val="16"/>
          <w:szCs w:val="16"/>
        </w:rPr>
        <w:t>Statements of: Segundo Juan Izquierdo, Marcos Vicente Querevalú Samaniego, Edith Dora Samaniego, Clarisa Samaniego Soria, Germán Teodoro Campos, Luis Mario Tenecela Naranjo, Edgar Raúl Arévalo Tenecela, Nelly Quinto Flores, Mónica Isabel Yunga Quito, Julio Medrano Peralta Rodríguez, Roberto Huaman Poma, Edison Fernando Camacho Pantonsín, Carlos Ángel Gutiérrez, Luis Alberto Palacio Donaire, María Cecilia Chimbo Ayala, Liliana Palomino Mendoza, Tito Cuero Pertocarrero, Miluzca Pamela Chávez Parreño, Adolfo Castillo Sarmiento, Ana Lucía Villa Cuesta, Ángel María Yupamgui, Daniel Henry Samame Alquisal, José Valdez Ayala, María Rosa Junga Guaman, Pio de Usúa Mendoza Sarmiento, Rosario Cajamarca Ruviola, Ángel Bolivar Tenempaguay, Maribel Quispe Pomahuacra, Rómulo Eulogio Gutiérrez Pezante, Marcelo Cajamarca, and Nora Doza Samaniego, pp. 12-81.</w:t>
      </w:r>
    </w:p>
  </w:footnote>
  <w:footnote w:id="17">
    <w:p w:rsidR="000E7166" w:rsidRPr="00E16A46"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16A46">
        <w:rPr>
          <w:rFonts w:asciiTheme="majorHAnsi" w:hAnsiTheme="majorHAnsi"/>
          <w:sz w:val="16"/>
          <w:szCs w:val="16"/>
        </w:rPr>
        <w:t xml:space="preserve"> Annex XX. Case File. Statements of: Segundo Juan Izquierdo, Marcos Vicente Querevalú Samaniego, Edith Dora Samaniego, Clarisa Samaniego Soria, Germán Teodoro Campos, Luis Mario Tenecela Naranjo, Edgar Raúl Arévalo Tenecela, Nelly Quinto Flores, Mónica Isabel Yunga Quito, Julio Medrano Peralta Rodríguez, Roberto Huaman Poma, Edison Fernando Camacho Pantonsín, Carlos Ángel Gutiérrez, Luis Alberto Palacio Donaire, María Cecilia Chimbo Ayala, Liliana Palomino Mendoza, Tito Cuero Pertocarrero, Miluzca Pamela Chávez Parreño, Adolfo Castillo Sarmiento, Ana Lucía Villa Cuesta, Ángel María Yupamgui, Daniel Henry Samame Alquisal, José Valdez Ayala, María Rosa Junga Guaman, Pio de Usúa Mendoza Sarmiento, Rosario Cajamarca Ruviola, Ángel Bolivar Tenempaguay, Maribel Quispe Pomahuacra, Rómulo Eulogio Gutiérrez Pezante, Marcelo Cajamarca, and Nora Doza Samaniego.</w:t>
      </w:r>
    </w:p>
  </w:footnote>
  <w:footnote w:id="18">
    <w:p w:rsidR="000E7166" w:rsidRPr="00E46A2E"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80090">
        <w:rPr>
          <w:rFonts w:asciiTheme="majorHAnsi" w:hAnsiTheme="majorHAnsi"/>
          <w:sz w:val="16"/>
          <w:szCs w:val="16"/>
        </w:rPr>
        <w:t xml:space="preserve"> Annex XX. </w:t>
      </w:r>
      <w:proofErr w:type="gramStart"/>
      <w:r w:rsidRPr="00E80090">
        <w:rPr>
          <w:rFonts w:asciiTheme="majorHAnsi" w:hAnsiTheme="majorHAnsi"/>
          <w:sz w:val="16"/>
          <w:szCs w:val="16"/>
        </w:rPr>
        <w:t>Case File.</w:t>
      </w:r>
      <w:proofErr w:type="gramEnd"/>
      <w:r w:rsidRPr="00E80090">
        <w:rPr>
          <w:rFonts w:asciiTheme="majorHAnsi" w:hAnsiTheme="majorHAnsi"/>
          <w:sz w:val="16"/>
          <w:szCs w:val="16"/>
        </w:rPr>
        <w:t xml:space="preserve"> </w:t>
      </w:r>
      <w:proofErr w:type="gramStart"/>
      <w:r w:rsidRPr="00E46A2E">
        <w:rPr>
          <w:rFonts w:asciiTheme="majorHAnsi" w:hAnsiTheme="majorHAnsi"/>
          <w:sz w:val="16"/>
          <w:szCs w:val="16"/>
        </w:rPr>
        <w:t xml:space="preserve">Medical </w:t>
      </w:r>
      <w:r>
        <w:rPr>
          <w:rFonts w:asciiTheme="majorHAnsi" w:hAnsiTheme="majorHAnsi"/>
          <w:sz w:val="16"/>
          <w:szCs w:val="16"/>
        </w:rPr>
        <w:t>Report</w:t>
      </w:r>
      <w:r w:rsidRPr="00E46A2E">
        <w:rPr>
          <w:rFonts w:asciiTheme="majorHAnsi" w:hAnsiTheme="majorHAnsi"/>
          <w:sz w:val="16"/>
          <w:szCs w:val="16"/>
        </w:rPr>
        <w:t xml:space="preserve"> of the Chinandega Coroner.</w:t>
      </w:r>
      <w:proofErr w:type="gramEnd"/>
      <w:r w:rsidRPr="00E46A2E">
        <w:rPr>
          <w:rFonts w:asciiTheme="majorHAnsi" w:hAnsiTheme="majorHAnsi"/>
          <w:sz w:val="16"/>
          <w:szCs w:val="16"/>
        </w:rPr>
        <w:t xml:space="preserve"> April 26, 1996. </w:t>
      </w:r>
    </w:p>
  </w:footnote>
  <w:footnote w:id="19">
    <w:p w:rsidR="000E7166" w:rsidRPr="00E16A46"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80090">
        <w:rPr>
          <w:rFonts w:asciiTheme="majorHAnsi" w:hAnsiTheme="majorHAnsi"/>
          <w:sz w:val="16"/>
          <w:szCs w:val="16"/>
        </w:rPr>
        <w:t xml:space="preserve"> Annex XX. </w:t>
      </w:r>
      <w:proofErr w:type="gramStart"/>
      <w:r w:rsidRPr="00E80090">
        <w:rPr>
          <w:rFonts w:asciiTheme="majorHAnsi" w:hAnsiTheme="majorHAnsi"/>
          <w:sz w:val="16"/>
          <w:szCs w:val="16"/>
        </w:rPr>
        <w:t>Case File.</w:t>
      </w:r>
      <w:proofErr w:type="gramEnd"/>
      <w:r w:rsidRPr="00E80090">
        <w:rPr>
          <w:rFonts w:asciiTheme="majorHAnsi" w:hAnsiTheme="majorHAnsi"/>
          <w:sz w:val="16"/>
          <w:szCs w:val="16"/>
        </w:rPr>
        <w:t xml:space="preserve"> </w:t>
      </w:r>
      <w:proofErr w:type="gramStart"/>
      <w:r w:rsidRPr="00E46A2E">
        <w:rPr>
          <w:rFonts w:asciiTheme="majorHAnsi" w:hAnsiTheme="majorHAnsi"/>
          <w:sz w:val="16"/>
          <w:szCs w:val="16"/>
        </w:rPr>
        <w:t xml:space="preserve">Procedure for the Preparation and Preservation of the </w:t>
      </w:r>
      <w:r>
        <w:rPr>
          <w:rFonts w:asciiTheme="majorHAnsi" w:hAnsiTheme="majorHAnsi"/>
          <w:sz w:val="16"/>
          <w:szCs w:val="16"/>
        </w:rPr>
        <w:t>Corpse</w:t>
      </w:r>
      <w:r w:rsidRPr="00E46A2E">
        <w:rPr>
          <w:rFonts w:asciiTheme="majorHAnsi" w:hAnsiTheme="majorHAnsi"/>
          <w:sz w:val="16"/>
          <w:szCs w:val="16"/>
        </w:rPr>
        <w:t>.</w:t>
      </w:r>
      <w:proofErr w:type="gramEnd"/>
      <w:r>
        <w:rPr>
          <w:rFonts w:asciiTheme="majorHAnsi" w:hAnsiTheme="majorHAnsi"/>
          <w:sz w:val="16"/>
          <w:szCs w:val="16"/>
        </w:rPr>
        <w:t xml:space="preserve"> </w:t>
      </w:r>
      <w:r w:rsidRPr="00E16A46">
        <w:rPr>
          <w:rFonts w:asciiTheme="majorHAnsi" w:hAnsiTheme="majorHAnsi"/>
          <w:sz w:val="16"/>
          <w:szCs w:val="16"/>
        </w:rPr>
        <w:t>April 27, 1996, p. 551.</w:t>
      </w:r>
    </w:p>
  </w:footnote>
  <w:footnote w:id="20">
    <w:p w:rsidR="000E7166" w:rsidRPr="00E16A46"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16A46">
        <w:rPr>
          <w:rFonts w:asciiTheme="majorHAnsi" w:hAnsiTheme="majorHAnsi"/>
          <w:sz w:val="16"/>
          <w:szCs w:val="16"/>
        </w:rPr>
        <w:t xml:space="preserve"> Annex XX. Case File. Statements of Antonio Alejandro López Ríos, José Adrián Madrigal García, Ruperto Méndez Méndez, Martina Alcira Reyes Rocha, Juan Reyes Cruz, and Rigoberto Leonel Morales, pp. 100-106</w:t>
      </w:r>
    </w:p>
  </w:footnote>
  <w:footnote w:id="21">
    <w:p w:rsidR="000E7166" w:rsidRPr="00A53E21" w:rsidRDefault="000E7166" w:rsidP="001A2AB9">
      <w:pPr>
        <w:pStyle w:val="FootnoteText"/>
        <w:rPr>
          <w:rFonts w:asciiTheme="majorHAnsi" w:hAnsiTheme="majorHAnsi"/>
          <w:sz w:val="16"/>
          <w:szCs w:val="16"/>
        </w:rPr>
      </w:pPr>
      <w:r w:rsidRPr="00A53E21">
        <w:rPr>
          <w:rStyle w:val="FootnoteReference"/>
          <w:rFonts w:asciiTheme="majorHAnsi" w:hAnsiTheme="majorHAnsi"/>
          <w:sz w:val="16"/>
          <w:szCs w:val="16"/>
        </w:rPr>
        <w:footnoteRef/>
      </w:r>
      <w:r w:rsidRPr="00A53E21">
        <w:rPr>
          <w:rFonts w:asciiTheme="majorHAnsi" w:hAnsiTheme="majorHAnsi"/>
          <w:sz w:val="16"/>
          <w:szCs w:val="16"/>
        </w:rPr>
        <w:t xml:space="preserve"> Annex XX. </w:t>
      </w:r>
      <w:proofErr w:type="gramStart"/>
      <w:r w:rsidRPr="00A53E21">
        <w:rPr>
          <w:rFonts w:asciiTheme="majorHAnsi" w:hAnsiTheme="majorHAnsi"/>
          <w:sz w:val="16"/>
          <w:szCs w:val="16"/>
        </w:rPr>
        <w:t>Case File.</w:t>
      </w:r>
      <w:proofErr w:type="gramEnd"/>
      <w:r w:rsidRPr="00A53E21">
        <w:rPr>
          <w:rFonts w:asciiTheme="majorHAnsi" w:hAnsiTheme="majorHAnsi"/>
          <w:sz w:val="16"/>
          <w:szCs w:val="16"/>
        </w:rPr>
        <w:t xml:space="preserve"> </w:t>
      </w:r>
      <w:r w:rsidRPr="00E80090">
        <w:rPr>
          <w:rFonts w:asciiTheme="majorHAnsi" w:hAnsiTheme="majorHAnsi"/>
          <w:sz w:val="16"/>
          <w:szCs w:val="16"/>
        </w:rPr>
        <w:t xml:space="preserve">Medical </w:t>
      </w:r>
      <w:r>
        <w:rPr>
          <w:rFonts w:asciiTheme="majorHAnsi" w:hAnsiTheme="majorHAnsi"/>
          <w:sz w:val="16"/>
          <w:szCs w:val="16"/>
        </w:rPr>
        <w:t>Report</w:t>
      </w:r>
      <w:r w:rsidRPr="00E80090">
        <w:rPr>
          <w:rFonts w:asciiTheme="majorHAnsi" w:hAnsiTheme="majorHAnsi"/>
          <w:sz w:val="16"/>
          <w:szCs w:val="16"/>
        </w:rPr>
        <w:t xml:space="preserve">, Patricio Roche </w:t>
      </w:r>
      <w:proofErr w:type="spellStart"/>
      <w:r w:rsidRPr="00E80090">
        <w:rPr>
          <w:rFonts w:asciiTheme="majorHAnsi" w:hAnsiTheme="majorHAnsi"/>
          <w:sz w:val="16"/>
          <w:szCs w:val="16"/>
        </w:rPr>
        <w:t>Azaña</w:t>
      </w:r>
      <w:proofErr w:type="spellEnd"/>
      <w:r w:rsidRPr="00E80090">
        <w:rPr>
          <w:rFonts w:asciiTheme="majorHAnsi" w:hAnsiTheme="majorHAnsi"/>
          <w:sz w:val="16"/>
          <w:szCs w:val="16"/>
        </w:rPr>
        <w:t xml:space="preserve">. </w:t>
      </w:r>
      <w:r w:rsidRPr="00E46A2E">
        <w:rPr>
          <w:rFonts w:asciiTheme="majorHAnsi" w:hAnsiTheme="majorHAnsi"/>
          <w:sz w:val="16"/>
          <w:szCs w:val="16"/>
        </w:rPr>
        <w:t>April 2</w:t>
      </w:r>
      <w:r>
        <w:rPr>
          <w:rFonts w:asciiTheme="majorHAnsi" w:hAnsiTheme="majorHAnsi"/>
          <w:sz w:val="16"/>
          <w:szCs w:val="16"/>
        </w:rPr>
        <w:t>7</w:t>
      </w:r>
      <w:r w:rsidRPr="00E46A2E">
        <w:rPr>
          <w:rFonts w:asciiTheme="majorHAnsi" w:hAnsiTheme="majorHAnsi"/>
          <w:sz w:val="16"/>
          <w:szCs w:val="16"/>
        </w:rPr>
        <w:t>, 1996</w:t>
      </w:r>
    </w:p>
  </w:footnote>
  <w:footnote w:id="22">
    <w:p w:rsidR="000E7166" w:rsidRPr="00701D62" w:rsidRDefault="000E7166" w:rsidP="0043505F">
      <w:pPr>
        <w:pStyle w:val="FootnoteText"/>
        <w:rPr>
          <w:rFonts w:asciiTheme="majorHAnsi" w:hAnsiTheme="majorHAnsi"/>
          <w:sz w:val="16"/>
          <w:szCs w:val="16"/>
        </w:rPr>
      </w:pPr>
      <w:r w:rsidRPr="00A53E21">
        <w:rPr>
          <w:rStyle w:val="FootnoteReference"/>
          <w:rFonts w:asciiTheme="majorHAnsi" w:hAnsiTheme="majorHAnsi"/>
          <w:sz w:val="16"/>
          <w:szCs w:val="16"/>
        </w:rPr>
        <w:footnoteRef/>
      </w:r>
      <w:r w:rsidRPr="00F74A1C">
        <w:rPr>
          <w:rFonts w:asciiTheme="majorHAnsi" w:hAnsiTheme="majorHAnsi"/>
          <w:sz w:val="16"/>
          <w:szCs w:val="16"/>
        </w:rPr>
        <w:t xml:space="preserve"> </w:t>
      </w:r>
      <w:r w:rsidRPr="00A53E21">
        <w:rPr>
          <w:rFonts w:asciiTheme="majorHAnsi" w:hAnsiTheme="majorHAnsi"/>
          <w:sz w:val="16"/>
          <w:szCs w:val="16"/>
        </w:rPr>
        <w:t xml:space="preserve">Annex XX. </w:t>
      </w:r>
      <w:proofErr w:type="gramStart"/>
      <w:r w:rsidRPr="00A53E21">
        <w:rPr>
          <w:rFonts w:asciiTheme="majorHAnsi" w:hAnsiTheme="majorHAnsi"/>
          <w:sz w:val="16"/>
          <w:szCs w:val="16"/>
        </w:rPr>
        <w:t>Case File.</w:t>
      </w:r>
      <w:proofErr w:type="gramEnd"/>
      <w:r w:rsidRPr="00A53E21">
        <w:rPr>
          <w:rFonts w:asciiTheme="majorHAnsi" w:hAnsiTheme="majorHAnsi"/>
          <w:sz w:val="16"/>
          <w:szCs w:val="16"/>
        </w:rPr>
        <w:t xml:space="preserve"> </w:t>
      </w:r>
      <w:r w:rsidRPr="00701D62">
        <w:rPr>
          <w:rFonts w:asciiTheme="majorHAnsi" w:hAnsiTheme="majorHAnsi"/>
          <w:sz w:val="16"/>
          <w:szCs w:val="16"/>
        </w:rPr>
        <w:t xml:space="preserve">Medical </w:t>
      </w:r>
      <w:r>
        <w:rPr>
          <w:rFonts w:asciiTheme="majorHAnsi" w:hAnsiTheme="majorHAnsi"/>
          <w:sz w:val="16"/>
          <w:szCs w:val="16"/>
        </w:rPr>
        <w:t>Reports</w:t>
      </w:r>
      <w:r w:rsidRPr="00E46A2E">
        <w:rPr>
          <w:rFonts w:asciiTheme="majorHAnsi" w:hAnsiTheme="majorHAnsi"/>
          <w:sz w:val="16"/>
          <w:szCs w:val="16"/>
        </w:rPr>
        <w:t xml:space="preserve"> </w:t>
      </w:r>
      <w:r w:rsidRPr="00701D62">
        <w:rPr>
          <w:rFonts w:asciiTheme="majorHAnsi" w:hAnsiTheme="majorHAnsi"/>
          <w:sz w:val="16"/>
          <w:szCs w:val="16"/>
        </w:rPr>
        <w:t xml:space="preserve">on Maribel </w:t>
      </w:r>
      <w:proofErr w:type="spellStart"/>
      <w:r w:rsidRPr="00701D62">
        <w:rPr>
          <w:rFonts w:asciiTheme="majorHAnsi" w:hAnsiTheme="majorHAnsi"/>
          <w:sz w:val="16"/>
          <w:szCs w:val="16"/>
        </w:rPr>
        <w:t>Quispe</w:t>
      </w:r>
      <w:proofErr w:type="spellEnd"/>
      <w:r w:rsidRPr="00701D62">
        <w:rPr>
          <w:rFonts w:asciiTheme="majorHAnsi" w:hAnsiTheme="majorHAnsi"/>
          <w:sz w:val="16"/>
          <w:szCs w:val="16"/>
        </w:rPr>
        <w:t xml:space="preserve"> </w:t>
      </w:r>
      <w:proofErr w:type="spellStart"/>
      <w:r w:rsidRPr="00701D62">
        <w:rPr>
          <w:rFonts w:asciiTheme="majorHAnsi" w:hAnsiTheme="majorHAnsi"/>
          <w:sz w:val="16"/>
          <w:szCs w:val="16"/>
        </w:rPr>
        <w:t>Pomaguanare</w:t>
      </w:r>
      <w:proofErr w:type="spellEnd"/>
      <w:r w:rsidRPr="00701D62">
        <w:rPr>
          <w:rFonts w:asciiTheme="majorHAnsi" w:hAnsiTheme="majorHAnsi"/>
          <w:sz w:val="16"/>
          <w:szCs w:val="16"/>
        </w:rPr>
        <w:t xml:space="preserve"> and Nora </w:t>
      </w:r>
      <w:proofErr w:type="spellStart"/>
      <w:r w:rsidRPr="00701D62">
        <w:rPr>
          <w:rFonts w:asciiTheme="majorHAnsi" w:hAnsiTheme="majorHAnsi"/>
          <w:sz w:val="16"/>
          <w:szCs w:val="16"/>
        </w:rPr>
        <w:t>Doza</w:t>
      </w:r>
      <w:proofErr w:type="spellEnd"/>
      <w:r w:rsidRPr="00701D62">
        <w:rPr>
          <w:rFonts w:asciiTheme="majorHAnsi" w:hAnsiTheme="majorHAnsi"/>
          <w:sz w:val="16"/>
          <w:szCs w:val="16"/>
        </w:rPr>
        <w:t xml:space="preserve">, April 17, 1996; and on Adolfo Castillo Sarmiento and Marcelo Cajamarca </w:t>
      </w:r>
      <w:proofErr w:type="spellStart"/>
      <w:r w:rsidRPr="00701D62">
        <w:rPr>
          <w:rFonts w:asciiTheme="majorHAnsi" w:hAnsiTheme="majorHAnsi"/>
          <w:sz w:val="16"/>
          <w:szCs w:val="16"/>
        </w:rPr>
        <w:t>Ruviola</w:t>
      </w:r>
      <w:proofErr w:type="spellEnd"/>
      <w:r w:rsidRPr="00701D62">
        <w:rPr>
          <w:rFonts w:asciiTheme="majorHAnsi" w:hAnsiTheme="majorHAnsi"/>
          <w:sz w:val="16"/>
          <w:szCs w:val="16"/>
        </w:rPr>
        <w:t xml:space="preserve">, April 18, 1996. </w:t>
      </w:r>
    </w:p>
  </w:footnote>
  <w:footnote w:id="23">
    <w:p w:rsidR="000E7166" w:rsidRPr="00701D62" w:rsidRDefault="000E7166" w:rsidP="0043505F">
      <w:pPr>
        <w:pStyle w:val="FootnoteText"/>
        <w:rPr>
          <w:rFonts w:asciiTheme="majorHAnsi" w:hAnsiTheme="majorHAnsi"/>
          <w:sz w:val="16"/>
          <w:szCs w:val="16"/>
        </w:rPr>
      </w:pPr>
      <w:r w:rsidRPr="00A01230">
        <w:rPr>
          <w:rStyle w:val="FootnoteReference"/>
          <w:rFonts w:asciiTheme="majorHAnsi" w:hAnsiTheme="majorHAnsi"/>
          <w:sz w:val="16"/>
          <w:szCs w:val="16"/>
        </w:rPr>
        <w:footnoteRef/>
      </w:r>
      <w:r w:rsidRPr="00701D62">
        <w:rPr>
          <w:rFonts w:asciiTheme="majorHAnsi" w:hAnsiTheme="majorHAnsi"/>
          <w:sz w:val="16"/>
          <w:szCs w:val="16"/>
        </w:rPr>
        <w:t xml:space="preserve"> Observations from the State of Nicaragua in the information provided by the petitioner and forwarded by th</w:t>
      </w:r>
      <w:r>
        <w:rPr>
          <w:rFonts w:asciiTheme="majorHAnsi" w:hAnsiTheme="majorHAnsi"/>
          <w:sz w:val="16"/>
          <w:szCs w:val="16"/>
        </w:rPr>
        <w:t xml:space="preserve">e IACHR, dated December </w:t>
      </w:r>
      <w:r w:rsidRPr="00701D62">
        <w:rPr>
          <w:rFonts w:asciiTheme="majorHAnsi" w:hAnsiTheme="majorHAnsi"/>
          <w:sz w:val="16"/>
          <w:szCs w:val="16"/>
        </w:rPr>
        <w:t>6</w:t>
      </w:r>
      <w:r>
        <w:rPr>
          <w:rFonts w:asciiTheme="majorHAnsi" w:hAnsiTheme="majorHAnsi"/>
          <w:sz w:val="16"/>
          <w:szCs w:val="16"/>
        </w:rPr>
        <w:t xml:space="preserve">, </w:t>
      </w:r>
      <w:r w:rsidRPr="00701D62">
        <w:rPr>
          <w:rFonts w:asciiTheme="majorHAnsi" w:hAnsiTheme="majorHAnsi"/>
          <w:sz w:val="16"/>
          <w:szCs w:val="16"/>
        </w:rPr>
        <w:t>2007.</w:t>
      </w:r>
    </w:p>
  </w:footnote>
  <w:footnote w:id="24">
    <w:p w:rsidR="000E7166" w:rsidRPr="00E80090"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603D18">
        <w:rPr>
          <w:rFonts w:asciiTheme="majorHAnsi" w:hAnsiTheme="majorHAnsi"/>
          <w:sz w:val="16"/>
          <w:szCs w:val="16"/>
        </w:rPr>
        <w:t xml:space="preserve"> </w:t>
      </w:r>
      <w:r w:rsidRPr="00A53E21">
        <w:rPr>
          <w:rFonts w:asciiTheme="majorHAnsi" w:hAnsiTheme="majorHAnsi"/>
          <w:sz w:val="16"/>
          <w:szCs w:val="16"/>
        </w:rPr>
        <w:t xml:space="preserve">Annex XX. </w:t>
      </w:r>
      <w:proofErr w:type="gramStart"/>
      <w:r w:rsidRPr="00E80090">
        <w:rPr>
          <w:rFonts w:asciiTheme="majorHAnsi" w:hAnsiTheme="majorHAnsi"/>
          <w:sz w:val="16"/>
          <w:szCs w:val="16"/>
        </w:rPr>
        <w:t>Case File.</w:t>
      </w:r>
      <w:proofErr w:type="gramEnd"/>
      <w:r w:rsidRPr="00E80090">
        <w:rPr>
          <w:rFonts w:asciiTheme="majorHAnsi" w:hAnsiTheme="majorHAnsi"/>
          <w:sz w:val="16"/>
          <w:szCs w:val="16"/>
        </w:rPr>
        <w:t xml:space="preserve"> </w:t>
      </w:r>
      <w:proofErr w:type="gramStart"/>
      <w:r w:rsidRPr="00603D18">
        <w:rPr>
          <w:rFonts w:asciiTheme="majorHAnsi" w:hAnsiTheme="majorHAnsi"/>
          <w:sz w:val="16"/>
          <w:szCs w:val="16"/>
        </w:rPr>
        <w:t>Criminal Complaint of the Assistant Prosecutor of Chinandega</w:t>
      </w:r>
      <w:r>
        <w:rPr>
          <w:rFonts w:asciiTheme="majorHAnsi" w:hAnsiTheme="majorHAnsi"/>
          <w:sz w:val="16"/>
          <w:szCs w:val="16"/>
        </w:rPr>
        <w:t>.</w:t>
      </w:r>
      <w:proofErr w:type="gramEnd"/>
      <w:r>
        <w:rPr>
          <w:rFonts w:asciiTheme="majorHAnsi" w:hAnsiTheme="majorHAnsi"/>
          <w:sz w:val="16"/>
          <w:szCs w:val="16"/>
        </w:rPr>
        <w:t xml:space="preserve"> </w:t>
      </w:r>
      <w:proofErr w:type="gramStart"/>
      <w:r w:rsidRPr="00E80090">
        <w:rPr>
          <w:rFonts w:asciiTheme="majorHAnsi" w:hAnsiTheme="majorHAnsi"/>
          <w:sz w:val="16"/>
          <w:szCs w:val="16"/>
        </w:rPr>
        <w:t>April 26, 1996, p. 534.</w:t>
      </w:r>
      <w:proofErr w:type="gramEnd"/>
    </w:p>
  </w:footnote>
  <w:footnote w:id="25">
    <w:p w:rsidR="000E7166" w:rsidRPr="00E80090"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80090">
        <w:rPr>
          <w:rFonts w:asciiTheme="majorHAnsi" w:hAnsiTheme="majorHAnsi"/>
          <w:sz w:val="16"/>
          <w:szCs w:val="16"/>
        </w:rPr>
        <w:t xml:space="preserve"> Annex XX. </w:t>
      </w:r>
      <w:proofErr w:type="gramStart"/>
      <w:r w:rsidRPr="00E80090">
        <w:rPr>
          <w:rFonts w:asciiTheme="majorHAnsi" w:hAnsiTheme="majorHAnsi"/>
          <w:sz w:val="16"/>
          <w:szCs w:val="16"/>
        </w:rPr>
        <w:t>Case File.</w:t>
      </w:r>
      <w:proofErr w:type="gramEnd"/>
      <w:r w:rsidRPr="00E80090">
        <w:rPr>
          <w:rFonts w:asciiTheme="majorHAnsi" w:hAnsiTheme="majorHAnsi"/>
          <w:sz w:val="16"/>
          <w:szCs w:val="16"/>
        </w:rPr>
        <w:t xml:space="preserve"> </w:t>
      </w:r>
      <w:proofErr w:type="gramStart"/>
      <w:r w:rsidRPr="00F34EB9">
        <w:rPr>
          <w:rFonts w:asciiTheme="majorHAnsi" w:hAnsiTheme="majorHAnsi"/>
          <w:sz w:val="16"/>
          <w:szCs w:val="16"/>
        </w:rPr>
        <w:t>Judgment of First District Crim</w:t>
      </w:r>
      <w:r>
        <w:rPr>
          <w:rFonts w:asciiTheme="majorHAnsi" w:hAnsiTheme="majorHAnsi"/>
          <w:sz w:val="16"/>
          <w:szCs w:val="16"/>
        </w:rPr>
        <w:t>inal Court of</w:t>
      </w:r>
      <w:r w:rsidRPr="00F34EB9">
        <w:rPr>
          <w:rFonts w:asciiTheme="majorHAnsi" w:hAnsiTheme="majorHAnsi"/>
          <w:sz w:val="16"/>
          <w:szCs w:val="16"/>
        </w:rPr>
        <w:t xml:space="preserve"> Chinandega</w:t>
      </w:r>
      <w:r>
        <w:rPr>
          <w:rFonts w:asciiTheme="majorHAnsi" w:hAnsiTheme="majorHAnsi"/>
          <w:sz w:val="16"/>
          <w:szCs w:val="16"/>
        </w:rPr>
        <w:t>.</w:t>
      </w:r>
      <w:proofErr w:type="gramEnd"/>
      <w:r>
        <w:rPr>
          <w:rFonts w:asciiTheme="majorHAnsi" w:hAnsiTheme="majorHAnsi"/>
          <w:sz w:val="16"/>
          <w:szCs w:val="16"/>
        </w:rPr>
        <w:t xml:space="preserve"> </w:t>
      </w:r>
      <w:proofErr w:type="gramStart"/>
      <w:r w:rsidRPr="00E80090">
        <w:rPr>
          <w:rFonts w:asciiTheme="majorHAnsi" w:hAnsiTheme="majorHAnsi"/>
          <w:sz w:val="16"/>
          <w:szCs w:val="16"/>
        </w:rPr>
        <w:t>May 6, 1996, p. 625.</w:t>
      </w:r>
      <w:proofErr w:type="gramEnd"/>
    </w:p>
  </w:footnote>
  <w:footnote w:id="26">
    <w:p w:rsidR="000E7166" w:rsidRPr="000B74C0"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80090">
        <w:rPr>
          <w:rFonts w:asciiTheme="majorHAnsi" w:hAnsiTheme="majorHAnsi"/>
          <w:sz w:val="16"/>
          <w:szCs w:val="16"/>
        </w:rPr>
        <w:t xml:space="preserve"> Annex XX. </w:t>
      </w:r>
      <w:proofErr w:type="gramStart"/>
      <w:r w:rsidRPr="00E80090">
        <w:rPr>
          <w:rFonts w:asciiTheme="majorHAnsi" w:hAnsiTheme="majorHAnsi"/>
          <w:sz w:val="16"/>
          <w:szCs w:val="16"/>
        </w:rPr>
        <w:t>Case File.</w:t>
      </w:r>
      <w:proofErr w:type="gramEnd"/>
      <w:r w:rsidRPr="00E80090">
        <w:rPr>
          <w:rFonts w:asciiTheme="majorHAnsi" w:hAnsiTheme="majorHAnsi"/>
          <w:sz w:val="16"/>
          <w:szCs w:val="16"/>
        </w:rPr>
        <w:t xml:space="preserve"> </w:t>
      </w:r>
      <w:proofErr w:type="gramStart"/>
      <w:r w:rsidRPr="000B74C0">
        <w:rPr>
          <w:rFonts w:asciiTheme="majorHAnsi" w:hAnsiTheme="majorHAnsi"/>
          <w:sz w:val="16"/>
          <w:szCs w:val="16"/>
        </w:rPr>
        <w:t xml:space="preserve">Judgment of </w:t>
      </w:r>
      <w:r>
        <w:rPr>
          <w:rFonts w:asciiTheme="majorHAnsi" w:hAnsiTheme="majorHAnsi"/>
          <w:sz w:val="16"/>
          <w:szCs w:val="16"/>
        </w:rPr>
        <w:t xml:space="preserve">the </w:t>
      </w:r>
      <w:r w:rsidRPr="000B74C0">
        <w:rPr>
          <w:rFonts w:asciiTheme="majorHAnsi" w:hAnsiTheme="majorHAnsi"/>
          <w:sz w:val="16"/>
          <w:szCs w:val="16"/>
        </w:rPr>
        <w:t>Appeals Court.</w:t>
      </w:r>
      <w:proofErr w:type="gramEnd"/>
      <w:r>
        <w:rPr>
          <w:rFonts w:asciiTheme="majorHAnsi" w:hAnsiTheme="majorHAnsi"/>
          <w:sz w:val="16"/>
          <w:szCs w:val="16"/>
        </w:rPr>
        <w:t xml:space="preserve"> </w:t>
      </w:r>
      <w:proofErr w:type="gramStart"/>
      <w:r w:rsidRPr="000B74C0">
        <w:rPr>
          <w:rFonts w:asciiTheme="majorHAnsi" w:hAnsiTheme="majorHAnsi"/>
          <w:sz w:val="16"/>
          <w:szCs w:val="16"/>
        </w:rPr>
        <w:t>August 28, 1996, p. 683.</w:t>
      </w:r>
      <w:proofErr w:type="gramEnd"/>
    </w:p>
  </w:footnote>
  <w:footnote w:id="27">
    <w:p w:rsidR="000E7166" w:rsidRPr="000B74C0"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0B74C0">
        <w:rPr>
          <w:rFonts w:asciiTheme="majorHAnsi" w:hAnsiTheme="majorHAnsi"/>
          <w:sz w:val="16"/>
          <w:szCs w:val="16"/>
        </w:rPr>
        <w:t xml:space="preserve"> </w:t>
      </w:r>
      <w:r w:rsidRPr="00A53E21">
        <w:rPr>
          <w:rFonts w:asciiTheme="majorHAnsi" w:hAnsiTheme="majorHAnsi"/>
          <w:sz w:val="16"/>
          <w:szCs w:val="16"/>
        </w:rPr>
        <w:t xml:space="preserve">Annex XX. </w:t>
      </w:r>
      <w:proofErr w:type="gramStart"/>
      <w:r w:rsidRPr="000B74C0">
        <w:rPr>
          <w:rFonts w:asciiTheme="majorHAnsi" w:hAnsiTheme="majorHAnsi"/>
          <w:sz w:val="16"/>
          <w:szCs w:val="16"/>
        </w:rPr>
        <w:t>Case File.</w:t>
      </w:r>
      <w:proofErr w:type="gramEnd"/>
      <w:r w:rsidRPr="000B74C0">
        <w:rPr>
          <w:rFonts w:asciiTheme="majorHAnsi" w:hAnsiTheme="majorHAnsi"/>
          <w:sz w:val="16"/>
          <w:szCs w:val="16"/>
        </w:rPr>
        <w:t xml:space="preserve"> </w:t>
      </w:r>
      <w:proofErr w:type="gramStart"/>
      <w:r w:rsidRPr="000B74C0">
        <w:rPr>
          <w:rFonts w:asciiTheme="majorHAnsi" w:hAnsiTheme="majorHAnsi"/>
          <w:sz w:val="16"/>
          <w:szCs w:val="16"/>
        </w:rPr>
        <w:t>Verdict of the Jury Court.</w:t>
      </w:r>
      <w:proofErr w:type="gramEnd"/>
      <w:r>
        <w:rPr>
          <w:rFonts w:asciiTheme="majorHAnsi" w:hAnsiTheme="majorHAnsi"/>
          <w:sz w:val="16"/>
          <w:szCs w:val="16"/>
        </w:rPr>
        <w:t xml:space="preserve"> </w:t>
      </w:r>
      <w:proofErr w:type="gramStart"/>
      <w:r w:rsidRPr="000B74C0">
        <w:rPr>
          <w:rFonts w:asciiTheme="majorHAnsi" w:hAnsiTheme="majorHAnsi"/>
          <w:sz w:val="16"/>
          <w:szCs w:val="16"/>
        </w:rPr>
        <w:t>February 24, 1997, p. 759.</w:t>
      </w:r>
      <w:proofErr w:type="gramEnd"/>
    </w:p>
  </w:footnote>
  <w:footnote w:id="28">
    <w:p w:rsidR="000E7166" w:rsidRPr="000B74C0"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0B74C0">
        <w:rPr>
          <w:rFonts w:asciiTheme="majorHAnsi" w:hAnsiTheme="majorHAnsi"/>
          <w:sz w:val="16"/>
          <w:szCs w:val="16"/>
        </w:rPr>
        <w:t xml:space="preserve"> Annex XX. </w:t>
      </w:r>
      <w:proofErr w:type="gramStart"/>
      <w:r w:rsidRPr="000B74C0">
        <w:rPr>
          <w:rFonts w:asciiTheme="majorHAnsi" w:hAnsiTheme="majorHAnsi"/>
          <w:sz w:val="16"/>
          <w:szCs w:val="16"/>
        </w:rPr>
        <w:t>Case File.</w:t>
      </w:r>
      <w:proofErr w:type="gramEnd"/>
      <w:r w:rsidRPr="000B74C0">
        <w:rPr>
          <w:rFonts w:asciiTheme="majorHAnsi" w:hAnsiTheme="majorHAnsi"/>
          <w:sz w:val="16"/>
          <w:szCs w:val="16"/>
        </w:rPr>
        <w:t xml:space="preserve"> </w:t>
      </w:r>
      <w:proofErr w:type="gramStart"/>
      <w:r w:rsidRPr="00F34EB9">
        <w:rPr>
          <w:rFonts w:asciiTheme="majorHAnsi" w:hAnsiTheme="majorHAnsi"/>
          <w:sz w:val="16"/>
          <w:szCs w:val="16"/>
        </w:rPr>
        <w:t>Judgment of First District Crim</w:t>
      </w:r>
      <w:r>
        <w:rPr>
          <w:rFonts w:asciiTheme="majorHAnsi" w:hAnsiTheme="majorHAnsi"/>
          <w:sz w:val="16"/>
          <w:szCs w:val="16"/>
        </w:rPr>
        <w:t>inal Court of</w:t>
      </w:r>
      <w:r w:rsidRPr="00F34EB9">
        <w:rPr>
          <w:rFonts w:asciiTheme="majorHAnsi" w:hAnsiTheme="majorHAnsi"/>
          <w:sz w:val="16"/>
          <w:szCs w:val="16"/>
        </w:rPr>
        <w:t xml:space="preserve"> Chinandega</w:t>
      </w:r>
      <w:r w:rsidRPr="000B74C0">
        <w:rPr>
          <w:rFonts w:asciiTheme="majorHAnsi" w:hAnsiTheme="majorHAnsi"/>
          <w:sz w:val="16"/>
          <w:szCs w:val="16"/>
        </w:rPr>
        <w:t>.</w:t>
      </w:r>
      <w:proofErr w:type="gramEnd"/>
      <w:r w:rsidRPr="000B74C0">
        <w:rPr>
          <w:rFonts w:asciiTheme="majorHAnsi" w:hAnsiTheme="majorHAnsi"/>
          <w:sz w:val="16"/>
          <w:szCs w:val="16"/>
        </w:rPr>
        <w:t xml:space="preserve"> </w:t>
      </w:r>
      <w:proofErr w:type="gramStart"/>
      <w:r w:rsidRPr="000B74C0">
        <w:rPr>
          <w:rFonts w:asciiTheme="majorHAnsi" w:hAnsiTheme="majorHAnsi"/>
          <w:sz w:val="16"/>
          <w:szCs w:val="16"/>
        </w:rPr>
        <w:t>February 27, 1997, p. 765.</w:t>
      </w:r>
      <w:proofErr w:type="gramEnd"/>
      <w:r w:rsidRPr="000B74C0">
        <w:rPr>
          <w:rFonts w:asciiTheme="majorHAnsi" w:hAnsiTheme="majorHAnsi"/>
          <w:sz w:val="16"/>
          <w:szCs w:val="16"/>
        </w:rPr>
        <w:t xml:space="preserve">  </w:t>
      </w:r>
    </w:p>
  </w:footnote>
  <w:footnote w:id="29">
    <w:p w:rsidR="000E7166" w:rsidRPr="000B74C0"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0B74C0">
        <w:rPr>
          <w:rFonts w:asciiTheme="majorHAnsi" w:hAnsiTheme="majorHAnsi"/>
          <w:sz w:val="16"/>
          <w:szCs w:val="16"/>
        </w:rPr>
        <w:t xml:space="preserve"> </w:t>
      </w:r>
      <w:proofErr w:type="gramStart"/>
      <w:r w:rsidRPr="000B74C0">
        <w:rPr>
          <w:rFonts w:asciiTheme="majorHAnsi" w:hAnsiTheme="majorHAnsi"/>
          <w:sz w:val="16"/>
          <w:szCs w:val="16"/>
        </w:rPr>
        <w:t>Article 22 of the Code of Criminal In</w:t>
      </w:r>
      <w:r>
        <w:rPr>
          <w:rFonts w:asciiTheme="majorHAnsi" w:hAnsiTheme="majorHAnsi"/>
          <w:sz w:val="16"/>
          <w:szCs w:val="16"/>
        </w:rPr>
        <w:t>struction</w:t>
      </w:r>
      <w:r w:rsidRPr="000B74C0">
        <w:rPr>
          <w:rFonts w:asciiTheme="majorHAnsi" w:hAnsiTheme="majorHAnsi"/>
          <w:sz w:val="16"/>
          <w:szCs w:val="16"/>
        </w:rPr>
        <w:t>.</w:t>
      </w:r>
      <w:proofErr w:type="gramEnd"/>
      <w:r w:rsidRPr="000B74C0">
        <w:rPr>
          <w:rFonts w:asciiTheme="majorHAnsi" w:hAnsiTheme="majorHAnsi"/>
          <w:sz w:val="16"/>
          <w:szCs w:val="16"/>
        </w:rPr>
        <w:t xml:space="preserve"> </w:t>
      </w:r>
    </w:p>
  </w:footnote>
  <w:footnote w:id="30">
    <w:p w:rsidR="000E7166" w:rsidRPr="000B74C0"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0B74C0">
        <w:rPr>
          <w:rFonts w:asciiTheme="majorHAnsi" w:hAnsiTheme="majorHAnsi"/>
          <w:sz w:val="16"/>
          <w:szCs w:val="16"/>
        </w:rPr>
        <w:t xml:space="preserve"> </w:t>
      </w:r>
      <w:r w:rsidRPr="00A53E21">
        <w:rPr>
          <w:rFonts w:asciiTheme="majorHAnsi" w:hAnsiTheme="majorHAnsi"/>
          <w:sz w:val="16"/>
          <w:szCs w:val="16"/>
        </w:rPr>
        <w:t xml:space="preserve">Annex XX. </w:t>
      </w:r>
      <w:proofErr w:type="gramStart"/>
      <w:r w:rsidRPr="000B74C0">
        <w:rPr>
          <w:rFonts w:asciiTheme="majorHAnsi" w:hAnsiTheme="majorHAnsi"/>
          <w:sz w:val="16"/>
          <w:szCs w:val="16"/>
        </w:rPr>
        <w:t>Case File.</w:t>
      </w:r>
      <w:proofErr w:type="gramEnd"/>
      <w:r w:rsidRPr="000B74C0">
        <w:rPr>
          <w:rFonts w:asciiTheme="majorHAnsi" w:hAnsiTheme="majorHAnsi"/>
          <w:sz w:val="16"/>
          <w:szCs w:val="16"/>
        </w:rPr>
        <w:t xml:space="preserve"> </w:t>
      </w:r>
      <w:proofErr w:type="gramStart"/>
      <w:r w:rsidRPr="000B74C0">
        <w:rPr>
          <w:rFonts w:asciiTheme="majorHAnsi" w:hAnsiTheme="majorHAnsi"/>
          <w:sz w:val="16"/>
          <w:szCs w:val="16"/>
        </w:rPr>
        <w:t>Statements of migrants, pp. 12</w:t>
      </w:r>
      <w:r>
        <w:rPr>
          <w:rFonts w:asciiTheme="majorHAnsi" w:hAnsiTheme="majorHAnsi"/>
          <w:sz w:val="16"/>
          <w:szCs w:val="16"/>
        </w:rPr>
        <w:t>-</w:t>
      </w:r>
      <w:r w:rsidRPr="000B74C0">
        <w:rPr>
          <w:rFonts w:asciiTheme="majorHAnsi" w:hAnsiTheme="majorHAnsi"/>
          <w:sz w:val="16"/>
          <w:szCs w:val="16"/>
        </w:rPr>
        <w:t>81.</w:t>
      </w:r>
      <w:proofErr w:type="gramEnd"/>
    </w:p>
  </w:footnote>
  <w:footnote w:id="31">
    <w:p w:rsidR="000E7166" w:rsidRPr="00E16A46"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16A46">
        <w:rPr>
          <w:rFonts w:asciiTheme="majorHAnsi" w:hAnsiTheme="majorHAnsi"/>
          <w:sz w:val="16"/>
          <w:szCs w:val="16"/>
        </w:rPr>
        <w:t xml:space="preserve"> </w:t>
      </w:r>
      <w:r w:rsidRPr="00E16A46">
        <w:rPr>
          <w:rFonts w:asciiTheme="majorHAnsi" w:hAnsiTheme="majorHAnsi"/>
          <w:sz w:val="16"/>
          <w:szCs w:val="16"/>
        </w:rPr>
        <w:t>Annex XX. Case File. Statements of Antonio Alejandro López Ríos, José Adrián Madrigal García, Ruperto Méndez Méndez, Rodolfo Guerrero Zeledón, Martina Alicia Reyes Rocha, Juan Reyes Cruz, Rigoberto Leonel Morales, and Rosa Izuguirre, pp. 100-107.</w:t>
      </w:r>
    </w:p>
  </w:footnote>
  <w:footnote w:id="32">
    <w:p w:rsidR="000E7166" w:rsidRPr="00E16A46"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16A46">
        <w:rPr>
          <w:rFonts w:asciiTheme="majorHAnsi" w:hAnsiTheme="majorHAnsi"/>
          <w:sz w:val="16"/>
          <w:szCs w:val="16"/>
        </w:rPr>
        <w:t xml:space="preserve"> Annex XX. Case File. Statements of Germán Pineda Dávila, José Danilo Pérez Chevez, Alberto José Vasquez Gómez, Fernando Antonio Carcache Pineda, Carlos Alberto Aguirre Larios, Isaac Milsiades Real, Ricardo José Vega, Mauricio Rafael Robinson Parrales, José Agustín Siles Luna, Mackely Artur Solono, Sergio Oswaldo Romero Arauz, Jorge Escorcia Moreno, José Asunción Mallano Dávila, Williams Alejandro Romero Santana, José Francisco Garmedia Cruz, Ricardo Ramón González Herrera, William José Noguera Rivas, Sergio Oswaldo Romero, Erundina Hernández López, Manuel de Jesús Peralta García, Eliodoro Marcelino Vega Rojas, and Andrés Real Mendoza.</w:t>
      </w:r>
    </w:p>
  </w:footnote>
  <w:footnote w:id="33">
    <w:p w:rsidR="000E7166" w:rsidRPr="00E16A46" w:rsidRDefault="000E7166" w:rsidP="0043505F">
      <w:pPr>
        <w:pStyle w:val="FootnoteText"/>
        <w:rPr>
          <w:rFonts w:asciiTheme="majorHAnsi" w:hAnsiTheme="majorHAnsi"/>
          <w:sz w:val="16"/>
          <w:szCs w:val="16"/>
        </w:rPr>
      </w:pPr>
      <w:r w:rsidRPr="00A01230">
        <w:rPr>
          <w:rStyle w:val="FootnoteReference"/>
          <w:rFonts w:asciiTheme="majorHAnsi" w:hAnsiTheme="majorHAnsi"/>
          <w:sz w:val="16"/>
          <w:szCs w:val="16"/>
        </w:rPr>
        <w:footnoteRef/>
      </w:r>
      <w:r w:rsidRPr="00E16A46">
        <w:rPr>
          <w:rFonts w:asciiTheme="majorHAnsi" w:hAnsiTheme="majorHAnsi"/>
          <w:sz w:val="16"/>
          <w:szCs w:val="16"/>
        </w:rPr>
        <w:t xml:space="preserve"> Annex XX. Case File. Statements of José Carcache Pineda, Francisco Simón Ordoñez Najare, Ricardo Javier Salgado Ojeda, Silvio Antonio Vanegas Blandon, José Marcelino Ramírez Vargas, and José Reynaldo Pineda Silva. </w:t>
      </w:r>
    </w:p>
  </w:footnote>
  <w:footnote w:id="34">
    <w:p w:rsidR="000E7166" w:rsidRPr="00160215"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423C36">
        <w:rPr>
          <w:rFonts w:asciiTheme="majorHAnsi" w:hAnsiTheme="majorHAnsi"/>
          <w:sz w:val="16"/>
          <w:szCs w:val="16"/>
        </w:rPr>
        <w:t xml:space="preserve"> </w:t>
      </w:r>
      <w:r w:rsidRPr="007D60E2">
        <w:rPr>
          <w:rFonts w:asciiTheme="majorHAnsi" w:hAnsiTheme="majorHAnsi"/>
          <w:sz w:val="16"/>
          <w:szCs w:val="16"/>
        </w:rPr>
        <w:t xml:space="preserve">Annex XX. </w:t>
      </w:r>
      <w:proofErr w:type="gramStart"/>
      <w:r w:rsidRPr="00796B9A">
        <w:rPr>
          <w:rFonts w:asciiTheme="majorHAnsi" w:hAnsiTheme="majorHAnsi"/>
          <w:sz w:val="16"/>
          <w:szCs w:val="16"/>
        </w:rPr>
        <w:t>Case File.</w:t>
      </w:r>
      <w:proofErr w:type="gramEnd"/>
      <w:r w:rsidRPr="00796B9A">
        <w:rPr>
          <w:rFonts w:asciiTheme="majorHAnsi" w:hAnsiTheme="majorHAnsi"/>
          <w:sz w:val="16"/>
          <w:szCs w:val="16"/>
        </w:rPr>
        <w:t xml:space="preserve"> </w:t>
      </w:r>
      <w:proofErr w:type="gramStart"/>
      <w:r w:rsidRPr="00E8055D">
        <w:rPr>
          <w:rFonts w:asciiTheme="majorHAnsi" w:hAnsiTheme="majorHAnsi"/>
          <w:sz w:val="16"/>
          <w:szCs w:val="16"/>
        </w:rPr>
        <w:t xml:space="preserve">Visual Inspection </w:t>
      </w:r>
      <w:r>
        <w:rPr>
          <w:rFonts w:asciiTheme="majorHAnsi" w:hAnsiTheme="majorHAnsi"/>
          <w:sz w:val="16"/>
          <w:szCs w:val="16"/>
        </w:rPr>
        <w:t xml:space="preserve">Report </w:t>
      </w:r>
      <w:r w:rsidRPr="00E8055D">
        <w:rPr>
          <w:rFonts w:asciiTheme="majorHAnsi" w:hAnsiTheme="majorHAnsi"/>
          <w:sz w:val="16"/>
          <w:szCs w:val="16"/>
        </w:rPr>
        <w:t>o</w:t>
      </w:r>
      <w:r>
        <w:rPr>
          <w:rFonts w:asciiTheme="majorHAnsi" w:hAnsiTheme="majorHAnsi"/>
          <w:sz w:val="16"/>
          <w:szCs w:val="16"/>
        </w:rPr>
        <w:t>n</w:t>
      </w:r>
      <w:r w:rsidRPr="00E8055D">
        <w:rPr>
          <w:rFonts w:asciiTheme="majorHAnsi" w:hAnsiTheme="majorHAnsi"/>
          <w:sz w:val="16"/>
          <w:szCs w:val="16"/>
        </w:rPr>
        <w:t xml:space="preserve"> Vehicle.</w:t>
      </w:r>
      <w:proofErr w:type="gramEnd"/>
      <w:r w:rsidRPr="00E8055D">
        <w:rPr>
          <w:rFonts w:asciiTheme="majorHAnsi" w:hAnsiTheme="majorHAnsi"/>
          <w:sz w:val="16"/>
          <w:szCs w:val="16"/>
        </w:rPr>
        <w:t xml:space="preserve"> </w:t>
      </w:r>
      <w:proofErr w:type="gramStart"/>
      <w:r w:rsidRPr="00160215">
        <w:rPr>
          <w:rFonts w:asciiTheme="majorHAnsi" w:hAnsiTheme="majorHAnsi"/>
          <w:sz w:val="16"/>
          <w:szCs w:val="16"/>
        </w:rPr>
        <w:t>April 18, 1996, p. 12.</w:t>
      </w:r>
      <w:proofErr w:type="gramEnd"/>
    </w:p>
  </w:footnote>
  <w:footnote w:id="35">
    <w:p w:rsidR="000E7166" w:rsidRPr="008F6CF6"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160215">
        <w:rPr>
          <w:rFonts w:asciiTheme="majorHAnsi" w:hAnsiTheme="majorHAnsi"/>
          <w:sz w:val="16"/>
          <w:szCs w:val="16"/>
        </w:rPr>
        <w:t xml:space="preserve"> </w:t>
      </w:r>
      <w:r w:rsidRPr="007D60E2">
        <w:rPr>
          <w:rFonts w:asciiTheme="majorHAnsi" w:hAnsiTheme="majorHAnsi"/>
          <w:sz w:val="16"/>
          <w:szCs w:val="16"/>
        </w:rPr>
        <w:t xml:space="preserve">Annex XX. </w:t>
      </w:r>
      <w:proofErr w:type="gramStart"/>
      <w:r w:rsidRPr="00796B9A">
        <w:rPr>
          <w:rFonts w:asciiTheme="majorHAnsi" w:hAnsiTheme="majorHAnsi"/>
          <w:sz w:val="16"/>
          <w:szCs w:val="16"/>
        </w:rPr>
        <w:t>Case File.</w:t>
      </w:r>
      <w:proofErr w:type="gramEnd"/>
      <w:r w:rsidRPr="00796B9A">
        <w:rPr>
          <w:rFonts w:asciiTheme="majorHAnsi" w:hAnsiTheme="majorHAnsi"/>
          <w:sz w:val="16"/>
          <w:szCs w:val="16"/>
        </w:rPr>
        <w:t xml:space="preserve"> </w:t>
      </w:r>
      <w:proofErr w:type="gramStart"/>
      <w:r w:rsidRPr="00E8055D">
        <w:rPr>
          <w:rFonts w:asciiTheme="majorHAnsi" w:hAnsiTheme="majorHAnsi"/>
          <w:sz w:val="16"/>
          <w:szCs w:val="16"/>
        </w:rPr>
        <w:t xml:space="preserve">Visual Inspection </w:t>
      </w:r>
      <w:r>
        <w:rPr>
          <w:rFonts w:asciiTheme="majorHAnsi" w:hAnsiTheme="majorHAnsi"/>
          <w:sz w:val="16"/>
          <w:szCs w:val="16"/>
        </w:rPr>
        <w:t xml:space="preserve">Report </w:t>
      </w:r>
      <w:r w:rsidRPr="00E8055D">
        <w:rPr>
          <w:rFonts w:asciiTheme="majorHAnsi" w:hAnsiTheme="majorHAnsi"/>
          <w:sz w:val="16"/>
          <w:szCs w:val="16"/>
        </w:rPr>
        <w:t>o</w:t>
      </w:r>
      <w:r>
        <w:rPr>
          <w:rFonts w:asciiTheme="majorHAnsi" w:hAnsiTheme="majorHAnsi"/>
          <w:sz w:val="16"/>
          <w:szCs w:val="16"/>
        </w:rPr>
        <w:t>n</w:t>
      </w:r>
      <w:r w:rsidRPr="00E8055D">
        <w:rPr>
          <w:rFonts w:asciiTheme="majorHAnsi" w:hAnsiTheme="majorHAnsi"/>
          <w:sz w:val="16"/>
          <w:szCs w:val="16"/>
        </w:rPr>
        <w:t xml:space="preserve"> Vehicle.</w:t>
      </w:r>
      <w:proofErr w:type="gramEnd"/>
      <w:r w:rsidRPr="00E8055D">
        <w:rPr>
          <w:rFonts w:asciiTheme="majorHAnsi" w:hAnsiTheme="majorHAnsi"/>
          <w:sz w:val="16"/>
          <w:szCs w:val="16"/>
        </w:rPr>
        <w:t xml:space="preserve"> </w:t>
      </w:r>
      <w:proofErr w:type="gramStart"/>
      <w:r w:rsidRPr="00E8055D">
        <w:rPr>
          <w:rFonts w:asciiTheme="majorHAnsi" w:hAnsiTheme="majorHAnsi"/>
          <w:sz w:val="16"/>
          <w:szCs w:val="16"/>
        </w:rPr>
        <w:t>April 18, 1996</w:t>
      </w:r>
      <w:r w:rsidRPr="008F6CF6">
        <w:rPr>
          <w:rFonts w:asciiTheme="majorHAnsi" w:hAnsiTheme="majorHAnsi"/>
          <w:sz w:val="16"/>
          <w:szCs w:val="16"/>
        </w:rPr>
        <w:t>, p. 12.</w:t>
      </w:r>
      <w:proofErr w:type="gramEnd"/>
    </w:p>
  </w:footnote>
  <w:footnote w:id="36">
    <w:p w:rsidR="000E7166" w:rsidRPr="00B44E48"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8F6CF6">
        <w:rPr>
          <w:rFonts w:asciiTheme="majorHAnsi" w:hAnsiTheme="majorHAnsi"/>
          <w:sz w:val="16"/>
          <w:szCs w:val="16"/>
        </w:rPr>
        <w:t xml:space="preserve"> </w:t>
      </w:r>
      <w:r w:rsidRPr="007D60E2">
        <w:rPr>
          <w:rFonts w:asciiTheme="majorHAnsi" w:hAnsiTheme="majorHAnsi"/>
          <w:sz w:val="16"/>
          <w:szCs w:val="16"/>
        </w:rPr>
        <w:t xml:space="preserve">Annex XX. </w:t>
      </w:r>
      <w:proofErr w:type="gramStart"/>
      <w:r w:rsidRPr="00796B9A">
        <w:rPr>
          <w:rFonts w:asciiTheme="majorHAnsi" w:hAnsiTheme="majorHAnsi"/>
          <w:sz w:val="16"/>
          <w:szCs w:val="16"/>
        </w:rPr>
        <w:t>Case File.</w:t>
      </w:r>
      <w:proofErr w:type="gramEnd"/>
      <w:r w:rsidRPr="00796B9A">
        <w:rPr>
          <w:rFonts w:asciiTheme="majorHAnsi" w:hAnsiTheme="majorHAnsi"/>
          <w:sz w:val="16"/>
          <w:szCs w:val="16"/>
        </w:rPr>
        <w:t xml:space="preserve"> </w:t>
      </w:r>
      <w:r>
        <w:rPr>
          <w:rFonts w:asciiTheme="majorHAnsi" w:hAnsiTheme="majorHAnsi"/>
          <w:sz w:val="16"/>
          <w:szCs w:val="16"/>
        </w:rPr>
        <w:t>Diagram</w:t>
      </w:r>
      <w:r w:rsidRPr="00B44E48">
        <w:rPr>
          <w:rFonts w:asciiTheme="majorHAnsi" w:hAnsiTheme="majorHAnsi"/>
          <w:sz w:val="16"/>
          <w:szCs w:val="16"/>
        </w:rPr>
        <w:t xml:space="preserve"> of the </w:t>
      </w:r>
      <w:r>
        <w:rPr>
          <w:rFonts w:asciiTheme="majorHAnsi" w:hAnsiTheme="majorHAnsi"/>
          <w:sz w:val="16"/>
          <w:szCs w:val="16"/>
        </w:rPr>
        <w:t>Scene</w:t>
      </w:r>
      <w:r w:rsidRPr="00B44E48">
        <w:rPr>
          <w:rFonts w:asciiTheme="majorHAnsi" w:hAnsiTheme="majorHAnsi"/>
          <w:sz w:val="16"/>
          <w:szCs w:val="16"/>
        </w:rPr>
        <w:t>, p. 11.</w:t>
      </w:r>
    </w:p>
  </w:footnote>
  <w:footnote w:id="37">
    <w:p w:rsidR="000E7166" w:rsidRPr="00E16A46"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16A46">
        <w:rPr>
          <w:rFonts w:asciiTheme="majorHAnsi" w:hAnsiTheme="majorHAnsi"/>
          <w:sz w:val="16"/>
          <w:szCs w:val="16"/>
        </w:rPr>
        <w:t xml:space="preserve"> </w:t>
      </w:r>
      <w:r w:rsidRPr="00E16A46">
        <w:rPr>
          <w:rFonts w:asciiTheme="majorHAnsi" w:hAnsiTheme="majorHAnsi"/>
          <w:sz w:val="16"/>
          <w:szCs w:val="16"/>
        </w:rPr>
        <w:t>Annex XX. Case File. Legal Medical Reports on Patricio Roche Azaña, Maribel Quispe Pomahuacre, Nora Doza Samaniego, Adolfo Castillo Sarmineto, and Marcelo Cajamarca Riulova, pp. 88-99.</w:t>
      </w:r>
    </w:p>
  </w:footnote>
  <w:footnote w:id="38">
    <w:p w:rsidR="000E7166" w:rsidRPr="00F276EB"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80090">
        <w:rPr>
          <w:rFonts w:asciiTheme="majorHAnsi" w:hAnsiTheme="majorHAnsi"/>
          <w:sz w:val="16"/>
          <w:szCs w:val="16"/>
        </w:rPr>
        <w:t xml:space="preserve"> Annex XX. </w:t>
      </w:r>
      <w:proofErr w:type="gramStart"/>
      <w:r w:rsidRPr="00E80090">
        <w:rPr>
          <w:rFonts w:asciiTheme="majorHAnsi" w:hAnsiTheme="majorHAnsi"/>
          <w:sz w:val="16"/>
          <w:szCs w:val="16"/>
        </w:rPr>
        <w:t>Case File.</w:t>
      </w:r>
      <w:proofErr w:type="gramEnd"/>
      <w:r w:rsidRPr="00E80090">
        <w:rPr>
          <w:rFonts w:asciiTheme="majorHAnsi" w:hAnsiTheme="majorHAnsi"/>
          <w:sz w:val="16"/>
          <w:szCs w:val="16"/>
        </w:rPr>
        <w:t xml:space="preserve"> </w:t>
      </w:r>
      <w:r w:rsidRPr="00B44E48">
        <w:rPr>
          <w:rFonts w:asciiTheme="majorHAnsi" w:hAnsiTheme="majorHAnsi"/>
          <w:sz w:val="16"/>
          <w:szCs w:val="16"/>
        </w:rPr>
        <w:t xml:space="preserve">Report on Inspection of Corpse. </w:t>
      </w:r>
      <w:r w:rsidRPr="00F276EB">
        <w:rPr>
          <w:rFonts w:asciiTheme="majorHAnsi" w:hAnsiTheme="majorHAnsi"/>
          <w:sz w:val="16"/>
          <w:szCs w:val="16"/>
        </w:rPr>
        <w:t xml:space="preserve">Legal Medical Report on Pedro Roche </w:t>
      </w:r>
      <w:proofErr w:type="spellStart"/>
      <w:r w:rsidRPr="00F276EB">
        <w:rPr>
          <w:rFonts w:asciiTheme="majorHAnsi" w:hAnsiTheme="majorHAnsi"/>
          <w:sz w:val="16"/>
          <w:szCs w:val="16"/>
        </w:rPr>
        <w:t>Azaña</w:t>
      </w:r>
      <w:proofErr w:type="spellEnd"/>
      <w:r w:rsidRPr="00F276EB">
        <w:rPr>
          <w:rFonts w:asciiTheme="majorHAnsi" w:hAnsiTheme="majorHAnsi"/>
          <w:sz w:val="16"/>
          <w:szCs w:val="16"/>
        </w:rPr>
        <w:t>, pp. 85-88.</w:t>
      </w:r>
    </w:p>
  </w:footnote>
  <w:footnote w:id="39">
    <w:p w:rsidR="000E7166" w:rsidRPr="006207E1"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34190F">
        <w:rPr>
          <w:rFonts w:asciiTheme="majorHAnsi" w:hAnsiTheme="majorHAnsi"/>
          <w:sz w:val="16"/>
          <w:szCs w:val="16"/>
        </w:rPr>
        <w:t xml:space="preserve"> Annex XX. </w:t>
      </w:r>
      <w:proofErr w:type="gramStart"/>
      <w:r w:rsidRPr="0034190F">
        <w:rPr>
          <w:rFonts w:asciiTheme="majorHAnsi" w:hAnsiTheme="majorHAnsi"/>
          <w:sz w:val="16"/>
          <w:szCs w:val="16"/>
        </w:rPr>
        <w:t>Case File.</w:t>
      </w:r>
      <w:proofErr w:type="gramEnd"/>
      <w:r w:rsidRPr="0034190F">
        <w:rPr>
          <w:rFonts w:asciiTheme="majorHAnsi" w:hAnsiTheme="majorHAnsi"/>
          <w:sz w:val="16"/>
          <w:szCs w:val="16"/>
        </w:rPr>
        <w:t xml:space="preserve"> </w:t>
      </w:r>
      <w:r w:rsidRPr="006207E1">
        <w:rPr>
          <w:rFonts w:asciiTheme="majorHAnsi" w:hAnsiTheme="majorHAnsi"/>
          <w:sz w:val="16"/>
          <w:szCs w:val="16"/>
        </w:rPr>
        <w:t xml:space="preserve">Expert Report related to </w:t>
      </w:r>
      <w:r>
        <w:rPr>
          <w:rFonts w:asciiTheme="majorHAnsi" w:hAnsiTheme="majorHAnsi"/>
          <w:sz w:val="16"/>
          <w:szCs w:val="16"/>
        </w:rPr>
        <w:t xml:space="preserve">ballistics </w:t>
      </w:r>
      <w:r w:rsidRPr="006207E1">
        <w:rPr>
          <w:rFonts w:asciiTheme="majorHAnsi" w:hAnsiTheme="majorHAnsi"/>
          <w:sz w:val="16"/>
          <w:szCs w:val="16"/>
        </w:rPr>
        <w:t xml:space="preserve">chemical tests; expert ballistics report on 22 AK weapons; expert report related to </w:t>
      </w:r>
      <w:r>
        <w:rPr>
          <w:rFonts w:asciiTheme="majorHAnsi" w:hAnsiTheme="majorHAnsi"/>
          <w:sz w:val="16"/>
          <w:szCs w:val="16"/>
        </w:rPr>
        <w:t xml:space="preserve">ballistics </w:t>
      </w:r>
      <w:r w:rsidRPr="006207E1">
        <w:rPr>
          <w:rFonts w:asciiTheme="majorHAnsi" w:hAnsiTheme="majorHAnsi"/>
          <w:sz w:val="16"/>
          <w:szCs w:val="16"/>
        </w:rPr>
        <w:t>chemical</w:t>
      </w:r>
      <w:r>
        <w:rPr>
          <w:rFonts w:asciiTheme="majorHAnsi" w:hAnsiTheme="majorHAnsi"/>
          <w:sz w:val="16"/>
          <w:szCs w:val="16"/>
        </w:rPr>
        <w:t xml:space="preserve"> </w:t>
      </w:r>
      <w:r w:rsidRPr="006207E1">
        <w:rPr>
          <w:rFonts w:asciiTheme="majorHAnsi" w:hAnsiTheme="majorHAnsi"/>
          <w:sz w:val="16"/>
          <w:szCs w:val="16"/>
        </w:rPr>
        <w:t xml:space="preserve">tests on 12 AK weapons; expert report related to chemical </w:t>
      </w:r>
      <w:r>
        <w:rPr>
          <w:rFonts w:asciiTheme="majorHAnsi" w:hAnsiTheme="majorHAnsi"/>
          <w:sz w:val="16"/>
          <w:szCs w:val="16"/>
        </w:rPr>
        <w:t>test of</w:t>
      </w:r>
      <w:r w:rsidRPr="006207E1">
        <w:rPr>
          <w:rFonts w:asciiTheme="majorHAnsi" w:hAnsiTheme="majorHAnsi"/>
          <w:sz w:val="16"/>
          <w:szCs w:val="16"/>
        </w:rPr>
        <w:t xml:space="preserve"> metal; expert report related to chemical </w:t>
      </w:r>
      <w:r>
        <w:rPr>
          <w:rFonts w:asciiTheme="majorHAnsi" w:hAnsiTheme="majorHAnsi"/>
          <w:sz w:val="16"/>
          <w:szCs w:val="16"/>
        </w:rPr>
        <w:t>test</w:t>
      </w:r>
      <w:r w:rsidRPr="006207E1">
        <w:rPr>
          <w:rFonts w:asciiTheme="majorHAnsi" w:hAnsiTheme="majorHAnsi"/>
          <w:sz w:val="16"/>
          <w:szCs w:val="16"/>
        </w:rPr>
        <w:t xml:space="preserve"> of paint; expert report related to </w:t>
      </w:r>
      <w:r>
        <w:rPr>
          <w:rFonts w:asciiTheme="majorHAnsi" w:hAnsiTheme="majorHAnsi"/>
          <w:sz w:val="16"/>
          <w:szCs w:val="16"/>
        </w:rPr>
        <w:t xml:space="preserve">ballistics </w:t>
      </w:r>
      <w:r w:rsidRPr="006207E1">
        <w:rPr>
          <w:rFonts w:asciiTheme="majorHAnsi" w:hAnsiTheme="majorHAnsi"/>
          <w:sz w:val="16"/>
          <w:szCs w:val="16"/>
        </w:rPr>
        <w:t xml:space="preserve">tests (chemical) </w:t>
      </w:r>
      <w:r>
        <w:rPr>
          <w:rFonts w:asciiTheme="majorHAnsi" w:hAnsiTheme="majorHAnsi"/>
          <w:sz w:val="16"/>
          <w:szCs w:val="16"/>
        </w:rPr>
        <w:t>on</w:t>
      </w:r>
      <w:r w:rsidRPr="006207E1">
        <w:rPr>
          <w:rFonts w:asciiTheme="majorHAnsi" w:hAnsiTheme="majorHAnsi"/>
          <w:sz w:val="16"/>
          <w:szCs w:val="16"/>
        </w:rPr>
        <w:t xml:space="preserve"> 6 firearms; expert ballistics </w:t>
      </w:r>
      <w:r>
        <w:rPr>
          <w:rFonts w:asciiTheme="majorHAnsi" w:hAnsiTheme="majorHAnsi"/>
          <w:sz w:val="16"/>
          <w:szCs w:val="16"/>
        </w:rPr>
        <w:t>report</w:t>
      </w:r>
      <w:r w:rsidRPr="006207E1">
        <w:rPr>
          <w:rFonts w:asciiTheme="majorHAnsi" w:hAnsiTheme="majorHAnsi"/>
          <w:sz w:val="16"/>
          <w:szCs w:val="16"/>
        </w:rPr>
        <w:t xml:space="preserve"> on 6 AK weapons; expert report related to</w:t>
      </w:r>
      <w:r>
        <w:rPr>
          <w:rFonts w:asciiTheme="majorHAnsi" w:hAnsiTheme="majorHAnsi"/>
          <w:sz w:val="16"/>
          <w:szCs w:val="16"/>
        </w:rPr>
        <w:t xml:space="preserve"> chemical ballistics tests on 6 AK weapons; </w:t>
      </w:r>
      <w:r w:rsidRPr="006207E1">
        <w:rPr>
          <w:rFonts w:asciiTheme="majorHAnsi" w:hAnsiTheme="majorHAnsi"/>
          <w:sz w:val="16"/>
          <w:szCs w:val="16"/>
        </w:rPr>
        <w:t xml:space="preserve">expert </w:t>
      </w:r>
      <w:r>
        <w:rPr>
          <w:rFonts w:asciiTheme="majorHAnsi" w:hAnsiTheme="majorHAnsi"/>
          <w:sz w:val="16"/>
          <w:szCs w:val="16"/>
        </w:rPr>
        <w:t xml:space="preserve">ballistics </w:t>
      </w:r>
      <w:r w:rsidRPr="006207E1">
        <w:rPr>
          <w:rFonts w:asciiTheme="majorHAnsi" w:hAnsiTheme="majorHAnsi"/>
          <w:sz w:val="16"/>
          <w:szCs w:val="16"/>
        </w:rPr>
        <w:t xml:space="preserve">report </w:t>
      </w:r>
      <w:r>
        <w:rPr>
          <w:rFonts w:asciiTheme="majorHAnsi" w:hAnsiTheme="majorHAnsi"/>
          <w:sz w:val="16"/>
          <w:szCs w:val="16"/>
        </w:rPr>
        <w:t>on 6 AK weapons;</w:t>
      </w:r>
      <w:r w:rsidRPr="000E7166">
        <w:rPr>
          <w:rFonts w:asciiTheme="majorHAnsi" w:hAnsiTheme="majorHAnsi"/>
          <w:sz w:val="16"/>
          <w:szCs w:val="16"/>
        </w:rPr>
        <w:t xml:space="preserve"> </w:t>
      </w:r>
      <w:r w:rsidRPr="006207E1">
        <w:rPr>
          <w:rFonts w:asciiTheme="majorHAnsi" w:hAnsiTheme="majorHAnsi"/>
          <w:sz w:val="16"/>
          <w:szCs w:val="16"/>
        </w:rPr>
        <w:t>expert report related to</w:t>
      </w:r>
      <w:r>
        <w:rPr>
          <w:rFonts w:asciiTheme="majorHAnsi" w:hAnsiTheme="majorHAnsi"/>
          <w:sz w:val="16"/>
          <w:szCs w:val="16"/>
        </w:rPr>
        <w:t xml:space="preserve"> chemical ballistics tests on 14 AK weapons; </w:t>
      </w:r>
      <w:r w:rsidRPr="006207E1">
        <w:rPr>
          <w:rFonts w:asciiTheme="majorHAnsi" w:hAnsiTheme="majorHAnsi"/>
          <w:sz w:val="16"/>
          <w:szCs w:val="16"/>
        </w:rPr>
        <w:t xml:space="preserve">expert </w:t>
      </w:r>
      <w:r>
        <w:rPr>
          <w:rFonts w:asciiTheme="majorHAnsi" w:hAnsiTheme="majorHAnsi"/>
          <w:sz w:val="16"/>
          <w:szCs w:val="16"/>
        </w:rPr>
        <w:t xml:space="preserve">ballistics </w:t>
      </w:r>
      <w:r w:rsidRPr="006207E1">
        <w:rPr>
          <w:rFonts w:asciiTheme="majorHAnsi" w:hAnsiTheme="majorHAnsi"/>
          <w:sz w:val="16"/>
          <w:szCs w:val="16"/>
        </w:rPr>
        <w:t xml:space="preserve">report </w:t>
      </w:r>
      <w:r>
        <w:rPr>
          <w:rFonts w:asciiTheme="majorHAnsi" w:hAnsiTheme="majorHAnsi"/>
          <w:sz w:val="16"/>
          <w:szCs w:val="16"/>
        </w:rPr>
        <w:t>on 14 AK weapons; expert report on 5 casings, pp. 210-249.</w:t>
      </w:r>
    </w:p>
  </w:footnote>
  <w:footnote w:id="40">
    <w:p w:rsidR="000E7166" w:rsidRPr="000F4B63"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80090">
        <w:rPr>
          <w:rFonts w:asciiTheme="majorHAnsi" w:hAnsiTheme="majorHAnsi"/>
          <w:sz w:val="16"/>
          <w:szCs w:val="16"/>
        </w:rPr>
        <w:t xml:space="preserve"> Annex XX. </w:t>
      </w:r>
      <w:proofErr w:type="gramStart"/>
      <w:r w:rsidRPr="00E80090">
        <w:rPr>
          <w:rFonts w:asciiTheme="majorHAnsi" w:hAnsiTheme="majorHAnsi"/>
          <w:sz w:val="16"/>
          <w:szCs w:val="16"/>
        </w:rPr>
        <w:t>Case File.</w:t>
      </w:r>
      <w:proofErr w:type="gramEnd"/>
      <w:r w:rsidRPr="00E80090">
        <w:rPr>
          <w:rFonts w:asciiTheme="majorHAnsi" w:hAnsiTheme="majorHAnsi"/>
          <w:sz w:val="16"/>
          <w:szCs w:val="16"/>
        </w:rPr>
        <w:t xml:space="preserve"> </w:t>
      </w:r>
      <w:r w:rsidRPr="000F4B63">
        <w:rPr>
          <w:rFonts w:asciiTheme="majorHAnsi" w:hAnsiTheme="majorHAnsi"/>
          <w:sz w:val="16"/>
          <w:szCs w:val="16"/>
        </w:rPr>
        <w:t>Expert Report on Blood and Hair, p. 220.</w:t>
      </w:r>
    </w:p>
  </w:footnote>
  <w:footnote w:id="41">
    <w:p w:rsidR="000E7166" w:rsidRPr="000F4B63"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0F4B63">
        <w:rPr>
          <w:rFonts w:asciiTheme="majorHAnsi" w:hAnsiTheme="majorHAnsi"/>
          <w:sz w:val="16"/>
          <w:szCs w:val="16"/>
        </w:rPr>
        <w:t xml:space="preserve"> Communication from the State of October 26</w:t>
      </w:r>
      <w:r>
        <w:rPr>
          <w:rFonts w:asciiTheme="majorHAnsi" w:hAnsiTheme="majorHAnsi"/>
          <w:sz w:val="16"/>
          <w:szCs w:val="16"/>
        </w:rPr>
        <w:t xml:space="preserve">, </w:t>
      </w:r>
      <w:r w:rsidRPr="000F4B63">
        <w:rPr>
          <w:rFonts w:asciiTheme="majorHAnsi" w:hAnsiTheme="majorHAnsi"/>
          <w:sz w:val="16"/>
          <w:szCs w:val="16"/>
        </w:rPr>
        <w:t xml:space="preserve">2009. </w:t>
      </w:r>
    </w:p>
  </w:footnote>
  <w:footnote w:id="42">
    <w:p w:rsidR="000E7166" w:rsidRPr="00B639A8"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34190F">
        <w:rPr>
          <w:rFonts w:asciiTheme="majorHAnsi" w:hAnsiTheme="majorHAnsi"/>
          <w:sz w:val="16"/>
          <w:szCs w:val="16"/>
        </w:rPr>
        <w:t xml:space="preserve"> Annex XX. </w:t>
      </w:r>
      <w:proofErr w:type="gramStart"/>
      <w:r w:rsidRPr="0034190F">
        <w:rPr>
          <w:rFonts w:asciiTheme="majorHAnsi" w:hAnsiTheme="majorHAnsi"/>
          <w:sz w:val="16"/>
          <w:szCs w:val="16"/>
        </w:rPr>
        <w:t>Case File.</w:t>
      </w:r>
      <w:proofErr w:type="gramEnd"/>
      <w:r w:rsidRPr="0034190F">
        <w:rPr>
          <w:rFonts w:asciiTheme="majorHAnsi" w:hAnsiTheme="majorHAnsi"/>
          <w:sz w:val="16"/>
          <w:szCs w:val="16"/>
        </w:rPr>
        <w:t xml:space="preserve"> </w:t>
      </w:r>
      <w:r w:rsidRPr="00B639A8">
        <w:rPr>
          <w:rFonts w:asciiTheme="majorHAnsi" w:hAnsiTheme="majorHAnsi"/>
          <w:sz w:val="16"/>
          <w:szCs w:val="16"/>
        </w:rPr>
        <w:t xml:space="preserve">Statement of Nora </w:t>
      </w:r>
      <w:proofErr w:type="spellStart"/>
      <w:r w:rsidRPr="00B639A8">
        <w:rPr>
          <w:rFonts w:asciiTheme="majorHAnsi" w:hAnsiTheme="majorHAnsi"/>
          <w:sz w:val="16"/>
          <w:szCs w:val="16"/>
        </w:rPr>
        <w:t>Doza</w:t>
      </w:r>
      <w:proofErr w:type="spellEnd"/>
      <w:r w:rsidRPr="00B639A8">
        <w:rPr>
          <w:rFonts w:asciiTheme="majorHAnsi" w:hAnsiTheme="majorHAnsi"/>
          <w:sz w:val="16"/>
          <w:szCs w:val="16"/>
        </w:rPr>
        <w:t xml:space="preserve"> </w:t>
      </w:r>
      <w:proofErr w:type="spellStart"/>
      <w:r w:rsidRPr="00B639A8">
        <w:rPr>
          <w:rFonts w:asciiTheme="majorHAnsi" w:hAnsiTheme="majorHAnsi"/>
          <w:sz w:val="16"/>
          <w:szCs w:val="16"/>
        </w:rPr>
        <w:t>Samaniego</w:t>
      </w:r>
      <w:proofErr w:type="spellEnd"/>
      <w:r w:rsidRPr="00B639A8">
        <w:rPr>
          <w:rFonts w:asciiTheme="majorHAnsi" w:hAnsiTheme="majorHAnsi"/>
          <w:sz w:val="16"/>
          <w:szCs w:val="16"/>
        </w:rPr>
        <w:t>, 616, Statement</w:t>
      </w:r>
      <w:r w:rsidRPr="00B639A8">
        <w:rPr>
          <w:rFonts w:asciiTheme="majorHAnsi" w:hAnsiTheme="majorHAnsi"/>
          <w:i/>
          <w:sz w:val="16"/>
          <w:szCs w:val="16"/>
        </w:rPr>
        <w:t xml:space="preserve"> </w:t>
      </w:r>
      <w:r w:rsidRPr="00B639A8">
        <w:rPr>
          <w:rFonts w:asciiTheme="majorHAnsi" w:hAnsiTheme="majorHAnsi"/>
          <w:sz w:val="16"/>
          <w:szCs w:val="16"/>
        </w:rPr>
        <w:t xml:space="preserve">of Maribel </w:t>
      </w:r>
      <w:proofErr w:type="spellStart"/>
      <w:r w:rsidRPr="00B639A8">
        <w:rPr>
          <w:rFonts w:asciiTheme="majorHAnsi" w:hAnsiTheme="majorHAnsi"/>
          <w:sz w:val="16"/>
          <w:szCs w:val="16"/>
        </w:rPr>
        <w:t>Quispe</w:t>
      </w:r>
      <w:proofErr w:type="spellEnd"/>
      <w:r w:rsidRPr="00B639A8">
        <w:rPr>
          <w:rFonts w:asciiTheme="majorHAnsi" w:hAnsiTheme="majorHAnsi"/>
          <w:sz w:val="16"/>
          <w:szCs w:val="16"/>
        </w:rPr>
        <w:t>, p. 570.</w:t>
      </w:r>
    </w:p>
  </w:footnote>
  <w:footnote w:id="43">
    <w:p w:rsidR="000E7166" w:rsidRPr="0094255C"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94255C">
        <w:rPr>
          <w:rFonts w:asciiTheme="majorHAnsi" w:hAnsiTheme="majorHAnsi"/>
          <w:sz w:val="16"/>
          <w:szCs w:val="16"/>
        </w:rPr>
        <w:t xml:space="preserve"> Annex XX. </w:t>
      </w:r>
      <w:proofErr w:type="gramStart"/>
      <w:r w:rsidRPr="0094255C">
        <w:rPr>
          <w:rFonts w:asciiTheme="majorHAnsi" w:hAnsiTheme="majorHAnsi"/>
          <w:sz w:val="16"/>
          <w:szCs w:val="16"/>
        </w:rPr>
        <w:t>Case File.</w:t>
      </w:r>
      <w:proofErr w:type="gramEnd"/>
      <w:r w:rsidRPr="0094255C">
        <w:rPr>
          <w:rFonts w:asciiTheme="majorHAnsi" w:hAnsiTheme="majorHAnsi"/>
          <w:sz w:val="16"/>
          <w:szCs w:val="16"/>
        </w:rPr>
        <w:t xml:space="preserve"> </w:t>
      </w:r>
      <w:proofErr w:type="gramStart"/>
      <w:r w:rsidRPr="00F34EB9">
        <w:rPr>
          <w:rFonts w:asciiTheme="majorHAnsi" w:hAnsiTheme="majorHAnsi"/>
          <w:sz w:val="16"/>
          <w:szCs w:val="16"/>
        </w:rPr>
        <w:t>Judgment of First District Crim</w:t>
      </w:r>
      <w:r>
        <w:rPr>
          <w:rFonts w:asciiTheme="majorHAnsi" w:hAnsiTheme="majorHAnsi"/>
          <w:sz w:val="16"/>
          <w:szCs w:val="16"/>
        </w:rPr>
        <w:t>inal Court of</w:t>
      </w:r>
      <w:r w:rsidRPr="00F34EB9">
        <w:rPr>
          <w:rFonts w:asciiTheme="majorHAnsi" w:hAnsiTheme="majorHAnsi"/>
          <w:sz w:val="16"/>
          <w:szCs w:val="16"/>
        </w:rPr>
        <w:t xml:space="preserve"> Chinandega</w:t>
      </w:r>
      <w:r>
        <w:rPr>
          <w:rFonts w:asciiTheme="majorHAnsi" w:hAnsiTheme="majorHAnsi"/>
          <w:sz w:val="16"/>
          <w:szCs w:val="16"/>
        </w:rPr>
        <w:t>.</w:t>
      </w:r>
      <w:proofErr w:type="gramEnd"/>
      <w:r>
        <w:rPr>
          <w:rFonts w:asciiTheme="majorHAnsi" w:hAnsiTheme="majorHAnsi"/>
          <w:sz w:val="16"/>
          <w:szCs w:val="16"/>
        </w:rPr>
        <w:t xml:space="preserve"> </w:t>
      </w:r>
      <w:r w:rsidRPr="0094255C">
        <w:rPr>
          <w:rFonts w:asciiTheme="majorHAnsi" w:hAnsiTheme="majorHAnsi"/>
          <w:sz w:val="16"/>
          <w:szCs w:val="16"/>
        </w:rPr>
        <w:t>May 6, 1996, p. 631</w:t>
      </w:r>
    </w:p>
  </w:footnote>
  <w:footnote w:id="44">
    <w:p w:rsidR="000E7166" w:rsidRPr="0094255C"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94255C">
        <w:rPr>
          <w:rFonts w:asciiTheme="majorHAnsi" w:hAnsiTheme="majorHAnsi"/>
          <w:sz w:val="16"/>
          <w:szCs w:val="16"/>
        </w:rPr>
        <w:t xml:space="preserve"> Annex XX. </w:t>
      </w:r>
      <w:proofErr w:type="gramStart"/>
      <w:r w:rsidRPr="000F4B63">
        <w:rPr>
          <w:rFonts w:asciiTheme="majorHAnsi" w:hAnsiTheme="majorHAnsi"/>
          <w:sz w:val="16"/>
          <w:szCs w:val="16"/>
        </w:rPr>
        <w:t>Communication from the State of October 26</w:t>
      </w:r>
      <w:r>
        <w:rPr>
          <w:rFonts w:asciiTheme="majorHAnsi" w:hAnsiTheme="majorHAnsi"/>
          <w:sz w:val="16"/>
          <w:szCs w:val="16"/>
        </w:rPr>
        <w:t xml:space="preserve">, </w:t>
      </w:r>
      <w:r w:rsidRPr="000F4B63">
        <w:rPr>
          <w:rFonts w:asciiTheme="majorHAnsi" w:hAnsiTheme="majorHAnsi"/>
          <w:sz w:val="16"/>
          <w:szCs w:val="16"/>
        </w:rPr>
        <w:t>2009</w:t>
      </w:r>
      <w:r>
        <w:rPr>
          <w:rFonts w:asciiTheme="majorHAnsi" w:hAnsiTheme="majorHAnsi"/>
          <w:sz w:val="16"/>
          <w:szCs w:val="16"/>
        </w:rPr>
        <w:t xml:space="preserve"> on the merits of the case, </w:t>
      </w:r>
      <w:r w:rsidRPr="0094255C">
        <w:rPr>
          <w:rFonts w:asciiTheme="majorHAnsi" w:hAnsiTheme="majorHAnsi"/>
          <w:sz w:val="16"/>
          <w:szCs w:val="16"/>
        </w:rPr>
        <w:t>p</w:t>
      </w:r>
      <w:r>
        <w:rPr>
          <w:rFonts w:asciiTheme="majorHAnsi" w:hAnsiTheme="majorHAnsi"/>
          <w:sz w:val="16"/>
          <w:szCs w:val="16"/>
        </w:rPr>
        <w:t>ara</w:t>
      </w:r>
      <w:r w:rsidRPr="0094255C">
        <w:rPr>
          <w:rFonts w:asciiTheme="majorHAnsi" w:hAnsiTheme="majorHAnsi"/>
          <w:sz w:val="16"/>
          <w:szCs w:val="16"/>
        </w:rPr>
        <w:t>.</w:t>
      </w:r>
      <w:proofErr w:type="gramEnd"/>
      <w:r w:rsidRPr="0094255C">
        <w:rPr>
          <w:rFonts w:asciiTheme="majorHAnsi" w:hAnsiTheme="majorHAnsi"/>
          <w:sz w:val="16"/>
          <w:szCs w:val="16"/>
        </w:rPr>
        <w:t xml:space="preserve"> 16.</w:t>
      </w:r>
    </w:p>
  </w:footnote>
  <w:footnote w:id="45">
    <w:p w:rsidR="000E7166" w:rsidRPr="0094255C"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80090">
        <w:rPr>
          <w:rFonts w:asciiTheme="majorHAnsi" w:hAnsiTheme="majorHAnsi"/>
          <w:sz w:val="16"/>
          <w:szCs w:val="16"/>
        </w:rPr>
        <w:t xml:space="preserve"> Annex XX. </w:t>
      </w:r>
      <w:proofErr w:type="gramStart"/>
      <w:r w:rsidRPr="00E80090">
        <w:rPr>
          <w:rFonts w:asciiTheme="majorHAnsi" w:hAnsiTheme="majorHAnsi"/>
          <w:sz w:val="16"/>
          <w:szCs w:val="16"/>
        </w:rPr>
        <w:t>Case File.</w:t>
      </w:r>
      <w:proofErr w:type="gramEnd"/>
      <w:r w:rsidRPr="00E80090">
        <w:rPr>
          <w:rFonts w:asciiTheme="majorHAnsi" w:hAnsiTheme="majorHAnsi"/>
          <w:sz w:val="16"/>
          <w:szCs w:val="16"/>
        </w:rPr>
        <w:t xml:space="preserve"> </w:t>
      </w:r>
      <w:proofErr w:type="gramStart"/>
      <w:r w:rsidRPr="0094255C">
        <w:rPr>
          <w:rFonts w:asciiTheme="majorHAnsi" w:hAnsiTheme="majorHAnsi"/>
          <w:sz w:val="16"/>
          <w:szCs w:val="16"/>
        </w:rPr>
        <w:t xml:space="preserve">Notifications of </w:t>
      </w:r>
      <w:r>
        <w:rPr>
          <w:rFonts w:asciiTheme="majorHAnsi" w:hAnsiTheme="majorHAnsi"/>
          <w:sz w:val="16"/>
          <w:szCs w:val="16"/>
        </w:rPr>
        <w:t>the j</w:t>
      </w:r>
      <w:r w:rsidRPr="0094255C">
        <w:rPr>
          <w:rFonts w:asciiTheme="majorHAnsi" w:hAnsiTheme="majorHAnsi"/>
          <w:sz w:val="16"/>
          <w:szCs w:val="16"/>
        </w:rPr>
        <w:t>udgment of the First District Criminal Court of Chinandega, p. 665; Notifications</w:t>
      </w:r>
      <w:r>
        <w:rPr>
          <w:rFonts w:asciiTheme="majorHAnsi" w:hAnsiTheme="majorHAnsi"/>
          <w:sz w:val="16"/>
          <w:szCs w:val="16"/>
        </w:rPr>
        <w:t>,</w:t>
      </w:r>
      <w:r w:rsidRPr="0094255C">
        <w:rPr>
          <w:rFonts w:asciiTheme="majorHAnsi" w:hAnsiTheme="majorHAnsi"/>
          <w:sz w:val="16"/>
          <w:szCs w:val="16"/>
        </w:rPr>
        <w:t xml:space="preserve"> p. 689.</w:t>
      </w:r>
      <w:proofErr w:type="gramEnd"/>
    </w:p>
  </w:footnote>
  <w:footnote w:id="46">
    <w:p w:rsidR="000E7166" w:rsidRPr="0094255C"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94255C">
        <w:rPr>
          <w:rFonts w:asciiTheme="majorHAnsi" w:hAnsiTheme="majorHAnsi"/>
          <w:sz w:val="16"/>
          <w:szCs w:val="16"/>
        </w:rPr>
        <w:t xml:space="preserve"> Article 4 of the American Convention establishes the following, in </w:t>
      </w:r>
      <w:r>
        <w:rPr>
          <w:rFonts w:asciiTheme="majorHAnsi" w:hAnsiTheme="majorHAnsi"/>
          <w:sz w:val="16"/>
          <w:szCs w:val="16"/>
        </w:rPr>
        <w:t>the</w:t>
      </w:r>
      <w:r w:rsidRPr="0094255C">
        <w:rPr>
          <w:rFonts w:asciiTheme="majorHAnsi" w:hAnsiTheme="majorHAnsi"/>
          <w:sz w:val="16"/>
          <w:szCs w:val="16"/>
        </w:rPr>
        <w:t xml:space="preserve"> </w:t>
      </w:r>
      <w:r>
        <w:rPr>
          <w:rFonts w:asciiTheme="majorHAnsi" w:hAnsiTheme="majorHAnsi"/>
          <w:sz w:val="16"/>
          <w:szCs w:val="16"/>
        </w:rPr>
        <w:t>pertinent section</w:t>
      </w:r>
      <w:r w:rsidRPr="0094255C">
        <w:rPr>
          <w:rFonts w:asciiTheme="majorHAnsi" w:hAnsiTheme="majorHAnsi"/>
          <w:sz w:val="16"/>
          <w:szCs w:val="16"/>
        </w:rPr>
        <w:t xml:space="preserve">: 1. </w:t>
      </w:r>
      <w:proofErr w:type="gramStart"/>
      <w:r w:rsidRPr="0094255C">
        <w:rPr>
          <w:rFonts w:asciiTheme="majorHAnsi" w:hAnsiTheme="majorHAnsi"/>
          <w:sz w:val="16"/>
          <w:szCs w:val="16"/>
        </w:rPr>
        <w:t>Every</w:t>
      </w:r>
      <w:proofErr w:type="gramEnd"/>
      <w:r w:rsidRPr="0094255C">
        <w:rPr>
          <w:rFonts w:asciiTheme="majorHAnsi" w:hAnsiTheme="majorHAnsi"/>
          <w:sz w:val="16"/>
          <w:szCs w:val="16"/>
        </w:rPr>
        <w:t xml:space="preserve"> person has the right to have his life respected... </w:t>
      </w:r>
      <w:r>
        <w:rPr>
          <w:rFonts w:asciiTheme="majorHAnsi" w:hAnsiTheme="majorHAnsi"/>
          <w:sz w:val="16"/>
          <w:szCs w:val="16"/>
        </w:rPr>
        <w:t>No one shall be arbitrarily deprived of his life….</w:t>
      </w:r>
      <w:r w:rsidRPr="0094255C">
        <w:rPr>
          <w:rFonts w:asciiTheme="majorHAnsi" w:hAnsiTheme="majorHAnsi"/>
          <w:sz w:val="16"/>
          <w:szCs w:val="16"/>
        </w:rPr>
        <w:t xml:space="preserve"> </w:t>
      </w:r>
    </w:p>
  </w:footnote>
  <w:footnote w:id="47">
    <w:p w:rsidR="000E7166" w:rsidRPr="0094255C"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94255C">
        <w:rPr>
          <w:rFonts w:asciiTheme="majorHAnsi" w:hAnsiTheme="majorHAnsi"/>
          <w:sz w:val="16"/>
          <w:szCs w:val="16"/>
        </w:rPr>
        <w:t xml:space="preserve"> Article 4 of the American Convention establishes the following, in </w:t>
      </w:r>
      <w:r>
        <w:rPr>
          <w:rFonts w:asciiTheme="majorHAnsi" w:hAnsiTheme="majorHAnsi"/>
          <w:sz w:val="16"/>
          <w:szCs w:val="16"/>
        </w:rPr>
        <w:t>the</w:t>
      </w:r>
      <w:r w:rsidRPr="0094255C">
        <w:rPr>
          <w:rFonts w:asciiTheme="majorHAnsi" w:hAnsiTheme="majorHAnsi"/>
          <w:sz w:val="16"/>
          <w:szCs w:val="16"/>
        </w:rPr>
        <w:t xml:space="preserve"> </w:t>
      </w:r>
      <w:r>
        <w:rPr>
          <w:rFonts w:asciiTheme="majorHAnsi" w:hAnsiTheme="majorHAnsi"/>
          <w:sz w:val="16"/>
          <w:szCs w:val="16"/>
        </w:rPr>
        <w:t>pertinent section</w:t>
      </w:r>
      <w:r w:rsidRPr="0094255C">
        <w:rPr>
          <w:rFonts w:asciiTheme="majorHAnsi" w:hAnsiTheme="majorHAnsi"/>
          <w:sz w:val="16"/>
          <w:szCs w:val="16"/>
        </w:rPr>
        <w:t xml:space="preserve">: 1. </w:t>
      </w:r>
      <w:proofErr w:type="gramStart"/>
      <w:r w:rsidRPr="0094255C">
        <w:rPr>
          <w:rFonts w:asciiTheme="majorHAnsi" w:hAnsiTheme="majorHAnsi"/>
          <w:sz w:val="16"/>
          <w:szCs w:val="16"/>
        </w:rPr>
        <w:t>Every</w:t>
      </w:r>
      <w:proofErr w:type="gramEnd"/>
      <w:r w:rsidRPr="0094255C">
        <w:rPr>
          <w:rFonts w:asciiTheme="majorHAnsi" w:hAnsiTheme="majorHAnsi"/>
          <w:sz w:val="16"/>
          <w:szCs w:val="16"/>
        </w:rPr>
        <w:t xml:space="preserve"> person has the right to have his physical, mental, and mor</w:t>
      </w:r>
      <w:r>
        <w:rPr>
          <w:rFonts w:asciiTheme="majorHAnsi" w:hAnsiTheme="majorHAnsi"/>
          <w:sz w:val="16"/>
          <w:szCs w:val="16"/>
        </w:rPr>
        <w:t>al integrity respected</w:t>
      </w:r>
      <w:r w:rsidRPr="0094255C">
        <w:rPr>
          <w:rFonts w:asciiTheme="majorHAnsi" w:hAnsiTheme="majorHAnsi"/>
          <w:sz w:val="16"/>
          <w:szCs w:val="16"/>
        </w:rPr>
        <w:t>.</w:t>
      </w:r>
    </w:p>
  </w:footnote>
  <w:footnote w:id="48">
    <w:p w:rsidR="000E7166" w:rsidRPr="00E8055D"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F545C">
        <w:rPr>
          <w:rFonts w:asciiTheme="majorHAnsi" w:hAnsiTheme="majorHAnsi"/>
          <w:sz w:val="16"/>
          <w:szCs w:val="16"/>
        </w:rPr>
        <w:t xml:space="preserve"> </w:t>
      </w:r>
      <w:proofErr w:type="gramStart"/>
      <w:r w:rsidRPr="00EF545C">
        <w:rPr>
          <w:rFonts w:asciiTheme="majorHAnsi" w:hAnsiTheme="majorHAnsi"/>
          <w:sz w:val="16"/>
          <w:szCs w:val="16"/>
        </w:rPr>
        <w:t xml:space="preserve">I/A Court H.R. Case of </w:t>
      </w:r>
      <w:proofErr w:type="spellStart"/>
      <w:r w:rsidRPr="00EF545C">
        <w:rPr>
          <w:rFonts w:asciiTheme="majorHAnsi" w:hAnsiTheme="majorHAnsi" w:cs="Verdana"/>
          <w:bCs/>
          <w:sz w:val="16"/>
          <w:szCs w:val="16"/>
        </w:rPr>
        <w:t>Landaeta</w:t>
      </w:r>
      <w:proofErr w:type="spellEnd"/>
      <w:r w:rsidRPr="00EF545C">
        <w:rPr>
          <w:rFonts w:asciiTheme="majorHAnsi" w:hAnsiTheme="majorHAnsi" w:cs="Verdana"/>
          <w:bCs/>
          <w:sz w:val="16"/>
          <w:szCs w:val="16"/>
        </w:rPr>
        <w:t xml:space="preserve"> </w:t>
      </w:r>
      <w:proofErr w:type="spellStart"/>
      <w:r w:rsidRPr="00EF545C">
        <w:rPr>
          <w:rFonts w:asciiTheme="majorHAnsi" w:hAnsiTheme="majorHAnsi" w:cs="Verdana"/>
          <w:bCs/>
          <w:sz w:val="16"/>
          <w:szCs w:val="16"/>
        </w:rPr>
        <w:t>Mejías</w:t>
      </w:r>
      <w:proofErr w:type="spellEnd"/>
      <w:r w:rsidRPr="00EF545C">
        <w:rPr>
          <w:rFonts w:asciiTheme="majorHAnsi" w:hAnsiTheme="majorHAnsi" w:cs="Verdana"/>
          <w:bCs/>
          <w:sz w:val="16"/>
          <w:szCs w:val="16"/>
        </w:rPr>
        <w:t xml:space="preserve"> Brothers et a</w:t>
      </w:r>
      <w:r>
        <w:rPr>
          <w:rFonts w:asciiTheme="majorHAnsi" w:hAnsiTheme="majorHAnsi" w:cs="Verdana"/>
          <w:bCs/>
          <w:sz w:val="16"/>
          <w:szCs w:val="16"/>
        </w:rPr>
        <w:t xml:space="preserve">l. </w:t>
      </w:r>
      <w:r w:rsidRPr="00EF545C">
        <w:rPr>
          <w:rFonts w:asciiTheme="majorHAnsi" w:hAnsiTheme="majorHAnsi" w:cs="Verdana"/>
          <w:bCs/>
          <w:sz w:val="16"/>
          <w:szCs w:val="16"/>
        </w:rPr>
        <w:t>v. Venezuela.</w:t>
      </w:r>
      <w:proofErr w:type="gramEnd"/>
      <w:r w:rsidRPr="00EF545C">
        <w:rPr>
          <w:rFonts w:asciiTheme="majorHAnsi" w:hAnsiTheme="majorHAnsi" w:cs="Verdana"/>
          <w:bCs/>
          <w:sz w:val="16"/>
          <w:szCs w:val="16"/>
        </w:rPr>
        <w:t xml:space="preserve"> </w:t>
      </w:r>
      <w:proofErr w:type="gramStart"/>
      <w:r>
        <w:rPr>
          <w:rFonts w:asciiTheme="majorHAnsi" w:hAnsiTheme="majorHAnsi" w:cs="Verdana"/>
          <w:bCs/>
          <w:sz w:val="16"/>
          <w:szCs w:val="16"/>
        </w:rPr>
        <w:t>Preliminary Objections, Merits, Reparations and Costs.</w:t>
      </w:r>
      <w:proofErr w:type="gramEnd"/>
      <w:r w:rsidRPr="00EF545C">
        <w:rPr>
          <w:rFonts w:asciiTheme="majorHAnsi" w:hAnsiTheme="majorHAnsi" w:cs="Verdana"/>
          <w:bCs/>
          <w:sz w:val="16"/>
          <w:szCs w:val="16"/>
        </w:rPr>
        <w:t xml:space="preserve"> </w:t>
      </w:r>
      <w:r w:rsidRPr="00E8055D">
        <w:rPr>
          <w:rFonts w:asciiTheme="majorHAnsi" w:hAnsiTheme="majorHAnsi" w:cs="Verdana"/>
          <w:bCs/>
          <w:sz w:val="16"/>
          <w:szCs w:val="16"/>
        </w:rPr>
        <w:t xml:space="preserve">Judgment of August 27, 2014. Series C No. 281, para. </w:t>
      </w:r>
      <w:proofErr w:type="gramStart"/>
      <w:r w:rsidRPr="00E8055D">
        <w:rPr>
          <w:rFonts w:asciiTheme="majorHAnsi" w:hAnsiTheme="majorHAnsi" w:cs="Verdana"/>
          <w:bCs/>
          <w:sz w:val="16"/>
          <w:szCs w:val="16"/>
        </w:rPr>
        <w:t xml:space="preserve">123; </w:t>
      </w:r>
      <w:r w:rsidRPr="00E8055D">
        <w:rPr>
          <w:rFonts w:asciiTheme="majorHAnsi" w:hAnsiTheme="majorHAnsi"/>
          <w:sz w:val="16"/>
          <w:szCs w:val="16"/>
        </w:rPr>
        <w:t>IACHR</w:t>
      </w:r>
      <w:r w:rsidR="00CB1D02">
        <w:rPr>
          <w:rFonts w:asciiTheme="majorHAnsi" w:hAnsiTheme="majorHAnsi"/>
          <w:sz w:val="16"/>
          <w:szCs w:val="16"/>
        </w:rPr>
        <w:t>.</w:t>
      </w:r>
      <w:proofErr w:type="gramEnd"/>
      <w:r w:rsidRPr="00E8055D">
        <w:rPr>
          <w:rFonts w:asciiTheme="majorHAnsi" w:hAnsiTheme="majorHAnsi"/>
          <w:sz w:val="16"/>
          <w:szCs w:val="16"/>
        </w:rPr>
        <w:t xml:space="preserve"> </w:t>
      </w:r>
      <w:proofErr w:type="gramStart"/>
      <w:r w:rsidRPr="00E8055D">
        <w:rPr>
          <w:rFonts w:asciiTheme="majorHAnsi" w:hAnsiTheme="majorHAnsi"/>
          <w:sz w:val="16"/>
          <w:szCs w:val="16"/>
        </w:rPr>
        <w:t>Case 11.442, Report No. 90/14, Merits, Luis Jorge Valencia Hinojosa, Ecuador, November 4, 2014, para.</w:t>
      </w:r>
      <w:proofErr w:type="gramEnd"/>
      <w:r w:rsidRPr="00E8055D">
        <w:rPr>
          <w:rFonts w:asciiTheme="majorHAnsi" w:hAnsiTheme="majorHAnsi"/>
          <w:sz w:val="16"/>
          <w:szCs w:val="16"/>
        </w:rPr>
        <w:t xml:space="preserve"> 123.</w:t>
      </w:r>
    </w:p>
  </w:footnote>
  <w:footnote w:id="49">
    <w:p w:rsidR="000E7166" w:rsidRPr="00E80090" w:rsidRDefault="000E7166" w:rsidP="0043505F">
      <w:pPr>
        <w:pStyle w:val="FootnoteText"/>
        <w:jc w:val="both"/>
        <w:rPr>
          <w:rFonts w:asciiTheme="majorHAnsi" w:hAnsiTheme="majorHAnsi" w:cs="Arial"/>
          <w:sz w:val="16"/>
          <w:szCs w:val="16"/>
        </w:rPr>
      </w:pPr>
      <w:r w:rsidRPr="00A01230">
        <w:rPr>
          <w:rStyle w:val="FootnoteReference"/>
          <w:rFonts w:asciiTheme="majorHAnsi" w:hAnsiTheme="majorHAnsi"/>
          <w:sz w:val="16"/>
          <w:szCs w:val="16"/>
        </w:rPr>
        <w:footnoteRef/>
      </w:r>
      <w:r w:rsidRPr="00E8055D">
        <w:rPr>
          <w:rFonts w:asciiTheme="majorHAnsi" w:hAnsiTheme="majorHAnsi"/>
          <w:sz w:val="16"/>
          <w:szCs w:val="16"/>
        </w:rPr>
        <w:t xml:space="preserve"> </w:t>
      </w:r>
      <w:proofErr w:type="gramStart"/>
      <w:r w:rsidRPr="00E8055D">
        <w:rPr>
          <w:rFonts w:asciiTheme="majorHAnsi" w:hAnsiTheme="majorHAnsi"/>
          <w:sz w:val="16"/>
          <w:szCs w:val="16"/>
        </w:rPr>
        <w:t xml:space="preserve">I/A Court H.R. Case of </w:t>
      </w:r>
      <w:r w:rsidRPr="00E8055D">
        <w:rPr>
          <w:rFonts w:asciiTheme="majorHAnsi" w:hAnsiTheme="majorHAnsi"/>
          <w:bCs/>
          <w:sz w:val="16"/>
          <w:szCs w:val="16"/>
        </w:rPr>
        <w:t xml:space="preserve">Zambrano </w:t>
      </w:r>
      <w:proofErr w:type="spellStart"/>
      <w:r w:rsidRPr="00E8055D">
        <w:rPr>
          <w:rFonts w:asciiTheme="majorHAnsi" w:hAnsiTheme="majorHAnsi"/>
          <w:bCs/>
          <w:sz w:val="16"/>
          <w:szCs w:val="16"/>
        </w:rPr>
        <w:t>Vélez</w:t>
      </w:r>
      <w:proofErr w:type="spellEnd"/>
      <w:r w:rsidRPr="00E8055D">
        <w:rPr>
          <w:rFonts w:asciiTheme="majorHAnsi" w:hAnsiTheme="majorHAnsi"/>
          <w:bCs/>
          <w:sz w:val="16"/>
          <w:szCs w:val="16"/>
        </w:rPr>
        <w:t xml:space="preserve"> et al. v. Ecuador.</w:t>
      </w:r>
      <w:proofErr w:type="gramEnd"/>
      <w:r w:rsidRPr="00E8055D">
        <w:rPr>
          <w:rFonts w:asciiTheme="majorHAnsi" w:hAnsiTheme="majorHAnsi"/>
          <w:bCs/>
          <w:sz w:val="16"/>
          <w:szCs w:val="16"/>
        </w:rPr>
        <w:t xml:space="preserve"> </w:t>
      </w:r>
      <w:proofErr w:type="gramStart"/>
      <w:r w:rsidRPr="001D0780">
        <w:rPr>
          <w:rFonts w:asciiTheme="majorHAnsi" w:hAnsiTheme="majorHAnsi"/>
          <w:sz w:val="16"/>
          <w:szCs w:val="16"/>
        </w:rPr>
        <w:t>Merits, Reparations and Costs.</w:t>
      </w:r>
      <w:proofErr w:type="gramEnd"/>
      <w:r w:rsidRPr="001D0780">
        <w:rPr>
          <w:rFonts w:asciiTheme="majorHAnsi" w:hAnsiTheme="majorHAnsi"/>
          <w:sz w:val="16"/>
          <w:szCs w:val="16"/>
        </w:rPr>
        <w:t xml:space="preserve"> </w:t>
      </w:r>
      <w:r w:rsidRPr="00E8055D">
        <w:rPr>
          <w:rFonts w:asciiTheme="majorHAnsi" w:hAnsiTheme="majorHAnsi"/>
          <w:sz w:val="16"/>
          <w:szCs w:val="16"/>
        </w:rPr>
        <w:t xml:space="preserve">Judgment of July 4, 2007. </w:t>
      </w:r>
      <w:r w:rsidRPr="00E80090">
        <w:rPr>
          <w:rFonts w:asciiTheme="majorHAnsi" w:hAnsiTheme="majorHAnsi"/>
          <w:sz w:val="16"/>
          <w:szCs w:val="16"/>
        </w:rPr>
        <w:t xml:space="preserve">Series C No. 166, para. </w:t>
      </w:r>
      <w:proofErr w:type="gramStart"/>
      <w:r w:rsidRPr="00A87A1E">
        <w:rPr>
          <w:rFonts w:asciiTheme="majorHAnsi" w:hAnsiTheme="majorHAnsi"/>
          <w:sz w:val="16"/>
          <w:szCs w:val="16"/>
        </w:rPr>
        <w:t xml:space="preserve">108; </w:t>
      </w:r>
      <w:r w:rsidRPr="00A87A1E">
        <w:rPr>
          <w:rStyle w:val="Strong"/>
          <w:rFonts w:asciiTheme="majorHAnsi" w:hAnsiTheme="majorHAnsi"/>
          <w:b w:val="0"/>
          <w:sz w:val="16"/>
          <w:szCs w:val="16"/>
        </w:rPr>
        <w:t>Case of Cruz Sánchez et al. v. Peru.</w:t>
      </w:r>
      <w:proofErr w:type="gramEnd"/>
      <w:r w:rsidRPr="00A87A1E">
        <w:rPr>
          <w:rStyle w:val="Strong"/>
          <w:rFonts w:asciiTheme="majorHAnsi" w:hAnsiTheme="majorHAnsi"/>
          <w:b w:val="0"/>
          <w:sz w:val="16"/>
          <w:szCs w:val="16"/>
        </w:rPr>
        <w:t xml:space="preserve"> </w:t>
      </w:r>
      <w:proofErr w:type="gramStart"/>
      <w:r w:rsidRPr="00A87A1E">
        <w:rPr>
          <w:rStyle w:val="Strong"/>
          <w:rFonts w:asciiTheme="majorHAnsi" w:hAnsiTheme="majorHAnsi"/>
          <w:b w:val="0"/>
          <w:sz w:val="16"/>
          <w:szCs w:val="16"/>
        </w:rPr>
        <w:t>Preliminary Objections, Merits, Reparations and Costs.</w:t>
      </w:r>
      <w:proofErr w:type="gramEnd"/>
      <w:r w:rsidRPr="00A87A1E">
        <w:rPr>
          <w:rStyle w:val="Strong"/>
          <w:rFonts w:asciiTheme="majorHAnsi" w:hAnsiTheme="majorHAnsi"/>
          <w:b w:val="0"/>
          <w:sz w:val="16"/>
          <w:szCs w:val="16"/>
        </w:rPr>
        <w:t xml:space="preserve"> Judgment of April 17, 2015. Series C No. 292, para. </w:t>
      </w:r>
      <w:proofErr w:type="gramStart"/>
      <w:r w:rsidRPr="00A87A1E">
        <w:rPr>
          <w:rStyle w:val="Strong"/>
          <w:rFonts w:asciiTheme="majorHAnsi" w:hAnsiTheme="majorHAnsi"/>
          <w:b w:val="0"/>
          <w:sz w:val="16"/>
          <w:szCs w:val="16"/>
        </w:rPr>
        <w:t xml:space="preserve">291; and </w:t>
      </w:r>
      <w:r>
        <w:rPr>
          <w:rStyle w:val="Strong"/>
          <w:rFonts w:asciiTheme="majorHAnsi" w:hAnsiTheme="majorHAnsi"/>
          <w:b w:val="0"/>
          <w:sz w:val="16"/>
          <w:szCs w:val="16"/>
        </w:rPr>
        <w:t xml:space="preserve">Case of </w:t>
      </w:r>
      <w:proofErr w:type="spellStart"/>
      <w:r>
        <w:rPr>
          <w:rStyle w:val="Strong"/>
          <w:rFonts w:asciiTheme="majorHAnsi" w:hAnsiTheme="majorHAnsi"/>
          <w:b w:val="0"/>
          <w:sz w:val="16"/>
          <w:szCs w:val="16"/>
        </w:rPr>
        <w:t>Landaeta</w:t>
      </w:r>
      <w:proofErr w:type="spellEnd"/>
      <w:r>
        <w:rPr>
          <w:rStyle w:val="Strong"/>
          <w:rFonts w:asciiTheme="majorHAnsi" w:hAnsiTheme="majorHAnsi"/>
          <w:b w:val="0"/>
          <w:sz w:val="16"/>
          <w:szCs w:val="16"/>
        </w:rPr>
        <w:t xml:space="preserve"> </w:t>
      </w:r>
      <w:proofErr w:type="spellStart"/>
      <w:r>
        <w:rPr>
          <w:rStyle w:val="Strong"/>
          <w:rFonts w:asciiTheme="majorHAnsi" w:hAnsiTheme="majorHAnsi"/>
          <w:b w:val="0"/>
          <w:sz w:val="16"/>
          <w:szCs w:val="16"/>
        </w:rPr>
        <w:t>Mejías</w:t>
      </w:r>
      <w:proofErr w:type="spellEnd"/>
      <w:r>
        <w:rPr>
          <w:rStyle w:val="Strong"/>
          <w:rFonts w:asciiTheme="majorHAnsi" w:hAnsiTheme="majorHAnsi"/>
          <w:b w:val="0"/>
          <w:sz w:val="16"/>
          <w:szCs w:val="16"/>
        </w:rPr>
        <w:t xml:space="preserve"> Brothers et al. v. Venezuela.</w:t>
      </w:r>
      <w:proofErr w:type="gramEnd"/>
      <w:r w:rsidRPr="00A87A1E">
        <w:rPr>
          <w:rStyle w:val="Strong"/>
          <w:rFonts w:asciiTheme="majorHAnsi" w:hAnsiTheme="majorHAnsi"/>
          <w:b w:val="0"/>
          <w:sz w:val="16"/>
          <w:szCs w:val="16"/>
        </w:rPr>
        <w:t xml:space="preserve"> </w:t>
      </w:r>
      <w:proofErr w:type="gramStart"/>
      <w:r w:rsidRPr="00A87A1E">
        <w:rPr>
          <w:rStyle w:val="Strong"/>
          <w:rFonts w:asciiTheme="majorHAnsi" w:hAnsiTheme="majorHAnsi"/>
          <w:b w:val="0"/>
          <w:sz w:val="16"/>
          <w:szCs w:val="16"/>
        </w:rPr>
        <w:t>Preliminary Objections, Merits, Reparations and Costs.</w:t>
      </w:r>
      <w:proofErr w:type="gramEnd"/>
      <w:r w:rsidRPr="00A87A1E">
        <w:rPr>
          <w:rStyle w:val="Strong"/>
          <w:rFonts w:asciiTheme="majorHAnsi" w:hAnsiTheme="majorHAnsi"/>
          <w:b w:val="0"/>
          <w:sz w:val="16"/>
          <w:szCs w:val="16"/>
        </w:rPr>
        <w:t xml:space="preserve"> </w:t>
      </w:r>
      <w:r w:rsidRPr="00E80090">
        <w:rPr>
          <w:rStyle w:val="Strong"/>
          <w:rFonts w:asciiTheme="majorHAnsi" w:hAnsiTheme="majorHAnsi"/>
          <w:b w:val="0"/>
          <w:sz w:val="16"/>
          <w:szCs w:val="16"/>
        </w:rPr>
        <w:t>Judgment of August 27, 2014. Series C No. 281, para.</w:t>
      </w:r>
      <w:r w:rsidRPr="00E80090">
        <w:rPr>
          <w:rFonts w:asciiTheme="majorHAnsi" w:hAnsiTheme="majorHAnsi"/>
          <w:b/>
          <w:sz w:val="16"/>
          <w:szCs w:val="16"/>
        </w:rPr>
        <w:t xml:space="preserve"> </w:t>
      </w:r>
      <w:r>
        <w:rPr>
          <w:rStyle w:val="Strong"/>
          <w:rFonts w:asciiTheme="majorHAnsi" w:hAnsiTheme="majorHAnsi"/>
          <w:b w:val="0"/>
          <w:sz w:val="16"/>
          <w:szCs w:val="16"/>
        </w:rPr>
        <w:t>13</w:t>
      </w:r>
      <w:r w:rsidRPr="00E80090">
        <w:rPr>
          <w:rStyle w:val="Strong"/>
          <w:rFonts w:asciiTheme="majorHAnsi" w:hAnsiTheme="majorHAnsi"/>
          <w:b w:val="0"/>
          <w:sz w:val="16"/>
          <w:szCs w:val="16"/>
        </w:rPr>
        <w:t>2</w:t>
      </w:r>
      <w:r w:rsidRPr="00E80090">
        <w:rPr>
          <w:rStyle w:val="Strong"/>
          <w:rFonts w:asciiTheme="majorHAnsi" w:hAnsiTheme="majorHAnsi"/>
          <w:sz w:val="16"/>
          <w:szCs w:val="16"/>
        </w:rPr>
        <w:t>.</w:t>
      </w:r>
    </w:p>
  </w:footnote>
  <w:footnote w:id="50">
    <w:p w:rsidR="000E7166" w:rsidRPr="00A01230"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A87A1E">
        <w:rPr>
          <w:rFonts w:asciiTheme="majorHAnsi" w:hAnsiTheme="majorHAnsi"/>
          <w:sz w:val="16"/>
          <w:szCs w:val="16"/>
        </w:rPr>
        <w:t xml:space="preserve"> </w:t>
      </w:r>
      <w:proofErr w:type="gramStart"/>
      <w:r w:rsidRPr="00A87A1E">
        <w:rPr>
          <w:rFonts w:asciiTheme="majorHAnsi" w:hAnsiTheme="majorHAnsi"/>
          <w:sz w:val="16"/>
          <w:szCs w:val="16"/>
        </w:rPr>
        <w:t>UN</w:t>
      </w:r>
      <w:r w:rsidR="00105242">
        <w:rPr>
          <w:rFonts w:asciiTheme="majorHAnsi" w:hAnsiTheme="majorHAnsi"/>
          <w:sz w:val="16"/>
          <w:szCs w:val="16"/>
        </w:rPr>
        <w:t>.</w:t>
      </w:r>
      <w:proofErr w:type="gramEnd"/>
      <w:r w:rsidRPr="00A87A1E">
        <w:rPr>
          <w:rFonts w:asciiTheme="majorHAnsi" w:hAnsiTheme="majorHAnsi"/>
          <w:sz w:val="16"/>
          <w:szCs w:val="16"/>
        </w:rPr>
        <w:t xml:space="preserve"> </w:t>
      </w:r>
      <w:proofErr w:type="gramStart"/>
      <w:r w:rsidRPr="00A87A1E">
        <w:rPr>
          <w:rFonts w:asciiTheme="majorHAnsi" w:hAnsiTheme="majorHAnsi"/>
          <w:sz w:val="16"/>
          <w:szCs w:val="16"/>
        </w:rPr>
        <w:t>Human Rights Committee.</w:t>
      </w:r>
      <w:proofErr w:type="gramEnd"/>
      <w:r w:rsidRPr="00A87A1E">
        <w:rPr>
          <w:rFonts w:asciiTheme="majorHAnsi" w:hAnsiTheme="majorHAnsi"/>
          <w:sz w:val="16"/>
          <w:szCs w:val="16"/>
        </w:rPr>
        <w:t xml:space="preserve"> </w:t>
      </w:r>
      <w:proofErr w:type="gramStart"/>
      <w:r w:rsidRPr="00A87A1E">
        <w:rPr>
          <w:rFonts w:asciiTheme="majorHAnsi" w:hAnsiTheme="majorHAnsi"/>
          <w:iCs/>
          <w:sz w:val="16"/>
          <w:szCs w:val="16"/>
        </w:rPr>
        <w:t xml:space="preserve">Case of Irene </w:t>
      </w:r>
      <w:proofErr w:type="spellStart"/>
      <w:r w:rsidRPr="00A87A1E">
        <w:rPr>
          <w:rFonts w:asciiTheme="majorHAnsi" w:hAnsiTheme="majorHAnsi"/>
          <w:iCs/>
          <w:sz w:val="16"/>
          <w:szCs w:val="16"/>
        </w:rPr>
        <w:t>Bleier</w:t>
      </w:r>
      <w:proofErr w:type="spellEnd"/>
      <w:r w:rsidRPr="00A87A1E">
        <w:rPr>
          <w:rFonts w:asciiTheme="majorHAnsi" w:hAnsiTheme="majorHAnsi"/>
          <w:iCs/>
          <w:sz w:val="16"/>
          <w:szCs w:val="16"/>
        </w:rPr>
        <w:t xml:space="preserve"> </w:t>
      </w:r>
      <w:proofErr w:type="spellStart"/>
      <w:r w:rsidRPr="00A87A1E">
        <w:rPr>
          <w:rFonts w:asciiTheme="majorHAnsi" w:hAnsiTheme="majorHAnsi"/>
          <w:iCs/>
          <w:sz w:val="16"/>
          <w:szCs w:val="16"/>
        </w:rPr>
        <w:t>Lewenhoff</w:t>
      </w:r>
      <w:proofErr w:type="spellEnd"/>
      <w:r w:rsidRPr="00A87A1E">
        <w:rPr>
          <w:rFonts w:asciiTheme="majorHAnsi" w:hAnsiTheme="majorHAnsi"/>
          <w:iCs/>
          <w:sz w:val="16"/>
          <w:szCs w:val="16"/>
        </w:rPr>
        <w:t xml:space="preserve"> and Rosa </w:t>
      </w:r>
      <w:proofErr w:type="spellStart"/>
      <w:r w:rsidRPr="00A87A1E">
        <w:rPr>
          <w:rFonts w:asciiTheme="majorHAnsi" w:hAnsiTheme="majorHAnsi"/>
          <w:iCs/>
          <w:sz w:val="16"/>
          <w:szCs w:val="16"/>
        </w:rPr>
        <w:t>Valiño</w:t>
      </w:r>
      <w:proofErr w:type="spellEnd"/>
      <w:r w:rsidRPr="00A87A1E">
        <w:rPr>
          <w:rFonts w:asciiTheme="majorHAnsi" w:hAnsiTheme="majorHAnsi"/>
          <w:iCs/>
          <w:sz w:val="16"/>
          <w:szCs w:val="16"/>
        </w:rPr>
        <w:t xml:space="preserve"> de </w:t>
      </w:r>
      <w:proofErr w:type="spellStart"/>
      <w:r w:rsidRPr="00A87A1E">
        <w:rPr>
          <w:rFonts w:asciiTheme="majorHAnsi" w:hAnsiTheme="majorHAnsi"/>
          <w:iCs/>
          <w:sz w:val="16"/>
          <w:szCs w:val="16"/>
        </w:rPr>
        <w:t>Bleier</w:t>
      </w:r>
      <w:proofErr w:type="spellEnd"/>
      <w:r w:rsidRPr="00A87A1E">
        <w:rPr>
          <w:rFonts w:asciiTheme="majorHAnsi" w:hAnsiTheme="majorHAnsi"/>
          <w:iCs/>
          <w:sz w:val="16"/>
          <w:szCs w:val="16"/>
        </w:rPr>
        <w:t xml:space="preserve"> </w:t>
      </w:r>
      <w:r>
        <w:rPr>
          <w:rFonts w:asciiTheme="majorHAnsi" w:hAnsiTheme="majorHAnsi"/>
          <w:iCs/>
          <w:sz w:val="16"/>
          <w:szCs w:val="16"/>
        </w:rPr>
        <w:t>v</w:t>
      </w:r>
      <w:r w:rsidRPr="00A87A1E">
        <w:rPr>
          <w:rFonts w:asciiTheme="majorHAnsi" w:hAnsiTheme="majorHAnsi"/>
          <w:iCs/>
          <w:sz w:val="16"/>
          <w:szCs w:val="16"/>
        </w:rPr>
        <w:t>. Uruguay.</w:t>
      </w:r>
      <w:proofErr w:type="gramEnd"/>
      <w:r w:rsidRPr="00A87A1E">
        <w:rPr>
          <w:rFonts w:asciiTheme="majorHAnsi" w:hAnsiTheme="majorHAnsi"/>
          <w:iCs/>
          <w:sz w:val="16"/>
          <w:szCs w:val="16"/>
        </w:rPr>
        <w:t xml:space="preserve"> </w:t>
      </w:r>
      <w:proofErr w:type="gramStart"/>
      <w:r w:rsidRPr="005A11BA">
        <w:rPr>
          <w:rFonts w:asciiTheme="majorHAnsi" w:hAnsiTheme="majorHAnsi"/>
          <w:sz w:val="16"/>
          <w:szCs w:val="16"/>
        </w:rPr>
        <w:t>Communication No. 30/1978, UN Doc. CCPR/C/OP/1, of March 29, 1982, p</w:t>
      </w:r>
      <w:r>
        <w:rPr>
          <w:rFonts w:asciiTheme="majorHAnsi" w:hAnsiTheme="majorHAnsi"/>
          <w:sz w:val="16"/>
          <w:szCs w:val="16"/>
        </w:rPr>
        <w:t>ara</w:t>
      </w:r>
      <w:r w:rsidRPr="005A11BA">
        <w:rPr>
          <w:rFonts w:asciiTheme="majorHAnsi" w:hAnsiTheme="majorHAnsi"/>
          <w:sz w:val="16"/>
          <w:szCs w:val="16"/>
        </w:rPr>
        <w:t>.</w:t>
      </w:r>
      <w:proofErr w:type="gramEnd"/>
      <w:r w:rsidRPr="005A11BA">
        <w:rPr>
          <w:rFonts w:asciiTheme="majorHAnsi" w:hAnsiTheme="majorHAnsi"/>
          <w:sz w:val="16"/>
          <w:szCs w:val="16"/>
        </w:rPr>
        <w:t xml:space="preserve"> </w:t>
      </w:r>
      <w:proofErr w:type="gramStart"/>
      <w:r w:rsidRPr="005A11BA">
        <w:rPr>
          <w:rFonts w:asciiTheme="majorHAnsi" w:hAnsiTheme="majorHAnsi"/>
          <w:sz w:val="16"/>
          <w:szCs w:val="16"/>
        </w:rPr>
        <w:t xml:space="preserve">13.3; </w:t>
      </w:r>
      <w:r w:rsidRPr="005A11BA">
        <w:rPr>
          <w:rFonts w:asciiTheme="majorHAnsi" w:hAnsiTheme="majorHAnsi"/>
          <w:iCs/>
          <w:sz w:val="16"/>
          <w:szCs w:val="16"/>
        </w:rPr>
        <w:t xml:space="preserve">Case of Albert </w:t>
      </w:r>
      <w:proofErr w:type="spellStart"/>
      <w:r w:rsidRPr="005A11BA">
        <w:rPr>
          <w:rFonts w:asciiTheme="majorHAnsi" w:hAnsiTheme="majorHAnsi"/>
          <w:iCs/>
          <w:sz w:val="16"/>
          <w:szCs w:val="16"/>
        </w:rPr>
        <w:t>Womah</w:t>
      </w:r>
      <w:proofErr w:type="spellEnd"/>
      <w:r w:rsidRPr="005A11BA">
        <w:rPr>
          <w:rFonts w:asciiTheme="majorHAnsi" w:hAnsiTheme="majorHAnsi"/>
          <w:iCs/>
          <w:sz w:val="16"/>
          <w:szCs w:val="16"/>
        </w:rPr>
        <w:t xml:space="preserve"> </w:t>
      </w:r>
      <w:proofErr w:type="spellStart"/>
      <w:r w:rsidRPr="005A11BA">
        <w:rPr>
          <w:rFonts w:asciiTheme="majorHAnsi" w:hAnsiTheme="majorHAnsi"/>
          <w:iCs/>
          <w:sz w:val="16"/>
          <w:szCs w:val="16"/>
        </w:rPr>
        <w:t>Mukong</w:t>
      </w:r>
      <w:proofErr w:type="spellEnd"/>
      <w:r w:rsidRPr="005A11BA">
        <w:rPr>
          <w:rFonts w:asciiTheme="majorHAnsi" w:hAnsiTheme="majorHAnsi"/>
          <w:iCs/>
          <w:sz w:val="16"/>
          <w:szCs w:val="16"/>
        </w:rPr>
        <w:t xml:space="preserve"> </w:t>
      </w:r>
      <w:r>
        <w:rPr>
          <w:rFonts w:asciiTheme="majorHAnsi" w:hAnsiTheme="majorHAnsi"/>
          <w:iCs/>
          <w:sz w:val="16"/>
          <w:szCs w:val="16"/>
        </w:rPr>
        <w:t>v</w:t>
      </w:r>
      <w:r w:rsidRPr="005A11BA">
        <w:rPr>
          <w:rFonts w:asciiTheme="majorHAnsi" w:hAnsiTheme="majorHAnsi"/>
          <w:iCs/>
          <w:sz w:val="16"/>
          <w:szCs w:val="16"/>
        </w:rPr>
        <w:t>. Cameroon.</w:t>
      </w:r>
      <w:proofErr w:type="gramEnd"/>
      <w:r w:rsidRPr="005A11BA">
        <w:rPr>
          <w:rFonts w:asciiTheme="majorHAnsi" w:hAnsiTheme="majorHAnsi"/>
          <w:iCs/>
          <w:sz w:val="16"/>
          <w:szCs w:val="16"/>
        </w:rPr>
        <w:t xml:space="preserve"> </w:t>
      </w:r>
      <w:proofErr w:type="gramStart"/>
      <w:r w:rsidRPr="005A11BA">
        <w:rPr>
          <w:rFonts w:asciiTheme="majorHAnsi" w:hAnsiTheme="majorHAnsi"/>
          <w:sz w:val="16"/>
          <w:szCs w:val="16"/>
        </w:rPr>
        <w:t>Communication No. 458/1991, UN Doc. CCPR/C/51/D/458/1991, of July 21, 1994, para.</w:t>
      </w:r>
      <w:proofErr w:type="gramEnd"/>
      <w:r w:rsidRPr="005A11BA">
        <w:rPr>
          <w:rFonts w:asciiTheme="majorHAnsi" w:hAnsiTheme="majorHAnsi"/>
          <w:sz w:val="16"/>
          <w:szCs w:val="16"/>
        </w:rPr>
        <w:t xml:space="preserve"> </w:t>
      </w:r>
      <w:proofErr w:type="gramStart"/>
      <w:r w:rsidRPr="005A11BA">
        <w:rPr>
          <w:rFonts w:asciiTheme="majorHAnsi" w:hAnsiTheme="majorHAnsi"/>
          <w:sz w:val="16"/>
          <w:szCs w:val="16"/>
        </w:rPr>
        <w:t>9.2; and Case of</w:t>
      </w:r>
      <w:r>
        <w:rPr>
          <w:rFonts w:asciiTheme="majorHAnsi" w:hAnsiTheme="majorHAnsi"/>
          <w:sz w:val="16"/>
          <w:szCs w:val="16"/>
        </w:rPr>
        <w:t xml:space="preserve"> </w:t>
      </w:r>
      <w:proofErr w:type="spellStart"/>
      <w:r w:rsidRPr="005A11BA">
        <w:rPr>
          <w:rFonts w:asciiTheme="majorHAnsi" w:hAnsiTheme="majorHAnsi"/>
          <w:iCs/>
          <w:sz w:val="16"/>
          <w:szCs w:val="16"/>
        </w:rPr>
        <w:t>Turdukan</w:t>
      </w:r>
      <w:proofErr w:type="spellEnd"/>
      <w:r w:rsidRPr="005A11BA">
        <w:rPr>
          <w:rFonts w:asciiTheme="majorHAnsi" w:hAnsiTheme="majorHAnsi"/>
          <w:iCs/>
          <w:sz w:val="16"/>
          <w:szCs w:val="16"/>
        </w:rPr>
        <w:t xml:space="preserve"> </w:t>
      </w:r>
      <w:proofErr w:type="spellStart"/>
      <w:r w:rsidRPr="005A11BA">
        <w:rPr>
          <w:rFonts w:asciiTheme="majorHAnsi" w:hAnsiTheme="majorHAnsi"/>
          <w:iCs/>
          <w:sz w:val="16"/>
          <w:szCs w:val="16"/>
        </w:rPr>
        <w:t>Zhumbaeva</w:t>
      </w:r>
      <w:proofErr w:type="spellEnd"/>
      <w:r w:rsidRPr="005A11BA">
        <w:rPr>
          <w:rFonts w:asciiTheme="majorHAnsi" w:hAnsiTheme="majorHAnsi"/>
          <w:iCs/>
          <w:sz w:val="16"/>
          <w:szCs w:val="16"/>
        </w:rPr>
        <w:t xml:space="preserve"> </w:t>
      </w:r>
      <w:r>
        <w:rPr>
          <w:rFonts w:asciiTheme="majorHAnsi" w:hAnsiTheme="majorHAnsi"/>
          <w:iCs/>
          <w:sz w:val="16"/>
          <w:szCs w:val="16"/>
        </w:rPr>
        <w:t>v</w:t>
      </w:r>
      <w:r w:rsidRPr="005A11BA">
        <w:rPr>
          <w:rFonts w:asciiTheme="majorHAnsi" w:hAnsiTheme="majorHAnsi"/>
          <w:iCs/>
          <w:sz w:val="16"/>
          <w:szCs w:val="16"/>
        </w:rPr>
        <w:t>. Kyrgyzstan</w:t>
      </w:r>
      <w:r w:rsidRPr="005A11BA">
        <w:rPr>
          <w:rFonts w:asciiTheme="majorHAnsi" w:hAnsiTheme="majorHAnsi"/>
          <w:sz w:val="16"/>
          <w:szCs w:val="16"/>
        </w:rPr>
        <w:t>.</w:t>
      </w:r>
      <w:proofErr w:type="gramEnd"/>
      <w:r w:rsidRPr="005A11BA">
        <w:rPr>
          <w:rFonts w:asciiTheme="majorHAnsi" w:hAnsiTheme="majorHAnsi"/>
          <w:sz w:val="16"/>
          <w:szCs w:val="16"/>
        </w:rPr>
        <w:t xml:space="preserve"> </w:t>
      </w:r>
      <w:proofErr w:type="gramStart"/>
      <w:r w:rsidRPr="005A11BA">
        <w:rPr>
          <w:rFonts w:asciiTheme="majorHAnsi" w:hAnsiTheme="majorHAnsi"/>
          <w:sz w:val="16"/>
          <w:szCs w:val="16"/>
        </w:rPr>
        <w:t xml:space="preserve">Communication Nº 1756/2008, UN Doc. </w:t>
      </w:r>
      <w:r w:rsidRPr="00E80090">
        <w:rPr>
          <w:rFonts w:asciiTheme="majorHAnsi" w:hAnsiTheme="majorHAnsi"/>
          <w:sz w:val="16"/>
          <w:szCs w:val="16"/>
        </w:rPr>
        <w:t>CCPR/C/102/D/1756/2008, of July 29, 2011, para.</w:t>
      </w:r>
      <w:proofErr w:type="gramEnd"/>
      <w:r w:rsidRPr="00E80090">
        <w:rPr>
          <w:rFonts w:asciiTheme="majorHAnsi" w:hAnsiTheme="majorHAnsi"/>
          <w:sz w:val="16"/>
          <w:szCs w:val="16"/>
        </w:rPr>
        <w:t xml:space="preserve"> </w:t>
      </w:r>
      <w:r w:rsidRPr="00A01230">
        <w:rPr>
          <w:rFonts w:asciiTheme="majorHAnsi" w:hAnsiTheme="majorHAnsi"/>
          <w:sz w:val="16"/>
          <w:szCs w:val="16"/>
        </w:rPr>
        <w:t xml:space="preserve">8.7.  </w:t>
      </w:r>
    </w:p>
  </w:footnote>
  <w:footnote w:id="51">
    <w:p w:rsidR="000E7166" w:rsidRPr="00A01230"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A01230">
        <w:rPr>
          <w:rFonts w:asciiTheme="majorHAnsi" w:hAnsiTheme="majorHAnsi"/>
          <w:sz w:val="16"/>
          <w:szCs w:val="16"/>
        </w:rPr>
        <w:t xml:space="preserve"> </w:t>
      </w:r>
      <w:proofErr w:type="gramStart"/>
      <w:r w:rsidRPr="00A01230">
        <w:rPr>
          <w:rFonts w:asciiTheme="majorHAnsi" w:hAnsiTheme="majorHAnsi"/>
          <w:sz w:val="16"/>
          <w:szCs w:val="16"/>
        </w:rPr>
        <w:t xml:space="preserve">ECHR, Case </w:t>
      </w:r>
      <w:r>
        <w:rPr>
          <w:rFonts w:asciiTheme="majorHAnsi" w:hAnsiTheme="majorHAnsi"/>
          <w:sz w:val="16"/>
          <w:szCs w:val="16"/>
        </w:rPr>
        <w:t xml:space="preserve">of </w:t>
      </w:r>
      <w:r w:rsidRPr="00A01230">
        <w:rPr>
          <w:rFonts w:asciiTheme="majorHAnsi" w:hAnsiTheme="majorHAnsi"/>
          <w:sz w:val="16"/>
          <w:szCs w:val="16"/>
        </w:rPr>
        <w:t xml:space="preserve">McCann and </w:t>
      </w:r>
      <w:r>
        <w:rPr>
          <w:rFonts w:asciiTheme="majorHAnsi" w:hAnsiTheme="majorHAnsi"/>
          <w:sz w:val="16"/>
          <w:szCs w:val="16"/>
        </w:rPr>
        <w:t>O</w:t>
      </w:r>
      <w:r w:rsidRPr="00A01230">
        <w:rPr>
          <w:rFonts w:asciiTheme="majorHAnsi" w:hAnsiTheme="majorHAnsi"/>
          <w:sz w:val="16"/>
          <w:szCs w:val="16"/>
        </w:rPr>
        <w:t xml:space="preserve">thers v. </w:t>
      </w:r>
      <w:r>
        <w:rPr>
          <w:rFonts w:asciiTheme="majorHAnsi" w:hAnsiTheme="majorHAnsi"/>
          <w:sz w:val="16"/>
          <w:szCs w:val="16"/>
        </w:rPr>
        <w:t>t</w:t>
      </w:r>
      <w:r w:rsidRPr="00A01230">
        <w:rPr>
          <w:rFonts w:asciiTheme="majorHAnsi" w:hAnsiTheme="majorHAnsi"/>
          <w:sz w:val="16"/>
          <w:szCs w:val="16"/>
        </w:rPr>
        <w:t>he United Kingdom.</w:t>
      </w:r>
      <w:proofErr w:type="gramEnd"/>
      <w:r w:rsidRPr="00A01230">
        <w:rPr>
          <w:rFonts w:asciiTheme="majorHAnsi" w:hAnsiTheme="majorHAnsi"/>
          <w:sz w:val="16"/>
          <w:szCs w:val="16"/>
        </w:rPr>
        <w:t xml:space="preserve"> </w:t>
      </w:r>
      <w:proofErr w:type="gramStart"/>
      <w:r w:rsidRPr="00A01230">
        <w:rPr>
          <w:rFonts w:asciiTheme="majorHAnsi" w:hAnsiTheme="majorHAnsi"/>
          <w:sz w:val="16"/>
          <w:szCs w:val="16"/>
        </w:rPr>
        <w:t>Application No. 27229/95, September 27</w:t>
      </w:r>
      <w:r>
        <w:rPr>
          <w:rFonts w:asciiTheme="majorHAnsi" w:hAnsiTheme="majorHAnsi"/>
          <w:sz w:val="16"/>
          <w:szCs w:val="16"/>
        </w:rPr>
        <w:t>,</w:t>
      </w:r>
      <w:r w:rsidRPr="00A01230">
        <w:rPr>
          <w:rFonts w:asciiTheme="majorHAnsi" w:hAnsiTheme="majorHAnsi"/>
          <w:sz w:val="16"/>
          <w:szCs w:val="16"/>
        </w:rPr>
        <w:t xml:space="preserve"> 1995, § 149.</w:t>
      </w:r>
      <w:proofErr w:type="gramEnd"/>
    </w:p>
  </w:footnote>
  <w:footnote w:id="52">
    <w:p w:rsidR="000E7166" w:rsidRPr="00E80090"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7E3EB0">
        <w:rPr>
          <w:rFonts w:asciiTheme="majorHAnsi" w:hAnsiTheme="majorHAnsi"/>
          <w:sz w:val="16"/>
          <w:szCs w:val="16"/>
        </w:rPr>
        <w:t xml:space="preserve"> </w:t>
      </w:r>
      <w:proofErr w:type="gramStart"/>
      <w:r w:rsidRPr="00EF545C">
        <w:rPr>
          <w:rFonts w:asciiTheme="majorHAnsi" w:hAnsiTheme="majorHAnsi"/>
          <w:sz w:val="16"/>
          <w:szCs w:val="16"/>
        </w:rPr>
        <w:t xml:space="preserve">I/A Court H.R. Case of </w:t>
      </w:r>
      <w:proofErr w:type="spellStart"/>
      <w:r w:rsidRPr="00EF545C">
        <w:rPr>
          <w:rFonts w:asciiTheme="majorHAnsi" w:hAnsiTheme="majorHAnsi" w:cs="Verdana"/>
          <w:bCs/>
          <w:sz w:val="16"/>
          <w:szCs w:val="16"/>
        </w:rPr>
        <w:t>Landaeta</w:t>
      </w:r>
      <w:proofErr w:type="spellEnd"/>
      <w:r w:rsidRPr="00EF545C">
        <w:rPr>
          <w:rFonts w:asciiTheme="majorHAnsi" w:hAnsiTheme="majorHAnsi" w:cs="Verdana"/>
          <w:bCs/>
          <w:sz w:val="16"/>
          <w:szCs w:val="16"/>
        </w:rPr>
        <w:t xml:space="preserve"> </w:t>
      </w:r>
      <w:proofErr w:type="spellStart"/>
      <w:r w:rsidRPr="00EF545C">
        <w:rPr>
          <w:rFonts w:asciiTheme="majorHAnsi" w:hAnsiTheme="majorHAnsi" w:cs="Verdana"/>
          <w:bCs/>
          <w:sz w:val="16"/>
          <w:szCs w:val="16"/>
        </w:rPr>
        <w:t>Mejías</w:t>
      </w:r>
      <w:proofErr w:type="spellEnd"/>
      <w:r w:rsidRPr="00EF545C">
        <w:rPr>
          <w:rFonts w:asciiTheme="majorHAnsi" w:hAnsiTheme="majorHAnsi" w:cs="Verdana"/>
          <w:bCs/>
          <w:sz w:val="16"/>
          <w:szCs w:val="16"/>
        </w:rPr>
        <w:t xml:space="preserve"> Brothers et a</w:t>
      </w:r>
      <w:r>
        <w:rPr>
          <w:rFonts w:asciiTheme="majorHAnsi" w:hAnsiTheme="majorHAnsi" w:cs="Verdana"/>
          <w:bCs/>
          <w:sz w:val="16"/>
          <w:szCs w:val="16"/>
        </w:rPr>
        <w:t xml:space="preserve">l. </w:t>
      </w:r>
      <w:r w:rsidRPr="00EF545C">
        <w:rPr>
          <w:rFonts w:asciiTheme="majorHAnsi" w:hAnsiTheme="majorHAnsi" w:cs="Verdana"/>
          <w:bCs/>
          <w:sz w:val="16"/>
          <w:szCs w:val="16"/>
        </w:rPr>
        <w:t>v. Venezuela.</w:t>
      </w:r>
      <w:proofErr w:type="gramEnd"/>
      <w:r w:rsidRPr="00EF545C">
        <w:rPr>
          <w:rFonts w:asciiTheme="majorHAnsi" w:hAnsiTheme="majorHAnsi" w:cs="Verdana"/>
          <w:bCs/>
          <w:sz w:val="16"/>
          <w:szCs w:val="16"/>
        </w:rPr>
        <w:t xml:space="preserve"> </w:t>
      </w:r>
      <w:proofErr w:type="gramStart"/>
      <w:r>
        <w:rPr>
          <w:rFonts w:asciiTheme="majorHAnsi" w:hAnsiTheme="majorHAnsi" w:cs="Verdana"/>
          <w:bCs/>
          <w:sz w:val="16"/>
          <w:szCs w:val="16"/>
        </w:rPr>
        <w:t>Preliminary Objections, Merits, Reparations and Costs.</w:t>
      </w:r>
      <w:proofErr w:type="gramEnd"/>
      <w:r w:rsidRPr="00EF545C">
        <w:rPr>
          <w:rFonts w:asciiTheme="majorHAnsi" w:hAnsiTheme="majorHAnsi" w:cs="Verdana"/>
          <w:bCs/>
          <w:sz w:val="16"/>
          <w:szCs w:val="16"/>
        </w:rPr>
        <w:t xml:space="preserve"> </w:t>
      </w:r>
      <w:r w:rsidRPr="007E3EB0">
        <w:rPr>
          <w:rFonts w:asciiTheme="majorHAnsi" w:hAnsiTheme="majorHAnsi" w:cs="Verdana"/>
          <w:bCs/>
          <w:sz w:val="16"/>
          <w:szCs w:val="16"/>
        </w:rPr>
        <w:t xml:space="preserve">Judgment of August 27, 2014. Series C No. 281, para. </w:t>
      </w:r>
      <w:r w:rsidRPr="00E80090">
        <w:rPr>
          <w:rFonts w:asciiTheme="majorHAnsi" w:hAnsiTheme="majorHAnsi" w:cs="Verdana"/>
          <w:bCs/>
          <w:sz w:val="16"/>
          <w:szCs w:val="16"/>
        </w:rPr>
        <w:t>1</w:t>
      </w:r>
      <w:r w:rsidRPr="00E80090">
        <w:rPr>
          <w:rFonts w:asciiTheme="majorHAnsi" w:hAnsiTheme="majorHAnsi"/>
          <w:sz w:val="16"/>
          <w:szCs w:val="16"/>
          <w:shd w:val="clear" w:color="auto" w:fill="FFFFFF"/>
        </w:rPr>
        <w:t xml:space="preserve">34. </w:t>
      </w:r>
    </w:p>
  </w:footnote>
  <w:footnote w:id="53">
    <w:p w:rsidR="000E7166" w:rsidRPr="00DB7BBC" w:rsidRDefault="000E7166" w:rsidP="0043505F">
      <w:pPr>
        <w:pStyle w:val="FootnoteText"/>
        <w:jc w:val="both"/>
        <w:rPr>
          <w:rFonts w:asciiTheme="majorHAnsi" w:hAnsiTheme="majorHAnsi"/>
          <w:sz w:val="16"/>
          <w:szCs w:val="16"/>
          <w:shd w:val="clear" w:color="auto" w:fill="FFFFFF"/>
        </w:rPr>
      </w:pPr>
      <w:r w:rsidRPr="00A01230">
        <w:rPr>
          <w:rStyle w:val="FootnoteReference"/>
          <w:rFonts w:asciiTheme="majorHAnsi" w:hAnsiTheme="majorHAnsi"/>
          <w:sz w:val="16"/>
          <w:szCs w:val="16"/>
        </w:rPr>
        <w:footnoteRef/>
      </w:r>
      <w:r w:rsidRPr="00DB7BBC">
        <w:rPr>
          <w:rFonts w:asciiTheme="majorHAnsi" w:hAnsiTheme="majorHAnsi"/>
          <w:sz w:val="16"/>
          <w:szCs w:val="16"/>
        </w:rPr>
        <w:t xml:space="preserve"> Principles 9 and 10 of the UN Basic Principles on the Use of Force and Firearms by Law Enforcement Officials, adopted by the Eighth United Nations Congress on the Prevention of Crime and the Treatment of Offenders, held in Havana (</w:t>
      </w:r>
      <w:r w:rsidRPr="00DB7BBC">
        <w:rPr>
          <w:rFonts w:asciiTheme="majorHAnsi" w:hAnsiTheme="majorHAnsi"/>
          <w:sz w:val="16"/>
          <w:szCs w:val="16"/>
          <w:shd w:val="clear" w:color="auto" w:fill="FFFFFF"/>
        </w:rPr>
        <w:t>Cuba),</w:t>
      </w:r>
      <w:r>
        <w:rPr>
          <w:rFonts w:asciiTheme="majorHAnsi" w:hAnsiTheme="majorHAnsi"/>
          <w:sz w:val="16"/>
          <w:szCs w:val="16"/>
          <w:shd w:val="clear" w:color="auto" w:fill="FFFFFF"/>
        </w:rPr>
        <w:t xml:space="preserve"> August </w:t>
      </w:r>
      <w:r w:rsidRPr="00DB7BBC">
        <w:rPr>
          <w:rFonts w:asciiTheme="majorHAnsi" w:hAnsiTheme="majorHAnsi"/>
          <w:sz w:val="16"/>
          <w:szCs w:val="16"/>
          <w:shd w:val="clear" w:color="auto" w:fill="FFFFFF"/>
        </w:rPr>
        <w:t xml:space="preserve">27 </w:t>
      </w:r>
      <w:r>
        <w:rPr>
          <w:rFonts w:asciiTheme="majorHAnsi" w:hAnsiTheme="majorHAnsi"/>
          <w:sz w:val="16"/>
          <w:szCs w:val="16"/>
          <w:shd w:val="clear" w:color="auto" w:fill="FFFFFF"/>
        </w:rPr>
        <w:t>to September</w:t>
      </w:r>
      <w:r w:rsidRPr="00DB7BBC">
        <w:rPr>
          <w:rFonts w:asciiTheme="majorHAnsi" w:hAnsiTheme="majorHAnsi"/>
          <w:sz w:val="16"/>
          <w:szCs w:val="16"/>
          <w:shd w:val="clear" w:color="auto" w:fill="FFFFFF"/>
        </w:rPr>
        <w:t xml:space="preserve"> 7</w:t>
      </w:r>
      <w:r>
        <w:rPr>
          <w:rFonts w:asciiTheme="majorHAnsi" w:hAnsiTheme="majorHAnsi"/>
          <w:sz w:val="16"/>
          <w:szCs w:val="16"/>
          <w:shd w:val="clear" w:color="auto" w:fill="FFFFFF"/>
        </w:rPr>
        <w:t xml:space="preserve">, </w:t>
      </w:r>
      <w:r w:rsidRPr="00DB7BBC">
        <w:rPr>
          <w:rFonts w:asciiTheme="majorHAnsi" w:hAnsiTheme="majorHAnsi"/>
          <w:sz w:val="16"/>
          <w:szCs w:val="16"/>
          <w:shd w:val="clear" w:color="auto" w:fill="FFFFFF"/>
        </w:rPr>
        <w:t>1990.</w:t>
      </w:r>
    </w:p>
  </w:footnote>
  <w:footnote w:id="54">
    <w:p w:rsidR="000E7166" w:rsidRPr="00630E61"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472D13">
        <w:rPr>
          <w:rFonts w:asciiTheme="majorHAnsi" w:hAnsiTheme="majorHAnsi"/>
          <w:sz w:val="16"/>
          <w:szCs w:val="16"/>
        </w:rPr>
        <w:t xml:space="preserve"> </w:t>
      </w:r>
      <w:proofErr w:type="gramStart"/>
      <w:r w:rsidRPr="00FA1DD1">
        <w:rPr>
          <w:rFonts w:asciiTheme="majorHAnsi" w:hAnsiTheme="majorHAnsi"/>
          <w:sz w:val="16"/>
          <w:szCs w:val="16"/>
        </w:rPr>
        <w:t xml:space="preserve">I/A Court H.R. Case of </w:t>
      </w:r>
      <w:proofErr w:type="spellStart"/>
      <w:r w:rsidRPr="001D0780">
        <w:rPr>
          <w:rFonts w:asciiTheme="majorHAnsi" w:hAnsiTheme="majorHAnsi"/>
          <w:sz w:val="16"/>
          <w:szCs w:val="16"/>
        </w:rPr>
        <w:t>Nadege</w:t>
      </w:r>
      <w:proofErr w:type="spellEnd"/>
      <w:r w:rsidRPr="001D0780">
        <w:rPr>
          <w:rFonts w:asciiTheme="majorHAnsi" w:hAnsiTheme="majorHAnsi"/>
          <w:sz w:val="16"/>
          <w:szCs w:val="16"/>
        </w:rPr>
        <w:t xml:space="preserve"> </w:t>
      </w:r>
      <w:proofErr w:type="spellStart"/>
      <w:r w:rsidRPr="001D0780">
        <w:rPr>
          <w:rFonts w:asciiTheme="majorHAnsi" w:hAnsiTheme="majorHAnsi"/>
          <w:sz w:val="16"/>
          <w:szCs w:val="16"/>
        </w:rPr>
        <w:t>Dorzema</w:t>
      </w:r>
      <w:proofErr w:type="spellEnd"/>
      <w:r w:rsidRPr="001D0780">
        <w:rPr>
          <w:rFonts w:asciiTheme="majorHAnsi" w:hAnsiTheme="majorHAnsi"/>
          <w:sz w:val="16"/>
          <w:szCs w:val="16"/>
        </w:rPr>
        <w:t xml:space="preserve"> </w:t>
      </w:r>
      <w:r>
        <w:rPr>
          <w:rFonts w:asciiTheme="majorHAnsi" w:hAnsiTheme="majorHAnsi"/>
          <w:sz w:val="16"/>
          <w:szCs w:val="16"/>
        </w:rPr>
        <w:t>et al.</w:t>
      </w:r>
      <w:r w:rsidRPr="001D0780">
        <w:rPr>
          <w:rFonts w:asciiTheme="majorHAnsi" w:hAnsiTheme="majorHAnsi"/>
          <w:sz w:val="16"/>
          <w:szCs w:val="16"/>
        </w:rPr>
        <w:t xml:space="preserve"> </w:t>
      </w:r>
      <w:r>
        <w:rPr>
          <w:rFonts w:asciiTheme="majorHAnsi" w:hAnsiTheme="majorHAnsi"/>
          <w:sz w:val="16"/>
          <w:szCs w:val="16"/>
        </w:rPr>
        <w:t>v</w:t>
      </w:r>
      <w:r w:rsidRPr="001D0780">
        <w:rPr>
          <w:rFonts w:asciiTheme="majorHAnsi" w:hAnsiTheme="majorHAnsi"/>
          <w:sz w:val="16"/>
          <w:szCs w:val="16"/>
        </w:rPr>
        <w:t>. Dominican Republic.</w:t>
      </w:r>
      <w:proofErr w:type="gramEnd"/>
      <w:r w:rsidRPr="001D0780">
        <w:rPr>
          <w:rFonts w:asciiTheme="majorHAnsi" w:hAnsiTheme="majorHAnsi"/>
          <w:sz w:val="16"/>
          <w:szCs w:val="16"/>
        </w:rPr>
        <w:t xml:space="preserve"> </w:t>
      </w:r>
      <w:proofErr w:type="gramStart"/>
      <w:r w:rsidRPr="001D0780">
        <w:rPr>
          <w:rFonts w:asciiTheme="majorHAnsi" w:hAnsiTheme="majorHAnsi"/>
          <w:sz w:val="16"/>
          <w:szCs w:val="16"/>
        </w:rPr>
        <w:t>Merits, Reparations and Costs.</w:t>
      </w:r>
      <w:proofErr w:type="gramEnd"/>
      <w:r w:rsidRPr="001D0780">
        <w:rPr>
          <w:rFonts w:asciiTheme="majorHAnsi" w:hAnsiTheme="majorHAnsi"/>
          <w:sz w:val="16"/>
          <w:szCs w:val="16"/>
        </w:rPr>
        <w:t xml:space="preserve"> Judgment of October</w:t>
      </w:r>
      <w:r>
        <w:rPr>
          <w:rFonts w:asciiTheme="majorHAnsi" w:hAnsiTheme="majorHAnsi"/>
          <w:sz w:val="16"/>
          <w:szCs w:val="16"/>
        </w:rPr>
        <w:t xml:space="preserve"> </w:t>
      </w:r>
      <w:r w:rsidRPr="001D0780">
        <w:rPr>
          <w:rFonts w:asciiTheme="majorHAnsi" w:hAnsiTheme="majorHAnsi"/>
          <w:sz w:val="16"/>
          <w:szCs w:val="16"/>
        </w:rPr>
        <w:t>24</w:t>
      </w:r>
      <w:r>
        <w:rPr>
          <w:rFonts w:asciiTheme="majorHAnsi" w:hAnsiTheme="majorHAnsi"/>
          <w:sz w:val="16"/>
          <w:szCs w:val="16"/>
        </w:rPr>
        <w:t xml:space="preserve">, </w:t>
      </w:r>
      <w:r w:rsidRPr="001D0780">
        <w:rPr>
          <w:rFonts w:asciiTheme="majorHAnsi" w:hAnsiTheme="majorHAnsi"/>
          <w:sz w:val="16"/>
          <w:szCs w:val="16"/>
        </w:rPr>
        <w:t xml:space="preserve">2012. </w:t>
      </w:r>
      <w:r w:rsidRPr="00472D13">
        <w:rPr>
          <w:rFonts w:asciiTheme="majorHAnsi" w:hAnsiTheme="majorHAnsi"/>
          <w:sz w:val="16"/>
          <w:szCs w:val="16"/>
        </w:rPr>
        <w:t>Series C No. 251, par</w:t>
      </w:r>
      <w:r>
        <w:rPr>
          <w:rFonts w:asciiTheme="majorHAnsi" w:hAnsiTheme="majorHAnsi"/>
          <w:sz w:val="16"/>
          <w:szCs w:val="16"/>
        </w:rPr>
        <w:t>a</w:t>
      </w:r>
      <w:r w:rsidRPr="00472D13">
        <w:rPr>
          <w:rFonts w:asciiTheme="majorHAnsi" w:hAnsiTheme="majorHAnsi"/>
          <w:sz w:val="16"/>
          <w:szCs w:val="16"/>
        </w:rPr>
        <w:t xml:space="preserve">. </w:t>
      </w:r>
      <w:r w:rsidRPr="00630E61">
        <w:rPr>
          <w:rFonts w:asciiTheme="majorHAnsi" w:hAnsiTheme="majorHAnsi"/>
          <w:sz w:val="16"/>
          <w:szCs w:val="16"/>
        </w:rPr>
        <w:t>85.</w:t>
      </w:r>
    </w:p>
  </w:footnote>
  <w:footnote w:id="55">
    <w:p w:rsidR="000E7166" w:rsidRPr="00630E61"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630E61">
        <w:rPr>
          <w:rFonts w:asciiTheme="majorHAnsi" w:hAnsiTheme="majorHAnsi"/>
          <w:sz w:val="16"/>
          <w:szCs w:val="16"/>
        </w:rPr>
        <w:t xml:space="preserve"> </w:t>
      </w:r>
      <w:proofErr w:type="gramStart"/>
      <w:r w:rsidRPr="00FA1DD1">
        <w:rPr>
          <w:rFonts w:asciiTheme="majorHAnsi" w:hAnsiTheme="majorHAnsi"/>
          <w:sz w:val="16"/>
          <w:szCs w:val="16"/>
        </w:rPr>
        <w:t xml:space="preserve">I/A Court H.R. Case of </w:t>
      </w:r>
      <w:proofErr w:type="spellStart"/>
      <w:r w:rsidRPr="001D0780">
        <w:rPr>
          <w:rFonts w:asciiTheme="majorHAnsi" w:hAnsiTheme="majorHAnsi"/>
          <w:sz w:val="16"/>
          <w:szCs w:val="16"/>
        </w:rPr>
        <w:t>Nadege</w:t>
      </w:r>
      <w:proofErr w:type="spellEnd"/>
      <w:r w:rsidRPr="001D0780">
        <w:rPr>
          <w:rFonts w:asciiTheme="majorHAnsi" w:hAnsiTheme="majorHAnsi"/>
          <w:sz w:val="16"/>
          <w:szCs w:val="16"/>
        </w:rPr>
        <w:t xml:space="preserve"> </w:t>
      </w:r>
      <w:proofErr w:type="spellStart"/>
      <w:r w:rsidRPr="001D0780">
        <w:rPr>
          <w:rFonts w:asciiTheme="majorHAnsi" w:hAnsiTheme="majorHAnsi"/>
          <w:sz w:val="16"/>
          <w:szCs w:val="16"/>
        </w:rPr>
        <w:t>Dorzema</w:t>
      </w:r>
      <w:proofErr w:type="spellEnd"/>
      <w:r w:rsidRPr="001D0780">
        <w:rPr>
          <w:rFonts w:asciiTheme="majorHAnsi" w:hAnsiTheme="majorHAnsi"/>
          <w:sz w:val="16"/>
          <w:szCs w:val="16"/>
        </w:rPr>
        <w:t xml:space="preserve"> </w:t>
      </w:r>
      <w:r>
        <w:rPr>
          <w:rFonts w:asciiTheme="majorHAnsi" w:hAnsiTheme="majorHAnsi"/>
          <w:sz w:val="16"/>
          <w:szCs w:val="16"/>
        </w:rPr>
        <w:t>et al.</w:t>
      </w:r>
      <w:r w:rsidRPr="001D0780">
        <w:rPr>
          <w:rFonts w:asciiTheme="majorHAnsi" w:hAnsiTheme="majorHAnsi"/>
          <w:sz w:val="16"/>
          <w:szCs w:val="16"/>
        </w:rPr>
        <w:t xml:space="preserve"> </w:t>
      </w:r>
      <w:r>
        <w:rPr>
          <w:rFonts w:asciiTheme="majorHAnsi" w:hAnsiTheme="majorHAnsi"/>
          <w:sz w:val="16"/>
          <w:szCs w:val="16"/>
        </w:rPr>
        <w:t>v</w:t>
      </w:r>
      <w:r w:rsidRPr="001D0780">
        <w:rPr>
          <w:rFonts w:asciiTheme="majorHAnsi" w:hAnsiTheme="majorHAnsi"/>
          <w:sz w:val="16"/>
          <w:szCs w:val="16"/>
        </w:rPr>
        <w:t>. Dominican Republic.</w:t>
      </w:r>
      <w:proofErr w:type="gramEnd"/>
      <w:r w:rsidRPr="001D0780">
        <w:rPr>
          <w:rFonts w:asciiTheme="majorHAnsi" w:hAnsiTheme="majorHAnsi"/>
          <w:sz w:val="16"/>
          <w:szCs w:val="16"/>
        </w:rPr>
        <w:t xml:space="preserve"> </w:t>
      </w:r>
      <w:proofErr w:type="gramStart"/>
      <w:r w:rsidRPr="001D0780">
        <w:rPr>
          <w:rFonts w:asciiTheme="majorHAnsi" w:hAnsiTheme="majorHAnsi"/>
          <w:sz w:val="16"/>
          <w:szCs w:val="16"/>
        </w:rPr>
        <w:t>Merits, Reparations and Costs.</w:t>
      </w:r>
      <w:proofErr w:type="gramEnd"/>
      <w:r w:rsidRPr="001D0780">
        <w:rPr>
          <w:rFonts w:asciiTheme="majorHAnsi" w:hAnsiTheme="majorHAnsi"/>
          <w:sz w:val="16"/>
          <w:szCs w:val="16"/>
        </w:rPr>
        <w:t xml:space="preserve"> Judgment of October</w:t>
      </w:r>
      <w:r>
        <w:rPr>
          <w:rFonts w:asciiTheme="majorHAnsi" w:hAnsiTheme="majorHAnsi"/>
          <w:sz w:val="16"/>
          <w:szCs w:val="16"/>
        </w:rPr>
        <w:t xml:space="preserve"> </w:t>
      </w:r>
      <w:r w:rsidRPr="001D0780">
        <w:rPr>
          <w:rFonts w:asciiTheme="majorHAnsi" w:hAnsiTheme="majorHAnsi"/>
          <w:sz w:val="16"/>
          <w:szCs w:val="16"/>
        </w:rPr>
        <w:t>24</w:t>
      </w:r>
      <w:r>
        <w:rPr>
          <w:rFonts w:asciiTheme="majorHAnsi" w:hAnsiTheme="majorHAnsi"/>
          <w:sz w:val="16"/>
          <w:szCs w:val="16"/>
        </w:rPr>
        <w:t xml:space="preserve">, </w:t>
      </w:r>
      <w:r w:rsidRPr="001D0780">
        <w:rPr>
          <w:rFonts w:asciiTheme="majorHAnsi" w:hAnsiTheme="majorHAnsi"/>
          <w:sz w:val="16"/>
          <w:szCs w:val="16"/>
        </w:rPr>
        <w:t xml:space="preserve">2012. </w:t>
      </w:r>
      <w:r w:rsidRPr="00630E61">
        <w:rPr>
          <w:rFonts w:asciiTheme="majorHAnsi" w:hAnsiTheme="majorHAnsi"/>
          <w:sz w:val="16"/>
          <w:szCs w:val="16"/>
        </w:rPr>
        <w:t>Series C No. 251, par</w:t>
      </w:r>
      <w:r>
        <w:rPr>
          <w:rFonts w:asciiTheme="majorHAnsi" w:hAnsiTheme="majorHAnsi"/>
          <w:sz w:val="16"/>
          <w:szCs w:val="16"/>
        </w:rPr>
        <w:t>a</w:t>
      </w:r>
      <w:r w:rsidRPr="00630E61">
        <w:rPr>
          <w:rFonts w:asciiTheme="majorHAnsi" w:hAnsiTheme="majorHAnsi"/>
          <w:sz w:val="16"/>
          <w:szCs w:val="16"/>
        </w:rPr>
        <w:t>. 88.</w:t>
      </w:r>
    </w:p>
  </w:footnote>
  <w:footnote w:id="56">
    <w:p w:rsidR="000E7166" w:rsidRPr="00E80090"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C11018">
        <w:rPr>
          <w:rFonts w:asciiTheme="majorHAnsi" w:hAnsiTheme="majorHAnsi"/>
          <w:sz w:val="16"/>
          <w:szCs w:val="16"/>
        </w:rPr>
        <w:t xml:space="preserve"> </w:t>
      </w:r>
      <w:proofErr w:type="gramStart"/>
      <w:r w:rsidRPr="00FA1DD1">
        <w:rPr>
          <w:rFonts w:asciiTheme="majorHAnsi" w:hAnsiTheme="majorHAnsi"/>
          <w:sz w:val="16"/>
          <w:szCs w:val="16"/>
        </w:rPr>
        <w:t xml:space="preserve">I/A Court H.R. Case of </w:t>
      </w:r>
      <w:proofErr w:type="spellStart"/>
      <w:r w:rsidRPr="001D0780">
        <w:rPr>
          <w:rFonts w:asciiTheme="majorHAnsi" w:hAnsiTheme="majorHAnsi"/>
          <w:sz w:val="16"/>
          <w:szCs w:val="16"/>
        </w:rPr>
        <w:t>Nadege</w:t>
      </w:r>
      <w:proofErr w:type="spellEnd"/>
      <w:r w:rsidRPr="001D0780">
        <w:rPr>
          <w:rFonts w:asciiTheme="majorHAnsi" w:hAnsiTheme="majorHAnsi"/>
          <w:sz w:val="16"/>
          <w:szCs w:val="16"/>
        </w:rPr>
        <w:t xml:space="preserve"> </w:t>
      </w:r>
      <w:proofErr w:type="spellStart"/>
      <w:r w:rsidRPr="001D0780">
        <w:rPr>
          <w:rFonts w:asciiTheme="majorHAnsi" w:hAnsiTheme="majorHAnsi"/>
          <w:sz w:val="16"/>
          <w:szCs w:val="16"/>
        </w:rPr>
        <w:t>Dorzema</w:t>
      </w:r>
      <w:proofErr w:type="spellEnd"/>
      <w:r w:rsidRPr="001D0780">
        <w:rPr>
          <w:rFonts w:asciiTheme="majorHAnsi" w:hAnsiTheme="majorHAnsi"/>
          <w:sz w:val="16"/>
          <w:szCs w:val="16"/>
        </w:rPr>
        <w:t xml:space="preserve"> </w:t>
      </w:r>
      <w:r>
        <w:rPr>
          <w:rFonts w:asciiTheme="majorHAnsi" w:hAnsiTheme="majorHAnsi"/>
          <w:sz w:val="16"/>
          <w:szCs w:val="16"/>
        </w:rPr>
        <w:t>et al.</w:t>
      </w:r>
      <w:r w:rsidRPr="001D0780">
        <w:rPr>
          <w:rFonts w:asciiTheme="majorHAnsi" w:hAnsiTheme="majorHAnsi"/>
          <w:sz w:val="16"/>
          <w:szCs w:val="16"/>
        </w:rPr>
        <w:t xml:space="preserve"> </w:t>
      </w:r>
      <w:r>
        <w:rPr>
          <w:rFonts w:asciiTheme="majorHAnsi" w:hAnsiTheme="majorHAnsi"/>
          <w:sz w:val="16"/>
          <w:szCs w:val="16"/>
        </w:rPr>
        <w:t>v</w:t>
      </w:r>
      <w:r w:rsidRPr="001D0780">
        <w:rPr>
          <w:rFonts w:asciiTheme="majorHAnsi" w:hAnsiTheme="majorHAnsi"/>
          <w:sz w:val="16"/>
          <w:szCs w:val="16"/>
        </w:rPr>
        <w:t>. Dominican Republic.</w:t>
      </w:r>
      <w:proofErr w:type="gramEnd"/>
      <w:r w:rsidRPr="001D0780">
        <w:rPr>
          <w:rFonts w:asciiTheme="majorHAnsi" w:hAnsiTheme="majorHAnsi"/>
          <w:sz w:val="16"/>
          <w:szCs w:val="16"/>
        </w:rPr>
        <w:t xml:space="preserve"> </w:t>
      </w:r>
      <w:proofErr w:type="gramStart"/>
      <w:r w:rsidRPr="001D0780">
        <w:rPr>
          <w:rFonts w:asciiTheme="majorHAnsi" w:hAnsiTheme="majorHAnsi"/>
          <w:sz w:val="16"/>
          <w:szCs w:val="16"/>
        </w:rPr>
        <w:t>Merits, Reparations and Costs.</w:t>
      </w:r>
      <w:proofErr w:type="gramEnd"/>
      <w:r w:rsidRPr="001D0780">
        <w:rPr>
          <w:rFonts w:asciiTheme="majorHAnsi" w:hAnsiTheme="majorHAnsi"/>
          <w:sz w:val="16"/>
          <w:szCs w:val="16"/>
        </w:rPr>
        <w:t xml:space="preserve"> Judgment of October</w:t>
      </w:r>
      <w:r>
        <w:rPr>
          <w:rFonts w:asciiTheme="majorHAnsi" w:hAnsiTheme="majorHAnsi"/>
          <w:sz w:val="16"/>
          <w:szCs w:val="16"/>
        </w:rPr>
        <w:t xml:space="preserve"> </w:t>
      </w:r>
      <w:r w:rsidRPr="001D0780">
        <w:rPr>
          <w:rFonts w:asciiTheme="majorHAnsi" w:hAnsiTheme="majorHAnsi"/>
          <w:sz w:val="16"/>
          <w:szCs w:val="16"/>
        </w:rPr>
        <w:t>24</w:t>
      </w:r>
      <w:r>
        <w:rPr>
          <w:rFonts w:asciiTheme="majorHAnsi" w:hAnsiTheme="majorHAnsi"/>
          <w:sz w:val="16"/>
          <w:szCs w:val="16"/>
        </w:rPr>
        <w:t xml:space="preserve">, </w:t>
      </w:r>
      <w:r w:rsidRPr="001D0780">
        <w:rPr>
          <w:rFonts w:asciiTheme="majorHAnsi" w:hAnsiTheme="majorHAnsi"/>
          <w:sz w:val="16"/>
          <w:szCs w:val="16"/>
        </w:rPr>
        <w:t xml:space="preserve">2012. </w:t>
      </w:r>
      <w:r w:rsidRPr="00C11018">
        <w:rPr>
          <w:rFonts w:asciiTheme="majorHAnsi" w:hAnsiTheme="majorHAnsi"/>
          <w:sz w:val="16"/>
          <w:szCs w:val="16"/>
        </w:rPr>
        <w:t>Series C No. 251, par</w:t>
      </w:r>
      <w:r>
        <w:rPr>
          <w:rFonts w:asciiTheme="majorHAnsi" w:hAnsiTheme="majorHAnsi"/>
          <w:sz w:val="16"/>
          <w:szCs w:val="16"/>
        </w:rPr>
        <w:t>as</w:t>
      </w:r>
      <w:r w:rsidRPr="00C11018">
        <w:rPr>
          <w:rFonts w:asciiTheme="majorHAnsi" w:hAnsiTheme="majorHAnsi"/>
          <w:sz w:val="16"/>
          <w:szCs w:val="16"/>
        </w:rPr>
        <w:t>.</w:t>
      </w:r>
      <w:r>
        <w:rPr>
          <w:rFonts w:asciiTheme="majorHAnsi" w:hAnsiTheme="majorHAnsi"/>
          <w:sz w:val="16"/>
          <w:szCs w:val="16"/>
        </w:rPr>
        <w:t xml:space="preserve"> </w:t>
      </w:r>
      <w:r w:rsidRPr="00E80090">
        <w:rPr>
          <w:rFonts w:asciiTheme="majorHAnsi" w:hAnsiTheme="majorHAnsi"/>
          <w:sz w:val="16"/>
          <w:szCs w:val="16"/>
        </w:rPr>
        <w:t>85-91.</w:t>
      </w:r>
    </w:p>
  </w:footnote>
  <w:footnote w:id="57">
    <w:p w:rsidR="000E7166" w:rsidRPr="00E80090" w:rsidRDefault="000E7166" w:rsidP="0043505F">
      <w:pPr>
        <w:pStyle w:val="FootnoteText"/>
        <w:tabs>
          <w:tab w:val="left" w:pos="720"/>
          <w:tab w:val="left" w:pos="900"/>
          <w:tab w:val="left" w:pos="1080"/>
        </w:tabs>
        <w:jc w:val="both"/>
        <w:rPr>
          <w:rFonts w:asciiTheme="majorHAnsi" w:hAnsiTheme="majorHAnsi"/>
          <w:sz w:val="16"/>
          <w:szCs w:val="16"/>
        </w:rPr>
      </w:pPr>
      <w:r w:rsidRPr="00A01230">
        <w:rPr>
          <w:rStyle w:val="FootnoteReference"/>
          <w:rFonts w:asciiTheme="majorHAnsi" w:hAnsiTheme="majorHAnsi"/>
          <w:sz w:val="16"/>
          <w:szCs w:val="16"/>
          <w:lang w:val="es-ES"/>
        </w:rPr>
        <w:footnoteRef/>
      </w:r>
      <w:r w:rsidRPr="00E80090">
        <w:rPr>
          <w:rFonts w:asciiTheme="majorHAnsi" w:hAnsiTheme="majorHAnsi"/>
          <w:sz w:val="16"/>
          <w:szCs w:val="16"/>
        </w:rPr>
        <w:t xml:space="preserve"> </w:t>
      </w:r>
      <w:proofErr w:type="gramStart"/>
      <w:r w:rsidRPr="00E80090">
        <w:rPr>
          <w:rFonts w:asciiTheme="majorHAnsi" w:hAnsiTheme="majorHAnsi"/>
          <w:sz w:val="16"/>
          <w:szCs w:val="16"/>
        </w:rPr>
        <w:t>IACHR</w:t>
      </w:r>
      <w:r w:rsidR="00CB1D02">
        <w:rPr>
          <w:rFonts w:asciiTheme="majorHAnsi" w:hAnsiTheme="majorHAnsi"/>
          <w:sz w:val="16"/>
          <w:szCs w:val="16"/>
        </w:rPr>
        <w:t>.</w:t>
      </w:r>
      <w:proofErr w:type="gramEnd"/>
      <w:r w:rsidRPr="00E80090">
        <w:rPr>
          <w:rFonts w:asciiTheme="majorHAnsi" w:hAnsiTheme="majorHAnsi"/>
          <w:sz w:val="16"/>
          <w:szCs w:val="16"/>
        </w:rPr>
        <w:t xml:space="preserve"> </w:t>
      </w:r>
      <w:proofErr w:type="gramStart"/>
      <w:r w:rsidRPr="00E80090">
        <w:rPr>
          <w:rFonts w:asciiTheme="majorHAnsi" w:hAnsiTheme="majorHAnsi"/>
          <w:sz w:val="16"/>
          <w:szCs w:val="16"/>
        </w:rPr>
        <w:t>Case 12.270, Report No. 2/15, Merits, Johan Alexis Ortiz Hernández, Venezuela, January 29, 2015, para.</w:t>
      </w:r>
      <w:proofErr w:type="gramEnd"/>
      <w:r w:rsidRPr="00E80090">
        <w:rPr>
          <w:rFonts w:asciiTheme="majorHAnsi" w:hAnsiTheme="majorHAnsi"/>
          <w:sz w:val="16"/>
          <w:szCs w:val="16"/>
        </w:rPr>
        <w:t xml:space="preserve"> 185.</w:t>
      </w:r>
    </w:p>
  </w:footnote>
  <w:footnote w:id="58">
    <w:p w:rsidR="000E7166" w:rsidRPr="00E8055D" w:rsidRDefault="000E7166" w:rsidP="0043505F">
      <w:pPr>
        <w:pStyle w:val="FootnoteText"/>
        <w:tabs>
          <w:tab w:val="left" w:pos="720"/>
          <w:tab w:val="left" w:pos="900"/>
          <w:tab w:val="left" w:pos="1080"/>
        </w:tabs>
        <w:jc w:val="both"/>
        <w:rPr>
          <w:rFonts w:asciiTheme="majorHAnsi" w:hAnsiTheme="majorHAnsi"/>
          <w:sz w:val="16"/>
          <w:szCs w:val="16"/>
        </w:rPr>
      </w:pPr>
      <w:r w:rsidRPr="00A01230">
        <w:rPr>
          <w:rStyle w:val="FootnoteReference"/>
          <w:rFonts w:asciiTheme="majorHAnsi" w:hAnsiTheme="majorHAnsi"/>
          <w:sz w:val="16"/>
          <w:szCs w:val="16"/>
        </w:rPr>
        <w:footnoteRef/>
      </w:r>
      <w:r w:rsidRPr="00E80090">
        <w:rPr>
          <w:rFonts w:asciiTheme="majorHAnsi" w:hAnsiTheme="majorHAnsi"/>
          <w:sz w:val="16"/>
          <w:szCs w:val="16"/>
        </w:rPr>
        <w:t xml:space="preserve"> </w:t>
      </w:r>
      <w:proofErr w:type="gramStart"/>
      <w:r w:rsidRPr="00E80090">
        <w:rPr>
          <w:rFonts w:asciiTheme="majorHAnsi" w:hAnsiTheme="majorHAnsi"/>
          <w:sz w:val="16"/>
          <w:szCs w:val="16"/>
        </w:rPr>
        <w:t>IACHR</w:t>
      </w:r>
      <w:r w:rsidR="00CB1D02">
        <w:rPr>
          <w:rFonts w:asciiTheme="majorHAnsi" w:hAnsiTheme="majorHAnsi"/>
          <w:sz w:val="16"/>
          <w:szCs w:val="16"/>
        </w:rPr>
        <w:t>.</w:t>
      </w:r>
      <w:proofErr w:type="gramEnd"/>
      <w:r w:rsidR="00105242">
        <w:rPr>
          <w:rFonts w:asciiTheme="majorHAnsi" w:hAnsiTheme="majorHAnsi"/>
          <w:sz w:val="16"/>
          <w:szCs w:val="16"/>
        </w:rPr>
        <w:t xml:space="preserve"> </w:t>
      </w:r>
      <w:proofErr w:type="gramStart"/>
      <w:r w:rsidRPr="00E80090">
        <w:rPr>
          <w:rFonts w:asciiTheme="majorHAnsi" w:hAnsiTheme="majorHAnsi"/>
          <w:sz w:val="16"/>
          <w:szCs w:val="16"/>
        </w:rPr>
        <w:t>Case 12.270, Report No. 2/15, Merits, Johan Alexis Ortiz Hernández, Venezuela, January 29, 2015, para.</w:t>
      </w:r>
      <w:proofErr w:type="gramEnd"/>
      <w:r w:rsidRPr="00E80090">
        <w:rPr>
          <w:rFonts w:asciiTheme="majorHAnsi" w:hAnsiTheme="majorHAnsi"/>
          <w:sz w:val="16"/>
          <w:szCs w:val="16"/>
        </w:rPr>
        <w:t xml:space="preserve"> </w:t>
      </w:r>
      <w:proofErr w:type="gramStart"/>
      <w:r w:rsidRPr="001D0780">
        <w:rPr>
          <w:rFonts w:asciiTheme="majorHAnsi" w:hAnsiTheme="majorHAnsi"/>
          <w:sz w:val="16"/>
          <w:szCs w:val="16"/>
        </w:rPr>
        <w:t>186</w:t>
      </w:r>
      <w:r>
        <w:rPr>
          <w:rFonts w:asciiTheme="majorHAnsi" w:hAnsiTheme="majorHAnsi"/>
          <w:sz w:val="16"/>
          <w:szCs w:val="16"/>
        </w:rPr>
        <w:t>;</w:t>
      </w:r>
      <w:r w:rsidRPr="001D0780">
        <w:rPr>
          <w:rFonts w:asciiTheme="majorHAnsi" w:hAnsiTheme="majorHAnsi"/>
          <w:sz w:val="16"/>
          <w:szCs w:val="16"/>
        </w:rPr>
        <w:t xml:space="preserve"> I/A Court H.R. Case of </w:t>
      </w:r>
      <w:r w:rsidRPr="001D0780">
        <w:rPr>
          <w:rFonts w:asciiTheme="majorHAnsi" w:hAnsiTheme="majorHAnsi"/>
          <w:bCs/>
          <w:sz w:val="16"/>
          <w:szCs w:val="16"/>
        </w:rPr>
        <w:t xml:space="preserve">Zambrano </w:t>
      </w:r>
      <w:proofErr w:type="spellStart"/>
      <w:r w:rsidRPr="001D0780">
        <w:rPr>
          <w:rFonts w:asciiTheme="majorHAnsi" w:hAnsiTheme="majorHAnsi"/>
          <w:bCs/>
          <w:sz w:val="16"/>
          <w:szCs w:val="16"/>
        </w:rPr>
        <w:t>Vélez</w:t>
      </w:r>
      <w:proofErr w:type="spellEnd"/>
      <w:r w:rsidRPr="001D0780">
        <w:rPr>
          <w:rFonts w:asciiTheme="majorHAnsi" w:hAnsiTheme="majorHAnsi"/>
          <w:bCs/>
          <w:sz w:val="16"/>
          <w:szCs w:val="16"/>
        </w:rPr>
        <w:t xml:space="preserve"> et al. v. Ecuador.</w:t>
      </w:r>
      <w:proofErr w:type="gramEnd"/>
      <w:r w:rsidRPr="001D0780">
        <w:rPr>
          <w:rFonts w:asciiTheme="majorHAnsi" w:hAnsiTheme="majorHAnsi"/>
          <w:bCs/>
          <w:sz w:val="16"/>
          <w:szCs w:val="16"/>
        </w:rPr>
        <w:t xml:space="preserve"> </w:t>
      </w:r>
      <w:proofErr w:type="gramStart"/>
      <w:r w:rsidRPr="001D0780">
        <w:rPr>
          <w:rFonts w:asciiTheme="majorHAnsi" w:hAnsiTheme="majorHAnsi"/>
          <w:sz w:val="16"/>
          <w:szCs w:val="16"/>
        </w:rPr>
        <w:t>Merits, Reparations and Costs.</w:t>
      </w:r>
      <w:proofErr w:type="gramEnd"/>
      <w:r w:rsidRPr="001D0780">
        <w:rPr>
          <w:rFonts w:asciiTheme="majorHAnsi" w:hAnsiTheme="majorHAnsi"/>
          <w:sz w:val="16"/>
          <w:szCs w:val="16"/>
        </w:rPr>
        <w:t xml:space="preserve"> </w:t>
      </w:r>
      <w:r w:rsidRPr="00E8055D">
        <w:rPr>
          <w:rFonts w:asciiTheme="majorHAnsi" w:hAnsiTheme="majorHAnsi"/>
          <w:sz w:val="16"/>
          <w:szCs w:val="16"/>
        </w:rPr>
        <w:t xml:space="preserve">Judgment of July 4, 2007. Series C No. 166, para. 80. </w:t>
      </w:r>
    </w:p>
  </w:footnote>
  <w:footnote w:id="59">
    <w:p w:rsidR="000E7166" w:rsidRPr="00E8055D"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lang w:val="es-ES"/>
        </w:rPr>
        <w:footnoteRef/>
      </w:r>
      <w:r w:rsidRPr="00E8055D">
        <w:rPr>
          <w:rFonts w:asciiTheme="majorHAnsi" w:hAnsiTheme="majorHAnsi"/>
          <w:sz w:val="16"/>
          <w:szCs w:val="16"/>
        </w:rPr>
        <w:t xml:space="preserve"> </w:t>
      </w:r>
      <w:proofErr w:type="gramStart"/>
      <w:r w:rsidRPr="00E8055D">
        <w:rPr>
          <w:rFonts w:asciiTheme="majorHAnsi" w:hAnsiTheme="majorHAnsi"/>
          <w:sz w:val="16"/>
          <w:szCs w:val="16"/>
        </w:rPr>
        <w:t>IACHR</w:t>
      </w:r>
      <w:r w:rsidR="00105242">
        <w:rPr>
          <w:rFonts w:asciiTheme="majorHAnsi" w:hAnsiTheme="majorHAnsi"/>
          <w:sz w:val="16"/>
          <w:szCs w:val="16"/>
        </w:rPr>
        <w:t>.</w:t>
      </w:r>
      <w:proofErr w:type="gramEnd"/>
      <w:r w:rsidRPr="00E8055D">
        <w:rPr>
          <w:rFonts w:asciiTheme="majorHAnsi" w:hAnsiTheme="majorHAnsi"/>
          <w:sz w:val="16"/>
          <w:szCs w:val="16"/>
        </w:rPr>
        <w:t xml:space="preserve"> Report No. 25/02, Case 11.763, Plan de Sánchez Massacre, Guatemala, February 28, 2002, para. 114. </w:t>
      </w:r>
    </w:p>
  </w:footnote>
  <w:footnote w:id="60">
    <w:p w:rsidR="000E7166" w:rsidRPr="001D0780"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857375">
        <w:rPr>
          <w:rFonts w:asciiTheme="majorHAnsi" w:hAnsiTheme="majorHAnsi"/>
          <w:sz w:val="16"/>
          <w:szCs w:val="16"/>
        </w:rPr>
        <w:t xml:space="preserve"> </w:t>
      </w:r>
      <w:proofErr w:type="gramStart"/>
      <w:r w:rsidRPr="00FA1DD1">
        <w:rPr>
          <w:rFonts w:asciiTheme="majorHAnsi" w:hAnsiTheme="majorHAnsi"/>
          <w:sz w:val="16"/>
          <w:szCs w:val="16"/>
        </w:rPr>
        <w:t xml:space="preserve">I/A Court H.R. Case of </w:t>
      </w:r>
      <w:proofErr w:type="spellStart"/>
      <w:r w:rsidRPr="00857375">
        <w:rPr>
          <w:rFonts w:asciiTheme="majorHAnsi" w:hAnsiTheme="majorHAnsi"/>
          <w:sz w:val="16"/>
          <w:szCs w:val="16"/>
        </w:rPr>
        <w:t>Cantoral</w:t>
      </w:r>
      <w:proofErr w:type="spellEnd"/>
      <w:r w:rsidRPr="00857375">
        <w:rPr>
          <w:rFonts w:asciiTheme="majorHAnsi" w:hAnsiTheme="majorHAnsi"/>
          <w:sz w:val="16"/>
          <w:szCs w:val="16"/>
        </w:rPr>
        <w:t xml:space="preserve"> </w:t>
      </w:r>
      <w:proofErr w:type="spellStart"/>
      <w:r w:rsidRPr="00857375">
        <w:rPr>
          <w:rFonts w:asciiTheme="majorHAnsi" w:hAnsiTheme="majorHAnsi"/>
          <w:sz w:val="16"/>
          <w:szCs w:val="16"/>
        </w:rPr>
        <w:t>Huamaní</w:t>
      </w:r>
      <w:proofErr w:type="spellEnd"/>
      <w:r w:rsidRPr="00857375">
        <w:rPr>
          <w:rFonts w:asciiTheme="majorHAnsi" w:hAnsiTheme="majorHAnsi"/>
          <w:sz w:val="16"/>
          <w:szCs w:val="16"/>
        </w:rPr>
        <w:t xml:space="preserve"> and García</w:t>
      </w:r>
      <w:r>
        <w:rPr>
          <w:rFonts w:asciiTheme="majorHAnsi" w:hAnsiTheme="majorHAnsi"/>
          <w:sz w:val="16"/>
          <w:szCs w:val="16"/>
        </w:rPr>
        <w:t>-</w:t>
      </w:r>
      <w:r w:rsidRPr="00857375">
        <w:rPr>
          <w:rFonts w:asciiTheme="majorHAnsi" w:hAnsiTheme="majorHAnsi"/>
          <w:sz w:val="16"/>
          <w:szCs w:val="16"/>
        </w:rPr>
        <w:t>Santa Cruz</w:t>
      </w:r>
      <w:r>
        <w:rPr>
          <w:rFonts w:asciiTheme="majorHAnsi" w:hAnsiTheme="majorHAnsi"/>
          <w:sz w:val="16"/>
          <w:szCs w:val="16"/>
        </w:rPr>
        <w:t xml:space="preserve"> v. Peru</w:t>
      </w:r>
      <w:r w:rsidRPr="00857375">
        <w:rPr>
          <w:rFonts w:asciiTheme="majorHAnsi" w:hAnsiTheme="majorHAnsi"/>
          <w:sz w:val="16"/>
          <w:szCs w:val="16"/>
        </w:rPr>
        <w:t>.</w:t>
      </w:r>
      <w:proofErr w:type="gramEnd"/>
      <w:r w:rsidRPr="00857375">
        <w:rPr>
          <w:rFonts w:asciiTheme="majorHAnsi" w:hAnsiTheme="majorHAnsi"/>
          <w:sz w:val="16"/>
          <w:szCs w:val="16"/>
        </w:rPr>
        <w:t xml:space="preserve"> </w:t>
      </w:r>
      <w:proofErr w:type="gramStart"/>
      <w:r w:rsidRPr="00A2051C">
        <w:rPr>
          <w:rFonts w:asciiTheme="majorHAnsi" w:hAnsiTheme="majorHAnsi"/>
          <w:sz w:val="16"/>
          <w:szCs w:val="16"/>
        </w:rPr>
        <w:t>Preliminary Objection, Merits, Reparations and Costs.</w:t>
      </w:r>
      <w:proofErr w:type="gramEnd"/>
      <w:r w:rsidRPr="00A2051C">
        <w:rPr>
          <w:rFonts w:asciiTheme="majorHAnsi" w:hAnsiTheme="majorHAnsi"/>
          <w:sz w:val="16"/>
          <w:szCs w:val="16"/>
        </w:rPr>
        <w:t xml:space="preserve"> Judgment of July</w:t>
      </w:r>
      <w:r>
        <w:rPr>
          <w:rFonts w:asciiTheme="majorHAnsi" w:hAnsiTheme="majorHAnsi"/>
          <w:sz w:val="16"/>
          <w:szCs w:val="16"/>
        </w:rPr>
        <w:t xml:space="preserve"> </w:t>
      </w:r>
      <w:r w:rsidRPr="00A2051C">
        <w:rPr>
          <w:rFonts w:asciiTheme="majorHAnsi" w:hAnsiTheme="majorHAnsi"/>
          <w:sz w:val="16"/>
          <w:szCs w:val="16"/>
        </w:rPr>
        <w:t>10</w:t>
      </w:r>
      <w:r>
        <w:rPr>
          <w:rFonts w:asciiTheme="majorHAnsi" w:hAnsiTheme="majorHAnsi"/>
          <w:sz w:val="16"/>
          <w:szCs w:val="16"/>
        </w:rPr>
        <w:t>,</w:t>
      </w:r>
      <w:r w:rsidRPr="00A2051C">
        <w:rPr>
          <w:rFonts w:asciiTheme="majorHAnsi" w:hAnsiTheme="majorHAnsi"/>
          <w:sz w:val="16"/>
          <w:szCs w:val="16"/>
        </w:rPr>
        <w:t xml:space="preserve"> 2007. </w:t>
      </w:r>
      <w:r w:rsidRPr="001D0780">
        <w:rPr>
          <w:rFonts w:asciiTheme="majorHAnsi" w:hAnsiTheme="majorHAnsi"/>
          <w:bCs/>
          <w:sz w:val="16"/>
          <w:szCs w:val="16"/>
        </w:rPr>
        <w:t>Series C No. 167</w:t>
      </w:r>
      <w:r>
        <w:rPr>
          <w:rFonts w:asciiTheme="majorHAnsi" w:hAnsiTheme="majorHAnsi"/>
          <w:bCs/>
          <w:sz w:val="16"/>
          <w:szCs w:val="16"/>
        </w:rPr>
        <w:t>, para</w:t>
      </w:r>
      <w:r w:rsidRPr="001D0780">
        <w:rPr>
          <w:rFonts w:asciiTheme="majorHAnsi" w:hAnsiTheme="majorHAnsi"/>
          <w:sz w:val="16"/>
          <w:szCs w:val="16"/>
        </w:rPr>
        <w:t xml:space="preserve">. 99. </w:t>
      </w:r>
    </w:p>
  </w:footnote>
  <w:footnote w:id="61">
    <w:p w:rsidR="000E7166" w:rsidRPr="00E80090"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1D0780">
        <w:rPr>
          <w:rFonts w:asciiTheme="majorHAnsi" w:hAnsiTheme="majorHAnsi"/>
          <w:sz w:val="16"/>
          <w:szCs w:val="16"/>
        </w:rPr>
        <w:t xml:space="preserve"> </w:t>
      </w:r>
      <w:proofErr w:type="gramStart"/>
      <w:r w:rsidRPr="00FA1DD1">
        <w:rPr>
          <w:rFonts w:asciiTheme="majorHAnsi" w:hAnsiTheme="majorHAnsi"/>
          <w:sz w:val="16"/>
          <w:szCs w:val="16"/>
        </w:rPr>
        <w:t xml:space="preserve">I/A Court H.R. Case of </w:t>
      </w:r>
      <w:proofErr w:type="spellStart"/>
      <w:r w:rsidRPr="001D0780">
        <w:rPr>
          <w:rFonts w:asciiTheme="majorHAnsi" w:hAnsiTheme="majorHAnsi"/>
          <w:sz w:val="16"/>
          <w:szCs w:val="16"/>
        </w:rPr>
        <w:t>Nadege</w:t>
      </w:r>
      <w:proofErr w:type="spellEnd"/>
      <w:r w:rsidRPr="001D0780">
        <w:rPr>
          <w:rFonts w:asciiTheme="majorHAnsi" w:hAnsiTheme="majorHAnsi"/>
          <w:sz w:val="16"/>
          <w:szCs w:val="16"/>
        </w:rPr>
        <w:t xml:space="preserve"> </w:t>
      </w:r>
      <w:proofErr w:type="spellStart"/>
      <w:r w:rsidRPr="001D0780">
        <w:rPr>
          <w:rFonts w:asciiTheme="majorHAnsi" w:hAnsiTheme="majorHAnsi"/>
          <w:sz w:val="16"/>
          <w:szCs w:val="16"/>
        </w:rPr>
        <w:t>Dorzema</w:t>
      </w:r>
      <w:proofErr w:type="spellEnd"/>
      <w:r w:rsidRPr="001D0780">
        <w:rPr>
          <w:rFonts w:asciiTheme="majorHAnsi" w:hAnsiTheme="majorHAnsi"/>
          <w:sz w:val="16"/>
          <w:szCs w:val="16"/>
        </w:rPr>
        <w:t xml:space="preserve"> </w:t>
      </w:r>
      <w:r>
        <w:rPr>
          <w:rFonts w:asciiTheme="majorHAnsi" w:hAnsiTheme="majorHAnsi"/>
          <w:sz w:val="16"/>
          <w:szCs w:val="16"/>
        </w:rPr>
        <w:t>et al.</w:t>
      </w:r>
      <w:r w:rsidRPr="001D0780">
        <w:rPr>
          <w:rFonts w:asciiTheme="majorHAnsi" w:hAnsiTheme="majorHAnsi"/>
          <w:sz w:val="16"/>
          <w:szCs w:val="16"/>
        </w:rPr>
        <w:t xml:space="preserve"> </w:t>
      </w:r>
      <w:r>
        <w:rPr>
          <w:rFonts w:asciiTheme="majorHAnsi" w:hAnsiTheme="majorHAnsi"/>
          <w:sz w:val="16"/>
          <w:szCs w:val="16"/>
        </w:rPr>
        <w:t>v</w:t>
      </w:r>
      <w:r w:rsidRPr="001D0780">
        <w:rPr>
          <w:rFonts w:asciiTheme="majorHAnsi" w:hAnsiTheme="majorHAnsi"/>
          <w:sz w:val="16"/>
          <w:szCs w:val="16"/>
        </w:rPr>
        <w:t>. Dominican Republic.</w:t>
      </w:r>
      <w:proofErr w:type="gramEnd"/>
      <w:r w:rsidRPr="001D0780">
        <w:rPr>
          <w:rFonts w:asciiTheme="majorHAnsi" w:hAnsiTheme="majorHAnsi"/>
          <w:sz w:val="16"/>
          <w:szCs w:val="16"/>
        </w:rPr>
        <w:t xml:space="preserve"> </w:t>
      </w:r>
      <w:proofErr w:type="gramStart"/>
      <w:r w:rsidRPr="001D0780">
        <w:rPr>
          <w:rFonts w:asciiTheme="majorHAnsi" w:hAnsiTheme="majorHAnsi"/>
          <w:sz w:val="16"/>
          <w:szCs w:val="16"/>
        </w:rPr>
        <w:t>Merits, Reparations and Costs.</w:t>
      </w:r>
      <w:proofErr w:type="gramEnd"/>
      <w:r w:rsidRPr="001D0780">
        <w:rPr>
          <w:rFonts w:asciiTheme="majorHAnsi" w:hAnsiTheme="majorHAnsi"/>
          <w:sz w:val="16"/>
          <w:szCs w:val="16"/>
        </w:rPr>
        <w:t xml:space="preserve"> Judgment of October</w:t>
      </w:r>
      <w:r>
        <w:rPr>
          <w:rFonts w:asciiTheme="majorHAnsi" w:hAnsiTheme="majorHAnsi"/>
          <w:sz w:val="16"/>
          <w:szCs w:val="16"/>
        </w:rPr>
        <w:t xml:space="preserve"> </w:t>
      </w:r>
      <w:r w:rsidRPr="001D0780">
        <w:rPr>
          <w:rFonts w:asciiTheme="majorHAnsi" w:hAnsiTheme="majorHAnsi"/>
          <w:sz w:val="16"/>
          <w:szCs w:val="16"/>
        </w:rPr>
        <w:t>24</w:t>
      </w:r>
      <w:r>
        <w:rPr>
          <w:rFonts w:asciiTheme="majorHAnsi" w:hAnsiTheme="majorHAnsi"/>
          <w:sz w:val="16"/>
          <w:szCs w:val="16"/>
        </w:rPr>
        <w:t xml:space="preserve">, </w:t>
      </w:r>
      <w:r w:rsidRPr="001D0780">
        <w:rPr>
          <w:rFonts w:asciiTheme="majorHAnsi" w:hAnsiTheme="majorHAnsi"/>
          <w:sz w:val="16"/>
          <w:szCs w:val="16"/>
        </w:rPr>
        <w:t xml:space="preserve">2012. </w:t>
      </w:r>
      <w:r w:rsidRPr="00E8055D">
        <w:rPr>
          <w:rFonts w:asciiTheme="majorHAnsi" w:hAnsiTheme="majorHAnsi"/>
          <w:sz w:val="16"/>
          <w:szCs w:val="16"/>
        </w:rPr>
        <w:t xml:space="preserve">Series C No. 251, para. </w:t>
      </w:r>
      <w:r w:rsidRPr="00E80090">
        <w:rPr>
          <w:rFonts w:asciiTheme="majorHAnsi" w:hAnsiTheme="majorHAnsi"/>
          <w:sz w:val="16"/>
          <w:szCs w:val="16"/>
        </w:rPr>
        <w:t>100.</w:t>
      </w:r>
    </w:p>
  </w:footnote>
  <w:footnote w:id="62">
    <w:p w:rsidR="000E7166" w:rsidRPr="00550304"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550304">
        <w:rPr>
          <w:rFonts w:asciiTheme="majorHAnsi" w:hAnsiTheme="majorHAnsi"/>
          <w:sz w:val="16"/>
          <w:szCs w:val="16"/>
        </w:rPr>
        <w:t xml:space="preserve"> Communication from the State received on</w:t>
      </w:r>
      <w:r>
        <w:rPr>
          <w:rFonts w:asciiTheme="majorHAnsi" w:hAnsiTheme="majorHAnsi"/>
          <w:sz w:val="16"/>
          <w:szCs w:val="16"/>
        </w:rPr>
        <w:t xml:space="preserve"> July </w:t>
      </w:r>
      <w:r w:rsidRPr="00550304">
        <w:rPr>
          <w:rFonts w:asciiTheme="majorHAnsi" w:hAnsiTheme="majorHAnsi"/>
          <w:sz w:val="16"/>
          <w:szCs w:val="16"/>
        </w:rPr>
        <w:t>5</w:t>
      </w:r>
      <w:r>
        <w:rPr>
          <w:rFonts w:asciiTheme="majorHAnsi" w:hAnsiTheme="majorHAnsi"/>
          <w:sz w:val="16"/>
          <w:szCs w:val="16"/>
        </w:rPr>
        <w:t xml:space="preserve">, </w:t>
      </w:r>
      <w:r w:rsidRPr="00550304">
        <w:rPr>
          <w:rFonts w:asciiTheme="majorHAnsi" w:hAnsiTheme="majorHAnsi"/>
          <w:sz w:val="16"/>
          <w:szCs w:val="16"/>
        </w:rPr>
        <w:t>2007.</w:t>
      </w:r>
    </w:p>
  </w:footnote>
  <w:footnote w:id="63">
    <w:p w:rsidR="000E7166" w:rsidRPr="00E80090"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80090">
        <w:rPr>
          <w:rFonts w:asciiTheme="majorHAnsi" w:hAnsiTheme="majorHAnsi"/>
          <w:sz w:val="16"/>
          <w:szCs w:val="16"/>
        </w:rPr>
        <w:t xml:space="preserve"> </w:t>
      </w:r>
      <w:proofErr w:type="gramStart"/>
      <w:r w:rsidRPr="00E80090">
        <w:rPr>
          <w:rFonts w:asciiTheme="majorHAnsi" w:hAnsiTheme="majorHAnsi"/>
          <w:sz w:val="16"/>
          <w:szCs w:val="16"/>
        </w:rPr>
        <w:t xml:space="preserve">I/A Court H.R. Case of </w:t>
      </w:r>
      <w:proofErr w:type="spellStart"/>
      <w:r w:rsidRPr="00E80090">
        <w:rPr>
          <w:rFonts w:asciiTheme="majorHAnsi" w:hAnsiTheme="majorHAnsi"/>
          <w:sz w:val="16"/>
          <w:szCs w:val="16"/>
        </w:rPr>
        <w:t>Nadege</w:t>
      </w:r>
      <w:proofErr w:type="spellEnd"/>
      <w:r w:rsidRPr="00E80090">
        <w:rPr>
          <w:rFonts w:asciiTheme="majorHAnsi" w:hAnsiTheme="majorHAnsi"/>
          <w:sz w:val="16"/>
          <w:szCs w:val="16"/>
        </w:rPr>
        <w:t xml:space="preserve"> </w:t>
      </w:r>
      <w:proofErr w:type="spellStart"/>
      <w:r w:rsidRPr="00E80090">
        <w:rPr>
          <w:rFonts w:asciiTheme="majorHAnsi" w:hAnsiTheme="majorHAnsi"/>
          <w:sz w:val="16"/>
          <w:szCs w:val="16"/>
        </w:rPr>
        <w:t>Dorzema</w:t>
      </w:r>
      <w:proofErr w:type="spellEnd"/>
      <w:r w:rsidRPr="00E80090">
        <w:rPr>
          <w:rFonts w:asciiTheme="majorHAnsi" w:hAnsiTheme="majorHAnsi"/>
          <w:sz w:val="16"/>
          <w:szCs w:val="16"/>
        </w:rPr>
        <w:t xml:space="preserve"> et al. v. Dominican Republic.</w:t>
      </w:r>
      <w:proofErr w:type="gramEnd"/>
      <w:r w:rsidRPr="00E80090">
        <w:rPr>
          <w:rFonts w:asciiTheme="majorHAnsi" w:hAnsiTheme="majorHAnsi"/>
          <w:sz w:val="16"/>
          <w:szCs w:val="16"/>
        </w:rPr>
        <w:t xml:space="preserve"> </w:t>
      </w:r>
      <w:proofErr w:type="gramStart"/>
      <w:r w:rsidRPr="001D0780">
        <w:rPr>
          <w:rFonts w:asciiTheme="majorHAnsi" w:hAnsiTheme="majorHAnsi"/>
          <w:sz w:val="16"/>
          <w:szCs w:val="16"/>
        </w:rPr>
        <w:t>Merits, Reparations and Costs.</w:t>
      </w:r>
      <w:proofErr w:type="gramEnd"/>
      <w:r w:rsidRPr="001D0780">
        <w:rPr>
          <w:rFonts w:asciiTheme="majorHAnsi" w:hAnsiTheme="majorHAnsi"/>
          <w:sz w:val="16"/>
          <w:szCs w:val="16"/>
        </w:rPr>
        <w:t xml:space="preserve"> Judgment of October</w:t>
      </w:r>
      <w:r>
        <w:rPr>
          <w:rFonts w:asciiTheme="majorHAnsi" w:hAnsiTheme="majorHAnsi"/>
          <w:sz w:val="16"/>
          <w:szCs w:val="16"/>
        </w:rPr>
        <w:t xml:space="preserve"> </w:t>
      </w:r>
      <w:r w:rsidRPr="001D0780">
        <w:rPr>
          <w:rFonts w:asciiTheme="majorHAnsi" w:hAnsiTheme="majorHAnsi"/>
          <w:sz w:val="16"/>
          <w:szCs w:val="16"/>
        </w:rPr>
        <w:t>24</w:t>
      </w:r>
      <w:r>
        <w:rPr>
          <w:rFonts w:asciiTheme="majorHAnsi" w:hAnsiTheme="majorHAnsi"/>
          <w:sz w:val="16"/>
          <w:szCs w:val="16"/>
        </w:rPr>
        <w:t xml:space="preserve">, </w:t>
      </w:r>
      <w:r w:rsidRPr="001D0780">
        <w:rPr>
          <w:rFonts w:asciiTheme="majorHAnsi" w:hAnsiTheme="majorHAnsi"/>
          <w:sz w:val="16"/>
          <w:szCs w:val="16"/>
        </w:rPr>
        <w:t xml:space="preserve">2012. </w:t>
      </w:r>
      <w:r w:rsidRPr="00630E61">
        <w:rPr>
          <w:rFonts w:asciiTheme="majorHAnsi" w:hAnsiTheme="majorHAnsi"/>
          <w:sz w:val="16"/>
          <w:szCs w:val="16"/>
        </w:rPr>
        <w:t>Series C No. 251, par</w:t>
      </w:r>
      <w:r>
        <w:rPr>
          <w:rFonts w:asciiTheme="majorHAnsi" w:hAnsiTheme="majorHAnsi"/>
          <w:sz w:val="16"/>
          <w:szCs w:val="16"/>
        </w:rPr>
        <w:t>a</w:t>
      </w:r>
      <w:r w:rsidRPr="00630E61">
        <w:rPr>
          <w:rFonts w:asciiTheme="majorHAnsi" w:hAnsiTheme="majorHAnsi"/>
          <w:sz w:val="16"/>
          <w:szCs w:val="16"/>
        </w:rPr>
        <w:t xml:space="preserve">. </w:t>
      </w:r>
      <w:r w:rsidRPr="00E80090">
        <w:rPr>
          <w:rFonts w:asciiTheme="majorHAnsi" w:hAnsiTheme="majorHAnsi"/>
          <w:sz w:val="16"/>
          <w:szCs w:val="16"/>
        </w:rPr>
        <w:t>91.</w:t>
      </w:r>
    </w:p>
  </w:footnote>
  <w:footnote w:id="64">
    <w:p w:rsidR="000E7166" w:rsidRPr="00E80090"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80090">
        <w:rPr>
          <w:rFonts w:asciiTheme="majorHAnsi" w:hAnsiTheme="majorHAnsi"/>
          <w:sz w:val="16"/>
          <w:szCs w:val="16"/>
        </w:rPr>
        <w:t xml:space="preserve"> </w:t>
      </w:r>
      <w:proofErr w:type="gramStart"/>
      <w:r w:rsidRPr="00E80090">
        <w:rPr>
          <w:rFonts w:asciiTheme="majorHAnsi" w:hAnsiTheme="majorHAnsi" w:cs="Times New Roman"/>
          <w:color w:val="auto"/>
          <w:sz w:val="16"/>
          <w:szCs w:val="16"/>
          <w:bdr w:val="none" w:sz="0" w:space="0" w:color="auto"/>
          <w:lang w:eastAsia="en-US"/>
        </w:rPr>
        <w:t xml:space="preserve">Initial petition, Patricio Roche </w:t>
      </w:r>
      <w:proofErr w:type="spellStart"/>
      <w:r w:rsidRPr="00E80090">
        <w:rPr>
          <w:rFonts w:asciiTheme="majorHAnsi" w:hAnsiTheme="majorHAnsi" w:cs="Times New Roman"/>
          <w:color w:val="auto"/>
          <w:sz w:val="16"/>
          <w:szCs w:val="16"/>
          <w:bdr w:val="none" w:sz="0" w:space="0" w:color="auto"/>
          <w:lang w:eastAsia="en-US"/>
        </w:rPr>
        <w:t>Azaña</w:t>
      </w:r>
      <w:proofErr w:type="spellEnd"/>
      <w:r w:rsidRPr="00E80090">
        <w:rPr>
          <w:rFonts w:asciiTheme="majorHAnsi" w:hAnsiTheme="majorHAnsi" w:cs="Times New Roman"/>
          <w:color w:val="auto"/>
          <w:sz w:val="16"/>
          <w:szCs w:val="16"/>
          <w:bdr w:val="none" w:sz="0" w:space="0" w:color="auto"/>
          <w:lang w:eastAsia="en-US"/>
        </w:rPr>
        <w:t xml:space="preserve">, </w:t>
      </w:r>
      <w:r w:rsidRPr="007D60E2">
        <w:rPr>
          <w:rFonts w:asciiTheme="majorHAnsi" w:hAnsiTheme="majorHAnsi" w:cs="Times New Roman"/>
          <w:color w:val="auto"/>
          <w:sz w:val="16"/>
          <w:szCs w:val="16"/>
          <w:bdr w:val="none" w:sz="0" w:space="0" w:color="auto"/>
          <w:lang w:eastAsia="en-US"/>
        </w:rPr>
        <w:t>December 23, 1998</w:t>
      </w:r>
      <w:r w:rsidRPr="00E80090">
        <w:rPr>
          <w:rFonts w:asciiTheme="majorHAnsi" w:hAnsiTheme="majorHAnsi" w:cs="Times New Roman"/>
          <w:color w:val="auto"/>
          <w:sz w:val="16"/>
          <w:szCs w:val="16"/>
          <w:bdr w:val="none" w:sz="0" w:space="0" w:color="auto"/>
          <w:lang w:eastAsia="en-US"/>
        </w:rPr>
        <w:t>.</w:t>
      </w:r>
      <w:proofErr w:type="gramEnd"/>
      <w:r w:rsidRPr="00E80090">
        <w:rPr>
          <w:rFonts w:asciiTheme="majorHAnsi" w:hAnsiTheme="majorHAnsi"/>
          <w:sz w:val="16"/>
          <w:szCs w:val="16"/>
        </w:rPr>
        <w:t xml:space="preserve"> </w:t>
      </w:r>
    </w:p>
  </w:footnote>
  <w:footnote w:id="65">
    <w:p w:rsidR="000E7166" w:rsidRPr="00E80090"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80090">
        <w:rPr>
          <w:rFonts w:asciiTheme="majorHAnsi" w:hAnsiTheme="majorHAnsi"/>
          <w:sz w:val="16"/>
          <w:szCs w:val="16"/>
        </w:rPr>
        <w:t xml:space="preserve"> </w:t>
      </w:r>
      <w:proofErr w:type="gramStart"/>
      <w:r w:rsidRPr="00E80090">
        <w:rPr>
          <w:rFonts w:asciiTheme="majorHAnsi" w:hAnsiTheme="majorHAnsi" w:cs="Times New Roman"/>
          <w:color w:val="auto"/>
          <w:sz w:val="16"/>
          <w:szCs w:val="16"/>
          <w:bdr w:val="none" w:sz="0" w:space="0" w:color="auto"/>
          <w:lang w:eastAsia="en-US"/>
        </w:rPr>
        <w:t xml:space="preserve">Initial petition, Patricio Roche </w:t>
      </w:r>
      <w:proofErr w:type="spellStart"/>
      <w:r w:rsidRPr="00E80090">
        <w:rPr>
          <w:rFonts w:asciiTheme="majorHAnsi" w:hAnsiTheme="majorHAnsi" w:cs="Times New Roman"/>
          <w:color w:val="auto"/>
          <w:sz w:val="16"/>
          <w:szCs w:val="16"/>
          <w:bdr w:val="none" w:sz="0" w:space="0" w:color="auto"/>
          <w:lang w:eastAsia="en-US"/>
        </w:rPr>
        <w:t>Azaña</w:t>
      </w:r>
      <w:proofErr w:type="spellEnd"/>
      <w:r w:rsidRPr="00E80090">
        <w:rPr>
          <w:rFonts w:asciiTheme="majorHAnsi" w:hAnsiTheme="majorHAnsi" w:cs="Times New Roman"/>
          <w:color w:val="auto"/>
          <w:sz w:val="16"/>
          <w:szCs w:val="16"/>
          <w:bdr w:val="none" w:sz="0" w:space="0" w:color="auto"/>
          <w:lang w:eastAsia="en-US"/>
        </w:rPr>
        <w:t xml:space="preserve">, </w:t>
      </w:r>
      <w:r w:rsidRPr="007D60E2">
        <w:rPr>
          <w:rFonts w:asciiTheme="majorHAnsi" w:hAnsiTheme="majorHAnsi" w:cs="Times New Roman"/>
          <w:color w:val="auto"/>
          <w:sz w:val="16"/>
          <w:szCs w:val="16"/>
          <w:bdr w:val="none" w:sz="0" w:space="0" w:color="auto"/>
          <w:lang w:eastAsia="en-US"/>
        </w:rPr>
        <w:t>December 23, 1998</w:t>
      </w:r>
      <w:r w:rsidRPr="00E80090">
        <w:rPr>
          <w:rFonts w:asciiTheme="majorHAnsi" w:hAnsiTheme="majorHAnsi" w:cs="Times New Roman"/>
          <w:color w:val="auto"/>
          <w:sz w:val="16"/>
          <w:szCs w:val="16"/>
          <w:bdr w:val="none" w:sz="0" w:space="0" w:color="auto"/>
          <w:lang w:eastAsia="en-US"/>
        </w:rPr>
        <w:t>.</w:t>
      </w:r>
      <w:proofErr w:type="gramEnd"/>
      <w:r w:rsidRPr="00E80090">
        <w:rPr>
          <w:rFonts w:asciiTheme="majorHAnsi" w:hAnsiTheme="majorHAnsi"/>
          <w:sz w:val="16"/>
          <w:szCs w:val="16"/>
        </w:rPr>
        <w:t xml:space="preserve"> </w:t>
      </w:r>
    </w:p>
  </w:footnote>
  <w:footnote w:id="66">
    <w:p w:rsidR="000E7166" w:rsidRPr="0028589B"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28589B">
        <w:rPr>
          <w:rFonts w:asciiTheme="majorHAnsi" w:hAnsiTheme="majorHAnsi"/>
          <w:sz w:val="16"/>
          <w:szCs w:val="16"/>
        </w:rPr>
        <w:t xml:space="preserve"> Article 8 of the American Convention establishes the </w:t>
      </w:r>
      <w:r w:rsidRPr="004C4207">
        <w:rPr>
          <w:rFonts w:asciiTheme="majorHAnsi" w:hAnsiTheme="majorHAnsi"/>
          <w:sz w:val="16"/>
          <w:szCs w:val="16"/>
        </w:rPr>
        <w:t xml:space="preserve">following, in </w:t>
      </w:r>
      <w:r>
        <w:rPr>
          <w:rFonts w:asciiTheme="majorHAnsi" w:hAnsiTheme="majorHAnsi"/>
          <w:sz w:val="16"/>
          <w:szCs w:val="16"/>
        </w:rPr>
        <w:t>the</w:t>
      </w:r>
      <w:r w:rsidRPr="004C4207">
        <w:rPr>
          <w:rFonts w:asciiTheme="majorHAnsi" w:hAnsiTheme="majorHAnsi"/>
          <w:sz w:val="16"/>
          <w:szCs w:val="16"/>
        </w:rPr>
        <w:t xml:space="preserve"> pertinent section:</w:t>
      </w:r>
      <w:r w:rsidRPr="0028589B">
        <w:rPr>
          <w:rFonts w:asciiTheme="majorHAnsi" w:hAnsiTheme="majorHAnsi"/>
          <w:sz w:val="16"/>
          <w:szCs w:val="16"/>
        </w:rPr>
        <w:t xml:space="preserve"> </w:t>
      </w:r>
      <w:r w:rsidRPr="0028589B">
        <w:rPr>
          <w:rFonts w:asciiTheme="majorHAnsi" w:hAnsiTheme="majorHAnsi"/>
          <w:sz w:val="16"/>
          <w:szCs w:val="16"/>
          <w:lang w:bidi="en-US"/>
        </w:rPr>
        <w:t>1. Every person has the right to a hearing, with due guarantees and within a reasonable time, by a competent, independent, and impartial tribunal, previously established by law, in the substantiation of any accusation of a criminal nature made against him</w:t>
      </w:r>
      <w:r>
        <w:rPr>
          <w:rFonts w:asciiTheme="majorHAnsi" w:hAnsiTheme="majorHAnsi"/>
          <w:sz w:val="16"/>
          <w:szCs w:val="16"/>
          <w:lang w:bidi="en-US"/>
        </w:rPr>
        <w:t xml:space="preserve"> </w:t>
      </w:r>
      <w:r w:rsidRPr="0028589B">
        <w:rPr>
          <w:rFonts w:asciiTheme="majorHAnsi" w:hAnsiTheme="majorHAnsi"/>
          <w:sz w:val="16"/>
          <w:szCs w:val="16"/>
          <w:lang w:bidi="en-US"/>
        </w:rPr>
        <w:t>or for the det</w:t>
      </w:r>
      <w:r>
        <w:rPr>
          <w:rFonts w:asciiTheme="majorHAnsi" w:hAnsiTheme="majorHAnsi"/>
          <w:sz w:val="16"/>
          <w:szCs w:val="16"/>
          <w:lang w:bidi="en-US"/>
        </w:rPr>
        <w:t>er</w:t>
      </w:r>
      <w:r w:rsidRPr="0028589B">
        <w:rPr>
          <w:rFonts w:asciiTheme="majorHAnsi" w:hAnsiTheme="majorHAnsi"/>
          <w:sz w:val="16"/>
          <w:szCs w:val="16"/>
          <w:lang w:bidi="en-US"/>
        </w:rPr>
        <w:t>mination of his rights and obli</w:t>
      </w:r>
      <w:r>
        <w:rPr>
          <w:rFonts w:asciiTheme="majorHAnsi" w:hAnsiTheme="majorHAnsi"/>
          <w:sz w:val="16"/>
          <w:szCs w:val="16"/>
          <w:lang w:bidi="en-US"/>
        </w:rPr>
        <w:t>g</w:t>
      </w:r>
      <w:r w:rsidRPr="0028589B">
        <w:rPr>
          <w:rFonts w:asciiTheme="majorHAnsi" w:hAnsiTheme="majorHAnsi"/>
          <w:sz w:val="16"/>
          <w:szCs w:val="16"/>
          <w:lang w:bidi="en-US"/>
        </w:rPr>
        <w:t>ations of a civil, labor, fiscal, or any other nature.</w:t>
      </w:r>
      <w:r w:rsidRPr="0028589B">
        <w:rPr>
          <w:rFonts w:asciiTheme="majorHAnsi" w:hAnsiTheme="majorHAnsi"/>
          <w:sz w:val="16"/>
          <w:szCs w:val="16"/>
        </w:rPr>
        <w:t xml:space="preserve"> </w:t>
      </w:r>
    </w:p>
  </w:footnote>
  <w:footnote w:id="67">
    <w:p w:rsidR="000E7166" w:rsidRPr="004C4207" w:rsidRDefault="000E7166" w:rsidP="0043505F">
      <w:pPr>
        <w:pStyle w:val="FootnoteText"/>
        <w:jc w:val="both"/>
        <w:rPr>
          <w:rFonts w:asciiTheme="majorHAnsi" w:hAnsiTheme="majorHAnsi"/>
          <w:sz w:val="16"/>
          <w:szCs w:val="16"/>
        </w:rPr>
      </w:pPr>
      <w:r w:rsidRPr="008A138F">
        <w:rPr>
          <w:rStyle w:val="FootnoteReference"/>
          <w:rFonts w:asciiTheme="majorHAnsi" w:hAnsiTheme="majorHAnsi"/>
          <w:sz w:val="16"/>
          <w:szCs w:val="16"/>
        </w:rPr>
        <w:footnoteRef/>
      </w:r>
      <w:r w:rsidRPr="0028589B">
        <w:rPr>
          <w:rFonts w:asciiTheme="majorHAnsi" w:hAnsiTheme="majorHAnsi"/>
          <w:sz w:val="16"/>
          <w:szCs w:val="16"/>
        </w:rPr>
        <w:t xml:space="preserve"> Article </w:t>
      </w:r>
      <w:r>
        <w:rPr>
          <w:rFonts w:asciiTheme="majorHAnsi" w:hAnsiTheme="majorHAnsi"/>
          <w:sz w:val="16"/>
          <w:szCs w:val="16"/>
        </w:rPr>
        <w:t>25</w:t>
      </w:r>
      <w:r w:rsidRPr="0028589B">
        <w:rPr>
          <w:rFonts w:asciiTheme="majorHAnsi" w:hAnsiTheme="majorHAnsi"/>
          <w:sz w:val="16"/>
          <w:szCs w:val="16"/>
        </w:rPr>
        <w:t xml:space="preserve"> of the American Convention establishes the following, </w:t>
      </w:r>
      <w:r w:rsidRPr="004C4207">
        <w:rPr>
          <w:rFonts w:asciiTheme="majorHAnsi" w:hAnsiTheme="majorHAnsi"/>
          <w:sz w:val="16"/>
          <w:szCs w:val="16"/>
        </w:rPr>
        <w:t xml:space="preserve">in </w:t>
      </w:r>
      <w:r>
        <w:rPr>
          <w:rFonts w:asciiTheme="majorHAnsi" w:hAnsiTheme="majorHAnsi"/>
          <w:sz w:val="16"/>
          <w:szCs w:val="16"/>
        </w:rPr>
        <w:t>the</w:t>
      </w:r>
      <w:r w:rsidRPr="004C4207">
        <w:rPr>
          <w:rFonts w:asciiTheme="majorHAnsi" w:hAnsiTheme="majorHAnsi"/>
          <w:sz w:val="16"/>
          <w:szCs w:val="16"/>
        </w:rPr>
        <w:t xml:space="preserve"> pertinent section</w:t>
      </w:r>
      <w:r w:rsidRPr="0028589B">
        <w:rPr>
          <w:rFonts w:asciiTheme="majorHAnsi" w:hAnsiTheme="majorHAnsi"/>
          <w:sz w:val="16"/>
          <w:szCs w:val="16"/>
        </w:rPr>
        <w:t xml:space="preserve">: 1. </w:t>
      </w:r>
      <w:r w:rsidRPr="004C4207">
        <w:rPr>
          <w:rFonts w:asciiTheme="majorHAnsi" w:hAnsiTheme="majorHAnsi"/>
          <w:sz w:val="16"/>
          <w:szCs w:val="16"/>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w:t>
      </w:r>
      <w:r>
        <w:rPr>
          <w:rFonts w:asciiTheme="majorHAnsi" w:hAnsiTheme="majorHAnsi"/>
          <w:sz w:val="16"/>
          <w:szCs w:val="16"/>
        </w:rPr>
        <w:t>rsons acting in the course of their official duties.</w:t>
      </w:r>
    </w:p>
  </w:footnote>
  <w:footnote w:id="68">
    <w:p w:rsidR="000E7166" w:rsidRPr="00E8055D" w:rsidRDefault="000E7166" w:rsidP="0043505F">
      <w:pPr>
        <w:pStyle w:val="FootnoteText"/>
        <w:jc w:val="both"/>
        <w:rPr>
          <w:rFonts w:asciiTheme="majorHAnsi" w:hAnsiTheme="majorHAnsi"/>
          <w:sz w:val="16"/>
          <w:szCs w:val="16"/>
        </w:rPr>
      </w:pPr>
      <w:r w:rsidRPr="008A138F">
        <w:rPr>
          <w:rStyle w:val="FootnoteReference"/>
          <w:rFonts w:asciiTheme="majorHAnsi" w:hAnsiTheme="majorHAnsi"/>
          <w:sz w:val="16"/>
          <w:szCs w:val="16"/>
        </w:rPr>
        <w:footnoteRef/>
      </w:r>
      <w:r w:rsidRPr="00FA1DD1">
        <w:rPr>
          <w:rFonts w:asciiTheme="majorHAnsi" w:hAnsiTheme="majorHAnsi"/>
          <w:sz w:val="16"/>
          <w:szCs w:val="16"/>
        </w:rPr>
        <w:t xml:space="preserve"> </w:t>
      </w:r>
      <w:proofErr w:type="gramStart"/>
      <w:r w:rsidRPr="00FA1DD1">
        <w:rPr>
          <w:rFonts w:asciiTheme="majorHAnsi" w:hAnsiTheme="majorHAnsi"/>
          <w:sz w:val="16"/>
          <w:szCs w:val="16"/>
        </w:rPr>
        <w:t xml:space="preserve">I/A Court H.R. Case of </w:t>
      </w:r>
      <w:proofErr w:type="spellStart"/>
      <w:r w:rsidRPr="00FA1DD1">
        <w:rPr>
          <w:rFonts w:asciiTheme="majorHAnsi" w:hAnsiTheme="majorHAnsi"/>
          <w:sz w:val="16"/>
          <w:szCs w:val="16"/>
        </w:rPr>
        <w:t>Velásquez</w:t>
      </w:r>
      <w:proofErr w:type="spellEnd"/>
      <w:r w:rsidRPr="00FA1DD1">
        <w:rPr>
          <w:rFonts w:asciiTheme="majorHAnsi" w:hAnsiTheme="majorHAnsi"/>
          <w:sz w:val="16"/>
          <w:szCs w:val="16"/>
        </w:rPr>
        <w:t>-Rodríguez v. Honduras.</w:t>
      </w:r>
      <w:proofErr w:type="gramEnd"/>
      <w:r w:rsidRPr="00FA1DD1">
        <w:rPr>
          <w:rFonts w:asciiTheme="majorHAnsi" w:hAnsiTheme="majorHAnsi"/>
          <w:sz w:val="16"/>
          <w:szCs w:val="16"/>
        </w:rPr>
        <w:t xml:space="preserve"> </w:t>
      </w:r>
      <w:proofErr w:type="gramStart"/>
      <w:r w:rsidRPr="00FA1DD1">
        <w:rPr>
          <w:rFonts w:asciiTheme="majorHAnsi" w:hAnsiTheme="majorHAnsi"/>
          <w:sz w:val="16"/>
          <w:szCs w:val="16"/>
        </w:rPr>
        <w:t>Preliminary Objections.</w:t>
      </w:r>
      <w:proofErr w:type="gramEnd"/>
      <w:r w:rsidRPr="00FA1DD1">
        <w:rPr>
          <w:rFonts w:asciiTheme="majorHAnsi" w:hAnsiTheme="majorHAnsi"/>
          <w:sz w:val="16"/>
          <w:szCs w:val="16"/>
        </w:rPr>
        <w:t xml:space="preserve"> </w:t>
      </w:r>
      <w:r w:rsidRPr="00E80090">
        <w:rPr>
          <w:rFonts w:asciiTheme="majorHAnsi" w:hAnsiTheme="majorHAnsi"/>
          <w:sz w:val="16"/>
          <w:szCs w:val="16"/>
        </w:rPr>
        <w:t xml:space="preserve">Judgment of June 26, 1987. Series C No. 1, para. </w:t>
      </w:r>
      <w:proofErr w:type="gramStart"/>
      <w:r w:rsidRPr="005D43FF">
        <w:rPr>
          <w:rFonts w:asciiTheme="majorHAnsi" w:hAnsiTheme="majorHAnsi"/>
          <w:sz w:val="16"/>
          <w:szCs w:val="16"/>
        </w:rPr>
        <w:t xml:space="preserve">91; Case of Gutiérrez and </w:t>
      </w:r>
      <w:r>
        <w:rPr>
          <w:rFonts w:asciiTheme="majorHAnsi" w:hAnsiTheme="majorHAnsi"/>
          <w:sz w:val="16"/>
          <w:szCs w:val="16"/>
        </w:rPr>
        <w:t>F</w:t>
      </w:r>
      <w:r w:rsidRPr="005D43FF">
        <w:rPr>
          <w:rFonts w:asciiTheme="majorHAnsi" w:hAnsiTheme="majorHAnsi"/>
          <w:sz w:val="16"/>
          <w:szCs w:val="16"/>
        </w:rPr>
        <w:t>amily v.</w:t>
      </w:r>
      <w:r>
        <w:rPr>
          <w:rFonts w:asciiTheme="majorHAnsi" w:hAnsiTheme="majorHAnsi"/>
          <w:sz w:val="16"/>
          <w:szCs w:val="16"/>
        </w:rPr>
        <w:t xml:space="preserve"> Argentina.</w:t>
      </w:r>
      <w:proofErr w:type="gramEnd"/>
      <w:r w:rsidRPr="005D43FF">
        <w:rPr>
          <w:rFonts w:asciiTheme="majorHAnsi" w:hAnsiTheme="majorHAnsi"/>
          <w:sz w:val="16"/>
          <w:szCs w:val="16"/>
        </w:rPr>
        <w:t xml:space="preserve"> </w:t>
      </w:r>
      <w:proofErr w:type="gramStart"/>
      <w:r>
        <w:rPr>
          <w:rFonts w:asciiTheme="majorHAnsi" w:hAnsiTheme="majorHAnsi"/>
          <w:sz w:val="16"/>
          <w:szCs w:val="16"/>
        </w:rPr>
        <w:t>Merits, Reparations and Costs.</w:t>
      </w:r>
      <w:proofErr w:type="gramEnd"/>
      <w:r>
        <w:rPr>
          <w:rFonts w:asciiTheme="majorHAnsi" w:hAnsiTheme="majorHAnsi"/>
          <w:sz w:val="16"/>
          <w:szCs w:val="16"/>
        </w:rPr>
        <w:t xml:space="preserve"> Judgment of November 25, 2013. Series C No. 271, para.</w:t>
      </w:r>
      <w:r>
        <w:rPr>
          <w:rStyle w:val="Strong"/>
          <w:rFonts w:asciiTheme="majorHAnsi" w:hAnsiTheme="majorHAnsi"/>
          <w:sz w:val="16"/>
          <w:szCs w:val="16"/>
        </w:rPr>
        <w:t xml:space="preserve"> </w:t>
      </w:r>
      <w:proofErr w:type="gramStart"/>
      <w:r w:rsidRPr="007E3EB0">
        <w:rPr>
          <w:rFonts w:asciiTheme="majorHAnsi" w:hAnsiTheme="majorHAnsi"/>
          <w:sz w:val="16"/>
          <w:szCs w:val="16"/>
        </w:rPr>
        <w:t xml:space="preserve">97; </w:t>
      </w:r>
      <w:r>
        <w:rPr>
          <w:rFonts w:asciiTheme="majorHAnsi" w:hAnsiTheme="majorHAnsi"/>
          <w:sz w:val="16"/>
          <w:szCs w:val="16"/>
        </w:rPr>
        <w:t xml:space="preserve">and </w:t>
      </w:r>
      <w:r w:rsidRPr="00EF545C">
        <w:rPr>
          <w:rFonts w:asciiTheme="majorHAnsi" w:hAnsiTheme="majorHAnsi"/>
          <w:sz w:val="16"/>
          <w:szCs w:val="16"/>
        </w:rPr>
        <w:t xml:space="preserve">Case of </w:t>
      </w:r>
      <w:proofErr w:type="spellStart"/>
      <w:r w:rsidRPr="00EF545C">
        <w:rPr>
          <w:rFonts w:asciiTheme="majorHAnsi" w:hAnsiTheme="majorHAnsi" w:cs="Verdana"/>
          <w:bCs/>
          <w:sz w:val="16"/>
          <w:szCs w:val="16"/>
        </w:rPr>
        <w:t>Landaeta</w:t>
      </w:r>
      <w:proofErr w:type="spellEnd"/>
      <w:r w:rsidRPr="00EF545C">
        <w:rPr>
          <w:rFonts w:asciiTheme="majorHAnsi" w:hAnsiTheme="majorHAnsi" w:cs="Verdana"/>
          <w:bCs/>
          <w:sz w:val="16"/>
          <w:szCs w:val="16"/>
        </w:rPr>
        <w:t xml:space="preserve"> </w:t>
      </w:r>
      <w:proofErr w:type="spellStart"/>
      <w:r w:rsidRPr="00EF545C">
        <w:rPr>
          <w:rFonts w:asciiTheme="majorHAnsi" w:hAnsiTheme="majorHAnsi" w:cs="Verdana"/>
          <w:bCs/>
          <w:sz w:val="16"/>
          <w:szCs w:val="16"/>
        </w:rPr>
        <w:t>Mejías</w:t>
      </w:r>
      <w:proofErr w:type="spellEnd"/>
      <w:r w:rsidRPr="00EF545C">
        <w:rPr>
          <w:rFonts w:asciiTheme="majorHAnsi" w:hAnsiTheme="majorHAnsi" w:cs="Verdana"/>
          <w:bCs/>
          <w:sz w:val="16"/>
          <w:szCs w:val="16"/>
        </w:rPr>
        <w:t xml:space="preserve"> Brothers et a</w:t>
      </w:r>
      <w:r>
        <w:rPr>
          <w:rFonts w:asciiTheme="majorHAnsi" w:hAnsiTheme="majorHAnsi" w:cs="Verdana"/>
          <w:bCs/>
          <w:sz w:val="16"/>
          <w:szCs w:val="16"/>
        </w:rPr>
        <w:t xml:space="preserve">l. </w:t>
      </w:r>
      <w:r w:rsidRPr="00EF545C">
        <w:rPr>
          <w:rFonts w:asciiTheme="majorHAnsi" w:hAnsiTheme="majorHAnsi" w:cs="Verdana"/>
          <w:bCs/>
          <w:sz w:val="16"/>
          <w:szCs w:val="16"/>
        </w:rPr>
        <w:t>v. Venezuela.</w:t>
      </w:r>
      <w:proofErr w:type="gramEnd"/>
      <w:r w:rsidRPr="00EF545C">
        <w:rPr>
          <w:rFonts w:asciiTheme="majorHAnsi" w:hAnsiTheme="majorHAnsi" w:cs="Verdana"/>
          <w:bCs/>
          <w:sz w:val="16"/>
          <w:szCs w:val="16"/>
        </w:rPr>
        <w:t xml:space="preserve"> </w:t>
      </w:r>
      <w:proofErr w:type="gramStart"/>
      <w:r>
        <w:rPr>
          <w:rFonts w:asciiTheme="majorHAnsi" w:hAnsiTheme="majorHAnsi" w:cs="Verdana"/>
          <w:bCs/>
          <w:sz w:val="16"/>
          <w:szCs w:val="16"/>
        </w:rPr>
        <w:t>Preliminary Objections, Merits, Reparations and Costs.</w:t>
      </w:r>
      <w:proofErr w:type="gramEnd"/>
      <w:r w:rsidRPr="00EF545C">
        <w:rPr>
          <w:rFonts w:asciiTheme="majorHAnsi" w:hAnsiTheme="majorHAnsi" w:cs="Verdana"/>
          <w:bCs/>
          <w:sz w:val="16"/>
          <w:szCs w:val="16"/>
        </w:rPr>
        <w:t xml:space="preserve"> </w:t>
      </w:r>
      <w:r w:rsidRPr="007E3EB0">
        <w:rPr>
          <w:rFonts w:asciiTheme="majorHAnsi" w:hAnsiTheme="majorHAnsi" w:cs="Verdana"/>
          <w:bCs/>
          <w:sz w:val="16"/>
          <w:szCs w:val="16"/>
        </w:rPr>
        <w:t xml:space="preserve">Judgment of August 27, 2014. Series C No. 281, para. </w:t>
      </w:r>
      <w:r w:rsidRPr="00E8055D">
        <w:rPr>
          <w:rFonts w:asciiTheme="majorHAnsi" w:hAnsiTheme="majorHAnsi"/>
          <w:sz w:val="16"/>
          <w:szCs w:val="16"/>
        </w:rPr>
        <w:t xml:space="preserve">215. </w:t>
      </w:r>
    </w:p>
  </w:footnote>
  <w:footnote w:id="69">
    <w:p w:rsidR="000E7166" w:rsidRPr="00E80090" w:rsidRDefault="000E7166" w:rsidP="0043505F">
      <w:pPr>
        <w:pStyle w:val="FootnoteText"/>
        <w:rPr>
          <w:rFonts w:asciiTheme="majorHAnsi" w:hAnsiTheme="majorHAnsi"/>
          <w:sz w:val="16"/>
          <w:szCs w:val="16"/>
        </w:rPr>
      </w:pPr>
      <w:r w:rsidRPr="00A01230">
        <w:rPr>
          <w:rStyle w:val="FootnoteReference"/>
          <w:rFonts w:asciiTheme="majorHAnsi" w:hAnsiTheme="majorHAnsi"/>
          <w:sz w:val="16"/>
          <w:szCs w:val="16"/>
        </w:rPr>
        <w:footnoteRef/>
      </w:r>
      <w:r w:rsidRPr="004F2AAC">
        <w:rPr>
          <w:rFonts w:asciiTheme="majorHAnsi" w:hAnsiTheme="majorHAnsi"/>
          <w:sz w:val="16"/>
          <w:szCs w:val="16"/>
        </w:rPr>
        <w:t xml:space="preserve"> </w:t>
      </w:r>
      <w:proofErr w:type="gramStart"/>
      <w:r w:rsidRPr="004F2AAC">
        <w:rPr>
          <w:rFonts w:asciiTheme="majorHAnsi" w:hAnsiTheme="majorHAnsi"/>
          <w:sz w:val="16"/>
          <w:szCs w:val="16"/>
        </w:rPr>
        <w:t>I/A Court H.R. Cas</w:t>
      </w:r>
      <w:r>
        <w:rPr>
          <w:rFonts w:asciiTheme="majorHAnsi" w:hAnsiTheme="majorHAnsi"/>
          <w:sz w:val="16"/>
          <w:szCs w:val="16"/>
        </w:rPr>
        <w:t>e</w:t>
      </w:r>
      <w:r w:rsidRPr="004F2AAC">
        <w:rPr>
          <w:rFonts w:asciiTheme="majorHAnsi" w:hAnsiTheme="majorHAnsi"/>
          <w:sz w:val="16"/>
          <w:szCs w:val="16"/>
        </w:rPr>
        <w:t xml:space="preserve"> of V.R.P., V.P.C. et al. v. </w:t>
      </w:r>
      <w:r w:rsidRPr="00F014D8">
        <w:rPr>
          <w:rFonts w:asciiTheme="majorHAnsi" w:hAnsiTheme="majorHAnsi"/>
          <w:sz w:val="16"/>
          <w:szCs w:val="16"/>
        </w:rPr>
        <w:t>Nicaragua.</w:t>
      </w:r>
      <w:proofErr w:type="gramEnd"/>
      <w:r w:rsidRPr="00F014D8">
        <w:rPr>
          <w:rFonts w:asciiTheme="majorHAnsi" w:hAnsiTheme="majorHAnsi"/>
          <w:sz w:val="16"/>
          <w:szCs w:val="16"/>
        </w:rPr>
        <w:t xml:space="preserve"> </w:t>
      </w:r>
      <w:proofErr w:type="gramStart"/>
      <w:r w:rsidRPr="00F014D8">
        <w:rPr>
          <w:rFonts w:asciiTheme="majorHAnsi" w:hAnsiTheme="majorHAnsi"/>
          <w:sz w:val="16"/>
          <w:szCs w:val="16"/>
        </w:rPr>
        <w:t>Preliminary Objections, Merits, Reparations and Costs.</w:t>
      </w:r>
      <w:proofErr w:type="gramEnd"/>
      <w:r w:rsidRPr="00F014D8">
        <w:rPr>
          <w:rFonts w:asciiTheme="majorHAnsi" w:hAnsiTheme="majorHAnsi"/>
          <w:sz w:val="16"/>
          <w:szCs w:val="16"/>
        </w:rPr>
        <w:t xml:space="preserve"> </w:t>
      </w:r>
      <w:proofErr w:type="gramStart"/>
      <w:r w:rsidRPr="00E80090">
        <w:rPr>
          <w:rFonts w:asciiTheme="majorHAnsi" w:hAnsiTheme="majorHAnsi"/>
          <w:sz w:val="16"/>
          <w:szCs w:val="16"/>
        </w:rPr>
        <w:t>Judgment of March 8, 2018, para.</w:t>
      </w:r>
      <w:proofErr w:type="gramEnd"/>
      <w:r w:rsidRPr="00E80090">
        <w:rPr>
          <w:rFonts w:asciiTheme="majorHAnsi" w:hAnsiTheme="majorHAnsi"/>
          <w:sz w:val="16"/>
          <w:szCs w:val="16"/>
        </w:rPr>
        <w:t xml:space="preserve"> 218.</w:t>
      </w:r>
    </w:p>
  </w:footnote>
  <w:footnote w:id="70">
    <w:p w:rsidR="000E7166" w:rsidRPr="00E8055D" w:rsidRDefault="000E7166" w:rsidP="0043505F">
      <w:pPr>
        <w:pStyle w:val="FootnoteText"/>
        <w:jc w:val="both"/>
        <w:rPr>
          <w:rFonts w:asciiTheme="majorHAnsi" w:hAnsiTheme="majorHAnsi"/>
          <w:sz w:val="16"/>
          <w:szCs w:val="16"/>
        </w:rPr>
      </w:pPr>
      <w:r w:rsidRPr="008A138F">
        <w:rPr>
          <w:rStyle w:val="FootnoteReference"/>
          <w:rFonts w:asciiTheme="majorHAnsi" w:hAnsiTheme="majorHAnsi"/>
          <w:sz w:val="16"/>
          <w:szCs w:val="16"/>
        </w:rPr>
        <w:footnoteRef/>
      </w:r>
      <w:r w:rsidRPr="00E80090">
        <w:rPr>
          <w:rStyle w:val="FootnoteReference"/>
          <w:rFonts w:asciiTheme="majorHAnsi" w:hAnsiTheme="majorHAnsi"/>
          <w:sz w:val="16"/>
          <w:szCs w:val="16"/>
        </w:rPr>
        <w:t xml:space="preserve"> </w:t>
      </w:r>
      <w:proofErr w:type="gramStart"/>
      <w:r w:rsidRPr="00E80090">
        <w:rPr>
          <w:rFonts w:asciiTheme="majorHAnsi" w:hAnsiTheme="majorHAnsi"/>
          <w:sz w:val="16"/>
          <w:szCs w:val="16"/>
        </w:rPr>
        <w:t>IACHR</w:t>
      </w:r>
      <w:r w:rsidR="00105242">
        <w:rPr>
          <w:rFonts w:asciiTheme="majorHAnsi" w:hAnsiTheme="majorHAnsi"/>
          <w:sz w:val="16"/>
          <w:szCs w:val="16"/>
        </w:rPr>
        <w:t>.</w:t>
      </w:r>
      <w:proofErr w:type="gramEnd"/>
      <w:r w:rsidR="00105242">
        <w:rPr>
          <w:rFonts w:asciiTheme="majorHAnsi" w:hAnsiTheme="majorHAnsi"/>
          <w:sz w:val="16"/>
          <w:szCs w:val="16"/>
        </w:rPr>
        <w:t xml:space="preserve"> </w:t>
      </w:r>
      <w:r w:rsidRPr="00E80090">
        <w:rPr>
          <w:rFonts w:asciiTheme="majorHAnsi" w:hAnsiTheme="majorHAnsi"/>
          <w:sz w:val="16"/>
          <w:szCs w:val="16"/>
        </w:rPr>
        <w:t xml:space="preserve">Report No. 41/15, Cases 12.335, 12. </w:t>
      </w:r>
      <w:proofErr w:type="gramStart"/>
      <w:r w:rsidRPr="00E80090">
        <w:rPr>
          <w:rFonts w:asciiTheme="majorHAnsi" w:hAnsiTheme="majorHAnsi"/>
          <w:sz w:val="16"/>
          <w:szCs w:val="16"/>
        </w:rPr>
        <w:t>336, 12.</w:t>
      </w:r>
      <w:proofErr w:type="gramEnd"/>
      <w:r w:rsidRPr="00E80090">
        <w:rPr>
          <w:rFonts w:asciiTheme="majorHAnsi" w:hAnsiTheme="majorHAnsi"/>
          <w:sz w:val="16"/>
          <w:szCs w:val="16"/>
        </w:rPr>
        <w:t xml:space="preserve"> </w:t>
      </w:r>
      <w:proofErr w:type="gramStart"/>
      <w:r w:rsidRPr="00E80090">
        <w:rPr>
          <w:rFonts w:asciiTheme="majorHAnsi" w:hAnsiTheme="majorHAnsi"/>
          <w:sz w:val="16"/>
          <w:szCs w:val="16"/>
        </w:rPr>
        <w:t>757, 12.711.</w:t>
      </w:r>
      <w:proofErr w:type="gramEnd"/>
      <w:r w:rsidRPr="00E80090">
        <w:rPr>
          <w:rFonts w:asciiTheme="majorHAnsi" w:hAnsiTheme="majorHAnsi"/>
          <w:sz w:val="16"/>
          <w:szCs w:val="16"/>
        </w:rPr>
        <w:t xml:space="preserve"> </w:t>
      </w:r>
      <w:proofErr w:type="gramStart"/>
      <w:r w:rsidRPr="00E80090">
        <w:rPr>
          <w:rFonts w:asciiTheme="majorHAnsi" w:hAnsiTheme="majorHAnsi"/>
          <w:sz w:val="16"/>
          <w:szCs w:val="16"/>
        </w:rPr>
        <w:t>Merits.</w:t>
      </w:r>
      <w:proofErr w:type="gramEnd"/>
      <w:r w:rsidRPr="00E80090">
        <w:rPr>
          <w:rFonts w:asciiTheme="majorHAnsi" w:hAnsiTheme="majorHAnsi"/>
          <w:sz w:val="16"/>
          <w:szCs w:val="16"/>
        </w:rPr>
        <w:t xml:space="preserve"> </w:t>
      </w:r>
      <w:proofErr w:type="gramStart"/>
      <w:r w:rsidRPr="00E80090">
        <w:rPr>
          <w:rFonts w:asciiTheme="majorHAnsi" w:hAnsiTheme="majorHAnsi"/>
          <w:sz w:val="16"/>
          <w:szCs w:val="16"/>
        </w:rPr>
        <w:t xml:space="preserve">Gustavo Giraldo </w:t>
      </w:r>
      <w:proofErr w:type="spellStart"/>
      <w:r w:rsidRPr="00E80090">
        <w:rPr>
          <w:rFonts w:asciiTheme="majorHAnsi" w:hAnsiTheme="majorHAnsi"/>
          <w:sz w:val="16"/>
          <w:szCs w:val="16"/>
        </w:rPr>
        <w:t>Villamizar</w:t>
      </w:r>
      <w:proofErr w:type="spellEnd"/>
      <w:r w:rsidRPr="00E80090">
        <w:rPr>
          <w:rFonts w:asciiTheme="majorHAnsi" w:hAnsiTheme="majorHAnsi"/>
          <w:sz w:val="16"/>
          <w:szCs w:val="16"/>
        </w:rPr>
        <w:t xml:space="preserve"> </w:t>
      </w:r>
      <w:proofErr w:type="spellStart"/>
      <w:r w:rsidRPr="00E80090">
        <w:rPr>
          <w:rFonts w:asciiTheme="majorHAnsi" w:hAnsiTheme="majorHAnsi"/>
          <w:sz w:val="16"/>
          <w:szCs w:val="16"/>
        </w:rPr>
        <w:t>Durán</w:t>
      </w:r>
      <w:proofErr w:type="spellEnd"/>
      <w:r w:rsidRPr="00E80090">
        <w:rPr>
          <w:rFonts w:asciiTheme="majorHAnsi" w:hAnsiTheme="majorHAnsi"/>
          <w:sz w:val="16"/>
          <w:szCs w:val="16"/>
        </w:rPr>
        <w:t xml:space="preserve"> et al. </w:t>
      </w:r>
      <w:r w:rsidRPr="00E8055D">
        <w:rPr>
          <w:rFonts w:asciiTheme="majorHAnsi" w:hAnsiTheme="majorHAnsi"/>
          <w:sz w:val="16"/>
          <w:szCs w:val="16"/>
        </w:rPr>
        <w:t>Colombia.</w:t>
      </w:r>
      <w:proofErr w:type="gramEnd"/>
      <w:r w:rsidRPr="00E8055D">
        <w:rPr>
          <w:rFonts w:asciiTheme="majorHAnsi" w:hAnsiTheme="majorHAnsi"/>
          <w:sz w:val="16"/>
          <w:szCs w:val="16"/>
        </w:rPr>
        <w:t xml:space="preserve"> </w:t>
      </w:r>
      <w:proofErr w:type="gramStart"/>
      <w:r>
        <w:rPr>
          <w:rFonts w:asciiTheme="majorHAnsi" w:hAnsiTheme="majorHAnsi"/>
          <w:sz w:val="16"/>
          <w:szCs w:val="16"/>
        </w:rPr>
        <w:t xml:space="preserve">July </w:t>
      </w:r>
      <w:r w:rsidRPr="00E8055D">
        <w:rPr>
          <w:rFonts w:asciiTheme="majorHAnsi" w:hAnsiTheme="majorHAnsi"/>
          <w:sz w:val="16"/>
          <w:szCs w:val="16"/>
        </w:rPr>
        <w:t>28</w:t>
      </w:r>
      <w:r>
        <w:rPr>
          <w:rFonts w:asciiTheme="majorHAnsi" w:hAnsiTheme="majorHAnsi"/>
          <w:sz w:val="16"/>
          <w:szCs w:val="16"/>
        </w:rPr>
        <w:t xml:space="preserve">, </w:t>
      </w:r>
      <w:r w:rsidRPr="00E8055D">
        <w:rPr>
          <w:rFonts w:asciiTheme="majorHAnsi" w:hAnsiTheme="majorHAnsi"/>
          <w:sz w:val="16"/>
          <w:szCs w:val="16"/>
        </w:rPr>
        <w:t>2015, p</w:t>
      </w:r>
      <w:r>
        <w:rPr>
          <w:rFonts w:asciiTheme="majorHAnsi" w:hAnsiTheme="majorHAnsi"/>
          <w:sz w:val="16"/>
          <w:szCs w:val="16"/>
        </w:rPr>
        <w:t>ara</w:t>
      </w:r>
      <w:r w:rsidRPr="00E8055D">
        <w:rPr>
          <w:rFonts w:asciiTheme="majorHAnsi" w:hAnsiTheme="majorHAnsi"/>
          <w:sz w:val="16"/>
          <w:szCs w:val="16"/>
        </w:rPr>
        <w:t>.</w:t>
      </w:r>
      <w:proofErr w:type="gramEnd"/>
      <w:r w:rsidRPr="00E8055D">
        <w:rPr>
          <w:rFonts w:asciiTheme="majorHAnsi" w:hAnsiTheme="majorHAnsi"/>
          <w:sz w:val="16"/>
          <w:szCs w:val="16"/>
        </w:rPr>
        <w:t xml:space="preserve"> </w:t>
      </w:r>
      <w:proofErr w:type="gramStart"/>
      <w:r w:rsidRPr="004A74F8">
        <w:rPr>
          <w:rFonts w:asciiTheme="majorHAnsi" w:hAnsiTheme="majorHAnsi"/>
          <w:sz w:val="16"/>
          <w:szCs w:val="16"/>
        </w:rPr>
        <w:t xml:space="preserve">195; and </w:t>
      </w:r>
      <w:r w:rsidRPr="00FA1DD1">
        <w:rPr>
          <w:rFonts w:asciiTheme="majorHAnsi" w:hAnsiTheme="majorHAnsi"/>
          <w:sz w:val="16"/>
          <w:szCs w:val="16"/>
        </w:rPr>
        <w:t xml:space="preserve">I/A Court H.R. </w:t>
      </w:r>
      <w:r w:rsidRPr="004A74F8">
        <w:rPr>
          <w:rFonts w:asciiTheme="majorHAnsi" w:hAnsiTheme="majorHAnsi"/>
          <w:sz w:val="16"/>
          <w:szCs w:val="16"/>
        </w:rPr>
        <w:t xml:space="preserve">Case of the </w:t>
      </w:r>
      <w:r>
        <w:rPr>
          <w:rFonts w:asciiTheme="majorHAnsi" w:hAnsiTheme="majorHAnsi"/>
          <w:sz w:val="16"/>
          <w:szCs w:val="16"/>
        </w:rPr>
        <w:t>“</w:t>
      </w:r>
      <w:proofErr w:type="spellStart"/>
      <w:r w:rsidRPr="004A74F8">
        <w:rPr>
          <w:rFonts w:asciiTheme="majorHAnsi" w:hAnsiTheme="majorHAnsi"/>
          <w:sz w:val="16"/>
          <w:szCs w:val="16"/>
        </w:rPr>
        <w:t>Mapiripán</w:t>
      </w:r>
      <w:proofErr w:type="spellEnd"/>
      <w:r w:rsidRPr="004A74F8">
        <w:rPr>
          <w:rFonts w:asciiTheme="majorHAnsi" w:hAnsiTheme="majorHAnsi"/>
          <w:sz w:val="16"/>
          <w:szCs w:val="16"/>
        </w:rPr>
        <w:t xml:space="preserve"> </w:t>
      </w:r>
      <w:r>
        <w:rPr>
          <w:rFonts w:asciiTheme="majorHAnsi" w:hAnsiTheme="majorHAnsi"/>
          <w:sz w:val="16"/>
          <w:szCs w:val="16"/>
        </w:rPr>
        <w:t>Massacre” v</w:t>
      </w:r>
      <w:r w:rsidRPr="004A74F8">
        <w:rPr>
          <w:rFonts w:asciiTheme="majorHAnsi" w:hAnsiTheme="majorHAnsi"/>
          <w:sz w:val="16"/>
          <w:szCs w:val="16"/>
        </w:rPr>
        <w:t xml:space="preserve">. </w:t>
      </w:r>
      <w:r w:rsidRPr="00E43D36">
        <w:rPr>
          <w:rFonts w:asciiTheme="majorHAnsi" w:hAnsiTheme="majorHAnsi"/>
          <w:sz w:val="16"/>
          <w:szCs w:val="16"/>
        </w:rPr>
        <w:t>Colombia.</w:t>
      </w:r>
      <w:proofErr w:type="gramEnd"/>
      <w:r w:rsidRPr="00E43D36">
        <w:rPr>
          <w:rFonts w:asciiTheme="majorHAnsi" w:hAnsiTheme="majorHAnsi"/>
          <w:sz w:val="16"/>
          <w:szCs w:val="16"/>
        </w:rPr>
        <w:t xml:space="preserve"> </w:t>
      </w:r>
      <w:r w:rsidRPr="00E8055D">
        <w:rPr>
          <w:rFonts w:asciiTheme="majorHAnsi" w:hAnsiTheme="majorHAnsi"/>
          <w:sz w:val="16"/>
          <w:szCs w:val="16"/>
        </w:rPr>
        <w:t>Judgment of September 15, 2005. Series C No. 122, para. 219.</w:t>
      </w:r>
    </w:p>
  </w:footnote>
  <w:footnote w:id="71">
    <w:p w:rsidR="000E7166" w:rsidRPr="00E8055D" w:rsidRDefault="000E7166" w:rsidP="0043505F">
      <w:pPr>
        <w:pStyle w:val="FootnoteText"/>
        <w:jc w:val="both"/>
        <w:rPr>
          <w:rFonts w:asciiTheme="majorHAnsi" w:hAnsiTheme="majorHAnsi"/>
          <w:sz w:val="16"/>
          <w:szCs w:val="16"/>
        </w:rPr>
      </w:pPr>
      <w:r w:rsidRPr="008A138F">
        <w:rPr>
          <w:rStyle w:val="FootnoteReference"/>
          <w:rFonts w:asciiTheme="majorHAnsi" w:hAnsiTheme="majorHAnsi"/>
          <w:sz w:val="16"/>
          <w:szCs w:val="16"/>
        </w:rPr>
        <w:footnoteRef/>
      </w:r>
      <w:r w:rsidRPr="009F4227">
        <w:rPr>
          <w:rStyle w:val="FootnoteReference"/>
          <w:rFonts w:asciiTheme="majorHAnsi" w:hAnsiTheme="majorHAnsi"/>
          <w:sz w:val="16"/>
          <w:szCs w:val="16"/>
        </w:rPr>
        <w:t xml:space="preserve"> </w:t>
      </w:r>
      <w:proofErr w:type="gramStart"/>
      <w:r w:rsidRPr="00FA1DD1">
        <w:rPr>
          <w:rFonts w:asciiTheme="majorHAnsi" w:hAnsiTheme="majorHAnsi"/>
          <w:sz w:val="16"/>
          <w:szCs w:val="16"/>
        </w:rPr>
        <w:t xml:space="preserve">I/A Court H.R. </w:t>
      </w:r>
      <w:r>
        <w:rPr>
          <w:rFonts w:asciiTheme="majorHAnsi" w:hAnsiTheme="majorHAnsi"/>
          <w:sz w:val="16"/>
          <w:szCs w:val="16"/>
        </w:rPr>
        <w:t xml:space="preserve">Case of </w:t>
      </w:r>
      <w:r w:rsidRPr="009F4227">
        <w:rPr>
          <w:rFonts w:asciiTheme="majorHAnsi" w:hAnsiTheme="majorHAnsi"/>
          <w:sz w:val="16"/>
          <w:szCs w:val="16"/>
        </w:rPr>
        <w:t xml:space="preserve">Mendoza </w:t>
      </w:r>
      <w:r>
        <w:rPr>
          <w:rFonts w:asciiTheme="majorHAnsi" w:hAnsiTheme="majorHAnsi"/>
          <w:sz w:val="16"/>
          <w:szCs w:val="16"/>
        </w:rPr>
        <w:t>et al.</w:t>
      </w:r>
      <w:r w:rsidRPr="009F4227">
        <w:rPr>
          <w:rFonts w:asciiTheme="majorHAnsi" w:hAnsiTheme="majorHAnsi"/>
          <w:sz w:val="16"/>
          <w:szCs w:val="16"/>
        </w:rPr>
        <w:t xml:space="preserve"> </w:t>
      </w:r>
      <w:r>
        <w:rPr>
          <w:rFonts w:asciiTheme="majorHAnsi" w:hAnsiTheme="majorHAnsi"/>
          <w:sz w:val="16"/>
          <w:szCs w:val="16"/>
        </w:rPr>
        <w:t>v</w:t>
      </w:r>
      <w:r w:rsidRPr="009F4227">
        <w:rPr>
          <w:rFonts w:asciiTheme="majorHAnsi" w:hAnsiTheme="majorHAnsi"/>
          <w:sz w:val="16"/>
          <w:szCs w:val="16"/>
        </w:rPr>
        <w:t>. Argentina.</w:t>
      </w:r>
      <w:proofErr w:type="gramEnd"/>
      <w:r w:rsidRPr="009F4227">
        <w:rPr>
          <w:rFonts w:asciiTheme="majorHAnsi" w:hAnsiTheme="majorHAnsi"/>
          <w:sz w:val="16"/>
          <w:szCs w:val="16"/>
        </w:rPr>
        <w:t xml:space="preserve"> </w:t>
      </w:r>
      <w:proofErr w:type="gramStart"/>
      <w:r w:rsidRPr="009F4227">
        <w:rPr>
          <w:rFonts w:asciiTheme="majorHAnsi" w:hAnsiTheme="majorHAnsi"/>
          <w:sz w:val="16"/>
          <w:szCs w:val="16"/>
        </w:rPr>
        <w:t>Preliminary Objections, Merits and Reparat</w:t>
      </w:r>
      <w:r>
        <w:rPr>
          <w:rFonts w:asciiTheme="majorHAnsi" w:hAnsiTheme="majorHAnsi"/>
          <w:sz w:val="16"/>
          <w:szCs w:val="16"/>
        </w:rPr>
        <w:t>ions</w:t>
      </w:r>
      <w:r w:rsidRPr="009F4227">
        <w:rPr>
          <w:rFonts w:asciiTheme="majorHAnsi" w:hAnsiTheme="majorHAnsi"/>
          <w:sz w:val="16"/>
          <w:szCs w:val="16"/>
        </w:rPr>
        <w:t>.</w:t>
      </w:r>
      <w:proofErr w:type="gramEnd"/>
      <w:r w:rsidRPr="009F4227">
        <w:rPr>
          <w:rFonts w:asciiTheme="majorHAnsi" w:hAnsiTheme="majorHAnsi"/>
          <w:sz w:val="16"/>
          <w:szCs w:val="16"/>
        </w:rPr>
        <w:t xml:space="preserve"> </w:t>
      </w:r>
      <w:r w:rsidRPr="00E8055D">
        <w:rPr>
          <w:rFonts w:asciiTheme="majorHAnsi" w:hAnsiTheme="majorHAnsi"/>
          <w:sz w:val="16"/>
          <w:szCs w:val="16"/>
        </w:rPr>
        <w:t xml:space="preserve">Judgment of May 14, 2013. Series C No. 260, para. 218. See also: Cf. Case of </w:t>
      </w:r>
      <w:proofErr w:type="spellStart"/>
      <w:r w:rsidRPr="00E8055D">
        <w:rPr>
          <w:rFonts w:asciiTheme="majorHAnsi" w:hAnsiTheme="majorHAnsi"/>
          <w:sz w:val="16"/>
          <w:szCs w:val="16"/>
        </w:rPr>
        <w:t>Velásquez</w:t>
      </w:r>
      <w:proofErr w:type="spellEnd"/>
      <w:r w:rsidRPr="00E8055D">
        <w:rPr>
          <w:rFonts w:asciiTheme="majorHAnsi" w:hAnsiTheme="majorHAnsi"/>
          <w:sz w:val="16"/>
          <w:szCs w:val="16"/>
        </w:rPr>
        <w:t xml:space="preserve">-Rodríguez v. Honduras. </w:t>
      </w:r>
      <w:proofErr w:type="gramStart"/>
      <w:r w:rsidRPr="00E8055D">
        <w:rPr>
          <w:rFonts w:asciiTheme="majorHAnsi" w:hAnsiTheme="majorHAnsi"/>
          <w:sz w:val="16"/>
          <w:szCs w:val="16"/>
        </w:rPr>
        <w:t>Merits, para.</w:t>
      </w:r>
      <w:proofErr w:type="gramEnd"/>
      <w:r w:rsidRPr="00E8055D">
        <w:rPr>
          <w:rFonts w:asciiTheme="majorHAnsi" w:hAnsiTheme="majorHAnsi"/>
          <w:sz w:val="16"/>
          <w:szCs w:val="16"/>
        </w:rPr>
        <w:t xml:space="preserve"> </w:t>
      </w:r>
      <w:proofErr w:type="gramStart"/>
      <w:r w:rsidRPr="0028589B">
        <w:rPr>
          <w:rFonts w:asciiTheme="majorHAnsi" w:hAnsiTheme="majorHAnsi"/>
          <w:sz w:val="16"/>
          <w:szCs w:val="16"/>
        </w:rPr>
        <w:t>177,</w:t>
      </w:r>
      <w:proofErr w:type="gramEnd"/>
      <w:r w:rsidRPr="0028589B">
        <w:rPr>
          <w:rFonts w:asciiTheme="majorHAnsi" w:hAnsiTheme="majorHAnsi"/>
          <w:sz w:val="16"/>
          <w:szCs w:val="16"/>
        </w:rPr>
        <w:t xml:space="preserve"> and Case of the Santo Domingo Massacre v. Colombia, para. </w:t>
      </w:r>
      <w:r w:rsidRPr="00E8055D">
        <w:rPr>
          <w:rFonts w:asciiTheme="majorHAnsi" w:hAnsiTheme="majorHAnsi"/>
          <w:sz w:val="16"/>
          <w:szCs w:val="16"/>
        </w:rPr>
        <w:t>157.</w:t>
      </w:r>
    </w:p>
  </w:footnote>
  <w:footnote w:id="72">
    <w:p w:rsidR="000E7166" w:rsidRPr="0034190F"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8055D">
        <w:rPr>
          <w:rStyle w:val="FootnoteReference"/>
          <w:rFonts w:asciiTheme="majorHAnsi" w:hAnsiTheme="majorHAnsi"/>
          <w:sz w:val="16"/>
          <w:szCs w:val="16"/>
        </w:rPr>
        <w:t xml:space="preserve"> </w:t>
      </w:r>
      <w:proofErr w:type="gramStart"/>
      <w:r w:rsidRPr="00E8055D">
        <w:rPr>
          <w:rFonts w:asciiTheme="majorHAnsi" w:hAnsiTheme="majorHAnsi"/>
          <w:sz w:val="16"/>
          <w:szCs w:val="16"/>
        </w:rPr>
        <w:t xml:space="preserve">I/A Court H.R. Case of </w:t>
      </w:r>
      <w:proofErr w:type="spellStart"/>
      <w:r w:rsidRPr="00E8055D">
        <w:rPr>
          <w:rFonts w:asciiTheme="majorHAnsi" w:hAnsiTheme="majorHAnsi"/>
          <w:sz w:val="16"/>
          <w:szCs w:val="16"/>
        </w:rPr>
        <w:t>Velásquez</w:t>
      </w:r>
      <w:proofErr w:type="spellEnd"/>
      <w:r w:rsidRPr="00E8055D">
        <w:rPr>
          <w:rFonts w:asciiTheme="majorHAnsi" w:hAnsiTheme="majorHAnsi"/>
          <w:sz w:val="16"/>
          <w:szCs w:val="16"/>
        </w:rPr>
        <w:t>-Rodríguez v. Honduras.</w:t>
      </w:r>
      <w:proofErr w:type="gramEnd"/>
      <w:r w:rsidRPr="00E8055D">
        <w:rPr>
          <w:rFonts w:asciiTheme="majorHAnsi" w:hAnsiTheme="majorHAnsi"/>
          <w:sz w:val="16"/>
          <w:szCs w:val="16"/>
        </w:rPr>
        <w:t xml:space="preserve"> </w:t>
      </w:r>
      <w:proofErr w:type="gramStart"/>
      <w:r w:rsidRPr="00E8055D">
        <w:rPr>
          <w:rFonts w:asciiTheme="majorHAnsi" w:hAnsiTheme="majorHAnsi"/>
          <w:sz w:val="16"/>
          <w:szCs w:val="16"/>
        </w:rPr>
        <w:t>Merits.</w:t>
      </w:r>
      <w:proofErr w:type="gramEnd"/>
      <w:r w:rsidRPr="00E8055D">
        <w:rPr>
          <w:rFonts w:asciiTheme="majorHAnsi" w:hAnsiTheme="majorHAnsi"/>
          <w:sz w:val="16"/>
          <w:szCs w:val="16"/>
        </w:rPr>
        <w:t xml:space="preserve"> Judgment of July 29, 1988. </w:t>
      </w:r>
      <w:proofErr w:type="gramStart"/>
      <w:r w:rsidRPr="00E8055D">
        <w:rPr>
          <w:rFonts w:asciiTheme="majorHAnsi" w:hAnsiTheme="majorHAnsi"/>
          <w:sz w:val="16"/>
          <w:szCs w:val="16"/>
        </w:rPr>
        <w:t>Series C, No. 6, para.</w:t>
      </w:r>
      <w:proofErr w:type="gramEnd"/>
      <w:r w:rsidRPr="00E8055D">
        <w:rPr>
          <w:rFonts w:asciiTheme="majorHAnsi" w:hAnsiTheme="majorHAnsi"/>
          <w:sz w:val="16"/>
          <w:szCs w:val="16"/>
        </w:rPr>
        <w:t xml:space="preserve"> </w:t>
      </w:r>
      <w:r w:rsidRPr="0034190F">
        <w:rPr>
          <w:rFonts w:asciiTheme="majorHAnsi" w:hAnsiTheme="majorHAnsi"/>
          <w:sz w:val="16"/>
          <w:szCs w:val="16"/>
        </w:rPr>
        <w:t>177.</w:t>
      </w:r>
    </w:p>
  </w:footnote>
  <w:footnote w:id="73">
    <w:p w:rsidR="000E7166" w:rsidRPr="00994B8D" w:rsidRDefault="000E7166" w:rsidP="0043505F">
      <w:pPr>
        <w:pStyle w:val="FootnoteText"/>
        <w:jc w:val="both"/>
        <w:rPr>
          <w:rFonts w:asciiTheme="majorHAnsi" w:hAnsiTheme="majorHAnsi"/>
          <w:sz w:val="16"/>
          <w:szCs w:val="16"/>
        </w:rPr>
      </w:pPr>
      <w:r w:rsidRPr="00994B8D">
        <w:rPr>
          <w:rStyle w:val="FootnoteReference"/>
          <w:rFonts w:asciiTheme="majorHAnsi" w:hAnsiTheme="majorHAnsi"/>
          <w:sz w:val="16"/>
          <w:szCs w:val="16"/>
        </w:rPr>
        <w:footnoteRef/>
      </w:r>
      <w:r w:rsidRPr="00994B8D">
        <w:rPr>
          <w:rStyle w:val="FootnoteReference"/>
          <w:rFonts w:asciiTheme="majorHAnsi" w:hAnsiTheme="majorHAnsi"/>
          <w:sz w:val="16"/>
          <w:szCs w:val="16"/>
        </w:rPr>
        <w:t xml:space="preserve"> </w:t>
      </w:r>
      <w:proofErr w:type="gramStart"/>
      <w:r w:rsidRPr="00994B8D">
        <w:rPr>
          <w:rStyle w:val="FootnoteTextChar"/>
          <w:rFonts w:asciiTheme="majorHAnsi" w:hAnsiTheme="majorHAnsi"/>
          <w:sz w:val="16"/>
          <w:szCs w:val="16"/>
        </w:rPr>
        <w:t>IACHR.</w:t>
      </w:r>
      <w:proofErr w:type="gramEnd"/>
      <w:r w:rsidRPr="00994B8D">
        <w:rPr>
          <w:rStyle w:val="FootnoteTextChar"/>
          <w:rFonts w:asciiTheme="majorHAnsi" w:hAnsiTheme="majorHAnsi"/>
          <w:sz w:val="16"/>
          <w:szCs w:val="16"/>
        </w:rPr>
        <w:t xml:space="preserve"> Report on the Situation of Human Rights Defenders in the Americas. OEA/</w:t>
      </w:r>
      <w:proofErr w:type="spellStart"/>
      <w:r w:rsidRPr="00994B8D">
        <w:rPr>
          <w:rStyle w:val="FootnoteTextChar"/>
          <w:rFonts w:asciiTheme="majorHAnsi" w:hAnsiTheme="majorHAnsi"/>
          <w:sz w:val="16"/>
          <w:szCs w:val="16"/>
        </w:rPr>
        <w:t>Ser.L</w:t>
      </w:r>
      <w:proofErr w:type="spellEnd"/>
      <w:r w:rsidRPr="00994B8D">
        <w:rPr>
          <w:rStyle w:val="FootnoteTextChar"/>
          <w:rFonts w:asciiTheme="majorHAnsi" w:hAnsiTheme="majorHAnsi"/>
          <w:sz w:val="16"/>
          <w:szCs w:val="16"/>
        </w:rPr>
        <w:t xml:space="preserve">/V/II.124. </w:t>
      </w:r>
      <w:proofErr w:type="gramStart"/>
      <w:r w:rsidRPr="00994B8D">
        <w:rPr>
          <w:rStyle w:val="FootnoteTextChar"/>
          <w:rFonts w:asciiTheme="majorHAnsi" w:hAnsiTheme="majorHAnsi"/>
          <w:sz w:val="16"/>
          <w:szCs w:val="16"/>
        </w:rPr>
        <w:t>Doc. 5 rev.1, March 7, 2006, para.</w:t>
      </w:r>
      <w:proofErr w:type="gramEnd"/>
      <w:r w:rsidRPr="00994B8D">
        <w:rPr>
          <w:rStyle w:val="FootnoteTextChar"/>
          <w:rFonts w:asciiTheme="majorHAnsi" w:hAnsiTheme="majorHAnsi"/>
          <w:sz w:val="16"/>
          <w:szCs w:val="16"/>
        </w:rPr>
        <w:t xml:space="preserve"> 109. Also: I/A Court H.R. Case of the Constitutional Court v. Peru. </w:t>
      </w:r>
      <w:proofErr w:type="gramStart"/>
      <w:r>
        <w:rPr>
          <w:rStyle w:val="FootnoteTextChar"/>
          <w:rFonts w:asciiTheme="majorHAnsi" w:hAnsiTheme="majorHAnsi"/>
          <w:sz w:val="16"/>
          <w:szCs w:val="16"/>
        </w:rPr>
        <w:t>Merits, Reparations and Costs.</w:t>
      </w:r>
      <w:proofErr w:type="gramEnd"/>
      <w:r>
        <w:rPr>
          <w:rStyle w:val="FootnoteTextChar"/>
          <w:rFonts w:asciiTheme="majorHAnsi" w:hAnsiTheme="majorHAnsi"/>
          <w:sz w:val="16"/>
          <w:szCs w:val="16"/>
        </w:rPr>
        <w:t xml:space="preserve"> </w:t>
      </w:r>
      <w:r w:rsidRPr="00994B8D">
        <w:rPr>
          <w:rStyle w:val="FootnoteTextChar"/>
          <w:rFonts w:asciiTheme="majorHAnsi" w:hAnsiTheme="majorHAnsi"/>
          <w:sz w:val="16"/>
          <w:szCs w:val="16"/>
        </w:rPr>
        <w:t>Judgment of January 31</w:t>
      </w:r>
      <w:proofErr w:type="gramStart"/>
      <w:r w:rsidRPr="00994B8D">
        <w:rPr>
          <w:rStyle w:val="FootnoteTextChar"/>
          <w:rFonts w:asciiTheme="majorHAnsi" w:hAnsiTheme="majorHAnsi"/>
          <w:sz w:val="16"/>
          <w:szCs w:val="16"/>
        </w:rPr>
        <w:t>,2001</w:t>
      </w:r>
      <w:proofErr w:type="gramEnd"/>
      <w:r w:rsidRPr="00994B8D">
        <w:rPr>
          <w:rStyle w:val="FootnoteTextChar"/>
          <w:rFonts w:asciiTheme="majorHAnsi" w:hAnsiTheme="majorHAnsi"/>
          <w:sz w:val="16"/>
          <w:szCs w:val="16"/>
        </w:rPr>
        <w:t xml:space="preserve">. Series C No. 71, para. </w:t>
      </w:r>
      <w:proofErr w:type="gramStart"/>
      <w:r w:rsidRPr="00994B8D">
        <w:rPr>
          <w:rStyle w:val="FootnoteTextChar"/>
          <w:rFonts w:asciiTheme="majorHAnsi" w:hAnsiTheme="majorHAnsi"/>
          <w:sz w:val="16"/>
          <w:szCs w:val="16"/>
        </w:rPr>
        <w:t>123; I/A Court H.R. Case of Blake v. Guatemala, Reparations and Costs.</w:t>
      </w:r>
      <w:proofErr w:type="gramEnd"/>
      <w:r w:rsidRPr="00994B8D">
        <w:rPr>
          <w:rStyle w:val="FootnoteTextChar"/>
          <w:rFonts w:asciiTheme="majorHAnsi" w:hAnsiTheme="majorHAnsi"/>
          <w:sz w:val="16"/>
          <w:szCs w:val="16"/>
        </w:rPr>
        <w:t xml:space="preserve"> </w:t>
      </w:r>
      <w:proofErr w:type="gramStart"/>
      <w:r w:rsidRPr="00994B8D">
        <w:rPr>
          <w:rStyle w:val="FootnoteTextChar"/>
          <w:rFonts w:asciiTheme="majorHAnsi" w:hAnsiTheme="majorHAnsi"/>
          <w:sz w:val="16"/>
          <w:szCs w:val="16"/>
        </w:rPr>
        <w:t>Judgment of January 22, 1999, Series C No. 48, para.</w:t>
      </w:r>
      <w:proofErr w:type="gramEnd"/>
      <w:r w:rsidRPr="00994B8D">
        <w:rPr>
          <w:rStyle w:val="FootnoteTextChar"/>
          <w:rFonts w:asciiTheme="majorHAnsi" w:hAnsiTheme="majorHAnsi"/>
          <w:sz w:val="16"/>
          <w:szCs w:val="16"/>
        </w:rPr>
        <w:t xml:space="preserve"> 65.</w:t>
      </w:r>
    </w:p>
  </w:footnote>
  <w:footnote w:id="74">
    <w:p w:rsidR="000E7166" w:rsidRPr="00E8055D"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E8055D">
        <w:rPr>
          <w:rStyle w:val="FootnoteReference"/>
          <w:rFonts w:asciiTheme="majorHAnsi" w:hAnsiTheme="majorHAnsi"/>
          <w:sz w:val="16"/>
          <w:szCs w:val="16"/>
        </w:rPr>
        <w:t xml:space="preserve"> </w:t>
      </w:r>
      <w:proofErr w:type="gramStart"/>
      <w:r w:rsidRPr="00E8055D">
        <w:rPr>
          <w:rFonts w:asciiTheme="majorHAnsi" w:hAnsiTheme="majorHAnsi"/>
          <w:sz w:val="16"/>
          <w:szCs w:val="16"/>
        </w:rPr>
        <w:t>I/A Court H.R. Case of García Ibarra et al. v. Ecuador.</w:t>
      </w:r>
      <w:proofErr w:type="gramEnd"/>
      <w:r w:rsidRPr="00E8055D">
        <w:rPr>
          <w:rFonts w:asciiTheme="majorHAnsi" w:hAnsiTheme="majorHAnsi"/>
          <w:sz w:val="16"/>
          <w:szCs w:val="16"/>
        </w:rPr>
        <w:t xml:space="preserve"> </w:t>
      </w:r>
      <w:proofErr w:type="gramStart"/>
      <w:r w:rsidRPr="007D2A2A">
        <w:rPr>
          <w:rFonts w:asciiTheme="majorHAnsi" w:hAnsiTheme="majorHAnsi"/>
          <w:sz w:val="16"/>
          <w:szCs w:val="16"/>
        </w:rPr>
        <w:t>Preliminary Objections, Merits, Reparations and Costs.</w:t>
      </w:r>
      <w:proofErr w:type="gramEnd"/>
      <w:r>
        <w:rPr>
          <w:rFonts w:asciiTheme="majorHAnsi" w:hAnsiTheme="majorHAnsi"/>
          <w:sz w:val="16"/>
          <w:szCs w:val="16"/>
        </w:rPr>
        <w:t xml:space="preserve"> Judgment of November</w:t>
      </w:r>
      <w:r w:rsidRPr="007D2A2A">
        <w:rPr>
          <w:rFonts w:asciiTheme="majorHAnsi" w:hAnsiTheme="majorHAnsi"/>
          <w:sz w:val="16"/>
          <w:szCs w:val="16"/>
        </w:rPr>
        <w:t xml:space="preserve"> 17</w:t>
      </w:r>
      <w:r>
        <w:rPr>
          <w:rFonts w:asciiTheme="majorHAnsi" w:hAnsiTheme="majorHAnsi"/>
          <w:sz w:val="16"/>
          <w:szCs w:val="16"/>
        </w:rPr>
        <w:t>,</w:t>
      </w:r>
      <w:r w:rsidRPr="007D2A2A">
        <w:rPr>
          <w:rFonts w:asciiTheme="majorHAnsi" w:hAnsiTheme="majorHAnsi"/>
          <w:sz w:val="16"/>
          <w:szCs w:val="16"/>
        </w:rPr>
        <w:t xml:space="preserve"> 2015. </w:t>
      </w:r>
      <w:r w:rsidRPr="00E8055D">
        <w:rPr>
          <w:rFonts w:asciiTheme="majorHAnsi" w:hAnsiTheme="majorHAnsi"/>
          <w:sz w:val="16"/>
          <w:szCs w:val="16"/>
        </w:rPr>
        <w:t xml:space="preserve">Series S No. 306, para. 143. </w:t>
      </w:r>
    </w:p>
  </w:footnote>
  <w:footnote w:id="75">
    <w:p w:rsidR="000E7166" w:rsidRPr="00A01230"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325DAD">
        <w:rPr>
          <w:rFonts w:asciiTheme="majorHAnsi" w:hAnsiTheme="majorHAnsi"/>
          <w:sz w:val="16"/>
          <w:szCs w:val="16"/>
        </w:rPr>
        <w:t xml:space="preserve"> </w:t>
      </w:r>
      <w:proofErr w:type="gramStart"/>
      <w:r w:rsidRPr="00325DAD">
        <w:rPr>
          <w:rFonts w:asciiTheme="majorHAnsi" w:hAnsiTheme="majorHAnsi"/>
          <w:sz w:val="16"/>
          <w:szCs w:val="16"/>
        </w:rPr>
        <w:t>I/A Court H.R. Case of Ortiz Hernández et al. v. Venezuela.</w:t>
      </w:r>
      <w:proofErr w:type="gramEnd"/>
      <w:r w:rsidRPr="00325DAD">
        <w:rPr>
          <w:rFonts w:asciiTheme="majorHAnsi" w:hAnsiTheme="majorHAnsi"/>
          <w:sz w:val="16"/>
          <w:szCs w:val="16"/>
        </w:rPr>
        <w:t xml:space="preserve"> </w:t>
      </w:r>
      <w:proofErr w:type="gramStart"/>
      <w:r>
        <w:rPr>
          <w:rFonts w:asciiTheme="majorHAnsi" w:hAnsiTheme="majorHAnsi"/>
          <w:sz w:val="16"/>
          <w:szCs w:val="16"/>
        </w:rPr>
        <w:t>Merits, Reparations and Costs.</w:t>
      </w:r>
      <w:proofErr w:type="gramEnd"/>
      <w:r>
        <w:rPr>
          <w:rFonts w:asciiTheme="majorHAnsi" w:hAnsiTheme="majorHAnsi"/>
          <w:sz w:val="16"/>
          <w:szCs w:val="16"/>
        </w:rPr>
        <w:t xml:space="preserve"> </w:t>
      </w:r>
      <w:r w:rsidRPr="00325DAD">
        <w:rPr>
          <w:rFonts w:asciiTheme="majorHAnsi" w:hAnsiTheme="majorHAnsi"/>
          <w:sz w:val="16"/>
          <w:szCs w:val="16"/>
        </w:rPr>
        <w:t>Judgment of August</w:t>
      </w:r>
      <w:r w:rsidRPr="0043505F">
        <w:rPr>
          <w:rFonts w:asciiTheme="majorHAnsi" w:hAnsiTheme="majorHAnsi"/>
          <w:sz w:val="16"/>
          <w:szCs w:val="16"/>
        </w:rPr>
        <w:t xml:space="preserve"> 22</w:t>
      </w:r>
      <w:r>
        <w:rPr>
          <w:rFonts w:asciiTheme="majorHAnsi" w:hAnsiTheme="majorHAnsi"/>
          <w:sz w:val="16"/>
          <w:szCs w:val="16"/>
        </w:rPr>
        <w:t xml:space="preserve">, </w:t>
      </w:r>
      <w:r w:rsidRPr="0043505F">
        <w:rPr>
          <w:rFonts w:asciiTheme="majorHAnsi" w:hAnsiTheme="majorHAnsi"/>
          <w:sz w:val="16"/>
          <w:szCs w:val="16"/>
        </w:rPr>
        <w:t xml:space="preserve">2017. </w:t>
      </w:r>
      <w:r w:rsidRPr="00A01230">
        <w:rPr>
          <w:rFonts w:asciiTheme="majorHAnsi" w:hAnsiTheme="majorHAnsi"/>
          <w:sz w:val="16"/>
          <w:szCs w:val="16"/>
        </w:rPr>
        <w:t>Serie</w:t>
      </w:r>
      <w:r>
        <w:rPr>
          <w:rFonts w:asciiTheme="majorHAnsi" w:hAnsiTheme="majorHAnsi"/>
          <w:sz w:val="16"/>
          <w:szCs w:val="16"/>
        </w:rPr>
        <w:t>s</w:t>
      </w:r>
      <w:r w:rsidRPr="00A01230">
        <w:rPr>
          <w:rFonts w:asciiTheme="majorHAnsi" w:hAnsiTheme="majorHAnsi"/>
          <w:sz w:val="16"/>
          <w:szCs w:val="16"/>
        </w:rPr>
        <w:t xml:space="preserve"> C No. 338</w:t>
      </w:r>
      <w:r>
        <w:rPr>
          <w:rFonts w:asciiTheme="majorHAnsi" w:hAnsiTheme="majorHAnsi"/>
          <w:sz w:val="16"/>
          <w:szCs w:val="16"/>
        </w:rPr>
        <w:t xml:space="preserve">, para. </w:t>
      </w:r>
      <w:r w:rsidRPr="00A01230">
        <w:rPr>
          <w:rFonts w:asciiTheme="majorHAnsi" w:hAnsiTheme="majorHAnsi"/>
          <w:sz w:val="16"/>
          <w:szCs w:val="16"/>
        </w:rPr>
        <w:t xml:space="preserve">161. </w:t>
      </w:r>
    </w:p>
  </w:footnote>
  <w:footnote w:id="76">
    <w:p w:rsidR="000E7166" w:rsidRPr="002F2E7D"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A01230">
        <w:rPr>
          <w:rStyle w:val="FootnoteReference"/>
          <w:rFonts w:asciiTheme="majorHAnsi" w:hAnsiTheme="majorHAnsi"/>
          <w:sz w:val="16"/>
          <w:szCs w:val="16"/>
        </w:rPr>
        <w:t xml:space="preserve"> </w:t>
      </w:r>
      <w:proofErr w:type="gramStart"/>
      <w:r w:rsidRPr="00A01230">
        <w:rPr>
          <w:rFonts w:asciiTheme="majorHAnsi" w:hAnsiTheme="majorHAnsi"/>
          <w:sz w:val="16"/>
          <w:szCs w:val="16"/>
        </w:rPr>
        <w:t>UN.</w:t>
      </w:r>
      <w:proofErr w:type="gramEnd"/>
      <w:r w:rsidRPr="00A01230">
        <w:rPr>
          <w:rFonts w:asciiTheme="majorHAnsi" w:hAnsiTheme="majorHAnsi"/>
          <w:sz w:val="16"/>
          <w:szCs w:val="16"/>
        </w:rPr>
        <w:t xml:space="preserve"> </w:t>
      </w:r>
      <w:proofErr w:type="gramStart"/>
      <w:r w:rsidRPr="00A01230">
        <w:rPr>
          <w:rFonts w:asciiTheme="majorHAnsi" w:hAnsiTheme="majorHAnsi"/>
          <w:sz w:val="16"/>
          <w:szCs w:val="16"/>
        </w:rPr>
        <w:t>The Minnesota Protocol on the Investigation of Potentially Unlawful Death (2016), Office of the United Nations High Commissioner for Human Rights, New York/Geneva, 2017</w:t>
      </w:r>
      <w:r>
        <w:rPr>
          <w:rFonts w:asciiTheme="majorHAnsi" w:hAnsiTheme="majorHAnsi"/>
          <w:sz w:val="16"/>
          <w:szCs w:val="16"/>
        </w:rPr>
        <w:t>, para.</w:t>
      </w:r>
      <w:proofErr w:type="gramEnd"/>
      <w:r w:rsidRPr="002F2E7D">
        <w:rPr>
          <w:rFonts w:asciiTheme="majorHAnsi" w:hAnsiTheme="majorHAnsi"/>
          <w:sz w:val="16"/>
          <w:szCs w:val="16"/>
        </w:rPr>
        <w:t xml:space="preserve"> 86</w:t>
      </w:r>
      <w:r>
        <w:rPr>
          <w:rFonts w:asciiTheme="majorHAnsi" w:hAnsiTheme="majorHAnsi"/>
          <w:sz w:val="16"/>
          <w:szCs w:val="16"/>
        </w:rPr>
        <w:t>.</w:t>
      </w:r>
    </w:p>
  </w:footnote>
  <w:footnote w:id="77">
    <w:p w:rsidR="000E7166" w:rsidRPr="002F2E7D" w:rsidRDefault="000E7166" w:rsidP="0043505F">
      <w:pPr>
        <w:pStyle w:val="FootnoteText"/>
        <w:rPr>
          <w:rFonts w:asciiTheme="majorHAnsi" w:hAnsiTheme="majorHAnsi"/>
          <w:sz w:val="16"/>
          <w:szCs w:val="16"/>
        </w:rPr>
      </w:pPr>
      <w:r w:rsidRPr="00A01230">
        <w:rPr>
          <w:rStyle w:val="FootnoteReference"/>
          <w:rFonts w:asciiTheme="majorHAnsi" w:hAnsiTheme="majorHAnsi"/>
          <w:sz w:val="16"/>
          <w:szCs w:val="16"/>
        </w:rPr>
        <w:footnoteRef/>
      </w:r>
      <w:r w:rsidRPr="002F2E7D">
        <w:rPr>
          <w:rFonts w:asciiTheme="majorHAnsi" w:hAnsiTheme="majorHAnsi"/>
          <w:sz w:val="16"/>
          <w:szCs w:val="16"/>
        </w:rPr>
        <w:t xml:space="preserve"> </w:t>
      </w:r>
      <w:proofErr w:type="gramStart"/>
      <w:r w:rsidRPr="004F2AAC">
        <w:rPr>
          <w:rFonts w:asciiTheme="majorHAnsi" w:hAnsiTheme="majorHAnsi"/>
          <w:sz w:val="16"/>
          <w:szCs w:val="16"/>
        </w:rPr>
        <w:t>I/A Court H.R. Cas</w:t>
      </w:r>
      <w:r>
        <w:rPr>
          <w:rFonts w:asciiTheme="majorHAnsi" w:hAnsiTheme="majorHAnsi"/>
          <w:sz w:val="16"/>
          <w:szCs w:val="16"/>
        </w:rPr>
        <w:t>e</w:t>
      </w:r>
      <w:r w:rsidRPr="004F2AAC">
        <w:rPr>
          <w:rFonts w:asciiTheme="majorHAnsi" w:hAnsiTheme="majorHAnsi"/>
          <w:sz w:val="16"/>
          <w:szCs w:val="16"/>
        </w:rPr>
        <w:t xml:space="preserve"> of V.R.P., V.P.C. et al. v. Nicaragua, March 8, 2018, p</w:t>
      </w:r>
      <w:r>
        <w:rPr>
          <w:rFonts w:asciiTheme="majorHAnsi" w:hAnsiTheme="majorHAnsi"/>
          <w:sz w:val="16"/>
          <w:szCs w:val="16"/>
        </w:rPr>
        <w:t>ara</w:t>
      </w:r>
      <w:r w:rsidRPr="004F2AAC">
        <w:rPr>
          <w:rFonts w:asciiTheme="majorHAnsi" w:hAnsiTheme="majorHAnsi"/>
          <w:sz w:val="16"/>
          <w:szCs w:val="16"/>
        </w:rPr>
        <w:t>.</w:t>
      </w:r>
      <w:proofErr w:type="gramEnd"/>
      <w:r w:rsidRPr="002F2E7D">
        <w:rPr>
          <w:rFonts w:asciiTheme="majorHAnsi" w:hAnsiTheme="majorHAnsi"/>
          <w:sz w:val="16"/>
          <w:szCs w:val="16"/>
        </w:rPr>
        <w:t xml:space="preserve"> 210.</w:t>
      </w:r>
    </w:p>
  </w:footnote>
  <w:footnote w:id="78">
    <w:p w:rsidR="000E7166" w:rsidRPr="00E8055D" w:rsidRDefault="000E7166" w:rsidP="0043505F">
      <w:pPr>
        <w:pStyle w:val="FootnoteText"/>
        <w:rPr>
          <w:rFonts w:asciiTheme="majorHAnsi" w:hAnsiTheme="majorHAnsi"/>
          <w:sz w:val="16"/>
          <w:szCs w:val="16"/>
        </w:rPr>
      </w:pPr>
      <w:r w:rsidRPr="00A01230">
        <w:rPr>
          <w:rStyle w:val="FootnoteReference"/>
          <w:rFonts w:asciiTheme="majorHAnsi" w:hAnsiTheme="majorHAnsi"/>
          <w:sz w:val="16"/>
          <w:szCs w:val="16"/>
        </w:rPr>
        <w:footnoteRef/>
      </w:r>
      <w:r w:rsidRPr="002F2E7D">
        <w:rPr>
          <w:rFonts w:asciiTheme="majorHAnsi" w:hAnsiTheme="majorHAnsi"/>
          <w:sz w:val="16"/>
          <w:szCs w:val="16"/>
        </w:rPr>
        <w:t xml:space="preserve"> </w:t>
      </w:r>
      <w:proofErr w:type="gramStart"/>
      <w:r w:rsidRPr="004F2AAC">
        <w:rPr>
          <w:rFonts w:asciiTheme="majorHAnsi" w:hAnsiTheme="majorHAnsi"/>
          <w:sz w:val="16"/>
          <w:szCs w:val="16"/>
        </w:rPr>
        <w:t>I/A Court H.R. Cas</w:t>
      </w:r>
      <w:r>
        <w:rPr>
          <w:rFonts w:asciiTheme="majorHAnsi" w:hAnsiTheme="majorHAnsi"/>
          <w:sz w:val="16"/>
          <w:szCs w:val="16"/>
        </w:rPr>
        <w:t>e</w:t>
      </w:r>
      <w:r w:rsidRPr="004F2AAC">
        <w:rPr>
          <w:rFonts w:asciiTheme="majorHAnsi" w:hAnsiTheme="majorHAnsi"/>
          <w:sz w:val="16"/>
          <w:szCs w:val="16"/>
        </w:rPr>
        <w:t xml:space="preserve"> of V.R.P., V.P.C. et al. v. Nicaragua, March 8, 2018, p</w:t>
      </w:r>
      <w:r>
        <w:rPr>
          <w:rFonts w:asciiTheme="majorHAnsi" w:hAnsiTheme="majorHAnsi"/>
          <w:sz w:val="16"/>
          <w:szCs w:val="16"/>
        </w:rPr>
        <w:t>ara</w:t>
      </w:r>
      <w:r w:rsidRPr="002F2E7D">
        <w:rPr>
          <w:rFonts w:asciiTheme="majorHAnsi" w:hAnsiTheme="majorHAnsi"/>
          <w:sz w:val="16"/>
          <w:szCs w:val="16"/>
        </w:rPr>
        <w:t>.</w:t>
      </w:r>
      <w:proofErr w:type="gramEnd"/>
      <w:r w:rsidRPr="002F2E7D">
        <w:rPr>
          <w:rFonts w:asciiTheme="majorHAnsi" w:hAnsiTheme="majorHAnsi"/>
          <w:sz w:val="16"/>
          <w:szCs w:val="16"/>
        </w:rPr>
        <w:t xml:space="preserve"> </w:t>
      </w:r>
      <w:r w:rsidRPr="00E8055D">
        <w:rPr>
          <w:rFonts w:asciiTheme="majorHAnsi" w:hAnsiTheme="majorHAnsi"/>
          <w:sz w:val="16"/>
          <w:szCs w:val="16"/>
        </w:rPr>
        <w:t>271.</w:t>
      </w:r>
    </w:p>
  </w:footnote>
  <w:footnote w:id="79">
    <w:p w:rsidR="000E7166" w:rsidRPr="00E8055D" w:rsidRDefault="000E7166" w:rsidP="0043505F">
      <w:pPr>
        <w:pStyle w:val="FootnoteText"/>
        <w:rPr>
          <w:rFonts w:asciiTheme="majorHAnsi" w:hAnsiTheme="majorHAnsi"/>
          <w:sz w:val="16"/>
          <w:szCs w:val="16"/>
        </w:rPr>
      </w:pPr>
      <w:r w:rsidRPr="00A01230">
        <w:rPr>
          <w:rStyle w:val="FootnoteReference"/>
          <w:rFonts w:asciiTheme="majorHAnsi" w:hAnsiTheme="majorHAnsi"/>
          <w:sz w:val="16"/>
          <w:szCs w:val="16"/>
        </w:rPr>
        <w:footnoteRef/>
      </w:r>
      <w:r w:rsidRPr="002F2E7D">
        <w:rPr>
          <w:rFonts w:asciiTheme="majorHAnsi" w:hAnsiTheme="majorHAnsi"/>
          <w:sz w:val="16"/>
          <w:szCs w:val="16"/>
        </w:rPr>
        <w:t xml:space="preserve"> </w:t>
      </w:r>
      <w:proofErr w:type="gramStart"/>
      <w:r w:rsidRPr="004F2AAC">
        <w:rPr>
          <w:rFonts w:asciiTheme="majorHAnsi" w:hAnsiTheme="majorHAnsi"/>
          <w:sz w:val="16"/>
          <w:szCs w:val="16"/>
        </w:rPr>
        <w:t>I/A Court H.R. Cas</w:t>
      </w:r>
      <w:r>
        <w:rPr>
          <w:rFonts w:asciiTheme="majorHAnsi" w:hAnsiTheme="majorHAnsi"/>
          <w:sz w:val="16"/>
          <w:szCs w:val="16"/>
        </w:rPr>
        <w:t>e</w:t>
      </w:r>
      <w:r w:rsidRPr="004F2AAC">
        <w:rPr>
          <w:rFonts w:asciiTheme="majorHAnsi" w:hAnsiTheme="majorHAnsi"/>
          <w:sz w:val="16"/>
          <w:szCs w:val="16"/>
        </w:rPr>
        <w:t xml:space="preserve"> of V.R.P., V.P.C. et al. v. Nicaragua, March 8, 2018, p</w:t>
      </w:r>
      <w:r>
        <w:rPr>
          <w:rFonts w:asciiTheme="majorHAnsi" w:hAnsiTheme="majorHAnsi"/>
          <w:sz w:val="16"/>
          <w:szCs w:val="16"/>
        </w:rPr>
        <w:t>ara</w:t>
      </w:r>
      <w:r w:rsidRPr="002F2E7D">
        <w:rPr>
          <w:rFonts w:asciiTheme="majorHAnsi" w:hAnsiTheme="majorHAnsi"/>
          <w:sz w:val="16"/>
          <w:szCs w:val="16"/>
        </w:rPr>
        <w:t>.</w:t>
      </w:r>
      <w:proofErr w:type="gramEnd"/>
      <w:r w:rsidRPr="002F2E7D">
        <w:rPr>
          <w:rFonts w:asciiTheme="majorHAnsi" w:hAnsiTheme="majorHAnsi"/>
          <w:sz w:val="16"/>
          <w:szCs w:val="16"/>
        </w:rPr>
        <w:t xml:space="preserve"> </w:t>
      </w:r>
      <w:r w:rsidRPr="00E8055D">
        <w:rPr>
          <w:rFonts w:asciiTheme="majorHAnsi" w:hAnsiTheme="majorHAnsi"/>
          <w:sz w:val="16"/>
          <w:szCs w:val="16"/>
        </w:rPr>
        <w:t>263.</w:t>
      </w:r>
    </w:p>
  </w:footnote>
  <w:footnote w:id="80">
    <w:p w:rsidR="000E7166" w:rsidRPr="002F2E7D" w:rsidRDefault="000E7166" w:rsidP="0043505F">
      <w:pPr>
        <w:pStyle w:val="FootnoteText"/>
        <w:rPr>
          <w:rFonts w:asciiTheme="majorHAnsi" w:hAnsiTheme="majorHAnsi"/>
          <w:sz w:val="16"/>
          <w:szCs w:val="16"/>
        </w:rPr>
      </w:pPr>
      <w:r w:rsidRPr="00A01230">
        <w:rPr>
          <w:rStyle w:val="FootnoteReference"/>
          <w:rFonts w:asciiTheme="majorHAnsi" w:hAnsiTheme="majorHAnsi"/>
          <w:sz w:val="16"/>
          <w:szCs w:val="16"/>
        </w:rPr>
        <w:footnoteRef/>
      </w:r>
      <w:r w:rsidRPr="002F2E7D">
        <w:rPr>
          <w:rFonts w:asciiTheme="majorHAnsi" w:hAnsiTheme="majorHAnsi"/>
          <w:sz w:val="16"/>
          <w:szCs w:val="16"/>
        </w:rPr>
        <w:t xml:space="preserve"> </w:t>
      </w:r>
      <w:proofErr w:type="gramStart"/>
      <w:r w:rsidRPr="004F2AAC">
        <w:rPr>
          <w:rFonts w:asciiTheme="majorHAnsi" w:hAnsiTheme="majorHAnsi"/>
          <w:sz w:val="16"/>
          <w:szCs w:val="16"/>
        </w:rPr>
        <w:t>I/A Court H.R. Cas</w:t>
      </w:r>
      <w:r>
        <w:rPr>
          <w:rFonts w:asciiTheme="majorHAnsi" w:hAnsiTheme="majorHAnsi"/>
          <w:sz w:val="16"/>
          <w:szCs w:val="16"/>
        </w:rPr>
        <w:t>e</w:t>
      </w:r>
      <w:r w:rsidRPr="004F2AAC">
        <w:rPr>
          <w:rFonts w:asciiTheme="majorHAnsi" w:hAnsiTheme="majorHAnsi"/>
          <w:sz w:val="16"/>
          <w:szCs w:val="16"/>
        </w:rPr>
        <w:t xml:space="preserve"> of V.R.P., V.P.C. et al. v. Nicaragua, March 8, 2018, p</w:t>
      </w:r>
      <w:r>
        <w:rPr>
          <w:rFonts w:asciiTheme="majorHAnsi" w:hAnsiTheme="majorHAnsi"/>
          <w:sz w:val="16"/>
          <w:szCs w:val="16"/>
        </w:rPr>
        <w:t>ara</w:t>
      </w:r>
      <w:r w:rsidRPr="004F2AAC">
        <w:rPr>
          <w:rFonts w:asciiTheme="majorHAnsi" w:hAnsiTheme="majorHAnsi"/>
          <w:sz w:val="16"/>
          <w:szCs w:val="16"/>
        </w:rPr>
        <w:t>.</w:t>
      </w:r>
      <w:proofErr w:type="gramEnd"/>
      <w:r>
        <w:rPr>
          <w:rFonts w:asciiTheme="majorHAnsi" w:hAnsiTheme="majorHAnsi"/>
          <w:sz w:val="16"/>
          <w:szCs w:val="16"/>
        </w:rPr>
        <w:t xml:space="preserve"> </w:t>
      </w:r>
      <w:r w:rsidRPr="002F2E7D">
        <w:rPr>
          <w:rFonts w:asciiTheme="majorHAnsi" w:hAnsiTheme="majorHAnsi"/>
          <w:sz w:val="16"/>
          <w:szCs w:val="16"/>
        </w:rPr>
        <w:t>266.</w:t>
      </w:r>
    </w:p>
  </w:footnote>
  <w:footnote w:id="81">
    <w:p w:rsidR="000E7166" w:rsidRPr="00E8055D"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7D2A2A">
        <w:rPr>
          <w:rFonts w:asciiTheme="majorHAnsi" w:hAnsiTheme="majorHAnsi"/>
          <w:sz w:val="16"/>
          <w:szCs w:val="16"/>
        </w:rPr>
        <w:t xml:space="preserve"> </w:t>
      </w:r>
      <w:proofErr w:type="gramStart"/>
      <w:r w:rsidRPr="007D2A2A">
        <w:rPr>
          <w:rFonts w:asciiTheme="majorHAnsi" w:hAnsiTheme="majorHAnsi"/>
          <w:sz w:val="16"/>
          <w:szCs w:val="16"/>
        </w:rPr>
        <w:t>Inter-American Court of Human Rights.</w:t>
      </w:r>
      <w:proofErr w:type="gramEnd"/>
      <w:r w:rsidRPr="007D2A2A">
        <w:rPr>
          <w:rFonts w:asciiTheme="majorHAnsi" w:hAnsiTheme="majorHAnsi"/>
          <w:sz w:val="16"/>
          <w:szCs w:val="16"/>
        </w:rPr>
        <w:t xml:space="preserve"> Advisory Opinion OC-18/03, Septemb</w:t>
      </w:r>
      <w:r>
        <w:rPr>
          <w:rFonts w:asciiTheme="majorHAnsi" w:hAnsiTheme="majorHAnsi"/>
          <w:sz w:val="16"/>
          <w:szCs w:val="16"/>
        </w:rPr>
        <w:t xml:space="preserve">er </w:t>
      </w:r>
      <w:r w:rsidRPr="007D2A2A">
        <w:rPr>
          <w:rFonts w:asciiTheme="majorHAnsi" w:hAnsiTheme="majorHAnsi"/>
          <w:sz w:val="16"/>
          <w:szCs w:val="16"/>
        </w:rPr>
        <w:t>17</w:t>
      </w:r>
      <w:r>
        <w:rPr>
          <w:rFonts w:asciiTheme="majorHAnsi" w:hAnsiTheme="majorHAnsi"/>
          <w:sz w:val="16"/>
          <w:szCs w:val="16"/>
        </w:rPr>
        <w:t xml:space="preserve">, </w:t>
      </w:r>
      <w:r w:rsidRPr="007D2A2A">
        <w:rPr>
          <w:rFonts w:asciiTheme="majorHAnsi" w:hAnsiTheme="majorHAnsi"/>
          <w:sz w:val="16"/>
          <w:szCs w:val="16"/>
        </w:rPr>
        <w:t xml:space="preserve">2003, </w:t>
      </w:r>
      <w:r>
        <w:rPr>
          <w:rFonts w:asciiTheme="majorHAnsi" w:hAnsiTheme="majorHAnsi"/>
          <w:sz w:val="16"/>
          <w:szCs w:val="16"/>
        </w:rPr>
        <w:t>para</w:t>
      </w:r>
      <w:r w:rsidRPr="007D2A2A">
        <w:rPr>
          <w:rFonts w:asciiTheme="majorHAnsi" w:hAnsiTheme="majorHAnsi"/>
          <w:sz w:val="16"/>
          <w:szCs w:val="16"/>
        </w:rPr>
        <w:t xml:space="preserve">. </w:t>
      </w:r>
      <w:r w:rsidRPr="00E8055D">
        <w:rPr>
          <w:rFonts w:asciiTheme="majorHAnsi" w:hAnsiTheme="majorHAnsi"/>
          <w:sz w:val="16"/>
          <w:szCs w:val="16"/>
        </w:rPr>
        <w:t>121.</w:t>
      </w:r>
    </w:p>
  </w:footnote>
  <w:footnote w:id="82">
    <w:p w:rsidR="000E7166" w:rsidRPr="00E8055D"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53237A">
        <w:rPr>
          <w:rFonts w:asciiTheme="majorHAnsi" w:hAnsiTheme="majorHAnsi"/>
          <w:sz w:val="16"/>
          <w:szCs w:val="16"/>
        </w:rPr>
        <w:t xml:space="preserve"> </w:t>
      </w:r>
      <w:proofErr w:type="gramStart"/>
      <w:r w:rsidRPr="007D2A2A">
        <w:rPr>
          <w:rFonts w:asciiTheme="majorHAnsi" w:hAnsiTheme="majorHAnsi"/>
          <w:sz w:val="16"/>
          <w:szCs w:val="16"/>
        </w:rPr>
        <w:t>Inter-American Court of Human Rights.</w:t>
      </w:r>
      <w:proofErr w:type="gramEnd"/>
      <w:r w:rsidRPr="007D2A2A">
        <w:rPr>
          <w:rFonts w:asciiTheme="majorHAnsi" w:hAnsiTheme="majorHAnsi"/>
          <w:sz w:val="16"/>
          <w:szCs w:val="16"/>
        </w:rPr>
        <w:t xml:space="preserve"> Advisory Opinion OC-18/03, Septemb</w:t>
      </w:r>
      <w:r>
        <w:rPr>
          <w:rFonts w:asciiTheme="majorHAnsi" w:hAnsiTheme="majorHAnsi"/>
          <w:sz w:val="16"/>
          <w:szCs w:val="16"/>
        </w:rPr>
        <w:t xml:space="preserve">er </w:t>
      </w:r>
      <w:r w:rsidRPr="007D2A2A">
        <w:rPr>
          <w:rFonts w:asciiTheme="majorHAnsi" w:hAnsiTheme="majorHAnsi"/>
          <w:sz w:val="16"/>
          <w:szCs w:val="16"/>
        </w:rPr>
        <w:t>17</w:t>
      </w:r>
      <w:r>
        <w:rPr>
          <w:rFonts w:asciiTheme="majorHAnsi" w:hAnsiTheme="majorHAnsi"/>
          <w:sz w:val="16"/>
          <w:szCs w:val="16"/>
        </w:rPr>
        <w:t xml:space="preserve">, </w:t>
      </w:r>
      <w:r w:rsidRPr="007D2A2A">
        <w:rPr>
          <w:rFonts w:asciiTheme="majorHAnsi" w:hAnsiTheme="majorHAnsi"/>
          <w:sz w:val="16"/>
          <w:szCs w:val="16"/>
        </w:rPr>
        <w:t xml:space="preserve">2003, </w:t>
      </w:r>
      <w:r>
        <w:rPr>
          <w:rFonts w:asciiTheme="majorHAnsi" w:hAnsiTheme="majorHAnsi"/>
          <w:sz w:val="16"/>
          <w:szCs w:val="16"/>
        </w:rPr>
        <w:t>para</w:t>
      </w:r>
      <w:r w:rsidRPr="0053237A">
        <w:rPr>
          <w:rFonts w:asciiTheme="majorHAnsi" w:hAnsiTheme="majorHAnsi"/>
          <w:sz w:val="16"/>
          <w:szCs w:val="16"/>
        </w:rPr>
        <w:t xml:space="preserve">. </w:t>
      </w:r>
      <w:r w:rsidRPr="00E8055D">
        <w:rPr>
          <w:rFonts w:asciiTheme="majorHAnsi" w:hAnsiTheme="majorHAnsi"/>
          <w:sz w:val="16"/>
          <w:szCs w:val="16"/>
        </w:rPr>
        <w:t>112.</w:t>
      </w:r>
    </w:p>
  </w:footnote>
  <w:footnote w:id="83">
    <w:p w:rsidR="000E7166" w:rsidRPr="0053237A" w:rsidRDefault="000E7166" w:rsidP="0043505F">
      <w:pPr>
        <w:pStyle w:val="FootnoteText"/>
        <w:jc w:val="both"/>
        <w:rPr>
          <w:rFonts w:asciiTheme="majorHAnsi" w:hAnsiTheme="majorHAnsi"/>
          <w:sz w:val="16"/>
          <w:szCs w:val="16"/>
        </w:rPr>
      </w:pPr>
      <w:r w:rsidRPr="00A01230">
        <w:rPr>
          <w:rStyle w:val="FootnoteReference"/>
          <w:rFonts w:asciiTheme="majorHAnsi" w:hAnsiTheme="majorHAnsi"/>
          <w:sz w:val="16"/>
          <w:szCs w:val="16"/>
        </w:rPr>
        <w:footnoteRef/>
      </w:r>
      <w:r w:rsidRPr="0053237A">
        <w:rPr>
          <w:rFonts w:asciiTheme="majorHAnsi" w:hAnsiTheme="majorHAnsi"/>
          <w:sz w:val="16"/>
          <w:szCs w:val="16"/>
        </w:rPr>
        <w:t xml:space="preserve"> </w:t>
      </w:r>
      <w:proofErr w:type="gramStart"/>
      <w:r w:rsidRPr="007D2A2A">
        <w:rPr>
          <w:rFonts w:asciiTheme="majorHAnsi" w:hAnsiTheme="majorHAnsi"/>
          <w:sz w:val="16"/>
          <w:szCs w:val="16"/>
        </w:rPr>
        <w:t>Inter-American Court of Human Rights.</w:t>
      </w:r>
      <w:proofErr w:type="gramEnd"/>
      <w:r w:rsidRPr="007D2A2A">
        <w:rPr>
          <w:rFonts w:asciiTheme="majorHAnsi" w:hAnsiTheme="majorHAnsi"/>
          <w:sz w:val="16"/>
          <w:szCs w:val="16"/>
        </w:rPr>
        <w:t xml:space="preserve"> </w:t>
      </w:r>
      <w:proofErr w:type="gramStart"/>
      <w:r w:rsidRPr="007D2A2A">
        <w:rPr>
          <w:rFonts w:asciiTheme="majorHAnsi" w:hAnsiTheme="majorHAnsi"/>
          <w:sz w:val="16"/>
          <w:szCs w:val="16"/>
        </w:rPr>
        <w:t>Advisory Opinion OC-18/03, Septemb</w:t>
      </w:r>
      <w:r>
        <w:rPr>
          <w:rFonts w:asciiTheme="majorHAnsi" w:hAnsiTheme="majorHAnsi"/>
          <w:sz w:val="16"/>
          <w:szCs w:val="16"/>
        </w:rPr>
        <w:t xml:space="preserve">er </w:t>
      </w:r>
      <w:r w:rsidRPr="007D2A2A">
        <w:rPr>
          <w:rFonts w:asciiTheme="majorHAnsi" w:hAnsiTheme="majorHAnsi"/>
          <w:sz w:val="16"/>
          <w:szCs w:val="16"/>
        </w:rPr>
        <w:t>17</w:t>
      </w:r>
      <w:r>
        <w:rPr>
          <w:rFonts w:asciiTheme="majorHAnsi" w:hAnsiTheme="majorHAnsi"/>
          <w:sz w:val="16"/>
          <w:szCs w:val="16"/>
        </w:rPr>
        <w:t xml:space="preserve">, </w:t>
      </w:r>
      <w:r w:rsidRPr="007D2A2A">
        <w:rPr>
          <w:rFonts w:asciiTheme="majorHAnsi" w:hAnsiTheme="majorHAnsi"/>
          <w:sz w:val="16"/>
          <w:szCs w:val="16"/>
        </w:rPr>
        <w:t xml:space="preserve">2003, </w:t>
      </w:r>
      <w:r>
        <w:rPr>
          <w:rFonts w:asciiTheme="majorHAnsi" w:hAnsiTheme="majorHAnsi"/>
          <w:sz w:val="16"/>
          <w:szCs w:val="16"/>
        </w:rPr>
        <w:t>para</w:t>
      </w:r>
      <w:r w:rsidRPr="0053237A">
        <w:rPr>
          <w:rFonts w:asciiTheme="majorHAnsi" w:hAnsiTheme="majorHAnsi"/>
          <w:sz w:val="16"/>
          <w:szCs w:val="16"/>
        </w:rPr>
        <w:t xml:space="preserve"> 104.</w:t>
      </w:r>
      <w:proofErr w:type="gramEnd"/>
    </w:p>
  </w:footnote>
  <w:footnote w:id="84">
    <w:p w:rsidR="000E7166" w:rsidRPr="002F2E7D" w:rsidRDefault="000E7166" w:rsidP="0043505F">
      <w:pPr>
        <w:pStyle w:val="FootnoteText"/>
        <w:rPr>
          <w:rFonts w:asciiTheme="majorHAnsi" w:hAnsiTheme="majorHAnsi"/>
          <w:sz w:val="16"/>
          <w:szCs w:val="16"/>
        </w:rPr>
      </w:pPr>
      <w:r w:rsidRPr="00A01230">
        <w:rPr>
          <w:rStyle w:val="FootnoteReference"/>
          <w:rFonts w:asciiTheme="majorHAnsi" w:hAnsiTheme="majorHAnsi"/>
          <w:sz w:val="16"/>
          <w:szCs w:val="16"/>
        </w:rPr>
        <w:footnoteRef/>
      </w:r>
      <w:r w:rsidRPr="002F2E7D">
        <w:rPr>
          <w:rFonts w:asciiTheme="majorHAnsi" w:hAnsiTheme="majorHAnsi"/>
          <w:sz w:val="16"/>
          <w:szCs w:val="16"/>
        </w:rPr>
        <w:t xml:space="preserve"> </w:t>
      </w:r>
      <w:proofErr w:type="gramStart"/>
      <w:r w:rsidRPr="004F2AAC">
        <w:rPr>
          <w:rFonts w:asciiTheme="majorHAnsi" w:hAnsiTheme="majorHAnsi"/>
          <w:sz w:val="16"/>
          <w:szCs w:val="16"/>
        </w:rPr>
        <w:t>I/A Court H.R. Cas</w:t>
      </w:r>
      <w:r>
        <w:rPr>
          <w:rFonts w:asciiTheme="majorHAnsi" w:hAnsiTheme="majorHAnsi"/>
          <w:sz w:val="16"/>
          <w:szCs w:val="16"/>
        </w:rPr>
        <w:t>e</w:t>
      </w:r>
      <w:r w:rsidRPr="004F2AAC">
        <w:rPr>
          <w:rFonts w:asciiTheme="majorHAnsi" w:hAnsiTheme="majorHAnsi"/>
          <w:sz w:val="16"/>
          <w:szCs w:val="16"/>
        </w:rPr>
        <w:t xml:space="preserve"> of V.R.P., V.P.C. et al. v. Nicaragua, March 8, 2018, p</w:t>
      </w:r>
      <w:r>
        <w:rPr>
          <w:rFonts w:asciiTheme="majorHAnsi" w:hAnsiTheme="majorHAnsi"/>
          <w:sz w:val="16"/>
          <w:szCs w:val="16"/>
        </w:rPr>
        <w:t>ara</w:t>
      </w:r>
      <w:r w:rsidRPr="002F2E7D">
        <w:rPr>
          <w:rFonts w:asciiTheme="majorHAnsi" w:hAnsiTheme="majorHAnsi"/>
          <w:sz w:val="16"/>
          <w:szCs w:val="16"/>
        </w:rPr>
        <w:t>.</w:t>
      </w:r>
      <w:proofErr w:type="gramEnd"/>
      <w:r w:rsidR="00105242">
        <w:rPr>
          <w:rFonts w:asciiTheme="majorHAnsi" w:hAnsiTheme="majorHAnsi"/>
          <w:sz w:val="16"/>
          <w:szCs w:val="16"/>
        </w:rPr>
        <w:t xml:space="preserve"> </w:t>
      </w:r>
      <w:r w:rsidRPr="002F2E7D">
        <w:rPr>
          <w:rFonts w:asciiTheme="majorHAnsi" w:hAnsiTheme="majorHAnsi"/>
          <w:sz w:val="16"/>
          <w:szCs w:val="16"/>
        </w:rPr>
        <w:t>269.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66" w:rsidRDefault="000E7166" w:rsidP="00B5394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E7166" w:rsidRDefault="000E71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66" w:rsidRDefault="000E7166" w:rsidP="002C1641">
    <w:pPr>
      <w:pStyle w:val="Header"/>
      <w:tabs>
        <w:tab w:val="clear" w:pos="4320"/>
        <w:tab w:val="clear" w:pos="8640"/>
      </w:tabs>
      <w:jc w:val="center"/>
      <w:rPr>
        <w:sz w:val="22"/>
        <w:szCs w:val="22"/>
      </w:rPr>
    </w:pPr>
    <w:r>
      <w:rPr>
        <w:noProof/>
        <w:sz w:val="22"/>
        <w:szCs w:val="22"/>
      </w:rPr>
      <w:drawing>
        <wp:inline distT="0" distB="0" distL="0" distR="0" wp14:anchorId="61FE2914" wp14:editId="6E7AD2D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E7166" w:rsidRPr="00EC7D62" w:rsidRDefault="00E05881" w:rsidP="002C1641">
    <w:pPr>
      <w:pStyle w:val="Header"/>
      <w:tabs>
        <w:tab w:val="clear" w:pos="4320"/>
        <w:tab w:val="clear" w:pos="8640"/>
      </w:tabs>
      <w:jc w:val="center"/>
      <w:rPr>
        <w:sz w:val="22"/>
        <w:szCs w:val="22"/>
      </w:rPr>
    </w:pPr>
    <w:r>
      <w:rPr>
        <w:sz w:val="22"/>
        <w:szCs w:val="22"/>
      </w:rPr>
      <w:pict w14:anchorId="78F81FA7">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8DB70DF"/>
    <w:multiLevelType w:val="hybridMultilevel"/>
    <w:tmpl w:val="4E2C7E08"/>
    <w:lvl w:ilvl="0" w:tplc="F9B4275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1B68F9"/>
    <w:multiLevelType w:val="hybridMultilevel"/>
    <w:tmpl w:val="3CE0E556"/>
    <w:lvl w:ilvl="0" w:tplc="18921E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6422FBC"/>
    <w:multiLevelType w:val="hybridMultilevel"/>
    <w:tmpl w:val="9F283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2A0BA1"/>
    <w:multiLevelType w:val="hybridMultilevel"/>
    <w:tmpl w:val="6B8E9E86"/>
    <w:lvl w:ilvl="0" w:tplc="B2169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3E36549A"/>
    <w:multiLevelType w:val="hybridMultilevel"/>
    <w:tmpl w:val="0784D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5252EF8"/>
    <w:multiLevelType w:val="hybridMultilevel"/>
    <w:tmpl w:val="73944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5D7D4B9D"/>
    <w:multiLevelType w:val="hybridMultilevel"/>
    <w:tmpl w:val="353ED9CC"/>
    <w:lvl w:ilvl="0" w:tplc="1208235E">
      <w:start w:val="1"/>
      <w:numFmt w:val="decimal"/>
      <w:lvlText w:val="%1."/>
      <w:lvlJc w:val="left"/>
      <w:pPr>
        <w:ind w:left="135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51"/>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3"/>
  </w:num>
  <w:num w:numId="8">
    <w:abstractNumId w:val="23"/>
  </w:num>
  <w:num w:numId="9">
    <w:abstractNumId w:val="55"/>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1"/>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8"/>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5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50"/>
  </w:num>
  <w:num w:numId="57">
    <w:abstractNumId w:val="1"/>
  </w:num>
  <w:num w:numId="58">
    <w:abstractNumId w:val="3"/>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20"/>
  </w:num>
  <w:num w:numId="69">
    <w:abstractNumId w:val="21"/>
  </w:num>
  <w:num w:numId="70">
    <w:abstractNumId w:val="24"/>
  </w:num>
  <w:num w:numId="71">
    <w:abstractNumId w:val="25"/>
  </w:num>
  <w:num w:numId="72">
    <w:abstractNumId w:val="26"/>
  </w:num>
  <w:num w:numId="73">
    <w:abstractNumId w:val="30"/>
  </w:num>
  <w:num w:numId="74">
    <w:abstractNumId w:val="32"/>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3"/>
  </w:num>
  <w:num w:numId="85">
    <w:abstractNumId w:val="56"/>
  </w:num>
  <w:num w:numId="86">
    <w:abstractNumId w:val="58"/>
  </w:num>
  <w:num w:numId="87">
    <w:abstractNumId w:val="60"/>
  </w:num>
  <w:num w:numId="88">
    <w:abstractNumId w:val="62"/>
  </w:num>
  <w:num w:numId="89">
    <w:abstractNumId w:val="64"/>
  </w:num>
  <w:num w:numId="90">
    <w:abstractNumId w:val="65"/>
  </w:num>
  <w:num w:numId="91">
    <w:abstractNumId w:val="66"/>
  </w:num>
  <w:num w:numId="92">
    <w:abstractNumId w:val="67"/>
  </w:num>
  <w:num w:numId="93">
    <w:abstractNumId w:val="68"/>
  </w:num>
  <w:num w:numId="94">
    <w:abstractNumId w:val="22"/>
  </w:num>
  <w:num w:numId="95">
    <w:abstractNumId w:val="46"/>
  </w:num>
  <w:num w:numId="96">
    <w:abstractNumId w:val="59"/>
  </w:num>
  <w:num w:numId="97">
    <w:abstractNumId w:val="57"/>
  </w:num>
  <w:num w:numId="98">
    <w:abstractNumId w:val="51"/>
  </w:num>
  <w:num w:numId="99">
    <w:abstractNumId w:val="41"/>
  </w:num>
  <w:num w:numId="100">
    <w:abstractNumId w:val="4"/>
  </w:num>
  <w:num w:numId="101">
    <w:abstractNumId w:val="27"/>
  </w:num>
  <w:num w:numId="102">
    <w:abstractNumId w:val="54"/>
  </w:num>
  <w:num w:numId="103">
    <w:abstractNumId w:val="6"/>
  </w:num>
  <w:num w:numId="104">
    <w:abstractNumId w:val="29"/>
  </w:num>
  <w:num w:numId="105">
    <w:abstractNumId w:val="18"/>
  </w:num>
  <w:num w:numId="106">
    <w:abstractNumId w:val="52"/>
  </w:num>
  <w:num w:numId="107">
    <w:abstractNumId w:val="49"/>
  </w:num>
  <w:num w:numId="108">
    <w:abstractNumId w:val="28"/>
  </w:num>
  <w:num w:numId="109">
    <w:abstractNumId w:val="33"/>
  </w:num>
  <w:num w:numId="110">
    <w:abstractNumId w:val="48"/>
  </w:num>
  <w:num w:numId="111">
    <w:abstractNumId w:val="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546"/>
    <w:rsid w:val="00004F7F"/>
    <w:rsid w:val="000070D7"/>
    <w:rsid w:val="000111A8"/>
    <w:rsid w:val="00013803"/>
    <w:rsid w:val="0001788C"/>
    <w:rsid w:val="00020AB9"/>
    <w:rsid w:val="0002133A"/>
    <w:rsid w:val="0002272E"/>
    <w:rsid w:val="00036A8A"/>
    <w:rsid w:val="00040C3A"/>
    <w:rsid w:val="000639C0"/>
    <w:rsid w:val="000661B3"/>
    <w:rsid w:val="00070F3A"/>
    <w:rsid w:val="000716C5"/>
    <w:rsid w:val="000729B3"/>
    <w:rsid w:val="00075E23"/>
    <w:rsid w:val="00076AC4"/>
    <w:rsid w:val="000863F5"/>
    <w:rsid w:val="00092F32"/>
    <w:rsid w:val="0009344A"/>
    <w:rsid w:val="00094598"/>
    <w:rsid w:val="000A575F"/>
    <w:rsid w:val="000B4E39"/>
    <w:rsid w:val="000B74C0"/>
    <w:rsid w:val="000C07B5"/>
    <w:rsid w:val="000C66F9"/>
    <w:rsid w:val="000D10DB"/>
    <w:rsid w:val="000E0870"/>
    <w:rsid w:val="000E25AC"/>
    <w:rsid w:val="000E7166"/>
    <w:rsid w:val="000F4B63"/>
    <w:rsid w:val="000F7AB8"/>
    <w:rsid w:val="00102BF9"/>
    <w:rsid w:val="00105242"/>
    <w:rsid w:val="00111A70"/>
    <w:rsid w:val="00121D68"/>
    <w:rsid w:val="00126914"/>
    <w:rsid w:val="00130089"/>
    <w:rsid w:val="0013104F"/>
    <w:rsid w:val="00131981"/>
    <w:rsid w:val="00137EBA"/>
    <w:rsid w:val="00145EDC"/>
    <w:rsid w:val="00160215"/>
    <w:rsid w:val="00161E41"/>
    <w:rsid w:val="00166A95"/>
    <w:rsid w:val="00167A34"/>
    <w:rsid w:val="0017044E"/>
    <w:rsid w:val="0018037F"/>
    <w:rsid w:val="00195631"/>
    <w:rsid w:val="001A2AB9"/>
    <w:rsid w:val="001A5F27"/>
    <w:rsid w:val="001A7870"/>
    <w:rsid w:val="001C1B41"/>
    <w:rsid w:val="001C66C4"/>
    <w:rsid w:val="001D0780"/>
    <w:rsid w:val="001D0CD8"/>
    <w:rsid w:val="001F4F6E"/>
    <w:rsid w:val="001F69D8"/>
    <w:rsid w:val="00205C2B"/>
    <w:rsid w:val="00210E0E"/>
    <w:rsid w:val="002117A6"/>
    <w:rsid w:val="00213EC0"/>
    <w:rsid w:val="0021753A"/>
    <w:rsid w:val="002205D5"/>
    <w:rsid w:val="00226DB8"/>
    <w:rsid w:val="00227A50"/>
    <w:rsid w:val="0023600C"/>
    <w:rsid w:val="0023785C"/>
    <w:rsid w:val="00247403"/>
    <w:rsid w:val="00247542"/>
    <w:rsid w:val="00247582"/>
    <w:rsid w:val="0025381E"/>
    <w:rsid w:val="00257893"/>
    <w:rsid w:val="00266092"/>
    <w:rsid w:val="00266B61"/>
    <w:rsid w:val="0026712A"/>
    <w:rsid w:val="002704DB"/>
    <w:rsid w:val="002706C2"/>
    <w:rsid w:val="002727E5"/>
    <w:rsid w:val="00282605"/>
    <w:rsid w:val="0028589B"/>
    <w:rsid w:val="002940D6"/>
    <w:rsid w:val="00294C07"/>
    <w:rsid w:val="002C0878"/>
    <w:rsid w:val="002C1641"/>
    <w:rsid w:val="002C615D"/>
    <w:rsid w:val="002D535B"/>
    <w:rsid w:val="002D7EA2"/>
    <w:rsid w:val="002E15DF"/>
    <w:rsid w:val="002E187C"/>
    <w:rsid w:val="002E6E57"/>
    <w:rsid w:val="002F2E7D"/>
    <w:rsid w:val="00301075"/>
    <w:rsid w:val="00302733"/>
    <w:rsid w:val="003030E0"/>
    <w:rsid w:val="00303359"/>
    <w:rsid w:val="00305E4A"/>
    <w:rsid w:val="00311A4F"/>
    <w:rsid w:val="00314078"/>
    <w:rsid w:val="003160F5"/>
    <w:rsid w:val="0032020B"/>
    <w:rsid w:val="00322362"/>
    <w:rsid w:val="00322450"/>
    <w:rsid w:val="003246B5"/>
    <w:rsid w:val="00325DAD"/>
    <w:rsid w:val="0033131E"/>
    <w:rsid w:val="0033169F"/>
    <w:rsid w:val="00333B09"/>
    <w:rsid w:val="003414AC"/>
    <w:rsid w:val="003417EA"/>
    <w:rsid w:val="0034190F"/>
    <w:rsid w:val="00356185"/>
    <w:rsid w:val="003561C9"/>
    <w:rsid w:val="00360380"/>
    <w:rsid w:val="0038096E"/>
    <w:rsid w:val="00380B4A"/>
    <w:rsid w:val="003853E8"/>
    <w:rsid w:val="00385F18"/>
    <w:rsid w:val="00386CF0"/>
    <w:rsid w:val="00396995"/>
    <w:rsid w:val="003B5560"/>
    <w:rsid w:val="003C32BC"/>
    <w:rsid w:val="003C7373"/>
    <w:rsid w:val="003D6541"/>
    <w:rsid w:val="003E342B"/>
    <w:rsid w:val="003E4A6E"/>
    <w:rsid w:val="003E579E"/>
    <w:rsid w:val="003F1BBF"/>
    <w:rsid w:val="004165C2"/>
    <w:rsid w:val="00423C36"/>
    <w:rsid w:val="00424DA5"/>
    <w:rsid w:val="00432D4D"/>
    <w:rsid w:val="0043505F"/>
    <w:rsid w:val="00435F8A"/>
    <w:rsid w:val="00437568"/>
    <w:rsid w:val="00441563"/>
    <w:rsid w:val="00450A4A"/>
    <w:rsid w:val="0045546B"/>
    <w:rsid w:val="00457216"/>
    <w:rsid w:val="0046654C"/>
    <w:rsid w:val="004666FB"/>
    <w:rsid w:val="00467B7E"/>
    <w:rsid w:val="00471DAE"/>
    <w:rsid w:val="00472D13"/>
    <w:rsid w:val="00490932"/>
    <w:rsid w:val="00490F2C"/>
    <w:rsid w:val="0049419D"/>
    <w:rsid w:val="00494BC1"/>
    <w:rsid w:val="004963AC"/>
    <w:rsid w:val="00497500"/>
    <w:rsid w:val="004A74F8"/>
    <w:rsid w:val="004B2762"/>
    <w:rsid w:val="004B7EB6"/>
    <w:rsid w:val="004C3833"/>
    <w:rsid w:val="004C4207"/>
    <w:rsid w:val="004C4B62"/>
    <w:rsid w:val="004D6025"/>
    <w:rsid w:val="004D72BC"/>
    <w:rsid w:val="004E4142"/>
    <w:rsid w:val="004E73A9"/>
    <w:rsid w:val="004F2AAC"/>
    <w:rsid w:val="00501399"/>
    <w:rsid w:val="00504B00"/>
    <w:rsid w:val="00504F21"/>
    <w:rsid w:val="0050753C"/>
    <w:rsid w:val="00507BC4"/>
    <w:rsid w:val="00507ED7"/>
    <w:rsid w:val="00512298"/>
    <w:rsid w:val="005128E4"/>
    <w:rsid w:val="00512CF5"/>
    <w:rsid w:val="00516296"/>
    <w:rsid w:val="005173F9"/>
    <w:rsid w:val="005211FE"/>
    <w:rsid w:val="00525560"/>
    <w:rsid w:val="0053237A"/>
    <w:rsid w:val="005357A6"/>
    <w:rsid w:val="005433FC"/>
    <w:rsid w:val="00544C49"/>
    <w:rsid w:val="00550304"/>
    <w:rsid w:val="005545B5"/>
    <w:rsid w:val="005563C4"/>
    <w:rsid w:val="0056439B"/>
    <w:rsid w:val="00567231"/>
    <w:rsid w:val="005725C2"/>
    <w:rsid w:val="0057402A"/>
    <w:rsid w:val="005771D0"/>
    <w:rsid w:val="00577CB2"/>
    <w:rsid w:val="00581EDC"/>
    <w:rsid w:val="00586337"/>
    <w:rsid w:val="0059191A"/>
    <w:rsid w:val="005921FF"/>
    <w:rsid w:val="00593AB3"/>
    <w:rsid w:val="005A11BA"/>
    <w:rsid w:val="005A3722"/>
    <w:rsid w:val="005A6D0E"/>
    <w:rsid w:val="005A7915"/>
    <w:rsid w:val="005B222D"/>
    <w:rsid w:val="005B2522"/>
    <w:rsid w:val="005B39E3"/>
    <w:rsid w:val="005B41BB"/>
    <w:rsid w:val="005B52B0"/>
    <w:rsid w:val="005B6806"/>
    <w:rsid w:val="005C00F9"/>
    <w:rsid w:val="005C323D"/>
    <w:rsid w:val="005C4225"/>
    <w:rsid w:val="005D43FF"/>
    <w:rsid w:val="005E1CE8"/>
    <w:rsid w:val="005E227C"/>
    <w:rsid w:val="005F0F33"/>
    <w:rsid w:val="005F3D4A"/>
    <w:rsid w:val="005F71E2"/>
    <w:rsid w:val="00600DEB"/>
    <w:rsid w:val="00603D18"/>
    <w:rsid w:val="00606515"/>
    <w:rsid w:val="00613027"/>
    <w:rsid w:val="00614DD1"/>
    <w:rsid w:val="006207E1"/>
    <w:rsid w:val="006219C4"/>
    <w:rsid w:val="006234F9"/>
    <w:rsid w:val="00627C9F"/>
    <w:rsid w:val="00630E61"/>
    <w:rsid w:val="006311DA"/>
    <w:rsid w:val="006311E9"/>
    <w:rsid w:val="00632354"/>
    <w:rsid w:val="00633138"/>
    <w:rsid w:val="00642810"/>
    <w:rsid w:val="0064423C"/>
    <w:rsid w:val="0064678D"/>
    <w:rsid w:val="006518C2"/>
    <w:rsid w:val="00652333"/>
    <w:rsid w:val="00662D2B"/>
    <w:rsid w:val="00666F9F"/>
    <w:rsid w:val="006710E8"/>
    <w:rsid w:val="006711CA"/>
    <w:rsid w:val="0068009E"/>
    <w:rsid w:val="00682714"/>
    <w:rsid w:val="00692253"/>
    <w:rsid w:val="00692C9B"/>
    <w:rsid w:val="00693E9B"/>
    <w:rsid w:val="006A04C3"/>
    <w:rsid w:val="006A0E66"/>
    <w:rsid w:val="006A17D2"/>
    <w:rsid w:val="006A73E6"/>
    <w:rsid w:val="006B2D5C"/>
    <w:rsid w:val="006B5A09"/>
    <w:rsid w:val="006B5CE4"/>
    <w:rsid w:val="006B6CEE"/>
    <w:rsid w:val="006C1713"/>
    <w:rsid w:val="006C4EB1"/>
    <w:rsid w:val="006D43F4"/>
    <w:rsid w:val="006E0166"/>
    <w:rsid w:val="006E7B34"/>
    <w:rsid w:val="00701B24"/>
    <w:rsid w:val="00701D62"/>
    <w:rsid w:val="00703749"/>
    <w:rsid w:val="00720DF2"/>
    <w:rsid w:val="007217B2"/>
    <w:rsid w:val="00745899"/>
    <w:rsid w:val="007607C4"/>
    <w:rsid w:val="00760851"/>
    <w:rsid w:val="00761782"/>
    <w:rsid w:val="0076643F"/>
    <w:rsid w:val="0076664E"/>
    <w:rsid w:val="007801C8"/>
    <w:rsid w:val="00783A78"/>
    <w:rsid w:val="0079243E"/>
    <w:rsid w:val="00792ED3"/>
    <w:rsid w:val="00796B9A"/>
    <w:rsid w:val="007A27AB"/>
    <w:rsid w:val="007A2F70"/>
    <w:rsid w:val="007A4E79"/>
    <w:rsid w:val="007B0C44"/>
    <w:rsid w:val="007B2767"/>
    <w:rsid w:val="007C3334"/>
    <w:rsid w:val="007C52BB"/>
    <w:rsid w:val="007D26EC"/>
    <w:rsid w:val="007D2A2A"/>
    <w:rsid w:val="007D2B98"/>
    <w:rsid w:val="007D60E2"/>
    <w:rsid w:val="007E3EB0"/>
    <w:rsid w:val="007E78C5"/>
    <w:rsid w:val="007F65A6"/>
    <w:rsid w:val="00803F1C"/>
    <w:rsid w:val="0080600E"/>
    <w:rsid w:val="00815773"/>
    <w:rsid w:val="00817612"/>
    <w:rsid w:val="008277C1"/>
    <w:rsid w:val="0083313D"/>
    <w:rsid w:val="00835AF0"/>
    <w:rsid w:val="00837C45"/>
    <w:rsid w:val="00850EBD"/>
    <w:rsid w:val="00853419"/>
    <w:rsid w:val="00857375"/>
    <w:rsid w:val="00861345"/>
    <w:rsid w:val="008758E2"/>
    <w:rsid w:val="00885F2D"/>
    <w:rsid w:val="008867CE"/>
    <w:rsid w:val="00887C9F"/>
    <w:rsid w:val="00897E12"/>
    <w:rsid w:val="008A44BF"/>
    <w:rsid w:val="008A465D"/>
    <w:rsid w:val="008A7B25"/>
    <w:rsid w:val="008B2E95"/>
    <w:rsid w:val="008C3F89"/>
    <w:rsid w:val="008D43BA"/>
    <w:rsid w:val="008E29C0"/>
    <w:rsid w:val="008E3759"/>
    <w:rsid w:val="008F2D86"/>
    <w:rsid w:val="008F387B"/>
    <w:rsid w:val="008F6CF6"/>
    <w:rsid w:val="008F7AA2"/>
    <w:rsid w:val="009041DC"/>
    <w:rsid w:val="00906C29"/>
    <w:rsid w:val="009104B4"/>
    <w:rsid w:val="00921F48"/>
    <w:rsid w:val="00925FCD"/>
    <w:rsid w:val="00926596"/>
    <w:rsid w:val="009313D9"/>
    <w:rsid w:val="0093441A"/>
    <w:rsid w:val="00934A79"/>
    <w:rsid w:val="0094255C"/>
    <w:rsid w:val="00943D91"/>
    <w:rsid w:val="009502C1"/>
    <w:rsid w:val="00954BF7"/>
    <w:rsid w:val="00956134"/>
    <w:rsid w:val="0096706E"/>
    <w:rsid w:val="00967A0A"/>
    <w:rsid w:val="00981FBA"/>
    <w:rsid w:val="00982AAD"/>
    <w:rsid w:val="00985F47"/>
    <w:rsid w:val="009928AB"/>
    <w:rsid w:val="00994B8D"/>
    <w:rsid w:val="00996BA3"/>
    <w:rsid w:val="009A43D3"/>
    <w:rsid w:val="009A521C"/>
    <w:rsid w:val="009B381B"/>
    <w:rsid w:val="009D0BF6"/>
    <w:rsid w:val="009D7611"/>
    <w:rsid w:val="009E07EA"/>
    <w:rsid w:val="009E53DE"/>
    <w:rsid w:val="009F4227"/>
    <w:rsid w:val="009F6EBC"/>
    <w:rsid w:val="00A017CB"/>
    <w:rsid w:val="00A133B0"/>
    <w:rsid w:val="00A2051C"/>
    <w:rsid w:val="00A43458"/>
    <w:rsid w:val="00A528D1"/>
    <w:rsid w:val="00A53E21"/>
    <w:rsid w:val="00A60650"/>
    <w:rsid w:val="00A66BE5"/>
    <w:rsid w:val="00A738B8"/>
    <w:rsid w:val="00A86B2E"/>
    <w:rsid w:val="00A87A1E"/>
    <w:rsid w:val="00A90EC9"/>
    <w:rsid w:val="00AA0B78"/>
    <w:rsid w:val="00AA51CE"/>
    <w:rsid w:val="00AD37C1"/>
    <w:rsid w:val="00AD58C2"/>
    <w:rsid w:val="00AE371E"/>
    <w:rsid w:val="00AE4264"/>
    <w:rsid w:val="00AE66EC"/>
    <w:rsid w:val="00AE6F91"/>
    <w:rsid w:val="00AF5571"/>
    <w:rsid w:val="00AF661D"/>
    <w:rsid w:val="00AF6E01"/>
    <w:rsid w:val="00B05633"/>
    <w:rsid w:val="00B0656C"/>
    <w:rsid w:val="00B167E9"/>
    <w:rsid w:val="00B20CDE"/>
    <w:rsid w:val="00B226BF"/>
    <w:rsid w:val="00B25DE6"/>
    <w:rsid w:val="00B314DB"/>
    <w:rsid w:val="00B31EBE"/>
    <w:rsid w:val="00B34664"/>
    <w:rsid w:val="00B3718B"/>
    <w:rsid w:val="00B44E48"/>
    <w:rsid w:val="00B4632A"/>
    <w:rsid w:val="00B51063"/>
    <w:rsid w:val="00B53941"/>
    <w:rsid w:val="00B62296"/>
    <w:rsid w:val="00B639A8"/>
    <w:rsid w:val="00B64162"/>
    <w:rsid w:val="00B64750"/>
    <w:rsid w:val="00B71425"/>
    <w:rsid w:val="00B72B36"/>
    <w:rsid w:val="00B7497F"/>
    <w:rsid w:val="00B74D38"/>
    <w:rsid w:val="00B77E3C"/>
    <w:rsid w:val="00BA276C"/>
    <w:rsid w:val="00BB013D"/>
    <w:rsid w:val="00BB306F"/>
    <w:rsid w:val="00BC3FBF"/>
    <w:rsid w:val="00BD232B"/>
    <w:rsid w:val="00BD4B89"/>
    <w:rsid w:val="00BE305D"/>
    <w:rsid w:val="00BF2212"/>
    <w:rsid w:val="00BF52FC"/>
    <w:rsid w:val="00C02CAD"/>
    <w:rsid w:val="00C11018"/>
    <w:rsid w:val="00C155BD"/>
    <w:rsid w:val="00C206E2"/>
    <w:rsid w:val="00C21762"/>
    <w:rsid w:val="00C22FBA"/>
    <w:rsid w:val="00C23002"/>
    <w:rsid w:val="00C24543"/>
    <w:rsid w:val="00C252B8"/>
    <w:rsid w:val="00C256A2"/>
    <w:rsid w:val="00C344D8"/>
    <w:rsid w:val="00C3492D"/>
    <w:rsid w:val="00C34AF8"/>
    <w:rsid w:val="00C37F8E"/>
    <w:rsid w:val="00C47000"/>
    <w:rsid w:val="00C531D4"/>
    <w:rsid w:val="00C55560"/>
    <w:rsid w:val="00C66B72"/>
    <w:rsid w:val="00C9269B"/>
    <w:rsid w:val="00C9421B"/>
    <w:rsid w:val="00C9567A"/>
    <w:rsid w:val="00C96850"/>
    <w:rsid w:val="00CA45DF"/>
    <w:rsid w:val="00CB01C0"/>
    <w:rsid w:val="00CB1D02"/>
    <w:rsid w:val="00CB2660"/>
    <w:rsid w:val="00CB2791"/>
    <w:rsid w:val="00CB5DAA"/>
    <w:rsid w:val="00CB6829"/>
    <w:rsid w:val="00CC3250"/>
    <w:rsid w:val="00CC5E90"/>
    <w:rsid w:val="00CD046C"/>
    <w:rsid w:val="00CE166B"/>
    <w:rsid w:val="00CE18DF"/>
    <w:rsid w:val="00CE5199"/>
    <w:rsid w:val="00CE66D5"/>
    <w:rsid w:val="00CF54A4"/>
    <w:rsid w:val="00CF5B08"/>
    <w:rsid w:val="00D067A1"/>
    <w:rsid w:val="00D16873"/>
    <w:rsid w:val="00D21A3A"/>
    <w:rsid w:val="00D34786"/>
    <w:rsid w:val="00D37AC3"/>
    <w:rsid w:val="00D40A1E"/>
    <w:rsid w:val="00D42817"/>
    <w:rsid w:val="00D46A5E"/>
    <w:rsid w:val="00D61C4F"/>
    <w:rsid w:val="00D63B16"/>
    <w:rsid w:val="00D6508E"/>
    <w:rsid w:val="00D712D3"/>
    <w:rsid w:val="00D71422"/>
    <w:rsid w:val="00D7145E"/>
    <w:rsid w:val="00D715CD"/>
    <w:rsid w:val="00D73334"/>
    <w:rsid w:val="00D7558D"/>
    <w:rsid w:val="00D77A69"/>
    <w:rsid w:val="00D80F3D"/>
    <w:rsid w:val="00D81D92"/>
    <w:rsid w:val="00D81EB0"/>
    <w:rsid w:val="00D84F74"/>
    <w:rsid w:val="00D87D08"/>
    <w:rsid w:val="00D93446"/>
    <w:rsid w:val="00DA7B5F"/>
    <w:rsid w:val="00DB7BBC"/>
    <w:rsid w:val="00DC5F34"/>
    <w:rsid w:val="00DC7146"/>
    <w:rsid w:val="00DD20BE"/>
    <w:rsid w:val="00DE4E65"/>
    <w:rsid w:val="00DE5609"/>
    <w:rsid w:val="00DE6143"/>
    <w:rsid w:val="00DF1A7D"/>
    <w:rsid w:val="00E05881"/>
    <w:rsid w:val="00E05F07"/>
    <w:rsid w:val="00E06042"/>
    <w:rsid w:val="00E07A68"/>
    <w:rsid w:val="00E12A2B"/>
    <w:rsid w:val="00E16A46"/>
    <w:rsid w:val="00E20117"/>
    <w:rsid w:val="00E20E67"/>
    <w:rsid w:val="00E32B67"/>
    <w:rsid w:val="00E34B83"/>
    <w:rsid w:val="00E43157"/>
    <w:rsid w:val="00E43D36"/>
    <w:rsid w:val="00E46A2E"/>
    <w:rsid w:val="00E50ADD"/>
    <w:rsid w:val="00E50BD3"/>
    <w:rsid w:val="00E533FF"/>
    <w:rsid w:val="00E709B3"/>
    <w:rsid w:val="00E71EAC"/>
    <w:rsid w:val="00E73FB8"/>
    <w:rsid w:val="00E80090"/>
    <w:rsid w:val="00E8055D"/>
    <w:rsid w:val="00E832F9"/>
    <w:rsid w:val="00E8789F"/>
    <w:rsid w:val="00E90D25"/>
    <w:rsid w:val="00E917FE"/>
    <w:rsid w:val="00E919FD"/>
    <w:rsid w:val="00E97B71"/>
    <w:rsid w:val="00EB0FE4"/>
    <w:rsid w:val="00EB454D"/>
    <w:rsid w:val="00EB793E"/>
    <w:rsid w:val="00EE151A"/>
    <w:rsid w:val="00EE3522"/>
    <w:rsid w:val="00EF545C"/>
    <w:rsid w:val="00EF619B"/>
    <w:rsid w:val="00F00B55"/>
    <w:rsid w:val="00F01129"/>
    <w:rsid w:val="00F014D8"/>
    <w:rsid w:val="00F02D28"/>
    <w:rsid w:val="00F05229"/>
    <w:rsid w:val="00F07B59"/>
    <w:rsid w:val="00F11011"/>
    <w:rsid w:val="00F11CB1"/>
    <w:rsid w:val="00F1380F"/>
    <w:rsid w:val="00F14F0E"/>
    <w:rsid w:val="00F24C29"/>
    <w:rsid w:val="00F253CC"/>
    <w:rsid w:val="00F276EB"/>
    <w:rsid w:val="00F34EB9"/>
    <w:rsid w:val="00F37363"/>
    <w:rsid w:val="00F56BA5"/>
    <w:rsid w:val="00F6189E"/>
    <w:rsid w:val="00F644E6"/>
    <w:rsid w:val="00F65793"/>
    <w:rsid w:val="00F7253F"/>
    <w:rsid w:val="00F74A1C"/>
    <w:rsid w:val="00F811DF"/>
    <w:rsid w:val="00F9653B"/>
    <w:rsid w:val="00FA19A7"/>
    <w:rsid w:val="00FA1DD1"/>
    <w:rsid w:val="00FA3DEF"/>
    <w:rsid w:val="00FA44F3"/>
    <w:rsid w:val="00FA5A85"/>
    <w:rsid w:val="00FA6ECA"/>
    <w:rsid w:val="00FB62CF"/>
    <w:rsid w:val="00FB784F"/>
    <w:rsid w:val="00FC3EB4"/>
    <w:rsid w:val="00FC6C58"/>
    <w:rsid w:val="00FD32AD"/>
    <w:rsid w:val="00FE018A"/>
    <w:rsid w:val="00FE175A"/>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350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50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43505F"/>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43505F"/>
    <w:rPr>
      <w:rFonts w:asciiTheme="majorHAnsi" w:eastAsiaTheme="majorEastAsia" w:hAnsiTheme="majorHAnsi" w:cstheme="majorBidi"/>
      <w:color w:val="243F60" w:themeColor="accent1" w:themeShade="7F"/>
      <w:sz w:val="24"/>
      <w:szCs w:val="24"/>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43505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43505F"/>
    <w:rPr>
      <w:rFonts w:ascii="Cambria" w:eastAsia="Cambria" w:hAnsi="Cambria" w:cs="Cambria"/>
      <w:color w:val="000000"/>
      <w:sz w:val="24"/>
      <w:szCs w:val="24"/>
      <w:u w:color="000000"/>
      <w:lang w:val="en-US"/>
    </w:rPr>
  </w:style>
  <w:style w:type="paragraph" w:styleId="NoSpacing">
    <w:name w:val="No Spacing"/>
    <w:uiPriority w:val="1"/>
    <w:qFormat/>
    <w:rsid w:val="004350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character" w:styleId="Strong">
    <w:name w:val="Strong"/>
    <w:uiPriority w:val="22"/>
    <w:qFormat/>
    <w:rsid w:val="0043505F"/>
    <w:rPr>
      <w:b/>
      <w:bCs/>
    </w:rPr>
  </w:style>
  <w:style w:type="character" w:styleId="CommentReference">
    <w:name w:val="annotation reference"/>
    <w:basedOn w:val="DefaultParagraphFont"/>
    <w:uiPriority w:val="99"/>
    <w:semiHidden/>
    <w:unhideWhenUsed/>
    <w:rsid w:val="00B639A8"/>
    <w:rPr>
      <w:sz w:val="16"/>
      <w:szCs w:val="16"/>
    </w:rPr>
  </w:style>
  <w:style w:type="paragraph" w:styleId="CommentText">
    <w:name w:val="annotation text"/>
    <w:basedOn w:val="Normal"/>
    <w:link w:val="CommentTextChar"/>
    <w:uiPriority w:val="99"/>
    <w:semiHidden/>
    <w:unhideWhenUsed/>
    <w:rsid w:val="00B639A8"/>
    <w:rPr>
      <w:sz w:val="20"/>
      <w:szCs w:val="20"/>
    </w:rPr>
  </w:style>
  <w:style w:type="character" w:customStyle="1" w:styleId="CommentTextChar">
    <w:name w:val="Comment Text Char"/>
    <w:basedOn w:val="DefaultParagraphFont"/>
    <w:link w:val="CommentText"/>
    <w:uiPriority w:val="99"/>
    <w:semiHidden/>
    <w:rsid w:val="00B639A8"/>
    <w:rPr>
      <w:lang w:val="en-US" w:eastAsia="en-US"/>
    </w:rPr>
  </w:style>
  <w:style w:type="paragraph" w:styleId="CommentSubject">
    <w:name w:val="annotation subject"/>
    <w:basedOn w:val="CommentText"/>
    <w:next w:val="CommentText"/>
    <w:link w:val="CommentSubjectChar"/>
    <w:uiPriority w:val="99"/>
    <w:semiHidden/>
    <w:unhideWhenUsed/>
    <w:rsid w:val="00B639A8"/>
    <w:rPr>
      <w:b/>
      <w:bCs/>
    </w:rPr>
  </w:style>
  <w:style w:type="character" w:customStyle="1" w:styleId="CommentSubjectChar">
    <w:name w:val="Comment Subject Char"/>
    <w:basedOn w:val="CommentTextChar"/>
    <w:link w:val="CommentSubject"/>
    <w:uiPriority w:val="99"/>
    <w:semiHidden/>
    <w:rsid w:val="00B639A8"/>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350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50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43505F"/>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43505F"/>
    <w:rPr>
      <w:rFonts w:asciiTheme="majorHAnsi" w:eastAsiaTheme="majorEastAsia" w:hAnsiTheme="majorHAnsi" w:cstheme="majorBidi"/>
      <w:color w:val="243F60" w:themeColor="accent1" w:themeShade="7F"/>
      <w:sz w:val="24"/>
      <w:szCs w:val="24"/>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43505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43505F"/>
    <w:rPr>
      <w:rFonts w:ascii="Cambria" w:eastAsia="Cambria" w:hAnsi="Cambria" w:cs="Cambria"/>
      <w:color w:val="000000"/>
      <w:sz w:val="24"/>
      <w:szCs w:val="24"/>
      <w:u w:color="000000"/>
      <w:lang w:val="en-US"/>
    </w:rPr>
  </w:style>
  <w:style w:type="paragraph" w:styleId="NoSpacing">
    <w:name w:val="No Spacing"/>
    <w:uiPriority w:val="1"/>
    <w:qFormat/>
    <w:rsid w:val="004350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character" w:styleId="Strong">
    <w:name w:val="Strong"/>
    <w:uiPriority w:val="22"/>
    <w:qFormat/>
    <w:rsid w:val="0043505F"/>
    <w:rPr>
      <w:b/>
      <w:bCs/>
    </w:rPr>
  </w:style>
  <w:style w:type="character" w:styleId="CommentReference">
    <w:name w:val="annotation reference"/>
    <w:basedOn w:val="DefaultParagraphFont"/>
    <w:uiPriority w:val="99"/>
    <w:semiHidden/>
    <w:unhideWhenUsed/>
    <w:rsid w:val="00B639A8"/>
    <w:rPr>
      <w:sz w:val="16"/>
      <w:szCs w:val="16"/>
    </w:rPr>
  </w:style>
  <w:style w:type="paragraph" w:styleId="CommentText">
    <w:name w:val="annotation text"/>
    <w:basedOn w:val="Normal"/>
    <w:link w:val="CommentTextChar"/>
    <w:uiPriority w:val="99"/>
    <w:semiHidden/>
    <w:unhideWhenUsed/>
    <w:rsid w:val="00B639A8"/>
    <w:rPr>
      <w:sz w:val="20"/>
      <w:szCs w:val="20"/>
    </w:rPr>
  </w:style>
  <w:style w:type="character" w:customStyle="1" w:styleId="CommentTextChar">
    <w:name w:val="Comment Text Char"/>
    <w:basedOn w:val="DefaultParagraphFont"/>
    <w:link w:val="CommentText"/>
    <w:uiPriority w:val="99"/>
    <w:semiHidden/>
    <w:rsid w:val="00B639A8"/>
    <w:rPr>
      <w:lang w:val="en-US" w:eastAsia="en-US"/>
    </w:rPr>
  </w:style>
  <w:style w:type="paragraph" w:styleId="CommentSubject">
    <w:name w:val="annotation subject"/>
    <w:basedOn w:val="CommentText"/>
    <w:next w:val="CommentText"/>
    <w:link w:val="CommentSubjectChar"/>
    <w:uiPriority w:val="99"/>
    <w:semiHidden/>
    <w:unhideWhenUsed/>
    <w:rsid w:val="00B639A8"/>
    <w:rPr>
      <w:b/>
      <w:bCs/>
    </w:rPr>
  </w:style>
  <w:style w:type="character" w:customStyle="1" w:styleId="CommentSubjectChar">
    <w:name w:val="Comment Subject Char"/>
    <w:basedOn w:val="CommentTextChar"/>
    <w:link w:val="CommentSubject"/>
    <w:uiPriority w:val="99"/>
    <w:semiHidden/>
    <w:rsid w:val="00B639A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5F431-54BB-445F-BAD0-5AA43566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7491</Words>
  <Characters>42703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4</cp:revision>
  <cp:lastPrinted>2018-09-14T19:39:00Z</cp:lastPrinted>
  <dcterms:created xsi:type="dcterms:W3CDTF">2019-01-24T00:23:00Z</dcterms:created>
  <dcterms:modified xsi:type="dcterms:W3CDTF">2019-01-24T00:26:00Z</dcterms:modified>
</cp:coreProperties>
</file>