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8654B6" w14:textId="77777777" w:rsidR="00040C3A" w:rsidRPr="006271B7" w:rsidRDefault="006311DA" w:rsidP="00627C9F">
      <w:pPr>
        <w:jc w:val="both"/>
        <w:rPr>
          <w:rFonts w:asciiTheme="majorHAnsi" w:hAnsiTheme="majorHAnsi" w:cs="Univers"/>
          <w:b/>
          <w:bCs/>
          <w:sz w:val="22"/>
          <w:szCs w:val="22"/>
        </w:rPr>
      </w:pPr>
      <w:r w:rsidRPr="006271B7">
        <w:rPr>
          <w:rFonts w:asciiTheme="majorHAnsi" w:hAnsiTheme="majorHAnsi"/>
          <w:noProof/>
          <w:sz w:val="22"/>
          <w:szCs w:val="22"/>
          <w:lang w:val="es-UY" w:eastAsia="es-UY"/>
        </w:rPr>
        <mc:AlternateContent>
          <mc:Choice Requires="wps">
            <w:drawing>
              <wp:anchor distT="0" distB="0" distL="114300" distR="114300" simplePos="0" relativeHeight="251661311" behindDoc="0" locked="0" layoutInCell="1" allowOverlap="1" wp14:anchorId="18793043" wp14:editId="7C3D3382">
                <wp:simplePos x="0" y="0"/>
                <wp:positionH relativeFrom="column">
                  <wp:posOffset>-415925</wp:posOffset>
                </wp:positionH>
                <wp:positionV relativeFrom="paragraph">
                  <wp:posOffset>-356870</wp:posOffset>
                </wp:positionV>
                <wp:extent cx="1409700" cy="8977630"/>
                <wp:effectExtent l="0" t="0" r="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xmlns:w15="http://schemas.microsoft.com/office/word/2012/wordml">
            <w:pict>
              <v:rect w14:anchorId="0A84782E" id="Rectangle 1" o:spid="_x0000_s1026" style="position:absolute;margin-left:-32.75pt;margin-top:-28.1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" fillcolor="#67ae3c" stroked="f" strokeweight="2pt"/>
            </w:pict>
          </mc:Fallback>
        </mc:AlternateContent>
      </w:r>
      <w:r w:rsidR="00B31EBE" w:rsidRPr="006271B7">
        <w:rPr>
          <w:rFonts w:asciiTheme="majorHAnsi" w:hAnsiTheme="majorHAnsi"/>
          <w:noProof/>
          <w:sz w:val="22"/>
          <w:szCs w:val="22"/>
          <w:lang w:val="es-UY" w:eastAsia="es-UY"/>
        </w:rPr>
        <mc:AlternateContent>
          <mc:Choice Requires="wps">
            <w:drawing>
              <wp:anchor distT="0" distB="0" distL="114300" distR="114300" simplePos="0" relativeHeight="251673600" behindDoc="0" locked="0" layoutInCell="1" allowOverlap="1" wp14:anchorId="52EDF2C5" wp14:editId="0D8742D1">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4CC22AA" w14:textId="77777777" w:rsidR="00D02D3C" w:rsidRDefault="00D02D3C">
                            <w:r>
                              <w:rPr>
                                <w:noProof/>
                                <w:lang w:val="es-UY" w:eastAsia="es-UY"/>
                              </w:rPr>
                              <w:drawing>
                                <wp:inline distT="0" distB="0" distL="0" distR="0" wp14:anchorId="5AB0F809" wp14:editId="52286602">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" filled="f" stroked="f" strokeweight=".5pt">
                <v:textbox>
                  <w:txbxContent>
                    <w:p w14:paraId="74CC22AA" w14:textId="77777777" w:rsidR="00D02D3C" w:rsidRDefault="00D02D3C">
                      <w:r>
                        <w:rPr>
                          <w:noProof/>
                        </w:rPr>
                        <w:drawing>
                          <wp:inline distT="0" distB="0" distL="0" distR="0" wp14:anchorId="5AB0F809" wp14:editId="52286602">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p>
                  </w:txbxContent>
                </v:textbox>
              </v:shape>
            </w:pict>
          </mc:Fallback>
        </mc:AlternateContent>
      </w:r>
    </w:p>
    <w:p w14:paraId="266CB1BF" w14:textId="77777777" w:rsidR="00040C3A" w:rsidRPr="006271B7" w:rsidRDefault="00040C3A" w:rsidP="00040C3A">
      <w:pPr>
        <w:tabs>
          <w:tab w:val="center" w:pos="5400"/>
        </w:tabs>
        <w:suppressAutoHyphens/>
        <w:jc w:val="both"/>
        <w:rPr>
          <w:rFonts w:asciiTheme="majorHAnsi" w:hAnsiTheme="majorHAnsi"/>
          <w:sz w:val="22"/>
          <w:szCs w:val="22"/>
        </w:rPr>
      </w:pPr>
    </w:p>
    <w:p w14:paraId="32EBA7F5" w14:textId="77777777" w:rsidR="00040C3A" w:rsidRPr="006271B7" w:rsidRDefault="00040C3A" w:rsidP="00040C3A">
      <w:pPr>
        <w:tabs>
          <w:tab w:val="center" w:pos="5400"/>
        </w:tabs>
        <w:suppressAutoHyphens/>
        <w:jc w:val="both"/>
        <w:rPr>
          <w:rFonts w:asciiTheme="majorHAnsi" w:hAnsiTheme="majorHAnsi"/>
          <w:sz w:val="22"/>
          <w:szCs w:val="22"/>
        </w:rPr>
      </w:pPr>
    </w:p>
    <w:p w14:paraId="159724FE" w14:textId="77777777" w:rsidR="005128E4" w:rsidRPr="006271B7" w:rsidRDefault="005128E4" w:rsidP="00040C3A">
      <w:pPr>
        <w:tabs>
          <w:tab w:val="center" w:pos="5400"/>
        </w:tabs>
        <w:suppressAutoHyphens/>
        <w:rPr>
          <w:rFonts w:asciiTheme="majorHAnsi" w:hAnsiTheme="majorHAnsi"/>
          <w:sz w:val="22"/>
          <w:szCs w:val="22"/>
        </w:rPr>
      </w:pPr>
    </w:p>
    <w:p w14:paraId="6272E695" w14:textId="77777777" w:rsidR="005128E4" w:rsidRPr="006271B7" w:rsidRDefault="005128E4" w:rsidP="00040C3A">
      <w:pPr>
        <w:tabs>
          <w:tab w:val="center" w:pos="5400"/>
        </w:tabs>
        <w:suppressAutoHyphens/>
        <w:rPr>
          <w:rFonts w:asciiTheme="majorHAnsi" w:hAnsiTheme="majorHAnsi"/>
          <w:sz w:val="22"/>
          <w:szCs w:val="22"/>
        </w:rPr>
      </w:pPr>
    </w:p>
    <w:p w14:paraId="6D04D8D0" w14:textId="77777777" w:rsidR="005128E4" w:rsidRPr="006271B7" w:rsidRDefault="005128E4" w:rsidP="00040C3A">
      <w:pPr>
        <w:tabs>
          <w:tab w:val="center" w:pos="5400"/>
        </w:tabs>
        <w:suppressAutoHyphens/>
        <w:rPr>
          <w:rFonts w:asciiTheme="majorHAnsi" w:hAnsiTheme="majorHAnsi"/>
          <w:sz w:val="22"/>
          <w:szCs w:val="22"/>
        </w:rPr>
      </w:pPr>
    </w:p>
    <w:p w14:paraId="6DFE98F9" w14:textId="77777777" w:rsidR="00040C3A" w:rsidRPr="006271B7" w:rsidRDefault="00040C3A" w:rsidP="005128E4">
      <w:pPr>
        <w:tabs>
          <w:tab w:val="center" w:pos="5400"/>
        </w:tabs>
        <w:suppressAutoHyphens/>
        <w:jc w:val="center"/>
        <w:rPr>
          <w:rFonts w:asciiTheme="majorHAnsi" w:hAnsiTheme="majorHAnsi"/>
          <w:sz w:val="22"/>
          <w:szCs w:val="22"/>
        </w:rPr>
      </w:pPr>
    </w:p>
    <w:p w14:paraId="5B3F7A92" w14:textId="77777777" w:rsidR="00040C3A" w:rsidRPr="006271B7" w:rsidRDefault="00040C3A" w:rsidP="005128E4">
      <w:pPr>
        <w:tabs>
          <w:tab w:val="center" w:pos="5400"/>
        </w:tabs>
        <w:suppressAutoHyphens/>
        <w:jc w:val="center"/>
        <w:rPr>
          <w:rFonts w:asciiTheme="majorHAnsi" w:hAnsiTheme="majorHAnsi"/>
          <w:sz w:val="22"/>
          <w:szCs w:val="22"/>
        </w:rPr>
      </w:pPr>
    </w:p>
    <w:p w14:paraId="2D4E2575" w14:textId="77777777" w:rsidR="005B52B0" w:rsidRPr="006271B7" w:rsidRDefault="005B52B0" w:rsidP="005128E4">
      <w:pPr>
        <w:tabs>
          <w:tab w:val="center" w:pos="5400"/>
        </w:tabs>
        <w:suppressAutoHyphens/>
        <w:jc w:val="center"/>
        <w:rPr>
          <w:rFonts w:asciiTheme="majorHAnsi" w:hAnsiTheme="majorHAnsi"/>
          <w:sz w:val="22"/>
          <w:szCs w:val="22"/>
        </w:rPr>
      </w:pPr>
    </w:p>
    <w:p w14:paraId="29FFBAFE" w14:textId="77777777" w:rsidR="005B52B0" w:rsidRPr="006271B7" w:rsidRDefault="005B52B0" w:rsidP="005128E4">
      <w:pPr>
        <w:tabs>
          <w:tab w:val="center" w:pos="5400"/>
        </w:tabs>
        <w:suppressAutoHyphens/>
        <w:jc w:val="center"/>
        <w:rPr>
          <w:rFonts w:asciiTheme="majorHAnsi" w:hAnsiTheme="majorHAnsi"/>
          <w:sz w:val="22"/>
          <w:szCs w:val="22"/>
        </w:rPr>
      </w:pPr>
    </w:p>
    <w:p w14:paraId="52B572AC" w14:textId="77777777" w:rsidR="005B52B0" w:rsidRPr="006271B7" w:rsidRDefault="005B52B0" w:rsidP="005128E4">
      <w:pPr>
        <w:tabs>
          <w:tab w:val="center" w:pos="5400"/>
        </w:tabs>
        <w:suppressAutoHyphens/>
        <w:jc w:val="center"/>
        <w:rPr>
          <w:rFonts w:asciiTheme="majorHAnsi" w:hAnsiTheme="majorHAnsi"/>
          <w:sz w:val="22"/>
          <w:szCs w:val="22"/>
        </w:rPr>
      </w:pPr>
    </w:p>
    <w:p w14:paraId="15FD0681" w14:textId="77777777" w:rsidR="00040C3A" w:rsidRPr="006271B7" w:rsidRDefault="00040C3A" w:rsidP="00040C3A">
      <w:pPr>
        <w:tabs>
          <w:tab w:val="center" w:pos="5400"/>
        </w:tabs>
        <w:suppressAutoHyphens/>
        <w:jc w:val="center"/>
        <w:rPr>
          <w:rFonts w:asciiTheme="majorHAnsi" w:hAnsiTheme="majorHAnsi"/>
          <w:sz w:val="22"/>
          <w:szCs w:val="22"/>
        </w:rPr>
      </w:pPr>
    </w:p>
    <w:p w14:paraId="26EF4A6C" w14:textId="77777777" w:rsidR="00040C3A" w:rsidRPr="006271B7" w:rsidRDefault="00040C3A" w:rsidP="00040C3A">
      <w:pPr>
        <w:tabs>
          <w:tab w:val="center" w:pos="5400"/>
        </w:tabs>
        <w:suppressAutoHyphens/>
        <w:jc w:val="center"/>
        <w:rPr>
          <w:rFonts w:asciiTheme="majorHAnsi" w:hAnsiTheme="majorHAnsi"/>
          <w:sz w:val="22"/>
          <w:szCs w:val="22"/>
        </w:rPr>
      </w:pPr>
    </w:p>
    <w:p w14:paraId="4506D69E" w14:textId="77777777" w:rsidR="00040C3A" w:rsidRPr="006271B7" w:rsidRDefault="00040C3A" w:rsidP="00040C3A">
      <w:pPr>
        <w:tabs>
          <w:tab w:val="center" w:pos="5400"/>
        </w:tabs>
        <w:suppressAutoHyphens/>
        <w:jc w:val="center"/>
        <w:rPr>
          <w:rFonts w:asciiTheme="majorHAnsi" w:hAnsiTheme="majorHAnsi"/>
          <w:sz w:val="22"/>
          <w:szCs w:val="22"/>
        </w:rPr>
      </w:pPr>
    </w:p>
    <w:p w14:paraId="32644CE2" w14:textId="77777777" w:rsidR="00040C3A" w:rsidRPr="006271B7" w:rsidRDefault="00E533FF" w:rsidP="00040C3A">
      <w:pPr>
        <w:tabs>
          <w:tab w:val="center" w:pos="5400"/>
        </w:tabs>
        <w:suppressAutoHyphens/>
        <w:jc w:val="center"/>
        <w:rPr>
          <w:rFonts w:asciiTheme="majorHAnsi" w:hAnsiTheme="majorHAnsi"/>
          <w:sz w:val="22"/>
          <w:szCs w:val="22"/>
        </w:rPr>
      </w:pPr>
      <w:r w:rsidRPr="006271B7">
        <w:rPr>
          <w:rFonts w:asciiTheme="majorHAnsi" w:hAnsiTheme="majorHAnsi"/>
          <w:noProof/>
          <w:sz w:val="22"/>
          <w:szCs w:val="22"/>
          <w:lang w:val="es-UY" w:eastAsia="es-UY"/>
        </w:rPr>
        <mc:AlternateContent>
          <mc:Choice Requires="wps">
            <w:drawing>
              <wp:anchor distT="0" distB="0" distL="114300" distR="114300" simplePos="0" relativeHeight="251669504" behindDoc="0" locked="0" layoutInCell="1" allowOverlap="1" wp14:anchorId="191AF7D6" wp14:editId="3AA29127">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16EE4FB" w14:textId="5695888B" w:rsidR="00D02D3C" w:rsidRPr="004B7EB6" w:rsidRDefault="00EF5E9E"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REPORT No. 109</w:t>
                            </w:r>
                            <w:r w:rsidR="00D02D3C" w:rsidRPr="004B7EB6">
                              <w:rPr>
                                <w:rFonts w:asciiTheme="majorHAnsi" w:hAnsiTheme="majorHAnsi" w:cs="Arial"/>
                                <w:b/>
                                <w:bCs/>
                                <w:color w:val="0D0D0D" w:themeColor="text1" w:themeTint="F2"/>
                                <w:sz w:val="36"/>
                                <w:szCs w:val="40"/>
                              </w:rPr>
                              <w:t>/</w:t>
                            </w:r>
                            <w:r w:rsidR="00D02D3C">
                              <w:rPr>
                                <w:rFonts w:asciiTheme="majorHAnsi" w:hAnsiTheme="majorHAnsi" w:cs="Arial"/>
                                <w:b/>
                                <w:bCs/>
                                <w:color w:val="0D0D0D" w:themeColor="text1" w:themeTint="F2"/>
                                <w:sz w:val="36"/>
                                <w:szCs w:val="40"/>
                              </w:rPr>
                              <w:t>18</w:t>
                            </w:r>
                          </w:p>
                          <w:p w14:paraId="465370B6" w14:textId="668BFBEE" w:rsidR="00D02D3C" w:rsidRPr="004B7EB6" w:rsidRDefault="00D02D3C" w:rsidP="004B7EB6">
                            <w:pPr>
                              <w:spacing w:line="276" w:lineRule="auto"/>
                              <w:rPr>
                                <w:rFonts w:asciiTheme="majorHAnsi" w:hAnsiTheme="majorHAnsi" w:cs="Arial"/>
                                <w:b/>
                                <w:bCs/>
                                <w:color w:val="0D0D0D" w:themeColor="text1" w:themeTint="F2"/>
                                <w:sz w:val="36"/>
                                <w:szCs w:val="40"/>
                              </w:rPr>
                            </w:pPr>
                            <w:r w:rsidRPr="004B7EB6">
                              <w:rPr>
                                <w:rFonts w:asciiTheme="majorHAnsi" w:hAnsiTheme="majorHAnsi" w:cs="Arial"/>
                                <w:b/>
                                <w:bCs/>
                                <w:color w:val="0D0D0D" w:themeColor="text1" w:themeTint="F2"/>
                                <w:sz w:val="36"/>
                                <w:szCs w:val="40"/>
                              </w:rPr>
                              <w:t xml:space="preserve">CASE </w:t>
                            </w:r>
                            <w:r>
                              <w:rPr>
                                <w:rFonts w:asciiTheme="majorHAnsi" w:hAnsiTheme="majorHAnsi" w:cs="Arial"/>
                                <w:b/>
                                <w:bCs/>
                                <w:color w:val="0D0D0D" w:themeColor="text1" w:themeTint="F2"/>
                                <w:sz w:val="36"/>
                                <w:szCs w:val="40"/>
                              </w:rPr>
                              <w:t>12.870</w:t>
                            </w:r>
                          </w:p>
                          <w:p w14:paraId="0A17D5F4" w14:textId="77777777" w:rsidR="00D02D3C" w:rsidRPr="004B7EB6" w:rsidRDefault="00D02D3C" w:rsidP="00105D7F">
                            <w:pPr>
                              <w:spacing w:line="276" w:lineRule="auto"/>
                              <w:rPr>
                                <w:rFonts w:asciiTheme="majorHAnsi" w:hAnsiTheme="majorHAnsi" w:cs="Arial"/>
                                <w:color w:val="0D0D0D" w:themeColor="text1" w:themeTint="F2"/>
                                <w:szCs w:val="22"/>
                              </w:rPr>
                            </w:pPr>
                            <w:r w:rsidRPr="004B7EB6">
                              <w:rPr>
                                <w:rFonts w:asciiTheme="majorHAnsi" w:hAnsiTheme="majorHAnsi" w:cs="Arial"/>
                                <w:color w:val="0D0D0D" w:themeColor="text1" w:themeTint="F2"/>
                                <w:szCs w:val="22"/>
                              </w:rPr>
                              <w:t xml:space="preserve">REPORT ON MERITS </w:t>
                            </w:r>
                          </w:p>
                          <w:p w14:paraId="4F77B154" w14:textId="77777777" w:rsidR="00D02D3C" w:rsidRPr="004B7EB6" w:rsidRDefault="00D02D3C" w:rsidP="004B7EB6">
                            <w:pPr>
                              <w:spacing w:line="276" w:lineRule="auto"/>
                              <w:rPr>
                                <w:rFonts w:asciiTheme="majorHAnsi" w:hAnsiTheme="majorHAnsi" w:cs="Arial"/>
                                <w:color w:val="0D0D0D" w:themeColor="text1" w:themeTint="F2"/>
                                <w:szCs w:val="22"/>
                              </w:rPr>
                            </w:pPr>
                          </w:p>
                          <w:p w14:paraId="3DDACC7E" w14:textId="77777777" w:rsidR="00D02D3C" w:rsidRPr="004B7EB6" w:rsidRDefault="00D02D3C" w:rsidP="004B7EB6">
                            <w:pPr>
                              <w:spacing w:line="276" w:lineRule="auto"/>
                              <w:rPr>
                                <w:rFonts w:asciiTheme="majorHAnsi" w:hAnsiTheme="majorHAnsi" w:cs="Arial"/>
                                <w:color w:val="0D0D0D" w:themeColor="text1" w:themeTint="F2"/>
                                <w:szCs w:val="22"/>
                              </w:rPr>
                            </w:pPr>
                          </w:p>
                          <w:p w14:paraId="0DE3C39C" w14:textId="43AA6DC7" w:rsidR="00D02D3C" w:rsidRPr="00D02D3C" w:rsidRDefault="00D02D3C" w:rsidP="00105D7F">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YENINA ESTHER MARTINEZ ESQUIVIA</w:t>
                            </w:r>
                          </w:p>
                          <w:p w14:paraId="75D3F63C" w14:textId="2E88B52B" w:rsidR="00D02D3C" w:rsidRPr="00D02D3C" w:rsidRDefault="00D02D3C" w:rsidP="00105D7F">
                            <w:pPr>
                              <w:spacing w:line="276" w:lineRule="auto"/>
                              <w:rPr>
                                <w:rFonts w:asciiTheme="majorHAnsi" w:hAnsiTheme="majorHAnsi"/>
                                <w:color w:val="0D0D0D" w:themeColor="text1" w:themeTint="F2"/>
                              </w:rPr>
                            </w:pPr>
                            <w:r>
                              <w:rPr>
                                <w:rFonts w:asciiTheme="majorHAnsi" w:hAnsiTheme="majorHAnsi" w:cs="Arial"/>
                                <w:color w:val="0D0D0D" w:themeColor="text1" w:themeTint="F2"/>
                                <w:szCs w:val="22"/>
                              </w:rPr>
                              <w:t>COLOMBIA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left:0;text-align:left;margin-left:95.25pt;margin-top:6.25pt;width:341.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" filled="f" stroked="f" strokeweight=".5pt">
                <v:textbox>
                  <w:txbxContent>
                    <w:p w14:paraId="716EE4FB" w14:textId="5695888B" w:rsidR="00D02D3C" w:rsidRPr="004B7EB6" w:rsidRDefault="00EF5E9E"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REPORT No. 109</w:t>
                      </w:r>
                      <w:r w:rsidR="00D02D3C" w:rsidRPr="004B7EB6">
                        <w:rPr>
                          <w:rFonts w:asciiTheme="majorHAnsi" w:hAnsiTheme="majorHAnsi" w:cs="Arial"/>
                          <w:b/>
                          <w:bCs/>
                          <w:color w:val="0D0D0D" w:themeColor="text1" w:themeTint="F2"/>
                          <w:sz w:val="36"/>
                          <w:szCs w:val="40"/>
                        </w:rPr>
                        <w:t>/</w:t>
                      </w:r>
                      <w:r w:rsidR="00D02D3C">
                        <w:rPr>
                          <w:rFonts w:asciiTheme="majorHAnsi" w:hAnsiTheme="majorHAnsi" w:cs="Arial"/>
                          <w:b/>
                          <w:bCs/>
                          <w:color w:val="0D0D0D" w:themeColor="text1" w:themeTint="F2"/>
                          <w:sz w:val="36"/>
                          <w:szCs w:val="40"/>
                        </w:rPr>
                        <w:t>18</w:t>
                      </w:r>
                    </w:p>
                    <w:p w14:paraId="465370B6" w14:textId="668BFBEE" w:rsidR="00D02D3C" w:rsidRPr="004B7EB6" w:rsidRDefault="00D02D3C" w:rsidP="004B7EB6">
                      <w:pPr>
                        <w:spacing w:line="276" w:lineRule="auto"/>
                        <w:rPr>
                          <w:rFonts w:asciiTheme="majorHAnsi" w:hAnsiTheme="majorHAnsi" w:cs="Arial"/>
                          <w:b/>
                          <w:bCs/>
                          <w:color w:val="0D0D0D" w:themeColor="text1" w:themeTint="F2"/>
                          <w:sz w:val="36"/>
                          <w:szCs w:val="40"/>
                        </w:rPr>
                      </w:pPr>
                      <w:r w:rsidRPr="004B7EB6">
                        <w:rPr>
                          <w:rFonts w:asciiTheme="majorHAnsi" w:hAnsiTheme="majorHAnsi" w:cs="Arial"/>
                          <w:b/>
                          <w:bCs/>
                          <w:color w:val="0D0D0D" w:themeColor="text1" w:themeTint="F2"/>
                          <w:sz w:val="36"/>
                          <w:szCs w:val="40"/>
                        </w:rPr>
                        <w:t xml:space="preserve">CASE </w:t>
                      </w:r>
                      <w:r>
                        <w:rPr>
                          <w:rFonts w:asciiTheme="majorHAnsi" w:hAnsiTheme="majorHAnsi" w:cs="Arial"/>
                          <w:b/>
                          <w:bCs/>
                          <w:color w:val="0D0D0D" w:themeColor="text1" w:themeTint="F2"/>
                          <w:sz w:val="36"/>
                          <w:szCs w:val="40"/>
                        </w:rPr>
                        <w:t>12.870</w:t>
                      </w:r>
                    </w:p>
                    <w:p w14:paraId="0A17D5F4" w14:textId="77777777" w:rsidR="00D02D3C" w:rsidRPr="004B7EB6" w:rsidRDefault="00D02D3C" w:rsidP="00105D7F">
                      <w:pPr>
                        <w:spacing w:line="276" w:lineRule="auto"/>
                        <w:rPr>
                          <w:rFonts w:asciiTheme="majorHAnsi" w:hAnsiTheme="majorHAnsi" w:cs="Arial"/>
                          <w:color w:val="0D0D0D" w:themeColor="text1" w:themeTint="F2"/>
                          <w:szCs w:val="22"/>
                        </w:rPr>
                      </w:pPr>
                      <w:r w:rsidRPr="004B7EB6">
                        <w:rPr>
                          <w:rFonts w:asciiTheme="majorHAnsi" w:hAnsiTheme="majorHAnsi" w:cs="Arial"/>
                          <w:color w:val="0D0D0D" w:themeColor="text1" w:themeTint="F2"/>
                          <w:szCs w:val="22"/>
                        </w:rPr>
                        <w:t xml:space="preserve">REPORT ON MERITS </w:t>
                      </w:r>
                    </w:p>
                    <w:p w14:paraId="4F77B154" w14:textId="77777777" w:rsidR="00D02D3C" w:rsidRPr="004B7EB6" w:rsidRDefault="00D02D3C" w:rsidP="004B7EB6">
                      <w:pPr>
                        <w:spacing w:line="276" w:lineRule="auto"/>
                        <w:rPr>
                          <w:rFonts w:asciiTheme="majorHAnsi" w:hAnsiTheme="majorHAnsi" w:cs="Arial"/>
                          <w:color w:val="0D0D0D" w:themeColor="text1" w:themeTint="F2"/>
                          <w:szCs w:val="22"/>
                        </w:rPr>
                      </w:pPr>
                    </w:p>
                    <w:p w14:paraId="3DDACC7E" w14:textId="77777777" w:rsidR="00D02D3C" w:rsidRPr="004B7EB6" w:rsidRDefault="00D02D3C" w:rsidP="004B7EB6">
                      <w:pPr>
                        <w:spacing w:line="276" w:lineRule="auto"/>
                        <w:rPr>
                          <w:rFonts w:asciiTheme="majorHAnsi" w:hAnsiTheme="majorHAnsi" w:cs="Arial"/>
                          <w:color w:val="0D0D0D" w:themeColor="text1" w:themeTint="F2"/>
                          <w:szCs w:val="22"/>
                        </w:rPr>
                      </w:pPr>
                    </w:p>
                    <w:p w14:paraId="0DE3C39C" w14:textId="43AA6DC7" w:rsidR="00D02D3C" w:rsidRPr="00D02D3C" w:rsidRDefault="00D02D3C" w:rsidP="00105D7F">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YENINA ESTHER MARTINEZ ESQUIVIA</w:t>
                      </w:r>
                    </w:p>
                    <w:p w14:paraId="75D3F63C" w14:textId="2E88B52B" w:rsidR="00D02D3C" w:rsidRPr="00D02D3C" w:rsidRDefault="00D02D3C" w:rsidP="00105D7F">
                      <w:pPr>
                        <w:spacing w:line="276" w:lineRule="auto"/>
                        <w:rPr>
                          <w:rFonts w:asciiTheme="majorHAnsi" w:hAnsiTheme="majorHAnsi"/>
                          <w:color w:val="0D0D0D" w:themeColor="text1" w:themeTint="F2"/>
                        </w:rPr>
                      </w:pPr>
                      <w:r>
                        <w:rPr>
                          <w:rFonts w:asciiTheme="majorHAnsi" w:hAnsiTheme="majorHAnsi" w:cs="Arial"/>
                          <w:color w:val="0D0D0D" w:themeColor="text1" w:themeTint="F2"/>
                          <w:szCs w:val="22"/>
                        </w:rPr>
                        <w:t>COLOMBIA</w:t>
                      </w:r>
                    </w:p>
                  </w:txbxContent>
                </v:textbox>
              </v:shape>
            </w:pict>
          </mc:Fallback>
        </mc:AlternateContent>
      </w:r>
      <w:r w:rsidR="004B7EB6" w:rsidRPr="006271B7">
        <w:rPr>
          <w:rFonts w:asciiTheme="majorHAnsi" w:hAnsiTheme="majorHAnsi"/>
          <w:noProof/>
          <w:sz w:val="22"/>
          <w:szCs w:val="22"/>
          <w:lang w:val="es-UY" w:eastAsia="es-UY"/>
        </w:rPr>
        <mc:AlternateContent>
          <mc:Choice Requires="wps">
            <w:drawing>
              <wp:anchor distT="0" distB="0" distL="114300" distR="114300" simplePos="0" relativeHeight="251671552" behindDoc="0" locked="0" layoutInCell="1" allowOverlap="1" wp14:anchorId="09A758CB" wp14:editId="74060C21">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DE273AE" w14:textId="77777777" w:rsidR="00D02D3C" w:rsidRPr="004B7EB6" w:rsidRDefault="00D02D3C" w:rsidP="002C1641">
                            <w:pPr>
                              <w:jc w:val="right"/>
                              <w:rPr>
                                <w:rFonts w:asciiTheme="minorHAnsi" w:hAnsiTheme="minorHAnsi"/>
                                <w:color w:val="FFFFFF" w:themeColor="background1"/>
                                <w:sz w:val="22"/>
                                <w:lang w:val="pt-BR"/>
                              </w:rPr>
                            </w:pPr>
                            <w:r w:rsidRPr="004B7EB6">
                              <w:rPr>
                                <w:rFonts w:asciiTheme="minorHAnsi" w:hAnsiTheme="minorHAnsi"/>
                                <w:color w:val="FFFFFF" w:themeColor="background1"/>
                                <w:sz w:val="22"/>
                                <w:lang w:val="pt-BR"/>
                              </w:rPr>
                              <w:t>OEA/Ser.L/V/II.</w:t>
                            </w:r>
                            <w:r>
                              <w:rPr>
                                <w:rFonts w:asciiTheme="minorHAnsi" w:hAnsiTheme="minorHAnsi"/>
                                <w:color w:val="FFFFFF" w:themeColor="background1"/>
                                <w:sz w:val="22"/>
                                <w:lang w:val="pt-BR"/>
                              </w:rPr>
                              <w:t>169</w:t>
                            </w:r>
                          </w:p>
                          <w:p w14:paraId="337CA118" w14:textId="5368DBA0" w:rsidR="00D02D3C" w:rsidRPr="004B7EB6" w:rsidRDefault="00EF5E9E" w:rsidP="002C1641">
                            <w:pPr>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126</w:t>
                            </w:r>
                          </w:p>
                          <w:p w14:paraId="4F3CE91D" w14:textId="69EDEFA8" w:rsidR="00D02D3C" w:rsidRPr="004B7EB6" w:rsidRDefault="00EF5E9E" w:rsidP="002C1641">
                            <w:pPr>
                              <w:jc w:val="right"/>
                              <w:rPr>
                                <w:rFonts w:asciiTheme="minorHAnsi" w:hAnsiTheme="minorHAnsi"/>
                                <w:color w:val="FFFFFF" w:themeColor="background1"/>
                                <w:sz w:val="22"/>
                              </w:rPr>
                            </w:pPr>
                            <w:r>
                              <w:rPr>
                                <w:rFonts w:asciiTheme="minorHAnsi" w:hAnsiTheme="minorHAnsi"/>
                                <w:color w:val="FFFFFF" w:themeColor="background1"/>
                                <w:sz w:val="22"/>
                              </w:rPr>
                              <w:t>5</w:t>
                            </w:r>
                            <w:r w:rsidR="00D02D3C" w:rsidRPr="004B7EB6">
                              <w:rPr>
                                <w:rFonts w:asciiTheme="minorHAnsi" w:hAnsiTheme="minorHAnsi"/>
                                <w:color w:val="FFFFFF" w:themeColor="background1"/>
                                <w:sz w:val="22"/>
                              </w:rPr>
                              <w:t xml:space="preserve"> </w:t>
                            </w:r>
                            <w:r w:rsidR="00D02D3C">
                              <w:rPr>
                                <w:rFonts w:asciiTheme="minorHAnsi" w:hAnsiTheme="minorHAnsi"/>
                                <w:color w:val="FFFFFF" w:themeColor="background1"/>
                                <w:sz w:val="22"/>
                              </w:rPr>
                              <w:t>October 2018</w:t>
                            </w:r>
                          </w:p>
                          <w:p w14:paraId="6EC7DDBE" w14:textId="524CEE08" w:rsidR="00D02D3C" w:rsidRPr="004B7EB6" w:rsidRDefault="00D02D3C" w:rsidP="002C1641">
                            <w:pPr>
                              <w:jc w:val="right"/>
                              <w:rPr>
                                <w:rFonts w:asciiTheme="minorHAnsi" w:hAnsiTheme="minorHAnsi"/>
                                <w:color w:val="FFFFFF" w:themeColor="background1"/>
                                <w:sz w:val="22"/>
                              </w:rPr>
                            </w:pPr>
                            <w:r w:rsidRPr="004B7EB6">
                              <w:rPr>
                                <w:rFonts w:asciiTheme="minorHAnsi" w:hAnsiTheme="minorHAnsi"/>
                                <w:color w:val="FFFFFF" w:themeColor="background1"/>
                                <w:sz w:val="22"/>
                              </w:rPr>
                              <w:t xml:space="preserve">Original: </w:t>
                            </w:r>
                            <w:r>
                              <w:rPr>
                                <w:rFonts w:asciiTheme="minorHAnsi" w:hAnsiTheme="minorHAnsi"/>
                                <w:color w:val="FFFFFF" w:themeColor="background1"/>
                                <w:sz w:val="22"/>
                              </w:rPr>
                              <w:t>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8" type="#_x0000_t202" style="position:absolute;left:0;text-align:left;margin-left:-29.25pt;margin-top:10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" filled="f" stroked="f" strokeweight=".5pt">
                <v:textbox>
                  <w:txbxContent>
                    <w:p w14:paraId="3DE273AE" w14:textId="77777777" w:rsidR="00D02D3C" w:rsidRPr="004B7EB6" w:rsidRDefault="00D02D3C" w:rsidP="002C1641">
                      <w:pPr>
                        <w:jc w:val="right"/>
                        <w:rPr>
                          <w:rFonts w:asciiTheme="minorHAnsi" w:hAnsiTheme="minorHAnsi"/>
                          <w:color w:val="FFFFFF" w:themeColor="background1"/>
                          <w:sz w:val="22"/>
                          <w:lang w:val="pt-BR"/>
                        </w:rPr>
                      </w:pPr>
                      <w:r w:rsidRPr="004B7EB6">
                        <w:rPr>
                          <w:rFonts w:asciiTheme="minorHAnsi" w:hAnsiTheme="minorHAnsi"/>
                          <w:color w:val="FFFFFF" w:themeColor="background1"/>
                          <w:sz w:val="22"/>
                          <w:lang w:val="pt-BR"/>
                        </w:rPr>
                        <w:t>OEA/Ser.L/V/II.</w:t>
                      </w:r>
                      <w:r>
                        <w:rPr>
                          <w:rFonts w:asciiTheme="minorHAnsi" w:hAnsiTheme="minorHAnsi"/>
                          <w:color w:val="FFFFFF" w:themeColor="background1"/>
                          <w:sz w:val="22"/>
                          <w:lang w:val="pt-BR"/>
                        </w:rPr>
                        <w:t>169</w:t>
                      </w:r>
                    </w:p>
                    <w:p w14:paraId="337CA118" w14:textId="5368DBA0" w:rsidR="00D02D3C" w:rsidRPr="004B7EB6" w:rsidRDefault="00EF5E9E" w:rsidP="002C1641">
                      <w:pPr>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 xml:space="preserve">Doc. </w:t>
                      </w:r>
                      <w:r>
                        <w:rPr>
                          <w:rFonts w:asciiTheme="minorHAnsi" w:hAnsiTheme="minorHAnsi"/>
                          <w:color w:val="FFFFFF" w:themeColor="background1"/>
                          <w:sz w:val="22"/>
                          <w:lang w:val="pt-BR"/>
                        </w:rPr>
                        <w:t>126</w:t>
                      </w:r>
                    </w:p>
                    <w:p w14:paraId="4F3CE91D" w14:textId="69EDEFA8" w:rsidR="00D02D3C" w:rsidRPr="004B7EB6" w:rsidRDefault="00EF5E9E" w:rsidP="002C1641">
                      <w:pPr>
                        <w:jc w:val="right"/>
                        <w:rPr>
                          <w:rFonts w:asciiTheme="minorHAnsi" w:hAnsiTheme="minorHAnsi"/>
                          <w:color w:val="FFFFFF" w:themeColor="background1"/>
                          <w:sz w:val="22"/>
                        </w:rPr>
                      </w:pPr>
                      <w:r>
                        <w:rPr>
                          <w:rFonts w:asciiTheme="minorHAnsi" w:hAnsiTheme="minorHAnsi"/>
                          <w:color w:val="FFFFFF" w:themeColor="background1"/>
                          <w:sz w:val="22"/>
                        </w:rPr>
                        <w:t>5</w:t>
                      </w:r>
                      <w:r w:rsidR="00D02D3C" w:rsidRPr="004B7EB6">
                        <w:rPr>
                          <w:rFonts w:asciiTheme="minorHAnsi" w:hAnsiTheme="minorHAnsi"/>
                          <w:color w:val="FFFFFF" w:themeColor="background1"/>
                          <w:sz w:val="22"/>
                        </w:rPr>
                        <w:t xml:space="preserve"> </w:t>
                      </w:r>
                      <w:r w:rsidR="00D02D3C">
                        <w:rPr>
                          <w:rFonts w:asciiTheme="minorHAnsi" w:hAnsiTheme="minorHAnsi"/>
                          <w:color w:val="FFFFFF" w:themeColor="background1"/>
                          <w:sz w:val="22"/>
                        </w:rPr>
                        <w:t>October 2018</w:t>
                      </w:r>
                    </w:p>
                    <w:p w14:paraId="6EC7DDBE" w14:textId="524CEE08" w:rsidR="00D02D3C" w:rsidRPr="004B7EB6" w:rsidRDefault="00D02D3C" w:rsidP="002C1641">
                      <w:pPr>
                        <w:jc w:val="right"/>
                        <w:rPr>
                          <w:rFonts w:asciiTheme="minorHAnsi" w:hAnsiTheme="minorHAnsi"/>
                          <w:color w:val="FFFFFF" w:themeColor="background1"/>
                          <w:sz w:val="22"/>
                        </w:rPr>
                      </w:pPr>
                      <w:r w:rsidRPr="004B7EB6">
                        <w:rPr>
                          <w:rFonts w:asciiTheme="minorHAnsi" w:hAnsiTheme="minorHAnsi"/>
                          <w:color w:val="FFFFFF" w:themeColor="background1"/>
                          <w:sz w:val="22"/>
                        </w:rPr>
                        <w:t xml:space="preserve">Original: </w:t>
                      </w:r>
                      <w:r>
                        <w:rPr>
                          <w:rFonts w:asciiTheme="minorHAnsi" w:hAnsiTheme="minorHAnsi"/>
                          <w:color w:val="FFFFFF" w:themeColor="background1"/>
                          <w:sz w:val="22"/>
                        </w:rPr>
                        <w:t>Spanish</w:t>
                      </w:r>
                    </w:p>
                  </w:txbxContent>
                </v:textbox>
              </v:shape>
            </w:pict>
          </mc:Fallback>
        </mc:AlternateContent>
      </w:r>
    </w:p>
    <w:p w14:paraId="4CE639A4" w14:textId="77777777" w:rsidR="00040C3A" w:rsidRPr="006271B7" w:rsidRDefault="00040C3A" w:rsidP="00040C3A">
      <w:pPr>
        <w:tabs>
          <w:tab w:val="center" w:pos="5400"/>
        </w:tabs>
        <w:suppressAutoHyphens/>
        <w:jc w:val="center"/>
        <w:rPr>
          <w:rFonts w:asciiTheme="majorHAnsi" w:hAnsiTheme="majorHAnsi"/>
          <w:sz w:val="22"/>
          <w:szCs w:val="22"/>
        </w:rPr>
      </w:pPr>
    </w:p>
    <w:p w14:paraId="373E239E" w14:textId="77777777" w:rsidR="00040C3A" w:rsidRPr="006271B7" w:rsidRDefault="00040C3A" w:rsidP="00040C3A">
      <w:pPr>
        <w:tabs>
          <w:tab w:val="center" w:pos="5400"/>
        </w:tabs>
        <w:suppressAutoHyphens/>
        <w:jc w:val="center"/>
        <w:rPr>
          <w:rFonts w:asciiTheme="majorHAnsi" w:hAnsiTheme="majorHAnsi" w:cs="Arial"/>
          <w:sz w:val="22"/>
          <w:szCs w:val="22"/>
        </w:rPr>
      </w:pPr>
    </w:p>
    <w:p w14:paraId="65E93279" w14:textId="77777777" w:rsidR="00040C3A" w:rsidRPr="006271B7" w:rsidRDefault="00040C3A" w:rsidP="00040C3A">
      <w:pPr>
        <w:tabs>
          <w:tab w:val="center" w:pos="5400"/>
        </w:tabs>
        <w:suppressAutoHyphens/>
        <w:jc w:val="center"/>
        <w:rPr>
          <w:rFonts w:asciiTheme="majorHAnsi" w:hAnsiTheme="majorHAnsi"/>
          <w:sz w:val="22"/>
          <w:szCs w:val="22"/>
        </w:rPr>
      </w:pPr>
    </w:p>
    <w:p w14:paraId="3E423023" w14:textId="77777777" w:rsidR="00040C3A" w:rsidRPr="006271B7" w:rsidRDefault="00040C3A" w:rsidP="00040C3A">
      <w:pPr>
        <w:tabs>
          <w:tab w:val="center" w:pos="5400"/>
        </w:tabs>
        <w:suppressAutoHyphens/>
        <w:jc w:val="center"/>
        <w:rPr>
          <w:rFonts w:asciiTheme="majorHAnsi" w:hAnsiTheme="majorHAnsi"/>
          <w:sz w:val="22"/>
          <w:szCs w:val="22"/>
        </w:rPr>
      </w:pPr>
    </w:p>
    <w:p w14:paraId="0C3D82F0" w14:textId="77777777" w:rsidR="00040C3A" w:rsidRPr="006271B7" w:rsidRDefault="00040C3A" w:rsidP="00040C3A">
      <w:pPr>
        <w:tabs>
          <w:tab w:val="center" w:pos="5400"/>
        </w:tabs>
        <w:suppressAutoHyphens/>
        <w:jc w:val="center"/>
        <w:rPr>
          <w:rFonts w:asciiTheme="majorHAnsi" w:hAnsiTheme="majorHAnsi"/>
          <w:sz w:val="22"/>
          <w:szCs w:val="22"/>
        </w:rPr>
      </w:pPr>
    </w:p>
    <w:p w14:paraId="2ED4EAF5" w14:textId="77777777" w:rsidR="00040C3A" w:rsidRPr="006271B7" w:rsidRDefault="00040C3A" w:rsidP="00040C3A">
      <w:pPr>
        <w:tabs>
          <w:tab w:val="center" w:pos="5400"/>
        </w:tabs>
        <w:suppressAutoHyphens/>
        <w:jc w:val="center"/>
        <w:rPr>
          <w:rFonts w:asciiTheme="majorHAnsi" w:hAnsiTheme="majorHAnsi"/>
          <w:sz w:val="22"/>
          <w:szCs w:val="22"/>
        </w:rPr>
      </w:pPr>
    </w:p>
    <w:p w14:paraId="39469491" w14:textId="77777777" w:rsidR="005128E4" w:rsidRPr="006271B7" w:rsidRDefault="005128E4" w:rsidP="00040C3A">
      <w:pPr>
        <w:tabs>
          <w:tab w:val="center" w:pos="5400"/>
        </w:tabs>
        <w:suppressAutoHyphens/>
        <w:jc w:val="center"/>
        <w:rPr>
          <w:rFonts w:asciiTheme="majorHAnsi" w:hAnsiTheme="majorHAnsi"/>
          <w:sz w:val="22"/>
          <w:szCs w:val="22"/>
        </w:rPr>
      </w:pPr>
    </w:p>
    <w:p w14:paraId="63BE572A" w14:textId="77777777" w:rsidR="00040C3A" w:rsidRPr="006271B7" w:rsidRDefault="00040C3A" w:rsidP="00040C3A">
      <w:pPr>
        <w:tabs>
          <w:tab w:val="center" w:pos="5400"/>
        </w:tabs>
        <w:suppressAutoHyphens/>
        <w:jc w:val="center"/>
        <w:rPr>
          <w:rFonts w:asciiTheme="majorHAnsi" w:hAnsiTheme="majorHAnsi"/>
          <w:sz w:val="22"/>
          <w:szCs w:val="22"/>
        </w:rPr>
      </w:pPr>
    </w:p>
    <w:p w14:paraId="1822D3F5" w14:textId="77777777" w:rsidR="005128E4" w:rsidRPr="006271B7" w:rsidRDefault="005128E4" w:rsidP="00040C3A">
      <w:pPr>
        <w:tabs>
          <w:tab w:val="center" w:pos="5400"/>
        </w:tabs>
        <w:suppressAutoHyphens/>
        <w:jc w:val="center"/>
        <w:rPr>
          <w:rFonts w:asciiTheme="majorHAnsi" w:hAnsiTheme="majorHAnsi"/>
          <w:sz w:val="22"/>
          <w:szCs w:val="22"/>
        </w:rPr>
      </w:pPr>
    </w:p>
    <w:p w14:paraId="0B2A0E7C" w14:textId="77777777" w:rsidR="005128E4" w:rsidRPr="006271B7" w:rsidRDefault="005128E4" w:rsidP="00040C3A">
      <w:pPr>
        <w:tabs>
          <w:tab w:val="center" w:pos="5400"/>
        </w:tabs>
        <w:suppressAutoHyphens/>
        <w:jc w:val="center"/>
        <w:rPr>
          <w:rFonts w:asciiTheme="majorHAnsi" w:hAnsiTheme="majorHAnsi"/>
          <w:sz w:val="22"/>
          <w:szCs w:val="22"/>
        </w:rPr>
      </w:pPr>
    </w:p>
    <w:p w14:paraId="677A7287" w14:textId="77777777" w:rsidR="005128E4" w:rsidRPr="006271B7" w:rsidRDefault="005128E4" w:rsidP="00040C3A">
      <w:pPr>
        <w:tabs>
          <w:tab w:val="center" w:pos="5400"/>
        </w:tabs>
        <w:suppressAutoHyphens/>
        <w:jc w:val="center"/>
        <w:rPr>
          <w:rFonts w:asciiTheme="majorHAnsi" w:hAnsiTheme="majorHAnsi"/>
          <w:sz w:val="22"/>
          <w:szCs w:val="22"/>
        </w:rPr>
      </w:pPr>
    </w:p>
    <w:p w14:paraId="5F8889D2" w14:textId="77777777" w:rsidR="00040C3A" w:rsidRPr="006271B7" w:rsidRDefault="00040C3A" w:rsidP="00040C3A">
      <w:pPr>
        <w:tabs>
          <w:tab w:val="center" w:pos="5400"/>
        </w:tabs>
        <w:suppressAutoHyphens/>
        <w:jc w:val="center"/>
        <w:rPr>
          <w:rFonts w:asciiTheme="majorHAnsi" w:hAnsiTheme="majorHAnsi"/>
          <w:sz w:val="22"/>
          <w:szCs w:val="22"/>
        </w:rPr>
      </w:pPr>
    </w:p>
    <w:p w14:paraId="141C22E5" w14:textId="77777777" w:rsidR="00040C3A" w:rsidRPr="006271B7" w:rsidRDefault="00040C3A" w:rsidP="00040C3A">
      <w:pPr>
        <w:tabs>
          <w:tab w:val="center" w:pos="5400"/>
        </w:tabs>
        <w:suppressAutoHyphens/>
        <w:jc w:val="center"/>
        <w:rPr>
          <w:rFonts w:asciiTheme="majorHAnsi" w:hAnsiTheme="majorHAnsi"/>
          <w:sz w:val="22"/>
          <w:szCs w:val="22"/>
        </w:rPr>
      </w:pPr>
    </w:p>
    <w:p w14:paraId="16736A5C" w14:textId="77777777" w:rsidR="002C1641" w:rsidRPr="006271B7" w:rsidRDefault="002C1641" w:rsidP="00040C3A">
      <w:pPr>
        <w:tabs>
          <w:tab w:val="center" w:pos="5400"/>
        </w:tabs>
        <w:suppressAutoHyphens/>
        <w:jc w:val="center"/>
        <w:rPr>
          <w:rFonts w:asciiTheme="majorHAnsi" w:hAnsiTheme="majorHAnsi"/>
          <w:sz w:val="18"/>
          <w:szCs w:val="22"/>
        </w:rPr>
      </w:pPr>
    </w:p>
    <w:p w14:paraId="64C4039E" w14:textId="77777777" w:rsidR="002C1641" w:rsidRPr="006271B7" w:rsidRDefault="002C1641" w:rsidP="00040C3A">
      <w:pPr>
        <w:tabs>
          <w:tab w:val="center" w:pos="5400"/>
        </w:tabs>
        <w:suppressAutoHyphens/>
        <w:jc w:val="center"/>
        <w:rPr>
          <w:rFonts w:asciiTheme="majorHAnsi" w:hAnsiTheme="majorHAnsi"/>
          <w:sz w:val="18"/>
          <w:szCs w:val="22"/>
        </w:rPr>
      </w:pPr>
    </w:p>
    <w:p w14:paraId="4ECBA714" w14:textId="77777777" w:rsidR="002C1641" w:rsidRPr="006271B7" w:rsidRDefault="002C1641" w:rsidP="00040C3A">
      <w:pPr>
        <w:tabs>
          <w:tab w:val="center" w:pos="5400"/>
        </w:tabs>
        <w:suppressAutoHyphens/>
        <w:jc w:val="center"/>
        <w:rPr>
          <w:rFonts w:asciiTheme="majorHAnsi" w:hAnsiTheme="majorHAnsi"/>
          <w:sz w:val="18"/>
          <w:szCs w:val="22"/>
        </w:rPr>
      </w:pPr>
    </w:p>
    <w:p w14:paraId="75D58C92" w14:textId="77777777" w:rsidR="002C1641" w:rsidRPr="006271B7" w:rsidRDefault="002C1641" w:rsidP="00040C3A">
      <w:pPr>
        <w:tabs>
          <w:tab w:val="center" w:pos="5400"/>
        </w:tabs>
        <w:suppressAutoHyphens/>
        <w:jc w:val="center"/>
        <w:rPr>
          <w:rFonts w:asciiTheme="majorHAnsi" w:hAnsiTheme="majorHAnsi"/>
          <w:sz w:val="18"/>
          <w:szCs w:val="22"/>
        </w:rPr>
      </w:pPr>
    </w:p>
    <w:p w14:paraId="1C7EA2DE" w14:textId="77777777" w:rsidR="002C1641" w:rsidRPr="006271B7" w:rsidRDefault="002C1641" w:rsidP="00040C3A">
      <w:pPr>
        <w:tabs>
          <w:tab w:val="center" w:pos="5400"/>
        </w:tabs>
        <w:suppressAutoHyphens/>
        <w:jc w:val="center"/>
        <w:rPr>
          <w:rFonts w:asciiTheme="majorHAnsi" w:hAnsiTheme="majorHAnsi"/>
          <w:sz w:val="18"/>
          <w:szCs w:val="22"/>
        </w:rPr>
      </w:pPr>
    </w:p>
    <w:p w14:paraId="413AF2CB" w14:textId="77777777" w:rsidR="002C1641" w:rsidRPr="006271B7" w:rsidRDefault="002C1641" w:rsidP="00040C3A">
      <w:pPr>
        <w:tabs>
          <w:tab w:val="center" w:pos="5400"/>
        </w:tabs>
        <w:suppressAutoHyphens/>
        <w:jc w:val="center"/>
        <w:rPr>
          <w:rFonts w:asciiTheme="majorHAnsi" w:hAnsiTheme="majorHAnsi"/>
          <w:sz w:val="18"/>
          <w:szCs w:val="22"/>
        </w:rPr>
      </w:pPr>
    </w:p>
    <w:p w14:paraId="0D812EEA" w14:textId="77777777" w:rsidR="002C1641" w:rsidRPr="006271B7" w:rsidRDefault="002C1641" w:rsidP="00040C3A">
      <w:pPr>
        <w:tabs>
          <w:tab w:val="center" w:pos="5400"/>
        </w:tabs>
        <w:suppressAutoHyphens/>
        <w:jc w:val="center"/>
        <w:rPr>
          <w:rFonts w:asciiTheme="majorHAnsi" w:hAnsiTheme="majorHAnsi"/>
          <w:sz w:val="18"/>
          <w:szCs w:val="22"/>
        </w:rPr>
      </w:pPr>
    </w:p>
    <w:p w14:paraId="2FF18054" w14:textId="77777777" w:rsidR="002C1641" w:rsidRPr="006271B7" w:rsidRDefault="002C1641" w:rsidP="00040C3A">
      <w:pPr>
        <w:tabs>
          <w:tab w:val="center" w:pos="5400"/>
        </w:tabs>
        <w:suppressAutoHyphens/>
        <w:jc w:val="center"/>
        <w:rPr>
          <w:rFonts w:asciiTheme="majorHAnsi" w:hAnsiTheme="majorHAnsi"/>
          <w:sz w:val="18"/>
          <w:szCs w:val="22"/>
        </w:rPr>
      </w:pPr>
    </w:p>
    <w:p w14:paraId="5ED4EEA1" w14:textId="77777777" w:rsidR="002C1641" w:rsidRPr="006271B7" w:rsidRDefault="002C1641" w:rsidP="00040C3A">
      <w:pPr>
        <w:tabs>
          <w:tab w:val="center" w:pos="5400"/>
        </w:tabs>
        <w:suppressAutoHyphens/>
        <w:jc w:val="center"/>
        <w:rPr>
          <w:rFonts w:asciiTheme="majorHAnsi" w:hAnsiTheme="majorHAnsi"/>
          <w:sz w:val="18"/>
          <w:szCs w:val="22"/>
        </w:rPr>
      </w:pPr>
    </w:p>
    <w:p w14:paraId="29D387B5" w14:textId="77777777" w:rsidR="002C1641" w:rsidRPr="006271B7" w:rsidRDefault="002C1641" w:rsidP="00040C3A">
      <w:pPr>
        <w:tabs>
          <w:tab w:val="center" w:pos="5400"/>
        </w:tabs>
        <w:suppressAutoHyphens/>
        <w:jc w:val="center"/>
        <w:rPr>
          <w:rFonts w:asciiTheme="majorHAnsi" w:hAnsiTheme="majorHAnsi"/>
          <w:sz w:val="18"/>
          <w:szCs w:val="22"/>
        </w:rPr>
      </w:pPr>
    </w:p>
    <w:p w14:paraId="3309EFD7" w14:textId="77777777" w:rsidR="002C1641" w:rsidRPr="006271B7" w:rsidRDefault="002C1641" w:rsidP="00040C3A">
      <w:pPr>
        <w:tabs>
          <w:tab w:val="center" w:pos="5400"/>
        </w:tabs>
        <w:suppressAutoHyphens/>
        <w:jc w:val="center"/>
        <w:rPr>
          <w:rFonts w:asciiTheme="majorHAnsi" w:hAnsiTheme="majorHAnsi"/>
          <w:sz w:val="18"/>
          <w:szCs w:val="22"/>
        </w:rPr>
      </w:pPr>
    </w:p>
    <w:p w14:paraId="1F42D0B7" w14:textId="77777777" w:rsidR="002C1641" w:rsidRPr="006271B7" w:rsidRDefault="002C1641" w:rsidP="00040C3A">
      <w:pPr>
        <w:tabs>
          <w:tab w:val="center" w:pos="5400"/>
        </w:tabs>
        <w:suppressAutoHyphens/>
        <w:jc w:val="center"/>
        <w:rPr>
          <w:rFonts w:asciiTheme="majorHAnsi" w:hAnsiTheme="majorHAnsi"/>
          <w:sz w:val="18"/>
          <w:szCs w:val="22"/>
        </w:rPr>
      </w:pPr>
    </w:p>
    <w:p w14:paraId="614DCC81" w14:textId="77777777" w:rsidR="002C1641" w:rsidRPr="006271B7" w:rsidRDefault="003C32BC" w:rsidP="00040C3A">
      <w:pPr>
        <w:tabs>
          <w:tab w:val="center" w:pos="5400"/>
        </w:tabs>
        <w:suppressAutoHyphens/>
        <w:jc w:val="center"/>
        <w:rPr>
          <w:rFonts w:asciiTheme="majorHAnsi" w:hAnsiTheme="majorHAnsi"/>
          <w:sz w:val="18"/>
          <w:szCs w:val="22"/>
        </w:rPr>
      </w:pPr>
      <w:r w:rsidRPr="006271B7">
        <w:rPr>
          <w:rFonts w:asciiTheme="majorHAnsi" w:hAnsiTheme="majorHAnsi"/>
          <w:noProof/>
          <w:sz w:val="22"/>
          <w:szCs w:val="22"/>
          <w:lang w:val="es-UY" w:eastAsia="es-UY"/>
        </w:rPr>
        <mc:AlternateContent>
          <mc:Choice Requires="wps">
            <w:drawing>
              <wp:anchor distT="0" distB="0" distL="114300" distR="114300" simplePos="0" relativeHeight="251670528" behindDoc="0" locked="0" layoutInCell="1" allowOverlap="1" wp14:anchorId="270C4A85" wp14:editId="1D93A5F6">
                <wp:simplePos x="0" y="0"/>
                <wp:positionH relativeFrom="column">
                  <wp:posOffset>1209675</wp:posOffset>
                </wp:positionH>
                <wp:positionV relativeFrom="paragraph">
                  <wp:posOffset>71120</wp:posOffset>
                </wp:positionV>
                <wp:extent cx="4595495" cy="695325"/>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695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8BFB009" w14:textId="25F7DC04" w:rsidR="00D02D3C" w:rsidRPr="003C32BC" w:rsidRDefault="00D02D3C"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 xml:space="preserve">Approved by the </w:t>
                            </w:r>
                            <w:r w:rsidR="00EF5E9E">
                              <w:rPr>
                                <w:rFonts w:asciiTheme="majorHAnsi" w:hAnsiTheme="majorHAnsi"/>
                                <w:color w:val="0D0D0D" w:themeColor="text1" w:themeTint="F2"/>
                                <w:sz w:val="18"/>
                                <w:szCs w:val="20"/>
                              </w:rPr>
                              <w:t>Commission at its session No. 126</w:t>
                            </w:r>
                            <w:r w:rsidR="00EF5E9E" w:rsidRPr="003C32BC">
                              <w:rPr>
                                <w:rFonts w:asciiTheme="majorHAnsi" w:hAnsiTheme="majorHAnsi"/>
                                <w:color w:val="0D0D0D" w:themeColor="text1" w:themeTint="F2"/>
                                <w:sz w:val="18"/>
                                <w:szCs w:val="20"/>
                              </w:rPr>
                              <w:t xml:space="preserve"> held</w:t>
                            </w:r>
                            <w:r w:rsidRPr="003C32BC">
                              <w:rPr>
                                <w:rFonts w:asciiTheme="majorHAnsi" w:hAnsiTheme="majorHAnsi"/>
                                <w:color w:val="0D0D0D" w:themeColor="text1" w:themeTint="F2"/>
                                <w:sz w:val="18"/>
                                <w:szCs w:val="20"/>
                              </w:rPr>
                              <w:t xml:space="preserve"> on </w:t>
                            </w:r>
                            <w:r w:rsidR="00EF5E9E">
                              <w:rPr>
                                <w:rFonts w:asciiTheme="majorHAnsi" w:hAnsiTheme="majorHAnsi"/>
                                <w:color w:val="0D0D0D" w:themeColor="text1" w:themeTint="F2"/>
                                <w:sz w:val="18"/>
                                <w:szCs w:val="20"/>
                              </w:rPr>
                              <w:t>October</w:t>
                            </w:r>
                            <w:r w:rsidR="00EF5E9E" w:rsidRPr="003C32BC">
                              <w:rPr>
                                <w:rFonts w:asciiTheme="majorHAnsi" w:hAnsiTheme="majorHAnsi"/>
                                <w:color w:val="0D0D0D" w:themeColor="text1" w:themeTint="F2"/>
                                <w:sz w:val="18"/>
                                <w:szCs w:val="20"/>
                              </w:rPr>
                              <w:t xml:space="preserve"> </w:t>
                            </w:r>
                            <w:r w:rsidR="00EF5E9E">
                              <w:rPr>
                                <w:rFonts w:asciiTheme="majorHAnsi" w:hAnsiTheme="majorHAnsi"/>
                                <w:color w:val="0D0D0D" w:themeColor="text1" w:themeTint="F2"/>
                                <w:sz w:val="18"/>
                                <w:szCs w:val="20"/>
                              </w:rPr>
                              <w:t>5</w:t>
                            </w:r>
                            <w:r>
                              <w:rPr>
                                <w:rFonts w:asciiTheme="majorHAnsi" w:hAnsiTheme="majorHAnsi"/>
                                <w:color w:val="0D0D0D" w:themeColor="text1" w:themeTint="F2"/>
                                <w:sz w:val="18"/>
                                <w:szCs w:val="20"/>
                              </w:rPr>
                              <w:t>, 2018</w:t>
                            </w:r>
                            <w:r w:rsidRPr="003C32BC">
                              <w:rPr>
                                <w:rFonts w:asciiTheme="majorHAnsi" w:hAnsiTheme="majorHAnsi"/>
                                <w:color w:val="0D0D0D" w:themeColor="text1" w:themeTint="F2"/>
                                <w:sz w:val="18"/>
                                <w:szCs w:val="20"/>
                              </w:rPr>
                              <w:br/>
                            </w:r>
                            <w:r w:rsidR="00EF5E9E">
                              <w:rPr>
                                <w:rFonts w:asciiTheme="majorHAnsi" w:hAnsiTheme="majorHAnsi" w:cs="Univers"/>
                                <w:color w:val="0D0D0D" w:themeColor="text1" w:themeTint="F2"/>
                                <w:sz w:val="18"/>
                                <w:szCs w:val="20"/>
                              </w:rPr>
                              <w:t>169</w:t>
                            </w:r>
                            <w:r w:rsidR="00EF5E9E" w:rsidRPr="003C32BC">
                              <w:rPr>
                                <w:rFonts w:asciiTheme="majorHAnsi" w:hAnsiTheme="majorHAnsi" w:cs="Univers"/>
                                <w:color w:val="0D0D0D" w:themeColor="text1" w:themeTint="F2"/>
                                <w:sz w:val="18"/>
                                <w:szCs w:val="20"/>
                              </w:rPr>
                              <w:t xml:space="preserve"> Period</w:t>
                            </w:r>
                            <w:r w:rsidRPr="003C32BC">
                              <w:rPr>
                                <w:rFonts w:asciiTheme="majorHAnsi" w:hAnsiTheme="majorHAnsi" w:cs="Univers"/>
                                <w:color w:val="0D0D0D" w:themeColor="text1" w:themeTint="F2"/>
                                <w:sz w:val="18"/>
                                <w:szCs w:val="20"/>
                              </w:rPr>
                              <w:t xml:space="preserve"> of Sessions</w:t>
                            </w:r>
                            <w:r>
                              <w:rPr>
                                <w:rFonts w:asciiTheme="majorHAnsi" w:hAnsiTheme="majorHAnsi" w:cs="Univers"/>
                                <w:color w:val="0D0D0D" w:themeColor="text1" w:themeTint="F2"/>
                                <w:sz w:val="18"/>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29" type="#_x0000_t202" style="position:absolute;left:0;text-align:left;margin-left:95.25pt;margin-top:5.6pt;width:361.85pt;height:54.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" filled="f" stroked="f" strokeweight=".5pt">
                <v:textbox>
                  <w:txbxContent>
                    <w:p w14:paraId="08BFB009" w14:textId="25F7DC04" w:rsidR="00D02D3C" w:rsidRPr="003C32BC" w:rsidRDefault="00D02D3C"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 xml:space="preserve">Approved by the </w:t>
                      </w:r>
                      <w:r w:rsidR="00EF5E9E">
                        <w:rPr>
                          <w:rFonts w:asciiTheme="majorHAnsi" w:hAnsiTheme="majorHAnsi"/>
                          <w:color w:val="0D0D0D" w:themeColor="text1" w:themeTint="F2"/>
                          <w:sz w:val="18"/>
                          <w:szCs w:val="20"/>
                        </w:rPr>
                        <w:t>Commission at its session No. 126</w:t>
                      </w:r>
                      <w:r w:rsidR="00EF5E9E" w:rsidRPr="003C32BC">
                        <w:rPr>
                          <w:rFonts w:asciiTheme="majorHAnsi" w:hAnsiTheme="majorHAnsi"/>
                          <w:color w:val="0D0D0D" w:themeColor="text1" w:themeTint="F2"/>
                          <w:sz w:val="18"/>
                          <w:szCs w:val="20"/>
                        </w:rPr>
                        <w:t xml:space="preserve"> held</w:t>
                      </w:r>
                      <w:r w:rsidRPr="003C32BC">
                        <w:rPr>
                          <w:rFonts w:asciiTheme="majorHAnsi" w:hAnsiTheme="majorHAnsi"/>
                          <w:color w:val="0D0D0D" w:themeColor="text1" w:themeTint="F2"/>
                          <w:sz w:val="18"/>
                          <w:szCs w:val="20"/>
                        </w:rPr>
                        <w:t xml:space="preserve"> on </w:t>
                      </w:r>
                      <w:r w:rsidR="00EF5E9E">
                        <w:rPr>
                          <w:rFonts w:asciiTheme="majorHAnsi" w:hAnsiTheme="majorHAnsi"/>
                          <w:color w:val="0D0D0D" w:themeColor="text1" w:themeTint="F2"/>
                          <w:sz w:val="18"/>
                          <w:szCs w:val="20"/>
                        </w:rPr>
                        <w:t>October</w:t>
                      </w:r>
                      <w:r w:rsidR="00EF5E9E" w:rsidRPr="003C32BC">
                        <w:rPr>
                          <w:rFonts w:asciiTheme="majorHAnsi" w:hAnsiTheme="majorHAnsi"/>
                          <w:color w:val="0D0D0D" w:themeColor="text1" w:themeTint="F2"/>
                          <w:sz w:val="18"/>
                          <w:szCs w:val="20"/>
                        </w:rPr>
                        <w:t xml:space="preserve"> </w:t>
                      </w:r>
                      <w:r w:rsidR="00EF5E9E">
                        <w:rPr>
                          <w:rFonts w:asciiTheme="majorHAnsi" w:hAnsiTheme="majorHAnsi"/>
                          <w:color w:val="0D0D0D" w:themeColor="text1" w:themeTint="F2"/>
                          <w:sz w:val="18"/>
                          <w:szCs w:val="20"/>
                        </w:rPr>
                        <w:t>5</w:t>
                      </w:r>
                      <w:r>
                        <w:rPr>
                          <w:rFonts w:asciiTheme="majorHAnsi" w:hAnsiTheme="majorHAnsi"/>
                          <w:color w:val="0D0D0D" w:themeColor="text1" w:themeTint="F2"/>
                          <w:sz w:val="18"/>
                          <w:szCs w:val="20"/>
                        </w:rPr>
                        <w:t>, 2018</w:t>
                      </w:r>
                      <w:r w:rsidRPr="003C32BC">
                        <w:rPr>
                          <w:rFonts w:asciiTheme="majorHAnsi" w:hAnsiTheme="majorHAnsi"/>
                          <w:color w:val="0D0D0D" w:themeColor="text1" w:themeTint="F2"/>
                          <w:sz w:val="18"/>
                          <w:szCs w:val="20"/>
                        </w:rPr>
                        <w:br/>
                      </w:r>
                      <w:r w:rsidR="00EF5E9E">
                        <w:rPr>
                          <w:rFonts w:asciiTheme="majorHAnsi" w:hAnsiTheme="majorHAnsi" w:cs="Univers"/>
                          <w:color w:val="0D0D0D" w:themeColor="text1" w:themeTint="F2"/>
                          <w:sz w:val="18"/>
                          <w:szCs w:val="20"/>
                        </w:rPr>
                        <w:t>169</w:t>
                      </w:r>
                      <w:r w:rsidR="00EF5E9E" w:rsidRPr="003C32BC">
                        <w:rPr>
                          <w:rFonts w:asciiTheme="majorHAnsi" w:hAnsiTheme="majorHAnsi" w:cs="Univers"/>
                          <w:color w:val="0D0D0D" w:themeColor="text1" w:themeTint="F2"/>
                          <w:sz w:val="18"/>
                          <w:szCs w:val="20"/>
                        </w:rPr>
                        <w:t xml:space="preserve"> Period</w:t>
                      </w:r>
                      <w:r w:rsidRPr="003C32BC">
                        <w:rPr>
                          <w:rFonts w:asciiTheme="majorHAnsi" w:hAnsiTheme="majorHAnsi" w:cs="Univers"/>
                          <w:color w:val="0D0D0D" w:themeColor="text1" w:themeTint="F2"/>
                          <w:sz w:val="18"/>
                          <w:szCs w:val="20"/>
                        </w:rPr>
                        <w:t xml:space="preserve"> of Sessions</w:t>
                      </w:r>
                      <w:r>
                        <w:rPr>
                          <w:rFonts w:asciiTheme="majorHAnsi" w:hAnsiTheme="majorHAnsi" w:cs="Univers"/>
                          <w:color w:val="0D0D0D" w:themeColor="text1" w:themeTint="F2"/>
                          <w:sz w:val="18"/>
                          <w:szCs w:val="20"/>
                        </w:rPr>
                        <w:t>.</w:t>
                      </w:r>
                    </w:p>
                  </w:txbxContent>
                </v:textbox>
              </v:shape>
            </w:pict>
          </mc:Fallback>
        </mc:AlternateContent>
      </w:r>
    </w:p>
    <w:p w14:paraId="00AB4A68" w14:textId="77777777" w:rsidR="002C1641" w:rsidRPr="006271B7" w:rsidRDefault="002C1641" w:rsidP="00040C3A">
      <w:pPr>
        <w:tabs>
          <w:tab w:val="center" w:pos="5400"/>
        </w:tabs>
        <w:suppressAutoHyphens/>
        <w:jc w:val="center"/>
        <w:rPr>
          <w:rFonts w:asciiTheme="majorHAnsi" w:hAnsiTheme="majorHAnsi"/>
          <w:sz w:val="18"/>
          <w:szCs w:val="22"/>
        </w:rPr>
      </w:pPr>
    </w:p>
    <w:p w14:paraId="46522D94" w14:textId="77777777" w:rsidR="002C1641" w:rsidRPr="006271B7" w:rsidRDefault="002C1641" w:rsidP="00040C3A">
      <w:pPr>
        <w:tabs>
          <w:tab w:val="center" w:pos="5400"/>
        </w:tabs>
        <w:suppressAutoHyphens/>
        <w:jc w:val="center"/>
        <w:rPr>
          <w:rFonts w:asciiTheme="majorHAnsi" w:hAnsiTheme="majorHAnsi"/>
          <w:sz w:val="18"/>
          <w:szCs w:val="22"/>
        </w:rPr>
      </w:pPr>
    </w:p>
    <w:p w14:paraId="59AB70A4" w14:textId="77777777" w:rsidR="002C1641" w:rsidRPr="006271B7" w:rsidRDefault="002C1641" w:rsidP="00040C3A">
      <w:pPr>
        <w:tabs>
          <w:tab w:val="center" w:pos="5400"/>
        </w:tabs>
        <w:suppressAutoHyphens/>
        <w:jc w:val="center"/>
        <w:rPr>
          <w:rFonts w:asciiTheme="majorHAnsi" w:hAnsiTheme="majorHAnsi"/>
          <w:sz w:val="18"/>
          <w:szCs w:val="22"/>
        </w:rPr>
      </w:pPr>
    </w:p>
    <w:p w14:paraId="210D1BC5" w14:textId="77777777" w:rsidR="002C1641" w:rsidRPr="006271B7" w:rsidRDefault="002C1641" w:rsidP="00040C3A">
      <w:pPr>
        <w:tabs>
          <w:tab w:val="center" w:pos="5400"/>
        </w:tabs>
        <w:suppressAutoHyphens/>
        <w:jc w:val="center"/>
        <w:rPr>
          <w:rFonts w:asciiTheme="majorHAnsi" w:hAnsiTheme="majorHAnsi"/>
          <w:sz w:val="18"/>
          <w:szCs w:val="22"/>
        </w:rPr>
      </w:pPr>
    </w:p>
    <w:p w14:paraId="0EEF2664" w14:textId="77777777" w:rsidR="002C1641" w:rsidRPr="006271B7" w:rsidRDefault="003C32BC" w:rsidP="00040C3A">
      <w:pPr>
        <w:tabs>
          <w:tab w:val="center" w:pos="5400"/>
        </w:tabs>
        <w:suppressAutoHyphens/>
        <w:jc w:val="center"/>
        <w:rPr>
          <w:rFonts w:asciiTheme="majorHAnsi" w:hAnsiTheme="majorHAnsi"/>
          <w:sz w:val="18"/>
          <w:szCs w:val="22"/>
        </w:rPr>
      </w:pPr>
      <w:r w:rsidRPr="006271B7">
        <w:rPr>
          <w:rFonts w:asciiTheme="majorHAnsi" w:hAnsiTheme="majorHAnsi"/>
          <w:noProof/>
          <w:sz w:val="18"/>
          <w:szCs w:val="22"/>
          <w:lang w:val="es-UY" w:eastAsia="es-UY"/>
        </w:rPr>
        <mc:AlternateContent>
          <mc:Choice Requires="wps">
            <w:drawing>
              <wp:anchor distT="0" distB="0" distL="114300" distR="114300" simplePos="0" relativeHeight="251683840" behindDoc="0" locked="0" layoutInCell="1" allowOverlap="1" wp14:anchorId="44529972" wp14:editId="2FD58467">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D0B054" w14:textId="3323BA61" w:rsidR="00D02D3C" w:rsidRPr="003C32BC" w:rsidRDefault="00D02D3C"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IACHR, Report No</w:t>
                            </w:r>
                            <w:r w:rsidR="00EF5E9E">
                              <w:rPr>
                                <w:rFonts w:asciiTheme="majorHAnsi" w:hAnsiTheme="majorHAnsi"/>
                                <w:color w:val="595959" w:themeColor="text1" w:themeTint="A6"/>
                                <w:sz w:val="18"/>
                              </w:rPr>
                              <w:t>. 109</w:t>
                            </w:r>
                            <w:r>
                              <w:rPr>
                                <w:rFonts w:asciiTheme="majorHAnsi" w:hAnsiTheme="majorHAnsi"/>
                                <w:color w:val="595959" w:themeColor="text1" w:themeTint="A6"/>
                                <w:sz w:val="18"/>
                              </w:rPr>
                              <w:t>/18</w:t>
                            </w:r>
                            <w:r w:rsidRPr="003C32BC">
                              <w:rPr>
                                <w:rFonts w:asciiTheme="majorHAnsi" w:hAnsiTheme="majorHAnsi"/>
                                <w:color w:val="595959" w:themeColor="text1" w:themeTint="A6"/>
                                <w:sz w:val="18"/>
                              </w:rPr>
                              <w:t>, Case</w:t>
                            </w:r>
                            <w:r>
                              <w:rPr>
                                <w:rFonts w:asciiTheme="majorHAnsi" w:hAnsiTheme="majorHAnsi"/>
                                <w:color w:val="595959" w:themeColor="text1" w:themeTint="A6"/>
                                <w:sz w:val="18"/>
                              </w:rPr>
                              <w:t xml:space="preserve"> 12.840</w:t>
                            </w:r>
                            <w:r w:rsidRPr="003C32BC">
                              <w:rPr>
                                <w:rFonts w:asciiTheme="majorHAnsi" w:hAnsiTheme="majorHAnsi"/>
                                <w:color w:val="595959" w:themeColor="text1" w:themeTint="A6"/>
                                <w:sz w:val="18"/>
                              </w:rPr>
                              <w:t xml:space="preserve">. </w:t>
                            </w:r>
                            <w:r w:rsidRPr="00DE4AA5">
                              <w:rPr>
                                <w:rFonts w:asciiTheme="majorHAnsi" w:hAnsiTheme="majorHAnsi"/>
                                <w:color w:val="595959" w:themeColor="text1" w:themeTint="A6"/>
                                <w:sz w:val="18"/>
                                <w:lang w:val="pt-BR"/>
                              </w:rPr>
                              <w:t xml:space="preserve">Merits. Yenina Esther Martinez Esquivia. </w:t>
                            </w:r>
                            <w:r w:rsidRPr="00EF5E9E">
                              <w:rPr>
                                <w:rFonts w:asciiTheme="majorHAnsi" w:hAnsiTheme="majorHAnsi"/>
                                <w:color w:val="595959" w:themeColor="text1" w:themeTint="A6"/>
                                <w:sz w:val="18"/>
                              </w:rPr>
                              <w:t xml:space="preserve">Colombia. </w:t>
                            </w:r>
                            <w:r w:rsidR="00EF5E9E">
                              <w:rPr>
                                <w:rFonts w:asciiTheme="majorHAnsi" w:hAnsiTheme="majorHAnsi"/>
                                <w:color w:val="595959" w:themeColor="text1" w:themeTint="A6"/>
                                <w:sz w:val="18"/>
                              </w:rPr>
                              <w:t>October 5</w:t>
                            </w:r>
                            <w:r>
                              <w:rPr>
                                <w:rFonts w:asciiTheme="majorHAnsi" w:hAnsiTheme="majorHAnsi"/>
                                <w:color w:val="595959" w:themeColor="text1" w:themeTint="A6"/>
                                <w:sz w:val="18"/>
                              </w:rPr>
                              <w:t>, 2018</w:t>
                            </w:r>
                            <w:r w:rsidRPr="007607C4">
                              <w:rPr>
                                <w:rFonts w:asciiTheme="majorHAnsi" w:hAnsiTheme="majorHAnsi"/>
                                <w:color w:val="595959" w:themeColor="text1" w:themeTint="A6"/>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 o:spid="_x0000_s1030"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" filled="f" stroked="f" strokeweight=".5pt">
                <v:textbox>
                  <w:txbxContent>
                    <w:p w14:paraId="36D0B054" w14:textId="3323BA61" w:rsidR="00D02D3C" w:rsidRPr="003C32BC" w:rsidRDefault="00D02D3C"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IACHR, Report No</w:t>
                      </w:r>
                      <w:r w:rsidR="00EF5E9E">
                        <w:rPr>
                          <w:rFonts w:asciiTheme="majorHAnsi" w:hAnsiTheme="majorHAnsi"/>
                          <w:color w:val="595959" w:themeColor="text1" w:themeTint="A6"/>
                          <w:sz w:val="18"/>
                        </w:rPr>
                        <w:t>. 109</w:t>
                      </w:r>
                      <w:r>
                        <w:rPr>
                          <w:rFonts w:asciiTheme="majorHAnsi" w:hAnsiTheme="majorHAnsi"/>
                          <w:color w:val="595959" w:themeColor="text1" w:themeTint="A6"/>
                          <w:sz w:val="18"/>
                        </w:rPr>
                        <w:t>/18</w:t>
                      </w:r>
                      <w:r w:rsidRPr="003C32BC">
                        <w:rPr>
                          <w:rFonts w:asciiTheme="majorHAnsi" w:hAnsiTheme="majorHAnsi"/>
                          <w:color w:val="595959" w:themeColor="text1" w:themeTint="A6"/>
                          <w:sz w:val="18"/>
                        </w:rPr>
                        <w:t>, Case</w:t>
                      </w:r>
                      <w:r>
                        <w:rPr>
                          <w:rFonts w:asciiTheme="majorHAnsi" w:hAnsiTheme="majorHAnsi"/>
                          <w:color w:val="595959" w:themeColor="text1" w:themeTint="A6"/>
                          <w:sz w:val="18"/>
                        </w:rPr>
                        <w:t xml:space="preserve"> 12.840</w:t>
                      </w:r>
                      <w:r w:rsidRPr="003C32BC">
                        <w:rPr>
                          <w:rFonts w:asciiTheme="majorHAnsi" w:hAnsiTheme="majorHAnsi"/>
                          <w:color w:val="595959" w:themeColor="text1" w:themeTint="A6"/>
                          <w:sz w:val="18"/>
                        </w:rPr>
                        <w:t xml:space="preserve">. </w:t>
                      </w:r>
                      <w:proofErr w:type="gramStart"/>
                      <w:r w:rsidRPr="00EF5E9E">
                        <w:rPr>
                          <w:rFonts w:asciiTheme="majorHAnsi" w:hAnsiTheme="majorHAnsi"/>
                          <w:color w:val="595959" w:themeColor="text1" w:themeTint="A6"/>
                          <w:sz w:val="18"/>
                        </w:rPr>
                        <w:t>Merits.</w:t>
                      </w:r>
                      <w:proofErr w:type="gramEnd"/>
                      <w:r w:rsidRPr="00EF5E9E">
                        <w:rPr>
                          <w:rFonts w:asciiTheme="majorHAnsi" w:hAnsiTheme="majorHAnsi"/>
                          <w:color w:val="595959" w:themeColor="text1" w:themeTint="A6"/>
                          <w:sz w:val="18"/>
                        </w:rPr>
                        <w:t xml:space="preserve"> </w:t>
                      </w:r>
                      <w:proofErr w:type="spellStart"/>
                      <w:proofErr w:type="gramStart"/>
                      <w:r w:rsidRPr="00EF5E9E">
                        <w:rPr>
                          <w:rFonts w:asciiTheme="majorHAnsi" w:hAnsiTheme="majorHAnsi"/>
                          <w:color w:val="595959" w:themeColor="text1" w:themeTint="A6"/>
                          <w:sz w:val="18"/>
                        </w:rPr>
                        <w:t>Yenina</w:t>
                      </w:r>
                      <w:proofErr w:type="spellEnd"/>
                      <w:r w:rsidRPr="00EF5E9E">
                        <w:rPr>
                          <w:rFonts w:asciiTheme="majorHAnsi" w:hAnsiTheme="majorHAnsi"/>
                          <w:color w:val="595959" w:themeColor="text1" w:themeTint="A6"/>
                          <w:sz w:val="18"/>
                        </w:rPr>
                        <w:t xml:space="preserve"> Esther Martinez </w:t>
                      </w:r>
                      <w:proofErr w:type="spellStart"/>
                      <w:r w:rsidRPr="00EF5E9E">
                        <w:rPr>
                          <w:rFonts w:asciiTheme="majorHAnsi" w:hAnsiTheme="majorHAnsi"/>
                          <w:color w:val="595959" w:themeColor="text1" w:themeTint="A6"/>
                          <w:sz w:val="18"/>
                        </w:rPr>
                        <w:t>Esquivia</w:t>
                      </w:r>
                      <w:proofErr w:type="spellEnd"/>
                      <w:r w:rsidRPr="00EF5E9E">
                        <w:rPr>
                          <w:rFonts w:asciiTheme="majorHAnsi" w:hAnsiTheme="majorHAnsi"/>
                          <w:color w:val="595959" w:themeColor="text1" w:themeTint="A6"/>
                          <w:sz w:val="18"/>
                        </w:rPr>
                        <w:t>.</w:t>
                      </w:r>
                      <w:proofErr w:type="gramEnd"/>
                      <w:r w:rsidRPr="00EF5E9E">
                        <w:rPr>
                          <w:rFonts w:asciiTheme="majorHAnsi" w:hAnsiTheme="majorHAnsi"/>
                          <w:color w:val="595959" w:themeColor="text1" w:themeTint="A6"/>
                          <w:sz w:val="18"/>
                        </w:rPr>
                        <w:t xml:space="preserve"> Colombia. </w:t>
                      </w:r>
                      <w:r w:rsidR="00EF5E9E">
                        <w:rPr>
                          <w:rFonts w:asciiTheme="majorHAnsi" w:hAnsiTheme="majorHAnsi"/>
                          <w:color w:val="595959" w:themeColor="text1" w:themeTint="A6"/>
                          <w:sz w:val="18"/>
                        </w:rPr>
                        <w:t>October 5</w:t>
                      </w:r>
                      <w:r>
                        <w:rPr>
                          <w:rFonts w:asciiTheme="majorHAnsi" w:hAnsiTheme="majorHAnsi"/>
                          <w:color w:val="595959" w:themeColor="text1" w:themeTint="A6"/>
                          <w:sz w:val="18"/>
                        </w:rPr>
                        <w:t>, 2018</w:t>
                      </w:r>
                      <w:r w:rsidRPr="007607C4">
                        <w:rPr>
                          <w:rFonts w:asciiTheme="majorHAnsi" w:hAnsiTheme="majorHAnsi"/>
                          <w:color w:val="595959" w:themeColor="text1" w:themeTint="A6"/>
                          <w:sz w:val="18"/>
                        </w:rPr>
                        <w:t>.</w:t>
                      </w:r>
                    </w:p>
                  </w:txbxContent>
                </v:textbox>
              </v:shape>
            </w:pict>
          </mc:Fallback>
        </mc:AlternateContent>
      </w:r>
    </w:p>
    <w:p w14:paraId="07A08B4B" w14:textId="77777777" w:rsidR="002C1641" w:rsidRPr="006271B7" w:rsidRDefault="002C1641" w:rsidP="00040C3A">
      <w:pPr>
        <w:tabs>
          <w:tab w:val="center" w:pos="5400"/>
        </w:tabs>
        <w:suppressAutoHyphens/>
        <w:jc w:val="center"/>
        <w:rPr>
          <w:rFonts w:asciiTheme="majorHAnsi" w:hAnsiTheme="majorHAnsi"/>
          <w:sz w:val="18"/>
          <w:szCs w:val="22"/>
        </w:rPr>
      </w:pPr>
    </w:p>
    <w:p w14:paraId="350C823B" w14:textId="77777777" w:rsidR="002C1641" w:rsidRPr="006271B7" w:rsidRDefault="002C1641" w:rsidP="00040C3A">
      <w:pPr>
        <w:tabs>
          <w:tab w:val="center" w:pos="5400"/>
        </w:tabs>
        <w:suppressAutoHyphens/>
        <w:jc w:val="center"/>
        <w:rPr>
          <w:rFonts w:asciiTheme="majorHAnsi" w:hAnsiTheme="majorHAnsi"/>
          <w:sz w:val="18"/>
          <w:szCs w:val="22"/>
        </w:rPr>
      </w:pPr>
    </w:p>
    <w:p w14:paraId="3BECDDF0" w14:textId="77777777" w:rsidR="003C32BC" w:rsidRPr="006271B7" w:rsidRDefault="003C32BC" w:rsidP="003C32BC">
      <w:pPr>
        <w:tabs>
          <w:tab w:val="center" w:pos="5400"/>
        </w:tabs>
        <w:suppressAutoHyphens/>
        <w:jc w:val="center"/>
        <w:rPr>
          <w:rFonts w:asciiTheme="majorHAnsi" w:hAnsiTheme="majorHAnsi"/>
          <w:sz w:val="18"/>
          <w:szCs w:val="22"/>
        </w:rPr>
      </w:pPr>
    </w:p>
    <w:p w14:paraId="090B0520" w14:textId="77777777" w:rsidR="003C32BC" w:rsidRPr="006271B7" w:rsidRDefault="006311DA" w:rsidP="003C32BC">
      <w:pPr>
        <w:tabs>
          <w:tab w:val="center" w:pos="5400"/>
        </w:tabs>
        <w:suppressAutoHyphens/>
        <w:jc w:val="center"/>
        <w:rPr>
          <w:rFonts w:asciiTheme="majorHAnsi" w:hAnsiTheme="majorHAnsi"/>
          <w:sz w:val="18"/>
          <w:szCs w:val="22"/>
        </w:rPr>
      </w:pPr>
      <w:r w:rsidRPr="006271B7">
        <w:rPr>
          <w:rFonts w:asciiTheme="majorHAnsi" w:hAnsiTheme="majorHAnsi"/>
          <w:noProof/>
          <w:sz w:val="22"/>
          <w:szCs w:val="22"/>
          <w:lang w:val="es-UY" w:eastAsia="es-UY"/>
        </w:rPr>
        <mc:AlternateContent>
          <mc:Choice Requires="wps">
            <w:drawing>
              <wp:anchor distT="0" distB="0" distL="114300" distR="114300" simplePos="0" relativeHeight="251686912" behindDoc="0" locked="0" layoutInCell="1" allowOverlap="1" wp14:anchorId="2D454307" wp14:editId="552934B0">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5B9B51F" w14:textId="77777777" w:rsidR="00D02D3C" w:rsidRPr="004B7EB6" w:rsidRDefault="00D02D3C"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31"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rQWgQIAAGkFAAAOAAAAZHJzL2Uyb0RvYy54bWysVN9P2zAQfp+0/8Hy+0jTA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" filled="f" stroked="f" strokeweight=".5pt">
                <v:textbox>
                  <w:txbxContent>
                    <w:p w14:paraId="25B9B51F" w14:textId="77777777" w:rsidR="00D02D3C" w:rsidRPr="004B7EB6" w:rsidRDefault="00D02D3C"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r w:rsidRPr="006271B7">
        <w:rPr>
          <w:rFonts w:asciiTheme="majorHAnsi" w:hAnsiTheme="majorHAnsi"/>
          <w:noProof/>
          <w:sz w:val="22"/>
          <w:szCs w:val="22"/>
          <w:lang w:val="es-UY" w:eastAsia="es-UY"/>
        </w:rPr>
        <mc:AlternateContent>
          <mc:Choice Requires="wps">
            <w:drawing>
              <wp:anchor distT="0" distB="0" distL="114300" distR="114300" simplePos="0" relativeHeight="251684864" behindDoc="0" locked="0" layoutInCell="1" allowOverlap="1" wp14:anchorId="28D73947" wp14:editId="63BD1D80">
                <wp:simplePos x="0" y="0"/>
                <wp:positionH relativeFrom="column">
                  <wp:posOffset>1208215</wp:posOffset>
                </wp:positionH>
                <wp:positionV relativeFrom="paragraph">
                  <wp:posOffset>722630</wp:posOffset>
                </wp:positionV>
                <wp:extent cx="2085975" cy="4857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9C224A4" w14:textId="77777777" w:rsidR="00D02D3C" w:rsidRDefault="00D02D3C">
                            <w:r>
                              <w:rPr>
                                <w:noProof/>
                                <w:lang w:val="es-UY" w:eastAsia="es-UY"/>
                              </w:rPr>
                              <w:drawing>
                                <wp:inline distT="0" distB="0" distL="0" distR="0" wp14:anchorId="72DE346A" wp14:editId="518DB09B">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32" type="#_x0000_t202" style="position:absolute;left:0;text-align:left;margin-left:95.15pt;margin-top:56.9pt;width:164.25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" fillcolor="white [3201]" stroked="f" strokeweight=".5pt">
                <v:textbox>
                  <w:txbxContent>
                    <w:p w14:paraId="49C224A4" w14:textId="77777777" w:rsidR="00D02D3C" w:rsidRDefault="00D02D3C">
                      <w:r>
                        <w:rPr>
                          <w:noProof/>
                        </w:rPr>
                        <w:drawing>
                          <wp:inline distT="0" distB="0" distL="0" distR="0" wp14:anchorId="72DE346A" wp14:editId="518DB09B">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v:textbox>
              </v:shape>
            </w:pict>
          </mc:Fallback>
        </mc:AlternateContent>
      </w:r>
    </w:p>
    <w:p w14:paraId="06D0544D" w14:textId="77777777" w:rsidR="007607C4" w:rsidRPr="006271B7" w:rsidRDefault="007607C4" w:rsidP="003C32BC">
      <w:pPr>
        <w:tabs>
          <w:tab w:val="center" w:pos="5400"/>
        </w:tabs>
        <w:suppressAutoHyphens/>
        <w:jc w:val="center"/>
        <w:rPr>
          <w:rFonts w:asciiTheme="majorHAnsi" w:hAnsiTheme="majorHAnsi"/>
          <w:sz w:val="18"/>
          <w:szCs w:val="22"/>
        </w:rPr>
        <w:sectPr w:rsidR="007607C4" w:rsidRPr="006271B7" w:rsidSect="00853419">
          <w:headerReference w:type="even" r:id="rId13"/>
          <w:headerReference w:type="default" r:id="rId14"/>
          <w:footerReference w:type="default" r:id="rId15"/>
          <w:footerReference w:type="first" r:id="rId16"/>
          <w:type w:val="oddPage"/>
          <w:pgSz w:w="12240" w:h="15840"/>
          <w:pgMar w:top="1440" w:right="1440" w:bottom="1440" w:left="1440" w:header="720" w:footer="720" w:gutter="0"/>
          <w:pgNumType w:start="0"/>
          <w:cols w:space="720"/>
          <w:titlePg/>
          <w:docGrid w:linePitch="326"/>
        </w:sectPr>
      </w:pPr>
    </w:p>
    <w:p w14:paraId="1B1F0A7C" w14:textId="5AD06021" w:rsidR="00F63C54" w:rsidRPr="002F2DAC" w:rsidRDefault="00F63C54" w:rsidP="00F63C54">
      <w:pPr>
        <w:tabs>
          <w:tab w:val="center" w:pos="5400"/>
        </w:tabs>
        <w:suppressAutoHyphens/>
        <w:spacing w:line="276" w:lineRule="auto"/>
        <w:jc w:val="center"/>
        <w:rPr>
          <w:rFonts w:asciiTheme="majorHAnsi" w:hAnsiTheme="majorHAnsi"/>
          <w:b/>
          <w:sz w:val="18"/>
          <w:szCs w:val="20"/>
          <w:lang w:val="pt-BR"/>
        </w:rPr>
      </w:pPr>
      <w:r w:rsidRPr="002F2DAC">
        <w:rPr>
          <w:rFonts w:asciiTheme="majorHAnsi" w:hAnsiTheme="majorHAnsi"/>
          <w:b/>
          <w:sz w:val="18"/>
          <w:szCs w:val="20"/>
          <w:lang w:val="pt-BR"/>
        </w:rPr>
        <w:lastRenderedPageBreak/>
        <w:t xml:space="preserve">REPORT No. </w:t>
      </w:r>
      <w:r w:rsidR="00DE4AA5">
        <w:rPr>
          <w:rFonts w:asciiTheme="majorHAnsi" w:hAnsiTheme="majorHAnsi"/>
          <w:b/>
          <w:sz w:val="18"/>
          <w:szCs w:val="20"/>
          <w:lang w:val="pt-BR"/>
        </w:rPr>
        <w:t>109</w:t>
      </w:r>
      <w:r w:rsidRPr="002F2DAC">
        <w:rPr>
          <w:rFonts w:asciiTheme="majorHAnsi" w:hAnsiTheme="majorHAnsi"/>
          <w:b/>
          <w:sz w:val="18"/>
          <w:szCs w:val="20"/>
          <w:lang w:val="pt-BR"/>
        </w:rPr>
        <w:t>/18</w:t>
      </w:r>
    </w:p>
    <w:p w14:paraId="10E1EFEC" w14:textId="5CBD1D5C" w:rsidR="00F63C54" w:rsidRPr="002F2DAC" w:rsidRDefault="00D02D3C" w:rsidP="00F63C54">
      <w:pPr>
        <w:tabs>
          <w:tab w:val="center" w:pos="5400"/>
        </w:tabs>
        <w:suppressAutoHyphens/>
        <w:spacing w:line="276" w:lineRule="auto"/>
        <w:jc w:val="center"/>
        <w:rPr>
          <w:rFonts w:asciiTheme="majorHAnsi" w:hAnsiTheme="majorHAnsi"/>
          <w:b/>
          <w:sz w:val="18"/>
          <w:szCs w:val="20"/>
          <w:lang w:val="pt-BR"/>
        </w:rPr>
      </w:pPr>
      <w:r w:rsidRPr="002F2DAC">
        <w:rPr>
          <w:rFonts w:asciiTheme="majorHAnsi" w:hAnsiTheme="majorHAnsi"/>
          <w:b/>
          <w:sz w:val="18"/>
          <w:szCs w:val="20"/>
          <w:lang w:val="pt-BR"/>
        </w:rPr>
        <w:t>CASE 12.870</w:t>
      </w:r>
    </w:p>
    <w:p w14:paraId="46BDDF0A" w14:textId="77777777" w:rsidR="00F63C54" w:rsidRPr="00D02D3C" w:rsidRDefault="00F63C54" w:rsidP="00F63C54">
      <w:pPr>
        <w:tabs>
          <w:tab w:val="center" w:pos="5400"/>
        </w:tabs>
        <w:suppressAutoHyphens/>
        <w:spacing w:line="276" w:lineRule="auto"/>
        <w:jc w:val="center"/>
        <w:rPr>
          <w:rFonts w:asciiTheme="majorHAnsi" w:hAnsiTheme="majorHAnsi"/>
          <w:sz w:val="18"/>
          <w:szCs w:val="20"/>
          <w:lang w:val="pt-BR"/>
        </w:rPr>
      </w:pPr>
      <w:r w:rsidRPr="00D02D3C">
        <w:rPr>
          <w:rFonts w:asciiTheme="majorHAnsi" w:hAnsiTheme="majorHAnsi"/>
          <w:sz w:val="18"/>
          <w:szCs w:val="20"/>
          <w:lang w:val="pt-BR"/>
        </w:rPr>
        <w:t xml:space="preserve">MERITS </w:t>
      </w:r>
    </w:p>
    <w:p w14:paraId="7D226636" w14:textId="59D72581" w:rsidR="00F63C54" w:rsidRPr="00D02D3C" w:rsidRDefault="00D02D3C" w:rsidP="00F63C54">
      <w:pPr>
        <w:tabs>
          <w:tab w:val="center" w:pos="5400"/>
        </w:tabs>
        <w:suppressAutoHyphens/>
        <w:spacing w:line="276" w:lineRule="auto"/>
        <w:jc w:val="center"/>
        <w:rPr>
          <w:rFonts w:asciiTheme="majorHAnsi" w:hAnsiTheme="majorHAnsi"/>
          <w:sz w:val="18"/>
          <w:szCs w:val="20"/>
          <w:lang w:val="pt-BR"/>
        </w:rPr>
      </w:pPr>
      <w:r>
        <w:rPr>
          <w:rFonts w:asciiTheme="majorHAnsi" w:hAnsiTheme="majorHAnsi"/>
          <w:sz w:val="18"/>
          <w:szCs w:val="20"/>
          <w:lang w:val="pt-BR"/>
        </w:rPr>
        <w:t>YENINA ESTHER MARTINEZ ESQUIVIA</w:t>
      </w:r>
    </w:p>
    <w:p w14:paraId="2BB80ED1" w14:textId="0262CDD8" w:rsidR="00F63C54" w:rsidRPr="00D02D3C" w:rsidRDefault="00D02D3C" w:rsidP="00F63C54">
      <w:pPr>
        <w:tabs>
          <w:tab w:val="center" w:pos="5400"/>
        </w:tabs>
        <w:suppressAutoHyphens/>
        <w:spacing w:line="276" w:lineRule="auto"/>
        <w:jc w:val="center"/>
        <w:rPr>
          <w:rFonts w:asciiTheme="majorHAnsi" w:hAnsiTheme="majorHAnsi"/>
          <w:sz w:val="18"/>
          <w:szCs w:val="20"/>
          <w:lang w:val="pt-BR"/>
        </w:rPr>
      </w:pPr>
      <w:r>
        <w:rPr>
          <w:rFonts w:asciiTheme="majorHAnsi" w:hAnsiTheme="majorHAnsi"/>
          <w:sz w:val="18"/>
          <w:szCs w:val="20"/>
          <w:lang w:val="pt-BR"/>
        </w:rPr>
        <w:t>COLOMBIA</w:t>
      </w:r>
    </w:p>
    <w:p w14:paraId="4F1D42AA" w14:textId="77777777" w:rsidR="00F63C54" w:rsidRPr="00D02D3C" w:rsidRDefault="00F63C54" w:rsidP="00F63C54">
      <w:pPr>
        <w:tabs>
          <w:tab w:val="center" w:pos="5400"/>
        </w:tabs>
        <w:suppressAutoHyphens/>
        <w:spacing w:line="276" w:lineRule="auto"/>
        <w:jc w:val="center"/>
        <w:rPr>
          <w:rFonts w:asciiTheme="majorHAnsi" w:hAnsiTheme="majorHAnsi"/>
          <w:sz w:val="18"/>
          <w:szCs w:val="20"/>
          <w:lang w:val="pt-BR"/>
        </w:rPr>
      </w:pPr>
      <w:r w:rsidRPr="00D02D3C">
        <w:rPr>
          <w:rFonts w:asciiTheme="majorHAnsi" w:hAnsiTheme="majorHAnsi"/>
          <w:sz w:val="18"/>
          <w:szCs w:val="20"/>
          <w:lang w:val="pt-BR"/>
        </w:rPr>
        <w:t xml:space="preserve">DATE </w:t>
      </w:r>
    </w:p>
    <w:p w14:paraId="1201759E" w14:textId="77777777" w:rsidR="00F63C54" w:rsidRPr="00D02D3C" w:rsidRDefault="00F63C54" w:rsidP="00105D7F">
      <w:pPr>
        <w:tabs>
          <w:tab w:val="center" w:pos="5400"/>
        </w:tabs>
        <w:suppressAutoHyphens/>
        <w:spacing w:line="276" w:lineRule="auto"/>
        <w:jc w:val="center"/>
        <w:rPr>
          <w:rFonts w:asciiTheme="majorHAnsi" w:hAnsiTheme="majorHAnsi"/>
          <w:b/>
          <w:sz w:val="18"/>
          <w:szCs w:val="20"/>
          <w:lang w:val="pt-BR"/>
        </w:rPr>
      </w:pPr>
    </w:p>
    <w:sdt>
      <w:sdtPr>
        <w:rPr>
          <w:rFonts w:ascii="Times New Roman" w:eastAsia="Arial Unicode MS" w:hAnsi="Times New Roman" w:cs="Times New Roman"/>
          <w:b w:val="0"/>
          <w:bCs w:val="0"/>
          <w:color w:val="auto"/>
          <w:sz w:val="24"/>
          <w:szCs w:val="24"/>
          <w:bdr w:val="nil"/>
          <w:lang w:eastAsia="en-US"/>
        </w:rPr>
        <w:id w:val="-1174182999"/>
        <w:docPartObj>
          <w:docPartGallery w:val="Table of Contents"/>
          <w:docPartUnique/>
        </w:docPartObj>
      </w:sdtPr>
      <w:sdtEndPr>
        <w:rPr>
          <w:noProof/>
        </w:rPr>
      </w:sdtEndPr>
      <w:sdtContent>
        <w:p w14:paraId="31716334" w14:textId="18718868" w:rsidR="00F63C54" w:rsidRPr="00F63C54" w:rsidRDefault="00F63C54">
          <w:pPr>
            <w:pStyle w:val="TOCHeading"/>
            <w:rPr>
              <w:sz w:val="20"/>
              <w:szCs w:val="20"/>
            </w:rPr>
          </w:pPr>
        </w:p>
        <w:p w14:paraId="1AFD3B48" w14:textId="77777777" w:rsidR="00A666FF" w:rsidRPr="00A666FF" w:rsidRDefault="00F63C54" w:rsidP="00A666FF">
          <w:pPr>
            <w:pStyle w:val="TOC1"/>
            <w:tabs>
              <w:tab w:val="left" w:pos="1440"/>
              <w:tab w:val="right" w:leader="dot" w:pos="9270"/>
            </w:tabs>
            <w:rPr>
              <w:rFonts w:asciiTheme="majorHAnsi" w:eastAsiaTheme="minorEastAsia" w:hAnsiTheme="majorHAnsi" w:cstheme="minorBidi"/>
              <w:noProof/>
              <w:sz w:val="20"/>
              <w:szCs w:val="20"/>
              <w:bdr w:val="none" w:sz="0" w:space="0" w:color="auto"/>
            </w:rPr>
          </w:pPr>
          <w:r w:rsidRPr="00F63C54">
            <w:rPr>
              <w:rFonts w:asciiTheme="majorHAnsi" w:hAnsiTheme="majorHAnsi"/>
              <w:sz w:val="20"/>
              <w:szCs w:val="20"/>
            </w:rPr>
            <w:fldChar w:fldCharType="begin"/>
          </w:r>
          <w:r w:rsidRPr="00F63C54">
            <w:rPr>
              <w:rFonts w:asciiTheme="majorHAnsi" w:hAnsiTheme="majorHAnsi"/>
              <w:sz w:val="20"/>
              <w:szCs w:val="20"/>
            </w:rPr>
            <w:instrText xml:space="preserve"> TOC \o "1-3" \h \z \u </w:instrText>
          </w:r>
          <w:r w:rsidRPr="00F63C54">
            <w:rPr>
              <w:rFonts w:asciiTheme="majorHAnsi" w:hAnsiTheme="majorHAnsi"/>
              <w:sz w:val="20"/>
              <w:szCs w:val="20"/>
            </w:rPr>
            <w:fldChar w:fldCharType="separate"/>
          </w:r>
          <w:hyperlink w:anchor="_Toc523998346" w:history="1">
            <w:r w:rsidR="00A666FF" w:rsidRPr="00A666FF">
              <w:rPr>
                <w:rStyle w:val="Hyperlink"/>
                <w:rFonts w:asciiTheme="majorHAnsi" w:eastAsiaTheme="majorEastAsia" w:hAnsiTheme="majorHAnsi"/>
                <w:b/>
                <w:bCs/>
                <w:noProof/>
                <w:sz w:val="20"/>
                <w:szCs w:val="20"/>
              </w:rPr>
              <w:t>I.</w:t>
            </w:r>
            <w:r w:rsidR="00A666FF" w:rsidRPr="00A666FF">
              <w:rPr>
                <w:rFonts w:asciiTheme="majorHAnsi" w:eastAsiaTheme="minorEastAsia" w:hAnsiTheme="majorHAnsi" w:cstheme="minorBidi"/>
                <w:b/>
                <w:noProof/>
                <w:sz w:val="20"/>
                <w:szCs w:val="20"/>
                <w:bdr w:val="none" w:sz="0" w:space="0" w:color="auto"/>
              </w:rPr>
              <w:tab/>
            </w:r>
            <w:r w:rsidR="00A666FF" w:rsidRPr="00A666FF">
              <w:rPr>
                <w:rStyle w:val="Hyperlink"/>
                <w:rFonts w:asciiTheme="majorHAnsi" w:eastAsiaTheme="majorEastAsia" w:hAnsiTheme="majorHAnsi" w:cstheme="majorBidi"/>
                <w:b/>
                <w:bCs/>
                <w:noProof/>
                <w:sz w:val="20"/>
                <w:szCs w:val="20"/>
              </w:rPr>
              <w:t>SUMMARY</w:t>
            </w:r>
            <w:r w:rsidR="00A666FF" w:rsidRPr="00A666FF">
              <w:rPr>
                <w:rFonts w:asciiTheme="majorHAnsi" w:hAnsiTheme="majorHAnsi"/>
                <w:noProof/>
                <w:webHidden/>
                <w:sz w:val="20"/>
                <w:szCs w:val="20"/>
              </w:rPr>
              <w:tab/>
            </w:r>
            <w:r w:rsidR="00A666FF" w:rsidRPr="00A666FF">
              <w:rPr>
                <w:rFonts w:asciiTheme="majorHAnsi" w:hAnsiTheme="majorHAnsi"/>
                <w:noProof/>
                <w:webHidden/>
                <w:sz w:val="20"/>
                <w:szCs w:val="20"/>
              </w:rPr>
              <w:fldChar w:fldCharType="begin"/>
            </w:r>
            <w:r w:rsidR="00A666FF" w:rsidRPr="00A666FF">
              <w:rPr>
                <w:rFonts w:asciiTheme="majorHAnsi" w:hAnsiTheme="majorHAnsi"/>
                <w:noProof/>
                <w:webHidden/>
                <w:sz w:val="20"/>
                <w:szCs w:val="20"/>
              </w:rPr>
              <w:instrText xml:space="preserve"> PAGEREF _Toc523998346 \h </w:instrText>
            </w:r>
            <w:r w:rsidR="00A666FF" w:rsidRPr="00A666FF">
              <w:rPr>
                <w:rFonts w:asciiTheme="majorHAnsi" w:hAnsiTheme="majorHAnsi"/>
                <w:noProof/>
                <w:webHidden/>
                <w:sz w:val="20"/>
                <w:szCs w:val="20"/>
              </w:rPr>
            </w:r>
            <w:r w:rsidR="00A666FF" w:rsidRPr="00A666FF">
              <w:rPr>
                <w:rFonts w:asciiTheme="majorHAnsi" w:hAnsiTheme="majorHAnsi"/>
                <w:noProof/>
                <w:webHidden/>
                <w:sz w:val="20"/>
                <w:szCs w:val="20"/>
              </w:rPr>
              <w:fldChar w:fldCharType="separate"/>
            </w:r>
            <w:r w:rsidR="00A666FF" w:rsidRPr="00A666FF">
              <w:rPr>
                <w:rFonts w:asciiTheme="majorHAnsi" w:hAnsiTheme="majorHAnsi"/>
                <w:noProof/>
                <w:webHidden/>
                <w:sz w:val="20"/>
                <w:szCs w:val="20"/>
              </w:rPr>
              <w:t>2</w:t>
            </w:r>
            <w:r w:rsidR="00A666FF" w:rsidRPr="00A666FF">
              <w:rPr>
                <w:rFonts w:asciiTheme="majorHAnsi" w:hAnsiTheme="majorHAnsi"/>
                <w:noProof/>
                <w:webHidden/>
                <w:sz w:val="20"/>
                <w:szCs w:val="20"/>
              </w:rPr>
              <w:fldChar w:fldCharType="end"/>
            </w:r>
          </w:hyperlink>
        </w:p>
        <w:p w14:paraId="7FD7F35F" w14:textId="77777777" w:rsidR="00A666FF" w:rsidRPr="00A666FF" w:rsidRDefault="00397E46" w:rsidP="00A666FF">
          <w:pPr>
            <w:pStyle w:val="TOC1"/>
            <w:tabs>
              <w:tab w:val="left" w:pos="1440"/>
              <w:tab w:val="right" w:leader="dot" w:pos="9270"/>
            </w:tabs>
            <w:rPr>
              <w:rFonts w:asciiTheme="majorHAnsi" w:eastAsiaTheme="minorEastAsia" w:hAnsiTheme="majorHAnsi" w:cstheme="minorBidi"/>
              <w:noProof/>
              <w:sz w:val="20"/>
              <w:szCs w:val="20"/>
              <w:bdr w:val="none" w:sz="0" w:space="0" w:color="auto"/>
            </w:rPr>
          </w:pPr>
          <w:hyperlink w:anchor="_Toc523998347" w:history="1">
            <w:r w:rsidR="00A666FF" w:rsidRPr="00A666FF">
              <w:rPr>
                <w:rStyle w:val="Hyperlink"/>
                <w:rFonts w:asciiTheme="majorHAnsi" w:eastAsia="Times New Roman" w:hAnsiTheme="majorHAnsi"/>
                <w:b/>
                <w:noProof/>
                <w:sz w:val="20"/>
                <w:szCs w:val="20"/>
              </w:rPr>
              <w:t>II.</w:t>
            </w:r>
            <w:r w:rsidR="00A666FF" w:rsidRPr="00A666FF">
              <w:rPr>
                <w:rFonts w:asciiTheme="majorHAnsi" w:eastAsiaTheme="minorEastAsia" w:hAnsiTheme="majorHAnsi" w:cstheme="minorBidi"/>
                <w:b/>
                <w:noProof/>
                <w:sz w:val="20"/>
                <w:szCs w:val="20"/>
                <w:bdr w:val="none" w:sz="0" w:space="0" w:color="auto"/>
              </w:rPr>
              <w:tab/>
            </w:r>
            <w:r w:rsidR="00A666FF" w:rsidRPr="00A666FF">
              <w:rPr>
                <w:rStyle w:val="Hyperlink"/>
                <w:rFonts w:asciiTheme="majorHAnsi" w:eastAsia="Times New Roman" w:hAnsiTheme="majorHAnsi"/>
                <w:b/>
                <w:noProof/>
                <w:sz w:val="20"/>
                <w:szCs w:val="20"/>
              </w:rPr>
              <w:t>ARGUMENTS OF THE PARTIES</w:t>
            </w:r>
            <w:r w:rsidR="00A666FF" w:rsidRPr="00A666FF">
              <w:rPr>
                <w:rFonts w:asciiTheme="majorHAnsi" w:hAnsiTheme="majorHAnsi"/>
                <w:noProof/>
                <w:webHidden/>
                <w:sz w:val="20"/>
                <w:szCs w:val="20"/>
              </w:rPr>
              <w:tab/>
            </w:r>
            <w:r w:rsidR="00A666FF" w:rsidRPr="00A666FF">
              <w:rPr>
                <w:rFonts w:asciiTheme="majorHAnsi" w:hAnsiTheme="majorHAnsi"/>
                <w:noProof/>
                <w:webHidden/>
                <w:sz w:val="20"/>
                <w:szCs w:val="20"/>
              </w:rPr>
              <w:fldChar w:fldCharType="begin"/>
            </w:r>
            <w:r w:rsidR="00A666FF" w:rsidRPr="00A666FF">
              <w:rPr>
                <w:rFonts w:asciiTheme="majorHAnsi" w:hAnsiTheme="majorHAnsi"/>
                <w:noProof/>
                <w:webHidden/>
                <w:sz w:val="20"/>
                <w:szCs w:val="20"/>
              </w:rPr>
              <w:instrText xml:space="preserve"> PAGEREF _Toc523998347 \h </w:instrText>
            </w:r>
            <w:r w:rsidR="00A666FF" w:rsidRPr="00A666FF">
              <w:rPr>
                <w:rFonts w:asciiTheme="majorHAnsi" w:hAnsiTheme="majorHAnsi"/>
                <w:noProof/>
                <w:webHidden/>
                <w:sz w:val="20"/>
                <w:szCs w:val="20"/>
              </w:rPr>
            </w:r>
            <w:r w:rsidR="00A666FF" w:rsidRPr="00A666FF">
              <w:rPr>
                <w:rFonts w:asciiTheme="majorHAnsi" w:hAnsiTheme="majorHAnsi"/>
                <w:noProof/>
                <w:webHidden/>
                <w:sz w:val="20"/>
                <w:szCs w:val="20"/>
              </w:rPr>
              <w:fldChar w:fldCharType="separate"/>
            </w:r>
            <w:r w:rsidR="00A666FF" w:rsidRPr="00A666FF">
              <w:rPr>
                <w:rFonts w:asciiTheme="majorHAnsi" w:hAnsiTheme="majorHAnsi"/>
                <w:noProof/>
                <w:webHidden/>
                <w:sz w:val="20"/>
                <w:szCs w:val="20"/>
              </w:rPr>
              <w:t>2</w:t>
            </w:r>
            <w:r w:rsidR="00A666FF" w:rsidRPr="00A666FF">
              <w:rPr>
                <w:rFonts w:asciiTheme="majorHAnsi" w:hAnsiTheme="majorHAnsi"/>
                <w:noProof/>
                <w:webHidden/>
                <w:sz w:val="20"/>
                <w:szCs w:val="20"/>
              </w:rPr>
              <w:fldChar w:fldCharType="end"/>
            </w:r>
          </w:hyperlink>
        </w:p>
        <w:p w14:paraId="1AA088E3" w14:textId="77777777" w:rsidR="00A666FF" w:rsidRPr="00A666FF" w:rsidRDefault="00397E46" w:rsidP="00A666FF">
          <w:pPr>
            <w:pStyle w:val="TOC2"/>
            <w:tabs>
              <w:tab w:val="right" w:leader="dot" w:pos="9270"/>
            </w:tabs>
            <w:rPr>
              <w:rFonts w:asciiTheme="majorHAnsi" w:eastAsiaTheme="minorEastAsia" w:hAnsiTheme="majorHAnsi" w:cstheme="minorBidi"/>
              <w:noProof/>
              <w:sz w:val="20"/>
              <w:szCs w:val="20"/>
              <w:bdr w:val="none" w:sz="0" w:space="0" w:color="auto"/>
            </w:rPr>
          </w:pPr>
          <w:hyperlink w:anchor="_Toc523998348" w:history="1">
            <w:r w:rsidR="00A666FF" w:rsidRPr="00A666FF">
              <w:rPr>
                <w:rStyle w:val="Hyperlink"/>
                <w:rFonts w:asciiTheme="majorHAnsi" w:eastAsia="Times New Roman" w:hAnsiTheme="majorHAnsi"/>
                <w:noProof/>
                <w:sz w:val="20"/>
                <w:szCs w:val="20"/>
              </w:rPr>
              <w:t>A.</w:t>
            </w:r>
            <w:r w:rsidR="00A666FF" w:rsidRPr="00A666FF">
              <w:rPr>
                <w:rFonts w:asciiTheme="majorHAnsi" w:eastAsiaTheme="minorEastAsia" w:hAnsiTheme="majorHAnsi" w:cstheme="minorBidi"/>
                <w:noProof/>
                <w:sz w:val="20"/>
                <w:szCs w:val="20"/>
                <w:bdr w:val="none" w:sz="0" w:space="0" w:color="auto"/>
              </w:rPr>
              <w:tab/>
            </w:r>
            <w:r w:rsidR="00A666FF" w:rsidRPr="00A666FF">
              <w:rPr>
                <w:rStyle w:val="Hyperlink"/>
                <w:rFonts w:asciiTheme="majorHAnsi" w:eastAsia="Times New Roman" w:hAnsiTheme="majorHAnsi"/>
                <w:noProof/>
                <w:sz w:val="20"/>
                <w:szCs w:val="20"/>
              </w:rPr>
              <w:t>The petitioner</w:t>
            </w:r>
            <w:r w:rsidR="00A666FF" w:rsidRPr="00A666FF">
              <w:rPr>
                <w:rFonts w:asciiTheme="majorHAnsi" w:hAnsiTheme="majorHAnsi"/>
                <w:noProof/>
                <w:webHidden/>
                <w:sz w:val="20"/>
                <w:szCs w:val="20"/>
              </w:rPr>
              <w:tab/>
            </w:r>
            <w:r w:rsidR="00A666FF" w:rsidRPr="00A666FF">
              <w:rPr>
                <w:rFonts w:asciiTheme="majorHAnsi" w:hAnsiTheme="majorHAnsi"/>
                <w:noProof/>
                <w:webHidden/>
                <w:sz w:val="20"/>
                <w:szCs w:val="20"/>
              </w:rPr>
              <w:fldChar w:fldCharType="begin"/>
            </w:r>
            <w:r w:rsidR="00A666FF" w:rsidRPr="00A666FF">
              <w:rPr>
                <w:rFonts w:asciiTheme="majorHAnsi" w:hAnsiTheme="majorHAnsi"/>
                <w:noProof/>
                <w:webHidden/>
                <w:sz w:val="20"/>
                <w:szCs w:val="20"/>
              </w:rPr>
              <w:instrText xml:space="preserve"> PAGEREF _Toc523998348 \h </w:instrText>
            </w:r>
            <w:r w:rsidR="00A666FF" w:rsidRPr="00A666FF">
              <w:rPr>
                <w:rFonts w:asciiTheme="majorHAnsi" w:hAnsiTheme="majorHAnsi"/>
                <w:noProof/>
                <w:webHidden/>
                <w:sz w:val="20"/>
                <w:szCs w:val="20"/>
              </w:rPr>
            </w:r>
            <w:r w:rsidR="00A666FF" w:rsidRPr="00A666FF">
              <w:rPr>
                <w:rFonts w:asciiTheme="majorHAnsi" w:hAnsiTheme="majorHAnsi"/>
                <w:noProof/>
                <w:webHidden/>
                <w:sz w:val="20"/>
                <w:szCs w:val="20"/>
              </w:rPr>
              <w:fldChar w:fldCharType="separate"/>
            </w:r>
            <w:r w:rsidR="00A666FF" w:rsidRPr="00A666FF">
              <w:rPr>
                <w:rFonts w:asciiTheme="majorHAnsi" w:hAnsiTheme="majorHAnsi"/>
                <w:noProof/>
                <w:webHidden/>
                <w:sz w:val="20"/>
                <w:szCs w:val="20"/>
              </w:rPr>
              <w:t>3</w:t>
            </w:r>
            <w:r w:rsidR="00A666FF" w:rsidRPr="00A666FF">
              <w:rPr>
                <w:rFonts w:asciiTheme="majorHAnsi" w:hAnsiTheme="majorHAnsi"/>
                <w:noProof/>
                <w:webHidden/>
                <w:sz w:val="20"/>
                <w:szCs w:val="20"/>
              </w:rPr>
              <w:fldChar w:fldCharType="end"/>
            </w:r>
          </w:hyperlink>
        </w:p>
        <w:p w14:paraId="1BB02C3B" w14:textId="77777777" w:rsidR="00A666FF" w:rsidRPr="00A666FF" w:rsidRDefault="00397E46" w:rsidP="00A666FF">
          <w:pPr>
            <w:pStyle w:val="TOC2"/>
            <w:tabs>
              <w:tab w:val="right" w:leader="dot" w:pos="9270"/>
            </w:tabs>
            <w:rPr>
              <w:rFonts w:asciiTheme="majorHAnsi" w:eastAsiaTheme="minorEastAsia" w:hAnsiTheme="majorHAnsi" w:cstheme="minorBidi"/>
              <w:noProof/>
              <w:sz w:val="20"/>
              <w:szCs w:val="20"/>
              <w:bdr w:val="none" w:sz="0" w:space="0" w:color="auto"/>
            </w:rPr>
          </w:pPr>
          <w:hyperlink w:anchor="_Toc523998349" w:history="1">
            <w:r w:rsidR="00A666FF" w:rsidRPr="00A666FF">
              <w:rPr>
                <w:rStyle w:val="Hyperlink"/>
                <w:rFonts w:asciiTheme="majorHAnsi" w:eastAsia="Times New Roman" w:hAnsiTheme="majorHAnsi"/>
                <w:noProof/>
                <w:sz w:val="20"/>
                <w:szCs w:val="20"/>
              </w:rPr>
              <w:t>B.</w:t>
            </w:r>
            <w:r w:rsidR="00A666FF" w:rsidRPr="00A666FF">
              <w:rPr>
                <w:rFonts w:asciiTheme="majorHAnsi" w:eastAsiaTheme="minorEastAsia" w:hAnsiTheme="majorHAnsi" w:cstheme="minorBidi"/>
                <w:noProof/>
                <w:sz w:val="20"/>
                <w:szCs w:val="20"/>
                <w:bdr w:val="none" w:sz="0" w:space="0" w:color="auto"/>
              </w:rPr>
              <w:tab/>
            </w:r>
            <w:r w:rsidR="00A666FF" w:rsidRPr="00A666FF">
              <w:rPr>
                <w:rStyle w:val="Hyperlink"/>
                <w:rFonts w:asciiTheme="majorHAnsi" w:eastAsia="Times New Roman" w:hAnsiTheme="majorHAnsi"/>
                <w:noProof/>
                <w:sz w:val="20"/>
                <w:szCs w:val="20"/>
              </w:rPr>
              <w:t>The State</w:t>
            </w:r>
            <w:r w:rsidR="00A666FF" w:rsidRPr="00A666FF">
              <w:rPr>
                <w:rFonts w:asciiTheme="majorHAnsi" w:hAnsiTheme="majorHAnsi"/>
                <w:noProof/>
                <w:webHidden/>
                <w:sz w:val="20"/>
                <w:szCs w:val="20"/>
              </w:rPr>
              <w:tab/>
            </w:r>
            <w:r w:rsidR="00A666FF" w:rsidRPr="00A666FF">
              <w:rPr>
                <w:rFonts w:asciiTheme="majorHAnsi" w:hAnsiTheme="majorHAnsi"/>
                <w:noProof/>
                <w:webHidden/>
                <w:sz w:val="20"/>
                <w:szCs w:val="20"/>
              </w:rPr>
              <w:fldChar w:fldCharType="begin"/>
            </w:r>
            <w:r w:rsidR="00A666FF" w:rsidRPr="00A666FF">
              <w:rPr>
                <w:rFonts w:asciiTheme="majorHAnsi" w:hAnsiTheme="majorHAnsi"/>
                <w:noProof/>
                <w:webHidden/>
                <w:sz w:val="20"/>
                <w:szCs w:val="20"/>
              </w:rPr>
              <w:instrText xml:space="preserve"> PAGEREF _Toc523998349 \h </w:instrText>
            </w:r>
            <w:r w:rsidR="00A666FF" w:rsidRPr="00A666FF">
              <w:rPr>
                <w:rFonts w:asciiTheme="majorHAnsi" w:hAnsiTheme="majorHAnsi"/>
                <w:noProof/>
                <w:webHidden/>
                <w:sz w:val="20"/>
                <w:szCs w:val="20"/>
              </w:rPr>
            </w:r>
            <w:r w:rsidR="00A666FF" w:rsidRPr="00A666FF">
              <w:rPr>
                <w:rFonts w:asciiTheme="majorHAnsi" w:hAnsiTheme="majorHAnsi"/>
                <w:noProof/>
                <w:webHidden/>
                <w:sz w:val="20"/>
                <w:szCs w:val="20"/>
              </w:rPr>
              <w:fldChar w:fldCharType="separate"/>
            </w:r>
            <w:r w:rsidR="00A666FF" w:rsidRPr="00A666FF">
              <w:rPr>
                <w:rFonts w:asciiTheme="majorHAnsi" w:hAnsiTheme="majorHAnsi"/>
                <w:noProof/>
                <w:webHidden/>
                <w:sz w:val="20"/>
                <w:szCs w:val="20"/>
              </w:rPr>
              <w:t>4</w:t>
            </w:r>
            <w:r w:rsidR="00A666FF" w:rsidRPr="00A666FF">
              <w:rPr>
                <w:rFonts w:asciiTheme="majorHAnsi" w:hAnsiTheme="majorHAnsi"/>
                <w:noProof/>
                <w:webHidden/>
                <w:sz w:val="20"/>
                <w:szCs w:val="20"/>
              </w:rPr>
              <w:fldChar w:fldCharType="end"/>
            </w:r>
          </w:hyperlink>
        </w:p>
        <w:p w14:paraId="509D9D03" w14:textId="77777777" w:rsidR="00A666FF" w:rsidRPr="00A666FF" w:rsidRDefault="00397E46" w:rsidP="00A666FF">
          <w:pPr>
            <w:pStyle w:val="TOC1"/>
            <w:tabs>
              <w:tab w:val="left" w:pos="1440"/>
              <w:tab w:val="right" w:leader="dot" w:pos="9270"/>
            </w:tabs>
            <w:rPr>
              <w:rFonts w:asciiTheme="majorHAnsi" w:eastAsiaTheme="minorEastAsia" w:hAnsiTheme="majorHAnsi" w:cstheme="minorBidi"/>
              <w:noProof/>
              <w:sz w:val="20"/>
              <w:szCs w:val="20"/>
              <w:bdr w:val="none" w:sz="0" w:space="0" w:color="auto"/>
            </w:rPr>
          </w:pPr>
          <w:hyperlink w:anchor="_Toc523998350" w:history="1">
            <w:r w:rsidR="00A666FF" w:rsidRPr="00A666FF">
              <w:rPr>
                <w:rStyle w:val="Hyperlink"/>
                <w:rFonts w:asciiTheme="majorHAnsi" w:eastAsia="Times New Roman" w:hAnsiTheme="majorHAnsi"/>
                <w:b/>
                <w:noProof/>
                <w:sz w:val="20"/>
                <w:szCs w:val="20"/>
              </w:rPr>
              <w:t>III.</w:t>
            </w:r>
            <w:r w:rsidR="00A666FF" w:rsidRPr="00A666FF">
              <w:rPr>
                <w:rFonts w:asciiTheme="majorHAnsi" w:eastAsiaTheme="minorEastAsia" w:hAnsiTheme="majorHAnsi" w:cstheme="minorBidi"/>
                <w:b/>
                <w:noProof/>
                <w:sz w:val="20"/>
                <w:szCs w:val="20"/>
                <w:bdr w:val="none" w:sz="0" w:space="0" w:color="auto"/>
              </w:rPr>
              <w:tab/>
            </w:r>
            <w:r w:rsidR="00A666FF" w:rsidRPr="00A666FF">
              <w:rPr>
                <w:rStyle w:val="Hyperlink"/>
                <w:rFonts w:asciiTheme="majorHAnsi" w:eastAsia="Times New Roman" w:hAnsiTheme="majorHAnsi"/>
                <w:b/>
                <w:noProof/>
                <w:sz w:val="20"/>
                <w:szCs w:val="20"/>
              </w:rPr>
              <w:t>FACTS PROVEN</w:t>
            </w:r>
            <w:r w:rsidR="00A666FF" w:rsidRPr="00A666FF">
              <w:rPr>
                <w:rFonts w:asciiTheme="majorHAnsi" w:hAnsiTheme="majorHAnsi"/>
                <w:noProof/>
                <w:webHidden/>
                <w:sz w:val="20"/>
                <w:szCs w:val="20"/>
              </w:rPr>
              <w:tab/>
            </w:r>
            <w:r w:rsidR="00A666FF" w:rsidRPr="00A666FF">
              <w:rPr>
                <w:rFonts w:asciiTheme="majorHAnsi" w:hAnsiTheme="majorHAnsi"/>
                <w:noProof/>
                <w:webHidden/>
                <w:sz w:val="20"/>
                <w:szCs w:val="20"/>
              </w:rPr>
              <w:fldChar w:fldCharType="begin"/>
            </w:r>
            <w:r w:rsidR="00A666FF" w:rsidRPr="00A666FF">
              <w:rPr>
                <w:rFonts w:asciiTheme="majorHAnsi" w:hAnsiTheme="majorHAnsi"/>
                <w:noProof/>
                <w:webHidden/>
                <w:sz w:val="20"/>
                <w:szCs w:val="20"/>
              </w:rPr>
              <w:instrText xml:space="preserve"> PAGEREF _Toc523998350 \h </w:instrText>
            </w:r>
            <w:r w:rsidR="00A666FF" w:rsidRPr="00A666FF">
              <w:rPr>
                <w:rFonts w:asciiTheme="majorHAnsi" w:hAnsiTheme="majorHAnsi"/>
                <w:noProof/>
                <w:webHidden/>
                <w:sz w:val="20"/>
                <w:szCs w:val="20"/>
              </w:rPr>
            </w:r>
            <w:r w:rsidR="00A666FF" w:rsidRPr="00A666FF">
              <w:rPr>
                <w:rFonts w:asciiTheme="majorHAnsi" w:hAnsiTheme="majorHAnsi"/>
                <w:noProof/>
                <w:webHidden/>
                <w:sz w:val="20"/>
                <w:szCs w:val="20"/>
              </w:rPr>
              <w:fldChar w:fldCharType="separate"/>
            </w:r>
            <w:r w:rsidR="00A666FF" w:rsidRPr="00A666FF">
              <w:rPr>
                <w:rFonts w:asciiTheme="majorHAnsi" w:hAnsiTheme="majorHAnsi"/>
                <w:noProof/>
                <w:webHidden/>
                <w:sz w:val="20"/>
                <w:szCs w:val="20"/>
              </w:rPr>
              <w:t>6</w:t>
            </w:r>
            <w:r w:rsidR="00A666FF" w:rsidRPr="00A666FF">
              <w:rPr>
                <w:rFonts w:asciiTheme="majorHAnsi" w:hAnsiTheme="majorHAnsi"/>
                <w:noProof/>
                <w:webHidden/>
                <w:sz w:val="20"/>
                <w:szCs w:val="20"/>
              </w:rPr>
              <w:fldChar w:fldCharType="end"/>
            </w:r>
          </w:hyperlink>
        </w:p>
        <w:p w14:paraId="499D642A" w14:textId="77777777" w:rsidR="00A666FF" w:rsidRPr="00A666FF" w:rsidRDefault="00397E46" w:rsidP="00A666FF">
          <w:pPr>
            <w:pStyle w:val="TOC2"/>
            <w:tabs>
              <w:tab w:val="right" w:leader="dot" w:pos="9270"/>
            </w:tabs>
            <w:rPr>
              <w:rFonts w:asciiTheme="majorHAnsi" w:eastAsiaTheme="minorEastAsia" w:hAnsiTheme="majorHAnsi" w:cstheme="minorBidi"/>
              <w:noProof/>
              <w:sz w:val="20"/>
              <w:szCs w:val="20"/>
              <w:bdr w:val="none" w:sz="0" w:space="0" w:color="auto"/>
            </w:rPr>
          </w:pPr>
          <w:hyperlink w:anchor="_Toc523998351" w:history="1">
            <w:r w:rsidR="00A666FF" w:rsidRPr="00A666FF">
              <w:rPr>
                <w:rStyle w:val="Hyperlink"/>
                <w:rFonts w:asciiTheme="majorHAnsi" w:eastAsia="Times New Roman" w:hAnsiTheme="majorHAnsi"/>
                <w:noProof/>
                <w:sz w:val="20"/>
                <w:szCs w:val="20"/>
              </w:rPr>
              <w:t>A.</w:t>
            </w:r>
            <w:r w:rsidR="00A666FF" w:rsidRPr="00A666FF">
              <w:rPr>
                <w:rFonts w:asciiTheme="majorHAnsi" w:eastAsiaTheme="minorEastAsia" w:hAnsiTheme="majorHAnsi" w:cstheme="minorBidi"/>
                <w:noProof/>
                <w:sz w:val="20"/>
                <w:szCs w:val="20"/>
                <w:bdr w:val="none" w:sz="0" w:space="0" w:color="auto"/>
              </w:rPr>
              <w:tab/>
            </w:r>
            <w:r w:rsidR="00A666FF" w:rsidRPr="00A666FF">
              <w:rPr>
                <w:rStyle w:val="Hyperlink"/>
                <w:rFonts w:asciiTheme="majorHAnsi" w:eastAsia="Times New Roman" w:hAnsiTheme="majorHAnsi"/>
                <w:noProof/>
                <w:sz w:val="20"/>
                <w:szCs w:val="20"/>
              </w:rPr>
              <w:t>Appointment</w:t>
            </w:r>
            <w:r w:rsidR="00A666FF" w:rsidRPr="00A666FF">
              <w:rPr>
                <w:rFonts w:asciiTheme="majorHAnsi" w:hAnsiTheme="majorHAnsi"/>
                <w:noProof/>
                <w:webHidden/>
                <w:sz w:val="20"/>
                <w:szCs w:val="20"/>
              </w:rPr>
              <w:tab/>
            </w:r>
            <w:r w:rsidR="00A666FF" w:rsidRPr="00A666FF">
              <w:rPr>
                <w:rFonts w:asciiTheme="majorHAnsi" w:hAnsiTheme="majorHAnsi"/>
                <w:noProof/>
                <w:webHidden/>
                <w:sz w:val="20"/>
                <w:szCs w:val="20"/>
              </w:rPr>
              <w:fldChar w:fldCharType="begin"/>
            </w:r>
            <w:r w:rsidR="00A666FF" w:rsidRPr="00A666FF">
              <w:rPr>
                <w:rFonts w:asciiTheme="majorHAnsi" w:hAnsiTheme="majorHAnsi"/>
                <w:noProof/>
                <w:webHidden/>
                <w:sz w:val="20"/>
                <w:szCs w:val="20"/>
              </w:rPr>
              <w:instrText xml:space="preserve"> PAGEREF _Toc523998351 \h </w:instrText>
            </w:r>
            <w:r w:rsidR="00A666FF" w:rsidRPr="00A666FF">
              <w:rPr>
                <w:rFonts w:asciiTheme="majorHAnsi" w:hAnsiTheme="majorHAnsi"/>
                <w:noProof/>
                <w:webHidden/>
                <w:sz w:val="20"/>
                <w:szCs w:val="20"/>
              </w:rPr>
            </w:r>
            <w:r w:rsidR="00A666FF" w:rsidRPr="00A666FF">
              <w:rPr>
                <w:rFonts w:asciiTheme="majorHAnsi" w:hAnsiTheme="majorHAnsi"/>
                <w:noProof/>
                <w:webHidden/>
                <w:sz w:val="20"/>
                <w:szCs w:val="20"/>
              </w:rPr>
              <w:fldChar w:fldCharType="separate"/>
            </w:r>
            <w:r w:rsidR="00A666FF" w:rsidRPr="00A666FF">
              <w:rPr>
                <w:rFonts w:asciiTheme="majorHAnsi" w:hAnsiTheme="majorHAnsi"/>
                <w:noProof/>
                <w:webHidden/>
                <w:sz w:val="20"/>
                <w:szCs w:val="20"/>
              </w:rPr>
              <w:t>6</w:t>
            </w:r>
            <w:r w:rsidR="00A666FF" w:rsidRPr="00A666FF">
              <w:rPr>
                <w:rFonts w:asciiTheme="majorHAnsi" w:hAnsiTheme="majorHAnsi"/>
                <w:noProof/>
                <w:webHidden/>
                <w:sz w:val="20"/>
                <w:szCs w:val="20"/>
              </w:rPr>
              <w:fldChar w:fldCharType="end"/>
            </w:r>
          </w:hyperlink>
        </w:p>
        <w:p w14:paraId="36188490" w14:textId="77777777" w:rsidR="00A666FF" w:rsidRPr="00A666FF" w:rsidRDefault="00397E46" w:rsidP="00A666FF">
          <w:pPr>
            <w:pStyle w:val="TOC2"/>
            <w:tabs>
              <w:tab w:val="right" w:leader="dot" w:pos="9270"/>
            </w:tabs>
            <w:rPr>
              <w:rFonts w:asciiTheme="majorHAnsi" w:eastAsiaTheme="minorEastAsia" w:hAnsiTheme="majorHAnsi" w:cstheme="minorBidi"/>
              <w:noProof/>
              <w:sz w:val="20"/>
              <w:szCs w:val="20"/>
              <w:bdr w:val="none" w:sz="0" w:space="0" w:color="auto"/>
            </w:rPr>
          </w:pPr>
          <w:hyperlink w:anchor="_Toc523998352" w:history="1">
            <w:r w:rsidR="00A666FF" w:rsidRPr="00A666FF">
              <w:rPr>
                <w:rStyle w:val="Hyperlink"/>
                <w:rFonts w:asciiTheme="majorHAnsi" w:eastAsia="Times New Roman" w:hAnsiTheme="majorHAnsi"/>
                <w:noProof/>
                <w:sz w:val="20"/>
                <w:szCs w:val="20"/>
              </w:rPr>
              <w:t>B.</w:t>
            </w:r>
            <w:r w:rsidR="00A666FF" w:rsidRPr="00A666FF">
              <w:rPr>
                <w:rFonts w:asciiTheme="majorHAnsi" w:eastAsiaTheme="minorEastAsia" w:hAnsiTheme="majorHAnsi" w:cstheme="minorBidi"/>
                <w:noProof/>
                <w:sz w:val="20"/>
                <w:szCs w:val="20"/>
                <w:bdr w:val="none" w:sz="0" w:space="0" w:color="auto"/>
              </w:rPr>
              <w:tab/>
            </w:r>
            <w:r w:rsidR="00A666FF" w:rsidRPr="00A666FF">
              <w:rPr>
                <w:rStyle w:val="Hyperlink"/>
                <w:rFonts w:asciiTheme="majorHAnsi" w:eastAsia="Times New Roman" w:hAnsiTheme="majorHAnsi"/>
                <w:noProof/>
                <w:sz w:val="20"/>
                <w:szCs w:val="20"/>
              </w:rPr>
              <w:t xml:space="preserve">Petitioner relieved of her duties and </w:t>
            </w:r>
            <w:r w:rsidR="00A666FF" w:rsidRPr="00A666FF">
              <w:rPr>
                <w:rStyle w:val="Hyperlink"/>
                <w:rFonts w:asciiTheme="majorHAnsi" w:eastAsia="Times New Roman" w:hAnsiTheme="majorHAnsi"/>
                <w:i/>
                <w:iCs/>
                <w:noProof/>
                <w:sz w:val="20"/>
                <w:szCs w:val="20"/>
              </w:rPr>
              <w:t>tutela</w:t>
            </w:r>
            <w:r w:rsidR="00A666FF" w:rsidRPr="00A666FF">
              <w:rPr>
                <w:rStyle w:val="Hyperlink"/>
                <w:rFonts w:asciiTheme="majorHAnsi" w:eastAsia="Times New Roman" w:hAnsiTheme="majorHAnsi"/>
                <w:noProof/>
                <w:sz w:val="20"/>
                <w:szCs w:val="20"/>
              </w:rPr>
              <w:t xml:space="preserve"> actions</w:t>
            </w:r>
            <w:r w:rsidR="00A666FF" w:rsidRPr="00A666FF">
              <w:rPr>
                <w:rFonts w:asciiTheme="majorHAnsi" w:hAnsiTheme="majorHAnsi"/>
                <w:noProof/>
                <w:webHidden/>
                <w:sz w:val="20"/>
                <w:szCs w:val="20"/>
              </w:rPr>
              <w:tab/>
            </w:r>
            <w:r w:rsidR="00A666FF" w:rsidRPr="00A666FF">
              <w:rPr>
                <w:rFonts w:asciiTheme="majorHAnsi" w:hAnsiTheme="majorHAnsi"/>
                <w:noProof/>
                <w:webHidden/>
                <w:sz w:val="20"/>
                <w:szCs w:val="20"/>
              </w:rPr>
              <w:fldChar w:fldCharType="begin"/>
            </w:r>
            <w:r w:rsidR="00A666FF" w:rsidRPr="00A666FF">
              <w:rPr>
                <w:rFonts w:asciiTheme="majorHAnsi" w:hAnsiTheme="majorHAnsi"/>
                <w:noProof/>
                <w:webHidden/>
                <w:sz w:val="20"/>
                <w:szCs w:val="20"/>
              </w:rPr>
              <w:instrText xml:space="preserve"> PAGEREF _Toc523998352 \h </w:instrText>
            </w:r>
            <w:r w:rsidR="00A666FF" w:rsidRPr="00A666FF">
              <w:rPr>
                <w:rFonts w:asciiTheme="majorHAnsi" w:hAnsiTheme="majorHAnsi"/>
                <w:noProof/>
                <w:webHidden/>
                <w:sz w:val="20"/>
                <w:szCs w:val="20"/>
              </w:rPr>
            </w:r>
            <w:r w:rsidR="00A666FF" w:rsidRPr="00A666FF">
              <w:rPr>
                <w:rFonts w:asciiTheme="majorHAnsi" w:hAnsiTheme="majorHAnsi"/>
                <w:noProof/>
                <w:webHidden/>
                <w:sz w:val="20"/>
                <w:szCs w:val="20"/>
              </w:rPr>
              <w:fldChar w:fldCharType="separate"/>
            </w:r>
            <w:r w:rsidR="00A666FF" w:rsidRPr="00A666FF">
              <w:rPr>
                <w:rFonts w:asciiTheme="majorHAnsi" w:hAnsiTheme="majorHAnsi"/>
                <w:noProof/>
                <w:webHidden/>
                <w:sz w:val="20"/>
                <w:szCs w:val="20"/>
              </w:rPr>
              <w:t>6</w:t>
            </w:r>
            <w:r w:rsidR="00A666FF" w:rsidRPr="00A666FF">
              <w:rPr>
                <w:rFonts w:asciiTheme="majorHAnsi" w:hAnsiTheme="majorHAnsi"/>
                <w:noProof/>
                <w:webHidden/>
                <w:sz w:val="20"/>
                <w:szCs w:val="20"/>
              </w:rPr>
              <w:fldChar w:fldCharType="end"/>
            </w:r>
          </w:hyperlink>
        </w:p>
        <w:p w14:paraId="65A251F7" w14:textId="77777777" w:rsidR="00A666FF" w:rsidRPr="00A666FF" w:rsidRDefault="00397E46" w:rsidP="00A666FF">
          <w:pPr>
            <w:pStyle w:val="TOC2"/>
            <w:tabs>
              <w:tab w:val="right" w:leader="dot" w:pos="9270"/>
            </w:tabs>
            <w:rPr>
              <w:rFonts w:asciiTheme="majorHAnsi" w:eastAsiaTheme="minorEastAsia" w:hAnsiTheme="majorHAnsi" w:cstheme="minorBidi"/>
              <w:noProof/>
              <w:sz w:val="20"/>
              <w:szCs w:val="20"/>
              <w:bdr w:val="none" w:sz="0" w:space="0" w:color="auto"/>
            </w:rPr>
          </w:pPr>
          <w:hyperlink w:anchor="_Toc523998353" w:history="1">
            <w:r w:rsidR="00A666FF" w:rsidRPr="00A666FF">
              <w:rPr>
                <w:rStyle w:val="Hyperlink"/>
                <w:rFonts w:asciiTheme="majorHAnsi" w:eastAsia="Times New Roman" w:hAnsiTheme="majorHAnsi"/>
                <w:noProof/>
                <w:sz w:val="20"/>
                <w:szCs w:val="20"/>
              </w:rPr>
              <w:t>C.</w:t>
            </w:r>
            <w:r w:rsidR="00A666FF" w:rsidRPr="00A666FF">
              <w:rPr>
                <w:rFonts w:asciiTheme="majorHAnsi" w:eastAsiaTheme="minorEastAsia" w:hAnsiTheme="majorHAnsi" w:cstheme="minorBidi"/>
                <w:noProof/>
                <w:sz w:val="20"/>
                <w:szCs w:val="20"/>
                <w:bdr w:val="none" w:sz="0" w:space="0" w:color="auto"/>
              </w:rPr>
              <w:tab/>
            </w:r>
            <w:r w:rsidR="00A666FF" w:rsidRPr="00A666FF">
              <w:rPr>
                <w:rStyle w:val="Hyperlink"/>
                <w:rFonts w:asciiTheme="majorHAnsi" w:eastAsia="Times New Roman" w:hAnsiTheme="majorHAnsi"/>
                <w:noProof/>
                <w:sz w:val="20"/>
                <w:szCs w:val="20"/>
              </w:rPr>
              <w:t>Other mechanisms for bringing challenges</w:t>
            </w:r>
            <w:r w:rsidR="00A666FF" w:rsidRPr="00A666FF">
              <w:rPr>
                <w:rFonts w:asciiTheme="majorHAnsi" w:hAnsiTheme="majorHAnsi"/>
                <w:noProof/>
                <w:webHidden/>
                <w:sz w:val="20"/>
                <w:szCs w:val="20"/>
              </w:rPr>
              <w:tab/>
            </w:r>
            <w:r w:rsidR="00A666FF" w:rsidRPr="00A666FF">
              <w:rPr>
                <w:rFonts w:asciiTheme="majorHAnsi" w:hAnsiTheme="majorHAnsi"/>
                <w:noProof/>
                <w:webHidden/>
                <w:sz w:val="20"/>
                <w:szCs w:val="20"/>
              </w:rPr>
              <w:fldChar w:fldCharType="begin"/>
            </w:r>
            <w:r w:rsidR="00A666FF" w:rsidRPr="00A666FF">
              <w:rPr>
                <w:rFonts w:asciiTheme="majorHAnsi" w:hAnsiTheme="majorHAnsi"/>
                <w:noProof/>
                <w:webHidden/>
                <w:sz w:val="20"/>
                <w:szCs w:val="20"/>
              </w:rPr>
              <w:instrText xml:space="preserve"> PAGEREF _Toc523998353 \h </w:instrText>
            </w:r>
            <w:r w:rsidR="00A666FF" w:rsidRPr="00A666FF">
              <w:rPr>
                <w:rFonts w:asciiTheme="majorHAnsi" w:hAnsiTheme="majorHAnsi"/>
                <w:noProof/>
                <w:webHidden/>
                <w:sz w:val="20"/>
                <w:szCs w:val="20"/>
              </w:rPr>
            </w:r>
            <w:r w:rsidR="00A666FF" w:rsidRPr="00A666FF">
              <w:rPr>
                <w:rFonts w:asciiTheme="majorHAnsi" w:hAnsiTheme="majorHAnsi"/>
                <w:noProof/>
                <w:webHidden/>
                <w:sz w:val="20"/>
                <w:szCs w:val="20"/>
              </w:rPr>
              <w:fldChar w:fldCharType="separate"/>
            </w:r>
            <w:r w:rsidR="00A666FF" w:rsidRPr="00A666FF">
              <w:rPr>
                <w:rFonts w:asciiTheme="majorHAnsi" w:hAnsiTheme="majorHAnsi"/>
                <w:noProof/>
                <w:webHidden/>
                <w:sz w:val="20"/>
                <w:szCs w:val="20"/>
              </w:rPr>
              <w:t>8</w:t>
            </w:r>
            <w:r w:rsidR="00A666FF" w:rsidRPr="00A666FF">
              <w:rPr>
                <w:rFonts w:asciiTheme="majorHAnsi" w:hAnsiTheme="majorHAnsi"/>
                <w:noProof/>
                <w:webHidden/>
                <w:sz w:val="20"/>
                <w:szCs w:val="20"/>
              </w:rPr>
              <w:fldChar w:fldCharType="end"/>
            </w:r>
          </w:hyperlink>
        </w:p>
        <w:p w14:paraId="1F2F5FC7" w14:textId="77777777" w:rsidR="00A666FF" w:rsidRPr="00A666FF" w:rsidRDefault="00397E46" w:rsidP="00A666FF">
          <w:pPr>
            <w:pStyle w:val="TOC1"/>
            <w:tabs>
              <w:tab w:val="left" w:pos="1440"/>
              <w:tab w:val="right" w:leader="dot" w:pos="9270"/>
            </w:tabs>
            <w:rPr>
              <w:rFonts w:asciiTheme="majorHAnsi" w:eastAsiaTheme="minorEastAsia" w:hAnsiTheme="majorHAnsi" w:cstheme="minorBidi"/>
              <w:noProof/>
              <w:sz w:val="20"/>
              <w:szCs w:val="20"/>
              <w:bdr w:val="none" w:sz="0" w:space="0" w:color="auto"/>
            </w:rPr>
          </w:pPr>
          <w:hyperlink w:anchor="_Toc523998354" w:history="1">
            <w:r w:rsidR="00A666FF" w:rsidRPr="00A666FF">
              <w:rPr>
                <w:rStyle w:val="Hyperlink"/>
                <w:rFonts w:asciiTheme="majorHAnsi" w:eastAsia="Times New Roman" w:hAnsiTheme="majorHAnsi"/>
                <w:b/>
                <w:noProof/>
                <w:sz w:val="20"/>
                <w:szCs w:val="20"/>
              </w:rPr>
              <w:t>IV.</w:t>
            </w:r>
            <w:r w:rsidR="00A666FF" w:rsidRPr="00A666FF">
              <w:rPr>
                <w:rFonts w:asciiTheme="majorHAnsi" w:eastAsiaTheme="minorEastAsia" w:hAnsiTheme="majorHAnsi" w:cstheme="minorBidi"/>
                <w:b/>
                <w:noProof/>
                <w:sz w:val="20"/>
                <w:szCs w:val="20"/>
                <w:bdr w:val="none" w:sz="0" w:space="0" w:color="auto"/>
              </w:rPr>
              <w:tab/>
            </w:r>
            <w:r w:rsidR="00A666FF" w:rsidRPr="00A666FF">
              <w:rPr>
                <w:rStyle w:val="Hyperlink"/>
                <w:rFonts w:asciiTheme="majorHAnsi" w:eastAsia="Times New Roman" w:hAnsiTheme="majorHAnsi"/>
                <w:b/>
                <w:noProof/>
                <w:sz w:val="20"/>
                <w:szCs w:val="20"/>
              </w:rPr>
              <w:t>LEGAL ANALYSIS</w:t>
            </w:r>
            <w:r w:rsidR="00A666FF" w:rsidRPr="00A666FF">
              <w:rPr>
                <w:rFonts w:asciiTheme="majorHAnsi" w:hAnsiTheme="majorHAnsi"/>
                <w:noProof/>
                <w:webHidden/>
                <w:sz w:val="20"/>
                <w:szCs w:val="20"/>
              </w:rPr>
              <w:tab/>
            </w:r>
            <w:r w:rsidR="00A666FF" w:rsidRPr="00A666FF">
              <w:rPr>
                <w:rFonts w:asciiTheme="majorHAnsi" w:hAnsiTheme="majorHAnsi"/>
                <w:noProof/>
                <w:webHidden/>
                <w:sz w:val="20"/>
                <w:szCs w:val="20"/>
              </w:rPr>
              <w:fldChar w:fldCharType="begin"/>
            </w:r>
            <w:r w:rsidR="00A666FF" w:rsidRPr="00A666FF">
              <w:rPr>
                <w:rFonts w:asciiTheme="majorHAnsi" w:hAnsiTheme="majorHAnsi"/>
                <w:noProof/>
                <w:webHidden/>
                <w:sz w:val="20"/>
                <w:szCs w:val="20"/>
              </w:rPr>
              <w:instrText xml:space="preserve"> PAGEREF _Toc523998354 \h </w:instrText>
            </w:r>
            <w:r w:rsidR="00A666FF" w:rsidRPr="00A666FF">
              <w:rPr>
                <w:rFonts w:asciiTheme="majorHAnsi" w:hAnsiTheme="majorHAnsi"/>
                <w:noProof/>
                <w:webHidden/>
                <w:sz w:val="20"/>
                <w:szCs w:val="20"/>
              </w:rPr>
            </w:r>
            <w:r w:rsidR="00A666FF" w:rsidRPr="00A666FF">
              <w:rPr>
                <w:rFonts w:asciiTheme="majorHAnsi" w:hAnsiTheme="majorHAnsi"/>
                <w:noProof/>
                <w:webHidden/>
                <w:sz w:val="20"/>
                <w:szCs w:val="20"/>
              </w:rPr>
              <w:fldChar w:fldCharType="separate"/>
            </w:r>
            <w:r w:rsidR="00A666FF" w:rsidRPr="00A666FF">
              <w:rPr>
                <w:rFonts w:asciiTheme="majorHAnsi" w:hAnsiTheme="majorHAnsi"/>
                <w:noProof/>
                <w:webHidden/>
                <w:sz w:val="20"/>
                <w:szCs w:val="20"/>
              </w:rPr>
              <w:t>9</w:t>
            </w:r>
            <w:r w:rsidR="00A666FF" w:rsidRPr="00A666FF">
              <w:rPr>
                <w:rFonts w:asciiTheme="majorHAnsi" w:hAnsiTheme="majorHAnsi"/>
                <w:noProof/>
                <w:webHidden/>
                <w:sz w:val="20"/>
                <w:szCs w:val="20"/>
              </w:rPr>
              <w:fldChar w:fldCharType="end"/>
            </w:r>
          </w:hyperlink>
        </w:p>
        <w:p w14:paraId="777A101C" w14:textId="77777777" w:rsidR="00A666FF" w:rsidRPr="00A666FF" w:rsidRDefault="00397E46" w:rsidP="00A666FF">
          <w:pPr>
            <w:pStyle w:val="TOC2"/>
            <w:tabs>
              <w:tab w:val="right" w:leader="dot" w:pos="9270"/>
            </w:tabs>
            <w:rPr>
              <w:rFonts w:asciiTheme="majorHAnsi" w:eastAsiaTheme="minorEastAsia" w:hAnsiTheme="majorHAnsi" w:cstheme="minorBidi"/>
              <w:noProof/>
              <w:sz w:val="20"/>
              <w:szCs w:val="20"/>
              <w:bdr w:val="none" w:sz="0" w:space="0" w:color="auto"/>
            </w:rPr>
          </w:pPr>
          <w:hyperlink w:anchor="_Toc523998355" w:history="1">
            <w:r w:rsidR="00A666FF" w:rsidRPr="00A666FF">
              <w:rPr>
                <w:rStyle w:val="Hyperlink"/>
                <w:rFonts w:asciiTheme="majorHAnsi" w:eastAsia="Times New Roman" w:hAnsiTheme="majorHAnsi"/>
                <w:noProof/>
                <w:sz w:val="20"/>
                <w:szCs w:val="20"/>
              </w:rPr>
              <w:t>A.</w:t>
            </w:r>
            <w:r w:rsidR="00A666FF" w:rsidRPr="00A666FF">
              <w:rPr>
                <w:rFonts w:asciiTheme="majorHAnsi" w:eastAsiaTheme="minorEastAsia" w:hAnsiTheme="majorHAnsi" w:cstheme="minorBidi"/>
                <w:noProof/>
                <w:sz w:val="20"/>
                <w:szCs w:val="20"/>
                <w:bdr w:val="none" w:sz="0" w:space="0" w:color="auto"/>
              </w:rPr>
              <w:tab/>
            </w:r>
            <w:r w:rsidR="00A666FF" w:rsidRPr="00A666FF">
              <w:rPr>
                <w:rStyle w:val="Hyperlink"/>
                <w:rFonts w:asciiTheme="majorHAnsi" w:eastAsia="Times New Roman" w:hAnsiTheme="majorHAnsi"/>
                <w:noProof/>
                <w:sz w:val="20"/>
                <w:szCs w:val="20"/>
              </w:rPr>
              <w:t>Right to judicial guarantees and freedom from ex post facto laws</w:t>
            </w:r>
            <w:r w:rsidR="00A666FF" w:rsidRPr="00A666FF">
              <w:rPr>
                <w:rFonts w:asciiTheme="majorHAnsi" w:hAnsiTheme="majorHAnsi"/>
                <w:noProof/>
                <w:webHidden/>
                <w:sz w:val="20"/>
                <w:szCs w:val="20"/>
              </w:rPr>
              <w:tab/>
            </w:r>
            <w:r w:rsidR="00A666FF" w:rsidRPr="00A666FF">
              <w:rPr>
                <w:rFonts w:asciiTheme="majorHAnsi" w:hAnsiTheme="majorHAnsi"/>
                <w:noProof/>
                <w:webHidden/>
                <w:sz w:val="20"/>
                <w:szCs w:val="20"/>
              </w:rPr>
              <w:fldChar w:fldCharType="begin"/>
            </w:r>
            <w:r w:rsidR="00A666FF" w:rsidRPr="00A666FF">
              <w:rPr>
                <w:rFonts w:asciiTheme="majorHAnsi" w:hAnsiTheme="majorHAnsi"/>
                <w:noProof/>
                <w:webHidden/>
                <w:sz w:val="20"/>
                <w:szCs w:val="20"/>
              </w:rPr>
              <w:instrText xml:space="preserve"> PAGEREF _Toc523998355 \h </w:instrText>
            </w:r>
            <w:r w:rsidR="00A666FF" w:rsidRPr="00A666FF">
              <w:rPr>
                <w:rFonts w:asciiTheme="majorHAnsi" w:hAnsiTheme="majorHAnsi"/>
                <w:noProof/>
                <w:webHidden/>
                <w:sz w:val="20"/>
                <w:szCs w:val="20"/>
              </w:rPr>
            </w:r>
            <w:r w:rsidR="00A666FF" w:rsidRPr="00A666FF">
              <w:rPr>
                <w:rFonts w:asciiTheme="majorHAnsi" w:hAnsiTheme="majorHAnsi"/>
                <w:noProof/>
                <w:webHidden/>
                <w:sz w:val="20"/>
                <w:szCs w:val="20"/>
              </w:rPr>
              <w:fldChar w:fldCharType="separate"/>
            </w:r>
            <w:r w:rsidR="00A666FF" w:rsidRPr="00A666FF">
              <w:rPr>
                <w:rFonts w:asciiTheme="majorHAnsi" w:hAnsiTheme="majorHAnsi"/>
                <w:noProof/>
                <w:webHidden/>
                <w:sz w:val="20"/>
                <w:szCs w:val="20"/>
              </w:rPr>
              <w:t>9</w:t>
            </w:r>
            <w:r w:rsidR="00A666FF" w:rsidRPr="00A666FF">
              <w:rPr>
                <w:rFonts w:asciiTheme="majorHAnsi" w:hAnsiTheme="majorHAnsi"/>
                <w:noProof/>
                <w:webHidden/>
                <w:sz w:val="20"/>
                <w:szCs w:val="20"/>
              </w:rPr>
              <w:fldChar w:fldCharType="end"/>
            </w:r>
          </w:hyperlink>
        </w:p>
        <w:p w14:paraId="20C8F291" w14:textId="77777777" w:rsidR="00A666FF" w:rsidRPr="00A666FF" w:rsidRDefault="00397E46" w:rsidP="00A666FF">
          <w:pPr>
            <w:pStyle w:val="TOC2"/>
            <w:tabs>
              <w:tab w:val="right" w:leader="dot" w:pos="9270"/>
            </w:tabs>
            <w:rPr>
              <w:rFonts w:asciiTheme="majorHAnsi" w:eastAsiaTheme="minorEastAsia" w:hAnsiTheme="majorHAnsi" w:cstheme="minorBidi"/>
              <w:noProof/>
              <w:sz w:val="20"/>
              <w:szCs w:val="20"/>
              <w:bdr w:val="none" w:sz="0" w:space="0" w:color="auto"/>
            </w:rPr>
          </w:pPr>
          <w:hyperlink w:anchor="_Toc523998356" w:history="1">
            <w:r w:rsidR="00A666FF" w:rsidRPr="00A666FF">
              <w:rPr>
                <w:rStyle w:val="Hyperlink"/>
                <w:rFonts w:asciiTheme="majorHAnsi" w:eastAsia="Times New Roman" w:hAnsiTheme="majorHAnsi"/>
                <w:noProof/>
                <w:sz w:val="20"/>
                <w:szCs w:val="20"/>
                <w:lang w:val="es-UY"/>
              </w:rPr>
              <w:t>1.</w:t>
            </w:r>
            <w:r w:rsidR="00A666FF" w:rsidRPr="00A666FF">
              <w:rPr>
                <w:rFonts w:asciiTheme="majorHAnsi" w:eastAsiaTheme="minorEastAsia" w:hAnsiTheme="majorHAnsi" w:cstheme="minorBidi"/>
                <w:noProof/>
                <w:sz w:val="20"/>
                <w:szCs w:val="20"/>
                <w:bdr w:val="none" w:sz="0" w:space="0" w:color="auto"/>
              </w:rPr>
              <w:tab/>
            </w:r>
            <w:r w:rsidR="00A666FF" w:rsidRPr="00A666FF">
              <w:rPr>
                <w:rStyle w:val="Hyperlink"/>
                <w:rFonts w:asciiTheme="majorHAnsi" w:eastAsia="Times New Roman" w:hAnsiTheme="majorHAnsi"/>
                <w:noProof/>
                <w:sz w:val="20"/>
                <w:szCs w:val="20"/>
              </w:rPr>
              <w:t>General considerations on the guarantees applicable to proceedings for imposing sanctions for determining rights</w:t>
            </w:r>
            <w:r w:rsidR="00A666FF" w:rsidRPr="00A666FF">
              <w:rPr>
                <w:rFonts w:asciiTheme="majorHAnsi" w:hAnsiTheme="majorHAnsi"/>
                <w:noProof/>
                <w:webHidden/>
                <w:sz w:val="20"/>
                <w:szCs w:val="20"/>
              </w:rPr>
              <w:tab/>
            </w:r>
            <w:r w:rsidR="00A666FF" w:rsidRPr="00A666FF">
              <w:rPr>
                <w:rFonts w:asciiTheme="majorHAnsi" w:hAnsiTheme="majorHAnsi"/>
                <w:noProof/>
                <w:webHidden/>
                <w:sz w:val="20"/>
                <w:szCs w:val="20"/>
              </w:rPr>
              <w:fldChar w:fldCharType="begin"/>
            </w:r>
            <w:r w:rsidR="00A666FF" w:rsidRPr="00A666FF">
              <w:rPr>
                <w:rFonts w:asciiTheme="majorHAnsi" w:hAnsiTheme="majorHAnsi"/>
                <w:noProof/>
                <w:webHidden/>
                <w:sz w:val="20"/>
                <w:szCs w:val="20"/>
              </w:rPr>
              <w:instrText xml:space="preserve"> PAGEREF _Toc523998356 \h </w:instrText>
            </w:r>
            <w:r w:rsidR="00A666FF" w:rsidRPr="00A666FF">
              <w:rPr>
                <w:rFonts w:asciiTheme="majorHAnsi" w:hAnsiTheme="majorHAnsi"/>
                <w:noProof/>
                <w:webHidden/>
                <w:sz w:val="20"/>
                <w:szCs w:val="20"/>
              </w:rPr>
            </w:r>
            <w:r w:rsidR="00A666FF" w:rsidRPr="00A666FF">
              <w:rPr>
                <w:rFonts w:asciiTheme="majorHAnsi" w:hAnsiTheme="majorHAnsi"/>
                <w:noProof/>
                <w:webHidden/>
                <w:sz w:val="20"/>
                <w:szCs w:val="20"/>
              </w:rPr>
              <w:fldChar w:fldCharType="separate"/>
            </w:r>
            <w:r w:rsidR="00A666FF" w:rsidRPr="00A666FF">
              <w:rPr>
                <w:rFonts w:asciiTheme="majorHAnsi" w:hAnsiTheme="majorHAnsi"/>
                <w:noProof/>
                <w:webHidden/>
                <w:sz w:val="20"/>
                <w:szCs w:val="20"/>
              </w:rPr>
              <w:t>9</w:t>
            </w:r>
            <w:r w:rsidR="00A666FF" w:rsidRPr="00A666FF">
              <w:rPr>
                <w:rFonts w:asciiTheme="majorHAnsi" w:hAnsiTheme="majorHAnsi"/>
                <w:noProof/>
                <w:webHidden/>
                <w:sz w:val="20"/>
                <w:szCs w:val="20"/>
              </w:rPr>
              <w:fldChar w:fldCharType="end"/>
            </w:r>
          </w:hyperlink>
        </w:p>
        <w:p w14:paraId="580E69D5" w14:textId="77777777" w:rsidR="00A666FF" w:rsidRPr="00062C3F" w:rsidRDefault="00397E46" w:rsidP="00A666FF">
          <w:pPr>
            <w:pStyle w:val="TOC2"/>
            <w:tabs>
              <w:tab w:val="right" w:leader="dot" w:pos="9270"/>
            </w:tabs>
            <w:rPr>
              <w:rFonts w:asciiTheme="majorHAnsi" w:eastAsiaTheme="minorEastAsia" w:hAnsiTheme="majorHAnsi" w:cstheme="minorBidi"/>
              <w:noProof/>
              <w:sz w:val="20"/>
              <w:szCs w:val="20"/>
              <w:bdr w:val="none" w:sz="0" w:space="0" w:color="auto"/>
            </w:rPr>
          </w:pPr>
          <w:hyperlink w:anchor="_Toc523998357" w:history="1">
            <w:r w:rsidR="00A666FF" w:rsidRPr="00062C3F">
              <w:rPr>
                <w:rStyle w:val="Hyperlink"/>
                <w:rFonts w:asciiTheme="majorHAnsi" w:eastAsia="Times New Roman" w:hAnsiTheme="majorHAnsi"/>
                <w:noProof/>
                <w:sz w:val="20"/>
                <w:szCs w:val="20"/>
                <w:lang w:val="es-UY"/>
              </w:rPr>
              <w:t>2.</w:t>
            </w:r>
            <w:r w:rsidR="00A666FF" w:rsidRPr="00062C3F">
              <w:rPr>
                <w:rFonts w:asciiTheme="majorHAnsi" w:eastAsiaTheme="minorEastAsia" w:hAnsiTheme="majorHAnsi" w:cstheme="minorBidi"/>
                <w:noProof/>
                <w:sz w:val="20"/>
                <w:szCs w:val="20"/>
                <w:bdr w:val="none" w:sz="0" w:space="0" w:color="auto"/>
              </w:rPr>
              <w:tab/>
            </w:r>
            <w:r w:rsidR="00A666FF" w:rsidRPr="00062C3F">
              <w:rPr>
                <w:rStyle w:val="Hyperlink"/>
                <w:rFonts w:asciiTheme="majorHAnsi" w:eastAsia="Times New Roman" w:hAnsiTheme="majorHAnsi"/>
                <w:noProof/>
                <w:sz w:val="20"/>
                <w:szCs w:val="20"/>
              </w:rPr>
              <w:t>General considerations on the guarantees applicable to judicial officers, including prosecutors</w:t>
            </w:r>
            <w:r w:rsidR="00A666FF" w:rsidRPr="00062C3F">
              <w:rPr>
                <w:rFonts w:asciiTheme="majorHAnsi" w:hAnsiTheme="majorHAnsi"/>
                <w:noProof/>
                <w:webHidden/>
                <w:sz w:val="20"/>
                <w:szCs w:val="20"/>
              </w:rPr>
              <w:tab/>
            </w:r>
            <w:r w:rsidR="00A666FF" w:rsidRPr="00062C3F">
              <w:rPr>
                <w:rFonts w:asciiTheme="majorHAnsi" w:hAnsiTheme="majorHAnsi"/>
                <w:noProof/>
                <w:webHidden/>
                <w:sz w:val="20"/>
                <w:szCs w:val="20"/>
              </w:rPr>
              <w:fldChar w:fldCharType="begin"/>
            </w:r>
            <w:r w:rsidR="00A666FF" w:rsidRPr="00062C3F">
              <w:rPr>
                <w:rFonts w:asciiTheme="majorHAnsi" w:hAnsiTheme="majorHAnsi"/>
                <w:noProof/>
                <w:webHidden/>
                <w:sz w:val="20"/>
                <w:szCs w:val="20"/>
              </w:rPr>
              <w:instrText xml:space="preserve"> PAGEREF _Toc523998357 \h </w:instrText>
            </w:r>
            <w:r w:rsidR="00A666FF" w:rsidRPr="00062C3F">
              <w:rPr>
                <w:rFonts w:asciiTheme="majorHAnsi" w:hAnsiTheme="majorHAnsi"/>
                <w:noProof/>
                <w:webHidden/>
                <w:sz w:val="20"/>
                <w:szCs w:val="20"/>
              </w:rPr>
            </w:r>
            <w:r w:rsidR="00A666FF" w:rsidRPr="00062C3F">
              <w:rPr>
                <w:rFonts w:asciiTheme="majorHAnsi" w:hAnsiTheme="majorHAnsi"/>
                <w:noProof/>
                <w:webHidden/>
                <w:sz w:val="20"/>
                <w:szCs w:val="20"/>
              </w:rPr>
              <w:fldChar w:fldCharType="separate"/>
            </w:r>
            <w:r w:rsidR="00A666FF" w:rsidRPr="00062C3F">
              <w:rPr>
                <w:rFonts w:asciiTheme="majorHAnsi" w:hAnsiTheme="majorHAnsi"/>
                <w:noProof/>
                <w:webHidden/>
                <w:sz w:val="20"/>
                <w:szCs w:val="20"/>
              </w:rPr>
              <w:t>10</w:t>
            </w:r>
            <w:r w:rsidR="00A666FF" w:rsidRPr="00062C3F">
              <w:rPr>
                <w:rFonts w:asciiTheme="majorHAnsi" w:hAnsiTheme="majorHAnsi"/>
                <w:noProof/>
                <w:webHidden/>
                <w:sz w:val="20"/>
                <w:szCs w:val="20"/>
              </w:rPr>
              <w:fldChar w:fldCharType="end"/>
            </w:r>
          </w:hyperlink>
        </w:p>
        <w:p w14:paraId="3BFF0352" w14:textId="77777777" w:rsidR="00A666FF" w:rsidRPr="00062C3F" w:rsidRDefault="00397E46" w:rsidP="00A666FF">
          <w:pPr>
            <w:pStyle w:val="TOC3"/>
            <w:tabs>
              <w:tab w:val="left" w:pos="2160"/>
              <w:tab w:val="right" w:leader="dot" w:pos="9270"/>
            </w:tabs>
            <w:rPr>
              <w:rFonts w:asciiTheme="majorHAnsi" w:eastAsiaTheme="minorEastAsia" w:hAnsiTheme="majorHAnsi" w:cstheme="minorBidi"/>
              <w:noProof/>
              <w:sz w:val="20"/>
              <w:szCs w:val="20"/>
              <w:bdr w:val="none" w:sz="0" w:space="0" w:color="auto"/>
            </w:rPr>
          </w:pPr>
          <w:hyperlink w:anchor="_Toc523998358" w:history="1">
            <w:r w:rsidR="00A666FF" w:rsidRPr="00062C3F">
              <w:rPr>
                <w:rStyle w:val="Hyperlink"/>
                <w:rFonts w:asciiTheme="majorHAnsi" w:eastAsiaTheme="majorEastAsia" w:hAnsiTheme="majorHAnsi" w:cstheme="majorBidi"/>
                <w:bCs/>
                <w:noProof/>
                <w:sz w:val="20"/>
                <w:szCs w:val="20"/>
              </w:rPr>
              <w:t>2.1</w:t>
            </w:r>
            <w:r w:rsidR="00A666FF" w:rsidRPr="00062C3F">
              <w:rPr>
                <w:rFonts w:asciiTheme="majorHAnsi" w:eastAsiaTheme="minorEastAsia" w:hAnsiTheme="majorHAnsi" w:cstheme="minorBidi"/>
                <w:noProof/>
                <w:sz w:val="20"/>
                <w:szCs w:val="20"/>
                <w:bdr w:val="none" w:sz="0" w:space="0" w:color="auto"/>
              </w:rPr>
              <w:tab/>
            </w:r>
            <w:r w:rsidR="00A666FF" w:rsidRPr="00062C3F">
              <w:rPr>
                <w:rStyle w:val="Hyperlink"/>
                <w:rFonts w:asciiTheme="majorHAnsi" w:eastAsiaTheme="majorEastAsia" w:hAnsiTheme="majorHAnsi" w:cstheme="majorBidi"/>
                <w:bCs/>
                <w:noProof/>
                <w:sz w:val="20"/>
                <w:szCs w:val="20"/>
              </w:rPr>
              <w:t>The principle of judicial independence and the removal of judicial officers</w:t>
            </w:r>
            <w:r w:rsidR="00A666FF" w:rsidRPr="00062C3F">
              <w:rPr>
                <w:rFonts w:asciiTheme="majorHAnsi" w:hAnsiTheme="majorHAnsi"/>
                <w:noProof/>
                <w:webHidden/>
                <w:sz w:val="20"/>
                <w:szCs w:val="20"/>
              </w:rPr>
              <w:tab/>
            </w:r>
            <w:r w:rsidR="00A666FF" w:rsidRPr="00062C3F">
              <w:rPr>
                <w:rFonts w:asciiTheme="majorHAnsi" w:hAnsiTheme="majorHAnsi"/>
                <w:noProof/>
                <w:webHidden/>
                <w:sz w:val="20"/>
                <w:szCs w:val="20"/>
              </w:rPr>
              <w:fldChar w:fldCharType="begin"/>
            </w:r>
            <w:r w:rsidR="00A666FF" w:rsidRPr="00062C3F">
              <w:rPr>
                <w:rFonts w:asciiTheme="majorHAnsi" w:hAnsiTheme="majorHAnsi"/>
                <w:noProof/>
                <w:webHidden/>
                <w:sz w:val="20"/>
                <w:szCs w:val="20"/>
              </w:rPr>
              <w:instrText xml:space="preserve"> PAGEREF _Toc523998358 \h </w:instrText>
            </w:r>
            <w:r w:rsidR="00A666FF" w:rsidRPr="00062C3F">
              <w:rPr>
                <w:rFonts w:asciiTheme="majorHAnsi" w:hAnsiTheme="majorHAnsi"/>
                <w:noProof/>
                <w:webHidden/>
                <w:sz w:val="20"/>
                <w:szCs w:val="20"/>
              </w:rPr>
            </w:r>
            <w:r w:rsidR="00A666FF" w:rsidRPr="00062C3F">
              <w:rPr>
                <w:rFonts w:asciiTheme="majorHAnsi" w:hAnsiTheme="majorHAnsi"/>
                <w:noProof/>
                <w:webHidden/>
                <w:sz w:val="20"/>
                <w:szCs w:val="20"/>
              </w:rPr>
              <w:fldChar w:fldCharType="separate"/>
            </w:r>
            <w:r w:rsidR="00A666FF" w:rsidRPr="00062C3F">
              <w:rPr>
                <w:rFonts w:asciiTheme="majorHAnsi" w:hAnsiTheme="majorHAnsi"/>
                <w:noProof/>
                <w:webHidden/>
                <w:sz w:val="20"/>
                <w:szCs w:val="20"/>
              </w:rPr>
              <w:t>10</w:t>
            </w:r>
            <w:r w:rsidR="00A666FF" w:rsidRPr="00062C3F">
              <w:rPr>
                <w:rFonts w:asciiTheme="majorHAnsi" w:hAnsiTheme="majorHAnsi"/>
                <w:noProof/>
                <w:webHidden/>
                <w:sz w:val="20"/>
                <w:szCs w:val="20"/>
              </w:rPr>
              <w:fldChar w:fldCharType="end"/>
            </w:r>
          </w:hyperlink>
        </w:p>
        <w:p w14:paraId="412F2CB1" w14:textId="77777777" w:rsidR="00A666FF" w:rsidRPr="00062C3F" w:rsidRDefault="00397E46" w:rsidP="00A666FF">
          <w:pPr>
            <w:pStyle w:val="TOC3"/>
            <w:tabs>
              <w:tab w:val="left" w:pos="2160"/>
              <w:tab w:val="right" w:leader="dot" w:pos="9270"/>
            </w:tabs>
            <w:rPr>
              <w:rFonts w:asciiTheme="majorHAnsi" w:eastAsiaTheme="minorEastAsia" w:hAnsiTheme="majorHAnsi" w:cstheme="minorBidi"/>
              <w:noProof/>
              <w:sz w:val="20"/>
              <w:szCs w:val="20"/>
              <w:bdr w:val="none" w:sz="0" w:space="0" w:color="auto"/>
            </w:rPr>
          </w:pPr>
          <w:hyperlink w:anchor="_Toc523998359" w:history="1">
            <w:r w:rsidR="00A666FF" w:rsidRPr="00062C3F">
              <w:rPr>
                <w:rStyle w:val="Hyperlink"/>
                <w:rFonts w:asciiTheme="majorHAnsi" w:eastAsiaTheme="majorEastAsia" w:hAnsiTheme="majorHAnsi" w:cstheme="majorBidi"/>
                <w:bCs/>
                <w:noProof/>
                <w:sz w:val="20"/>
                <w:szCs w:val="20"/>
              </w:rPr>
              <w:t>2.2</w:t>
            </w:r>
            <w:r w:rsidR="00A666FF" w:rsidRPr="00062C3F">
              <w:rPr>
                <w:rFonts w:asciiTheme="majorHAnsi" w:eastAsiaTheme="minorEastAsia" w:hAnsiTheme="majorHAnsi" w:cstheme="minorBidi"/>
                <w:noProof/>
                <w:sz w:val="20"/>
                <w:szCs w:val="20"/>
                <w:bdr w:val="none" w:sz="0" w:space="0" w:color="auto"/>
              </w:rPr>
              <w:tab/>
            </w:r>
            <w:r w:rsidR="00A666FF" w:rsidRPr="00062C3F">
              <w:rPr>
                <w:rStyle w:val="Hyperlink"/>
                <w:rFonts w:asciiTheme="majorHAnsi" w:eastAsiaTheme="majorEastAsia" w:hAnsiTheme="majorHAnsi" w:cstheme="majorBidi"/>
                <w:bCs/>
                <w:noProof/>
                <w:sz w:val="20"/>
                <w:szCs w:val="20"/>
              </w:rPr>
              <w:t>General considerations about the reinforced stability of prosecutors</w:t>
            </w:r>
            <w:r w:rsidR="00A666FF" w:rsidRPr="00062C3F">
              <w:rPr>
                <w:rFonts w:asciiTheme="majorHAnsi" w:hAnsiTheme="majorHAnsi"/>
                <w:noProof/>
                <w:webHidden/>
                <w:sz w:val="20"/>
                <w:szCs w:val="20"/>
              </w:rPr>
              <w:tab/>
            </w:r>
            <w:r w:rsidR="00A666FF" w:rsidRPr="00062C3F">
              <w:rPr>
                <w:rFonts w:asciiTheme="majorHAnsi" w:hAnsiTheme="majorHAnsi"/>
                <w:noProof/>
                <w:webHidden/>
                <w:sz w:val="20"/>
                <w:szCs w:val="20"/>
              </w:rPr>
              <w:fldChar w:fldCharType="begin"/>
            </w:r>
            <w:r w:rsidR="00A666FF" w:rsidRPr="00062C3F">
              <w:rPr>
                <w:rFonts w:asciiTheme="majorHAnsi" w:hAnsiTheme="majorHAnsi"/>
                <w:noProof/>
                <w:webHidden/>
                <w:sz w:val="20"/>
                <w:szCs w:val="20"/>
              </w:rPr>
              <w:instrText xml:space="preserve"> PAGEREF _Toc523998359 \h </w:instrText>
            </w:r>
            <w:r w:rsidR="00A666FF" w:rsidRPr="00062C3F">
              <w:rPr>
                <w:rFonts w:asciiTheme="majorHAnsi" w:hAnsiTheme="majorHAnsi"/>
                <w:noProof/>
                <w:webHidden/>
                <w:sz w:val="20"/>
                <w:szCs w:val="20"/>
              </w:rPr>
            </w:r>
            <w:r w:rsidR="00A666FF" w:rsidRPr="00062C3F">
              <w:rPr>
                <w:rFonts w:asciiTheme="majorHAnsi" w:hAnsiTheme="majorHAnsi"/>
                <w:noProof/>
                <w:webHidden/>
                <w:sz w:val="20"/>
                <w:szCs w:val="20"/>
              </w:rPr>
              <w:fldChar w:fldCharType="separate"/>
            </w:r>
            <w:r w:rsidR="00A666FF" w:rsidRPr="00062C3F">
              <w:rPr>
                <w:rFonts w:asciiTheme="majorHAnsi" w:hAnsiTheme="majorHAnsi"/>
                <w:noProof/>
                <w:webHidden/>
                <w:sz w:val="20"/>
                <w:szCs w:val="20"/>
              </w:rPr>
              <w:t>11</w:t>
            </w:r>
            <w:r w:rsidR="00A666FF" w:rsidRPr="00062C3F">
              <w:rPr>
                <w:rFonts w:asciiTheme="majorHAnsi" w:hAnsiTheme="majorHAnsi"/>
                <w:noProof/>
                <w:webHidden/>
                <w:sz w:val="20"/>
                <w:szCs w:val="20"/>
              </w:rPr>
              <w:fldChar w:fldCharType="end"/>
            </w:r>
          </w:hyperlink>
        </w:p>
        <w:p w14:paraId="49D25C37" w14:textId="77777777" w:rsidR="00A666FF" w:rsidRPr="00062C3F" w:rsidRDefault="00397E46" w:rsidP="00A666FF">
          <w:pPr>
            <w:pStyle w:val="TOC2"/>
            <w:tabs>
              <w:tab w:val="right" w:leader="dot" w:pos="9270"/>
            </w:tabs>
            <w:rPr>
              <w:rFonts w:asciiTheme="majorHAnsi" w:eastAsiaTheme="minorEastAsia" w:hAnsiTheme="majorHAnsi" w:cstheme="minorBidi"/>
              <w:noProof/>
              <w:sz w:val="20"/>
              <w:szCs w:val="20"/>
              <w:bdr w:val="none" w:sz="0" w:space="0" w:color="auto"/>
            </w:rPr>
          </w:pPr>
          <w:hyperlink w:anchor="_Toc523998360" w:history="1">
            <w:r w:rsidR="00A666FF" w:rsidRPr="00062C3F">
              <w:rPr>
                <w:rStyle w:val="Hyperlink"/>
                <w:rFonts w:asciiTheme="majorHAnsi" w:eastAsia="Times New Roman" w:hAnsiTheme="majorHAnsi"/>
                <w:noProof/>
                <w:sz w:val="20"/>
                <w:szCs w:val="20"/>
                <w:lang w:val="es-UY"/>
              </w:rPr>
              <w:t>3.</w:t>
            </w:r>
            <w:r w:rsidR="00A666FF" w:rsidRPr="00062C3F">
              <w:rPr>
                <w:rFonts w:asciiTheme="majorHAnsi" w:eastAsiaTheme="minorEastAsia" w:hAnsiTheme="majorHAnsi" w:cstheme="minorBidi"/>
                <w:noProof/>
                <w:sz w:val="20"/>
                <w:szCs w:val="20"/>
                <w:bdr w:val="none" w:sz="0" w:space="0" w:color="auto"/>
              </w:rPr>
              <w:tab/>
            </w:r>
            <w:r w:rsidR="00A666FF" w:rsidRPr="00062C3F">
              <w:rPr>
                <w:rStyle w:val="Hyperlink"/>
                <w:rFonts w:asciiTheme="majorHAnsi" w:eastAsia="Times New Roman" w:hAnsiTheme="majorHAnsi"/>
                <w:noProof/>
                <w:sz w:val="20"/>
                <w:szCs w:val="20"/>
              </w:rPr>
              <w:t>Analysis of the instant case</w:t>
            </w:r>
            <w:r w:rsidR="00A666FF" w:rsidRPr="00062C3F">
              <w:rPr>
                <w:rFonts w:asciiTheme="majorHAnsi" w:hAnsiTheme="majorHAnsi"/>
                <w:noProof/>
                <w:webHidden/>
                <w:sz w:val="20"/>
                <w:szCs w:val="20"/>
              </w:rPr>
              <w:tab/>
            </w:r>
            <w:r w:rsidR="00A666FF" w:rsidRPr="00062C3F">
              <w:rPr>
                <w:rFonts w:asciiTheme="majorHAnsi" w:hAnsiTheme="majorHAnsi"/>
                <w:noProof/>
                <w:webHidden/>
                <w:sz w:val="20"/>
                <w:szCs w:val="20"/>
              </w:rPr>
              <w:fldChar w:fldCharType="begin"/>
            </w:r>
            <w:r w:rsidR="00A666FF" w:rsidRPr="00062C3F">
              <w:rPr>
                <w:rFonts w:asciiTheme="majorHAnsi" w:hAnsiTheme="majorHAnsi"/>
                <w:noProof/>
                <w:webHidden/>
                <w:sz w:val="20"/>
                <w:szCs w:val="20"/>
              </w:rPr>
              <w:instrText xml:space="preserve"> PAGEREF _Toc523998360 \h </w:instrText>
            </w:r>
            <w:r w:rsidR="00A666FF" w:rsidRPr="00062C3F">
              <w:rPr>
                <w:rFonts w:asciiTheme="majorHAnsi" w:hAnsiTheme="majorHAnsi"/>
                <w:noProof/>
                <w:webHidden/>
                <w:sz w:val="20"/>
                <w:szCs w:val="20"/>
              </w:rPr>
            </w:r>
            <w:r w:rsidR="00A666FF" w:rsidRPr="00062C3F">
              <w:rPr>
                <w:rFonts w:asciiTheme="majorHAnsi" w:hAnsiTheme="majorHAnsi"/>
                <w:noProof/>
                <w:webHidden/>
                <w:sz w:val="20"/>
                <w:szCs w:val="20"/>
              </w:rPr>
              <w:fldChar w:fldCharType="separate"/>
            </w:r>
            <w:r w:rsidR="00A666FF" w:rsidRPr="00062C3F">
              <w:rPr>
                <w:rFonts w:asciiTheme="majorHAnsi" w:hAnsiTheme="majorHAnsi"/>
                <w:noProof/>
                <w:webHidden/>
                <w:sz w:val="20"/>
                <w:szCs w:val="20"/>
              </w:rPr>
              <w:t>12</w:t>
            </w:r>
            <w:r w:rsidR="00A666FF" w:rsidRPr="00062C3F">
              <w:rPr>
                <w:rFonts w:asciiTheme="majorHAnsi" w:hAnsiTheme="majorHAnsi"/>
                <w:noProof/>
                <w:webHidden/>
                <w:sz w:val="20"/>
                <w:szCs w:val="20"/>
              </w:rPr>
              <w:fldChar w:fldCharType="end"/>
            </w:r>
          </w:hyperlink>
        </w:p>
        <w:p w14:paraId="2628829F" w14:textId="77777777" w:rsidR="00A666FF" w:rsidRPr="00062C3F" w:rsidRDefault="00397E46" w:rsidP="00A666FF">
          <w:pPr>
            <w:pStyle w:val="TOC3"/>
            <w:tabs>
              <w:tab w:val="left" w:pos="2160"/>
              <w:tab w:val="right" w:leader="dot" w:pos="9270"/>
            </w:tabs>
            <w:rPr>
              <w:rFonts w:asciiTheme="majorHAnsi" w:eastAsiaTheme="minorEastAsia" w:hAnsiTheme="majorHAnsi" w:cstheme="minorBidi"/>
              <w:noProof/>
              <w:sz w:val="20"/>
              <w:szCs w:val="20"/>
              <w:bdr w:val="none" w:sz="0" w:space="0" w:color="auto"/>
            </w:rPr>
          </w:pPr>
          <w:hyperlink w:anchor="_Toc523998361" w:history="1">
            <w:r w:rsidR="00A666FF" w:rsidRPr="00062C3F">
              <w:rPr>
                <w:rStyle w:val="Hyperlink"/>
                <w:rFonts w:asciiTheme="majorHAnsi" w:eastAsiaTheme="majorEastAsia" w:hAnsiTheme="majorHAnsi" w:cstheme="majorBidi"/>
                <w:bCs/>
                <w:noProof/>
                <w:sz w:val="20"/>
                <w:szCs w:val="20"/>
              </w:rPr>
              <w:t>3.1</w:t>
            </w:r>
            <w:r w:rsidR="00A666FF" w:rsidRPr="00062C3F">
              <w:rPr>
                <w:rFonts w:asciiTheme="majorHAnsi" w:eastAsiaTheme="minorEastAsia" w:hAnsiTheme="majorHAnsi" w:cstheme="minorBidi"/>
                <w:noProof/>
                <w:sz w:val="20"/>
                <w:szCs w:val="20"/>
                <w:bdr w:val="none" w:sz="0" w:space="0" w:color="auto"/>
              </w:rPr>
              <w:tab/>
            </w:r>
            <w:r w:rsidR="00A666FF" w:rsidRPr="00062C3F">
              <w:rPr>
                <w:rStyle w:val="Hyperlink"/>
                <w:rFonts w:asciiTheme="majorHAnsi" w:eastAsiaTheme="majorEastAsia" w:hAnsiTheme="majorHAnsi" w:cstheme="majorBidi"/>
                <w:bCs/>
                <w:noProof/>
                <w:sz w:val="20"/>
                <w:szCs w:val="20"/>
              </w:rPr>
              <w:t>As per the right to be heard, the right to defense, and the freedom from ex post facto laws</w:t>
            </w:r>
            <w:r w:rsidR="00A666FF" w:rsidRPr="00062C3F">
              <w:rPr>
                <w:rFonts w:asciiTheme="majorHAnsi" w:hAnsiTheme="majorHAnsi"/>
                <w:noProof/>
                <w:webHidden/>
                <w:sz w:val="20"/>
                <w:szCs w:val="20"/>
              </w:rPr>
              <w:tab/>
            </w:r>
            <w:r w:rsidR="00A666FF" w:rsidRPr="00062C3F">
              <w:rPr>
                <w:rFonts w:asciiTheme="majorHAnsi" w:hAnsiTheme="majorHAnsi"/>
                <w:noProof/>
                <w:webHidden/>
                <w:sz w:val="20"/>
                <w:szCs w:val="20"/>
              </w:rPr>
              <w:fldChar w:fldCharType="begin"/>
            </w:r>
            <w:r w:rsidR="00A666FF" w:rsidRPr="00062C3F">
              <w:rPr>
                <w:rFonts w:asciiTheme="majorHAnsi" w:hAnsiTheme="majorHAnsi"/>
                <w:noProof/>
                <w:webHidden/>
                <w:sz w:val="20"/>
                <w:szCs w:val="20"/>
              </w:rPr>
              <w:instrText xml:space="preserve"> PAGEREF _Toc523998361 \h </w:instrText>
            </w:r>
            <w:r w:rsidR="00A666FF" w:rsidRPr="00062C3F">
              <w:rPr>
                <w:rFonts w:asciiTheme="majorHAnsi" w:hAnsiTheme="majorHAnsi"/>
                <w:noProof/>
                <w:webHidden/>
                <w:sz w:val="20"/>
                <w:szCs w:val="20"/>
              </w:rPr>
            </w:r>
            <w:r w:rsidR="00A666FF" w:rsidRPr="00062C3F">
              <w:rPr>
                <w:rFonts w:asciiTheme="majorHAnsi" w:hAnsiTheme="majorHAnsi"/>
                <w:noProof/>
                <w:webHidden/>
                <w:sz w:val="20"/>
                <w:szCs w:val="20"/>
              </w:rPr>
              <w:fldChar w:fldCharType="separate"/>
            </w:r>
            <w:r w:rsidR="00A666FF" w:rsidRPr="00062C3F">
              <w:rPr>
                <w:rFonts w:asciiTheme="majorHAnsi" w:hAnsiTheme="majorHAnsi"/>
                <w:noProof/>
                <w:webHidden/>
                <w:sz w:val="20"/>
                <w:szCs w:val="20"/>
              </w:rPr>
              <w:t>12</w:t>
            </w:r>
            <w:r w:rsidR="00A666FF" w:rsidRPr="00062C3F">
              <w:rPr>
                <w:rFonts w:asciiTheme="majorHAnsi" w:hAnsiTheme="majorHAnsi"/>
                <w:noProof/>
                <w:webHidden/>
                <w:sz w:val="20"/>
                <w:szCs w:val="20"/>
              </w:rPr>
              <w:fldChar w:fldCharType="end"/>
            </w:r>
          </w:hyperlink>
        </w:p>
        <w:p w14:paraId="7B27E307" w14:textId="77777777" w:rsidR="00A666FF" w:rsidRPr="00062C3F" w:rsidRDefault="00397E46" w:rsidP="00A666FF">
          <w:pPr>
            <w:pStyle w:val="TOC2"/>
            <w:tabs>
              <w:tab w:val="right" w:leader="dot" w:pos="9270"/>
            </w:tabs>
            <w:rPr>
              <w:rFonts w:asciiTheme="majorHAnsi" w:eastAsiaTheme="minorEastAsia" w:hAnsiTheme="majorHAnsi" w:cstheme="minorBidi"/>
              <w:noProof/>
              <w:sz w:val="20"/>
              <w:szCs w:val="20"/>
              <w:bdr w:val="none" w:sz="0" w:space="0" w:color="auto"/>
            </w:rPr>
          </w:pPr>
          <w:hyperlink w:anchor="_Toc523998362" w:history="1">
            <w:r w:rsidR="00A666FF" w:rsidRPr="00062C3F">
              <w:rPr>
                <w:rStyle w:val="Hyperlink"/>
                <w:rFonts w:asciiTheme="majorHAnsi" w:eastAsia="Times New Roman" w:hAnsiTheme="majorHAnsi"/>
                <w:noProof/>
                <w:sz w:val="20"/>
                <w:szCs w:val="20"/>
              </w:rPr>
              <w:t>B.</w:t>
            </w:r>
            <w:r w:rsidR="00A666FF" w:rsidRPr="00062C3F">
              <w:rPr>
                <w:rFonts w:asciiTheme="majorHAnsi" w:eastAsiaTheme="minorEastAsia" w:hAnsiTheme="majorHAnsi" w:cstheme="minorBidi"/>
                <w:noProof/>
                <w:sz w:val="20"/>
                <w:szCs w:val="20"/>
                <w:bdr w:val="none" w:sz="0" w:space="0" w:color="auto"/>
              </w:rPr>
              <w:tab/>
            </w:r>
            <w:r w:rsidR="00A666FF" w:rsidRPr="00062C3F">
              <w:rPr>
                <w:rStyle w:val="Hyperlink"/>
                <w:rFonts w:asciiTheme="majorHAnsi" w:eastAsia="Times New Roman" w:hAnsiTheme="majorHAnsi"/>
                <w:noProof/>
                <w:sz w:val="20"/>
                <w:szCs w:val="20"/>
              </w:rPr>
              <w:t>The rights to judicial protection and judicial guarantees</w:t>
            </w:r>
            <w:r w:rsidR="00A666FF" w:rsidRPr="00062C3F">
              <w:rPr>
                <w:rFonts w:asciiTheme="majorHAnsi" w:hAnsiTheme="majorHAnsi"/>
                <w:noProof/>
                <w:webHidden/>
                <w:sz w:val="20"/>
                <w:szCs w:val="20"/>
              </w:rPr>
              <w:tab/>
            </w:r>
            <w:r w:rsidR="00A666FF" w:rsidRPr="00062C3F">
              <w:rPr>
                <w:rFonts w:asciiTheme="majorHAnsi" w:hAnsiTheme="majorHAnsi"/>
                <w:noProof/>
                <w:webHidden/>
                <w:sz w:val="20"/>
                <w:szCs w:val="20"/>
              </w:rPr>
              <w:fldChar w:fldCharType="begin"/>
            </w:r>
            <w:r w:rsidR="00A666FF" w:rsidRPr="00062C3F">
              <w:rPr>
                <w:rFonts w:asciiTheme="majorHAnsi" w:hAnsiTheme="majorHAnsi"/>
                <w:noProof/>
                <w:webHidden/>
                <w:sz w:val="20"/>
                <w:szCs w:val="20"/>
              </w:rPr>
              <w:instrText xml:space="preserve"> PAGEREF _Toc523998362 \h </w:instrText>
            </w:r>
            <w:r w:rsidR="00A666FF" w:rsidRPr="00062C3F">
              <w:rPr>
                <w:rFonts w:asciiTheme="majorHAnsi" w:hAnsiTheme="majorHAnsi"/>
                <w:noProof/>
                <w:webHidden/>
                <w:sz w:val="20"/>
                <w:szCs w:val="20"/>
              </w:rPr>
            </w:r>
            <w:r w:rsidR="00A666FF" w:rsidRPr="00062C3F">
              <w:rPr>
                <w:rFonts w:asciiTheme="majorHAnsi" w:hAnsiTheme="majorHAnsi"/>
                <w:noProof/>
                <w:webHidden/>
                <w:sz w:val="20"/>
                <w:szCs w:val="20"/>
              </w:rPr>
              <w:fldChar w:fldCharType="separate"/>
            </w:r>
            <w:r w:rsidR="00A666FF" w:rsidRPr="00062C3F">
              <w:rPr>
                <w:rFonts w:asciiTheme="majorHAnsi" w:hAnsiTheme="majorHAnsi"/>
                <w:noProof/>
                <w:webHidden/>
                <w:sz w:val="20"/>
                <w:szCs w:val="20"/>
              </w:rPr>
              <w:t>13</w:t>
            </w:r>
            <w:r w:rsidR="00A666FF" w:rsidRPr="00062C3F">
              <w:rPr>
                <w:rFonts w:asciiTheme="majorHAnsi" w:hAnsiTheme="majorHAnsi"/>
                <w:noProof/>
                <w:webHidden/>
                <w:sz w:val="20"/>
                <w:szCs w:val="20"/>
              </w:rPr>
              <w:fldChar w:fldCharType="end"/>
            </w:r>
          </w:hyperlink>
        </w:p>
        <w:p w14:paraId="443D7882" w14:textId="77777777" w:rsidR="00A666FF" w:rsidRPr="00062C3F" w:rsidRDefault="00397E46" w:rsidP="00A666FF">
          <w:pPr>
            <w:pStyle w:val="TOC2"/>
            <w:tabs>
              <w:tab w:val="right" w:leader="dot" w:pos="9270"/>
            </w:tabs>
            <w:rPr>
              <w:rFonts w:asciiTheme="majorHAnsi" w:eastAsiaTheme="minorEastAsia" w:hAnsiTheme="majorHAnsi" w:cstheme="minorBidi"/>
              <w:noProof/>
              <w:sz w:val="20"/>
              <w:szCs w:val="20"/>
              <w:bdr w:val="none" w:sz="0" w:space="0" w:color="auto"/>
            </w:rPr>
          </w:pPr>
          <w:hyperlink w:anchor="_Toc523998363" w:history="1">
            <w:r w:rsidR="00A666FF" w:rsidRPr="00062C3F">
              <w:rPr>
                <w:rStyle w:val="Hyperlink"/>
                <w:rFonts w:asciiTheme="majorHAnsi" w:eastAsia="Times New Roman" w:hAnsiTheme="majorHAnsi"/>
                <w:noProof/>
                <w:sz w:val="20"/>
                <w:szCs w:val="20"/>
                <w:lang w:val="es-UY"/>
              </w:rPr>
              <w:t>1.</w:t>
            </w:r>
            <w:r w:rsidR="00A666FF" w:rsidRPr="00062C3F">
              <w:rPr>
                <w:rFonts w:asciiTheme="majorHAnsi" w:eastAsiaTheme="minorEastAsia" w:hAnsiTheme="majorHAnsi" w:cstheme="minorBidi"/>
                <w:noProof/>
                <w:sz w:val="20"/>
                <w:szCs w:val="20"/>
                <w:bdr w:val="none" w:sz="0" w:space="0" w:color="auto"/>
              </w:rPr>
              <w:tab/>
            </w:r>
            <w:r w:rsidR="00A666FF" w:rsidRPr="00062C3F">
              <w:rPr>
                <w:rStyle w:val="Hyperlink"/>
                <w:rFonts w:asciiTheme="majorHAnsi" w:eastAsia="Times New Roman" w:hAnsiTheme="majorHAnsi"/>
                <w:noProof/>
                <w:sz w:val="20"/>
                <w:szCs w:val="20"/>
              </w:rPr>
              <w:t>The lack of judicial protection</w:t>
            </w:r>
            <w:r w:rsidR="00A666FF" w:rsidRPr="00062C3F">
              <w:rPr>
                <w:rFonts w:asciiTheme="majorHAnsi" w:hAnsiTheme="majorHAnsi"/>
                <w:noProof/>
                <w:webHidden/>
                <w:sz w:val="20"/>
                <w:szCs w:val="20"/>
              </w:rPr>
              <w:tab/>
            </w:r>
            <w:r w:rsidR="00A666FF" w:rsidRPr="00062C3F">
              <w:rPr>
                <w:rFonts w:asciiTheme="majorHAnsi" w:hAnsiTheme="majorHAnsi"/>
                <w:noProof/>
                <w:webHidden/>
                <w:sz w:val="20"/>
                <w:szCs w:val="20"/>
              </w:rPr>
              <w:fldChar w:fldCharType="begin"/>
            </w:r>
            <w:r w:rsidR="00A666FF" w:rsidRPr="00062C3F">
              <w:rPr>
                <w:rFonts w:asciiTheme="majorHAnsi" w:hAnsiTheme="majorHAnsi"/>
                <w:noProof/>
                <w:webHidden/>
                <w:sz w:val="20"/>
                <w:szCs w:val="20"/>
              </w:rPr>
              <w:instrText xml:space="preserve"> PAGEREF _Toc523998363 \h </w:instrText>
            </w:r>
            <w:r w:rsidR="00A666FF" w:rsidRPr="00062C3F">
              <w:rPr>
                <w:rFonts w:asciiTheme="majorHAnsi" w:hAnsiTheme="majorHAnsi"/>
                <w:noProof/>
                <w:webHidden/>
                <w:sz w:val="20"/>
                <w:szCs w:val="20"/>
              </w:rPr>
            </w:r>
            <w:r w:rsidR="00A666FF" w:rsidRPr="00062C3F">
              <w:rPr>
                <w:rFonts w:asciiTheme="majorHAnsi" w:hAnsiTheme="majorHAnsi"/>
                <w:noProof/>
                <w:webHidden/>
                <w:sz w:val="20"/>
                <w:szCs w:val="20"/>
              </w:rPr>
              <w:fldChar w:fldCharType="separate"/>
            </w:r>
            <w:r w:rsidR="00A666FF" w:rsidRPr="00062C3F">
              <w:rPr>
                <w:rFonts w:asciiTheme="majorHAnsi" w:hAnsiTheme="majorHAnsi"/>
                <w:noProof/>
                <w:webHidden/>
                <w:sz w:val="20"/>
                <w:szCs w:val="20"/>
              </w:rPr>
              <w:t>14</w:t>
            </w:r>
            <w:r w:rsidR="00A666FF" w:rsidRPr="00062C3F">
              <w:rPr>
                <w:rFonts w:asciiTheme="majorHAnsi" w:hAnsiTheme="majorHAnsi"/>
                <w:noProof/>
                <w:webHidden/>
                <w:sz w:val="20"/>
                <w:szCs w:val="20"/>
              </w:rPr>
              <w:fldChar w:fldCharType="end"/>
            </w:r>
          </w:hyperlink>
        </w:p>
        <w:p w14:paraId="0544DB89" w14:textId="77777777" w:rsidR="00A666FF" w:rsidRPr="00062C3F" w:rsidRDefault="00397E46" w:rsidP="00A666FF">
          <w:pPr>
            <w:pStyle w:val="TOC2"/>
            <w:tabs>
              <w:tab w:val="right" w:leader="dot" w:pos="9270"/>
            </w:tabs>
            <w:rPr>
              <w:rFonts w:asciiTheme="majorHAnsi" w:eastAsiaTheme="minorEastAsia" w:hAnsiTheme="majorHAnsi" w:cstheme="minorBidi"/>
              <w:noProof/>
              <w:sz w:val="20"/>
              <w:szCs w:val="20"/>
              <w:bdr w:val="none" w:sz="0" w:space="0" w:color="auto"/>
            </w:rPr>
          </w:pPr>
          <w:hyperlink w:anchor="_Toc523998364" w:history="1">
            <w:r w:rsidR="00A666FF" w:rsidRPr="00062C3F">
              <w:rPr>
                <w:rStyle w:val="Hyperlink"/>
                <w:rFonts w:asciiTheme="majorHAnsi" w:eastAsia="Times New Roman" w:hAnsiTheme="majorHAnsi"/>
                <w:noProof/>
                <w:sz w:val="20"/>
                <w:szCs w:val="20"/>
                <w:lang w:val="es-UY"/>
              </w:rPr>
              <w:t>2.</w:t>
            </w:r>
            <w:r w:rsidR="00A666FF" w:rsidRPr="00062C3F">
              <w:rPr>
                <w:rFonts w:asciiTheme="majorHAnsi" w:eastAsiaTheme="minorEastAsia" w:hAnsiTheme="majorHAnsi" w:cstheme="minorBidi"/>
                <w:noProof/>
                <w:sz w:val="20"/>
                <w:szCs w:val="20"/>
                <w:bdr w:val="none" w:sz="0" w:space="0" w:color="auto"/>
              </w:rPr>
              <w:tab/>
            </w:r>
            <w:r w:rsidR="00A666FF" w:rsidRPr="00062C3F">
              <w:rPr>
                <w:rStyle w:val="Hyperlink"/>
                <w:rFonts w:asciiTheme="majorHAnsi" w:eastAsia="Times New Roman" w:hAnsiTheme="majorHAnsi"/>
                <w:noProof/>
                <w:sz w:val="20"/>
                <w:szCs w:val="20"/>
              </w:rPr>
              <w:t>Reasonable time in relation to the remedy of labor appeal</w:t>
            </w:r>
            <w:r w:rsidR="00A666FF" w:rsidRPr="00062C3F">
              <w:rPr>
                <w:rFonts w:asciiTheme="majorHAnsi" w:hAnsiTheme="majorHAnsi"/>
                <w:noProof/>
                <w:webHidden/>
                <w:sz w:val="20"/>
                <w:szCs w:val="20"/>
              </w:rPr>
              <w:tab/>
            </w:r>
            <w:r w:rsidR="00A666FF" w:rsidRPr="00062C3F">
              <w:rPr>
                <w:rFonts w:asciiTheme="majorHAnsi" w:hAnsiTheme="majorHAnsi"/>
                <w:noProof/>
                <w:webHidden/>
                <w:sz w:val="20"/>
                <w:szCs w:val="20"/>
              </w:rPr>
              <w:fldChar w:fldCharType="begin"/>
            </w:r>
            <w:r w:rsidR="00A666FF" w:rsidRPr="00062C3F">
              <w:rPr>
                <w:rFonts w:asciiTheme="majorHAnsi" w:hAnsiTheme="majorHAnsi"/>
                <w:noProof/>
                <w:webHidden/>
                <w:sz w:val="20"/>
                <w:szCs w:val="20"/>
              </w:rPr>
              <w:instrText xml:space="preserve"> PAGEREF _Toc523998364 \h </w:instrText>
            </w:r>
            <w:r w:rsidR="00A666FF" w:rsidRPr="00062C3F">
              <w:rPr>
                <w:rFonts w:asciiTheme="majorHAnsi" w:hAnsiTheme="majorHAnsi"/>
                <w:noProof/>
                <w:webHidden/>
                <w:sz w:val="20"/>
                <w:szCs w:val="20"/>
              </w:rPr>
            </w:r>
            <w:r w:rsidR="00A666FF" w:rsidRPr="00062C3F">
              <w:rPr>
                <w:rFonts w:asciiTheme="majorHAnsi" w:hAnsiTheme="majorHAnsi"/>
                <w:noProof/>
                <w:webHidden/>
                <w:sz w:val="20"/>
                <w:szCs w:val="20"/>
              </w:rPr>
              <w:fldChar w:fldCharType="separate"/>
            </w:r>
            <w:r w:rsidR="00A666FF" w:rsidRPr="00062C3F">
              <w:rPr>
                <w:rFonts w:asciiTheme="majorHAnsi" w:hAnsiTheme="majorHAnsi"/>
                <w:noProof/>
                <w:webHidden/>
                <w:sz w:val="20"/>
                <w:szCs w:val="20"/>
              </w:rPr>
              <w:t>15</w:t>
            </w:r>
            <w:r w:rsidR="00A666FF" w:rsidRPr="00062C3F">
              <w:rPr>
                <w:rFonts w:asciiTheme="majorHAnsi" w:hAnsiTheme="majorHAnsi"/>
                <w:noProof/>
                <w:webHidden/>
                <w:sz w:val="20"/>
                <w:szCs w:val="20"/>
              </w:rPr>
              <w:fldChar w:fldCharType="end"/>
            </w:r>
          </w:hyperlink>
        </w:p>
        <w:p w14:paraId="3DA6D51C" w14:textId="77777777" w:rsidR="00A666FF" w:rsidRPr="00062C3F" w:rsidRDefault="00397E46" w:rsidP="00A666FF">
          <w:pPr>
            <w:pStyle w:val="TOC2"/>
            <w:tabs>
              <w:tab w:val="right" w:leader="dot" w:pos="9270"/>
            </w:tabs>
            <w:rPr>
              <w:rFonts w:asciiTheme="majorHAnsi" w:eastAsiaTheme="minorEastAsia" w:hAnsiTheme="majorHAnsi" w:cstheme="minorBidi"/>
              <w:noProof/>
              <w:sz w:val="20"/>
              <w:szCs w:val="20"/>
              <w:bdr w:val="none" w:sz="0" w:space="0" w:color="auto"/>
            </w:rPr>
          </w:pPr>
          <w:hyperlink w:anchor="_Toc523998365" w:history="1">
            <w:r w:rsidR="00A666FF" w:rsidRPr="00062C3F">
              <w:rPr>
                <w:rStyle w:val="Hyperlink"/>
                <w:rFonts w:asciiTheme="majorHAnsi" w:eastAsia="Times New Roman" w:hAnsiTheme="majorHAnsi"/>
                <w:noProof/>
                <w:sz w:val="20"/>
                <w:szCs w:val="20"/>
              </w:rPr>
              <w:t>C.</w:t>
            </w:r>
            <w:r w:rsidR="00A666FF" w:rsidRPr="00062C3F">
              <w:rPr>
                <w:rFonts w:asciiTheme="majorHAnsi" w:eastAsiaTheme="minorEastAsia" w:hAnsiTheme="majorHAnsi" w:cstheme="minorBidi"/>
                <w:noProof/>
                <w:sz w:val="20"/>
                <w:szCs w:val="20"/>
                <w:bdr w:val="none" w:sz="0" w:space="0" w:color="auto"/>
              </w:rPr>
              <w:tab/>
            </w:r>
            <w:r w:rsidR="00A666FF" w:rsidRPr="00062C3F">
              <w:rPr>
                <w:rStyle w:val="Hyperlink"/>
                <w:rFonts w:asciiTheme="majorHAnsi" w:eastAsia="Times New Roman" w:hAnsiTheme="majorHAnsi"/>
                <w:noProof/>
                <w:sz w:val="20"/>
                <w:szCs w:val="20"/>
              </w:rPr>
              <w:t>Political rights</w:t>
            </w:r>
            <w:r w:rsidR="00A666FF" w:rsidRPr="00062C3F">
              <w:rPr>
                <w:rFonts w:asciiTheme="majorHAnsi" w:hAnsiTheme="majorHAnsi"/>
                <w:noProof/>
                <w:webHidden/>
                <w:sz w:val="20"/>
                <w:szCs w:val="20"/>
              </w:rPr>
              <w:tab/>
            </w:r>
            <w:r w:rsidR="00A666FF" w:rsidRPr="00062C3F">
              <w:rPr>
                <w:rFonts w:asciiTheme="majorHAnsi" w:hAnsiTheme="majorHAnsi"/>
                <w:noProof/>
                <w:webHidden/>
                <w:sz w:val="20"/>
                <w:szCs w:val="20"/>
              </w:rPr>
              <w:fldChar w:fldCharType="begin"/>
            </w:r>
            <w:r w:rsidR="00A666FF" w:rsidRPr="00062C3F">
              <w:rPr>
                <w:rFonts w:asciiTheme="majorHAnsi" w:hAnsiTheme="majorHAnsi"/>
                <w:noProof/>
                <w:webHidden/>
                <w:sz w:val="20"/>
                <w:szCs w:val="20"/>
              </w:rPr>
              <w:instrText xml:space="preserve"> PAGEREF _Toc523998365 \h </w:instrText>
            </w:r>
            <w:r w:rsidR="00A666FF" w:rsidRPr="00062C3F">
              <w:rPr>
                <w:rFonts w:asciiTheme="majorHAnsi" w:hAnsiTheme="majorHAnsi"/>
                <w:noProof/>
                <w:webHidden/>
                <w:sz w:val="20"/>
                <w:szCs w:val="20"/>
              </w:rPr>
            </w:r>
            <w:r w:rsidR="00A666FF" w:rsidRPr="00062C3F">
              <w:rPr>
                <w:rFonts w:asciiTheme="majorHAnsi" w:hAnsiTheme="majorHAnsi"/>
                <w:noProof/>
                <w:webHidden/>
                <w:sz w:val="20"/>
                <w:szCs w:val="20"/>
              </w:rPr>
              <w:fldChar w:fldCharType="separate"/>
            </w:r>
            <w:r w:rsidR="00A666FF" w:rsidRPr="00062C3F">
              <w:rPr>
                <w:rFonts w:asciiTheme="majorHAnsi" w:hAnsiTheme="majorHAnsi"/>
                <w:noProof/>
                <w:webHidden/>
                <w:sz w:val="20"/>
                <w:szCs w:val="20"/>
              </w:rPr>
              <w:t>16</w:t>
            </w:r>
            <w:r w:rsidR="00A666FF" w:rsidRPr="00062C3F">
              <w:rPr>
                <w:rFonts w:asciiTheme="majorHAnsi" w:hAnsiTheme="majorHAnsi"/>
                <w:noProof/>
                <w:webHidden/>
                <w:sz w:val="20"/>
                <w:szCs w:val="20"/>
              </w:rPr>
              <w:fldChar w:fldCharType="end"/>
            </w:r>
          </w:hyperlink>
        </w:p>
        <w:p w14:paraId="444A71CE" w14:textId="77777777" w:rsidR="00A666FF" w:rsidRPr="00A666FF" w:rsidRDefault="00397E46" w:rsidP="00A666FF">
          <w:pPr>
            <w:pStyle w:val="TOC1"/>
            <w:tabs>
              <w:tab w:val="left" w:pos="1440"/>
              <w:tab w:val="right" w:leader="dot" w:pos="9270"/>
            </w:tabs>
            <w:rPr>
              <w:rFonts w:asciiTheme="majorHAnsi" w:eastAsiaTheme="minorEastAsia" w:hAnsiTheme="majorHAnsi" w:cstheme="minorBidi"/>
              <w:noProof/>
              <w:sz w:val="20"/>
              <w:szCs w:val="20"/>
              <w:bdr w:val="none" w:sz="0" w:space="0" w:color="auto"/>
            </w:rPr>
          </w:pPr>
          <w:hyperlink w:anchor="_Toc523998366" w:history="1">
            <w:r w:rsidR="00A666FF" w:rsidRPr="00A666FF">
              <w:rPr>
                <w:rStyle w:val="Hyperlink"/>
                <w:rFonts w:asciiTheme="majorHAnsi" w:eastAsia="Times New Roman" w:hAnsiTheme="majorHAnsi"/>
                <w:b/>
                <w:noProof/>
                <w:sz w:val="20"/>
                <w:szCs w:val="20"/>
              </w:rPr>
              <w:t>V.</w:t>
            </w:r>
            <w:r w:rsidR="00A666FF" w:rsidRPr="00A666FF">
              <w:rPr>
                <w:rFonts w:asciiTheme="majorHAnsi" w:eastAsiaTheme="minorEastAsia" w:hAnsiTheme="majorHAnsi" w:cstheme="minorBidi"/>
                <w:b/>
                <w:noProof/>
                <w:sz w:val="20"/>
                <w:szCs w:val="20"/>
                <w:bdr w:val="none" w:sz="0" w:space="0" w:color="auto"/>
              </w:rPr>
              <w:tab/>
            </w:r>
            <w:r w:rsidR="00A666FF" w:rsidRPr="00A666FF">
              <w:rPr>
                <w:rStyle w:val="Hyperlink"/>
                <w:rFonts w:asciiTheme="majorHAnsi" w:eastAsia="Times New Roman" w:hAnsiTheme="majorHAnsi"/>
                <w:b/>
                <w:noProof/>
                <w:sz w:val="20"/>
                <w:szCs w:val="20"/>
              </w:rPr>
              <w:t>CONCLUSIONS AND RECOMMENDATIONS</w:t>
            </w:r>
            <w:r w:rsidR="00A666FF" w:rsidRPr="00A666FF">
              <w:rPr>
                <w:rFonts w:asciiTheme="majorHAnsi" w:hAnsiTheme="majorHAnsi"/>
                <w:noProof/>
                <w:webHidden/>
                <w:sz w:val="20"/>
                <w:szCs w:val="20"/>
              </w:rPr>
              <w:tab/>
            </w:r>
            <w:r w:rsidR="00A666FF" w:rsidRPr="00A666FF">
              <w:rPr>
                <w:rFonts w:asciiTheme="majorHAnsi" w:hAnsiTheme="majorHAnsi"/>
                <w:noProof/>
                <w:webHidden/>
                <w:sz w:val="20"/>
                <w:szCs w:val="20"/>
              </w:rPr>
              <w:fldChar w:fldCharType="begin"/>
            </w:r>
            <w:r w:rsidR="00A666FF" w:rsidRPr="00A666FF">
              <w:rPr>
                <w:rFonts w:asciiTheme="majorHAnsi" w:hAnsiTheme="majorHAnsi"/>
                <w:noProof/>
                <w:webHidden/>
                <w:sz w:val="20"/>
                <w:szCs w:val="20"/>
              </w:rPr>
              <w:instrText xml:space="preserve"> PAGEREF _Toc523998366 \h </w:instrText>
            </w:r>
            <w:r w:rsidR="00A666FF" w:rsidRPr="00A666FF">
              <w:rPr>
                <w:rFonts w:asciiTheme="majorHAnsi" w:hAnsiTheme="majorHAnsi"/>
                <w:noProof/>
                <w:webHidden/>
                <w:sz w:val="20"/>
                <w:szCs w:val="20"/>
              </w:rPr>
            </w:r>
            <w:r w:rsidR="00A666FF" w:rsidRPr="00A666FF">
              <w:rPr>
                <w:rFonts w:asciiTheme="majorHAnsi" w:hAnsiTheme="majorHAnsi"/>
                <w:noProof/>
                <w:webHidden/>
                <w:sz w:val="20"/>
                <w:szCs w:val="20"/>
              </w:rPr>
              <w:fldChar w:fldCharType="separate"/>
            </w:r>
            <w:r w:rsidR="00A666FF" w:rsidRPr="00A666FF">
              <w:rPr>
                <w:rFonts w:asciiTheme="majorHAnsi" w:hAnsiTheme="majorHAnsi"/>
                <w:noProof/>
                <w:webHidden/>
                <w:sz w:val="20"/>
                <w:szCs w:val="20"/>
              </w:rPr>
              <w:t>16</w:t>
            </w:r>
            <w:r w:rsidR="00A666FF" w:rsidRPr="00A666FF">
              <w:rPr>
                <w:rFonts w:asciiTheme="majorHAnsi" w:hAnsiTheme="majorHAnsi"/>
                <w:noProof/>
                <w:webHidden/>
                <w:sz w:val="20"/>
                <w:szCs w:val="20"/>
              </w:rPr>
              <w:fldChar w:fldCharType="end"/>
            </w:r>
          </w:hyperlink>
        </w:p>
        <w:p w14:paraId="65F79DE7" w14:textId="7011AD6D" w:rsidR="00F63C54" w:rsidRDefault="00F63C54">
          <w:r w:rsidRPr="00F63C54">
            <w:rPr>
              <w:rFonts w:asciiTheme="majorHAnsi" w:hAnsiTheme="majorHAnsi"/>
              <w:b/>
              <w:bCs/>
              <w:noProof/>
              <w:sz w:val="20"/>
              <w:szCs w:val="20"/>
            </w:rPr>
            <w:fldChar w:fldCharType="end"/>
          </w:r>
        </w:p>
      </w:sdtContent>
    </w:sdt>
    <w:p w14:paraId="5D09D91B" w14:textId="77777777" w:rsidR="00F63C54" w:rsidRDefault="00F63C54" w:rsidP="00F63C54">
      <w:pPr>
        <w:tabs>
          <w:tab w:val="center" w:pos="5400"/>
        </w:tabs>
        <w:suppressAutoHyphens/>
        <w:spacing w:line="276" w:lineRule="auto"/>
        <w:rPr>
          <w:rFonts w:asciiTheme="majorHAnsi" w:hAnsiTheme="majorHAnsi"/>
          <w:b/>
          <w:sz w:val="18"/>
          <w:szCs w:val="20"/>
        </w:rPr>
      </w:pPr>
    </w:p>
    <w:p w14:paraId="5DDACF2D" w14:textId="77777777" w:rsidR="00F63C54" w:rsidRDefault="00F63C54" w:rsidP="00105D7F">
      <w:pPr>
        <w:tabs>
          <w:tab w:val="center" w:pos="5400"/>
        </w:tabs>
        <w:suppressAutoHyphens/>
        <w:spacing w:line="276" w:lineRule="auto"/>
        <w:jc w:val="center"/>
        <w:rPr>
          <w:rFonts w:asciiTheme="majorHAnsi" w:hAnsiTheme="majorHAnsi"/>
          <w:b/>
          <w:sz w:val="18"/>
          <w:szCs w:val="20"/>
        </w:rPr>
      </w:pPr>
    </w:p>
    <w:p w14:paraId="2E4AE08B" w14:textId="77777777" w:rsidR="00F63C54" w:rsidRDefault="00F63C54" w:rsidP="00105D7F">
      <w:pPr>
        <w:tabs>
          <w:tab w:val="center" w:pos="5400"/>
        </w:tabs>
        <w:suppressAutoHyphens/>
        <w:spacing w:line="276" w:lineRule="auto"/>
        <w:jc w:val="center"/>
        <w:rPr>
          <w:rFonts w:asciiTheme="majorHAnsi" w:hAnsiTheme="majorHAnsi"/>
          <w:b/>
          <w:sz w:val="18"/>
          <w:szCs w:val="20"/>
        </w:rPr>
      </w:pPr>
    </w:p>
    <w:p w14:paraId="3B12F3B0" w14:textId="77777777" w:rsidR="00A666FF" w:rsidRDefault="00A666FF" w:rsidP="00105D7F">
      <w:pPr>
        <w:tabs>
          <w:tab w:val="center" w:pos="5400"/>
        </w:tabs>
        <w:suppressAutoHyphens/>
        <w:spacing w:line="276" w:lineRule="auto"/>
        <w:jc w:val="center"/>
        <w:rPr>
          <w:rFonts w:asciiTheme="majorHAnsi" w:hAnsiTheme="majorHAnsi"/>
          <w:b/>
          <w:sz w:val="18"/>
          <w:szCs w:val="20"/>
        </w:rPr>
      </w:pPr>
    </w:p>
    <w:p w14:paraId="611B7277" w14:textId="77777777" w:rsidR="00A666FF" w:rsidRDefault="00A666FF" w:rsidP="00105D7F">
      <w:pPr>
        <w:tabs>
          <w:tab w:val="center" w:pos="5400"/>
        </w:tabs>
        <w:suppressAutoHyphens/>
        <w:spacing w:line="276" w:lineRule="auto"/>
        <w:jc w:val="center"/>
        <w:rPr>
          <w:rFonts w:asciiTheme="majorHAnsi" w:hAnsiTheme="majorHAnsi"/>
          <w:b/>
          <w:sz w:val="18"/>
          <w:szCs w:val="20"/>
        </w:rPr>
      </w:pPr>
    </w:p>
    <w:p w14:paraId="75031CAA" w14:textId="77777777" w:rsidR="00A666FF" w:rsidRDefault="00A666FF" w:rsidP="00105D7F">
      <w:pPr>
        <w:tabs>
          <w:tab w:val="center" w:pos="5400"/>
        </w:tabs>
        <w:suppressAutoHyphens/>
        <w:spacing w:line="276" w:lineRule="auto"/>
        <w:jc w:val="center"/>
        <w:rPr>
          <w:rFonts w:asciiTheme="majorHAnsi" w:hAnsiTheme="majorHAnsi"/>
          <w:b/>
          <w:sz w:val="18"/>
          <w:szCs w:val="20"/>
        </w:rPr>
      </w:pPr>
    </w:p>
    <w:p w14:paraId="136F9302" w14:textId="77777777" w:rsidR="00A666FF" w:rsidRDefault="00A666FF" w:rsidP="00105D7F">
      <w:pPr>
        <w:tabs>
          <w:tab w:val="center" w:pos="5400"/>
        </w:tabs>
        <w:suppressAutoHyphens/>
        <w:spacing w:line="276" w:lineRule="auto"/>
        <w:jc w:val="center"/>
        <w:rPr>
          <w:rFonts w:asciiTheme="majorHAnsi" w:hAnsiTheme="majorHAnsi"/>
          <w:b/>
          <w:sz w:val="18"/>
          <w:szCs w:val="20"/>
        </w:rPr>
      </w:pPr>
    </w:p>
    <w:p w14:paraId="2AFD926D" w14:textId="77777777" w:rsidR="00A666FF" w:rsidRDefault="00A666FF" w:rsidP="00105D7F">
      <w:pPr>
        <w:tabs>
          <w:tab w:val="center" w:pos="5400"/>
        </w:tabs>
        <w:suppressAutoHyphens/>
        <w:spacing w:line="276" w:lineRule="auto"/>
        <w:jc w:val="center"/>
        <w:rPr>
          <w:rFonts w:asciiTheme="majorHAnsi" w:hAnsiTheme="majorHAnsi"/>
          <w:b/>
          <w:sz w:val="18"/>
          <w:szCs w:val="20"/>
        </w:rPr>
      </w:pPr>
    </w:p>
    <w:p w14:paraId="0994FD41" w14:textId="77777777" w:rsidR="00F63C54" w:rsidRDefault="00F63C54" w:rsidP="00105D7F">
      <w:pPr>
        <w:tabs>
          <w:tab w:val="center" w:pos="5400"/>
        </w:tabs>
        <w:suppressAutoHyphens/>
        <w:spacing w:line="276" w:lineRule="auto"/>
        <w:jc w:val="center"/>
        <w:rPr>
          <w:rFonts w:asciiTheme="majorHAnsi" w:hAnsiTheme="majorHAnsi"/>
          <w:b/>
          <w:sz w:val="18"/>
          <w:szCs w:val="20"/>
        </w:rPr>
      </w:pPr>
    </w:p>
    <w:p w14:paraId="2ACF4084" w14:textId="77777777" w:rsidR="00F63C54" w:rsidRDefault="00F63C54" w:rsidP="00A506F6">
      <w:pPr>
        <w:tabs>
          <w:tab w:val="center" w:pos="5400"/>
        </w:tabs>
        <w:suppressAutoHyphens/>
        <w:spacing w:line="276" w:lineRule="auto"/>
        <w:rPr>
          <w:rFonts w:asciiTheme="majorHAnsi" w:hAnsiTheme="majorHAnsi"/>
          <w:b/>
          <w:sz w:val="18"/>
          <w:szCs w:val="20"/>
        </w:rPr>
      </w:pPr>
    </w:p>
    <w:p w14:paraId="013EBFE1" w14:textId="1868F47A" w:rsidR="00105D7F" w:rsidRPr="00D02D3C" w:rsidRDefault="00B153E5" w:rsidP="00105D7F">
      <w:pPr>
        <w:tabs>
          <w:tab w:val="center" w:pos="5400"/>
        </w:tabs>
        <w:suppressAutoHyphens/>
        <w:spacing w:line="276" w:lineRule="auto"/>
        <w:jc w:val="center"/>
        <w:rPr>
          <w:rFonts w:asciiTheme="majorHAnsi" w:hAnsiTheme="majorHAnsi"/>
          <w:b/>
          <w:sz w:val="18"/>
          <w:szCs w:val="20"/>
          <w:lang w:val="pt-BR"/>
        </w:rPr>
      </w:pPr>
      <w:r w:rsidRPr="00D02D3C">
        <w:rPr>
          <w:rFonts w:asciiTheme="majorHAnsi" w:hAnsiTheme="majorHAnsi"/>
          <w:b/>
          <w:sz w:val="18"/>
          <w:szCs w:val="20"/>
          <w:lang w:val="pt-BR"/>
        </w:rPr>
        <w:lastRenderedPageBreak/>
        <w:t xml:space="preserve">REPORT </w:t>
      </w:r>
      <w:r w:rsidR="00105D7F" w:rsidRPr="00D02D3C">
        <w:rPr>
          <w:rFonts w:asciiTheme="majorHAnsi" w:hAnsiTheme="majorHAnsi"/>
          <w:b/>
          <w:sz w:val="18"/>
          <w:szCs w:val="20"/>
          <w:lang w:val="pt-BR"/>
        </w:rPr>
        <w:t xml:space="preserve">No. </w:t>
      </w:r>
      <w:r w:rsidR="00DE4AA5">
        <w:rPr>
          <w:rFonts w:asciiTheme="majorHAnsi" w:hAnsiTheme="majorHAnsi"/>
          <w:b/>
          <w:sz w:val="18"/>
          <w:szCs w:val="20"/>
          <w:lang w:val="pt-BR"/>
        </w:rPr>
        <w:t>109</w:t>
      </w:r>
      <w:r w:rsidR="00105D7F" w:rsidRPr="00D02D3C">
        <w:rPr>
          <w:rFonts w:asciiTheme="majorHAnsi" w:hAnsiTheme="majorHAnsi"/>
          <w:b/>
          <w:sz w:val="18"/>
          <w:szCs w:val="20"/>
          <w:lang w:val="pt-BR"/>
        </w:rPr>
        <w:t>/18</w:t>
      </w:r>
    </w:p>
    <w:p w14:paraId="5F53CD2A" w14:textId="00F1B2CC" w:rsidR="00105D7F" w:rsidRPr="00D02D3C" w:rsidRDefault="00B153E5" w:rsidP="00105D7F">
      <w:pPr>
        <w:tabs>
          <w:tab w:val="center" w:pos="5400"/>
        </w:tabs>
        <w:suppressAutoHyphens/>
        <w:spacing w:line="276" w:lineRule="auto"/>
        <w:jc w:val="center"/>
        <w:rPr>
          <w:rFonts w:asciiTheme="majorHAnsi" w:hAnsiTheme="majorHAnsi"/>
          <w:b/>
          <w:sz w:val="18"/>
          <w:szCs w:val="20"/>
          <w:lang w:val="pt-BR"/>
        </w:rPr>
      </w:pPr>
      <w:r w:rsidRPr="00D02D3C">
        <w:rPr>
          <w:rFonts w:asciiTheme="majorHAnsi" w:hAnsiTheme="majorHAnsi"/>
          <w:b/>
          <w:sz w:val="18"/>
          <w:szCs w:val="20"/>
          <w:lang w:val="pt-BR"/>
        </w:rPr>
        <w:t>CASE</w:t>
      </w:r>
      <w:r w:rsidR="00D02D3C" w:rsidRPr="00D02D3C">
        <w:rPr>
          <w:rFonts w:asciiTheme="majorHAnsi" w:hAnsiTheme="majorHAnsi"/>
          <w:b/>
          <w:sz w:val="18"/>
          <w:szCs w:val="20"/>
          <w:lang w:val="pt-BR"/>
        </w:rPr>
        <w:t xml:space="preserve"> 12.870</w:t>
      </w:r>
    </w:p>
    <w:p w14:paraId="2CF2A777" w14:textId="77777777" w:rsidR="00105D7F" w:rsidRPr="00D02D3C" w:rsidRDefault="00B153E5" w:rsidP="00105D7F">
      <w:pPr>
        <w:tabs>
          <w:tab w:val="center" w:pos="5400"/>
        </w:tabs>
        <w:suppressAutoHyphens/>
        <w:spacing w:line="276" w:lineRule="auto"/>
        <w:jc w:val="center"/>
        <w:rPr>
          <w:rFonts w:asciiTheme="majorHAnsi" w:hAnsiTheme="majorHAnsi"/>
          <w:sz w:val="18"/>
          <w:szCs w:val="20"/>
          <w:lang w:val="pt-BR"/>
        </w:rPr>
      </w:pPr>
      <w:r w:rsidRPr="00D02D3C">
        <w:rPr>
          <w:rFonts w:asciiTheme="majorHAnsi" w:hAnsiTheme="majorHAnsi"/>
          <w:sz w:val="18"/>
          <w:szCs w:val="20"/>
          <w:lang w:val="pt-BR"/>
        </w:rPr>
        <w:t xml:space="preserve">MERITS </w:t>
      </w:r>
    </w:p>
    <w:p w14:paraId="740F520D" w14:textId="4FB2435B" w:rsidR="00105D7F" w:rsidRPr="00D02D3C" w:rsidRDefault="00D02D3C" w:rsidP="00105D7F">
      <w:pPr>
        <w:tabs>
          <w:tab w:val="center" w:pos="5400"/>
        </w:tabs>
        <w:suppressAutoHyphens/>
        <w:spacing w:line="276" w:lineRule="auto"/>
        <w:jc w:val="center"/>
        <w:rPr>
          <w:rFonts w:asciiTheme="majorHAnsi" w:hAnsiTheme="majorHAnsi"/>
          <w:sz w:val="18"/>
          <w:szCs w:val="20"/>
          <w:lang w:val="pt-BR"/>
        </w:rPr>
      </w:pPr>
      <w:r w:rsidRPr="00D02D3C">
        <w:rPr>
          <w:rFonts w:asciiTheme="majorHAnsi" w:hAnsiTheme="majorHAnsi"/>
          <w:sz w:val="18"/>
          <w:szCs w:val="20"/>
          <w:lang w:val="pt-BR"/>
        </w:rPr>
        <w:t>YENINA ESTHER MARTINEZ ESQUIVIA</w:t>
      </w:r>
    </w:p>
    <w:p w14:paraId="71B27E26" w14:textId="77777777" w:rsidR="00D02D3C" w:rsidRPr="00181F67" w:rsidRDefault="00D02D3C" w:rsidP="00D02D3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sz w:val="20"/>
          <w:szCs w:val="20"/>
          <w:bdr w:val="none" w:sz="0" w:space="0" w:color="auto"/>
        </w:rPr>
      </w:pPr>
      <w:r w:rsidRPr="00181F67">
        <w:rPr>
          <w:rFonts w:asciiTheme="majorHAnsi" w:eastAsia="Times New Roman" w:hAnsiTheme="majorHAnsi"/>
          <w:sz w:val="20"/>
          <w:szCs w:val="20"/>
          <w:bdr w:val="none" w:sz="0" w:space="0" w:color="auto"/>
        </w:rPr>
        <w:t>COLOMBIA</w:t>
      </w:r>
      <w:r w:rsidRPr="00181F67">
        <w:rPr>
          <w:rStyle w:val="FootnoteReference"/>
          <w:rFonts w:asciiTheme="majorHAnsi" w:hAnsiTheme="majorHAnsi"/>
          <w:sz w:val="20"/>
          <w:szCs w:val="20"/>
        </w:rPr>
        <w:footnoteReference w:id="2"/>
      </w:r>
    </w:p>
    <w:p w14:paraId="679E6460" w14:textId="77777777" w:rsidR="00D02D3C" w:rsidRPr="00181F67" w:rsidRDefault="00D02D3C" w:rsidP="00D02D3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sz w:val="20"/>
          <w:szCs w:val="20"/>
          <w:bdr w:val="none" w:sz="0" w:space="0" w:color="auto"/>
        </w:rPr>
      </w:pPr>
      <w:r w:rsidRPr="00181F67">
        <w:rPr>
          <w:rFonts w:asciiTheme="majorHAnsi" w:eastAsia="Times New Roman" w:hAnsiTheme="majorHAnsi"/>
          <w:sz w:val="20"/>
          <w:szCs w:val="20"/>
          <w:bdr w:val="none" w:sz="0" w:space="0" w:color="auto"/>
        </w:rPr>
        <w:t>XXX XX, 2018</w:t>
      </w:r>
    </w:p>
    <w:p w14:paraId="7A793F2A" w14:textId="77777777" w:rsidR="00C55560" w:rsidRDefault="00C55560" w:rsidP="00D02D3C">
      <w:pPr>
        <w:tabs>
          <w:tab w:val="center" w:pos="5400"/>
        </w:tabs>
        <w:suppressAutoHyphens/>
        <w:spacing w:line="276" w:lineRule="auto"/>
        <w:rPr>
          <w:rFonts w:asciiTheme="majorHAnsi" w:eastAsiaTheme="majorEastAsia" w:hAnsiTheme="majorHAnsi" w:cstheme="majorBidi"/>
          <w:b/>
          <w:bCs/>
          <w:sz w:val="20"/>
          <w:szCs w:val="20"/>
        </w:rPr>
      </w:pPr>
    </w:p>
    <w:p w14:paraId="512EE248" w14:textId="77777777" w:rsidR="00D02D3C" w:rsidRPr="00D02D3C" w:rsidRDefault="00D02D3C" w:rsidP="00D02D3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sz w:val="20"/>
          <w:szCs w:val="20"/>
          <w:bdr w:val="none" w:sz="0" w:space="0" w:color="auto"/>
        </w:rPr>
      </w:pPr>
    </w:p>
    <w:p w14:paraId="0EABC784" w14:textId="77777777" w:rsidR="00D02D3C" w:rsidRPr="00D02D3C" w:rsidRDefault="00D02D3C" w:rsidP="000A566E">
      <w:pPr>
        <w:keepNext/>
        <w:keepLines/>
        <w:numPr>
          <w:ilvl w:val="0"/>
          <w:numId w:val="66"/>
        </w:numPr>
        <w:ind w:left="630" w:firstLine="0"/>
        <w:outlineLvl w:val="0"/>
        <w:rPr>
          <w:rFonts w:ascii="Cambria" w:eastAsiaTheme="majorEastAsia" w:hAnsi="Cambria" w:cstheme="majorBidi"/>
          <w:b/>
          <w:bCs/>
          <w:sz w:val="20"/>
          <w:szCs w:val="20"/>
        </w:rPr>
      </w:pPr>
      <w:bookmarkStart w:id="0" w:name="_Toc370840743"/>
      <w:bookmarkStart w:id="1" w:name="_Toc370840839"/>
      <w:bookmarkStart w:id="2" w:name="_Toc423514405"/>
      <w:bookmarkStart w:id="3" w:name="_Toc433115981"/>
      <w:bookmarkStart w:id="4" w:name="_Toc444958124"/>
      <w:bookmarkStart w:id="5" w:name="_Toc479004109"/>
      <w:bookmarkStart w:id="6" w:name="_Toc491078407"/>
      <w:bookmarkStart w:id="7" w:name="_Toc522484027"/>
      <w:bookmarkStart w:id="8" w:name="_Toc523998346"/>
      <w:r w:rsidRPr="00D02D3C">
        <w:rPr>
          <w:rFonts w:ascii="Cambria" w:eastAsiaTheme="majorEastAsia" w:hAnsi="Cambria" w:cstheme="majorBidi"/>
          <w:b/>
          <w:bCs/>
          <w:sz w:val="20"/>
          <w:szCs w:val="20"/>
        </w:rPr>
        <w:t>SU</w:t>
      </w:r>
      <w:bookmarkEnd w:id="0"/>
      <w:bookmarkEnd w:id="1"/>
      <w:bookmarkEnd w:id="2"/>
      <w:bookmarkEnd w:id="3"/>
      <w:bookmarkEnd w:id="4"/>
      <w:bookmarkEnd w:id="5"/>
      <w:bookmarkEnd w:id="6"/>
      <w:r w:rsidRPr="00D02D3C">
        <w:rPr>
          <w:rFonts w:ascii="Cambria" w:eastAsiaTheme="majorEastAsia" w:hAnsi="Cambria" w:cstheme="majorBidi"/>
          <w:b/>
          <w:bCs/>
          <w:sz w:val="20"/>
          <w:szCs w:val="20"/>
        </w:rPr>
        <w:t>MMARY</w:t>
      </w:r>
      <w:bookmarkEnd w:id="7"/>
      <w:bookmarkEnd w:id="8"/>
    </w:p>
    <w:p w14:paraId="6F11C0E2" w14:textId="77777777" w:rsidR="00D02D3C" w:rsidRPr="00D02D3C" w:rsidRDefault="00D02D3C" w:rsidP="00D02D3C">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hAnsi="Cambria"/>
          <w:sz w:val="20"/>
          <w:szCs w:val="20"/>
        </w:rPr>
      </w:pPr>
    </w:p>
    <w:p w14:paraId="17218535" w14:textId="77777777" w:rsidR="00D02D3C" w:rsidRPr="00D02D3C" w:rsidRDefault="00D02D3C" w:rsidP="000A566E">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color w:val="000000" w:themeColor="text1"/>
          <w:sz w:val="20"/>
          <w:szCs w:val="20"/>
        </w:rPr>
      </w:pPr>
      <w:r w:rsidRPr="00D02D3C">
        <w:rPr>
          <w:rFonts w:ascii="Cambria" w:hAnsi="Cambria"/>
          <w:color w:val="000000" w:themeColor="text1"/>
          <w:sz w:val="20"/>
          <w:szCs w:val="20"/>
        </w:rPr>
        <w:t xml:space="preserve">On December </w:t>
      </w:r>
      <w:r w:rsidRPr="00D02D3C">
        <w:rPr>
          <w:rFonts w:ascii="Cambria" w:hAnsi="Cambria"/>
          <w:sz w:val="20"/>
          <w:szCs w:val="20"/>
        </w:rPr>
        <w:t>22, 2005, the Inter-American Commission on Human Rights (hereinafter “the Inter-American Commission,” “the Commission,” or “the IACHR”</w:t>
      </w:r>
      <w:r w:rsidRPr="00D02D3C">
        <w:rPr>
          <w:rFonts w:ascii="Cambria" w:hAnsi="Cambria"/>
          <w:color w:val="000000" w:themeColor="text1"/>
          <w:sz w:val="20"/>
          <w:szCs w:val="20"/>
        </w:rPr>
        <w:t xml:space="preserve">) received a petition lodged by </w:t>
      </w:r>
      <w:proofErr w:type="spellStart"/>
      <w:r w:rsidRPr="00D02D3C">
        <w:rPr>
          <w:rFonts w:ascii="Cambria" w:hAnsi="Cambria"/>
          <w:color w:val="000000" w:themeColor="text1"/>
          <w:sz w:val="20"/>
          <w:szCs w:val="20"/>
        </w:rPr>
        <w:t>Yenina</w:t>
      </w:r>
      <w:proofErr w:type="spellEnd"/>
      <w:r w:rsidRPr="00D02D3C">
        <w:rPr>
          <w:rFonts w:ascii="Cambria" w:hAnsi="Cambria"/>
          <w:color w:val="000000" w:themeColor="text1"/>
          <w:sz w:val="20"/>
          <w:szCs w:val="20"/>
        </w:rPr>
        <w:t xml:space="preserve"> Esther </w:t>
      </w:r>
      <w:proofErr w:type="spellStart"/>
      <w:r w:rsidRPr="00D02D3C">
        <w:rPr>
          <w:rFonts w:ascii="Cambria" w:hAnsi="Cambria"/>
          <w:sz w:val="20"/>
          <w:szCs w:val="20"/>
        </w:rPr>
        <w:t>Martínez</w:t>
      </w:r>
      <w:proofErr w:type="spellEnd"/>
      <w:r w:rsidRPr="00D02D3C">
        <w:rPr>
          <w:rFonts w:ascii="Cambria" w:hAnsi="Cambria"/>
          <w:sz w:val="20"/>
          <w:szCs w:val="20"/>
        </w:rPr>
        <w:t xml:space="preserve"> </w:t>
      </w:r>
      <w:proofErr w:type="spellStart"/>
      <w:r w:rsidRPr="00D02D3C">
        <w:rPr>
          <w:rFonts w:ascii="Cambria" w:hAnsi="Cambria"/>
          <w:sz w:val="20"/>
          <w:szCs w:val="20"/>
        </w:rPr>
        <w:t>Esquivia</w:t>
      </w:r>
      <w:proofErr w:type="spellEnd"/>
      <w:r w:rsidRPr="00D02D3C">
        <w:rPr>
          <w:rFonts w:ascii="Cambria" w:hAnsi="Cambria"/>
          <w:sz w:val="20"/>
          <w:szCs w:val="20"/>
        </w:rPr>
        <w:t xml:space="preserve"> (hereinafter “the petitioner”) alleging the international responsibility of the Republic of Colombia (hereinafter “the Colombian State,” “the State,” “or “Colombia”). </w:t>
      </w:r>
    </w:p>
    <w:p w14:paraId="7BFFF354" w14:textId="77777777" w:rsidR="00D02D3C" w:rsidRPr="00D02D3C" w:rsidRDefault="00D02D3C" w:rsidP="00D02D3C">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630"/>
        <w:jc w:val="both"/>
        <w:rPr>
          <w:rFonts w:ascii="Cambria" w:hAnsi="Cambria"/>
          <w:color w:val="000000" w:themeColor="text1"/>
          <w:sz w:val="20"/>
          <w:szCs w:val="20"/>
        </w:rPr>
      </w:pPr>
    </w:p>
    <w:p w14:paraId="2526DCBF" w14:textId="77777777" w:rsidR="00D02D3C" w:rsidRPr="00D02D3C" w:rsidRDefault="00D02D3C" w:rsidP="000A566E">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color w:val="000000" w:themeColor="text1"/>
          <w:sz w:val="20"/>
          <w:szCs w:val="20"/>
        </w:rPr>
      </w:pPr>
      <w:r w:rsidRPr="00D02D3C">
        <w:rPr>
          <w:rFonts w:ascii="Cambria" w:hAnsi="Cambria"/>
          <w:color w:val="000000" w:themeColor="text1"/>
          <w:sz w:val="20"/>
          <w:szCs w:val="20"/>
        </w:rPr>
        <w:t xml:space="preserve">The Commission adopted admissibility report No. </w:t>
      </w:r>
      <w:r w:rsidRPr="00D02D3C">
        <w:rPr>
          <w:rFonts w:ascii="Cambria" w:hAnsi="Cambria"/>
          <w:sz w:val="20"/>
          <w:szCs w:val="20"/>
        </w:rPr>
        <w:t>62/12 on March 20, 2012.</w:t>
      </w:r>
      <w:r w:rsidRPr="00D02D3C">
        <w:rPr>
          <w:rFonts w:ascii="Cambria" w:hAnsi="Cambria"/>
          <w:sz w:val="20"/>
          <w:szCs w:val="20"/>
          <w:vertAlign w:val="superscript"/>
        </w:rPr>
        <w:footnoteReference w:id="3"/>
      </w:r>
      <w:r w:rsidRPr="00D02D3C">
        <w:rPr>
          <w:rFonts w:ascii="Cambria" w:hAnsi="Cambria"/>
          <w:sz w:val="20"/>
          <w:szCs w:val="20"/>
        </w:rPr>
        <w:t xml:space="preserve"> On April 10, 2012 the Commission notified the parties of that report and placed itself at their disposal to pursue a friendly settlement, yet the parties did not agree to pursue such a settlement. The parties had the terms provided in the Commission’s Rules of Procedure for filing their additional observations on the merits. All the information received by one party was duly forwarded to the other. </w:t>
      </w:r>
    </w:p>
    <w:p w14:paraId="5EEF4F58" w14:textId="77777777" w:rsidR="00D02D3C" w:rsidRPr="00D02D3C" w:rsidRDefault="00D02D3C" w:rsidP="00D02D3C">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suppressAutoHyphens/>
        <w:jc w:val="both"/>
        <w:rPr>
          <w:rFonts w:ascii="Cambria" w:hAnsi="Cambria"/>
          <w:sz w:val="20"/>
          <w:szCs w:val="20"/>
        </w:rPr>
      </w:pPr>
    </w:p>
    <w:p w14:paraId="1DC3D982" w14:textId="77777777" w:rsidR="00D02D3C" w:rsidRPr="00D02D3C" w:rsidRDefault="00D02D3C" w:rsidP="000A566E">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color w:val="000000" w:themeColor="text1"/>
          <w:sz w:val="20"/>
          <w:szCs w:val="20"/>
        </w:rPr>
      </w:pPr>
      <w:r w:rsidRPr="00D02D3C">
        <w:rPr>
          <w:rFonts w:ascii="Cambria" w:hAnsi="Cambria"/>
          <w:color w:val="000000" w:themeColor="text1"/>
          <w:sz w:val="20"/>
          <w:szCs w:val="20"/>
        </w:rPr>
        <w:t>The petitioner alleged that she was terminated in her position as Delegate Prosecutor before the Criminal Courts of the Circuit of Cartagena, without any explanation or due process. She also indicated that her termination occurred after having participated in an investigation related to the criminal offense of breach of public duty (</w:t>
      </w:r>
      <w:proofErr w:type="spellStart"/>
      <w:r w:rsidRPr="00D02D3C">
        <w:rPr>
          <w:rFonts w:ascii="Cambria" w:hAnsi="Cambria"/>
          <w:i/>
          <w:iCs/>
          <w:color w:val="000000" w:themeColor="text1"/>
          <w:sz w:val="20"/>
          <w:szCs w:val="20"/>
        </w:rPr>
        <w:t>prevaricato</w:t>
      </w:r>
      <w:proofErr w:type="spellEnd"/>
      <w:r w:rsidRPr="00D02D3C">
        <w:rPr>
          <w:rFonts w:ascii="Cambria" w:hAnsi="Cambria"/>
          <w:color w:val="000000" w:themeColor="text1"/>
          <w:sz w:val="20"/>
          <w:szCs w:val="20"/>
        </w:rPr>
        <w:t>) that she was pursuing against an official who granted a license to build a sanitary landfill without carrying out the prior consultation with the communities affected.</w:t>
      </w:r>
    </w:p>
    <w:p w14:paraId="7D7C1156" w14:textId="77777777" w:rsidR="00D02D3C" w:rsidRPr="00D02D3C" w:rsidRDefault="00D02D3C" w:rsidP="00D02D3C">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630"/>
        <w:jc w:val="both"/>
        <w:rPr>
          <w:rFonts w:ascii="Cambria" w:hAnsi="Cambria"/>
          <w:color w:val="000000" w:themeColor="text1"/>
          <w:sz w:val="20"/>
          <w:szCs w:val="20"/>
        </w:rPr>
      </w:pPr>
    </w:p>
    <w:p w14:paraId="1BB20A87" w14:textId="77777777" w:rsidR="00D02D3C" w:rsidRPr="00D02D3C" w:rsidRDefault="00D02D3C" w:rsidP="000A566E">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sz w:val="20"/>
          <w:szCs w:val="20"/>
        </w:rPr>
      </w:pPr>
      <w:r w:rsidRPr="00D02D3C">
        <w:rPr>
          <w:rFonts w:ascii="Cambria" w:hAnsi="Cambria"/>
          <w:sz w:val="20"/>
          <w:szCs w:val="20"/>
        </w:rPr>
        <w:t xml:space="preserve">The State argued that the Attorney General of the Nation has the power to remove prosecutors appointed provisionally at his discretion, that these acts do not require any explanation, and that they are presumably legal. It said that the presumption of legality may be refuted by the official affected in cases of abuse of authority, by filing a motion for nullity before the contentious-administrative jurisdiction, but that said remedy was filed after it was time-barred. It argued that the alleged victim’s rights to judicial guarantees and judicial protection were not violated.  </w:t>
      </w:r>
    </w:p>
    <w:p w14:paraId="184AA14E" w14:textId="77777777" w:rsidR="00D02D3C" w:rsidRPr="00D02D3C" w:rsidRDefault="00D02D3C" w:rsidP="00D02D3C">
      <w:pPr>
        <w:ind w:left="720"/>
        <w:rPr>
          <w:rFonts w:ascii="Cambria" w:eastAsia="Cambria" w:hAnsi="Cambria" w:cs="Cambria"/>
          <w:color w:val="000000" w:themeColor="text1"/>
          <w:sz w:val="20"/>
          <w:szCs w:val="20"/>
          <w:u w:color="000000"/>
          <w:lang w:eastAsia="es-ES"/>
        </w:rPr>
      </w:pPr>
    </w:p>
    <w:p w14:paraId="021AF306" w14:textId="77777777" w:rsidR="00D02D3C" w:rsidRPr="00D02D3C" w:rsidRDefault="00D02D3C" w:rsidP="000A566E">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sz w:val="20"/>
          <w:szCs w:val="20"/>
        </w:rPr>
      </w:pPr>
      <w:r w:rsidRPr="00D02D3C">
        <w:rPr>
          <w:rFonts w:ascii="Cambria" w:hAnsi="Cambria"/>
          <w:color w:val="000000" w:themeColor="text1"/>
          <w:sz w:val="20"/>
          <w:szCs w:val="20"/>
        </w:rPr>
        <w:t xml:space="preserve">Based on the determinations of fact and law, the Inter-American Commission concluded that the Colombian State is responsible for violations of Article 8(1), 8(2)(b), 8(2)(c) (judicial guarantees), Article 9 (freedom from ex post facto laws), Article 23(1)(c) (political rights), and Article 25(1) (judicial protection) of the American Convention on Human Rights (hereinafter “the American Convention” or “the Convention”), in relation to the obligations established at Articles </w:t>
      </w:r>
      <w:r w:rsidRPr="00D02D3C">
        <w:rPr>
          <w:rFonts w:ascii="Cambria" w:hAnsi="Cambria"/>
          <w:sz w:val="20"/>
          <w:szCs w:val="20"/>
        </w:rPr>
        <w:t xml:space="preserve">1(1) and 2 of the same instrument. The Commission then made its recommendations. </w:t>
      </w:r>
    </w:p>
    <w:p w14:paraId="5EE9DDCE" w14:textId="77777777" w:rsidR="00D02D3C" w:rsidRPr="00D02D3C" w:rsidRDefault="00D02D3C" w:rsidP="00D02D3C">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eastAsia="Calibri" w:hAnsiTheme="majorHAnsi"/>
          <w:sz w:val="20"/>
          <w:szCs w:val="20"/>
          <w:highlight w:val="yellow"/>
        </w:rPr>
      </w:pPr>
    </w:p>
    <w:p w14:paraId="4CEF239F" w14:textId="77777777" w:rsidR="00D02D3C" w:rsidRPr="00D02D3C" w:rsidRDefault="00D02D3C" w:rsidP="000A566E">
      <w:pPr>
        <w:keepNext/>
        <w:numPr>
          <w:ilvl w:val="0"/>
          <w:numId w:val="66"/>
        </w:numPr>
        <w:pBdr>
          <w:top w:val="none" w:sz="0" w:space="0" w:color="auto"/>
          <w:left w:val="none" w:sz="0" w:space="0" w:color="auto"/>
          <w:bottom w:val="none" w:sz="0" w:space="0" w:color="auto"/>
          <w:right w:val="none" w:sz="0" w:space="0" w:color="auto"/>
          <w:between w:val="none" w:sz="0" w:space="0" w:color="auto"/>
          <w:bar w:val="none" w:sz="0" w:color="auto"/>
        </w:pBdr>
        <w:ind w:hanging="810"/>
        <w:outlineLvl w:val="0"/>
        <w:rPr>
          <w:rFonts w:asciiTheme="majorHAnsi" w:eastAsia="Times New Roman" w:hAnsiTheme="majorHAnsi"/>
          <w:b/>
          <w:sz w:val="20"/>
          <w:szCs w:val="20"/>
          <w:bdr w:val="none" w:sz="0" w:space="0" w:color="auto"/>
        </w:rPr>
      </w:pPr>
      <w:bookmarkStart w:id="9" w:name="_Toc522484028"/>
      <w:bookmarkStart w:id="10" w:name="_Toc523998347"/>
      <w:bookmarkStart w:id="11" w:name="_Toc491078408"/>
      <w:bookmarkStart w:id="12" w:name="_Toc370840745"/>
      <w:bookmarkStart w:id="13" w:name="_Toc370840841"/>
      <w:r w:rsidRPr="00D02D3C">
        <w:rPr>
          <w:rFonts w:asciiTheme="majorHAnsi" w:eastAsia="Times New Roman" w:hAnsiTheme="majorHAnsi"/>
          <w:b/>
          <w:sz w:val="20"/>
          <w:szCs w:val="20"/>
          <w:bdr w:val="none" w:sz="0" w:space="0" w:color="auto"/>
        </w:rPr>
        <w:t>ARGUMENTS OF THE PARTIES</w:t>
      </w:r>
      <w:bookmarkEnd w:id="9"/>
      <w:bookmarkEnd w:id="10"/>
      <w:r w:rsidRPr="00D02D3C">
        <w:rPr>
          <w:rFonts w:asciiTheme="majorHAnsi" w:eastAsia="Times New Roman" w:hAnsiTheme="majorHAnsi"/>
          <w:b/>
          <w:sz w:val="20"/>
          <w:szCs w:val="20"/>
          <w:bdr w:val="none" w:sz="0" w:space="0" w:color="auto"/>
        </w:rPr>
        <w:t xml:space="preserve"> </w:t>
      </w:r>
      <w:bookmarkEnd w:id="11"/>
      <w:bookmarkEnd w:id="12"/>
      <w:bookmarkEnd w:id="13"/>
    </w:p>
    <w:p w14:paraId="0D3657F1" w14:textId="77777777" w:rsidR="00D02D3C" w:rsidRPr="00D02D3C" w:rsidRDefault="00D02D3C" w:rsidP="00D02D3C">
      <w:pPr>
        <w:rPr>
          <w:rFonts w:asciiTheme="majorHAnsi" w:hAnsiTheme="majorHAnsi"/>
          <w:sz w:val="20"/>
          <w:szCs w:val="20"/>
        </w:rPr>
      </w:pPr>
    </w:p>
    <w:p w14:paraId="78D86F78" w14:textId="77777777" w:rsidR="00D02D3C" w:rsidRPr="00D02D3C" w:rsidRDefault="00D02D3C" w:rsidP="000A566E">
      <w:pPr>
        <w:keepNext/>
        <w:numPr>
          <w:ilvl w:val="0"/>
          <w:numId w:val="69"/>
        </w:numPr>
        <w:pBdr>
          <w:top w:val="none" w:sz="0" w:space="0" w:color="auto"/>
          <w:left w:val="none" w:sz="0" w:space="0" w:color="auto"/>
          <w:bottom w:val="none" w:sz="0" w:space="0" w:color="auto"/>
          <w:right w:val="none" w:sz="0" w:space="0" w:color="auto"/>
          <w:between w:val="none" w:sz="0" w:space="0" w:color="auto"/>
          <w:bar w:val="none" w:sz="0" w:color="auto"/>
        </w:pBdr>
        <w:ind w:hanging="810"/>
        <w:jc w:val="both"/>
        <w:outlineLvl w:val="1"/>
        <w:rPr>
          <w:rFonts w:asciiTheme="majorHAnsi" w:eastAsia="Times New Roman" w:hAnsiTheme="majorHAnsi"/>
          <w:b/>
          <w:sz w:val="20"/>
          <w:szCs w:val="20"/>
          <w:bdr w:val="none" w:sz="0" w:space="0" w:color="auto"/>
        </w:rPr>
      </w:pPr>
      <w:bookmarkStart w:id="14" w:name="_Toc522484029"/>
      <w:bookmarkStart w:id="15" w:name="_Toc523998348"/>
      <w:bookmarkStart w:id="16" w:name="_Toc423514408"/>
      <w:bookmarkStart w:id="17" w:name="_Toc433115984"/>
      <w:bookmarkStart w:id="18" w:name="_Toc444958127"/>
      <w:bookmarkStart w:id="19" w:name="_Toc479004112"/>
      <w:bookmarkStart w:id="20" w:name="_Toc491078409"/>
      <w:r w:rsidRPr="00D02D3C">
        <w:rPr>
          <w:rFonts w:asciiTheme="majorHAnsi" w:eastAsia="Times New Roman" w:hAnsiTheme="majorHAnsi"/>
          <w:b/>
          <w:sz w:val="20"/>
          <w:szCs w:val="20"/>
          <w:bdr w:val="none" w:sz="0" w:space="0" w:color="auto"/>
        </w:rPr>
        <w:t>The petitioner</w:t>
      </w:r>
      <w:bookmarkEnd w:id="14"/>
      <w:bookmarkEnd w:id="15"/>
      <w:r w:rsidRPr="00D02D3C">
        <w:rPr>
          <w:rFonts w:asciiTheme="majorHAnsi" w:eastAsia="Times New Roman" w:hAnsiTheme="majorHAnsi"/>
          <w:b/>
          <w:sz w:val="20"/>
          <w:szCs w:val="20"/>
          <w:bdr w:val="none" w:sz="0" w:space="0" w:color="auto"/>
        </w:rPr>
        <w:t xml:space="preserve"> </w:t>
      </w:r>
      <w:bookmarkEnd w:id="16"/>
      <w:bookmarkEnd w:id="17"/>
      <w:bookmarkEnd w:id="18"/>
      <w:bookmarkEnd w:id="19"/>
      <w:bookmarkEnd w:id="20"/>
    </w:p>
    <w:p w14:paraId="22395445" w14:textId="77777777" w:rsidR="00D02D3C" w:rsidRPr="00D02D3C" w:rsidRDefault="00D02D3C" w:rsidP="00D02D3C">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hAnsi="Cambria"/>
          <w:color w:val="000000" w:themeColor="text1"/>
          <w:sz w:val="20"/>
          <w:szCs w:val="20"/>
        </w:rPr>
      </w:pPr>
    </w:p>
    <w:p w14:paraId="0C629058" w14:textId="7DE2FF77" w:rsidR="00D02D3C" w:rsidRPr="00D02D3C" w:rsidRDefault="00D02D3C" w:rsidP="000A566E">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color w:val="000000" w:themeColor="text1"/>
          <w:sz w:val="20"/>
          <w:szCs w:val="20"/>
        </w:rPr>
      </w:pPr>
      <w:r w:rsidRPr="00D02D3C">
        <w:rPr>
          <w:rFonts w:ascii="Cambria" w:hAnsi="Cambria"/>
          <w:color w:val="000000" w:themeColor="text1"/>
          <w:sz w:val="20"/>
          <w:szCs w:val="20"/>
        </w:rPr>
        <w:lastRenderedPageBreak/>
        <w:t>The petitioner indicated that on March 9, 1992, she was designated as the 13</w:t>
      </w:r>
      <w:r w:rsidRPr="00D02D3C">
        <w:rPr>
          <w:rFonts w:ascii="Cambria" w:hAnsi="Cambria"/>
          <w:color w:val="000000" w:themeColor="text1"/>
          <w:sz w:val="20"/>
          <w:szCs w:val="20"/>
          <w:vertAlign w:val="superscript"/>
        </w:rPr>
        <w:t>th</w:t>
      </w:r>
      <w:r w:rsidRPr="00D02D3C">
        <w:rPr>
          <w:rFonts w:ascii="Cambria" w:hAnsi="Cambria"/>
          <w:color w:val="000000" w:themeColor="text1"/>
          <w:sz w:val="20"/>
          <w:szCs w:val="20"/>
        </w:rPr>
        <w:t xml:space="preserve"> Judge of Criminal Instruction in </w:t>
      </w:r>
      <w:proofErr w:type="spellStart"/>
      <w:r w:rsidRPr="00D02D3C">
        <w:rPr>
          <w:rFonts w:ascii="Cambria" w:hAnsi="Cambria"/>
          <w:color w:val="000000" w:themeColor="text1"/>
          <w:sz w:val="20"/>
          <w:szCs w:val="20"/>
        </w:rPr>
        <w:t>Mompox</w:t>
      </w:r>
      <w:proofErr w:type="spellEnd"/>
      <w:r w:rsidRPr="00D02D3C">
        <w:rPr>
          <w:rFonts w:ascii="Cambria" w:hAnsi="Cambria"/>
          <w:color w:val="000000" w:themeColor="text1"/>
          <w:sz w:val="20"/>
          <w:szCs w:val="20"/>
        </w:rPr>
        <w:t xml:space="preserve">, department of Bolívar, and </w:t>
      </w:r>
      <w:r w:rsidR="0069673C">
        <w:rPr>
          <w:rFonts w:ascii="Cambria" w:hAnsi="Cambria"/>
          <w:color w:val="000000" w:themeColor="text1"/>
          <w:sz w:val="20"/>
          <w:szCs w:val="20"/>
        </w:rPr>
        <w:t xml:space="preserve">subsequently, on July 1, 1992, </w:t>
      </w:r>
      <w:r w:rsidRPr="00D02D3C">
        <w:rPr>
          <w:rFonts w:ascii="Cambria" w:hAnsi="Cambria"/>
          <w:color w:val="000000" w:themeColor="text1"/>
          <w:sz w:val="20"/>
          <w:szCs w:val="20"/>
        </w:rPr>
        <w:t xml:space="preserve">she was incorporated to the staff of the Office of the Attorney General as a result of the change in the Colombian criminal justice system by virtue of which the courts of criminal investigation became part of the Office of the Attorney General. She indicated that on February 8, 2002, she was appointed on a provisional basis as Sectional Prosecutor No. 16 of Cartagena in the Unit of Crimes against the Public Administration. </w:t>
      </w:r>
    </w:p>
    <w:p w14:paraId="3C483911" w14:textId="77777777" w:rsidR="00D02D3C" w:rsidRPr="00D02D3C" w:rsidRDefault="00D02D3C" w:rsidP="00D02D3C">
      <w:pPr>
        <w:ind w:left="720"/>
        <w:rPr>
          <w:rFonts w:ascii="Cambria" w:eastAsia="Cambria" w:hAnsi="Cambria" w:cs="Cambria"/>
          <w:color w:val="000000" w:themeColor="text1"/>
          <w:sz w:val="20"/>
          <w:szCs w:val="20"/>
          <w:u w:color="000000"/>
          <w:lang w:eastAsia="es-ES"/>
        </w:rPr>
      </w:pPr>
    </w:p>
    <w:p w14:paraId="39C20463" w14:textId="77777777" w:rsidR="00D02D3C" w:rsidRPr="00D02D3C" w:rsidRDefault="00D02D3C" w:rsidP="000A566E">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color w:val="000000" w:themeColor="text1"/>
          <w:sz w:val="20"/>
          <w:szCs w:val="20"/>
        </w:rPr>
      </w:pPr>
      <w:r w:rsidRPr="00D02D3C">
        <w:rPr>
          <w:rFonts w:ascii="Cambria" w:hAnsi="Cambria"/>
          <w:color w:val="000000" w:themeColor="text1"/>
          <w:sz w:val="20"/>
          <w:szCs w:val="20"/>
        </w:rPr>
        <w:t xml:space="preserve">She said that while she was in that position she pursued a criminal proceeding for the criminal offense of breach of public duty, for an action taken, against the Secretary of the Regional Autonomous Corporation of the Canal del </w:t>
      </w:r>
      <w:proofErr w:type="spellStart"/>
      <w:r w:rsidRPr="00D02D3C">
        <w:rPr>
          <w:rFonts w:ascii="Cambria" w:hAnsi="Cambria"/>
          <w:color w:val="000000" w:themeColor="text1"/>
          <w:sz w:val="20"/>
          <w:szCs w:val="20"/>
        </w:rPr>
        <w:t>Dique</w:t>
      </w:r>
      <w:proofErr w:type="spellEnd"/>
      <w:r w:rsidRPr="00D02D3C">
        <w:rPr>
          <w:rFonts w:ascii="Cambria" w:hAnsi="Cambria"/>
          <w:color w:val="000000" w:themeColor="text1"/>
          <w:sz w:val="20"/>
          <w:szCs w:val="20"/>
        </w:rPr>
        <w:t xml:space="preserve">, who had granted a license for trash collection to a construction company in violation of the legal requirement of prior consultation with the Black communities in settlements in the zone in which the construction of the sanitary landfill was planned.  </w:t>
      </w:r>
    </w:p>
    <w:p w14:paraId="632F212E" w14:textId="77777777" w:rsidR="00D02D3C" w:rsidRPr="00D02D3C" w:rsidRDefault="00D02D3C" w:rsidP="00D02D3C">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color w:val="000000" w:themeColor="text1"/>
          <w:sz w:val="20"/>
          <w:szCs w:val="20"/>
        </w:rPr>
      </w:pPr>
    </w:p>
    <w:p w14:paraId="2218CC09" w14:textId="77777777" w:rsidR="00D02D3C" w:rsidRPr="00D02D3C" w:rsidRDefault="00D02D3C" w:rsidP="000A566E">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color w:val="000000" w:themeColor="text1"/>
          <w:sz w:val="20"/>
          <w:szCs w:val="20"/>
        </w:rPr>
      </w:pPr>
      <w:r w:rsidRPr="00D02D3C">
        <w:rPr>
          <w:rFonts w:ascii="Cambria" w:hAnsi="Cambria"/>
          <w:color w:val="000000" w:themeColor="text1"/>
          <w:sz w:val="20"/>
          <w:szCs w:val="20"/>
        </w:rPr>
        <w:t xml:space="preserve">She also stated that in exercising her powers she handled the request for reestablishing the right of the representative of the Black communities who was the civil party in the proceeding and voided the administrative act that authorized the operation of the sanitary landfill. </w:t>
      </w:r>
    </w:p>
    <w:p w14:paraId="2C584572" w14:textId="77777777" w:rsidR="00D02D3C" w:rsidRPr="00D02D3C" w:rsidRDefault="00D02D3C" w:rsidP="00D02D3C">
      <w:pPr>
        <w:ind w:left="720"/>
        <w:rPr>
          <w:rFonts w:ascii="Cambria" w:eastAsia="Cambria" w:hAnsi="Cambria" w:cs="Cambria"/>
          <w:color w:val="000000" w:themeColor="text1"/>
          <w:sz w:val="20"/>
          <w:szCs w:val="20"/>
          <w:u w:color="000000"/>
          <w:lang w:eastAsia="es-ES"/>
        </w:rPr>
      </w:pPr>
    </w:p>
    <w:p w14:paraId="516CE787" w14:textId="77777777" w:rsidR="00D02D3C" w:rsidRPr="00D02D3C" w:rsidRDefault="00D02D3C" w:rsidP="000A566E">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color w:val="000000" w:themeColor="text1"/>
          <w:sz w:val="20"/>
          <w:szCs w:val="20"/>
        </w:rPr>
      </w:pPr>
      <w:r w:rsidRPr="00D02D3C">
        <w:rPr>
          <w:rFonts w:ascii="Cambria" w:hAnsi="Cambria"/>
          <w:color w:val="000000" w:themeColor="text1"/>
          <w:sz w:val="20"/>
          <w:szCs w:val="20"/>
        </w:rPr>
        <w:t xml:space="preserve">She said that in July 2004 she made use of her vacations and that the person designated by the Director of the Office of the Attorney General as her temporary replacement proceeded immediately to revoke the measure that reestablished the right of the Black communities, and to close the criminal investigation into the criminal offense of breach of public duty before all of the evidence was collected. </w:t>
      </w:r>
    </w:p>
    <w:p w14:paraId="59FAF9F6" w14:textId="77777777" w:rsidR="00D02D3C" w:rsidRPr="00D02D3C" w:rsidRDefault="00D02D3C" w:rsidP="00D02D3C">
      <w:pPr>
        <w:ind w:left="720"/>
        <w:rPr>
          <w:rFonts w:ascii="Cambria" w:eastAsia="Cambria" w:hAnsi="Cambria" w:cs="Cambria"/>
          <w:color w:val="000000" w:themeColor="text1"/>
          <w:sz w:val="20"/>
          <w:szCs w:val="20"/>
          <w:u w:color="000000"/>
          <w:lang w:eastAsia="es-ES"/>
        </w:rPr>
      </w:pPr>
    </w:p>
    <w:p w14:paraId="0C543CFE" w14:textId="77777777" w:rsidR="00D02D3C" w:rsidRPr="00D02D3C" w:rsidRDefault="00D02D3C" w:rsidP="000A566E">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color w:val="000000" w:themeColor="text1"/>
          <w:sz w:val="20"/>
          <w:szCs w:val="20"/>
        </w:rPr>
      </w:pPr>
      <w:r w:rsidRPr="00D02D3C">
        <w:rPr>
          <w:rFonts w:ascii="Cambria" w:hAnsi="Cambria"/>
          <w:color w:val="000000" w:themeColor="text1"/>
          <w:sz w:val="20"/>
          <w:szCs w:val="20"/>
        </w:rPr>
        <w:t xml:space="preserve">She said that when she was reincorporated to her position the representatives of the Black communities and the Public Ministry requested revocation of the resolutions issued by the interim prosecutor. She indicated that after this, she received a call from the director of prosecutors, who told her that as prosecutor she should not get involved in administrative cases such as the case in question, and the director reminded her of the case of the other prosecutor who had taken cognizance of the proceeding and who, for not following instructions, was removed from his position. The director of prosecutors also told her that that message came directly from the Attorney General of the Nation. </w:t>
      </w:r>
    </w:p>
    <w:p w14:paraId="16B4A1F6" w14:textId="77777777" w:rsidR="00D02D3C" w:rsidRPr="00D02D3C" w:rsidRDefault="00D02D3C" w:rsidP="00D02D3C">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color w:val="000000" w:themeColor="text1"/>
          <w:sz w:val="20"/>
          <w:szCs w:val="20"/>
        </w:rPr>
      </w:pPr>
    </w:p>
    <w:p w14:paraId="2AB60AFF" w14:textId="77777777" w:rsidR="00D02D3C" w:rsidRPr="00D02D3C" w:rsidRDefault="00D02D3C" w:rsidP="000A566E">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color w:val="000000" w:themeColor="text1"/>
          <w:sz w:val="20"/>
          <w:szCs w:val="20"/>
        </w:rPr>
      </w:pPr>
      <w:r w:rsidRPr="00D02D3C">
        <w:rPr>
          <w:rFonts w:ascii="Cambria" w:hAnsi="Cambria"/>
          <w:color w:val="000000" w:themeColor="text1"/>
          <w:sz w:val="20"/>
          <w:szCs w:val="20"/>
        </w:rPr>
        <w:t xml:space="preserve">She said that despite that call she proceeded to revoke all the actions of the prosecutor who replaced her while she was on vacation and that as a result the director of prosecutors and the Attorney General took reprisals against her. </w:t>
      </w:r>
    </w:p>
    <w:p w14:paraId="24D0AE0F" w14:textId="77777777" w:rsidR="00D02D3C" w:rsidRPr="00D02D3C" w:rsidRDefault="00D02D3C" w:rsidP="00D02D3C">
      <w:pPr>
        <w:ind w:left="720"/>
        <w:rPr>
          <w:rFonts w:ascii="Cambria" w:eastAsia="Cambria" w:hAnsi="Cambria" w:cs="Cambria"/>
          <w:color w:val="000000" w:themeColor="text1"/>
          <w:sz w:val="20"/>
          <w:szCs w:val="20"/>
          <w:u w:color="000000"/>
          <w:lang w:eastAsia="es-ES"/>
        </w:rPr>
      </w:pPr>
    </w:p>
    <w:p w14:paraId="74B22B9F" w14:textId="77777777" w:rsidR="00D02D3C" w:rsidRPr="00D02D3C" w:rsidRDefault="00D02D3C" w:rsidP="000A566E">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color w:val="000000" w:themeColor="text1"/>
          <w:sz w:val="20"/>
          <w:szCs w:val="20"/>
        </w:rPr>
      </w:pPr>
      <w:r w:rsidRPr="00D02D3C">
        <w:rPr>
          <w:rFonts w:ascii="Cambria" w:hAnsi="Cambria"/>
          <w:color w:val="000000" w:themeColor="text1"/>
          <w:sz w:val="20"/>
          <w:szCs w:val="20"/>
        </w:rPr>
        <w:t>In particular, she indicated that on October 29, 2004, two simultaneous resolutions were handed down that negatively impacted her, one ordering her transfer to the Colombian island of Providencia, to work as sectional prosecutor, signed by the director of prosecutors, and another declaring that she was relieved of her duties as 16</w:t>
      </w:r>
      <w:r w:rsidRPr="00D02D3C">
        <w:rPr>
          <w:rFonts w:ascii="Cambria" w:hAnsi="Cambria"/>
          <w:color w:val="000000" w:themeColor="text1"/>
          <w:sz w:val="20"/>
          <w:szCs w:val="20"/>
          <w:vertAlign w:val="superscript"/>
        </w:rPr>
        <w:t>th</w:t>
      </w:r>
      <w:r w:rsidRPr="00D02D3C">
        <w:rPr>
          <w:rFonts w:ascii="Cambria" w:hAnsi="Cambria"/>
          <w:color w:val="000000" w:themeColor="text1"/>
          <w:sz w:val="20"/>
          <w:szCs w:val="20"/>
        </w:rPr>
        <w:t xml:space="preserve"> Sectional Prosecutor of Cartagena, signed by the Attorney General of the Nation, a resolution that had no explanation. She said that she received notice of the resolution transferring her on November 3, 2004, and the one removing her from the position of prosecutor on November 4, 2004, such that she was removed from a position she no longer held, as the second decree took effect the day after she was appointed Sectional Prosecutor of the island of Providencia.</w:t>
      </w:r>
    </w:p>
    <w:p w14:paraId="7240591C" w14:textId="77777777" w:rsidR="00D02D3C" w:rsidRPr="00D02D3C" w:rsidRDefault="00D02D3C" w:rsidP="00D02D3C">
      <w:pPr>
        <w:ind w:left="720"/>
        <w:rPr>
          <w:rFonts w:ascii="Cambria" w:eastAsia="Cambria" w:hAnsi="Cambria" w:cs="Cambria"/>
          <w:color w:val="000000" w:themeColor="text1"/>
          <w:sz w:val="20"/>
          <w:szCs w:val="20"/>
          <w:u w:color="000000"/>
          <w:lang w:eastAsia="es-ES"/>
        </w:rPr>
      </w:pPr>
    </w:p>
    <w:p w14:paraId="29A78C2C" w14:textId="77777777" w:rsidR="00D02D3C" w:rsidRPr="00D02D3C" w:rsidRDefault="00D02D3C" w:rsidP="000A566E">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color w:val="000000" w:themeColor="text1"/>
          <w:sz w:val="20"/>
          <w:szCs w:val="20"/>
        </w:rPr>
      </w:pPr>
      <w:r w:rsidRPr="00D02D3C">
        <w:rPr>
          <w:rFonts w:ascii="Cambria" w:hAnsi="Cambria"/>
          <w:color w:val="000000" w:themeColor="text1"/>
          <w:sz w:val="20"/>
          <w:szCs w:val="20"/>
        </w:rPr>
        <w:t>The petitioner indicated that she pursued a series of judicial actions to be reinstated in her position as 16</w:t>
      </w:r>
      <w:r w:rsidRPr="00D02D3C">
        <w:rPr>
          <w:rFonts w:ascii="Cambria" w:hAnsi="Cambria"/>
          <w:color w:val="000000" w:themeColor="text1"/>
          <w:sz w:val="20"/>
          <w:szCs w:val="20"/>
          <w:vertAlign w:val="superscript"/>
        </w:rPr>
        <w:t>th</w:t>
      </w:r>
      <w:r w:rsidRPr="00D02D3C">
        <w:rPr>
          <w:rFonts w:ascii="Cambria" w:hAnsi="Cambria"/>
          <w:color w:val="000000" w:themeColor="text1"/>
          <w:sz w:val="20"/>
          <w:szCs w:val="20"/>
        </w:rPr>
        <w:t xml:space="preserve"> Sectional Prosecutor of Cartagena. In particular, she indicated that on July 12, 2005, she filed an action for nullity and reestablishment of her rights against the act that removed her from her position, before the Administrative Tribunal of Cartagena. The action was dismissed on grounds that it was filed after the time for doing so had lapsed. </w:t>
      </w:r>
    </w:p>
    <w:p w14:paraId="1BB93759" w14:textId="77777777" w:rsidR="00D02D3C" w:rsidRPr="00D02D3C" w:rsidRDefault="00D02D3C" w:rsidP="00D02D3C">
      <w:pPr>
        <w:ind w:left="720"/>
        <w:rPr>
          <w:rFonts w:ascii="Cambria" w:eastAsia="Cambria" w:hAnsi="Cambria" w:cs="Cambria"/>
          <w:color w:val="000000" w:themeColor="text1"/>
          <w:sz w:val="20"/>
          <w:szCs w:val="20"/>
          <w:u w:color="000000"/>
          <w:lang w:eastAsia="es-ES"/>
        </w:rPr>
      </w:pPr>
    </w:p>
    <w:p w14:paraId="2B8D1020" w14:textId="77777777" w:rsidR="00D02D3C" w:rsidRPr="00D02D3C" w:rsidRDefault="00D02D3C" w:rsidP="000A566E">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Theme="majorHAnsi" w:hAnsiTheme="majorHAnsi"/>
          <w:color w:val="000000" w:themeColor="text1"/>
          <w:sz w:val="20"/>
          <w:szCs w:val="20"/>
        </w:rPr>
      </w:pPr>
      <w:r w:rsidRPr="00D02D3C">
        <w:rPr>
          <w:rFonts w:asciiTheme="majorHAnsi" w:hAnsiTheme="majorHAnsi"/>
          <w:color w:val="000000" w:themeColor="text1"/>
          <w:sz w:val="20"/>
          <w:szCs w:val="20"/>
        </w:rPr>
        <w:t>She said that subsequently she filed an action in the labor union jurisdiction (</w:t>
      </w:r>
      <w:proofErr w:type="spellStart"/>
      <w:r w:rsidRPr="00D02D3C">
        <w:rPr>
          <w:rFonts w:asciiTheme="majorHAnsi" w:hAnsiTheme="majorHAnsi"/>
          <w:i/>
          <w:iCs/>
          <w:color w:val="000000" w:themeColor="text1"/>
          <w:sz w:val="20"/>
          <w:szCs w:val="20"/>
        </w:rPr>
        <w:t>acción</w:t>
      </w:r>
      <w:proofErr w:type="spellEnd"/>
      <w:r w:rsidRPr="00D02D3C">
        <w:rPr>
          <w:rFonts w:asciiTheme="majorHAnsi" w:hAnsiTheme="majorHAnsi"/>
          <w:i/>
          <w:iCs/>
          <w:color w:val="000000" w:themeColor="text1"/>
          <w:sz w:val="20"/>
          <w:szCs w:val="20"/>
        </w:rPr>
        <w:t xml:space="preserve"> de </w:t>
      </w:r>
      <w:proofErr w:type="spellStart"/>
      <w:r w:rsidRPr="00D02D3C">
        <w:rPr>
          <w:rFonts w:asciiTheme="majorHAnsi" w:hAnsiTheme="majorHAnsi"/>
          <w:i/>
          <w:iCs/>
          <w:color w:val="000000" w:themeColor="text1"/>
          <w:sz w:val="20"/>
          <w:szCs w:val="20"/>
        </w:rPr>
        <w:t>fuero</w:t>
      </w:r>
      <w:proofErr w:type="spellEnd"/>
      <w:r w:rsidRPr="00D02D3C">
        <w:rPr>
          <w:rFonts w:asciiTheme="majorHAnsi" w:hAnsiTheme="majorHAnsi"/>
          <w:i/>
          <w:iCs/>
          <w:color w:val="000000" w:themeColor="text1"/>
          <w:sz w:val="20"/>
          <w:szCs w:val="20"/>
        </w:rPr>
        <w:t xml:space="preserve"> </w:t>
      </w:r>
      <w:proofErr w:type="spellStart"/>
      <w:r w:rsidRPr="00D02D3C">
        <w:rPr>
          <w:rFonts w:asciiTheme="majorHAnsi" w:hAnsiTheme="majorHAnsi"/>
          <w:i/>
          <w:iCs/>
          <w:color w:val="000000" w:themeColor="text1"/>
          <w:sz w:val="20"/>
          <w:szCs w:val="20"/>
        </w:rPr>
        <w:t>sindical</w:t>
      </w:r>
      <w:proofErr w:type="spellEnd"/>
      <w:r w:rsidRPr="00D02D3C">
        <w:rPr>
          <w:rFonts w:asciiTheme="majorHAnsi" w:hAnsiTheme="majorHAnsi"/>
          <w:color w:val="000000" w:themeColor="text1"/>
          <w:sz w:val="20"/>
          <w:szCs w:val="20"/>
        </w:rPr>
        <w:t xml:space="preserve">) before the Seventh Labor Court of Cartagena, arguing that when she was removed from her position she was aspiring to become a director of the National Association of Officers and </w:t>
      </w:r>
      <w:r w:rsidRPr="00D02D3C">
        <w:rPr>
          <w:rFonts w:asciiTheme="majorHAnsi" w:hAnsiTheme="majorHAnsi"/>
          <w:color w:val="000000" w:themeColor="text1"/>
          <w:sz w:val="20"/>
          <w:szCs w:val="20"/>
        </w:rPr>
        <w:lastRenderedPageBreak/>
        <w:t>Employees of the Judicial Branch (</w:t>
      </w:r>
      <w:proofErr w:type="spellStart"/>
      <w:r w:rsidRPr="00D02D3C">
        <w:rPr>
          <w:rFonts w:asciiTheme="majorHAnsi" w:hAnsiTheme="majorHAnsi"/>
          <w:color w:val="000000" w:themeColor="text1"/>
          <w:sz w:val="20"/>
          <w:szCs w:val="20"/>
        </w:rPr>
        <w:t>Asociación</w:t>
      </w:r>
      <w:proofErr w:type="spellEnd"/>
      <w:r w:rsidRPr="00D02D3C">
        <w:rPr>
          <w:rFonts w:asciiTheme="majorHAnsi" w:hAnsiTheme="majorHAnsi"/>
          <w:color w:val="000000" w:themeColor="text1"/>
          <w:sz w:val="20"/>
          <w:szCs w:val="20"/>
        </w:rPr>
        <w:t xml:space="preserve"> Nacional de </w:t>
      </w:r>
      <w:proofErr w:type="spellStart"/>
      <w:r w:rsidRPr="00D02D3C">
        <w:rPr>
          <w:rFonts w:asciiTheme="majorHAnsi" w:hAnsiTheme="majorHAnsi"/>
          <w:color w:val="000000" w:themeColor="text1"/>
          <w:sz w:val="20"/>
          <w:szCs w:val="20"/>
        </w:rPr>
        <w:t>Funcionarios</w:t>
      </w:r>
      <w:proofErr w:type="spellEnd"/>
      <w:r w:rsidRPr="00D02D3C">
        <w:rPr>
          <w:rFonts w:asciiTheme="majorHAnsi" w:hAnsiTheme="majorHAnsi"/>
          <w:color w:val="000000" w:themeColor="text1"/>
          <w:sz w:val="20"/>
          <w:szCs w:val="20"/>
        </w:rPr>
        <w:t xml:space="preserve"> y </w:t>
      </w:r>
      <w:proofErr w:type="spellStart"/>
      <w:r w:rsidRPr="00D02D3C">
        <w:rPr>
          <w:rFonts w:asciiTheme="majorHAnsi" w:hAnsiTheme="majorHAnsi"/>
          <w:color w:val="000000" w:themeColor="text1"/>
          <w:sz w:val="20"/>
          <w:szCs w:val="20"/>
        </w:rPr>
        <w:t>Empleados</w:t>
      </w:r>
      <w:proofErr w:type="spellEnd"/>
      <w:r w:rsidRPr="00D02D3C">
        <w:rPr>
          <w:rFonts w:asciiTheme="majorHAnsi" w:hAnsiTheme="majorHAnsi"/>
          <w:color w:val="000000" w:themeColor="text1"/>
          <w:sz w:val="20"/>
          <w:szCs w:val="20"/>
        </w:rPr>
        <w:t xml:space="preserve"> de la Rama Judicial). She indicated that the Court ruled against her on December 13, 2006; accordingly, she appealed the ruling that same day, and the Superior Court of Bolívar, which heard the appeal, confirmed the judgment of first instance on December 22, 2010, four years after it was filed. </w:t>
      </w:r>
    </w:p>
    <w:p w14:paraId="5DB05757" w14:textId="77777777" w:rsidR="00D02D3C" w:rsidRPr="00D02D3C" w:rsidRDefault="00D02D3C" w:rsidP="00D02D3C">
      <w:pPr>
        <w:ind w:left="720"/>
        <w:rPr>
          <w:rFonts w:asciiTheme="majorHAnsi" w:eastAsia="Cambria" w:hAnsiTheme="majorHAnsi" w:cs="Cambria"/>
          <w:color w:val="000000" w:themeColor="text1"/>
          <w:sz w:val="20"/>
          <w:szCs w:val="20"/>
          <w:u w:color="000000"/>
          <w:lang w:eastAsia="es-ES"/>
        </w:rPr>
      </w:pPr>
    </w:p>
    <w:p w14:paraId="51139BE4" w14:textId="77777777" w:rsidR="00D02D3C" w:rsidRPr="00D02D3C" w:rsidRDefault="00D02D3C" w:rsidP="000A566E">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Theme="majorHAnsi" w:hAnsiTheme="majorHAnsi"/>
          <w:color w:val="000000" w:themeColor="text1"/>
          <w:sz w:val="20"/>
          <w:szCs w:val="20"/>
        </w:rPr>
      </w:pPr>
      <w:r w:rsidRPr="00D02D3C">
        <w:rPr>
          <w:rFonts w:asciiTheme="majorHAnsi" w:hAnsiTheme="majorHAnsi"/>
          <w:color w:val="000000" w:themeColor="text1"/>
          <w:sz w:val="20"/>
          <w:szCs w:val="20"/>
        </w:rPr>
        <w:t xml:space="preserve">The petitioner further noted that she also filed two </w:t>
      </w:r>
      <w:proofErr w:type="spellStart"/>
      <w:r w:rsidRPr="00D02D3C">
        <w:rPr>
          <w:rFonts w:asciiTheme="majorHAnsi" w:hAnsiTheme="majorHAnsi"/>
          <w:i/>
          <w:iCs/>
          <w:color w:val="000000" w:themeColor="text1"/>
          <w:sz w:val="20"/>
          <w:szCs w:val="20"/>
        </w:rPr>
        <w:t>tutela</w:t>
      </w:r>
      <w:proofErr w:type="spellEnd"/>
      <w:r w:rsidRPr="00D02D3C">
        <w:rPr>
          <w:rFonts w:asciiTheme="majorHAnsi" w:hAnsiTheme="majorHAnsi"/>
          <w:color w:val="000000" w:themeColor="text1"/>
          <w:sz w:val="20"/>
          <w:szCs w:val="20"/>
        </w:rPr>
        <w:t xml:space="preserve"> actions. The first was before the Superior Court of the Judicial District of Cartagena, seeking protection of her right to association, right to work, and other rights, which was denied, as the Court considered that the petitioner was making use of a subsidiary mechanism without having exhausted the regular ones. She added that the ruling was upheld on appeal by the Supreme Court of Justice and that said decision was not selected for review by the Constitutional Court.</w:t>
      </w:r>
    </w:p>
    <w:p w14:paraId="78505A42" w14:textId="77777777" w:rsidR="00D02D3C" w:rsidRPr="00D02D3C" w:rsidRDefault="00D02D3C" w:rsidP="00D02D3C">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Theme="majorHAnsi" w:hAnsiTheme="majorHAnsi"/>
          <w:color w:val="000000" w:themeColor="text1"/>
          <w:sz w:val="20"/>
          <w:szCs w:val="20"/>
        </w:rPr>
      </w:pPr>
    </w:p>
    <w:p w14:paraId="3DA38D6A" w14:textId="77777777" w:rsidR="00D02D3C" w:rsidRPr="00D02D3C" w:rsidRDefault="00D02D3C" w:rsidP="000A566E">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color w:val="000000" w:themeColor="text1"/>
          <w:sz w:val="20"/>
          <w:szCs w:val="20"/>
        </w:rPr>
      </w:pPr>
      <w:r w:rsidRPr="00D02D3C">
        <w:rPr>
          <w:rFonts w:asciiTheme="majorHAnsi" w:hAnsiTheme="majorHAnsi"/>
          <w:color w:val="000000" w:themeColor="text1"/>
          <w:sz w:val="20"/>
          <w:szCs w:val="20"/>
        </w:rPr>
        <w:t xml:space="preserve">As regards the second </w:t>
      </w:r>
      <w:proofErr w:type="spellStart"/>
      <w:r w:rsidRPr="00D02D3C">
        <w:rPr>
          <w:rFonts w:asciiTheme="majorHAnsi" w:hAnsiTheme="majorHAnsi"/>
          <w:i/>
          <w:iCs/>
          <w:color w:val="000000" w:themeColor="text1"/>
          <w:sz w:val="20"/>
          <w:szCs w:val="20"/>
        </w:rPr>
        <w:t>tutela</w:t>
      </w:r>
      <w:proofErr w:type="spellEnd"/>
      <w:r w:rsidRPr="00D02D3C">
        <w:rPr>
          <w:rFonts w:asciiTheme="majorHAnsi" w:hAnsiTheme="majorHAnsi"/>
          <w:color w:val="000000" w:themeColor="text1"/>
          <w:sz w:val="20"/>
          <w:szCs w:val="20"/>
        </w:rPr>
        <w:t>, she indicated that it was filed on July 12, 2005, before the Superior Judicial Council (</w:t>
      </w:r>
      <w:proofErr w:type="spellStart"/>
      <w:r w:rsidRPr="00D02D3C">
        <w:rPr>
          <w:rFonts w:ascii="Cambria" w:hAnsi="Cambria"/>
          <w:color w:val="000000" w:themeColor="text1"/>
          <w:sz w:val="20"/>
          <w:szCs w:val="20"/>
        </w:rPr>
        <w:t>Consejo</w:t>
      </w:r>
      <w:proofErr w:type="spellEnd"/>
      <w:r w:rsidRPr="00D02D3C">
        <w:rPr>
          <w:rFonts w:ascii="Cambria" w:hAnsi="Cambria"/>
          <w:color w:val="000000" w:themeColor="text1"/>
          <w:sz w:val="20"/>
          <w:szCs w:val="20"/>
        </w:rPr>
        <w:t xml:space="preserve"> Superior de la </w:t>
      </w:r>
      <w:proofErr w:type="spellStart"/>
      <w:r w:rsidRPr="00D02D3C">
        <w:rPr>
          <w:rFonts w:ascii="Cambria" w:hAnsi="Cambria"/>
          <w:color w:val="000000" w:themeColor="text1"/>
          <w:sz w:val="20"/>
          <w:szCs w:val="20"/>
        </w:rPr>
        <w:t>Judicatura</w:t>
      </w:r>
      <w:proofErr w:type="spellEnd"/>
      <w:r w:rsidRPr="00D02D3C">
        <w:rPr>
          <w:rFonts w:ascii="Cambria" w:hAnsi="Cambria"/>
          <w:color w:val="000000" w:themeColor="text1"/>
          <w:sz w:val="20"/>
          <w:szCs w:val="20"/>
        </w:rPr>
        <w:t>), Cartagena Section; in it she sought protection for her rights to due process, to equality, to the family, and to the vital minimum (</w:t>
      </w:r>
      <w:r w:rsidRPr="00D02D3C">
        <w:rPr>
          <w:rFonts w:ascii="Cambria" w:hAnsi="Cambria"/>
          <w:i/>
          <w:iCs/>
          <w:color w:val="000000" w:themeColor="text1"/>
          <w:sz w:val="20"/>
          <w:szCs w:val="20"/>
        </w:rPr>
        <w:t xml:space="preserve">el </w:t>
      </w:r>
      <w:proofErr w:type="spellStart"/>
      <w:r w:rsidRPr="00D02D3C">
        <w:rPr>
          <w:rFonts w:ascii="Cambria" w:hAnsi="Cambria"/>
          <w:i/>
          <w:iCs/>
          <w:color w:val="000000" w:themeColor="text1"/>
          <w:sz w:val="20"/>
          <w:szCs w:val="20"/>
        </w:rPr>
        <w:t>mínimo</w:t>
      </w:r>
      <w:proofErr w:type="spellEnd"/>
      <w:r w:rsidRPr="00D02D3C">
        <w:rPr>
          <w:rFonts w:ascii="Cambria" w:hAnsi="Cambria"/>
          <w:i/>
          <w:iCs/>
          <w:color w:val="000000" w:themeColor="text1"/>
          <w:sz w:val="20"/>
          <w:szCs w:val="20"/>
        </w:rPr>
        <w:t xml:space="preserve"> vital</w:t>
      </w:r>
      <w:r w:rsidRPr="00D02D3C">
        <w:rPr>
          <w:rFonts w:ascii="Cambria" w:hAnsi="Cambria"/>
          <w:color w:val="000000" w:themeColor="text1"/>
          <w:sz w:val="20"/>
          <w:szCs w:val="20"/>
        </w:rPr>
        <w:t xml:space="preserve">). She indicated that it was resolved in her favor in the first instance, as the Council considered that the lack of reasoning in the act that removed her from her position constituted a violation of due process. She indicated that nonetheless the ruling was challenged by the Office of Attorney General of the Nation and was overturned on appeal by the Superior Judicial Council of Bogotá, which found that the petitioner had already filed a </w:t>
      </w:r>
      <w:proofErr w:type="spellStart"/>
      <w:r w:rsidRPr="00D02D3C">
        <w:rPr>
          <w:rFonts w:ascii="Cambria" w:hAnsi="Cambria"/>
          <w:i/>
          <w:iCs/>
          <w:color w:val="000000" w:themeColor="text1"/>
          <w:sz w:val="20"/>
          <w:szCs w:val="20"/>
        </w:rPr>
        <w:t>tutela</w:t>
      </w:r>
      <w:proofErr w:type="spellEnd"/>
      <w:r w:rsidRPr="00D02D3C">
        <w:rPr>
          <w:rFonts w:ascii="Cambria" w:hAnsi="Cambria"/>
          <w:color w:val="000000" w:themeColor="text1"/>
          <w:sz w:val="20"/>
          <w:szCs w:val="20"/>
        </w:rPr>
        <w:t xml:space="preserve"> action concerning the same facts, rights, and claims. She indicated that in contrast to the first </w:t>
      </w:r>
      <w:proofErr w:type="spellStart"/>
      <w:r w:rsidRPr="00D02D3C">
        <w:rPr>
          <w:rFonts w:ascii="Cambria" w:hAnsi="Cambria"/>
          <w:i/>
          <w:iCs/>
          <w:color w:val="000000" w:themeColor="text1"/>
          <w:sz w:val="20"/>
          <w:szCs w:val="20"/>
        </w:rPr>
        <w:t>tutela</w:t>
      </w:r>
      <w:proofErr w:type="spellEnd"/>
      <w:r w:rsidRPr="00D02D3C">
        <w:rPr>
          <w:rFonts w:ascii="Cambria" w:hAnsi="Cambria"/>
          <w:color w:val="000000" w:themeColor="text1"/>
          <w:sz w:val="20"/>
          <w:szCs w:val="20"/>
        </w:rPr>
        <w:t xml:space="preserve"> action, in the second she sought protection for the right to due process. </w:t>
      </w:r>
    </w:p>
    <w:p w14:paraId="4674E3AA" w14:textId="77777777" w:rsidR="00D02D3C" w:rsidRPr="00D02D3C" w:rsidRDefault="00D02D3C" w:rsidP="00D02D3C">
      <w:pPr>
        <w:ind w:left="720"/>
        <w:rPr>
          <w:rFonts w:ascii="Cambria" w:eastAsia="Cambria" w:hAnsi="Cambria" w:cs="Cambria"/>
          <w:color w:val="000000" w:themeColor="text1"/>
          <w:sz w:val="20"/>
          <w:szCs w:val="20"/>
          <w:u w:color="000000"/>
          <w:lang w:eastAsia="es-ES"/>
        </w:rPr>
      </w:pPr>
    </w:p>
    <w:p w14:paraId="0D4EC787" w14:textId="358C0198" w:rsidR="00D02D3C" w:rsidRPr="00D02D3C" w:rsidRDefault="00D02D3C" w:rsidP="000A566E">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color w:val="000000" w:themeColor="text1"/>
          <w:sz w:val="20"/>
          <w:szCs w:val="20"/>
        </w:rPr>
      </w:pPr>
      <w:r w:rsidRPr="00D02D3C">
        <w:rPr>
          <w:rFonts w:ascii="Cambria" w:hAnsi="Cambria"/>
          <w:color w:val="000000" w:themeColor="text1"/>
          <w:sz w:val="20"/>
          <w:szCs w:val="20"/>
        </w:rPr>
        <w:t xml:space="preserve">As regards the law, the petitioner argued that the State violated her </w:t>
      </w:r>
      <w:r w:rsidRPr="00D02D3C">
        <w:rPr>
          <w:rFonts w:ascii="Cambria" w:hAnsi="Cambria"/>
          <w:b/>
          <w:color w:val="000000" w:themeColor="text1"/>
          <w:sz w:val="20"/>
          <w:szCs w:val="20"/>
        </w:rPr>
        <w:t xml:space="preserve">right to judicial guarantees and to judicial protection. </w:t>
      </w:r>
      <w:r w:rsidRPr="00D02D3C">
        <w:rPr>
          <w:rFonts w:ascii="Cambria" w:hAnsi="Cambria"/>
          <w:color w:val="000000" w:themeColor="text1"/>
          <w:sz w:val="20"/>
          <w:szCs w:val="20"/>
        </w:rPr>
        <w:t xml:space="preserve">As for </w:t>
      </w:r>
      <w:r w:rsidRPr="00D02D3C">
        <w:rPr>
          <w:rFonts w:ascii="Cambria" w:hAnsi="Cambria"/>
          <w:b/>
          <w:color w:val="000000" w:themeColor="text1"/>
          <w:sz w:val="20"/>
          <w:szCs w:val="20"/>
        </w:rPr>
        <w:t xml:space="preserve">judicial guarantees, </w:t>
      </w:r>
      <w:r w:rsidRPr="00D02D3C">
        <w:rPr>
          <w:rFonts w:ascii="Cambria" w:hAnsi="Cambria"/>
          <w:color w:val="000000" w:themeColor="text1"/>
          <w:sz w:val="20"/>
          <w:szCs w:val="20"/>
        </w:rPr>
        <w:t>she noted that the duty to state the reasoning of the decision was violated because the act that declared that she was relieved of her duties as prosecutor was not explained, and that this was a guarantee to keep her from being dismisse</w:t>
      </w:r>
      <w:r w:rsidR="0069673C">
        <w:rPr>
          <w:rFonts w:ascii="Cambria" w:hAnsi="Cambria"/>
          <w:color w:val="000000" w:themeColor="text1"/>
          <w:sz w:val="20"/>
          <w:szCs w:val="20"/>
        </w:rPr>
        <w:t>d, in her provisional situation</w:t>
      </w:r>
      <w:r w:rsidRPr="00D02D3C">
        <w:rPr>
          <w:rFonts w:ascii="Cambria" w:hAnsi="Cambria"/>
          <w:color w:val="000000" w:themeColor="text1"/>
          <w:sz w:val="20"/>
          <w:szCs w:val="20"/>
        </w:rPr>
        <w:t xml:space="preserve">, as per the interests of whoever might be in power at a given moment, compromising the independence and impartiality of her function. </w:t>
      </w:r>
    </w:p>
    <w:p w14:paraId="2249468F" w14:textId="77777777" w:rsidR="00D02D3C" w:rsidRPr="00D02D3C" w:rsidRDefault="00D02D3C" w:rsidP="00D02D3C">
      <w:pPr>
        <w:ind w:left="720"/>
        <w:rPr>
          <w:rFonts w:ascii="Cambria" w:eastAsia="Cambria" w:hAnsi="Cambria" w:cs="Cambria"/>
          <w:color w:val="000000" w:themeColor="text1"/>
          <w:sz w:val="20"/>
          <w:szCs w:val="20"/>
          <w:u w:color="000000"/>
          <w:lang w:eastAsia="es-ES"/>
        </w:rPr>
      </w:pPr>
    </w:p>
    <w:p w14:paraId="70249E7C" w14:textId="77777777" w:rsidR="00D02D3C" w:rsidRPr="00D02D3C" w:rsidRDefault="00D02D3C" w:rsidP="000A566E">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color w:val="000000" w:themeColor="text1"/>
          <w:sz w:val="20"/>
          <w:szCs w:val="20"/>
        </w:rPr>
      </w:pPr>
      <w:r w:rsidRPr="00D02D3C">
        <w:rPr>
          <w:rFonts w:ascii="Cambria" w:hAnsi="Cambria"/>
          <w:color w:val="000000" w:themeColor="text1"/>
          <w:sz w:val="20"/>
          <w:szCs w:val="20"/>
        </w:rPr>
        <w:t xml:space="preserve">Moreover, she argued that the State violated the right to be heard within a reasonable time due to the unjustified delay of the Labor Chamber of the Superior Court of Bolívar in responding to the motion for appeal filed by the petitioner on December 13, 2006, which was resolved four days later, on September 22, 2010, even though it should have been resolved within five days under the applicable domestic legislation,. </w:t>
      </w:r>
    </w:p>
    <w:p w14:paraId="47E0E046" w14:textId="77777777" w:rsidR="00D02D3C" w:rsidRPr="00D02D3C" w:rsidRDefault="00D02D3C" w:rsidP="00D02D3C">
      <w:pPr>
        <w:ind w:left="720"/>
        <w:rPr>
          <w:rFonts w:ascii="Cambria" w:eastAsia="Cambria" w:hAnsi="Cambria" w:cs="Cambria"/>
          <w:color w:val="000000" w:themeColor="text1"/>
          <w:sz w:val="20"/>
          <w:szCs w:val="20"/>
          <w:u w:color="000000"/>
          <w:lang w:eastAsia="es-ES"/>
        </w:rPr>
      </w:pPr>
    </w:p>
    <w:p w14:paraId="1908C68F" w14:textId="77777777" w:rsidR="00D02D3C" w:rsidRPr="00D02D3C" w:rsidRDefault="00D02D3C" w:rsidP="000A566E">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color w:val="000000" w:themeColor="text1"/>
          <w:sz w:val="20"/>
          <w:szCs w:val="20"/>
        </w:rPr>
      </w:pPr>
      <w:r w:rsidRPr="00D02D3C">
        <w:rPr>
          <w:rFonts w:ascii="Cambria" w:hAnsi="Cambria"/>
          <w:color w:val="000000" w:themeColor="text1"/>
          <w:sz w:val="20"/>
          <w:szCs w:val="20"/>
        </w:rPr>
        <w:t xml:space="preserve">With respect to </w:t>
      </w:r>
      <w:r w:rsidRPr="00D02D3C">
        <w:rPr>
          <w:rFonts w:ascii="Cambria" w:hAnsi="Cambria"/>
          <w:b/>
          <w:color w:val="000000" w:themeColor="text1"/>
          <w:sz w:val="20"/>
          <w:szCs w:val="20"/>
        </w:rPr>
        <w:t>judicial protection</w:t>
      </w:r>
      <w:r w:rsidRPr="00D02D3C">
        <w:rPr>
          <w:rFonts w:ascii="Cambria" w:hAnsi="Cambria"/>
          <w:color w:val="000000" w:themeColor="text1"/>
          <w:sz w:val="20"/>
          <w:szCs w:val="20"/>
        </w:rPr>
        <w:t xml:space="preserve">, she indicated that the State violated this right because she did not have an adequate and effective judicial mechanism for challenging the decision that removed her from her position as prosecutor without any explanation. She added that even though the Colombian Constitutional Court has indicated that the </w:t>
      </w:r>
      <w:proofErr w:type="spellStart"/>
      <w:r w:rsidRPr="00D02D3C">
        <w:rPr>
          <w:rFonts w:ascii="Cambria" w:hAnsi="Cambria"/>
          <w:i/>
          <w:iCs/>
          <w:color w:val="000000" w:themeColor="text1"/>
          <w:sz w:val="20"/>
          <w:szCs w:val="20"/>
        </w:rPr>
        <w:t>tutela</w:t>
      </w:r>
      <w:proofErr w:type="spellEnd"/>
      <w:r w:rsidRPr="00D02D3C">
        <w:rPr>
          <w:rFonts w:ascii="Cambria" w:hAnsi="Cambria"/>
          <w:color w:val="000000" w:themeColor="text1"/>
          <w:sz w:val="20"/>
          <w:szCs w:val="20"/>
        </w:rPr>
        <w:t xml:space="preserve"> is an adequate remedy for resolving the petitioner’s legal situation, the judges who heard the </w:t>
      </w:r>
      <w:proofErr w:type="spellStart"/>
      <w:r w:rsidRPr="00D02D3C">
        <w:rPr>
          <w:rFonts w:ascii="Cambria" w:hAnsi="Cambria"/>
          <w:i/>
          <w:iCs/>
          <w:color w:val="000000" w:themeColor="text1"/>
          <w:sz w:val="20"/>
          <w:szCs w:val="20"/>
        </w:rPr>
        <w:t>tutela</w:t>
      </w:r>
      <w:proofErr w:type="spellEnd"/>
      <w:r w:rsidRPr="00D02D3C">
        <w:rPr>
          <w:rFonts w:ascii="Cambria" w:hAnsi="Cambria"/>
          <w:color w:val="000000" w:themeColor="text1"/>
          <w:sz w:val="20"/>
          <w:szCs w:val="20"/>
        </w:rPr>
        <w:t xml:space="preserve"> actions did not follow that precedent and rendered the remedy ineffective. </w:t>
      </w:r>
    </w:p>
    <w:p w14:paraId="00B6095C" w14:textId="77777777" w:rsidR="00D02D3C" w:rsidRPr="00D02D3C" w:rsidRDefault="00D02D3C" w:rsidP="00D02D3C">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color w:val="000000" w:themeColor="text1"/>
          <w:sz w:val="20"/>
          <w:szCs w:val="20"/>
        </w:rPr>
      </w:pPr>
    </w:p>
    <w:p w14:paraId="6291C4BE" w14:textId="77777777" w:rsidR="00D02D3C" w:rsidRPr="00D02D3C" w:rsidRDefault="00D02D3C" w:rsidP="000A566E">
      <w:pPr>
        <w:keepNext/>
        <w:numPr>
          <w:ilvl w:val="0"/>
          <w:numId w:val="69"/>
        </w:numPr>
        <w:pBdr>
          <w:top w:val="none" w:sz="0" w:space="0" w:color="auto"/>
          <w:left w:val="none" w:sz="0" w:space="0" w:color="auto"/>
          <w:bottom w:val="none" w:sz="0" w:space="0" w:color="auto"/>
          <w:right w:val="none" w:sz="0" w:space="0" w:color="auto"/>
          <w:between w:val="none" w:sz="0" w:space="0" w:color="auto"/>
          <w:bar w:val="none" w:sz="0" w:color="auto"/>
        </w:pBdr>
        <w:ind w:hanging="810"/>
        <w:jc w:val="both"/>
        <w:outlineLvl w:val="1"/>
        <w:rPr>
          <w:rFonts w:asciiTheme="majorHAnsi" w:eastAsia="Times New Roman" w:hAnsiTheme="majorHAnsi"/>
          <w:b/>
          <w:sz w:val="20"/>
          <w:szCs w:val="20"/>
          <w:bdr w:val="none" w:sz="0" w:space="0" w:color="auto"/>
        </w:rPr>
      </w:pPr>
      <w:bookmarkStart w:id="21" w:name="_Toc522484030"/>
      <w:bookmarkStart w:id="22" w:name="_Toc523998349"/>
      <w:r w:rsidRPr="00D02D3C">
        <w:rPr>
          <w:rFonts w:asciiTheme="majorHAnsi" w:eastAsia="Times New Roman" w:hAnsiTheme="majorHAnsi"/>
          <w:b/>
          <w:sz w:val="20"/>
          <w:szCs w:val="20"/>
          <w:bdr w:val="none" w:sz="0" w:space="0" w:color="auto"/>
        </w:rPr>
        <w:t>The State</w:t>
      </w:r>
      <w:bookmarkEnd w:id="21"/>
      <w:bookmarkEnd w:id="22"/>
      <w:r w:rsidRPr="00D02D3C">
        <w:rPr>
          <w:rFonts w:asciiTheme="majorHAnsi" w:eastAsia="Times New Roman" w:hAnsiTheme="majorHAnsi"/>
          <w:b/>
          <w:sz w:val="20"/>
          <w:szCs w:val="20"/>
          <w:bdr w:val="none" w:sz="0" w:space="0" w:color="auto"/>
        </w:rPr>
        <w:t xml:space="preserve"> </w:t>
      </w:r>
    </w:p>
    <w:p w14:paraId="0D35A151" w14:textId="77777777" w:rsidR="00D02D3C" w:rsidRPr="00D02D3C" w:rsidRDefault="00D02D3C" w:rsidP="00D02D3C">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color w:val="000000" w:themeColor="text1"/>
          <w:sz w:val="20"/>
          <w:szCs w:val="20"/>
        </w:rPr>
      </w:pPr>
    </w:p>
    <w:p w14:paraId="5D7A5BC4" w14:textId="77777777" w:rsidR="00D02D3C" w:rsidRPr="00D02D3C" w:rsidRDefault="00D02D3C" w:rsidP="000A566E">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color w:val="000000" w:themeColor="text1"/>
          <w:sz w:val="20"/>
          <w:szCs w:val="20"/>
        </w:rPr>
      </w:pPr>
      <w:r w:rsidRPr="00D02D3C">
        <w:rPr>
          <w:rFonts w:ascii="Cambria" w:hAnsi="Cambria"/>
          <w:color w:val="000000" w:themeColor="text1"/>
          <w:sz w:val="20"/>
          <w:szCs w:val="20"/>
        </w:rPr>
        <w:t>The State indicated that by Decision No 9 of March 9, 1992 the Superior Court of Bolívar designated the petitioner as the 13</w:t>
      </w:r>
      <w:r w:rsidRPr="00D02D3C">
        <w:rPr>
          <w:rFonts w:ascii="Cambria" w:hAnsi="Cambria"/>
          <w:color w:val="000000" w:themeColor="text1"/>
          <w:sz w:val="20"/>
          <w:szCs w:val="20"/>
          <w:vertAlign w:val="superscript"/>
        </w:rPr>
        <w:t>th</w:t>
      </w:r>
      <w:r w:rsidRPr="00D02D3C">
        <w:rPr>
          <w:rFonts w:ascii="Cambria" w:hAnsi="Cambria"/>
          <w:color w:val="000000" w:themeColor="text1"/>
          <w:sz w:val="20"/>
          <w:szCs w:val="20"/>
        </w:rPr>
        <w:t xml:space="preserve"> Judge of Criminal Investigation, and subsequently she was designated by the Office of the Attorney General as Sectional Prosecutor. It noted that on February 9, 2002 she was appointed as Sectional Prosecutor No. 16.</w:t>
      </w:r>
    </w:p>
    <w:p w14:paraId="3A1F6903" w14:textId="77777777" w:rsidR="00D02D3C" w:rsidRPr="00D02D3C" w:rsidRDefault="00D02D3C" w:rsidP="00D02D3C">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630"/>
        <w:jc w:val="both"/>
        <w:rPr>
          <w:rFonts w:ascii="Cambria" w:hAnsi="Cambria"/>
          <w:color w:val="000000" w:themeColor="text1"/>
          <w:sz w:val="20"/>
          <w:szCs w:val="20"/>
        </w:rPr>
      </w:pPr>
    </w:p>
    <w:p w14:paraId="620C66C3" w14:textId="77777777" w:rsidR="00D02D3C" w:rsidRPr="00D02D3C" w:rsidRDefault="00D02D3C" w:rsidP="000A566E">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color w:val="000000" w:themeColor="text1"/>
          <w:sz w:val="20"/>
          <w:szCs w:val="20"/>
        </w:rPr>
      </w:pPr>
      <w:r w:rsidRPr="00D02D3C">
        <w:rPr>
          <w:rFonts w:ascii="Cambria" w:hAnsi="Cambria"/>
          <w:color w:val="000000" w:themeColor="text1"/>
          <w:sz w:val="20"/>
          <w:szCs w:val="20"/>
        </w:rPr>
        <w:t xml:space="preserve">It noted that on October 29, 2004, the Office of the Attorney General handed down a resolution ordering the petitioner’s transfer, due to needs of the service, to the Sectional Unit of Prosecutors of Providencia, as of November 2, 2004. It added that on that same date the Attorney General of the Nation issued a resolution relieving her of her duties as Sectional Prosecutor No. 16, effective November 4, 2004.  </w:t>
      </w:r>
    </w:p>
    <w:p w14:paraId="10CF3C68" w14:textId="77777777" w:rsidR="00D02D3C" w:rsidRPr="00D02D3C" w:rsidRDefault="00D02D3C" w:rsidP="00D02D3C">
      <w:pPr>
        <w:ind w:left="720"/>
        <w:rPr>
          <w:rFonts w:ascii="Cambria" w:eastAsia="Cambria" w:hAnsi="Cambria" w:cs="Cambria"/>
          <w:color w:val="000000" w:themeColor="text1"/>
          <w:sz w:val="20"/>
          <w:szCs w:val="20"/>
          <w:u w:color="000000"/>
          <w:lang w:eastAsia="es-ES"/>
        </w:rPr>
      </w:pPr>
    </w:p>
    <w:p w14:paraId="794D1507" w14:textId="77777777" w:rsidR="00D02D3C" w:rsidRPr="00D02D3C" w:rsidRDefault="00D02D3C" w:rsidP="000A566E">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color w:val="000000" w:themeColor="text1"/>
          <w:sz w:val="20"/>
          <w:szCs w:val="20"/>
        </w:rPr>
      </w:pPr>
      <w:r w:rsidRPr="00D02D3C">
        <w:rPr>
          <w:rFonts w:ascii="Cambria" w:hAnsi="Cambria"/>
          <w:color w:val="000000" w:themeColor="text1"/>
          <w:sz w:val="20"/>
          <w:szCs w:val="20"/>
        </w:rPr>
        <w:t xml:space="preserve">The State further indicated that the petitioner filed an initial </w:t>
      </w:r>
      <w:proofErr w:type="spellStart"/>
      <w:r w:rsidRPr="00D02D3C">
        <w:rPr>
          <w:rFonts w:ascii="Cambria" w:hAnsi="Cambria"/>
          <w:color w:val="000000" w:themeColor="text1"/>
          <w:sz w:val="20"/>
          <w:szCs w:val="20"/>
        </w:rPr>
        <w:t>tutela</w:t>
      </w:r>
      <w:proofErr w:type="spellEnd"/>
      <w:r w:rsidRPr="00D02D3C">
        <w:rPr>
          <w:rFonts w:ascii="Cambria" w:hAnsi="Cambria"/>
          <w:color w:val="000000" w:themeColor="text1"/>
          <w:sz w:val="20"/>
          <w:szCs w:val="20"/>
        </w:rPr>
        <w:t xml:space="preserve"> action before the Superior Court of the Judicial District of Cartagena, seeking protection for her right to work, right to freedom of association, and other rights, and that it was denied on February 25, 2005, considering that there were other means for annulling the administrative act. It added that the decision was challenged by the petitioner, but the Supreme Court of Justice upheld the decision of first instance. </w:t>
      </w:r>
    </w:p>
    <w:p w14:paraId="1D2CB70A" w14:textId="77777777" w:rsidR="00D02D3C" w:rsidRPr="00D02D3C" w:rsidRDefault="00D02D3C" w:rsidP="00D02D3C">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630"/>
        <w:jc w:val="both"/>
        <w:rPr>
          <w:rFonts w:ascii="Cambria" w:hAnsi="Cambria"/>
          <w:color w:val="000000" w:themeColor="text1"/>
          <w:sz w:val="20"/>
          <w:szCs w:val="20"/>
        </w:rPr>
      </w:pPr>
    </w:p>
    <w:p w14:paraId="5776BA19" w14:textId="77777777" w:rsidR="00D02D3C" w:rsidRPr="00D02D3C" w:rsidRDefault="00D02D3C" w:rsidP="000A566E">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color w:val="000000" w:themeColor="text1"/>
          <w:sz w:val="20"/>
          <w:szCs w:val="20"/>
        </w:rPr>
      </w:pPr>
      <w:r w:rsidRPr="00D02D3C">
        <w:rPr>
          <w:rFonts w:ascii="Cambria" w:hAnsi="Cambria"/>
          <w:color w:val="000000" w:themeColor="text1"/>
          <w:sz w:val="20"/>
          <w:szCs w:val="20"/>
        </w:rPr>
        <w:t xml:space="preserve">It indicated that on July 12, 2005 the petitioner filed an Action for Nullity of the Administrative Act and reestablishment of the right, in opposition to the resolution relieving her of her duties, and on October 4, 2005, the Administrative Tribunal of Cartagena rejected the action on grounds that it was time-barred.  </w:t>
      </w:r>
    </w:p>
    <w:p w14:paraId="00CE2528" w14:textId="77777777" w:rsidR="00D02D3C" w:rsidRPr="00D02D3C" w:rsidRDefault="00D02D3C" w:rsidP="00D02D3C">
      <w:pPr>
        <w:ind w:left="720"/>
        <w:rPr>
          <w:rFonts w:ascii="Cambria" w:eastAsia="Cambria" w:hAnsi="Cambria" w:cs="Cambria"/>
          <w:color w:val="000000" w:themeColor="text1"/>
          <w:sz w:val="20"/>
          <w:szCs w:val="20"/>
          <w:u w:color="000000"/>
          <w:lang w:eastAsia="es-ES"/>
        </w:rPr>
      </w:pPr>
    </w:p>
    <w:p w14:paraId="7F741B5C" w14:textId="77777777" w:rsidR="00D02D3C" w:rsidRPr="00D02D3C" w:rsidRDefault="00D02D3C" w:rsidP="000A566E">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color w:val="000000" w:themeColor="text1"/>
          <w:sz w:val="20"/>
          <w:szCs w:val="20"/>
        </w:rPr>
      </w:pPr>
      <w:r w:rsidRPr="00D02D3C">
        <w:rPr>
          <w:rFonts w:ascii="Cambria" w:hAnsi="Cambria"/>
          <w:color w:val="000000" w:themeColor="text1"/>
          <w:sz w:val="20"/>
          <w:szCs w:val="20"/>
        </w:rPr>
        <w:t xml:space="preserve">The State said that in July 2005, the petitioner filed a second </w:t>
      </w:r>
      <w:proofErr w:type="spellStart"/>
      <w:r w:rsidRPr="00D02D3C">
        <w:rPr>
          <w:rFonts w:ascii="Cambria" w:hAnsi="Cambria"/>
          <w:i/>
          <w:iCs/>
          <w:color w:val="000000" w:themeColor="text1"/>
          <w:sz w:val="20"/>
          <w:szCs w:val="20"/>
        </w:rPr>
        <w:t>tutela</w:t>
      </w:r>
      <w:proofErr w:type="spellEnd"/>
      <w:r w:rsidRPr="00D02D3C">
        <w:rPr>
          <w:rFonts w:ascii="Cambria" w:hAnsi="Cambria"/>
          <w:color w:val="000000" w:themeColor="text1"/>
          <w:sz w:val="20"/>
          <w:szCs w:val="20"/>
        </w:rPr>
        <w:t xml:space="preserve"> action before the Sectional Judicial Council of Bolívar to protect her right to due process and other rights, based on the argument that the decision that declared she was relieved of her duties did not state its reasoning.  It indicated that in the first instance the Council ruled in favor of the petitioner, thus she was provisionally reinstated, but that on September 7, 2005, the Superior Judicial Council overturned the ruling on first instance, considering that the petitioner had previously filed a </w:t>
      </w:r>
      <w:proofErr w:type="spellStart"/>
      <w:r w:rsidRPr="00D02D3C">
        <w:rPr>
          <w:rFonts w:ascii="Cambria" w:hAnsi="Cambria"/>
          <w:i/>
          <w:iCs/>
          <w:color w:val="000000" w:themeColor="text1"/>
          <w:sz w:val="20"/>
          <w:szCs w:val="20"/>
        </w:rPr>
        <w:t>tutela</w:t>
      </w:r>
      <w:proofErr w:type="spellEnd"/>
      <w:r w:rsidRPr="00D02D3C">
        <w:rPr>
          <w:rFonts w:ascii="Cambria" w:hAnsi="Cambria"/>
          <w:color w:val="000000" w:themeColor="text1"/>
          <w:sz w:val="20"/>
          <w:szCs w:val="20"/>
        </w:rPr>
        <w:t xml:space="preserve"> action for the same facts and claims. </w:t>
      </w:r>
    </w:p>
    <w:p w14:paraId="244AA298" w14:textId="77777777" w:rsidR="00D02D3C" w:rsidRPr="00D02D3C" w:rsidRDefault="00D02D3C" w:rsidP="00D02D3C">
      <w:pPr>
        <w:ind w:left="720"/>
        <w:rPr>
          <w:rFonts w:ascii="Cambria" w:eastAsia="Cambria" w:hAnsi="Cambria" w:cs="Cambria"/>
          <w:color w:val="000000" w:themeColor="text1"/>
          <w:sz w:val="20"/>
          <w:szCs w:val="20"/>
          <w:u w:color="000000"/>
          <w:lang w:eastAsia="es-ES"/>
        </w:rPr>
      </w:pPr>
    </w:p>
    <w:p w14:paraId="5E4C5E22" w14:textId="77777777" w:rsidR="00D02D3C" w:rsidRPr="00D02D3C" w:rsidRDefault="00D02D3C" w:rsidP="000A566E">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color w:val="000000" w:themeColor="text1"/>
          <w:sz w:val="20"/>
          <w:szCs w:val="20"/>
        </w:rPr>
      </w:pPr>
      <w:r w:rsidRPr="00D02D3C">
        <w:rPr>
          <w:rFonts w:ascii="Cambria" w:hAnsi="Cambria"/>
          <w:color w:val="000000" w:themeColor="text1"/>
          <w:sz w:val="20"/>
          <w:szCs w:val="20"/>
        </w:rPr>
        <w:t xml:space="preserve">It stated that on February 24, 2005, the petitioner filed a trade union action before the Seventh Labor Court of Cartagena, which denied the action on considering that the petitioner could not bring a claim in the trade union jurisdiction in view of her status as a Delegate Prosecutor. It further indicated that on January 26, 2007 the petitioner appealed that decision, and that the appeal was dismissed by the Superior Court of Cartagena on September 22, 2010, affirming the judgment of first instance. The State indicated that the duration of the proceeding meets the standard of reasonable time, in view of the number of matters before that Court. </w:t>
      </w:r>
    </w:p>
    <w:p w14:paraId="32C4320B" w14:textId="77777777" w:rsidR="00D02D3C" w:rsidRPr="00D02D3C" w:rsidRDefault="00D02D3C" w:rsidP="00D02D3C">
      <w:pPr>
        <w:ind w:left="720"/>
        <w:rPr>
          <w:rFonts w:ascii="Cambria" w:eastAsia="Cambria" w:hAnsi="Cambria" w:cs="Cambria"/>
          <w:color w:val="000000" w:themeColor="text1"/>
          <w:sz w:val="20"/>
          <w:szCs w:val="20"/>
          <w:u w:color="000000"/>
          <w:lang w:eastAsia="es-ES"/>
        </w:rPr>
      </w:pPr>
    </w:p>
    <w:p w14:paraId="2BC094DB" w14:textId="77777777" w:rsidR="00D02D3C" w:rsidRPr="00D02D3C" w:rsidRDefault="00D02D3C" w:rsidP="000A566E">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color w:val="000000" w:themeColor="text1"/>
          <w:sz w:val="20"/>
          <w:szCs w:val="20"/>
        </w:rPr>
      </w:pPr>
      <w:r w:rsidRPr="00D02D3C">
        <w:rPr>
          <w:rFonts w:ascii="Cambria" w:hAnsi="Cambria"/>
          <w:color w:val="000000" w:themeColor="text1"/>
          <w:sz w:val="20"/>
          <w:szCs w:val="20"/>
        </w:rPr>
        <w:t xml:space="preserve">The State said that the Attorney General of the Nation has the power to remove, at his or her discretion, the officials appointed on a provisional basis, that such acts do not need to state the reasoning, and that they are presumed to be legal. It noted that the presumption of legality may be refuted by the official affected, who may bring an action for nullity of the administrative act before administrative jurisdiction in cases of abuse of authority when the official considers that he or she was removed for reasons other than to guarantee a good service. It added that the alleged victim never proved that she was removed in an act involving abuse of authority in retaliation for her actions in the criminal proceeding against the Secretary of the Regional Autonomous Corporation of the Canal del </w:t>
      </w:r>
      <w:proofErr w:type="spellStart"/>
      <w:r w:rsidRPr="00D02D3C">
        <w:rPr>
          <w:rFonts w:ascii="Cambria" w:hAnsi="Cambria"/>
          <w:color w:val="000000" w:themeColor="text1"/>
          <w:sz w:val="20"/>
          <w:szCs w:val="20"/>
        </w:rPr>
        <w:t>Dique</w:t>
      </w:r>
      <w:proofErr w:type="spellEnd"/>
      <w:r w:rsidRPr="00D02D3C">
        <w:rPr>
          <w:rFonts w:ascii="Cambria" w:hAnsi="Cambria"/>
          <w:color w:val="000000" w:themeColor="text1"/>
          <w:sz w:val="20"/>
          <w:szCs w:val="20"/>
        </w:rPr>
        <w:t>.</w:t>
      </w:r>
    </w:p>
    <w:p w14:paraId="161B6CA1" w14:textId="77777777" w:rsidR="00D02D3C" w:rsidRPr="00D02D3C" w:rsidRDefault="00D02D3C" w:rsidP="00D02D3C">
      <w:pPr>
        <w:ind w:left="720"/>
        <w:rPr>
          <w:rFonts w:ascii="Cambria" w:eastAsia="Cambria" w:hAnsi="Cambria" w:cs="Cambria"/>
          <w:color w:val="000000" w:themeColor="text1"/>
          <w:sz w:val="20"/>
          <w:szCs w:val="20"/>
          <w:u w:color="000000"/>
          <w:lang w:eastAsia="es-ES"/>
        </w:rPr>
      </w:pPr>
    </w:p>
    <w:p w14:paraId="35231283" w14:textId="77777777" w:rsidR="00D02D3C" w:rsidRPr="00D02D3C" w:rsidRDefault="00D02D3C" w:rsidP="000A566E">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b/>
          <w:color w:val="000000" w:themeColor="text1"/>
          <w:sz w:val="20"/>
          <w:szCs w:val="20"/>
        </w:rPr>
      </w:pPr>
      <w:r w:rsidRPr="00D02D3C">
        <w:rPr>
          <w:rFonts w:ascii="Cambria" w:hAnsi="Cambria"/>
          <w:color w:val="000000" w:themeColor="text1"/>
          <w:sz w:val="20"/>
          <w:szCs w:val="20"/>
        </w:rPr>
        <w:t xml:space="preserve">As regards the law, the State indicated that it did not </w:t>
      </w:r>
      <w:proofErr w:type="gramStart"/>
      <w:r w:rsidRPr="00D02D3C">
        <w:rPr>
          <w:rFonts w:ascii="Cambria" w:hAnsi="Cambria"/>
          <w:color w:val="000000" w:themeColor="text1"/>
          <w:sz w:val="20"/>
          <w:szCs w:val="20"/>
        </w:rPr>
        <w:t>violated</w:t>
      </w:r>
      <w:proofErr w:type="gramEnd"/>
      <w:r w:rsidRPr="00D02D3C">
        <w:rPr>
          <w:rFonts w:ascii="Cambria" w:hAnsi="Cambria"/>
          <w:color w:val="000000" w:themeColor="text1"/>
          <w:sz w:val="20"/>
          <w:szCs w:val="20"/>
        </w:rPr>
        <w:t xml:space="preserve"> the </w:t>
      </w:r>
      <w:r w:rsidRPr="00D02D3C">
        <w:rPr>
          <w:rFonts w:ascii="Cambria" w:hAnsi="Cambria"/>
          <w:b/>
          <w:color w:val="000000" w:themeColor="text1"/>
          <w:sz w:val="20"/>
          <w:szCs w:val="20"/>
        </w:rPr>
        <w:t xml:space="preserve">rights to judicial guarantees and judicial protection. </w:t>
      </w:r>
      <w:r w:rsidRPr="00D02D3C">
        <w:rPr>
          <w:rFonts w:ascii="Cambria" w:hAnsi="Cambria"/>
          <w:color w:val="000000" w:themeColor="text1"/>
          <w:sz w:val="20"/>
          <w:szCs w:val="20"/>
        </w:rPr>
        <w:t xml:space="preserve">It argued that the action for nullity and reestablishment of the right was an adequate and effective remedy that made it possible to review the legality of the administrative act that removed the petitioner, yet that action was rejected in the instant case because it was filed several months after the term established by law. </w:t>
      </w:r>
    </w:p>
    <w:p w14:paraId="1D8A0402" w14:textId="77777777" w:rsidR="00D02D3C" w:rsidRPr="00D02D3C" w:rsidRDefault="00D02D3C" w:rsidP="00D02D3C">
      <w:pPr>
        <w:ind w:left="720"/>
        <w:rPr>
          <w:rFonts w:ascii="Cambria" w:eastAsia="Cambria" w:hAnsi="Cambria" w:cs="Cambria"/>
          <w:b/>
          <w:color w:val="000000" w:themeColor="text1"/>
          <w:sz w:val="20"/>
          <w:szCs w:val="20"/>
          <w:u w:color="000000"/>
          <w:lang w:eastAsia="es-ES"/>
        </w:rPr>
      </w:pPr>
    </w:p>
    <w:p w14:paraId="52C88117" w14:textId="77777777" w:rsidR="00D02D3C" w:rsidRPr="00D02D3C" w:rsidRDefault="00D02D3C" w:rsidP="000A566E">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color w:val="000000" w:themeColor="text1"/>
          <w:sz w:val="20"/>
          <w:szCs w:val="20"/>
        </w:rPr>
      </w:pPr>
      <w:r w:rsidRPr="00D02D3C">
        <w:rPr>
          <w:rFonts w:ascii="Cambria" w:hAnsi="Cambria"/>
          <w:color w:val="000000" w:themeColor="text1"/>
          <w:sz w:val="20"/>
          <w:szCs w:val="20"/>
        </w:rPr>
        <w:t xml:space="preserve">Moreover, it indicated that the </w:t>
      </w:r>
      <w:proofErr w:type="spellStart"/>
      <w:r w:rsidRPr="00D02D3C">
        <w:rPr>
          <w:rFonts w:ascii="Cambria" w:hAnsi="Cambria"/>
          <w:i/>
          <w:iCs/>
          <w:color w:val="000000" w:themeColor="text1"/>
          <w:sz w:val="20"/>
          <w:szCs w:val="20"/>
        </w:rPr>
        <w:t>tutela</w:t>
      </w:r>
      <w:proofErr w:type="spellEnd"/>
      <w:r w:rsidRPr="00D02D3C">
        <w:rPr>
          <w:rFonts w:ascii="Cambria" w:hAnsi="Cambria"/>
          <w:color w:val="000000" w:themeColor="text1"/>
          <w:sz w:val="20"/>
          <w:szCs w:val="20"/>
        </w:rPr>
        <w:t xml:space="preserve"> action may go forward when what one seeks is the reasoning of the administrative act, yet it is not suitable for attaining reinstatement or the payment of benefits for the official concerned, which was what the petitioner was seeking with her </w:t>
      </w:r>
      <w:proofErr w:type="spellStart"/>
      <w:r w:rsidRPr="00D02D3C">
        <w:rPr>
          <w:rFonts w:ascii="Cambria" w:hAnsi="Cambria"/>
          <w:i/>
          <w:iCs/>
          <w:color w:val="000000" w:themeColor="text1"/>
          <w:sz w:val="20"/>
          <w:szCs w:val="20"/>
        </w:rPr>
        <w:t>tutela</w:t>
      </w:r>
      <w:proofErr w:type="spellEnd"/>
      <w:r w:rsidRPr="00D02D3C">
        <w:rPr>
          <w:rFonts w:ascii="Cambria" w:hAnsi="Cambria"/>
          <w:color w:val="000000" w:themeColor="text1"/>
          <w:sz w:val="20"/>
          <w:szCs w:val="20"/>
        </w:rPr>
        <w:t xml:space="preserve"> actions. In this regard, it explained that the first </w:t>
      </w:r>
      <w:proofErr w:type="spellStart"/>
      <w:r w:rsidRPr="00D02D3C">
        <w:rPr>
          <w:rFonts w:ascii="Cambria" w:hAnsi="Cambria"/>
          <w:i/>
          <w:iCs/>
          <w:color w:val="000000" w:themeColor="text1"/>
          <w:sz w:val="20"/>
          <w:szCs w:val="20"/>
        </w:rPr>
        <w:t>tutela</w:t>
      </w:r>
      <w:proofErr w:type="spellEnd"/>
      <w:r w:rsidRPr="00D02D3C">
        <w:rPr>
          <w:rFonts w:ascii="Cambria" w:hAnsi="Cambria"/>
          <w:color w:val="000000" w:themeColor="text1"/>
          <w:sz w:val="20"/>
          <w:szCs w:val="20"/>
        </w:rPr>
        <w:t xml:space="preserve"> action was denied, as it was considered that inappropriate use was being made of said remedy. </w:t>
      </w:r>
    </w:p>
    <w:p w14:paraId="710D2A51" w14:textId="77777777" w:rsidR="00D02D3C" w:rsidRPr="00D02D3C" w:rsidRDefault="00D02D3C" w:rsidP="00D02D3C">
      <w:pPr>
        <w:ind w:left="720"/>
        <w:rPr>
          <w:rFonts w:ascii="Cambria" w:eastAsia="Cambria" w:hAnsi="Cambria" w:cs="Cambria"/>
          <w:color w:val="000000" w:themeColor="text1"/>
          <w:sz w:val="20"/>
          <w:szCs w:val="20"/>
          <w:u w:color="000000"/>
          <w:lang w:eastAsia="es-ES"/>
        </w:rPr>
      </w:pPr>
    </w:p>
    <w:p w14:paraId="211D52E6" w14:textId="77777777" w:rsidR="00D02D3C" w:rsidRPr="00D02D3C" w:rsidRDefault="00D02D3C" w:rsidP="000A566E">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color w:val="000000" w:themeColor="text1"/>
          <w:sz w:val="20"/>
          <w:szCs w:val="20"/>
        </w:rPr>
      </w:pPr>
      <w:r w:rsidRPr="00D02D3C">
        <w:rPr>
          <w:rFonts w:ascii="Cambria" w:hAnsi="Cambria"/>
          <w:color w:val="000000" w:themeColor="text1"/>
          <w:sz w:val="20"/>
          <w:szCs w:val="20"/>
        </w:rPr>
        <w:t xml:space="preserve">In addition, it argued that the Superior Judicial Council denied the second </w:t>
      </w:r>
      <w:proofErr w:type="spellStart"/>
      <w:r w:rsidRPr="00D02D3C">
        <w:rPr>
          <w:rFonts w:ascii="Cambria" w:hAnsi="Cambria"/>
          <w:color w:val="000000" w:themeColor="text1"/>
          <w:sz w:val="20"/>
          <w:szCs w:val="20"/>
        </w:rPr>
        <w:t>tutela</w:t>
      </w:r>
      <w:proofErr w:type="spellEnd"/>
      <w:r w:rsidRPr="00D02D3C">
        <w:rPr>
          <w:rFonts w:ascii="Cambria" w:hAnsi="Cambria"/>
          <w:color w:val="000000" w:themeColor="text1"/>
          <w:sz w:val="20"/>
          <w:szCs w:val="20"/>
        </w:rPr>
        <w:t xml:space="preserve"> action since it was based on the same facts and put forth the same claims. It added that arguing violation of the right to due process did not break the identity between the two </w:t>
      </w:r>
      <w:proofErr w:type="spellStart"/>
      <w:r w:rsidRPr="00D02D3C">
        <w:rPr>
          <w:rFonts w:ascii="Cambria" w:hAnsi="Cambria"/>
          <w:i/>
          <w:iCs/>
          <w:color w:val="000000" w:themeColor="text1"/>
          <w:sz w:val="20"/>
          <w:szCs w:val="20"/>
        </w:rPr>
        <w:t>tutela</w:t>
      </w:r>
      <w:proofErr w:type="spellEnd"/>
      <w:r w:rsidRPr="00D02D3C">
        <w:rPr>
          <w:rFonts w:ascii="Cambria" w:hAnsi="Cambria"/>
          <w:color w:val="000000" w:themeColor="text1"/>
          <w:sz w:val="20"/>
          <w:szCs w:val="20"/>
        </w:rPr>
        <w:t xml:space="preserve"> actions.  </w:t>
      </w:r>
    </w:p>
    <w:p w14:paraId="7D020390" w14:textId="77777777" w:rsidR="00D02D3C" w:rsidRPr="00D02D3C" w:rsidRDefault="00D02D3C" w:rsidP="00D02D3C">
      <w:pPr>
        <w:ind w:left="720"/>
        <w:rPr>
          <w:rFonts w:ascii="Cambria" w:eastAsia="Cambria" w:hAnsi="Cambria" w:cs="Cambria"/>
          <w:color w:val="000000" w:themeColor="text1"/>
          <w:sz w:val="20"/>
          <w:szCs w:val="20"/>
          <w:u w:color="000000"/>
          <w:lang w:eastAsia="es-ES"/>
        </w:rPr>
      </w:pPr>
    </w:p>
    <w:p w14:paraId="514FAC7D" w14:textId="77777777" w:rsidR="00D02D3C" w:rsidRPr="00D02D3C" w:rsidRDefault="00D02D3C" w:rsidP="000A566E">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eastAsia="Calibri" w:hAnsi="Cambria"/>
          <w:sz w:val="20"/>
          <w:szCs w:val="20"/>
          <w:bdr w:val="none" w:sz="0" w:space="0" w:color="auto"/>
        </w:rPr>
      </w:pPr>
      <w:r w:rsidRPr="00D02D3C">
        <w:rPr>
          <w:rFonts w:ascii="Cambria" w:hAnsi="Cambria"/>
          <w:color w:val="000000" w:themeColor="text1"/>
          <w:sz w:val="20"/>
          <w:szCs w:val="20"/>
        </w:rPr>
        <w:lastRenderedPageBreak/>
        <w:t xml:space="preserve">The State concluded by indicating that the alleged victim had adequate and effective remedies by which she obtained an in-depth study and expeditious responses to her claims, in keeping with the national legislation. </w:t>
      </w:r>
    </w:p>
    <w:p w14:paraId="789916F1" w14:textId="77777777" w:rsidR="00D02D3C" w:rsidRPr="00D02D3C" w:rsidRDefault="00D02D3C" w:rsidP="00D02D3C">
      <w:pPr>
        <w:rPr>
          <w:rFonts w:asciiTheme="majorHAnsi" w:eastAsia="Times New Roman" w:hAnsiTheme="majorHAnsi"/>
          <w:sz w:val="20"/>
          <w:szCs w:val="20"/>
          <w:bdr w:val="none" w:sz="0" w:space="0" w:color="auto"/>
        </w:rPr>
      </w:pPr>
    </w:p>
    <w:p w14:paraId="24120C18" w14:textId="77777777" w:rsidR="00D02D3C" w:rsidRPr="00D02D3C" w:rsidRDefault="00D02D3C" w:rsidP="000A566E">
      <w:pPr>
        <w:keepNext/>
        <w:numPr>
          <w:ilvl w:val="0"/>
          <w:numId w:val="66"/>
        </w:numPr>
        <w:pBdr>
          <w:top w:val="none" w:sz="0" w:space="0" w:color="auto"/>
          <w:left w:val="none" w:sz="0" w:space="0" w:color="auto"/>
          <w:bottom w:val="none" w:sz="0" w:space="0" w:color="auto"/>
          <w:right w:val="none" w:sz="0" w:space="0" w:color="auto"/>
          <w:between w:val="none" w:sz="0" w:space="0" w:color="auto"/>
          <w:bar w:val="none" w:sz="0" w:color="auto"/>
        </w:pBdr>
        <w:ind w:hanging="810"/>
        <w:outlineLvl w:val="0"/>
        <w:rPr>
          <w:rFonts w:asciiTheme="majorHAnsi" w:eastAsia="Times New Roman" w:hAnsiTheme="majorHAnsi"/>
          <w:b/>
          <w:sz w:val="20"/>
          <w:szCs w:val="20"/>
          <w:bdr w:val="none" w:sz="0" w:space="0" w:color="auto"/>
        </w:rPr>
      </w:pPr>
      <w:bookmarkStart w:id="23" w:name="_Toc522484031"/>
      <w:bookmarkStart w:id="24" w:name="_Toc523998350"/>
      <w:bookmarkStart w:id="25" w:name="_Toc370840748"/>
      <w:bookmarkStart w:id="26" w:name="_Toc370840844"/>
      <w:bookmarkStart w:id="27" w:name="_Toc423514410"/>
      <w:bookmarkStart w:id="28" w:name="_Toc433115986"/>
      <w:bookmarkStart w:id="29" w:name="_Toc444958129"/>
      <w:bookmarkStart w:id="30" w:name="_Toc479004114"/>
      <w:bookmarkStart w:id="31" w:name="_Toc491078411"/>
      <w:r w:rsidRPr="00D02D3C">
        <w:rPr>
          <w:rFonts w:asciiTheme="majorHAnsi" w:eastAsia="Times New Roman" w:hAnsiTheme="majorHAnsi"/>
          <w:b/>
          <w:sz w:val="20"/>
          <w:szCs w:val="20"/>
          <w:bdr w:val="none" w:sz="0" w:space="0" w:color="auto"/>
        </w:rPr>
        <w:t>FACTS PROVEN</w:t>
      </w:r>
      <w:bookmarkEnd w:id="23"/>
      <w:bookmarkEnd w:id="24"/>
      <w:r w:rsidRPr="00D02D3C">
        <w:rPr>
          <w:rFonts w:asciiTheme="majorHAnsi" w:eastAsia="Times New Roman" w:hAnsiTheme="majorHAnsi"/>
          <w:b/>
          <w:sz w:val="20"/>
          <w:szCs w:val="20"/>
          <w:bdr w:val="none" w:sz="0" w:space="0" w:color="auto"/>
        </w:rPr>
        <w:t xml:space="preserve"> </w:t>
      </w:r>
      <w:bookmarkStart w:id="32" w:name="_Toc491078412"/>
      <w:bookmarkEnd w:id="25"/>
      <w:bookmarkEnd w:id="26"/>
      <w:bookmarkEnd w:id="27"/>
      <w:bookmarkEnd w:id="28"/>
      <w:bookmarkEnd w:id="29"/>
      <w:bookmarkEnd w:id="30"/>
      <w:bookmarkEnd w:id="31"/>
    </w:p>
    <w:bookmarkEnd w:id="32"/>
    <w:p w14:paraId="6366C7F6" w14:textId="77777777" w:rsidR="00D02D3C" w:rsidRPr="00D02D3C" w:rsidRDefault="00D02D3C" w:rsidP="00D02D3C">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sz w:val="20"/>
          <w:szCs w:val="20"/>
        </w:rPr>
      </w:pPr>
    </w:p>
    <w:p w14:paraId="79122100" w14:textId="77777777" w:rsidR="00D02D3C" w:rsidRPr="00D02D3C" w:rsidRDefault="00D02D3C" w:rsidP="000A566E">
      <w:pPr>
        <w:keepNext/>
        <w:numPr>
          <w:ilvl w:val="0"/>
          <w:numId w:val="70"/>
        </w:numPr>
        <w:pBdr>
          <w:top w:val="none" w:sz="0" w:space="0" w:color="auto"/>
          <w:left w:val="none" w:sz="0" w:space="0" w:color="auto"/>
          <w:bottom w:val="none" w:sz="0" w:space="0" w:color="auto"/>
          <w:right w:val="none" w:sz="0" w:space="0" w:color="auto"/>
          <w:between w:val="none" w:sz="0" w:space="0" w:color="auto"/>
          <w:bar w:val="none" w:sz="0" w:color="auto"/>
        </w:pBdr>
        <w:ind w:left="1440" w:hanging="810"/>
        <w:jc w:val="both"/>
        <w:outlineLvl w:val="1"/>
        <w:rPr>
          <w:rFonts w:asciiTheme="majorHAnsi" w:eastAsia="Times New Roman" w:hAnsiTheme="majorHAnsi"/>
          <w:b/>
          <w:sz w:val="20"/>
          <w:szCs w:val="20"/>
          <w:bdr w:val="none" w:sz="0" w:space="0" w:color="auto"/>
        </w:rPr>
      </w:pPr>
      <w:bookmarkStart w:id="33" w:name="_Toc522484032"/>
      <w:bookmarkStart w:id="34" w:name="_Toc523998351"/>
      <w:r w:rsidRPr="00D02D3C">
        <w:rPr>
          <w:rFonts w:asciiTheme="majorHAnsi" w:eastAsia="Times New Roman" w:hAnsiTheme="majorHAnsi"/>
          <w:b/>
          <w:sz w:val="20"/>
          <w:szCs w:val="20"/>
          <w:bdr w:val="none" w:sz="0" w:space="0" w:color="auto"/>
        </w:rPr>
        <w:t>Appointment</w:t>
      </w:r>
      <w:bookmarkEnd w:id="33"/>
      <w:bookmarkEnd w:id="34"/>
      <w:r w:rsidRPr="00D02D3C">
        <w:rPr>
          <w:rFonts w:asciiTheme="majorHAnsi" w:eastAsia="Times New Roman" w:hAnsiTheme="majorHAnsi"/>
          <w:b/>
          <w:sz w:val="20"/>
          <w:szCs w:val="20"/>
          <w:bdr w:val="none" w:sz="0" w:space="0" w:color="auto"/>
        </w:rPr>
        <w:t xml:space="preserve"> </w:t>
      </w:r>
    </w:p>
    <w:p w14:paraId="4788E7C6" w14:textId="77777777" w:rsidR="00D02D3C" w:rsidRPr="00D02D3C" w:rsidRDefault="00D02D3C" w:rsidP="00D02D3C"/>
    <w:p w14:paraId="6A306A9F" w14:textId="77777777" w:rsidR="00D02D3C" w:rsidRPr="00D02D3C" w:rsidRDefault="00D02D3C" w:rsidP="000A566E">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pPr>
      <w:r w:rsidRPr="00D02D3C">
        <w:rPr>
          <w:rFonts w:ascii="Cambria" w:hAnsi="Cambria"/>
          <w:sz w:val="20"/>
          <w:szCs w:val="20"/>
        </w:rPr>
        <w:t xml:space="preserve">As appears in the record, on March 12, 1992 the Superior Court of the Judicial District of Cartagena designated </w:t>
      </w:r>
      <w:proofErr w:type="spellStart"/>
      <w:r w:rsidRPr="00D02D3C">
        <w:rPr>
          <w:rFonts w:ascii="Cambria" w:hAnsi="Cambria"/>
          <w:sz w:val="20"/>
          <w:szCs w:val="20"/>
        </w:rPr>
        <w:t>Yenina</w:t>
      </w:r>
      <w:proofErr w:type="spellEnd"/>
      <w:r w:rsidRPr="00D02D3C">
        <w:rPr>
          <w:rFonts w:ascii="Cambria" w:hAnsi="Cambria"/>
          <w:sz w:val="20"/>
          <w:szCs w:val="20"/>
        </w:rPr>
        <w:t xml:space="preserve"> </w:t>
      </w:r>
      <w:proofErr w:type="spellStart"/>
      <w:r w:rsidRPr="00D02D3C">
        <w:rPr>
          <w:rFonts w:ascii="Cambria" w:hAnsi="Cambria"/>
          <w:sz w:val="20"/>
          <w:szCs w:val="20"/>
        </w:rPr>
        <w:t>Martínez</w:t>
      </w:r>
      <w:proofErr w:type="spellEnd"/>
      <w:r w:rsidRPr="00D02D3C">
        <w:rPr>
          <w:rFonts w:ascii="Cambria" w:hAnsi="Cambria"/>
          <w:sz w:val="20"/>
          <w:szCs w:val="20"/>
        </w:rPr>
        <w:t xml:space="preserve"> </w:t>
      </w:r>
      <w:proofErr w:type="spellStart"/>
      <w:r w:rsidRPr="00D02D3C">
        <w:rPr>
          <w:rFonts w:ascii="Cambria" w:hAnsi="Cambria"/>
          <w:sz w:val="20"/>
          <w:szCs w:val="20"/>
        </w:rPr>
        <w:t>Esquivia</w:t>
      </w:r>
      <w:proofErr w:type="spellEnd"/>
      <w:r w:rsidRPr="00D02D3C">
        <w:rPr>
          <w:rFonts w:ascii="Cambria" w:hAnsi="Cambria"/>
          <w:sz w:val="20"/>
          <w:szCs w:val="20"/>
        </w:rPr>
        <w:t>, by 10 votes, as the 13</w:t>
      </w:r>
      <w:r w:rsidRPr="00D02D3C">
        <w:rPr>
          <w:rFonts w:ascii="Cambria" w:hAnsi="Cambria"/>
          <w:sz w:val="20"/>
          <w:szCs w:val="20"/>
          <w:vertAlign w:val="superscript"/>
        </w:rPr>
        <w:t>th</w:t>
      </w:r>
      <w:r w:rsidRPr="00D02D3C">
        <w:rPr>
          <w:rFonts w:ascii="Cambria" w:hAnsi="Cambria"/>
          <w:sz w:val="20"/>
          <w:szCs w:val="20"/>
        </w:rPr>
        <w:t xml:space="preserve"> Judge of Criminal Investigation of </w:t>
      </w:r>
      <w:proofErr w:type="spellStart"/>
      <w:r w:rsidRPr="00D02D3C">
        <w:rPr>
          <w:rFonts w:ascii="Cambria" w:hAnsi="Cambria"/>
          <w:sz w:val="20"/>
          <w:szCs w:val="20"/>
        </w:rPr>
        <w:t>Mompox</w:t>
      </w:r>
      <w:proofErr w:type="spellEnd"/>
      <w:r w:rsidRPr="00D02D3C">
        <w:rPr>
          <w:rFonts w:ascii="Cambria" w:hAnsi="Cambria"/>
          <w:sz w:val="20"/>
          <w:szCs w:val="20"/>
        </w:rPr>
        <w:t>, on a provisional basis. The resolution indicated that “Ms. YENINA MARTÍNEZ ESQUIVIA Esq. is put in charge of the 13</w:t>
      </w:r>
      <w:r w:rsidRPr="00D02D3C">
        <w:rPr>
          <w:rFonts w:ascii="Cambria" w:hAnsi="Cambria"/>
          <w:sz w:val="20"/>
          <w:szCs w:val="20"/>
          <w:vertAlign w:val="superscript"/>
        </w:rPr>
        <w:t>th</w:t>
      </w:r>
      <w:r w:rsidRPr="00D02D3C">
        <w:rPr>
          <w:rFonts w:ascii="Cambria" w:hAnsi="Cambria"/>
          <w:sz w:val="20"/>
          <w:szCs w:val="20"/>
        </w:rPr>
        <w:t xml:space="preserve"> Court of Criminal Instruction, situated in </w:t>
      </w:r>
      <w:proofErr w:type="spellStart"/>
      <w:r w:rsidRPr="00D02D3C">
        <w:rPr>
          <w:rFonts w:ascii="Cambria" w:hAnsi="Cambria"/>
          <w:sz w:val="20"/>
          <w:szCs w:val="20"/>
        </w:rPr>
        <w:t>Mompox</w:t>
      </w:r>
      <w:proofErr w:type="spellEnd"/>
      <w:r w:rsidRPr="00D02D3C">
        <w:rPr>
          <w:rFonts w:ascii="Cambria" w:hAnsi="Cambria"/>
          <w:sz w:val="20"/>
          <w:szCs w:val="20"/>
        </w:rPr>
        <w:t>, while she submits the documentation for confirmation of the position.”</w:t>
      </w:r>
      <w:r w:rsidRPr="00D02D3C">
        <w:rPr>
          <w:rFonts w:asciiTheme="majorHAnsi" w:hAnsiTheme="majorHAnsi"/>
          <w:sz w:val="20"/>
          <w:szCs w:val="20"/>
          <w:vertAlign w:val="superscript"/>
        </w:rPr>
        <w:footnoteReference w:id="4"/>
      </w:r>
    </w:p>
    <w:p w14:paraId="5E7751D7" w14:textId="77777777" w:rsidR="00D02D3C" w:rsidRPr="00D02D3C" w:rsidRDefault="00D02D3C" w:rsidP="00D02D3C">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630"/>
        <w:jc w:val="both"/>
        <w:rPr>
          <w:rFonts w:ascii="Cambria" w:hAnsi="Cambria"/>
          <w:sz w:val="20"/>
          <w:szCs w:val="20"/>
        </w:rPr>
      </w:pPr>
    </w:p>
    <w:p w14:paraId="228B9D84" w14:textId="77777777" w:rsidR="00D02D3C" w:rsidRPr="00D02D3C" w:rsidRDefault="00D02D3C" w:rsidP="000A566E">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sz w:val="20"/>
          <w:szCs w:val="20"/>
        </w:rPr>
      </w:pPr>
      <w:r w:rsidRPr="00D02D3C">
        <w:rPr>
          <w:rFonts w:ascii="Cambria" w:hAnsi="Cambria"/>
          <w:sz w:val="20"/>
          <w:szCs w:val="20"/>
        </w:rPr>
        <w:t>On July 1, 1992, the Office of the Sectional Director of Prosecutors of Cartagena assigned the alleged victim, “currently the 13</w:t>
      </w:r>
      <w:r w:rsidRPr="00D02D3C">
        <w:rPr>
          <w:rFonts w:ascii="Cambria" w:hAnsi="Cambria"/>
          <w:sz w:val="20"/>
          <w:szCs w:val="20"/>
          <w:vertAlign w:val="superscript"/>
        </w:rPr>
        <w:t>th</w:t>
      </w:r>
      <w:r w:rsidRPr="00D02D3C">
        <w:rPr>
          <w:rFonts w:ascii="Cambria" w:hAnsi="Cambria"/>
          <w:sz w:val="20"/>
          <w:szCs w:val="20"/>
        </w:rPr>
        <w:t xml:space="preserve"> Judge of Criminal Instruction, Grade 17, to the position of Sectional Prosecutor Grade 18 in </w:t>
      </w:r>
      <w:proofErr w:type="spellStart"/>
      <w:r w:rsidRPr="00D02D3C">
        <w:rPr>
          <w:rFonts w:ascii="Cambria" w:hAnsi="Cambria"/>
          <w:sz w:val="20"/>
          <w:szCs w:val="20"/>
        </w:rPr>
        <w:t>Mompox</w:t>
      </w:r>
      <w:proofErr w:type="spellEnd"/>
      <w:r w:rsidRPr="00D02D3C">
        <w:rPr>
          <w:rFonts w:ascii="Cambria" w:hAnsi="Cambria"/>
          <w:sz w:val="20"/>
          <w:szCs w:val="20"/>
        </w:rPr>
        <w:t xml:space="preserve"> (Bolívar).”</w:t>
      </w:r>
      <w:r w:rsidRPr="00D02D3C">
        <w:rPr>
          <w:rFonts w:asciiTheme="majorHAnsi" w:hAnsiTheme="majorHAnsi"/>
          <w:sz w:val="20"/>
          <w:szCs w:val="20"/>
          <w:vertAlign w:val="superscript"/>
        </w:rPr>
        <w:footnoteReference w:id="5"/>
      </w:r>
      <w:r w:rsidRPr="00D02D3C">
        <w:rPr>
          <w:rFonts w:ascii="Cambria" w:hAnsi="Cambria"/>
          <w:sz w:val="20"/>
          <w:szCs w:val="20"/>
        </w:rPr>
        <w:t xml:space="preserve"> The Commission underscores that said resolution does not indicate the type of appointment nor its conditions. </w:t>
      </w:r>
    </w:p>
    <w:p w14:paraId="6126A6D2" w14:textId="77777777" w:rsidR="00D02D3C" w:rsidRPr="00D02D3C" w:rsidRDefault="00D02D3C" w:rsidP="00D02D3C">
      <w:pPr>
        <w:ind w:left="720"/>
        <w:rPr>
          <w:rFonts w:ascii="Cambria" w:eastAsia="Cambria" w:hAnsi="Cambria" w:cs="Cambria"/>
          <w:color w:val="000000"/>
          <w:sz w:val="20"/>
          <w:szCs w:val="20"/>
          <w:u w:color="000000"/>
          <w:lang w:eastAsia="es-ES"/>
        </w:rPr>
      </w:pPr>
    </w:p>
    <w:p w14:paraId="22DAA646" w14:textId="77777777" w:rsidR="00D02D3C" w:rsidRPr="00D02D3C" w:rsidRDefault="00D02D3C" w:rsidP="000A566E">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sz w:val="20"/>
          <w:szCs w:val="20"/>
        </w:rPr>
      </w:pPr>
      <w:r w:rsidRPr="00D02D3C">
        <w:rPr>
          <w:rFonts w:ascii="Cambria" w:hAnsi="Cambria"/>
          <w:sz w:val="20"/>
          <w:szCs w:val="20"/>
        </w:rPr>
        <w:t xml:space="preserve">On September 28, 1992 the Sectional Director of Prosecutors ruled to transfer the alleged victim, Sectional Prosecutor 25 based on </w:t>
      </w:r>
      <w:proofErr w:type="spellStart"/>
      <w:r w:rsidRPr="00D02D3C">
        <w:rPr>
          <w:rFonts w:ascii="Cambria" w:hAnsi="Cambria"/>
          <w:sz w:val="20"/>
          <w:szCs w:val="20"/>
        </w:rPr>
        <w:t>Mompox</w:t>
      </w:r>
      <w:proofErr w:type="spellEnd"/>
      <w:r w:rsidRPr="00D02D3C">
        <w:rPr>
          <w:rFonts w:ascii="Cambria" w:hAnsi="Cambria"/>
          <w:sz w:val="20"/>
          <w:szCs w:val="20"/>
        </w:rPr>
        <w:t xml:space="preserve"> to the Unit of Prosecutors of El Carmen de Bolívar, taking into account the alleged victim’s request, for family reasons, “since it is quite far from her family.”</w:t>
      </w:r>
      <w:r w:rsidRPr="00D02D3C">
        <w:rPr>
          <w:rFonts w:asciiTheme="majorHAnsi" w:hAnsiTheme="majorHAnsi"/>
          <w:sz w:val="20"/>
          <w:szCs w:val="20"/>
          <w:vertAlign w:val="superscript"/>
        </w:rPr>
        <w:footnoteReference w:id="6"/>
      </w:r>
      <w:r w:rsidRPr="00D02D3C">
        <w:rPr>
          <w:rFonts w:ascii="Cambria" w:hAnsi="Cambria"/>
          <w:sz w:val="20"/>
          <w:szCs w:val="20"/>
        </w:rPr>
        <w:t xml:space="preserve">  </w:t>
      </w:r>
    </w:p>
    <w:p w14:paraId="3929990E" w14:textId="77777777" w:rsidR="00D02D3C" w:rsidRPr="00D02D3C" w:rsidRDefault="00D02D3C" w:rsidP="00D02D3C">
      <w:pPr>
        <w:ind w:left="720"/>
        <w:rPr>
          <w:rFonts w:ascii="Cambria" w:eastAsia="Cambria" w:hAnsi="Cambria" w:cs="Cambria"/>
          <w:color w:val="000000"/>
          <w:sz w:val="20"/>
          <w:szCs w:val="20"/>
          <w:u w:color="000000"/>
          <w:lang w:eastAsia="es-ES"/>
        </w:rPr>
      </w:pPr>
    </w:p>
    <w:p w14:paraId="0BE18ED2" w14:textId="77777777" w:rsidR="00D02D3C" w:rsidRPr="00D02D3C" w:rsidRDefault="00D02D3C" w:rsidP="000A566E">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sz w:val="20"/>
          <w:szCs w:val="20"/>
        </w:rPr>
      </w:pPr>
      <w:r w:rsidRPr="00D02D3C">
        <w:rPr>
          <w:rFonts w:ascii="Cambria" w:hAnsi="Cambria"/>
          <w:sz w:val="20"/>
          <w:szCs w:val="20"/>
        </w:rPr>
        <w:t>In 1996 the Office of the Administrative and Financial Sectional Bureau of the Office of the Attorney General of the Nation ruled to transfer the alleged victim to the Specialized Unit of Crimes against Economic Property (</w:t>
      </w:r>
      <w:proofErr w:type="spellStart"/>
      <w:r w:rsidRPr="00D02D3C">
        <w:rPr>
          <w:rFonts w:ascii="Cambria" w:hAnsi="Cambria"/>
          <w:sz w:val="20"/>
          <w:szCs w:val="20"/>
        </w:rPr>
        <w:t>Unidad</w:t>
      </w:r>
      <w:proofErr w:type="spellEnd"/>
      <w:r w:rsidRPr="00D02D3C">
        <w:rPr>
          <w:rFonts w:ascii="Cambria" w:hAnsi="Cambria"/>
          <w:sz w:val="20"/>
          <w:szCs w:val="20"/>
        </w:rPr>
        <w:t xml:space="preserve"> </w:t>
      </w:r>
      <w:proofErr w:type="spellStart"/>
      <w:r w:rsidRPr="00D02D3C">
        <w:rPr>
          <w:rFonts w:ascii="Cambria" w:hAnsi="Cambria"/>
          <w:sz w:val="20"/>
          <w:szCs w:val="20"/>
        </w:rPr>
        <w:t>Especializada</w:t>
      </w:r>
      <w:proofErr w:type="spellEnd"/>
      <w:r w:rsidRPr="00D02D3C">
        <w:rPr>
          <w:rFonts w:ascii="Cambria" w:hAnsi="Cambria"/>
          <w:sz w:val="20"/>
          <w:szCs w:val="20"/>
        </w:rPr>
        <w:t xml:space="preserve"> de </w:t>
      </w:r>
      <w:proofErr w:type="spellStart"/>
      <w:r w:rsidRPr="00D02D3C">
        <w:rPr>
          <w:rFonts w:ascii="Cambria" w:hAnsi="Cambria"/>
          <w:sz w:val="20"/>
          <w:szCs w:val="20"/>
        </w:rPr>
        <w:t>Delitos</w:t>
      </w:r>
      <w:proofErr w:type="spellEnd"/>
      <w:r w:rsidRPr="00D02D3C">
        <w:rPr>
          <w:rFonts w:ascii="Cambria" w:hAnsi="Cambria"/>
          <w:sz w:val="20"/>
          <w:szCs w:val="20"/>
        </w:rPr>
        <w:t xml:space="preserve"> contra el </w:t>
      </w:r>
      <w:proofErr w:type="spellStart"/>
      <w:r w:rsidRPr="00D02D3C">
        <w:rPr>
          <w:rFonts w:ascii="Cambria" w:hAnsi="Cambria"/>
          <w:sz w:val="20"/>
          <w:szCs w:val="20"/>
        </w:rPr>
        <w:t>Patrimonio</w:t>
      </w:r>
      <w:proofErr w:type="spellEnd"/>
      <w:r w:rsidRPr="00D02D3C">
        <w:rPr>
          <w:rFonts w:ascii="Cambria" w:hAnsi="Cambria"/>
          <w:sz w:val="20"/>
          <w:szCs w:val="20"/>
        </w:rPr>
        <w:t xml:space="preserve"> </w:t>
      </w:r>
      <w:proofErr w:type="spellStart"/>
      <w:r w:rsidRPr="00D02D3C">
        <w:rPr>
          <w:rFonts w:ascii="Cambria" w:hAnsi="Cambria"/>
          <w:sz w:val="20"/>
          <w:szCs w:val="20"/>
        </w:rPr>
        <w:t>Económico</w:t>
      </w:r>
      <w:proofErr w:type="spellEnd"/>
      <w:r w:rsidRPr="00D02D3C">
        <w:rPr>
          <w:rFonts w:ascii="Cambria" w:hAnsi="Cambria"/>
          <w:sz w:val="20"/>
          <w:szCs w:val="20"/>
        </w:rPr>
        <w:t>).</w:t>
      </w:r>
      <w:r w:rsidRPr="00D02D3C">
        <w:rPr>
          <w:rFonts w:asciiTheme="majorHAnsi" w:hAnsiTheme="majorHAnsi"/>
          <w:sz w:val="20"/>
          <w:szCs w:val="20"/>
          <w:vertAlign w:val="superscript"/>
        </w:rPr>
        <w:footnoteReference w:id="7"/>
      </w:r>
    </w:p>
    <w:p w14:paraId="6730D4DF" w14:textId="77777777" w:rsidR="00D02D3C" w:rsidRPr="00D02D3C" w:rsidRDefault="00D02D3C" w:rsidP="00D02D3C">
      <w:pPr>
        <w:ind w:left="720"/>
        <w:rPr>
          <w:rFonts w:ascii="Cambria" w:eastAsia="Cambria" w:hAnsi="Cambria" w:cs="Cambria"/>
          <w:color w:val="000000"/>
          <w:sz w:val="20"/>
          <w:szCs w:val="20"/>
          <w:u w:color="000000"/>
          <w:lang w:eastAsia="es-ES"/>
        </w:rPr>
      </w:pPr>
    </w:p>
    <w:p w14:paraId="57634CE5" w14:textId="77777777" w:rsidR="00D02D3C" w:rsidRPr="00D02D3C" w:rsidRDefault="00D02D3C" w:rsidP="000A566E">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sz w:val="20"/>
          <w:szCs w:val="20"/>
        </w:rPr>
      </w:pPr>
      <w:r w:rsidRPr="00D02D3C">
        <w:rPr>
          <w:rFonts w:ascii="Cambria" w:hAnsi="Cambria"/>
          <w:sz w:val="20"/>
          <w:szCs w:val="20"/>
        </w:rPr>
        <w:t>On November 25, 1997 the alleged victim was transferred to the Sectional Unit of Crimes against the Public Administration of Cartagena.</w:t>
      </w:r>
      <w:r w:rsidRPr="00D02D3C">
        <w:rPr>
          <w:rFonts w:asciiTheme="majorHAnsi" w:hAnsiTheme="majorHAnsi"/>
          <w:sz w:val="20"/>
          <w:szCs w:val="20"/>
          <w:vertAlign w:val="superscript"/>
        </w:rPr>
        <w:footnoteReference w:id="8"/>
      </w:r>
    </w:p>
    <w:p w14:paraId="1789DDE3" w14:textId="77777777" w:rsidR="00D02D3C" w:rsidRPr="00D02D3C" w:rsidRDefault="00D02D3C" w:rsidP="00D02D3C">
      <w:pPr>
        <w:ind w:left="720"/>
        <w:rPr>
          <w:rFonts w:ascii="Cambria" w:eastAsia="Cambria" w:hAnsi="Cambria" w:cs="Cambria"/>
          <w:color w:val="000000"/>
          <w:sz w:val="20"/>
          <w:szCs w:val="20"/>
          <w:u w:color="000000"/>
          <w:lang w:eastAsia="es-ES"/>
        </w:rPr>
      </w:pPr>
    </w:p>
    <w:p w14:paraId="1F120823" w14:textId="77777777" w:rsidR="00D02D3C" w:rsidRPr="00D02D3C" w:rsidRDefault="00D02D3C" w:rsidP="000A566E">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sz w:val="20"/>
          <w:szCs w:val="20"/>
        </w:rPr>
      </w:pPr>
      <w:r w:rsidRPr="00D02D3C">
        <w:rPr>
          <w:rFonts w:ascii="Cambria" w:hAnsi="Cambria"/>
          <w:sz w:val="20"/>
          <w:szCs w:val="20"/>
        </w:rPr>
        <w:t>On September 1, 1999, the alleged victim was transferred to the 48</w:t>
      </w:r>
      <w:r w:rsidRPr="00D02D3C">
        <w:rPr>
          <w:rFonts w:ascii="Cambria" w:hAnsi="Cambria"/>
          <w:sz w:val="20"/>
          <w:szCs w:val="20"/>
          <w:vertAlign w:val="superscript"/>
        </w:rPr>
        <w:t>th</w:t>
      </w:r>
      <w:r w:rsidRPr="00D02D3C">
        <w:rPr>
          <w:rFonts w:ascii="Cambria" w:hAnsi="Cambria"/>
          <w:sz w:val="20"/>
          <w:szCs w:val="20"/>
        </w:rPr>
        <w:t xml:space="preserve"> Prosecutorial Office under the Unit of Law 30 of 1996-Automotive Vehicles of Cartagena.</w:t>
      </w:r>
      <w:r w:rsidRPr="00D02D3C">
        <w:rPr>
          <w:rFonts w:asciiTheme="majorHAnsi" w:hAnsiTheme="majorHAnsi"/>
          <w:sz w:val="20"/>
          <w:szCs w:val="20"/>
          <w:vertAlign w:val="superscript"/>
        </w:rPr>
        <w:footnoteReference w:id="9"/>
      </w:r>
      <w:r w:rsidRPr="00D02D3C">
        <w:rPr>
          <w:rFonts w:ascii="Cambria" w:hAnsi="Cambria"/>
          <w:sz w:val="20"/>
          <w:szCs w:val="20"/>
        </w:rPr>
        <w:t xml:space="preserve"> </w:t>
      </w:r>
    </w:p>
    <w:p w14:paraId="11CEE2CF" w14:textId="77777777" w:rsidR="00D02D3C" w:rsidRPr="00D02D3C" w:rsidRDefault="00D02D3C" w:rsidP="00D02D3C">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630"/>
        <w:jc w:val="both"/>
        <w:rPr>
          <w:rFonts w:ascii="Cambria" w:hAnsi="Cambria"/>
          <w:sz w:val="20"/>
          <w:szCs w:val="20"/>
        </w:rPr>
      </w:pPr>
    </w:p>
    <w:p w14:paraId="48DFEC9A" w14:textId="77777777" w:rsidR="00D02D3C" w:rsidRPr="00D02D3C" w:rsidRDefault="00D02D3C" w:rsidP="000A566E">
      <w:pPr>
        <w:keepNext/>
        <w:numPr>
          <w:ilvl w:val="0"/>
          <w:numId w:val="70"/>
        </w:numPr>
        <w:pBdr>
          <w:top w:val="none" w:sz="0" w:space="0" w:color="auto"/>
          <w:left w:val="none" w:sz="0" w:space="0" w:color="auto"/>
          <w:bottom w:val="none" w:sz="0" w:space="0" w:color="auto"/>
          <w:right w:val="none" w:sz="0" w:space="0" w:color="auto"/>
          <w:between w:val="none" w:sz="0" w:space="0" w:color="auto"/>
          <w:bar w:val="none" w:sz="0" w:color="auto"/>
        </w:pBdr>
        <w:ind w:left="1440" w:hanging="810"/>
        <w:jc w:val="both"/>
        <w:outlineLvl w:val="1"/>
        <w:rPr>
          <w:rFonts w:asciiTheme="majorHAnsi" w:eastAsia="Times New Roman" w:hAnsiTheme="majorHAnsi"/>
          <w:b/>
          <w:sz w:val="20"/>
          <w:szCs w:val="20"/>
          <w:bdr w:val="none" w:sz="0" w:space="0" w:color="auto"/>
        </w:rPr>
      </w:pPr>
      <w:bookmarkStart w:id="35" w:name="_Toc522484033"/>
      <w:bookmarkStart w:id="36" w:name="_Toc523998352"/>
      <w:r w:rsidRPr="00D02D3C">
        <w:rPr>
          <w:rFonts w:asciiTheme="majorHAnsi" w:eastAsia="Times New Roman" w:hAnsiTheme="majorHAnsi"/>
          <w:b/>
          <w:sz w:val="20"/>
          <w:szCs w:val="20"/>
          <w:bdr w:val="none" w:sz="0" w:space="0" w:color="auto"/>
        </w:rPr>
        <w:t xml:space="preserve">Petitioner relieved of her duties and </w:t>
      </w:r>
      <w:proofErr w:type="spellStart"/>
      <w:r w:rsidRPr="00D02D3C">
        <w:rPr>
          <w:rFonts w:asciiTheme="majorHAnsi" w:eastAsia="Times New Roman" w:hAnsiTheme="majorHAnsi"/>
          <w:b/>
          <w:i/>
          <w:iCs/>
          <w:sz w:val="20"/>
          <w:szCs w:val="20"/>
          <w:bdr w:val="none" w:sz="0" w:space="0" w:color="auto"/>
        </w:rPr>
        <w:t>tutela</w:t>
      </w:r>
      <w:proofErr w:type="spellEnd"/>
      <w:r w:rsidRPr="00D02D3C">
        <w:rPr>
          <w:rFonts w:asciiTheme="majorHAnsi" w:eastAsia="Times New Roman" w:hAnsiTheme="majorHAnsi"/>
          <w:b/>
          <w:sz w:val="20"/>
          <w:szCs w:val="20"/>
          <w:bdr w:val="none" w:sz="0" w:space="0" w:color="auto"/>
        </w:rPr>
        <w:t xml:space="preserve"> actions</w:t>
      </w:r>
      <w:bookmarkEnd w:id="35"/>
      <w:bookmarkEnd w:id="36"/>
      <w:r w:rsidRPr="00D02D3C">
        <w:rPr>
          <w:rFonts w:asciiTheme="majorHAnsi" w:eastAsia="Times New Roman" w:hAnsiTheme="majorHAnsi"/>
          <w:b/>
          <w:sz w:val="20"/>
          <w:szCs w:val="20"/>
          <w:bdr w:val="none" w:sz="0" w:space="0" w:color="auto"/>
        </w:rPr>
        <w:t xml:space="preserve"> </w:t>
      </w:r>
    </w:p>
    <w:p w14:paraId="51849BC6" w14:textId="77777777" w:rsidR="00D02D3C" w:rsidRPr="00D02D3C" w:rsidRDefault="00D02D3C" w:rsidP="00D02D3C">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sz w:val="20"/>
          <w:szCs w:val="20"/>
        </w:rPr>
      </w:pPr>
    </w:p>
    <w:p w14:paraId="6758CDE0" w14:textId="77777777" w:rsidR="00D02D3C" w:rsidRPr="00D02D3C" w:rsidRDefault="00D02D3C" w:rsidP="000A566E">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sz w:val="20"/>
          <w:szCs w:val="20"/>
        </w:rPr>
      </w:pPr>
      <w:r w:rsidRPr="00D02D3C">
        <w:rPr>
          <w:rFonts w:ascii="Cambria" w:hAnsi="Cambria"/>
          <w:sz w:val="20"/>
          <w:szCs w:val="20"/>
        </w:rPr>
        <w:t>On October 29, 2004, the Attorney General of the Nation issued a resolution in which he determined “to declare YENINA MARTÍNEZ ESQUIVIA, with national ID number 33,152,897, relieved of her duties as DELEGATE PROSECUTOR BEFORE CIRCUIT JUDGES, of the Sectional Bureau of Prosecutors of Cartagena.”</w:t>
      </w:r>
      <w:r w:rsidRPr="00D02D3C">
        <w:rPr>
          <w:rFonts w:asciiTheme="majorHAnsi" w:hAnsiTheme="majorHAnsi"/>
          <w:sz w:val="20"/>
          <w:szCs w:val="20"/>
          <w:vertAlign w:val="superscript"/>
        </w:rPr>
        <w:footnoteReference w:id="10"/>
      </w:r>
      <w:r w:rsidRPr="00D02D3C">
        <w:rPr>
          <w:rFonts w:ascii="Cambria" w:hAnsi="Cambria"/>
          <w:sz w:val="20"/>
          <w:szCs w:val="20"/>
        </w:rPr>
        <w:t xml:space="preserve"> The resolution indicates that “this resolution enters into force as of the date </w:t>
      </w:r>
      <w:r w:rsidRPr="00D02D3C">
        <w:rPr>
          <w:rFonts w:ascii="Cambria" w:hAnsi="Cambria"/>
          <w:sz w:val="20"/>
          <w:szCs w:val="20"/>
        </w:rPr>
        <w:lastRenderedPageBreak/>
        <w:t>of its communication and no remedy whatsoever against it may be admitted.”</w:t>
      </w:r>
      <w:r w:rsidRPr="00D02D3C">
        <w:rPr>
          <w:rFonts w:asciiTheme="majorHAnsi" w:hAnsiTheme="majorHAnsi"/>
          <w:sz w:val="20"/>
          <w:szCs w:val="20"/>
          <w:vertAlign w:val="superscript"/>
        </w:rPr>
        <w:footnoteReference w:id="11"/>
      </w:r>
      <w:r w:rsidRPr="00D02D3C">
        <w:rPr>
          <w:rFonts w:ascii="Cambria" w:hAnsi="Cambria"/>
          <w:sz w:val="20"/>
          <w:szCs w:val="20"/>
        </w:rPr>
        <w:t xml:space="preserve"> The Commission observes that the decision is not reasoned. </w:t>
      </w:r>
    </w:p>
    <w:p w14:paraId="54DEE723" w14:textId="77777777" w:rsidR="00D02D3C" w:rsidRPr="00D02D3C" w:rsidRDefault="00D02D3C" w:rsidP="00D02D3C">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sz w:val="20"/>
          <w:szCs w:val="20"/>
        </w:rPr>
      </w:pPr>
    </w:p>
    <w:p w14:paraId="0655FE9D" w14:textId="77777777" w:rsidR="00D02D3C" w:rsidRPr="00D02D3C" w:rsidRDefault="00D02D3C" w:rsidP="000A566E">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sz w:val="20"/>
          <w:szCs w:val="20"/>
        </w:rPr>
      </w:pPr>
      <w:r w:rsidRPr="00D02D3C">
        <w:rPr>
          <w:rFonts w:ascii="Cambria" w:hAnsi="Cambria"/>
          <w:color w:val="000000" w:themeColor="text1"/>
          <w:sz w:val="20"/>
          <w:szCs w:val="20"/>
        </w:rPr>
        <w:t xml:space="preserve">On that same date the Office of the Attorney General of the Nation issued another resolution in which it ordered the “transfer, as of November 2 of this year, </w:t>
      </w:r>
      <w:r w:rsidRPr="00D02D3C">
        <w:rPr>
          <w:rFonts w:ascii="Cambria" w:hAnsi="Cambria"/>
          <w:sz w:val="20"/>
          <w:szCs w:val="20"/>
        </w:rPr>
        <w:t>YENINA MARTÍNEZ ESQUIVIA … Delegate Prosecutor before the Criminal Judges of Circuit No. 16 of the Unit of Crimes against the Public Administration to the Sectional Unit of Prosecutors of Providencia-Sectional No. 50,” taking into account the request of the Sectional Director of Prosecutors of Cartagena.</w:t>
      </w:r>
      <w:r w:rsidRPr="00D02D3C">
        <w:rPr>
          <w:rFonts w:asciiTheme="majorHAnsi" w:hAnsiTheme="majorHAnsi"/>
          <w:sz w:val="20"/>
          <w:szCs w:val="20"/>
          <w:vertAlign w:val="superscript"/>
        </w:rPr>
        <w:footnoteReference w:id="12"/>
      </w:r>
      <w:r w:rsidRPr="00D02D3C">
        <w:rPr>
          <w:rFonts w:ascii="Cambria" w:hAnsi="Cambria"/>
          <w:sz w:val="20"/>
          <w:szCs w:val="20"/>
        </w:rPr>
        <w:t xml:space="preserve"> </w:t>
      </w:r>
    </w:p>
    <w:p w14:paraId="2C1578CB" w14:textId="77777777" w:rsidR="00D02D3C" w:rsidRPr="00D02D3C" w:rsidRDefault="00D02D3C" w:rsidP="00D02D3C">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630"/>
        <w:jc w:val="both"/>
        <w:rPr>
          <w:rFonts w:ascii="Cambria" w:hAnsi="Cambria"/>
          <w:sz w:val="20"/>
          <w:szCs w:val="20"/>
        </w:rPr>
      </w:pPr>
    </w:p>
    <w:p w14:paraId="4EC7E095" w14:textId="77777777" w:rsidR="00D02D3C" w:rsidRPr="00D02D3C" w:rsidRDefault="00D02D3C" w:rsidP="000A566E">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sz w:val="20"/>
          <w:szCs w:val="20"/>
        </w:rPr>
      </w:pPr>
      <w:r w:rsidRPr="00D02D3C">
        <w:rPr>
          <w:rFonts w:ascii="Cambria" w:hAnsi="Cambria"/>
          <w:sz w:val="20"/>
          <w:szCs w:val="20"/>
        </w:rPr>
        <w:t xml:space="preserve">As appears in the record, the alleged victim filed a </w:t>
      </w:r>
      <w:proofErr w:type="spellStart"/>
      <w:r w:rsidRPr="00D02D3C">
        <w:rPr>
          <w:rFonts w:ascii="Cambria" w:hAnsi="Cambria"/>
          <w:i/>
          <w:iCs/>
          <w:sz w:val="20"/>
          <w:szCs w:val="20"/>
        </w:rPr>
        <w:t>tutela</w:t>
      </w:r>
      <w:proofErr w:type="spellEnd"/>
      <w:r w:rsidRPr="00D02D3C">
        <w:rPr>
          <w:rFonts w:ascii="Cambria" w:hAnsi="Cambria"/>
          <w:sz w:val="20"/>
          <w:szCs w:val="20"/>
        </w:rPr>
        <w:t xml:space="preserve"> action against the Office of the Attorney General of the Nation with the aim of protecting “the rights to free association, to work, to the vital minimum, to health, to life, and to special protection for women heads of household” and asked to be reinstated, and for recognition and payment of the salaries no received from the date of her removal up until her reinstatement.”</w:t>
      </w:r>
      <w:r w:rsidRPr="00D02D3C">
        <w:rPr>
          <w:rFonts w:asciiTheme="majorHAnsi" w:hAnsiTheme="majorHAnsi"/>
          <w:sz w:val="20"/>
          <w:szCs w:val="20"/>
          <w:vertAlign w:val="superscript"/>
        </w:rPr>
        <w:footnoteReference w:id="13"/>
      </w:r>
    </w:p>
    <w:p w14:paraId="64FF8FFD" w14:textId="77777777" w:rsidR="00D02D3C" w:rsidRPr="00D02D3C" w:rsidRDefault="00D02D3C" w:rsidP="00D02D3C">
      <w:pPr>
        <w:ind w:left="720"/>
        <w:rPr>
          <w:rFonts w:ascii="Cambria" w:eastAsia="Cambria" w:hAnsi="Cambria" w:cs="Cambria"/>
          <w:color w:val="000000"/>
          <w:sz w:val="20"/>
          <w:szCs w:val="20"/>
          <w:u w:color="000000"/>
          <w:lang w:eastAsia="es-ES"/>
        </w:rPr>
      </w:pPr>
    </w:p>
    <w:p w14:paraId="3B43D146" w14:textId="77777777" w:rsidR="00D02D3C" w:rsidRPr="00D02D3C" w:rsidRDefault="00D02D3C" w:rsidP="000A566E">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sz w:val="20"/>
          <w:szCs w:val="20"/>
        </w:rPr>
      </w:pPr>
      <w:r w:rsidRPr="00D02D3C">
        <w:rPr>
          <w:rFonts w:ascii="Cambria" w:hAnsi="Cambria"/>
          <w:sz w:val="20"/>
          <w:szCs w:val="20"/>
        </w:rPr>
        <w:t xml:space="preserve">On February 25, 2005, the Superior Court of the Judicial District of Cartagena denied the </w:t>
      </w:r>
      <w:proofErr w:type="spellStart"/>
      <w:r w:rsidRPr="00D02D3C">
        <w:rPr>
          <w:rFonts w:ascii="Cambria" w:hAnsi="Cambria"/>
          <w:i/>
          <w:iCs/>
          <w:sz w:val="20"/>
          <w:szCs w:val="20"/>
        </w:rPr>
        <w:t>tutela</w:t>
      </w:r>
      <w:proofErr w:type="spellEnd"/>
      <w:r w:rsidRPr="00D02D3C">
        <w:rPr>
          <w:rFonts w:ascii="Cambria" w:hAnsi="Cambria"/>
          <w:sz w:val="20"/>
          <w:szCs w:val="20"/>
        </w:rPr>
        <w:t xml:space="preserve"> action filed by the alleged victim. Among its considerations, the Court considered that:</w:t>
      </w:r>
    </w:p>
    <w:p w14:paraId="33C047A4" w14:textId="77777777" w:rsidR="00D02D3C" w:rsidRPr="00D02D3C" w:rsidRDefault="00D02D3C" w:rsidP="00D02D3C">
      <w:pPr>
        <w:ind w:left="720"/>
        <w:rPr>
          <w:rFonts w:ascii="Cambria" w:eastAsia="Cambria" w:hAnsi="Cambria" w:cs="Cambria"/>
          <w:color w:val="000000"/>
          <w:sz w:val="20"/>
          <w:szCs w:val="20"/>
          <w:u w:color="000000"/>
          <w:lang w:eastAsia="es-ES"/>
        </w:rPr>
      </w:pPr>
    </w:p>
    <w:p w14:paraId="728936EA" w14:textId="77777777" w:rsidR="00D02D3C" w:rsidRPr="00D02D3C" w:rsidRDefault="00D02D3C" w:rsidP="00D02D3C">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630" w:right="810"/>
        <w:jc w:val="both"/>
        <w:rPr>
          <w:rFonts w:ascii="Cambria" w:hAnsi="Cambria"/>
          <w:sz w:val="20"/>
          <w:szCs w:val="20"/>
        </w:rPr>
      </w:pPr>
      <w:r w:rsidRPr="00D02D3C">
        <w:rPr>
          <w:rFonts w:ascii="Cambria" w:hAnsi="Cambria"/>
          <w:sz w:val="20"/>
          <w:szCs w:val="20"/>
        </w:rPr>
        <w:t xml:space="preserve">The party filing the </w:t>
      </w:r>
      <w:proofErr w:type="spellStart"/>
      <w:r w:rsidRPr="00D02D3C">
        <w:rPr>
          <w:rFonts w:ascii="Cambria" w:hAnsi="Cambria"/>
          <w:i/>
          <w:iCs/>
          <w:sz w:val="20"/>
          <w:szCs w:val="20"/>
        </w:rPr>
        <w:t>tutela</w:t>
      </w:r>
      <w:proofErr w:type="spellEnd"/>
      <w:r w:rsidRPr="00D02D3C">
        <w:rPr>
          <w:rFonts w:ascii="Cambria" w:hAnsi="Cambria"/>
          <w:sz w:val="20"/>
          <w:szCs w:val="20"/>
        </w:rPr>
        <w:t xml:space="preserve"> action cannot claim by the residual and subsidiary mechanism of the </w:t>
      </w:r>
      <w:proofErr w:type="spellStart"/>
      <w:r w:rsidRPr="00D02D3C">
        <w:rPr>
          <w:rFonts w:ascii="Cambria" w:hAnsi="Cambria"/>
          <w:i/>
          <w:iCs/>
          <w:sz w:val="20"/>
          <w:szCs w:val="20"/>
        </w:rPr>
        <w:t>tutela</w:t>
      </w:r>
      <w:proofErr w:type="spellEnd"/>
      <w:r w:rsidRPr="00D02D3C">
        <w:rPr>
          <w:rFonts w:ascii="Cambria" w:hAnsi="Cambria"/>
          <w:sz w:val="20"/>
          <w:szCs w:val="20"/>
        </w:rPr>
        <w:t xml:space="preserve"> to have the administrative act that relieved her of her duties as Delegate Prosecutor before the Criminal Judges of the Circuit of the Sectional Bureau of Prosecutors of Cartagena, which she held, annulled, insofar as that administrative act enjoys a presumption of legality that the law recognizes for such acts, since the legal review of such acts corresponds to the contentious-administrative jurisdiction, and not to the constitutional </w:t>
      </w:r>
      <w:proofErr w:type="spellStart"/>
      <w:r w:rsidRPr="00D02D3C">
        <w:rPr>
          <w:rFonts w:ascii="Cambria" w:hAnsi="Cambria"/>
          <w:i/>
          <w:iCs/>
          <w:sz w:val="20"/>
          <w:szCs w:val="20"/>
        </w:rPr>
        <w:t>tutela</w:t>
      </w:r>
      <w:proofErr w:type="spellEnd"/>
      <w:r w:rsidRPr="00D02D3C">
        <w:rPr>
          <w:rFonts w:ascii="Cambria" w:hAnsi="Cambria"/>
          <w:sz w:val="20"/>
          <w:szCs w:val="20"/>
        </w:rPr>
        <w:t xml:space="preserve"> judge, as the moving party claims.</w:t>
      </w:r>
      <w:r w:rsidRPr="00D02D3C">
        <w:rPr>
          <w:rFonts w:asciiTheme="majorHAnsi" w:hAnsiTheme="majorHAnsi"/>
          <w:sz w:val="20"/>
          <w:szCs w:val="20"/>
          <w:vertAlign w:val="superscript"/>
        </w:rPr>
        <w:footnoteReference w:id="14"/>
      </w:r>
      <w:r w:rsidRPr="00D02D3C">
        <w:rPr>
          <w:rFonts w:ascii="Cambria" w:hAnsi="Cambria"/>
          <w:sz w:val="20"/>
          <w:szCs w:val="20"/>
        </w:rPr>
        <w:t xml:space="preserve"> </w:t>
      </w:r>
    </w:p>
    <w:p w14:paraId="150CB522" w14:textId="77777777" w:rsidR="00D02D3C" w:rsidRPr="00D02D3C" w:rsidRDefault="00D02D3C" w:rsidP="00D02D3C">
      <w:pPr>
        <w:rPr>
          <w:rFonts w:ascii="Cambria" w:hAnsi="Cambria"/>
          <w:sz w:val="20"/>
          <w:szCs w:val="20"/>
        </w:rPr>
      </w:pPr>
    </w:p>
    <w:p w14:paraId="238D9239" w14:textId="77777777" w:rsidR="00D02D3C" w:rsidRPr="00D02D3C" w:rsidRDefault="00D02D3C" w:rsidP="000A566E">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sz w:val="20"/>
          <w:szCs w:val="20"/>
        </w:rPr>
      </w:pPr>
      <w:r w:rsidRPr="00D02D3C">
        <w:rPr>
          <w:rFonts w:ascii="Cambria" w:hAnsi="Cambria"/>
          <w:sz w:val="20"/>
          <w:szCs w:val="20"/>
        </w:rPr>
        <w:t xml:space="preserve">Subsequently, the alleged victim filed a second </w:t>
      </w:r>
      <w:proofErr w:type="spellStart"/>
      <w:r w:rsidRPr="00D02D3C">
        <w:rPr>
          <w:rFonts w:ascii="Cambria" w:hAnsi="Cambria"/>
          <w:i/>
          <w:iCs/>
          <w:sz w:val="20"/>
          <w:szCs w:val="20"/>
        </w:rPr>
        <w:t>tutela</w:t>
      </w:r>
      <w:proofErr w:type="spellEnd"/>
      <w:r w:rsidRPr="00D02D3C">
        <w:rPr>
          <w:rFonts w:ascii="Cambria" w:hAnsi="Cambria"/>
          <w:sz w:val="20"/>
          <w:szCs w:val="20"/>
        </w:rPr>
        <w:t xml:space="preserve"> action, arguing the violation of the rights to equality, due process, a vital minimum, and the family.</w:t>
      </w:r>
      <w:r w:rsidRPr="00D02D3C">
        <w:rPr>
          <w:rFonts w:asciiTheme="majorHAnsi" w:hAnsiTheme="majorHAnsi"/>
          <w:sz w:val="20"/>
          <w:szCs w:val="20"/>
          <w:vertAlign w:val="superscript"/>
        </w:rPr>
        <w:footnoteReference w:id="15"/>
      </w:r>
      <w:r w:rsidRPr="00D02D3C">
        <w:rPr>
          <w:rFonts w:ascii="Cambria" w:hAnsi="Cambria"/>
          <w:sz w:val="20"/>
          <w:szCs w:val="20"/>
        </w:rPr>
        <w:t xml:space="preserve">  </w:t>
      </w:r>
    </w:p>
    <w:p w14:paraId="092F6961" w14:textId="77777777" w:rsidR="00D02D3C" w:rsidRPr="00D02D3C" w:rsidRDefault="00D02D3C" w:rsidP="00D02D3C">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630"/>
        <w:jc w:val="both"/>
        <w:rPr>
          <w:rFonts w:ascii="Cambria" w:hAnsi="Cambria"/>
          <w:sz w:val="20"/>
          <w:szCs w:val="20"/>
        </w:rPr>
      </w:pPr>
    </w:p>
    <w:p w14:paraId="7AEA6B74" w14:textId="77777777" w:rsidR="00D02D3C" w:rsidRPr="00D02D3C" w:rsidRDefault="00D02D3C" w:rsidP="000A566E">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sz w:val="20"/>
          <w:szCs w:val="20"/>
        </w:rPr>
      </w:pPr>
      <w:r w:rsidRPr="00D02D3C">
        <w:rPr>
          <w:rFonts w:ascii="Cambria" w:hAnsi="Cambria"/>
          <w:sz w:val="20"/>
          <w:szCs w:val="20"/>
        </w:rPr>
        <w:t xml:space="preserve">On July 26, 2005 the Sectional Judicial Council of Bolívar granted the </w:t>
      </w:r>
      <w:proofErr w:type="spellStart"/>
      <w:r w:rsidRPr="00D02D3C">
        <w:rPr>
          <w:rFonts w:ascii="Cambria" w:hAnsi="Cambria"/>
          <w:i/>
          <w:iCs/>
          <w:sz w:val="20"/>
          <w:szCs w:val="20"/>
        </w:rPr>
        <w:t>tutela</w:t>
      </w:r>
      <w:proofErr w:type="spellEnd"/>
      <w:r w:rsidRPr="00D02D3C">
        <w:rPr>
          <w:rFonts w:ascii="Cambria" w:hAnsi="Cambria"/>
          <w:sz w:val="20"/>
          <w:szCs w:val="20"/>
        </w:rPr>
        <w:t xml:space="preserve"> sought by the alleged victim and ordered the Attorney General to reinstate her within 48 hours. Among its considerations: </w:t>
      </w:r>
    </w:p>
    <w:p w14:paraId="0E292A58" w14:textId="77777777" w:rsidR="00D02D3C" w:rsidRPr="00D02D3C" w:rsidRDefault="00D02D3C" w:rsidP="00D02D3C">
      <w:pPr>
        <w:ind w:left="720"/>
        <w:rPr>
          <w:rFonts w:ascii="Cambria" w:eastAsia="Cambria" w:hAnsi="Cambria" w:cs="Cambria"/>
          <w:color w:val="000000"/>
          <w:sz w:val="20"/>
          <w:szCs w:val="20"/>
          <w:u w:color="000000"/>
          <w:lang w:eastAsia="es-ES"/>
        </w:rPr>
      </w:pPr>
    </w:p>
    <w:p w14:paraId="5C4A2658" w14:textId="77777777" w:rsidR="00D02D3C" w:rsidRPr="00D02D3C" w:rsidRDefault="00D02D3C" w:rsidP="00D02D3C">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720" w:right="720"/>
        <w:jc w:val="both"/>
        <w:rPr>
          <w:rFonts w:ascii="Cambria" w:hAnsi="Cambria"/>
          <w:sz w:val="20"/>
          <w:szCs w:val="20"/>
        </w:rPr>
      </w:pPr>
      <w:r w:rsidRPr="00D02D3C">
        <w:rPr>
          <w:rFonts w:ascii="Cambria" w:hAnsi="Cambria"/>
          <w:sz w:val="20"/>
          <w:szCs w:val="20"/>
        </w:rPr>
        <w:t>The respondent entity – OFFICE OF THE ATTORNEY GENERAL OF THE NATION – violated the fundamental right of due administrative process in respect of Prosecutor YENINA MARTÍNEZ ESQUIVIA, as it was shown that the moving party had been serving in a career-service position on a provisional basis, that she was relieved of her duties by resolution No. 001048 of October 29, 2004, an administrative act that did not state reasons, without the Office of the Attorney General having given sufficient reasons, to this day, for the removal of said officer.</w:t>
      </w:r>
    </w:p>
    <w:p w14:paraId="23ADD689" w14:textId="77777777" w:rsidR="00D02D3C" w:rsidRPr="00D02D3C" w:rsidRDefault="00D02D3C" w:rsidP="00D02D3C">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720" w:right="720"/>
        <w:jc w:val="both"/>
        <w:rPr>
          <w:rFonts w:ascii="Cambria" w:hAnsi="Cambria"/>
          <w:sz w:val="20"/>
          <w:szCs w:val="20"/>
        </w:rPr>
      </w:pPr>
    </w:p>
    <w:p w14:paraId="5F0C1411" w14:textId="77777777" w:rsidR="00D02D3C" w:rsidRPr="00D02D3C" w:rsidRDefault="00D02D3C" w:rsidP="00D02D3C">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720" w:right="720"/>
        <w:jc w:val="both"/>
        <w:rPr>
          <w:rFonts w:ascii="Cambria" w:hAnsi="Cambria"/>
          <w:sz w:val="20"/>
          <w:szCs w:val="20"/>
        </w:rPr>
      </w:pPr>
      <w:r w:rsidRPr="00D02D3C">
        <w:rPr>
          <w:rFonts w:ascii="Cambria" w:hAnsi="Cambria"/>
          <w:sz w:val="20"/>
          <w:szCs w:val="20"/>
        </w:rPr>
        <w:t>In addition, the vital minimum of the moving party and her family is compromised, for it should be borne in mind that she was a woman head of household…</w:t>
      </w:r>
      <w:r w:rsidRPr="00D02D3C">
        <w:rPr>
          <w:rFonts w:asciiTheme="majorHAnsi" w:hAnsiTheme="majorHAnsi"/>
          <w:sz w:val="20"/>
          <w:szCs w:val="20"/>
          <w:vertAlign w:val="superscript"/>
        </w:rPr>
        <w:footnoteReference w:id="16"/>
      </w:r>
      <w:r w:rsidRPr="00D02D3C">
        <w:rPr>
          <w:rFonts w:ascii="Cambria" w:hAnsi="Cambria"/>
          <w:sz w:val="20"/>
          <w:szCs w:val="20"/>
        </w:rPr>
        <w:t xml:space="preserve"> </w:t>
      </w:r>
    </w:p>
    <w:p w14:paraId="6D6AC942" w14:textId="77777777" w:rsidR="00D02D3C" w:rsidRPr="00D02D3C" w:rsidRDefault="00D02D3C" w:rsidP="00D02D3C">
      <w:pPr>
        <w:rPr>
          <w:rFonts w:ascii="Cambria" w:hAnsi="Cambria"/>
          <w:sz w:val="20"/>
          <w:szCs w:val="20"/>
        </w:rPr>
      </w:pPr>
    </w:p>
    <w:p w14:paraId="34B7D732" w14:textId="77777777" w:rsidR="00D02D3C" w:rsidRPr="00D02D3C" w:rsidRDefault="00D02D3C" w:rsidP="000A566E">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sz w:val="20"/>
          <w:szCs w:val="20"/>
        </w:rPr>
      </w:pPr>
      <w:r w:rsidRPr="00D02D3C">
        <w:rPr>
          <w:rFonts w:ascii="Cambria" w:hAnsi="Cambria"/>
          <w:sz w:val="20"/>
          <w:szCs w:val="20"/>
        </w:rPr>
        <w:lastRenderedPageBreak/>
        <w:t xml:space="preserve">On September 7, 2005, the Superior Judicial Council decided to overturn the </w:t>
      </w:r>
      <w:proofErr w:type="spellStart"/>
      <w:r w:rsidRPr="00D02D3C">
        <w:rPr>
          <w:rFonts w:ascii="Cambria" w:hAnsi="Cambria"/>
          <w:i/>
          <w:iCs/>
          <w:sz w:val="20"/>
          <w:szCs w:val="20"/>
        </w:rPr>
        <w:t>tutela</w:t>
      </w:r>
      <w:proofErr w:type="spellEnd"/>
      <w:r w:rsidRPr="00D02D3C">
        <w:rPr>
          <w:rFonts w:ascii="Cambria" w:hAnsi="Cambria"/>
          <w:sz w:val="20"/>
          <w:szCs w:val="20"/>
        </w:rPr>
        <w:t xml:space="preserve"> ruling of July 26, 2005, arguing the existence of threefold identity of claims, parties, and facts with the first </w:t>
      </w:r>
      <w:proofErr w:type="spellStart"/>
      <w:r w:rsidRPr="00D02D3C">
        <w:rPr>
          <w:rFonts w:ascii="Cambria" w:hAnsi="Cambria"/>
          <w:i/>
          <w:iCs/>
          <w:sz w:val="20"/>
          <w:szCs w:val="20"/>
        </w:rPr>
        <w:t>tutela</w:t>
      </w:r>
      <w:proofErr w:type="spellEnd"/>
      <w:r w:rsidRPr="00D02D3C">
        <w:rPr>
          <w:rFonts w:ascii="Cambria" w:hAnsi="Cambria"/>
          <w:sz w:val="20"/>
          <w:szCs w:val="20"/>
        </w:rPr>
        <w:t xml:space="preserve"> filed, and ordered a criminal investigation into the alleged victim for abusive use of the </w:t>
      </w:r>
      <w:proofErr w:type="spellStart"/>
      <w:r w:rsidRPr="00D02D3C">
        <w:rPr>
          <w:rFonts w:ascii="Cambria" w:hAnsi="Cambria"/>
          <w:i/>
          <w:iCs/>
          <w:sz w:val="20"/>
          <w:szCs w:val="20"/>
        </w:rPr>
        <w:t>tutela</w:t>
      </w:r>
      <w:proofErr w:type="spellEnd"/>
      <w:r w:rsidRPr="00D02D3C">
        <w:rPr>
          <w:rFonts w:ascii="Cambria" w:hAnsi="Cambria"/>
          <w:sz w:val="20"/>
          <w:szCs w:val="20"/>
        </w:rPr>
        <w:t xml:space="preserve"> action. The Council considered: </w:t>
      </w:r>
    </w:p>
    <w:p w14:paraId="0BC77A80" w14:textId="77777777" w:rsidR="00D02D3C" w:rsidRPr="00D02D3C" w:rsidRDefault="00D02D3C" w:rsidP="00D02D3C">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630"/>
        <w:jc w:val="both"/>
        <w:rPr>
          <w:rFonts w:ascii="Cambria" w:hAnsi="Cambria"/>
          <w:sz w:val="20"/>
          <w:szCs w:val="20"/>
        </w:rPr>
      </w:pPr>
    </w:p>
    <w:p w14:paraId="7EB33219" w14:textId="77777777" w:rsidR="00D02D3C" w:rsidRPr="00D02D3C" w:rsidRDefault="00D02D3C" w:rsidP="00D02D3C">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630" w:right="810"/>
        <w:jc w:val="both"/>
        <w:rPr>
          <w:rFonts w:ascii="Cambria" w:hAnsi="Cambria"/>
          <w:sz w:val="20"/>
          <w:szCs w:val="20"/>
        </w:rPr>
      </w:pPr>
      <w:r w:rsidRPr="00D02D3C">
        <w:rPr>
          <w:rFonts w:ascii="Cambria" w:hAnsi="Cambria"/>
          <w:sz w:val="20"/>
          <w:szCs w:val="20"/>
        </w:rPr>
        <w:t xml:space="preserve">It is evident that there is factual identity of both </w:t>
      </w:r>
      <w:proofErr w:type="spellStart"/>
      <w:r w:rsidRPr="00D02D3C">
        <w:rPr>
          <w:rFonts w:ascii="Cambria" w:hAnsi="Cambria"/>
          <w:i/>
          <w:iCs/>
          <w:sz w:val="20"/>
          <w:szCs w:val="20"/>
        </w:rPr>
        <w:t>tutela</w:t>
      </w:r>
      <w:proofErr w:type="spellEnd"/>
      <w:r w:rsidRPr="00D02D3C">
        <w:rPr>
          <w:rFonts w:ascii="Cambria" w:hAnsi="Cambria"/>
          <w:sz w:val="20"/>
          <w:szCs w:val="20"/>
        </w:rPr>
        <w:t xml:space="preserve"> actions filed, of the parties, and of claims, the first before the Chamber of Labor Decisions of the Superior Court of the Judicial District of Cartagena, by her attorney, and the second before the Sectional Judicial Council of Bolívar….</w:t>
      </w:r>
    </w:p>
    <w:p w14:paraId="3B95F2BA" w14:textId="77777777" w:rsidR="00D02D3C" w:rsidRPr="00D02D3C" w:rsidRDefault="00D02D3C" w:rsidP="00D02D3C">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630" w:right="810"/>
        <w:jc w:val="both"/>
        <w:rPr>
          <w:rFonts w:ascii="Cambria" w:hAnsi="Cambria"/>
          <w:sz w:val="20"/>
          <w:szCs w:val="20"/>
        </w:rPr>
      </w:pPr>
    </w:p>
    <w:p w14:paraId="028D96FA" w14:textId="77777777" w:rsidR="00D02D3C" w:rsidRPr="00D02D3C" w:rsidRDefault="00D02D3C" w:rsidP="00D02D3C">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630" w:right="810"/>
        <w:jc w:val="both"/>
        <w:rPr>
          <w:rFonts w:ascii="Cambria" w:hAnsi="Cambria"/>
          <w:sz w:val="20"/>
          <w:szCs w:val="20"/>
        </w:rPr>
      </w:pPr>
      <w:r w:rsidRPr="00D02D3C">
        <w:rPr>
          <w:rFonts w:ascii="Cambria" w:hAnsi="Cambria"/>
          <w:sz w:val="20"/>
          <w:szCs w:val="20"/>
        </w:rPr>
        <w:t xml:space="preserve">The moving party in the action filed … swore that she had not filed any other action for the same facts and rights … she was untruthful and acted contrary to the principle of morality in the </w:t>
      </w:r>
      <w:proofErr w:type="spellStart"/>
      <w:r w:rsidRPr="00D02D3C">
        <w:rPr>
          <w:rFonts w:ascii="Cambria" w:hAnsi="Cambria"/>
          <w:i/>
          <w:iCs/>
          <w:sz w:val="20"/>
          <w:szCs w:val="20"/>
        </w:rPr>
        <w:t>tutela</w:t>
      </w:r>
      <w:proofErr w:type="spellEnd"/>
      <w:r w:rsidRPr="00D02D3C">
        <w:rPr>
          <w:rFonts w:ascii="Cambria" w:hAnsi="Cambria"/>
          <w:sz w:val="20"/>
          <w:szCs w:val="20"/>
        </w:rPr>
        <w:t xml:space="preserve"> action.</w:t>
      </w:r>
      <w:r w:rsidRPr="00D02D3C">
        <w:rPr>
          <w:rFonts w:asciiTheme="majorHAnsi" w:hAnsiTheme="majorHAnsi"/>
          <w:sz w:val="20"/>
          <w:szCs w:val="20"/>
          <w:vertAlign w:val="superscript"/>
        </w:rPr>
        <w:footnoteReference w:id="17"/>
      </w:r>
      <w:r w:rsidRPr="00D02D3C">
        <w:rPr>
          <w:rFonts w:ascii="Cambria" w:hAnsi="Cambria"/>
          <w:sz w:val="20"/>
          <w:szCs w:val="20"/>
        </w:rPr>
        <w:t xml:space="preserve"> </w:t>
      </w:r>
    </w:p>
    <w:p w14:paraId="0CE59A4A" w14:textId="77777777" w:rsidR="00D02D3C" w:rsidRPr="00D02D3C" w:rsidRDefault="00D02D3C" w:rsidP="00D02D3C">
      <w:pPr>
        <w:rPr>
          <w:rFonts w:ascii="Cambria" w:hAnsi="Cambria"/>
          <w:sz w:val="20"/>
          <w:szCs w:val="20"/>
        </w:rPr>
      </w:pPr>
    </w:p>
    <w:p w14:paraId="5F5CB577" w14:textId="77777777" w:rsidR="00D02D3C" w:rsidRPr="00D02D3C" w:rsidRDefault="00D02D3C" w:rsidP="000A566E">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sz w:val="20"/>
          <w:szCs w:val="20"/>
        </w:rPr>
      </w:pPr>
      <w:r w:rsidRPr="00D02D3C">
        <w:rPr>
          <w:rFonts w:ascii="Cambria" w:hAnsi="Cambria"/>
          <w:sz w:val="20"/>
          <w:szCs w:val="20"/>
        </w:rPr>
        <w:t xml:space="preserve">The Commission takes note that two judges cast dissenting votes with respect to the decision that denied the previous </w:t>
      </w:r>
      <w:proofErr w:type="spellStart"/>
      <w:r w:rsidRPr="00D02D3C">
        <w:rPr>
          <w:rFonts w:ascii="Cambria" w:hAnsi="Cambria"/>
          <w:i/>
          <w:iCs/>
          <w:sz w:val="20"/>
          <w:szCs w:val="20"/>
        </w:rPr>
        <w:t>tutela</w:t>
      </w:r>
      <w:proofErr w:type="spellEnd"/>
      <w:r w:rsidRPr="00D02D3C">
        <w:rPr>
          <w:rFonts w:ascii="Cambria" w:hAnsi="Cambria"/>
          <w:sz w:val="20"/>
          <w:szCs w:val="20"/>
        </w:rPr>
        <w:t xml:space="preserve">. Judge </w:t>
      </w:r>
      <w:proofErr w:type="spellStart"/>
      <w:r w:rsidRPr="00D02D3C">
        <w:rPr>
          <w:rFonts w:ascii="Cambria" w:hAnsi="Cambria"/>
          <w:sz w:val="20"/>
          <w:szCs w:val="20"/>
        </w:rPr>
        <w:t>Flechas</w:t>
      </w:r>
      <w:proofErr w:type="spellEnd"/>
      <w:r w:rsidRPr="00D02D3C">
        <w:rPr>
          <w:rFonts w:ascii="Cambria" w:hAnsi="Cambria"/>
          <w:sz w:val="20"/>
          <w:szCs w:val="20"/>
        </w:rPr>
        <w:t xml:space="preserve"> </w:t>
      </w:r>
      <w:proofErr w:type="spellStart"/>
      <w:r w:rsidRPr="00D02D3C">
        <w:rPr>
          <w:rFonts w:ascii="Cambria" w:hAnsi="Cambria"/>
          <w:sz w:val="20"/>
          <w:szCs w:val="20"/>
        </w:rPr>
        <w:t>Díaz</w:t>
      </w:r>
      <w:proofErr w:type="spellEnd"/>
      <w:r w:rsidRPr="00D02D3C">
        <w:rPr>
          <w:rFonts w:ascii="Cambria" w:hAnsi="Cambria"/>
          <w:sz w:val="20"/>
          <w:szCs w:val="20"/>
        </w:rPr>
        <w:t xml:space="preserve"> indicated that: </w:t>
      </w:r>
    </w:p>
    <w:p w14:paraId="02AA89FD" w14:textId="77777777" w:rsidR="00D02D3C" w:rsidRPr="00D02D3C" w:rsidRDefault="00D02D3C" w:rsidP="00D02D3C">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630"/>
        <w:jc w:val="both"/>
        <w:rPr>
          <w:rFonts w:ascii="Cambria" w:hAnsi="Cambria"/>
          <w:sz w:val="20"/>
          <w:szCs w:val="20"/>
        </w:rPr>
      </w:pPr>
    </w:p>
    <w:p w14:paraId="637C6B73" w14:textId="77777777" w:rsidR="00D02D3C" w:rsidRPr="00D02D3C" w:rsidRDefault="00D02D3C" w:rsidP="00D02D3C">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630" w:right="810"/>
        <w:jc w:val="both"/>
        <w:rPr>
          <w:rFonts w:ascii="Cambria" w:hAnsi="Cambria"/>
          <w:sz w:val="20"/>
          <w:szCs w:val="20"/>
        </w:rPr>
      </w:pPr>
      <w:r w:rsidRPr="00D02D3C">
        <w:rPr>
          <w:rFonts w:ascii="Cambria" w:hAnsi="Cambria"/>
          <w:sz w:val="20"/>
          <w:szCs w:val="20"/>
        </w:rPr>
        <w:t>This chamber has decided cases similar to the one that now occupies our attention and has considered that administrative acts relieving judicial officers and public servants of other entities of their duties should be reasoned lest they violate the fundamental right to due process and the right to the vital minimum of persons who, on being removed, are seriously impacted….</w:t>
      </w:r>
      <w:r w:rsidRPr="00D02D3C">
        <w:rPr>
          <w:rFonts w:asciiTheme="majorHAnsi" w:hAnsiTheme="majorHAnsi"/>
          <w:sz w:val="20"/>
          <w:szCs w:val="20"/>
          <w:vertAlign w:val="superscript"/>
        </w:rPr>
        <w:footnoteReference w:id="18"/>
      </w:r>
      <w:r w:rsidRPr="00D02D3C">
        <w:rPr>
          <w:rFonts w:ascii="Cambria" w:hAnsi="Cambria"/>
          <w:sz w:val="20"/>
          <w:szCs w:val="20"/>
        </w:rPr>
        <w:t xml:space="preserve"> </w:t>
      </w:r>
    </w:p>
    <w:p w14:paraId="373311FE" w14:textId="77777777" w:rsidR="00D02D3C" w:rsidRPr="00D02D3C" w:rsidRDefault="00D02D3C" w:rsidP="00D02D3C">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sz w:val="20"/>
          <w:szCs w:val="20"/>
        </w:rPr>
      </w:pPr>
    </w:p>
    <w:p w14:paraId="3D460761" w14:textId="77777777" w:rsidR="00D02D3C" w:rsidRPr="00D02D3C" w:rsidRDefault="00D02D3C" w:rsidP="000A566E">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sz w:val="20"/>
          <w:szCs w:val="20"/>
        </w:rPr>
      </w:pPr>
      <w:r w:rsidRPr="00D02D3C">
        <w:rPr>
          <w:rFonts w:ascii="Cambria" w:hAnsi="Cambria"/>
          <w:sz w:val="20"/>
          <w:szCs w:val="20"/>
        </w:rPr>
        <w:t xml:space="preserve">In addition, Judge </w:t>
      </w:r>
      <w:proofErr w:type="spellStart"/>
      <w:r w:rsidRPr="00D02D3C">
        <w:rPr>
          <w:rFonts w:ascii="Cambria" w:hAnsi="Cambria"/>
          <w:sz w:val="20"/>
          <w:szCs w:val="20"/>
        </w:rPr>
        <w:t>Henao</w:t>
      </w:r>
      <w:proofErr w:type="spellEnd"/>
      <w:r w:rsidRPr="00D02D3C">
        <w:rPr>
          <w:rFonts w:ascii="Cambria" w:hAnsi="Cambria"/>
          <w:sz w:val="20"/>
          <w:szCs w:val="20"/>
        </w:rPr>
        <w:t xml:space="preserve"> Orozco indicated that it should have been taken into account that: </w:t>
      </w:r>
    </w:p>
    <w:p w14:paraId="4295E05E" w14:textId="77777777" w:rsidR="00D02D3C" w:rsidRPr="00D02D3C" w:rsidRDefault="00D02D3C" w:rsidP="00D02D3C">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630"/>
        <w:jc w:val="both"/>
        <w:rPr>
          <w:rFonts w:ascii="Cambria" w:hAnsi="Cambria"/>
          <w:sz w:val="20"/>
          <w:szCs w:val="20"/>
        </w:rPr>
      </w:pPr>
    </w:p>
    <w:p w14:paraId="0ACD3E9C" w14:textId="77777777" w:rsidR="00D02D3C" w:rsidRPr="00D02D3C" w:rsidRDefault="00D02D3C" w:rsidP="00D02D3C">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720" w:right="720"/>
        <w:jc w:val="both"/>
        <w:rPr>
          <w:rFonts w:ascii="Cambria" w:hAnsi="Cambria"/>
          <w:sz w:val="20"/>
          <w:szCs w:val="20"/>
        </w:rPr>
      </w:pPr>
      <w:r w:rsidRPr="00D02D3C">
        <w:rPr>
          <w:rFonts w:ascii="Cambria" w:hAnsi="Cambria"/>
          <w:sz w:val="20"/>
          <w:szCs w:val="20"/>
        </w:rPr>
        <w:t xml:space="preserve">The Labor Chamber of the Superior Court of the Judicial District of Cartagena, before which the first action for special relief was filed, on February 25, 2002, found the </w:t>
      </w:r>
      <w:proofErr w:type="spellStart"/>
      <w:r w:rsidRPr="00D02D3C">
        <w:rPr>
          <w:rFonts w:ascii="Cambria" w:hAnsi="Cambria"/>
          <w:i/>
          <w:iCs/>
          <w:sz w:val="20"/>
          <w:szCs w:val="20"/>
        </w:rPr>
        <w:t>tutela</w:t>
      </w:r>
      <w:proofErr w:type="spellEnd"/>
      <w:r w:rsidRPr="00D02D3C">
        <w:rPr>
          <w:rFonts w:ascii="Cambria" w:hAnsi="Cambria"/>
          <w:sz w:val="20"/>
          <w:szCs w:val="20"/>
        </w:rPr>
        <w:t xml:space="preserve"> action to be inadmissible on procedural grounds, adducing that there were other mechanisms of judicial defense, thereby ignoring the abundant case-law of the highest Constitutional Court, which preceded that determination.</w:t>
      </w:r>
      <w:r w:rsidRPr="00D02D3C">
        <w:rPr>
          <w:rFonts w:asciiTheme="majorHAnsi" w:hAnsiTheme="majorHAnsi"/>
          <w:sz w:val="20"/>
          <w:szCs w:val="20"/>
          <w:vertAlign w:val="superscript"/>
        </w:rPr>
        <w:footnoteReference w:id="19"/>
      </w:r>
      <w:r w:rsidRPr="00D02D3C">
        <w:rPr>
          <w:rFonts w:ascii="Cambria" w:hAnsi="Cambria"/>
          <w:sz w:val="20"/>
          <w:szCs w:val="20"/>
        </w:rPr>
        <w:t xml:space="preserve">  </w:t>
      </w:r>
    </w:p>
    <w:p w14:paraId="7EE78C95" w14:textId="77777777" w:rsidR="00D02D3C" w:rsidRPr="00D02D3C" w:rsidRDefault="00D02D3C" w:rsidP="00D02D3C">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sz w:val="20"/>
          <w:szCs w:val="20"/>
        </w:rPr>
      </w:pPr>
    </w:p>
    <w:p w14:paraId="14092CE3" w14:textId="77777777" w:rsidR="00D02D3C" w:rsidRPr="00D02D3C" w:rsidRDefault="00D02D3C" w:rsidP="000A566E">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sz w:val="20"/>
          <w:szCs w:val="20"/>
        </w:rPr>
      </w:pPr>
      <w:r w:rsidRPr="00D02D3C">
        <w:rPr>
          <w:rFonts w:ascii="Cambria" w:hAnsi="Cambria"/>
          <w:sz w:val="20"/>
          <w:szCs w:val="20"/>
        </w:rPr>
        <w:t xml:space="preserve">The Commission notes that subsequently the alleged victim requested a review of the ruling of the Superior Judicial Council by the Constitutional Court, yet it was not selected for review by that court. </w:t>
      </w:r>
    </w:p>
    <w:p w14:paraId="3F0BC493" w14:textId="77777777" w:rsidR="00D02D3C" w:rsidRPr="00D02D3C" w:rsidRDefault="00D02D3C" w:rsidP="00D02D3C">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630"/>
        <w:jc w:val="both"/>
        <w:rPr>
          <w:rFonts w:ascii="Cambria" w:hAnsi="Cambria"/>
          <w:sz w:val="20"/>
          <w:szCs w:val="20"/>
        </w:rPr>
      </w:pPr>
    </w:p>
    <w:p w14:paraId="41811983" w14:textId="77777777" w:rsidR="00D02D3C" w:rsidRPr="00D02D3C" w:rsidRDefault="00D02D3C" w:rsidP="000A566E">
      <w:pPr>
        <w:keepNext/>
        <w:numPr>
          <w:ilvl w:val="0"/>
          <w:numId w:val="70"/>
        </w:numPr>
        <w:pBdr>
          <w:top w:val="none" w:sz="0" w:space="0" w:color="auto"/>
          <w:left w:val="none" w:sz="0" w:space="0" w:color="auto"/>
          <w:bottom w:val="none" w:sz="0" w:space="0" w:color="auto"/>
          <w:right w:val="none" w:sz="0" w:space="0" w:color="auto"/>
          <w:between w:val="none" w:sz="0" w:space="0" w:color="auto"/>
          <w:bar w:val="none" w:sz="0" w:color="auto"/>
        </w:pBdr>
        <w:ind w:left="1440" w:hanging="810"/>
        <w:jc w:val="both"/>
        <w:outlineLvl w:val="1"/>
        <w:rPr>
          <w:rFonts w:asciiTheme="majorHAnsi" w:eastAsia="Times New Roman" w:hAnsiTheme="majorHAnsi"/>
          <w:b/>
          <w:sz w:val="20"/>
          <w:szCs w:val="20"/>
          <w:bdr w:val="none" w:sz="0" w:space="0" w:color="auto"/>
        </w:rPr>
      </w:pPr>
      <w:bookmarkStart w:id="37" w:name="_Toc522484034"/>
      <w:bookmarkStart w:id="38" w:name="_Toc523998353"/>
      <w:r w:rsidRPr="00D02D3C">
        <w:rPr>
          <w:rFonts w:asciiTheme="majorHAnsi" w:eastAsia="Times New Roman" w:hAnsiTheme="majorHAnsi"/>
          <w:b/>
          <w:sz w:val="20"/>
          <w:szCs w:val="20"/>
          <w:bdr w:val="none" w:sz="0" w:space="0" w:color="auto"/>
        </w:rPr>
        <w:t>Other mechanisms for bringing challenges</w:t>
      </w:r>
      <w:bookmarkEnd w:id="37"/>
      <w:bookmarkEnd w:id="38"/>
      <w:r w:rsidRPr="00D02D3C">
        <w:rPr>
          <w:rFonts w:asciiTheme="majorHAnsi" w:eastAsia="Times New Roman" w:hAnsiTheme="majorHAnsi"/>
          <w:b/>
          <w:sz w:val="20"/>
          <w:szCs w:val="20"/>
          <w:bdr w:val="none" w:sz="0" w:space="0" w:color="auto"/>
        </w:rPr>
        <w:t xml:space="preserve"> </w:t>
      </w:r>
    </w:p>
    <w:p w14:paraId="10BC95D4" w14:textId="77777777" w:rsidR="00D02D3C" w:rsidRPr="00D02D3C" w:rsidRDefault="00D02D3C" w:rsidP="00D02D3C">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sz w:val="20"/>
          <w:szCs w:val="20"/>
        </w:rPr>
      </w:pPr>
    </w:p>
    <w:p w14:paraId="2DCC9453" w14:textId="77777777" w:rsidR="00D02D3C" w:rsidRPr="00D02D3C" w:rsidRDefault="00D02D3C" w:rsidP="000A566E">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sz w:val="20"/>
          <w:szCs w:val="20"/>
        </w:rPr>
      </w:pPr>
      <w:r w:rsidRPr="00D02D3C">
        <w:rPr>
          <w:rFonts w:ascii="Cambria" w:hAnsi="Cambria"/>
          <w:sz w:val="20"/>
          <w:szCs w:val="20"/>
        </w:rPr>
        <w:t xml:space="preserve">The Commission takes note that in addition to the </w:t>
      </w:r>
      <w:proofErr w:type="spellStart"/>
      <w:r w:rsidRPr="00D02D3C">
        <w:rPr>
          <w:rFonts w:ascii="Cambria" w:hAnsi="Cambria"/>
          <w:i/>
          <w:iCs/>
          <w:sz w:val="20"/>
          <w:szCs w:val="20"/>
        </w:rPr>
        <w:t>tutela</w:t>
      </w:r>
      <w:proofErr w:type="spellEnd"/>
      <w:r w:rsidRPr="00D02D3C">
        <w:rPr>
          <w:rFonts w:ascii="Cambria" w:hAnsi="Cambria"/>
          <w:sz w:val="20"/>
          <w:szCs w:val="20"/>
        </w:rPr>
        <w:t xml:space="preserve"> actions described in the previous section, the alleged victim also filed an action for nullity and reestablishment of the right, which was rejected by the Administrative Tribunal of Cartagena on October 4, 2005, as it considered that the action had prescribed, taking into account that such actions must be filed within four months from the day after notification of the ruling; and in this case notice of the decision to relieve her of her duties was given to the alleged victim on November 4, 2004, and the action was filed on July 12, 2005.</w:t>
      </w:r>
      <w:r w:rsidRPr="00D02D3C">
        <w:rPr>
          <w:rFonts w:asciiTheme="majorHAnsi" w:hAnsiTheme="majorHAnsi"/>
          <w:sz w:val="20"/>
          <w:szCs w:val="20"/>
          <w:vertAlign w:val="superscript"/>
        </w:rPr>
        <w:footnoteReference w:id="20"/>
      </w:r>
    </w:p>
    <w:p w14:paraId="1C62F15F" w14:textId="77777777" w:rsidR="00D02D3C" w:rsidRPr="00D02D3C" w:rsidRDefault="00D02D3C" w:rsidP="00D02D3C">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630"/>
        <w:jc w:val="both"/>
        <w:rPr>
          <w:rFonts w:ascii="Cambria" w:hAnsi="Cambria"/>
          <w:sz w:val="20"/>
          <w:szCs w:val="20"/>
        </w:rPr>
      </w:pPr>
    </w:p>
    <w:p w14:paraId="1AD28C5A" w14:textId="77777777" w:rsidR="00D02D3C" w:rsidRPr="00D02D3C" w:rsidRDefault="00D02D3C" w:rsidP="000A566E">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sz w:val="20"/>
          <w:szCs w:val="20"/>
        </w:rPr>
      </w:pPr>
      <w:r w:rsidRPr="00D02D3C">
        <w:rPr>
          <w:rFonts w:ascii="Cambria" w:hAnsi="Cambria"/>
          <w:sz w:val="20"/>
          <w:szCs w:val="20"/>
        </w:rPr>
        <w:lastRenderedPageBreak/>
        <w:t xml:space="preserve">Finally, the alleged victim filed a special action in the trade union jurisdiction against the Office of the Attorney General of the Nation before the Seventh Labor Court of Cartagena.  On December 13, 2006, said court rejected the action, considering: </w:t>
      </w:r>
    </w:p>
    <w:p w14:paraId="1A5F0D13" w14:textId="77777777" w:rsidR="00D02D3C" w:rsidRPr="00D02D3C" w:rsidRDefault="00D02D3C" w:rsidP="00D02D3C">
      <w:pPr>
        <w:ind w:left="720"/>
        <w:rPr>
          <w:rFonts w:ascii="Cambria" w:eastAsia="Cambria" w:hAnsi="Cambria" w:cs="Cambria"/>
          <w:color w:val="000000"/>
          <w:sz w:val="20"/>
          <w:szCs w:val="20"/>
          <w:u w:color="000000"/>
          <w:lang w:eastAsia="es-ES"/>
        </w:rPr>
      </w:pPr>
    </w:p>
    <w:p w14:paraId="4B85441B" w14:textId="77777777" w:rsidR="00D02D3C" w:rsidRPr="00D02D3C" w:rsidRDefault="00D02D3C" w:rsidP="00D02D3C">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630" w:right="810"/>
        <w:jc w:val="both"/>
        <w:rPr>
          <w:rFonts w:ascii="Cambria" w:hAnsi="Cambria"/>
          <w:sz w:val="20"/>
          <w:szCs w:val="20"/>
        </w:rPr>
      </w:pPr>
      <w:r w:rsidRPr="00D02D3C">
        <w:rPr>
          <w:rFonts w:ascii="Cambria" w:hAnsi="Cambria"/>
          <w:sz w:val="20"/>
          <w:szCs w:val="20"/>
        </w:rPr>
        <w:t>On studying Article 406 of the CST [Substantive Labor Code], we find which workers are covered by the jurisdiction, in the first place it would be considered that Ms. MARTÍNEZ has the right to the TRADE UNION JURISDICTION yet as she is a PROSECUTOR OF THE REPUBLIC BEFORE THE CIRCUIT JUDGES she cannot enjoy the guarantee of Trade Union Jurisdiction as per Paragraph 1 of Article 406 of the CST.</w:t>
      </w:r>
      <w:r w:rsidRPr="00D02D3C">
        <w:rPr>
          <w:rFonts w:asciiTheme="majorHAnsi" w:hAnsiTheme="majorHAnsi"/>
          <w:sz w:val="20"/>
          <w:szCs w:val="20"/>
          <w:vertAlign w:val="superscript"/>
        </w:rPr>
        <w:footnoteReference w:id="21"/>
      </w:r>
      <w:r w:rsidRPr="00D02D3C">
        <w:rPr>
          <w:rFonts w:ascii="Cambria" w:hAnsi="Cambria"/>
          <w:sz w:val="20"/>
          <w:szCs w:val="20"/>
        </w:rPr>
        <w:t xml:space="preserve">  </w:t>
      </w:r>
    </w:p>
    <w:p w14:paraId="52928E1C" w14:textId="77777777" w:rsidR="00D02D3C" w:rsidRPr="00D02D3C" w:rsidRDefault="00D02D3C" w:rsidP="00D02D3C">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right="810"/>
        <w:jc w:val="both"/>
        <w:rPr>
          <w:rFonts w:ascii="Cambria" w:hAnsi="Cambria"/>
          <w:sz w:val="20"/>
          <w:szCs w:val="20"/>
        </w:rPr>
      </w:pPr>
    </w:p>
    <w:p w14:paraId="5B629AE4" w14:textId="77777777" w:rsidR="00D02D3C" w:rsidRPr="00D02D3C" w:rsidRDefault="00D02D3C" w:rsidP="000A566E">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sz w:val="20"/>
          <w:szCs w:val="20"/>
        </w:rPr>
      </w:pPr>
      <w:r w:rsidRPr="00D02D3C">
        <w:rPr>
          <w:rFonts w:ascii="Cambria" w:hAnsi="Cambria"/>
          <w:sz w:val="20"/>
          <w:szCs w:val="20"/>
        </w:rPr>
        <w:t>As the alleged victim indicated, on that same date she filed an appeal; it was resolved on December 22, 2010, four years after it was filed.</w:t>
      </w:r>
      <w:r w:rsidRPr="00D02D3C">
        <w:rPr>
          <w:rFonts w:asciiTheme="majorHAnsi" w:hAnsiTheme="majorHAnsi"/>
          <w:sz w:val="20"/>
          <w:szCs w:val="20"/>
          <w:vertAlign w:val="superscript"/>
        </w:rPr>
        <w:footnoteReference w:id="22"/>
      </w:r>
      <w:r w:rsidRPr="00D02D3C">
        <w:rPr>
          <w:rFonts w:ascii="Cambria" w:hAnsi="Cambria"/>
          <w:sz w:val="20"/>
          <w:szCs w:val="20"/>
        </w:rPr>
        <w:t xml:space="preserve">  The State indicated that said delay was due to the number of matters pending before the court that took cognizance of the appeal. </w:t>
      </w:r>
    </w:p>
    <w:p w14:paraId="70DD0B0C" w14:textId="77777777" w:rsidR="00D02D3C" w:rsidRPr="00D02D3C" w:rsidRDefault="00D02D3C" w:rsidP="00D02D3C">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hAnsi="Cambria"/>
          <w:sz w:val="20"/>
          <w:szCs w:val="20"/>
          <w:lang w:eastAsia="es-ES"/>
        </w:rPr>
      </w:pPr>
      <w:bookmarkStart w:id="39" w:name="_Toc477355360"/>
      <w:bookmarkStart w:id="40" w:name="_Toc480897202"/>
      <w:bookmarkStart w:id="41" w:name="_Toc484439858"/>
      <w:bookmarkStart w:id="42" w:name="_Toc511310263"/>
    </w:p>
    <w:p w14:paraId="6AFDAC9D" w14:textId="77777777" w:rsidR="00D02D3C" w:rsidRPr="00D02D3C" w:rsidRDefault="00D02D3C" w:rsidP="000A566E">
      <w:pPr>
        <w:keepNext/>
        <w:numPr>
          <w:ilvl w:val="0"/>
          <w:numId w:val="66"/>
        </w:numPr>
        <w:pBdr>
          <w:top w:val="none" w:sz="0" w:space="0" w:color="auto"/>
          <w:left w:val="none" w:sz="0" w:space="0" w:color="auto"/>
          <w:bottom w:val="none" w:sz="0" w:space="0" w:color="auto"/>
          <w:right w:val="none" w:sz="0" w:space="0" w:color="auto"/>
          <w:between w:val="none" w:sz="0" w:space="0" w:color="auto"/>
          <w:bar w:val="none" w:sz="0" w:color="auto"/>
        </w:pBdr>
        <w:ind w:hanging="810"/>
        <w:outlineLvl w:val="0"/>
        <w:rPr>
          <w:rFonts w:asciiTheme="majorHAnsi" w:eastAsia="Times New Roman" w:hAnsiTheme="majorHAnsi"/>
          <w:b/>
          <w:sz w:val="20"/>
          <w:szCs w:val="20"/>
          <w:bdr w:val="none" w:sz="0" w:space="0" w:color="auto"/>
        </w:rPr>
      </w:pPr>
      <w:bookmarkStart w:id="43" w:name="_Toc522484035"/>
      <w:bookmarkStart w:id="44" w:name="_Toc523998354"/>
      <w:r w:rsidRPr="00D02D3C">
        <w:rPr>
          <w:rFonts w:asciiTheme="majorHAnsi" w:eastAsia="Times New Roman" w:hAnsiTheme="majorHAnsi"/>
          <w:b/>
          <w:sz w:val="20"/>
          <w:szCs w:val="20"/>
          <w:bdr w:val="none" w:sz="0" w:space="0" w:color="auto"/>
        </w:rPr>
        <w:t>LEGAL ANALYSIS</w:t>
      </w:r>
      <w:bookmarkEnd w:id="43"/>
      <w:bookmarkEnd w:id="44"/>
      <w:r w:rsidRPr="00D02D3C">
        <w:rPr>
          <w:rFonts w:asciiTheme="majorHAnsi" w:eastAsia="Times New Roman" w:hAnsiTheme="majorHAnsi"/>
          <w:b/>
          <w:sz w:val="20"/>
          <w:szCs w:val="20"/>
          <w:bdr w:val="none" w:sz="0" w:space="0" w:color="auto"/>
        </w:rPr>
        <w:t xml:space="preserve"> </w:t>
      </w:r>
      <w:bookmarkStart w:id="45" w:name="_Toc511310264"/>
      <w:bookmarkEnd w:id="39"/>
      <w:bookmarkEnd w:id="40"/>
      <w:bookmarkEnd w:id="41"/>
      <w:bookmarkEnd w:id="42"/>
    </w:p>
    <w:p w14:paraId="20D3FA8C" w14:textId="77777777" w:rsidR="00D02D3C" w:rsidRPr="00D02D3C" w:rsidRDefault="00D02D3C" w:rsidP="00D02D3C"/>
    <w:p w14:paraId="7F3F9BE8" w14:textId="77777777" w:rsidR="00D02D3C" w:rsidRPr="00D02D3C" w:rsidRDefault="00D02D3C" w:rsidP="000A566E">
      <w:pPr>
        <w:keepNext/>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ind w:left="1440" w:hanging="720"/>
        <w:jc w:val="both"/>
        <w:outlineLvl w:val="1"/>
        <w:rPr>
          <w:rFonts w:asciiTheme="majorHAnsi" w:eastAsia="Times New Roman" w:hAnsiTheme="majorHAnsi"/>
          <w:b/>
          <w:sz w:val="20"/>
          <w:szCs w:val="20"/>
          <w:bdr w:val="none" w:sz="0" w:space="0" w:color="auto"/>
        </w:rPr>
      </w:pPr>
      <w:bookmarkStart w:id="46" w:name="_Toc395277579"/>
      <w:bookmarkStart w:id="47" w:name="_Toc522484036"/>
      <w:bookmarkStart w:id="48" w:name="_Toc523998355"/>
      <w:bookmarkEnd w:id="45"/>
      <w:r w:rsidRPr="00D02D3C">
        <w:rPr>
          <w:rFonts w:asciiTheme="majorHAnsi" w:eastAsia="Times New Roman" w:hAnsiTheme="majorHAnsi"/>
          <w:b/>
          <w:sz w:val="20"/>
          <w:szCs w:val="20"/>
          <w:bdr w:val="none" w:sz="0" w:space="0" w:color="auto"/>
        </w:rPr>
        <w:t>Right to judicial guarantees</w:t>
      </w:r>
      <w:r w:rsidRPr="00D02D3C">
        <w:rPr>
          <w:rFonts w:ascii="Cambria" w:eastAsia="Times New Roman" w:hAnsi="Cambria"/>
          <w:b/>
          <w:sz w:val="20"/>
          <w:szCs w:val="20"/>
          <w:bdr w:val="none" w:sz="0" w:space="0" w:color="auto"/>
          <w:vertAlign w:val="superscript"/>
        </w:rPr>
        <w:footnoteReference w:id="23"/>
      </w:r>
      <w:r w:rsidRPr="00D02D3C">
        <w:rPr>
          <w:rFonts w:asciiTheme="majorHAnsi" w:eastAsia="Times New Roman" w:hAnsiTheme="majorHAnsi"/>
          <w:b/>
          <w:sz w:val="20"/>
          <w:szCs w:val="20"/>
          <w:bdr w:val="none" w:sz="0" w:space="0" w:color="auto"/>
        </w:rPr>
        <w:t xml:space="preserve"> and freedom from ex post facto laws</w:t>
      </w:r>
      <w:r w:rsidRPr="00D02D3C">
        <w:rPr>
          <w:rFonts w:ascii="Cambria" w:eastAsiaTheme="majorEastAsia" w:hAnsi="Cambria"/>
          <w:b/>
          <w:sz w:val="20"/>
          <w:szCs w:val="20"/>
          <w:bdr w:val="none" w:sz="0" w:space="0" w:color="auto"/>
          <w:vertAlign w:val="superscript"/>
        </w:rPr>
        <w:footnoteReference w:id="24"/>
      </w:r>
      <w:bookmarkEnd w:id="46"/>
      <w:bookmarkEnd w:id="47"/>
      <w:bookmarkEnd w:id="48"/>
      <w:r w:rsidRPr="00D02D3C">
        <w:rPr>
          <w:rFonts w:asciiTheme="majorHAnsi" w:eastAsia="Times New Roman" w:hAnsiTheme="majorHAnsi"/>
          <w:b/>
          <w:sz w:val="20"/>
          <w:szCs w:val="20"/>
          <w:bdr w:val="none" w:sz="0" w:space="0" w:color="auto"/>
        </w:rPr>
        <w:t xml:space="preserve"> </w:t>
      </w:r>
    </w:p>
    <w:p w14:paraId="464D0552" w14:textId="77777777" w:rsidR="00D02D3C" w:rsidRPr="00D02D3C" w:rsidRDefault="00D02D3C" w:rsidP="00D02D3C"/>
    <w:p w14:paraId="13D20650" w14:textId="77777777" w:rsidR="00D02D3C" w:rsidRPr="00D02D3C" w:rsidRDefault="00D02D3C" w:rsidP="000A566E">
      <w:pPr>
        <w:keepNext/>
        <w:numPr>
          <w:ilvl w:val="0"/>
          <w:numId w:val="65"/>
        </w:numPr>
        <w:pBdr>
          <w:top w:val="none" w:sz="0" w:space="0" w:color="auto"/>
          <w:left w:val="none" w:sz="0" w:space="0" w:color="auto"/>
          <w:bottom w:val="none" w:sz="0" w:space="0" w:color="auto"/>
          <w:right w:val="none" w:sz="0" w:space="0" w:color="auto"/>
          <w:between w:val="none" w:sz="0" w:space="0" w:color="auto"/>
          <w:bar w:val="none" w:sz="0" w:color="auto"/>
        </w:pBdr>
        <w:ind w:left="1440" w:hanging="720"/>
        <w:jc w:val="both"/>
        <w:outlineLvl w:val="1"/>
        <w:rPr>
          <w:rFonts w:asciiTheme="majorHAnsi" w:eastAsia="Times New Roman" w:hAnsiTheme="majorHAnsi"/>
          <w:b/>
          <w:sz w:val="20"/>
          <w:szCs w:val="20"/>
          <w:bdr w:val="none" w:sz="0" w:space="0" w:color="auto"/>
        </w:rPr>
      </w:pPr>
      <w:bookmarkStart w:id="49" w:name="_Toc522484037"/>
      <w:bookmarkStart w:id="50" w:name="_Toc523998356"/>
      <w:bookmarkStart w:id="51" w:name="_Toc395277580"/>
      <w:r w:rsidRPr="00D02D3C">
        <w:rPr>
          <w:rFonts w:asciiTheme="majorHAnsi" w:eastAsia="Times New Roman" w:hAnsiTheme="majorHAnsi"/>
          <w:b/>
          <w:sz w:val="20"/>
          <w:szCs w:val="20"/>
          <w:bdr w:val="none" w:sz="0" w:space="0" w:color="auto"/>
        </w:rPr>
        <w:t>General considerations on the guarantees applicable to proceedings for imposing sanctions for determining rights</w:t>
      </w:r>
      <w:bookmarkEnd w:id="49"/>
      <w:bookmarkEnd w:id="50"/>
      <w:r w:rsidRPr="00D02D3C">
        <w:rPr>
          <w:rFonts w:asciiTheme="majorHAnsi" w:eastAsia="Times New Roman" w:hAnsiTheme="majorHAnsi"/>
          <w:b/>
          <w:sz w:val="20"/>
          <w:szCs w:val="20"/>
          <w:bdr w:val="none" w:sz="0" w:space="0" w:color="auto"/>
        </w:rPr>
        <w:t xml:space="preserve"> </w:t>
      </w:r>
      <w:bookmarkEnd w:id="51"/>
    </w:p>
    <w:p w14:paraId="7B48F7A3" w14:textId="77777777" w:rsidR="00D02D3C" w:rsidRPr="00D02D3C" w:rsidRDefault="00D02D3C" w:rsidP="00D02D3C">
      <w:pPr>
        <w:ind w:left="1440"/>
        <w:rPr>
          <w:rFonts w:asciiTheme="majorHAnsi" w:eastAsia="Cambria" w:hAnsiTheme="majorHAnsi" w:cs="Cambria"/>
          <w:b/>
          <w:color w:val="000000" w:themeColor="text1"/>
          <w:sz w:val="20"/>
          <w:szCs w:val="20"/>
          <w:u w:color="000000"/>
          <w:lang w:eastAsia="es-ES"/>
        </w:rPr>
      </w:pPr>
    </w:p>
    <w:p w14:paraId="7771BAAB" w14:textId="296EA5AC" w:rsidR="00D02D3C" w:rsidRPr="000A566E" w:rsidRDefault="00D02D3C" w:rsidP="000A566E">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eastAsia="es-ES"/>
        </w:rPr>
      </w:pPr>
      <w:r w:rsidRPr="00D02D3C">
        <w:rPr>
          <w:rFonts w:ascii="Cambria" w:hAnsi="Cambria"/>
          <w:sz w:val="20"/>
          <w:szCs w:val="20"/>
        </w:rPr>
        <w:t>The Commission recalls that both organs of the inter-American system have indicated that the guarantees established in Article 8 of the American Convention are not limited to criminal proceedings, but also apply to other types of proceedings.</w:t>
      </w:r>
      <w:r w:rsidRPr="00D02D3C">
        <w:rPr>
          <w:rFonts w:ascii="Cambria" w:hAnsi="Cambria"/>
          <w:sz w:val="20"/>
          <w:szCs w:val="20"/>
          <w:vertAlign w:val="superscript"/>
          <w:lang w:eastAsia="es-ES"/>
        </w:rPr>
        <w:footnoteReference w:id="25"/>
      </w:r>
      <w:r w:rsidRPr="00D02D3C">
        <w:rPr>
          <w:rFonts w:ascii="Cambria" w:hAnsi="Cambria"/>
          <w:sz w:val="20"/>
          <w:szCs w:val="20"/>
          <w:lang w:eastAsia="es-ES"/>
        </w:rPr>
        <w:t xml:space="preserve"> Specifically, both organs of the system have indicated that by analogy the guarantees established in Article 8(2) of the American Convention apply to sanction-imposing proceedings.</w:t>
      </w:r>
      <w:r w:rsidRPr="00D02D3C">
        <w:rPr>
          <w:rFonts w:ascii="Cambria" w:hAnsi="Cambria"/>
          <w:sz w:val="20"/>
          <w:szCs w:val="20"/>
          <w:vertAlign w:val="superscript"/>
          <w:lang w:eastAsia="es-ES"/>
        </w:rPr>
        <w:footnoteReference w:id="26"/>
      </w:r>
      <w:r w:rsidRPr="00D02D3C">
        <w:rPr>
          <w:rFonts w:ascii="Cambria" w:hAnsi="Cambria"/>
          <w:sz w:val="20"/>
          <w:szCs w:val="20"/>
          <w:lang w:eastAsia="es-ES"/>
        </w:rPr>
        <w:t xml:space="preserve"> In proceedings in which rights or interests are in play, the “due guarantees” established at Article 8(1) of the American Convention apply, including the right to sufficient reasoning.</w:t>
      </w:r>
      <w:r w:rsidRPr="00D02D3C">
        <w:rPr>
          <w:rFonts w:ascii="Cambria" w:hAnsi="Cambria"/>
          <w:sz w:val="20"/>
          <w:szCs w:val="20"/>
          <w:vertAlign w:val="superscript"/>
        </w:rPr>
        <w:footnoteReference w:id="27"/>
      </w:r>
      <w:r w:rsidRPr="00D02D3C">
        <w:rPr>
          <w:rFonts w:ascii="Cambria" w:hAnsi="Cambria"/>
          <w:sz w:val="20"/>
          <w:szCs w:val="20"/>
          <w:lang w:eastAsia="es-ES"/>
        </w:rPr>
        <w:t xml:space="preserve"> In addition, the European Court of Human Rights has ruled that due process guarantees must be respected and ensured in the context of administrative proceedings that conclude in the dismissal of a public servant.</w:t>
      </w:r>
      <w:r w:rsidRPr="00D02D3C">
        <w:rPr>
          <w:rFonts w:ascii="Cambria" w:hAnsi="Cambria"/>
          <w:sz w:val="20"/>
          <w:szCs w:val="20"/>
          <w:vertAlign w:val="superscript"/>
          <w:lang w:eastAsia="es-ES"/>
        </w:rPr>
        <w:footnoteReference w:id="28"/>
      </w:r>
    </w:p>
    <w:p w14:paraId="61133817" w14:textId="77777777" w:rsidR="00D02D3C" w:rsidRPr="00D02D3C" w:rsidRDefault="00D02D3C" w:rsidP="000A566E">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eastAsia="es-ES"/>
        </w:rPr>
      </w:pPr>
      <w:r w:rsidRPr="00D02D3C">
        <w:rPr>
          <w:rFonts w:ascii="Cambria" w:hAnsi="Cambria"/>
          <w:sz w:val="20"/>
          <w:szCs w:val="20"/>
          <w:lang w:eastAsia="es-ES"/>
        </w:rPr>
        <w:lastRenderedPageBreak/>
        <w:t>Accordingly, the determination of what are the due guarantees in a specific proceeding for the determination of rights must be made taking into account the nature of the proceeding and the legal interests at stake.</w:t>
      </w:r>
      <w:r w:rsidRPr="00D02D3C">
        <w:rPr>
          <w:rFonts w:ascii="Cambria" w:hAnsi="Cambria"/>
          <w:sz w:val="20"/>
          <w:szCs w:val="20"/>
          <w:vertAlign w:val="superscript"/>
        </w:rPr>
        <w:footnoteReference w:id="29"/>
      </w:r>
      <w:r w:rsidRPr="00D02D3C">
        <w:rPr>
          <w:rFonts w:ascii="Cambria" w:hAnsi="Cambria"/>
          <w:sz w:val="20"/>
          <w:szCs w:val="20"/>
          <w:lang w:eastAsia="es-ES"/>
        </w:rPr>
        <w:t xml:space="preserve"> </w:t>
      </w:r>
    </w:p>
    <w:p w14:paraId="395BC1DE" w14:textId="77777777" w:rsidR="00D02D3C" w:rsidRPr="00D02D3C" w:rsidRDefault="00D02D3C" w:rsidP="00D02D3C">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hAnsi="Cambria"/>
          <w:sz w:val="20"/>
          <w:szCs w:val="20"/>
          <w:lang w:eastAsia="es-ES"/>
        </w:rPr>
      </w:pPr>
    </w:p>
    <w:p w14:paraId="102930A0" w14:textId="77777777" w:rsidR="00D02D3C" w:rsidRPr="00D02D3C" w:rsidRDefault="00D02D3C" w:rsidP="000A566E">
      <w:pPr>
        <w:keepNext/>
        <w:numPr>
          <w:ilvl w:val="0"/>
          <w:numId w:val="65"/>
        </w:numPr>
        <w:pBdr>
          <w:top w:val="none" w:sz="0" w:space="0" w:color="auto"/>
          <w:left w:val="none" w:sz="0" w:space="0" w:color="auto"/>
          <w:bottom w:val="none" w:sz="0" w:space="0" w:color="auto"/>
          <w:right w:val="none" w:sz="0" w:space="0" w:color="auto"/>
          <w:between w:val="none" w:sz="0" w:space="0" w:color="auto"/>
          <w:bar w:val="none" w:sz="0" w:color="auto"/>
        </w:pBdr>
        <w:ind w:left="1440" w:hanging="720"/>
        <w:jc w:val="both"/>
        <w:outlineLvl w:val="1"/>
        <w:rPr>
          <w:rFonts w:asciiTheme="majorHAnsi" w:eastAsia="Times New Roman" w:hAnsiTheme="majorHAnsi"/>
          <w:b/>
          <w:sz w:val="20"/>
          <w:szCs w:val="20"/>
          <w:bdr w:val="none" w:sz="0" w:space="0" w:color="auto"/>
        </w:rPr>
      </w:pPr>
      <w:bookmarkStart w:id="52" w:name="_Toc522484038"/>
      <w:bookmarkStart w:id="53" w:name="_Toc523998357"/>
      <w:bookmarkStart w:id="54" w:name="_Toc395277581"/>
      <w:r w:rsidRPr="00D02D3C">
        <w:rPr>
          <w:rFonts w:asciiTheme="majorHAnsi" w:eastAsia="Times New Roman" w:hAnsiTheme="majorHAnsi"/>
          <w:b/>
          <w:sz w:val="20"/>
          <w:szCs w:val="20"/>
          <w:bdr w:val="none" w:sz="0" w:space="0" w:color="auto"/>
        </w:rPr>
        <w:t>General considerations on the guarantees applicable to judicial officers, including prosecutors</w:t>
      </w:r>
      <w:bookmarkEnd w:id="52"/>
      <w:bookmarkEnd w:id="53"/>
      <w:r w:rsidRPr="00D02D3C">
        <w:rPr>
          <w:rFonts w:asciiTheme="majorHAnsi" w:eastAsia="Times New Roman" w:hAnsiTheme="majorHAnsi"/>
          <w:b/>
          <w:sz w:val="20"/>
          <w:szCs w:val="20"/>
          <w:bdr w:val="none" w:sz="0" w:space="0" w:color="auto"/>
        </w:rPr>
        <w:t xml:space="preserve"> </w:t>
      </w:r>
      <w:bookmarkEnd w:id="54"/>
    </w:p>
    <w:p w14:paraId="173B2ED6" w14:textId="77777777" w:rsidR="00D02D3C" w:rsidRPr="00D02D3C" w:rsidRDefault="00D02D3C" w:rsidP="00D02D3C">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hAnsi="Cambria"/>
          <w:sz w:val="20"/>
          <w:szCs w:val="20"/>
          <w:lang w:eastAsia="es-ES"/>
        </w:rPr>
      </w:pPr>
    </w:p>
    <w:p w14:paraId="548090DF" w14:textId="77777777" w:rsidR="00D02D3C" w:rsidRPr="00D02D3C" w:rsidRDefault="00D02D3C" w:rsidP="000A566E">
      <w:pPr>
        <w:keepNext/>
        <w:numPr>
          <w:ilvl w:val="1"/>
          <w:numId w:val="65"/>
        </w:numPr>
        <w:pBdr>
          <w:top w:val="none" w:sz="0" w:space="0" w:color="auto"/>
          <w:left w:val="none" w:sz="0" w:space="0" w:color="auto"/>
          <w:bottom w:val="none" w:sz="0" w:space="0" w:color="auto"/>
          <w:right w:val="none" w:sz="0" w:space="0" w:color="auto"/>
          <w:between w:val="none" w:sz="0" w:space="0" w:color="auto"/>
          <w:bar w:val="none" w:sz="0" w:color="auto"/>
        </w:pBdr>
        <w:ind w:left="1440" w:hanging="720"/>
        <w:jc w:val="both"/>
        <w:outlineLvl w:val="2"/>
        <w:rPr>
          <w:rFonts w:ascii="Cambria" w:eastAsiaTheme="majorEastAsia" w:hAnsi="Cambria" w:cstheme="majorBidi"/>
          <w:b/>
          <w:bCs/>
          <w:sz w:val="20"/>
          <w:szCs w:val="20"/>
        </w:rPr>
      </w:pPr>
      <w:bookmarkStart w:id="55" w:name="_Toc522484039"/>
      <w:bookmarkStart w:id="56" w:name="_Toc523998358"/>
      <w:bookmarkStart w:id="57" w:name="_Toc395277582"/>
      <w:r w:rsidRPr="00D02D3C">
        <w:rPr>
          <w:rFonts w:ascii="Cambria" w:eastAsiaTheme="majorEastAsia" w:hAnsi="Cambria" w:cstheme="majorBidi"/>
          <w:b/>
          <w:bCs/>
          <w:sz w:val="20"/>
          <w:szCs w:val="20"/>
        </w:rPr>
        <w:t>The principle of judicial independence and the removal of judicial officers</w:t>
      </w:r>
      <w:bookmarkEnd w:id="55"/>
      <w:bookmarkEnd w:id="56"/>
      <w:r w:rsidRPr="00D02D3C">
        <w:rPr>
          <w:rFonts w:ascii="Cambria" w:eastAsiaTheme="majorEastAsia" w:hAnsi="Cambria" w:cstheme="majorBidi"/>
          <w:b/>
          <w:bCs/>
          <w:sz w:val="20"/>
          <w:szCs w:val="20"/>
        </w:rPr>
        <w:t xml:space="preserve"> </w:t>
      </w:r>
      <w:bookmarkEnd w:id="57"/>
    </w:p>
    <w:p w14:paraId="63429FA3" w14:textId="77777777" w:rsidR="00D02D3C" w:rsidRPr="00D02D3C" w:rsidRDefault="00D02D3C" w:rsidP="00D02D3C"/>
    <w:p w14:paraId="0DF32E3F" w14:textId="77777777" w:rsidR="00D02D3C" w:rsidRPr="00D02D3C" w:rsidRDefault="00D02D3C" w:rsidP="000A566E">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rPr>
      </w:pPr>
      <w:r w:rsidRPr="00D02D3C">
        <w:rPr>
          <w:rFonts w:ascii="Cambria" w:hAnsi="Cambria"/>
          <w:sz w:val="20"/>
          <w:szCs w:val="20"/>
          <w:lang w:eastAsia="es-ES"/>
        </w:rPr>
        <w:t>The IACHR has indicated that the principle of judicial independence is a requirement inherent to a democratic form of government and a fundamental prerequisite for the protection of human rights.</w:t>
      </w:r>
      <w:r w:rsidRPr="00D02D3C">
        <w:rPr>
          <w:rFonts w:ascii="Cambria" w:hAnsi="Cambria"/>
          <w:sz w:val="20"/>
          <w:szCs w:val="20"/>
          <w:vertAlign w:val="superscript"/>
        </w:rPr>
        <w:footnoteReference w:id="30"/>
      </w:r>
      <w:r w:rsidRPr="00D02D3C">
        <w:rPr>
          <w:rFonts w:ascii="Cambria" w:hAnsi="Cambria"/>
          <w:sz w:val="20"/>
          <w:szCs w:val="20"/>
        </w:rPr>
        <w:t xml:space="preserve"> It is enshrined as one of the guarantees of due process protected by Article 8(1) of the American Convention and, moreover, the principle gives rise to the “reinforced”</w:t>
      </w:r>
      <w:r w:rsidRPr="00D02D3C">
        <w:rPr>
          <w:rFonts w:ascii="Cambria" w:hAnsi="Cambria"/>
          <w:sz w:val="20"/>
          <w:szCs w:val="20"/>
          <w:vertAlign w:val="superscript"/>
        </w:rPr>
        <w:footnoteReference w:id="31"/>
      </w:r>
      <w:r w:rsidRPr="00D02D3C">
        <w:rPr>
          <w:rFonts w:ascii="Cambria" w:hAnsi="Cambria"/>
          <w:sz w:val="20"/>
          <w:szCs w:val="20"/>
        </w:rPr>
        <w:t xml:space="preserve"> guarantees that states must offer judges to ensure their independence.</w:t>
      </w:r>
      <w:r w:rsidRPr="00D02D3C">
        <w:rPr>
          <w:rFonts w:ascii="Cambria" w:hAnsi="Cambria"/>
          <w:sz w:val="20"/>
          <w:szCs w:val="20"/>
          <w:vertAlign w:val="superscript"/>
        </w:rPr>
        <w:footnoteReference w:id="32"/>
      </w:r>
      <w:r w:rsidRPr="00D02D3C">
        <w:rPr>
          <w:rFonts w:ascii="Cambria" w:hAnsi="Cambria"/>
          <w:sz w:val="20"/>
          <w:szCs w:val="20"/>
        </w:rPr>
        <w:t xml:space="preserve"> The organs of the inter-American system have interpreted the principle of judicial independence so as to incorporate the following guarantees: adequate appointment process, tenure in the position, and guarantees against external pressures.</w:t>
      </w:r>
      <w:r w:rsidRPr="00D02D3C">
        <w:rPr>
          <w:rFonts w:ascii="Cambria" w:hAnsi="Cambria"/>
          <w:sz w:val="20"/>
          <w:szCs w:val="20"/>
          <w:vertAlign w:val="superscript"/>
        </w:rPr>
        <w:footnoteReference w:id="33"/>
      </w:r>
    </w:p>
    <w:p w14:paraId="4541EE4B" w14:textId="77777777" w:rsidR="00D02D3C" w:rsidRPr="00D02D3C" w:rsidRDefault="00D02D3C" w:rsidP="00D02D3C">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Cambria" w:hAnsi="Cambria"/>
          <w:sz w:val="20"/>
          <w:szCs w:val="20"/>
        </w:rPr>
      </w:pPr>
    </w:p>
    <w:p w14:paraId="0D5F910F" w14:textId="77777777" w:rsidR="00D02D3C" w:rsidRPr="00D02D3C" w:rsidRDefault="00D02D3C" w:rsidP="000A566E">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rPr>
      </w:pPr>
      <w:r w:rsidRPr="00D02D3C">
        <w:rPr>
          <w:rFonts w:ascii="Cambria" w:hAnsi="Cambria"/>
          <w:sz w:val="20"/>
          <w:szCs w:val="20"/>
        </w:rPr>
        <w:t xml:space="preserve">Specifically, with respect to the guarantees for ensuring tenure, the Court has indicated that proceedings that may culminate in the separation of a judicial officer should unfold in a manner compatible with the principle of judicial independence. This implies that the states should ensure that all persons who perform judicial functions have guarantees of reinforced stability, understanding this to mean that the dismissal or removal of a judge </w:t>
      </w:r>
      <w:r w:rsidRPr="00D02D3C">
        <w:rPr>
          <w:rFonts w:asciiTheme="majorHAnsi" w:hAnsiTheme="majorHAnsi"/>
          <w:sz w:val="20"/>
          <w:szCs w:val="20"/>
          <w:bdr w:val="none" w:sz="0" w:space="0" w:color="auto"/>
        </w:rPr>
        <w:t>from his or her position may proceed on two fundamental grounds: (</w:t>
      </w:r>
      <w:proofErr w:type="spellStart"/>
      <w:r w:rsidRPr="00D02D3C">
        <w:rPr>
          <w:rFonts w:asciiTheme="majorHAnsi" w:hAnsiTheme="majorHAnsi"/>
          <w:sz w:val="20"/>
          <w:szCs w:val="20"/>
          <w:bdr w:val="none" w:sz="0" w:space="0" w:color="auto"/>
        </w:rPr>
        <w:t>i</w:t>
      </w:r>
      <w:proofErr w:type="spellEnd"/>
      <w:r w:rsidRPr="00D02D3C">
        <w:rPr>
          <w:rFonts w:asciiTheme="majorHAnsi" w:hAnsiTheme="majorHAnsi"/>
          <w:sz w:val="20"/>
          <w:szCs w:val="20"/>
          <w:bdr w:val="none" w:sz="0" w:space="0" w:color="auto"/>
        </w:rPr>
        <w:t>) for engaging in “clearly punishable” conduct</w:t>
      </w:r>
      <w:r w:rsidRPr="00D02D3C">
        <w:rPr>
          <w:rFonts w:ascii="Cambria" w:hAnsi="Cambria" w:cs="Verdana"/>
          <w:sz w:val="20"/>
          <w:szCs w:val="20"/>
        </w:rPr>
        <w:t>, “based on the most serious grounds of misconduct or incompetence,”</w:t>
      </w:r>
      <w:r w:rsidRPr="00D02D3C">
        <w:rPr>
          <w:rFonts w:ascii="Cambria" w:hAnsi="Cambria"/>
          <w:sz w:val="20"/>
          <w:szCs w:val="20"/>
          <w:vertAlign w:val="superscript"/>
        </w:rPr>
        <w:footnoteReference w:id="34"/>
      </w:r>
      <w:r w:rsidRPr="00D02D3C">
        <w:rPr>
          <w:rFonts w:ascii="Cambria" w:hAnsi="Cambria" w:cs="Verdana"/>
          <w:sz w:val="20"/>
          <w:szCs w:val="20"/>
        </w:rPr>
        <w:t xml:space="preserve"> or (ii) due to completing the term or satisfying the condition established in the designation. Provisional status is not equivalent to free removal and should not mean any alteration whatsoever of the regime of guarantees for the sound performance of the judge and safeguard of parties who come before the courts.</w:t>
      </w:r>
      <w:r w:rsidRPr="00D02D3C">
        <w:rPr>
          <w:rFonts w:asciiTheme="majorHAnsi" w:hAnsiTheme="majorHAnsi"/>
          <w:sz w:val="20"/>
          <w:vertAlign w:val="superscript"/>
        </w:rPr>
        <w:footnoteReference w:id="35"/>
      </w:r>
      <w:r w:rsidRPr="00D02D3C">
        <w:rPr>
          <w:rFonts w:ascii="Cambria" w:hAnsi="Cambria" w:cs="Verdana"/>
          <w:sz w:val="20"/>
          <w:szCs w:val="20"/>
        </w:rPr>
        <w:t xml:space="preserve"> </w:t>
      </w:r>
    </w:p>
    <w:p w14:paraId="264CAFD0" w14:textId="77777777" w:rsidR="00D02D3C" w:rsidRPr="00D02D3C" w:rsidRDefault="00D02D3C" w:rsidP="00D02D3C">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hAnsi="Cambria"/>
          <w:sz w:val="20"/>
          <w:szCs w:val="20"/>
        </w:rPr>
      </w:pPr>
    </w:p>
    <w:p w14:paraId="67017D5A" w14:textId="77777777" w:rsidR="00D02D3C" w:rsidRPr="00D02D3C" w:rsidRDefault="00D02D3C" w:rsidP="000A566E">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rPr>
      </w:pPr>
      <w:r w:rsidRPr="00D02D3C">
        <w:rPr>
          <w:rFonts w:asciiTheme="majorHAnsi" w:hAnsiTheme="majorHAnsi"/>
          <w:sz w:val="20"/>
          <w:szCs w:val="20"/>
        </w:rPr>
        <w:t xml:space="preserve">Stability of judicial officers in their positions is closely tied to the guarantee against external and internal pressures, since if they do not have security of tenure during a given period they would be vulnerable to pressures from different sectors, mainly from those who have the power to decide on their removal. </w:t>
      </w:r>
    </w:p>
    <w:p w14:paraId="3F32C7C7" w14:textId="77777777" w:rsidR="00D02D3C" w:rsidRPr="00D02D3C" w:rsidRDefault="00D02D3C" w:rsidP="00D02D3C">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hAnsi="Cambria"/>
          <w:sz w:val="20"/>
          <w:szCs w:val="20"/>
        </w:rPr>
      </w:pPr>
    </w:p>
    <w:p w14:paraId="1A26EE38" w14:textId="77777777" w:rsidR="00D02D3C" w:rsidRPr="00D02D3C" w:rsidRDefault="00D02D3C" w:rsidP="000A566E">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rPr>
      </w:pPr>
      <w:r w:rsidRPr="00D02D3C">
        <w:rPr>
          <w:rFonts w:asciiTheme="majorHAnsi" w:hAnsiTheme="majorHAnsi"/>
          <w:sz w:val="20"/>
          <w:szCs w:val="20"/>
        </w:rPr>
        <w:lastRenderedPageBreak/>
        <w:t>Accordingly, the Commission reiterates that the states must ensure that all persons who exercise a judicial function have reinforced guarantees of stability in the understanding that except for committing serious disciplinary breaches, stability in the position should be respected for the term or until satisfaction of the condition established in the designation, without any distinction between career service judges and those who perform the judicial function temporarily or provisionally. Such temporary or provisional nature should be determined by a term or a specific condition for the exercise of the judicial function, so as to ensure that these judges will not be removed from their positions due to the rulings they adopt or by virtue of arbitrary decisions by administrative or judicial entities. The appointment of temporary judicial officers with no defined term or condition in their appointment should be considered incompatible with the international obligations of a state as regards judicial independence and cannot be argued as an excuse for not granting due process guarantees in a decision on removal.</w:t>
      </w:r>
      <w:r w:rsidRPr="00D02D3C">
        <w:rPr>
          <w:rFonts w:ascii="Cambria" w:hAnsi="Cambria"/>
          <w:sz w:val="20"/>
          <w:szCs w:val="20"/>
          <w:vertAlign w:val="superscript"/>
        </w:rPr>
        <w:footnoteReference w:id="36"/>
      </w:r>
      <w:r w:rsidRPr="00D02D3C">
        <w:rPr>
          <w:rFonts w:asciiTheme="majorHAnsi" w:hAnsiTheme="majorHAnsi"/>
          <w:sz w:val="20"/>
          <w:szCs w:val="20"/>
        </w:rPr>
        <w:t xml:space="preserve"> </w:t>
      </w:r>
      <w:r w:rsidRPr="00D02D3C">
        <w:rPr>
          <w:rFonts w:ascii="Cambria" w:hAnsi="Cambria"/>
          <w:sz w:val="20"/>
          <w:szCs w:val="20"/>
        </w:rPr>
        <w:t>The IACHR has indicated that the independence of the judicial system is undermined when provisional judges can be dismissed without any statement regarding the cause.</w:t>
      </w:r>
      <w:r w:rsidRPr="00D02D3C">
        <w:rPr>
          <w:rFonts w:ascii="Cambria" w:hAnsi="Cambria"/>
          <w:sz w:val="20"/>
          <w:szCs w:val="20"/>
          <w:vertAlign w:val="superscript"/>
        </w:rPr>
        <w:footnoteReference w:id="37"/>
      </w:r>
      <w:r w:rsidRPr="00D02D3C">
        <w:rPr>
          <w:rFonts w:ascii="Cambria" w:hAnsi="Cambria"/>
          <w:sz w:val="20"/>
          <w:szCs w:val="20"/>
        </w:rPr>
        <w:t xml:space="preserve"> </w:t>
      </w:r>
    </w:p>
    <w:p w14:paraId="628D9469" w14:textId="77777777" w:rsidR="00D02D3C" w:rsidRPr="00D02D3C" w:rsidRDefault="00D02D3C" w:rsidP="00D02D3C">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hAnsi="Cambria" w:cs="Verdana"/>
          <w:sz w:val="20"/>
          <w:szCs w:val="20"/>
        </w:rPr>
      </w:pPr>
    </w:p>
    <w:p w14:paraId="6C837794" w14:textId="77777777" w:rsidR="00D02D3C" w:rsidRPr="00D02D3C" w:rsidRDefault="00D02D3C" w:rsidP="000A566E">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hAnsiTheme="majorHAnsi"/>
          <w:sz w:val="20"/>
          <w:szCs w:val="20"/>
          <w:bdr w:val="none" w:sz="0" w:space="0" w:color="auto"/>
        </w:rPr>
      </w:pPr>
      <w:r w:rsidRPr="00D02D3C">
        <w:rPr>
          <w:rFonts w:ascii="Cambria" w:hAnsi="Cambria" w:cs="Verdana"/>
          <w:sz w:val="20"/>
          <w:szCs w:val="20"/>
        </w:rPr>
        <w:t xml:space="preserve">In sum, even when the “needs of the service” may </w:t>
      </w:r>
      <w:proofErr w:type="gramStart"/>
      <w:r w:rsidRPr="00D02D3C">
        <w:rPr>
          <w:rFonts w:ascii="Cambria" w:hAnsi="Cambria" w:cs="Verdana"/>
          <w:sz w:val="20"/>
          <w:szCs w:val="20"/>
        </w:rPr>
        <w:t>justify  an</w:t>
      </w:r>
      <w:proofErr w:type="gramEnd"/>
      <w:r w:rsidRPr="00D02D3C">
        <w:rPr>
          <w:rFonts w:ascii="Cambria" w:hAnsi="Cambria" w:cs="Verdana"/>
          <w:sz w:val="20"/>
          <w:szCs w:val="20"/>
        </w:rPr>
        <w:t xml:space="preserve"> appointment of a judicial officer on a temporary basis or to fulfill a specific function, that period or condition should be clearly established in the act of the appointment and should also be part of the explanation of the eventual act of separation. Only in this way can one protect the independence of the judicial function and avoid the provisional nature of judicial officers from being used arbitrarily to undermine such independence. </w:t>
      </w:r>
    </w:p>
    <w:p w14:paraId="0A8F5723" w14:textId="77777777" w:rsidR="00D02D3C" w:rsidRPr="00D02D3C" w:rsidRDefault="00D02D3C" w:rsidP="00D02D3C">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hAnsiTheme="majorHAnsi"/>
          <w:sz w:val="20"/>
          <w:szCs w:val="20"/>
          <w:bdr w:val="none" w:sz="0" w:space="0" w:color="auto"/>
        </w:rPr>
      </w:pPr>
    </w:p>
    <w:p w14:paraId="380EA29F" w14:textId="77777777" w:rsidR="00D02D3C" w:rsidRPr="00D02D3C" w:rsidRDefault="00D02D3C" w:rsidP="000A566E">
      <w:pPr>
        <w:keepNext/>
        <w:numPr>
          <w:ilvl w:val="1"/>
          <w:numId w:val="65"/>
        </w:numPr>
        <w:pBdr>
          <w:top w:val="none" w:sz="0" w:space="0" w:color="auto"/>
          <w:left w:val="none" w:sz="0" w:space="0" w:color="auto"/>
          <w:bottom w:val="none" w:sz="0" w:space="0" w:color="auto"/>
          <w:right w:val="none" w:sz="0" w:space="0" w:color="auto"/>
          <w:between w:val="none" w:sz="0" w:space="0" w:color="auto"/>
          <w:bar w:val="none" w:sz="0" w:color="auto"/>
        </w:pBdr>
        <w:ind w:left="1440" w:hanging="720"/>
        <w:jc w:val="both"/>
        <w:outlineLvl w:val="2"/>
        <w:rPr>
          <w:rFonts w:ascii="Cambria" w:eastAsiaTheme="majorEastAsia" w:hAnsi="Cambria" w:cstheme="majorBidi"/>
          <w:b/>
          <w:bCs/>
          <w:sz w:val="20"/>
          <w:szCs w:val="20"/>
        </w:rPr>
      </w:pPr>
      <w:bookmarkStart w:id="58" w:name="_Toc522484040"/>
      <w:bookmarkStart w:id="59" w:name="_Toc523998359"/>
      <w:bookmarkStart w:id="60" w:name="_Toc395277583"/>
      <w:r w:rsidRPr="00D02D3C">
        <w:rPr>
          <w:rFonts w:ascii="Cambria" w:eastAsiaTheme="majorEastAsia" w:hAnsi="Cambria" w:cstheme="majorBidi"/>
          <w:b/>
          <w:bCs/>
          <w:sz w:val="20"/>
          <w:szCs w:val="20"/>
        </w:rPr>
        <w:t>General considerations about the reinforced stability of prosecutors</w:t>
      </w:r>
      <w:bookmarkEnd w:id="58"/>
      <w:bookmarkEnd w:id="59"/>
      <w:r w:rsidRPr="00D02D3C">
        <w:rPr>
          <w:rFonts w:ascii="Cambria" w:eastAsiaTheme="majorEastAsia" w:hAnsi="Cambria" w:cstheme="majorBidi"/>
          <w:b/>
          <w:bCs/>
          <w:sz w:val="20"/>
          <w:szCs w:val="20"/>
        </w:rPr>
        <w:t xml:space="preserve"> </w:t>
      </w:r>
      <w:bookmarkEnd w:id="60"/>
    </w:p>
    <w:p w14:paraId="24817D7D" w14:textId="77777777" w:rsidR="00D02D3C" w:rsidRPr="00D02D3C" w:rsidRDefault="00D02D3C" w:rsidP="00D02D3C">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Theme="majorHAnsi" w:hAnsiTheme="majorHAnsi"/>
          <w:sz w:val="20"/>
          <w:szCs w:val="20"/>
          <w:bdr w:val="none" w:sz="0" w:space="0" w:color="auto"/>
        </w:rPr>
      </w:pPr>
    </w:p>
    <w:p w14:paraId="16B7E214" w14:textId="77777777" w:rsidR="00D02D3C" w:rsidRPr="00D02D3C" w:rsidRDefault="00D02D3C" w:rsidP="000A566E">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rPr>
      </w:pPr>
      <w:r w:rsidRPr="00D02D3C">
        <w:rPr>
          <w:rFonts w:ascii="Cambria" w:hAnsi="Cambria"/>
          <w:sz w:val="20"/>
          <w:szCs w:val="20"/>
        </w:rPr>
        <w:t>The Commission considers that the principle of reinforced stability of judges also applies to prosecutors insofar as they play a complementary role to that of judges in the administration of justice, on bringing criminal proceedings, investigating crimes, as well as performing other functions of public interest, which in the absence of sufficient guarantees may contribute to them becoming subject to internal and external pressures in relation to the decisions they make.</w:t>
      </w:r>
      <w:r w:rsidRPr="00D02D3C">
        <w:rPr>
          <w:rFonts w:ascii="Verdana" w:hAnsi="Verdana"/>
          <w:sz w:val="20"/>
          <w:szCs w:val="20"/>
          <w:vertAlign w:val="superscript"/>
        </w:rPr>
        <w:footnoteReference w:id="38"/>
      </w:r>
      <w:r w:rsidRPr="00D02D3C">
        <w:rPr>
          <w:rFonts w:ascii="Cambria" w:hAnsi="Cambria"/>
          <w:sz w:val="20"/>
          <w:szCs w:val="20"/>
        </w:rPr>
        <w:t xml:space="preserve"> </w:t>
      </w:r>
    </w:p>
    <w:p w14:paraId="2768DF8D" w14:textId="77777777" w:rsidR="00D02D3C" w:rsidRPr="00D02D3C" w:rsidRDefault="00D02D3C" w:rsidP="00D02D3C">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Cambria" w:hAnsi="Cambria"/>
          <w:sz w:val="20"/>
          <w:szCs w:val="20"/>
        </w:rPr>
      </w:pPr>
    </w:p>
    <w:p w14:paraId="7D54E63B" w14:textId="77777777" w:rsidR="00D02D3C" w:rsidRPr="00D02D3C" w:rsidRDefault="00D02D3C" w:rsidP="000A566E">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rPr>
      </w:pPr>
      <w:r w:rsidRPr="00D02D3C">
        <w:rPr>
          <w:rFonts w:ascii="Cambria" w:hAnsi="Cambria"/>
          <w:sz w:val="20"/>
          <w:szCs w:val="20"/>
        </w:rPr>
        <w:t>In this respect the United Nations Guidelines on the Role of Prosecutors establish that “States shall ensure that prosecutors are able to perform their professional functions without intimidation, hindrance, harassment, improper interference or unjustified exposure to civil, penal or other liability.”</w:t>
      </w:r>
      <w:r w:rsidRPr="00D02D3C">
        <w:rPr>
          <w:rFonts w:ascii="Verdana" w:hAnsi="Verdana"/>
          <w:sz w:val="20"/>
          <w:szCs w:val="20"/>
          <w:vertAlign w:val="superscript"/>
        </w:rPr>
        <w:footnoteReference w:id="39"/>
      </w:r>
      <w:r w:rsidRPr="00D02D3C">
        <w:rPr>
          <w:rFonts w:ascii="Cambria" w:hAnsi="Cambria"/>
          <w:sz w:val="20"/>
          <w:szCs w:val="20"/>
        </w:rPr>
        <w:t xml:space="preserve"> </w:t>
      </w:r>
    </w:p>
    <w:p w14:paraId="3D11669C" w14:textId="77777777" w:rsidR="00D02D3C" w:rsidRPr="00D02D3C" w:rsidRDefault="00D02D3C" w:rsidP="00D02D3C">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Cambria" w:hAnsi="Cambria"/>
          <w:sz w:val="20"/>
          <w:szCs w:val="20"/>
        </w:rPr>
      </w:pPr>
    </w:p>
    <w:p w14:paraId="5F9A4E34" w14:textId="77777777" w:rsidR="00D02D3C" w:rsidRPr="00D02D3C" w:rsidRDefault="00D02D3C" w:rsidP="000A566E">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rPr>
      </w:pPr>
      <w:r w:rsidRPr="00D02D3C">
        <w:rPr>
          <w:rFonts w:ascii="Cambria" w:hAnsi="Cambria"/>
          <w:sz w:val="20"/>
          <w:szCs w:val="20"/>
        </w:rPr>
        <w:t>In addition, the Bordeaux Declaration on judges and prosecutors in a democratic society establishes:</w:t>
      </w:r>
    </w:p>
    <w:p w14:paraId="3DB7116F" w14:textId="77777777" w:rsidR="00D02D3C" w:rsidRPr="00D02D3C" w:rsidRDefault="00D02D3C" w:rsidP="00D02D3C">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hAnsi="Cambria"/>
          <w:sz w:val="20"/>
          <w:szCs w:val="20"/>
        </w:rPr>
      </w:pPr>
    </w:p>
    <w:p w14:paraId="3324A26C" w14:textId="77777777" w:rsidR="00D02D3C" w:rsidRPr="00D02D3C" w:rsidRDefault="00D02D3C" w:rsidP="00D02D3C">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180"/>
        <w:jc w:val="both"/>
        <w:rPr>
          <w:rFonts w:ascii="Cambria" w:hAnsi="Cambria"/>
          <w:sz w:val="20"/>
          <w:szCs w:val="20"/>
        </w:rPr>
      </w:pPr>
      <w:r w:rsidRPr="00D02D3C">
        <w:rPr>
          <w:rFonts w:ascii="Cambria" w:hAnsi="Cambria"/>
          <w:sz w:val="20"/>
          <w:szCs w:val="20"/>
        </w:rPr>
        <w:t xml:space="preserve">The independence of the public prosecution service constitutes an indispensable corollary to the independence of the judiciary.… The independence of public prosecutors is indispensable for enabling them to carry out their mission.… Thus, akin to the independence secured to judges, the independence of public prosecutors is not a prerogative or privilege conferred in the interest of the prosecutors, but a guarantee in the interest of a fair, impartial and effective justice that protects both public and private interests of the persons concerned. </w:t>
      </w:r>
    </w:p>
    <w:p w14:paraId="1F77CD92" w14:textId="77777777" w:rsidR="00D02D3C" w:rsidRPr="00D02D3C" w:rsidRDefault="00D02D3C" w:rsidP="00D02D3C">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180"/>
        <w:jc w:val="both"/>
        <w:rPr>
          <w:rFonts w:ascii="Cambria" w:hAnsi="Cambria"/>
          <w:sz w:val="20"/>
          <w:szCs w:val="20"/>
        </w:rPr>
      </w:pPr>
    </w:p>
    <w:p w14:paraId="521626B1" w14:textId="06AEAD89" w:rsidR="00D02D3C" w:rsidRPr="00D02D3C" w:rsidRDefault="000A566E" w:rsidP="00D02D3C">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180"/>
        <w:jc w:val="both"/>
        <w:rPr>
          <w:rFonts w:ascii="Cambria" w:hAnsi="Cambria"/>
          <w:sz w:val="20"/>
          <w:szCs w:val="20"/>
        </w:rPr>
      </w:pPr>
      <w:r>
        <w:rPr>
          <w:rFonts w:ascii="Cambria" w:hAnsi="Cambria"/>
          <w:sz w:val="20"/>
          <w:szCs w:val="20"/>
        </w:rPr>
        <w:t>(</w:t>
      </w:r>
      <w:r w:rsidR="00D02D3C" w:rsidRPr="00D02D3C">
        <w:rPr>
          <w:rFonts w:ascii="Cambria" w:hAnsi="Cambria"/>
          <w:sz w:val="20"/>
          <w:szCs w:val="20"/>
        </w:rPr>
        <w:t>…</w:t>
      </w:r>
      <w:r>
        <w:rPr>
          <w:rFonts w:ascii="Cambria" w:hAnsi="Cambria"/>
          <w:sz w:val="20"/>
          <w:szCs w:val="20"/>
        </w:rPr>
        <w:t>)</w:t>
      </w:r>
      <w:r w:rsidR="00D02D3C" w:rsidRPr="00D02D3C">
        <w:rPr>
          <w:rFonts w:ascii="Cambria" w:hAnsi="Cambria"/>
          <w:sz w:val="20"/>
          <w:szCs w:val="20"/>
        </w:rPr>
        <w:t xml:space="preserve"> The proximity and complementary nature of the missions of judges and prosecutors create similar requirements and guarantees in terms of their status and conditions of service, namely regarding   recruitment, training, career development, discipline, transfer </w:t>
      </w:r>
      <w:r w:rsidR="00D02D3C" w:rsidRPr="00D02D3C">
        <w:rPr>
          <w:rFonts w:ascii="Cambria" w:hAnsi="Cambria"/>
          <w:sz w:val="20"/>
          <w:szCs w:val="20"/>
        </w:rPr>
        <w:lastRenderedPageBreak/>
        <w:t xml:space="preserve">(which shall be </w:t>
      </w:r>
      <w:proofErr w:type="gramStart"/>
      <w:r w:rsidR="00D02D3C" w:rsidRPr="00D02D3C">
        <w:rPr>
          <w:rFonts w:ascii="Cambria" w:hAnsi="Cambria"/>
          <w:sz w:val="20"/>
          <w:szCs w:val="20"/>
        </w:rPr>
        <w:t>effected</w:t>
      </w:r>
      <w:proofErr w:type="gramEnd"/>
      <w:r w:rsidR="00D02D3C" w:rsidRPr="00D02D3C">
        <w:rPr>
          <w:rFonts w:ascii="Cambria" w:hAnsi="Cambria"/>
          <w:sz w:val="20"/>
          <w:szCs w:val="20"/>
        </w:rPr>
        <w:t xml:space="preserve"> only according to the law or by their consent), remuneration, termination of functions and freedom to create professional associations.</w:t>
      </w:r>
      <w:r w:rsidR="00D02D3C" w:rsidRPr="00D02D3C">
        <w:rPr>
          <w:rFonts w:ascii="Verdana" w:hAnsi="Verdana"/>
          <w:sz w:val="20"/>
          <w:szCs w:val="20"/>
          <w:vertAlign w:val="superscript"/>
        </w:rPr>
        <w:footnoteReference w:id="40"/>
      </w:r>
      <w:r w:rsidR="00D02D3C" w:rsidRPr="00D02D3C">
        <w:rPr>
          <w:rFonts w:ascii="Cambria" w:hAnsi="Cambria"/>
          <w:sz w:val="20"/>
          <w:szCs w:val="20"/>
        </w:rPr>
        <w:t xml:space="preserve"> </w:t>
      </w:r>
    </w:p>
    <w:p w14:paraId="36D7272C" w14:textId="77777777" w:rsidR="00D02D3C" w:rsidRPr="00D02D3C" w:rsidRDefault="00D02D3C" w:rsidP="00D02D3C">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Cambria" w:hAnsi="Cambria"/>
          <w:sz w:val="20"/>
          <w:szCs w:val="20"/>
        </w:rPr>
      </w:pPr>
    </w:p>
    <w:p w14:paraId="770698C6" w14:textId="77777777" w:rsidR="00D02D3C" w:rsidRPr="00D02D3C" w:rsidRDefault="00D02D3C" w:rsidP="000A566E">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hAnsiTheme="majorHAnsi"/>
          <w:sz w:val="20"/>
          <w:szCs w:val="20"/>
        </w:rPr>
      </w:pPr>
      <w:r w:rsidRPr="00D02D3C">
        <w:rPr>
          <w:rFonts w:asciiTheme="majorHAnsi" w:hAnsiTheme="majorHAnsi"/>
          <w:sz w:val="20"/>
          <w:szCs w:val="20"/>
        </w:rPr>
        <w:t xml:space="preserve">In addition, the Consultative Council of European Prosecutors of the Council of Europe indicated in its Opinion No. 9: </w:t>
      </w:r>
    </w:p>
    <w:p w14:paraId="531FE34F" w14:textId="77777777" w:rsidR="00D02D3C" w:rsidRPr="00D02D3C" w:rsidRDefault="00D02D3C" w:rsidP="00D02D3C">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Theme="majorHAnsi" w:hAnsiTheme="majorHAnsi"/>
          <w:sz w:val="20"/>
          <w:szCs w:val="20"/>
        </w:rPr>
      </w:pPr>
    </w:p>
    <w:p w14:paraId="09601F73" w14:textId="77777777" w:rsidR="00D02D3C" w:rsidRPr="00D02D3C" w:rsidRDefault="00D02D3C" w:rsidP="00D02D3C">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8460"/>
        </w:tabs>
        <w:ind w:left="720" w:right="720"/>
        <w:jc w:val="both"/>
        <w:rPr>
          <w:rFonts w:asciiTheme="majorHAnsi" w:hAnsiTheme="majorHAnsi"/>
          <w:sz w:val="20"/>
          <w:szCs w:val="20"/>
        </w:rPr>
      </w:pPr>
      <w:r w:rsidRPr="00D02D3C">
        <w:rPr>
          <w:rFonts w:asciiTheme="majorHAnsi" w:eastAsia="Times New Roman" w:hAnsiTheme="majorHAnsi" w:cs="Courier New"/>
          <w:sz w:val="20"/>
          <w:szCs w:val="20"/>
          <w:bdr w:val="none" w:sz="0" w:space="0" w:color="auto"/>
        </w:rPr>
        <w:t>The independence and autonomy of the prosecution services constitute an indispensable corollary to the independence of the judiciary. Therefore, the general tendency to enhance the independence and effective autonomy of the prosecution services should be encouraged.</w:t>
      </w:r>
    </w:p>
    <w:p w14:paraId="47A338C6" w14:textId="77777777" w:rsidR="00D02D3C" w:rsidRPr="00D02D3C" w:rsidRDefault="00D02D3C" w:rsidP="00D02D3C">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8460"/>
        </w:tabs>
        <w:ind w:left="720" w:right="720"/>
        <w:jc w:val="both"/>
        <w:rPr>
          <w:rFonts w:asciiTheme="majorHAnsi" w:eastAsia="Times New Roman" w:hAnsiTheme="majorHAnsi" w:cs="Courier New"/>
          <w:sz w:val="20"/>
          <w:szCs w:val="20"/>
          <w:bdr w:val="none" w:sz="0" w:space="0" w:color="auto"/>
        </w:rPr>
      </w:pPr>
      <w:r w:rsidRPr="00D02D3C">
        <w:rPr>
          <w:rFonts w:asciiTheme="majorHAnsi" w:eastAsia="Times New Roman" w:hAnsiTheme="majorHAnsi" w:cs="Courier New"/>
          <w:sz w:val="20"/>
          <w:szCs w:val="20"/>
          <w:bdr w:val="none" w:sz="0" w:space="0" w:color="auto"/>
        </w:rPr>
        <w:t xml:space="preserve"> </w:t>
      </w:r>
    </w:p>
    <w:p w14:paraId="5BC5CE08" w14:textId="77777777" w:rsidR="00D02D3C" w:rsidRPr="00D02D3C" w:rsidRDefault="00D02D3C" w:rsidP="00D02D3C">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8460"/>
        </w:tabs>
        <w:ind w:left="720" w:right="720"/>
        <w:jc w:val="both"/>
        <w:rPr>
          <w:rFonts w:asciiTheme="majorHAnsi" w:hAnsiTheme="majorHAnsi"/>
          <w:sz w:val="20"/>
          <w:szCs w:val="20"/>
        </w:rPr>
      </w:pPr>
      <w:r w:rsidRPr="00D02D3C">
        <w:rPr>
          <w:rFonts w:asciiTheme="majorHAnsi" w:eastAsia="Times New Roman" w:hAnsiTheme="majorHAnsi" w:cs="Courier New"/>
          <w:sz w:val="20"/>
          <w:szCs w:val="20"/>
          <w:bdr w:val="none" w:sz="0" w:space="0" w:color="auto"/>
        </w:rPr>
        <w:t>Prosecutors should be autonomous in their decision-making and should perform their duties free from external pressure or interference, having regard to the principles of separation of powers and accountability.</w:t>
      </w:r>
      <w:r w:rsidRPr="007D08F9">
        <w:rPr>
          <w:rFonts w:asciiTheme="majorHAnsi" w:hAnsiTheme="majorHAnsi" w:cs="Courier New"/>
          <w:sz w:val="20"/>
          <w:szCs w:val="20"/>
          <w:vertAlign w:val="superscript"/>
        </w:rPr>
        <w:footnoteReference w:id="41"/>
      </w:r>
      <w:r w:rsidRPr="007D08F9">
        <w:rPr>
          <w:rFonts w:asciiTheme="majorHAnsi" w:eastAsia="Times New Roman" w:hAnsiTheme="majorHAnsi" w:cs="Courier New"/>
          <w:sz w:val="20"/>
          <w:szCs w:val="20"/>
          <w:bdr w:val="none" w:sz="0" w:space="0" w:color="auto"/>
        </w:rPr>
        <w:t xml:space="preserve"> </w:t>
      </w:r>
    </w:p>
    <w:p w14:paraId="4E7DFB65" w14:textId="77777777" w:rsidR="00D02D3C" w:rsidRPr="00D02D3C" w:rsidRDefault="00D02D3C" w:rsidP="00D02D3C">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Theme="majorHAnsi" w:hAnsiTheme="majorHAnsi"/>
          <w:sz w:val="20"/>
          <w:szCs w:val="20"/>
        </w:rPr>
      </w:pPr>
    </w:p>
    <w:p w14:paraId="52224082" w14:textId="77777777" w:rsidR="00D02D3C" w:rsidRPr="00D02D3C" w:rsidRDefault="00D02D3C" w:rsidP="000A566E">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rPr>
      </w:pPr>
      <w:r w:rsidRPr="00D02D3C">
        <w:rPr>
          <w:rFonts w:ascii="Cambria" w:hAnsi="Cambria"/>
          <w:sz w:val="20"/>
          <w:szCs w:val="20"/>
        </w:rPr>
        <w:t xml:space="preserve">In view of the foregoing considerations, the IACHR considers that the standards cited in the previous section are applicable to prosecutors, who by the nature of the function they perform should enjoy the reinforced stability in their position as a guarantee for independence in their work and should only be replaced for grave breaches or because the term or condition established in their designation has been completed or fulfilled, similar to judges. As was indicated in the previous section, the foregoing is applicable to officers appointed provisionally, insofar as they perform the same function as those will full appointments, and it is that function that is protected under the principle of judicial independence. </w:t>
      </w:r>
    </w:p>
    <w:p w14:paraId="0711ADDF" w14:textId="77777777" w:rsidR="00D02D3C" w:rsidRPr="00D02D3C" w:rsidRDefault="00D02D3C" w:rsidP="00D02D3C">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hAnsi="Cambria"/>
          <w:sz w:val="20"/>
          <w:szCs w:val="20"/>
        </w:rPr>
      </w:pPr>
    </w:p>
    <w:p w14:paraId="4C47F40A" w14:textId="77777777" w:rsidR="00D02D3C" w:rsidRPr="00D02D3C" w:rsidRDefault="00D02D3C" w:rsidP="000A566E">
      <w:pPr>
        <w:keepNext/>
        <w:numPr>
          <w:ilvl w:val="0"/>
          <w:numId w:val="65"/>
        </w:numPr>
        <w:pBdr>
          <w:top w:val="none" w:sz="0" w:space="0" w:color="auto"/>
          <w:left w:val="none" w:sz="0" w:space="0" w:color="auto"/>
          <w:bottom w:val="none" w:sz="0" w:space="0" w:color="auto"/>
          <w:right w:val="none" w:sz="0" w:space="0" w:color="auto"/>
          <w:between w:val="none" w:sz="0" w:space="0" w:color="auto"/>
          <w:bar w:val="none" w:sz="0" w:color="auto"/>
        </w:pBdr>
        <w:ind w:left="1440" w:hanging="720"/>
        <w:jc w:val="both"/>
        <w:outlineLvl w:val="1"/>
        <w:rPr>
          <w:rFonts w:ascii="Cambria" w:eastAsia="Times New Roman" w:hAnsi="Cambria"/>
          <w:b/>
          <w:i/>
          <w:sz w:val="20"/>
          <w:szCs w:val="20"/>
          <w:bdr w:val="none" w:sz="0" w:space="0" w:color="auto"/>
        </w:rPr>
      </w:pPr>
      <w:bookmarkStart w:id="61" w:name="_Toc522484041"/>
      <w:bookmarkStart w:id="62" w:name="_Toc523998360"/>
      <w:bookmarkStart w:id="63" w:name="_Toc395277584"/>
      <w:r w:rsidRPr="00D02D3C">
        <w:rPr>
          <w:rFonts w:ascii="Cambria" w:eastAsia="Times New Roman" w:hAnsi="Cambria"/>
          <w:b/>
          <w:sz w:val="20"/>
          <w:szCs w:val="20"/>
          <w:bdr w:val="none" w:sz="0" w:space="0" w:color="auto"/>
        </w:rPr>
        <w:t>Analysis of the instant case</w:t>
      </w:r>
      <w:bookmarkEnd w:id="61"/>
      <w:bookmarkEnd w:id="62"/>
      <w:r w:rsidRPr="00D02D3C">
        <w:rPr>
          <w:rFonts w:ascii="Cambria" w:eastAsia="Times New Roman" w:hAnsi="Cambria"/>
          <w:b/>
          <w:sz w:val="20"/>
          <w:szCs w:val="20"/>
          <w:bdr w:val="none" w:sz="0" w:space="0" w:color="auto"/>
        </w:rPr>
        <w:t xml:space="preserve"> </w:t>
      </w:r>
      <w:bookmarkEnd w:id="63"/>
    </w:p>
    <w:p w14:paraId="7F6A0E07" w14:textId="77777777" w:rsidR="00D02D3C" w:rsidRPr="00D02D3C" w:rsidRDefault="00D02D3C" w:rsidP="00D02D3C">
      <w:pPr>
        <w:ind w:left="1440"/>
        <w:rPr>
          <w:rFonts w:asciiTheme="majorHAnsi" w:eastAsia="Cambria" w:hAnsiTheme="majorHAnsi" w:cs="Cambria"/>
          <w:b/>
          <w:color w:val="000000"/>
          <w:sz w:val="20"/>
          <w:szCs w:val="20"/>
          <w:u w:color="000000"/>
          <w:lang w:eastAsia="es-ES"/>
        </w:rPr>
      </w:pPr>
    </w:p>
    <w:p w14:paraId="22A9200D" w14:textId="77777777" w:rsidR="00D02D3C" w:rsidRPr="00D02D3C" w:rsidRDefault="00D02D3C" w:rsidP="000A566E">
      <w:pPr>
        <w:keepNext/>
        <w:numPr>
          <w:ilvl w:val="1"/>
          <w:numId w:val="65"/>
        </w:numPr>
        <w:pBdr>
          <w:top w:val="none" w:sz="0" w:space="0" w:color="auto"/>
          <w:left w:val="none" w:sz="0" w:space="0" w:color="auto"/>
          <w:bottom w:val="none" w:sz="0" w:space="0" w:color="auto"/>
          <w:right w:val="none" w:sz="0" w:space="0" w:color="auto"/>
          <w:between w:val="none" w:sz="0" w:space="0" w:color="auto"/>
          <w:bar w:val="none" w:sz="0" w:color="auto"/>
        </w:pBdr>
        <w:ind w:left="1440" w:hanging="720"/>
        <w:jc w:val="both"/>
        <w:outlineLvl w:val="2"/>
        <w:rPr>
          <w:rFonts w:ascii="Cambria" w:eastAsiaTheme="majorEastAsia" w:hAnsi="Cambria" w:cstheme="majorBidi"/>
          <w:b/>
          <w:bCs/>
          <w:color w:val="000000" w:themeColor="text1"/>
          <w:sz w:val="20"/>
          <w:szCs w:val="20"/>
        </w:rPr>
      </w:pPr>
      <w:bookmarkStart w:id="64" w:name="_Toc522484042"/>
      <w:bookmarkStart w:id="65" w:name="_Toc523998361"/>
      <w:bookmarkStart w:id="66" w:name="_Toc395277585"/>
      <w:r w:rsidRPr="00D02D3C">
        <w:rPr>
          <w:rFonts w:asciiTheme="majorHAnsi" w:eastAsiaTheme="majorEastAsia" w:hAnsiTheme="majorHAnsi" w:cstheme="majorBidi"/>
          <w:b/>
          <w:bCs/>
          <w:color w:val="000000" w:themeColor="text1"/>
          <w:sz w:val="20"/>
          <w:szCs w:val="20"/>
        </w:rPr>
        <w:t>As per the right to be heard, the right to defense, and the freedom from ex post facto laws</w:t>
      </w:r>
      <w:bookmarkEnd w:id="64"/>
      <w:bookmarkEnd w:id="65"/>
      <w:r w:rsidRPr="00D02D3C">
        <w:rPr>
          <w:rFonts w:asciiTheme="majorHAnsi" w:eastAsiaTheme="majorEastAsia" w:hAnsiTheme="majorHAnsi" w:cstheme="majorBidi"/>
          <w:b/>
          <w:bCs/>
          <w:color w:val="000000" w:themeColor="text1"/>
          <w:sz w:val="20"/>
          <w:szCs w:val="20"/>
        </w:rPr>
        <w:t xml:space="preserve"> </w:t>
      </w:r>
      <w:bookmarkEnd w:id="66"/>
    </w:p>
    <w:p w14:paraId="4D3F4FCA" w14:textId="77777777" w:rsidR="00D02D3C" w:rsidRPr="00D02D3C" w:rsidRDefault="00D02D3C" w:rsidP="00D02D3C">
      <w:pPr>
        <w:ind w:left="1440"/>
        <w:rPr>
          <w:rFonts w:asciiTheme="majorHAnsi" w:eastAsia="Cambria" w:hAnsiTheme="majorHAnsi" w:cs="Cambria"/>
          <w:b/>
          <w:color w:val="000000"/>
          <w:sz w:val="20"/>
          <w:szCs w:val="20"/>
          <w:u w:color="000000"/>
          <w:lang w:eastAsia="es-ES"/>
        </w:rPr>
      </w:pPr>
    </w:p>
    <w:p w14:paraId="10E4D3A6" w14:textId="77777777" w:rsidR="00D02D3C" w:rsidRPr="00D02D3C" w:rsidRDefault="00D02D3C" w:rsidP="000A566E">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rPr>
      </w:pPr>
      <w:r w:rsidRPr="00D02D3C">
        <w:rPr>
          <w:rFonts w:ascii="Cambria" w:hAnsi="Cambria"/>
          <w:sz w:val="20"/>
          <w:szCs w:val="20"/>
          <w:lang w:eastAsia="es-ES"/>
        </w:rPr>
        <w:t xml:space="preserve">Applying what has been indicated, the Commission observes that in the instant case two resolutions were issued with respect to </w:t>
      </w:r>
      <w:proofErr w:type="spellStart"/>
      <w:r w:rsidRPr="00D02D3C">
        <w:rPr>
          <w:rFonts w:ascii="Cambria" w:hAnsi="Cambria"/>
          <w:sz w:val="20"/>
          <w:szCs w:val="20"/>
          <w:lang w:eastAsia="es-ES"/>
        </w:rPr>
        <w:t>Yenina</w:t>
      </w:r>
      <w:proofErr w:type="spellEnd"/>
      <w:r w:rsidRPr="00D02D3C">
        <w:rPr>
          <w:rFonts w:ascii="Cambria" w:hAnsi="Cambria"/>
          <w:sz w:val="20"/>
          <w:szCs w:val="20"/>
          <w:lang w:eastAsia="es-ES"/>
        </w:rPr>
        <w:t xml:space="preserve"> Esther </w:t>
      </w:r>
      <w:proofErr w:type="spellStart"/>
      <w:r w:rsidRPr="00D02D3C">
        <w:rPr>
          <w:rFonts w:ascii="Cambria" w:hAnsi="Cambria"/>
          <w:sz w:val="20"/>
          <w:szCs w:val="20"/>
          <w:lang w:eastAsia="es-ES"/>
        </w:rPr>
        <w:t>Martínez</w:t>
      </w:r>
      <w:proofErr w:type="spellEnd"/>
      <w:r w:rsidRPr="00D02D3C">
        <w:rPr>
          <w:rFonts w:ascii="Cambria" w:hAnsi="Cambria"/>
          <w:sz w:val="20"/>
          <w:szCs w:val="20"/>
          <w:lang w:eastAsia="es-ES"/>
        </w:rPr>
        <w:t xml:space="preserve"> </w:t>
      </w:r>
      <w:proofErr w:type="spellStart"/>
      <w:r w:rsidRPr="00D02D3C">
        <w:rPr>
          <w:rFonts w:ascii="Cambria" w:hAnsi="Cambria"/>
          <w:sz w:val="20"/>
          <w:szCs w:val="20"/>
          <w:lang w:eastAsia="es-ES"/>
        </w:rPr>
        <w:t>Esquivia</w:t>
      </w:r>
      <w:proofErr w:type="spellEnd"/>
      <w:r w:rsidRPr="00D02D3C">
        <w:rPr>
          <w:rFonts w:ascii="Cambria" w:hAnsi="Cambria"/>
          <w:sz w:val="20"/>
          <w:szCs w:val="20"/>
          <w:lang w:eastAsia="es-ES"/>
        </w:rPr>
        <w:t xml:space="preserve">. In one her appointment was terminated and in the other she was transferred to a place far from where she had been serving. The Commission considers that both resolutions constituted state acts that determine rights and that therefore at the very least the due guarantees established at Article 8(1) of the American Convention are applicable, including the right to be heard and the duty to state the reasons in a judicial decision. In addition, taking into account that one of the resolutions had the effect of terminating her in her position as prosecutor, for the reasons stated just below, the Commission considers that the case should also be analyzed in light of the applicable guarantees at Articles 8(2) and 9 of the Convention. </w:t>
      </w:r>
    </w:p>
    <w:p w14:paraId="359843EC" w14:textId="77777777" w:rsidR="00D02D3C" w:rsidRPr="00D02D3C" w:rsidRDefault="00D02D3C" w:rsidP="00D02D3C">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eastAsiaTheme="majorEastAsia" w:hAnsi="Cambria" w:cstheme="majorBidi"/>
          <w:b/>
          <w:bCs/>
          <w:sz w:val="20"/>
          <w:szCs w:val="20"/>
        </w:rPr>
      </w:pPr>
    </w:p>
    <w:p w14:paraId="2D728C8D" w14:textId="77777777" w:rsidR="00D02D3C" w:rsidRPr="00D02D3C" w:rsidRDefault="00D02D3C" w:rsidP="000A566E">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rPr>
      </w:pPr>
      <w:r w:rsidRPr="00D02D3C">
        <w:rPr>
          <w:rFonts w:ascii="Cambria" w:hAnsi="Cambria"/>
          <w:sz w:val="20"/>
          <w:szCs w:val="20"/>
        </w:rPr>
        <w:t xml:space="preserve">As indicated in the section on factual determinations, the IACHR recalls that the alleged victim was appointed in 1992 as Provisional Judge of Criminal Investigation of </w:t>
      </w:r>
      <w:proofErr w:type="spellStart"/>
      <w:r w:rsidRPr="00D02D3C">
        <w:rPr>
          <w:rFonts w:ascii="Cambria" w:hAnsi="Cambria"/>
          <w:sz w:val="20"/>
          <w:szCs w:val="20"/>
        </w:rPr>
        <w:t>Mompox</w:t>
      </w:r>
      <w:proofErr w:type="spellEnd"/>
      <w:r w:rsidRPr="00D02D3C">
        <w:rPr>
          <w:rFonts w:ascii="Cambria" w:hAnsi="Cambria"/>
          <w:sz w:val="20"/>
          <w:szCs w:val="20"/>
        </w:rPr>
        <w:t xml:space="preserve"> and as of July 1, 1992, she was brought on as Sectional Prosecutor Grade 18, and served as a prosecutor as of that date. On October 29, 2004 the Attorney General of the Nation declared that the alleged victim was relieved of her duties, without stating any reasons. </w:t>
      </w:r>
    </w:p>
    <w:p w14:paraId="1E86D291" w14:textId="77777777" w:rsidR="00D02D3C" w:rsidRPr="00D02D3C" w:rsidRDefault="00D02D3C" w:rsidP="00D02D3C">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hAnsi="Cambria"/>
          <w:sz w:val="20"/>
          <w:szCs w:val="20"/>
        </w:rPr>
      </w:pPr>
    </w:p>
    <w:p w14:paraId="3548DA3F" w14:textId="77777777" w:rsidR="00D02D3C" w:rsidRPr="00D02D3C" w:rsidRDefault="00D02D3C" w:rsidP="000A566E">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rPr>
      </w:pPr>
      <w:r w:rsidRPr="00D02D3C">
        <w:rPr>
          <w:rFonts w:ascii="Cambria" w:hAnsi="Cambria"/>
          <w:sz w:val="20"/>
          <w:szCs w:val="20"/>
        </w:rPr>
        <w:t xml:space="preserve">The Commission observes that the original appointment of the alleged victim in her capacity as judge indicated that she was appointed provisionally, while she presented the documentation for confirmation in the position. Subsequently she was incorporated to the position of prosecutor, provisionally, without any term or condition. </w:t>
      </w:r>
    </w:p>
    <w:p w14:paraId="46E966FF" w14:textId="77777777" w:rsidR="00D02D3C" w:rsidRPr="00D02D3C" w:rsidRDefault="00D02D3C" w:rsidP="00D02D3C">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hAnsi="Cambria"/>
          <w:sz w:val="20"/>
          <w:szCs w:val="20"/>
        </w:rPr>
      </w:pPr>
    </w:p>
    <w:p w14:paraId="032122C0" w14:textId="77777777" w:rsidR="00D02D3C" w:rsidRPr="00D02D3C" w:rsidRDefault="00D02D3C" w:rsidP="000A566E">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rPr>
      </w:pPr>
      <w:r w:rsidRPr="00D02D3C">
        <w:rPr>
          <w:rFonts w:ascii="Cambria" w:hAnsi="Cambria"/>
          <w:sz w:val="20"/>
          <w:szCs w:val="20"/>
        </w:rPr>
        <w:lastRenderedPageBreak/>
        <w:t xml:space="preserve"> The State indicated that the Attorney General of the Nation has the power to remove, at his or her discretion, the officials appointed provisionally, that these acts need not state reasons, and that they are presumed to be legal. </w:t>
      </w:r>
    </w:p>
    <w:p w14:paraId="293ED89F" w14:textId="77777777" w:rsidR="00D02D3C" w:rsidRPr="00D02D3C" w:rsidRDefault="00D02D3C" w:rsidP="00D02D3C">
      <w:pPr>
        <w:rPr>
          <w:sz w:val="20"/>
          <w:szCs w:val="20"/>
        </w:rPr>
      </w:pPr>
    </w:p>
    <w:p w14:paraId="6B09206E" w14:textId="77777777" w:rsidR="00D02D3C" w:rsidRPr="00D02D3C" w:rsidRDefault="00D02D3C" w:rsidP="000A566E">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rPr>
      </w:pPr>
      <w:r w:rsidRPr="00D02D3C">
        <w:rPr>
          <w:rFonts w:ascii="Cambria" w:hAnsi="Cambria"/>
          <w:sz w:val="20"/>
          <w:szCs w:val="20"/>
        </w:rPr>
        <w:t xml:space="preserve">The IACHR considers that the free removal of provisional prosecutors has a negative impact on their independence, which should be guaranteed, insofar as it renders them vulnerable to being removed because of the decisions they make, or by virtue of arbitrary decisions by the administrative or judicial entities.  </w:t>
      </w:r>
    </w:p>
    <w:p w14:paraId="582E168B" w14:textId="77777777" w:rsidR="00D02D3C" w:rsidRPr="00D02D3C" w:rsidRDefault="00D02D3C" w:rsidP="00D02D3C">
      <w:pPr>
        <w:rPr>
          <w:sz w:val="20"/>
          <w:szCs w:val="20"/>
        </w:rPr>
      </w:pPr>
    </w:p>
    <w:p w14:paraId="7B23B2A0" w14:textId="6827CFA6" w:rsidR="00D02D3C" w:rsidRPr="00D02D3C" w:rsidRDefault="00D02D3C" w:rsidP="000A566E">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rPr>
      </w:pPr>
      <w:r w:rsidRPr="00D02D3C">
        <w:rPr>
          <w:rFonts w:ascii="Cambria" w:hAnsi="Cambria"/>
          <w:sz w:val="20"/>
          <w:szCs w:val="20"/>
        </w:rPr>
        <w:t>The IACHR reiterates</w:t>
      </w:r>
      <w:r w:rsidR="000A566E" w:rsidRPr="00D02D3C">
        <w:rPr>
          <w:rFonts w:ascii="Cambria" w:hAnsi="Cambria"/>
          <w:sz w:val="20"/>
          <w:szCs w:val="20"/>
        </w:rPr>
        <w:t>,</w:t>
      </w:r>
      <w:r w:rsidR="000A566E" w:rsidRPr="00D02D3C" w:rsidDel="00A955A4">
        <w:rPr>
          <w:rFonts w:ascii="Cambria" w:hAnsi="Cambria"/>
          <w:sz w:val="20"/>
          <w:szCs w:val="20"/>
        </w:rPr>
        <w:t xml:space="preserve"> </w:t>
      </w:r>
      <w:r w:rsidR="000A566E" w:rsidRPr="00D02D3C">
        <w:rPr>
          <w:rFonts w:ascii="Cambria" w:hAnsi="Cambria"/>
          <w:sz w:val="20"/>
          <w:szCs w:val="20"/>
        </w:rPr>
        <w:t>taking</w:t>
      </w:r>
      <w:r w:rsidRPr="00D02D3C">
        <w:rPr>
          <w:rFonts w:ascii="Cambria" w:hAnsi="Cambria"/>
          <w:sz w:val="20"/>
          <w:szCs w:val="20"/>
        </w:rPr>
        <w:t xml:space="preserve"> into account what is indicated in the previous section on the nature of the function they perform, that prosecutors should have guarantees of reinforced stability and should only be separated from their positions for incurring in serious disciplinary breaches or for completing the term or satisfying the condition established in their designation. Along these lines, the Commission considers that in the instant case the appointment of the alleged victim without any term or condition was incompatible with the Convention. </w:t>
      </w:r>
    </w:p>
    <w:p w14:paraId="2388A60D" w14:textId="77777777" w:rsidR="00D02D3C" w:rsidRPr="00D02D3C" w:rsidRDefault="00D02D3C" w:rsidP="00D02D3C">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eastAsiaTheme="majorEastAsia" w:hAnsi="Cambria" w:cstheme="majorBidi"/>
          <w:b/>
          <w:bCs/>
          <w:sz w:val="20"/>
          <w:szCs w:val="20"/>
        </w:rPr>
      </w:pPr>
    </w:p>
    <w:p w14:paraId="4C57195D" w14:textId="77777777" w:rsidR="00D02D3C" w:rsidRPr="00D02D3C" w:rsidRDefault="00D02D3C" w:rsidP="000A566E">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cs="Verdana"/>
          <w:sz w:val="20"/>
          <w:szCs w:val="20"/>
        </w:rPr>
      </w:pPr>
      <w:r w:rsidRPr="00D02D3C">
        <w:rPr>
          <w:rFonts w:ascii="Cambria" w:hAnsi="Cambria"/>
          <w:sz w:val="20"/>
          <w:szCs w:val="20"/>
        </w:rPr>
        <w:t xml:space="preserve">The IACHR further recalls that the lack of reasoning of the decision did not allow one to understand the reasons that resulted in the termination of the alleged victim’s appointment, so as to clear up </w:t>
      </w:r>
      <w:r w:rsidRPr="00D02D3C">
        <w:rPr>
          <w:rFonts w:ascii="Cambria" w:hAnsi="Cambria" w:cs="Verdana"/>
          <w:sz w:val="20"/>
          <w:szCs w:val="20"/>
        </w:rPr>
        <w:t xml:space="preserve">the suspicions and allegations that it was in retaliation for the decisions made in her capacity as prosecutor in the context of a criminal investigation for breach of public duty. The IACHR considers that the act of appointment of Ms. </w:t>
      </w:r>
      <w:proofErr w:type="spellStart"/>
      <w:r w:rsidRPr="00D02D3C">
        <w:rPr>
          <w:rFonts w:ascii="Cambria" w:hAnsi="Cambria" w:cs="Verdana"/>
          <w:sz w:val="20"/>
          <w:szCs w:val="20"/>
        </w:rPr>
        <w:t>Martínez</w:t>
      </w:r>
      <w:proofErr w:type="spellEnd"/>
      <w:r w:rsidRPr="00D02D3C">
        <w:rPr>
          <w:rFonts w:ascii="Cambria" w:hAnsi="Cambria" w:cs="Verdana"/>
          <w:sz w:val="20"/>
          <w:szCs w:val="20"/>
        </w:rPr>
        <w:t xml:space="preserve"> </w:t>
      </w:r>
      <w:proofErr w:type="spellStart"/>
      <w:r w:rsidRPr="00D02D3C">
        <w:rPr>
          <w:rFonts w:ascii="Cambria" w:hAnsi="Cambria" w:cs="Verdana"/>
          <w:sz w:val="20"/>
          <w:szCs w:val="20"/>
        </w:rPr>
        <w:t>Esquivia</w:t>
      </w:r>
      <w:proofErr w:type="spellEnd"/>
      <w:r w:rsidRPr="00D02D3C">
        <w:rPr>
          <w:rFonts w:ascii="Cambria" w:hAnsi="Cambria" w:cs="Verdana"/>
          <w:sz w:val="20"/>
          <w:szCs w:val="20"/>
        </w:rPr>
        <w:t xml:space="preserve"> does not offer the minimal safeguards in terms of time frame or condition subsequent such that it would be possible to understand the service-related reasons that were the basis of her provisional designation. This, together with the lack of reasoning in the decision to separate her from her position, underscores the </w:t>
      </w:r>
      <w:proofErr w:type="spellStart"/>
      <w:r w:rsidRPr="00D02D3C">
        <w:rPr>
          <w:rFonts w:ascii="Cambria" w:hAnsi="Cambria" w:cs="Verdana"/>
          <w:sz w:val="20"/>
          <w:szCs w:val="20"/>
        </w:rPr>
        <w:t>precarity</w:t>
      </w:r>
      <w:proofErr w:type="spellEnd"/>
      <w:r w:rsidRPr="00D02D3C">
        <w:rPr>
          <w:rFonts w:ascii="Cambria" w:hAnsi="Cambria" w:cs="Verdana"/>
          <w:sz w:val="20"/>
          <w:szCs w:val="20"/>
        </w:rPr>
        <w:t xml:space="preserve"> in which the alleged victim performed her key function in a State under the rule of law, which found its highest expression in the removal from her position without any reasons being given, a position that she had held for a considerable period, in this case more than a decade. </w:t>
      </w:r>
    </w:p>
    <w:p w14:paraId="4474DA0E" w14:textId="77777777" w:rsidR="00D02D3C" w:rsidRPr="00D02D3C" w:rsidRDefault="00D02D3C" w:rsidP="00D02D3C">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hAnsi="Cambria"/>
          <w:sz w:val="20"/>
          <w:szCs w:val="20"/>
        </w:rPr>
      </w:pPr>
    </w:p>
    <w:p w14:paraId="51DE19AF" w14:textId="77777777" w:rsidR="00D02D3C" w:rsidRPr="00D02D3C" w:rsidRDefault="00D02D3C" w:rsidP="000A566E">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rPr>
      </w:pPr>
      <w:r w:rsidRPr="00D02D3C">
        <w:rPr>
          <w:rFonts w:ascii="Cambria" w:hAnsi="Cambria"/>
          <w:sz w:val="20"/>
          <w:szCs w:val="20"/>
        </w:rPr>
        <w:t xml:space="preserve">In this scenario, in which the State has not succeeded in showing that the provisional status of the alleged victim had a specific aim associated with a delimited time frame or a condition subsequent, under the international standards cited, the alleged victim had the right to the separation from her position being consistent with the only other acceptable option under those standards, i.e. a procedure in which the duty to present reasons, the right of defense, and the freedom from ex post facto laws were respected, insofar as it should have been a formal disciplinary procedure. </w:t>
      </w:r>
    </w:p>
    <w:p w14:paraId="508C3D2B" w14:textId="77777777" w:rsidR="00D02D3C" w:rsidRPr="00D02D3C" w:rsidRDefault="00D02D3C" w:rsidP="00D02D3C">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Cambria" w:hAnsi="Cambria"/>
          <w:sz w:val="20"/>
          <w:szCs w:val="20"/>
        </w:rPr>
      </w:pPr>
    </w:p>
    <w:p w14:paraId="2F13785C" w14:textId="77777777" w:rsidR="00D02D3C" w:rsidRPr="00D02D3C" w:rsidRDefault="00D02D3C" w:rsidP="000A566E">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rPr>
      </w:pPr>
      <w:r w:rsidRPr="00D02D3C">
        <w:rPr>
          <w:rFonts w:ascii="Cambria" w:hAnsi="Cambria"/>
          <w:sz w:val="20"/>
          <w:szCs w:val="20"/>
        </w:rPr>
        <w:t xml:space="preserve">From the facts proven it is clear that due to the nature of the act by which the alleged victim was separated, she did not have a procedure with the minimal guarantees that arise from the right of defense and the freedom from ex post facto laws. </w:t>
      </w:r>
    </w:p>
    <w:p w14:paraId="18FD1DD1" w14:textId="77777777" w:rsidR="00D02D3C" w:rsidRPr="00D02D3C" w:rsidRDefault="00D02D3C" w:rsidP="00D02D3C">
      <w:pPr>
        <w:ind w:left="720"/>
        <w:rPr>
          <w:rFonts w:ascii="Cambria" w:eastAsia="Cambria" w:hAnsi="Cambria" w:cs="Cambria"/>
          <w:color w:val="000000"/>
          <w:sz w:val="20"/>
          <w:szCs w:val="20"/>
          <w:u w:color="000000"/>
          <w:lang w:eastAsia="es-ES"/>
        </w:rPr>
      </w:pPr>
    </w:p>
    <w:p w14:paraId="416D9DD6" w14:textId="77777777" w:rsidR="00D02D3C" w:rsidRPr="00D02D3C" w:rsidRDefault="00D02D3C" w:rsidP="000A566E">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rPr>
      </w:pPr>
      <w:r w:rsidRPr="00D02D3C">
        <w:rPr>
          <w:rFonts w:ascii="Cambria" w:hAnsi="Cambria"/>
          <w:sz w:val="20"/>
          <w:szCs w:val="20"/>
        </w:rPr>
        <w:t xml:space="preserve">By virtue of the foregoing reasons, the IACHR considers that the State violated Articles 8(1), 8(2)(b), 8(2)(c), and 9 of the American Convention in relation to Articles 1(1) and  2, to the detriment of </w:t>
      </w:r>
      <w:proofErr w:type="spellStart"/>
      <w:r w:rsidRPr="00D02D3C">
        <w:rPr>
          <w:rFonts w:ascii="Cambria" w:hAnsi="Cambria"/>
          <w:sz w:val="20"/>
          <w:szCs w:val="20"/>
        </w:rPr>
        <w:t>Yenina</w:t>
      </w:r>
      <w:proofErr w:type="spellEnd"/>
      <w:r w:rsidRPr="00D02D3C">
        <w:rPr>
          <w:rFonts w:ascii="Cambria" w:hAnsi="Cambria"/>
          <w:sz w:val="20"/>
          <w:szCs w:val="20"/>
        </w:rPr>
        <w:t xml:space="preserve"> Esther  </w:t>
      </w:r>
      <w:proofErr w:type="spellStart"/>
      <w:r w:rsidRPr="00D02D3C">
        <w:rPr>
          <w:rFonts w:ascii="Cambria" w:hAnsi="Cambria"/>
          <w:sz w:val="20"/>
          <w:szCs w:val="20"/>
        </w:rPr>
        <w:t>Martínez</w:t>
      </w:r>
      <w:proofErr w:type="spellEnd"/>
      <w:r w:rsidRPr="00D02D3C">
        <w:rPr>
          <w:rFonts w:ascii="Cambria" w:hAnsi="Cambria"/>
          <w:sz w:val="20"/>
          <w:szCs w:val="20"/>
        </w:rPr>
        <w:t xml:space="preserve"> </w:t>
      </w:r>
      <w:proofErr w:type="spellStart"/>
      <w:r w:rsidRPr="00D02D3C">
        <w:rPr>
          <w:rFonts w:ascii="Cambria" w:hAnsi="Cambria"/>
          <w:sz w:val="20"/>
          <w:szCs w:val="20"/>
        </w:rPr>
        <w:t>Esquivia</w:t>
      </w:r>
      <w:proofErr w:type="spellEnd"/>
      <w:r w:rsidRPr="00D02D3C">
        <w:rPr>
          <w:rFonts w:ascii="Cambria" w:hAnsi="Cambria"/>
          <w:sz w:val="20"/>
          <w:szCs w:val="20"/>
        </w:rPr>
        <w:t xml:space="preserve">. </w:t>
      </w:r>
    </w:p>
    <w:p w14:paraId="254CFC73" w14:textId="77777777" w:rsidR="00D02D3C" w:rsidRPr="00D02D3C" w:rsidRDefault="00D02D3C" w:rsidP="00D02D3C">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sz w:val="20"/>
          <w:szCs w:val="20"/>
        </w:rPr>
      </w:pPr>
      <w:bookmarkStart w:id="67" w:name="_Toc515543708"/>
    </w:p>
    <w:p w14:paraId="157D9C39" w14:textId="77777777" w:rsidR="00D02D3C" w:rsidRPr="00D02D3C" w:rsidRDefault="00D02D3C" w:rsidP="000A566E">
      <w:pPr>
        <w:keepNext/>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ind w:left="1440" w:hanging="720"/>
        <w:jc w:val="both"/>
        <w:outlineLvl w:val="1"/>
        <w:rPr>
          <w:rFonts w:ascii="Cambria" w:eastAsia="Times New Roman" w:hAnsi="Cambria"/>
          <w:b/>
          <w:i/>
          <w:sz w:val="20"/>
          <w:szCs w:val="20"/>
          <w:bdr w:val="none" w:sz="0" w:space="0" w:color="auto"/>
        </w:rPr>
      </w:pPr>
      <w:bookmarkStart w:id="68" w:name="_Toc395277587"/>
      <w:bookmarkStart w:id="69" w:name="_Toc522484043"/>
      <w:bookmarkStart w:id="70" w:name="_Toc523998362"/>
      <w:bookmarkEnd w:id="67"/>
      <w:r w:rsidRPr="00D02D3C">
        <w:rPr>
          <w:rFonts w:ascii="Cambria" w:eastAsia="Times New Roman" w:hAnsi="Cambria"/>
          <w:b/>
          <w:sz w:val="20"/>
          <w:szCs w:val="20"/>
          <w:bdr w:val="none" w:sz="0" w:space="0" w:color="auto"/>
        </w:rPr>
        <w:t>The rights to judicial protection</w:t>
      </w:r>
      <w:r w:rsidRPr="00D02D3C">
        <w:rPr>
          <w:rFonts w:ascii="Cambria" w:eastAsia="Times New Roman" w:hAnsi="Cambria"/>
          <w:b/>
          <w:sz w:val="20"/>
          <w:szCs w:val="20"/>
          <w:bdr w:val="none" w:sz="0" w:space="0" w:color="auto"/>
          <w:vertAlign w:val="superscript"/>
        </w:rPr>
        <w:footnoteReference w:id="42"/>
      </w:r>
      <w:bookmarkEnd w:id="68"/>
      <w:r w:rsidRPr="00D02D3C">
        <w:rPr>
          <w:rFonts w:ascii="Cambria" w:eastAsia="Times New Roman" w:hAnsi="Cambria"/>
          <w:b/>
          <w:sz w:val="20"/>
          <w:szCs w:val="20"/>
          <w:bdr w:val="none" w:sz="0" w:space="0" w:color="auto"/>
        </w:rPr>
        <w:t xml:space="preserve"> and judicial guarantees</w:t>
      </w:r>
      <w:bookmarkEnd w:id="69"/>
      <w:bookmarkEnd w:id="70"/>
      <w:r w:rsidRPr="00D02D3C">
        <w:rPr>
          <w:rFonts w:ascii="Cambria" w:eastAsia="Times New Roman" w:hAnsi="Cambria"/>
          <w:b/>
          <w:sz w:val="20"/>
          <w:szCs w:val="20"/>
          <w:bdr w:val="none" w:sz="0" w:space="0" w:color="auto"/>
        </w:rPr>
        <w:t xml:space="preserve"> </w:t>
      </w:r>
    </w:p>
    <w:p w14:paraId="0EDF0563" w14:textId="77777777" w:rsidR="00D02D3C" w:rsidRPr="00D02D3C" w:rsidRDefault="00D02D3C" w:rsidP="00D02D3C">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hAnsi="Cambria"/>
          <w:sz w:val="20"/>
          <w:szCs w:val="20"/>
        </w:rPr>
      </w:pPr>
    </w:p>
    <w:p w14:paraId="1CDE4FCE" w14:textId="77777777" w:rsidR="00D02D3C" w:rsidRPr="00D02D3C" w:rsidRDefault="00D02D3C" w:rsidP="000A566E">
      <w:pPr>
        <w:keepNext/>
        <w:numPr>
          <w:ilvl w:val="0"/>
          <w:numId w:val="7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outlineLvl w:val="1"/>
        <w:rPr>
          <w:rFonts w:asciiTheme="majorHAnsi" w:eastAsia="Times New Roman" w:hAnsiTheme="majorHAnsi"/>
          <w:b/>
          <w:sz w:val="20"/>
          <w:szCs w:val="20"/>
          <w:bdr w:val="none" w:sz="0" w:space="0" w:color="auto"/>
        </w:rPr>
      </w:pPr>
      <w:r w:rsidRPr="00D02D3C">
        <w:rPr>
          <w:rFonts w:asciiTheme="majorHAnsi" w:eastAsia="Times New Roman" w:hAnsiTheme="majorHAnsi"/>
          <w:b/>
          <w:sz w:val="20"/>
          <w:szCs w:val="20"/>
          <w:bdr w:val="none" w:sz="0" w:space="0" w:color="auto"/>
        </w:rPr>
        <w:t xml:space="preserve">         </w:t>
      </w:r>
      <w:bookmarkStart w:id="71" w:name="_Toc522484044"/>
      <w:bookmarkStart w:id="72" w:name="_Toc523998363"/>
      <w:r w:rsidRPr="00D02D3C">
        <w:rPr>
          <w:rFonts w:asciiTheme="majorHAnsi" w:eastAsia="Times New Roman" w:hAnsiTheme="majorHAnsi"/>
          <w:b/>
          <w:sz w:val="20"/>
          <w:szCs w:val="20"/>
          <w:bdr w:val="none" w:sz="0" w:space="0" w:color="auto"/>
        </w:rPr>
        <w:t>The lack of judicial protection</w:t>
      </w:r>
      <w:bookmarkEnd w:id="71"/>
      <w:bookmarkEnd w:id="72"/>
    </w:p>
    <w:p w14:paraId="17A84517" w14:textId="77777777" w:rsidR="00D02D3C" w:rsidRPr="00D02D3C" w:rsidRDefault="00D02D3C" w:rsidP="00D02D3C">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Cambria" w:hAnsi="Cambria"/>
          <w:sz w:val="20"/>
          <w:szCs w:val="20"/>
        </w:rPr>
      </w:pPr>
    </w:p>
    <w:p w14:paraId="2D6F4020" w14:textId="77777777" w:rsidR="00D02D3C" w:rsidRPr="00D02D3C" w:rsidRDefault="00D02D3C" w:rsidP="000A566E">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rPr>
      </w:pPr>
      <w:r w:rsidRPr="00D02D3C">
        <w:rPr>
          <w:rFonts w:ascii="Cambria" w:hAnsi="Cambria"/>
          <w:sz w:val="20"/>
          <w:szCs w:val="20"/>
        </w:rPr>
        <w:t xml:space="preserve">The IACHR recalls that the State is under a general obligation to provide effective judicial remedies to persons who allege that they are victims of human rights violations (Article 25), which should be substantiated in keeping with the rules of due process (Article 8(1)). Effective </w:t>
      </w:r>
      <w:r w:rsidRPr="00D02D3C">
        <w:rPr>
          <w:rFonts w:ascii="Cambria" w:hAnsi="Cambria"/>
          <w:sz w:val="20"/>
          <w:szCs w:val="20"/>
        </w:rPr>
        <w:lastRenderedPageBreak/>
        <w:t>recourse requires not only that it be provided for by law, but that it must be genuinely suitable to establish whether there has been a violation of human rights and provide as necessary to remedy it.</w:t>
      </w:r>
      <w:r w:rsidRPr="00D02D3C">
        <w:rPr>
          <w:rFonts w:ascii="Cambria" w:hAnsi="Cambria"/>
          <w:sz w:val="20"/>
          <w:szCs w:val="20"/>
          <w:vertAlign w:val="superscript"/>
        </w:rPr>
        <w:footnoteReference w:id="43"/>
      </w:r>
      <w:r w:rsidRPr="00D02D3C">
        <w:rPr>
          <w:rFonts w:ascii="Cambria" w:hAnsi="Cambria"/>
          <w:sz w:val="20"/>
          <w:szCs w:val="20"/>
        </w:rPr>
        <w:t xml:space="preserve"> On evaluating the effectiveness of remedies one must examine whether the decisions in judicial proceedings have contributed effectively to putting an end to a situation </w:t>
      </w:r>
      <w:proofErr w:type="spellStart"/>
      <w:r w:rsidRPr="00D02D3C">
        <w:rPr>
          <w:rFonts w:ascii="Cambria" w:hAnsi="Cambria"/>
          <w:sz w:val="20"/>
          <w:szCs w:val="20"/>
        </w:rPr>
        <w:t>violative</w:t>
      </w:r>
      <w:proofErr w:type="spellEnd"/>
      <w:r w:rsidRPr="00D02D3C">
        <w:rPr>
          <w:rFonts w:ascii="Cambria" w:hAnsi="Cambria"/>
          <w:sz w:val="20"/>
          <w:szCs w:val="20"/>
        </w:rPr>
        <w:t xml:space="preserve"> of rights, and ensuring the non-repetition of harmful acts and ensuring the free and full exercise of the rights protected by the Convention.</w:t>
      </w:r>
      <w:r w:rsidRPr="00D02D3C">
        <w:rPr>
          <w:rFonts w:ascii="Cambria" w:hAnsi="Cambria"/>
          <w:sz w:val="20"/>
          <w:szCs w:val="20"/>
          <w:vertAlign w:val="superscript"/>
        </w:rPr>
        <w:footnoteReference w:id="44"/>
      </w:r>
      <w:r w:rsidRPr="00D02D3C">
        <w:rPr>
          <w:rFonts w:ascii="Cambria" w:hAnsi="Cambria"/>
          <w:sz w:val="20"/>
          <w:szCs w:val="20"/>
        </w:rPr>
        <w:t xml:space="preserve"> </w:t>
      </w:r>
    </w:p>
    <w:p w14:paraId="1FFBCB04" w14:textId="77777777" w:rsidR="00D02D3C" w:rsidRPr="00D02D3C" w:rsidRDefault="00D02D3C" w:rsidP="00D02D3C">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Cambria" w:hAnsi="Cambria"/>
          <w:sz w:val="20"/>
          <w:szCs w:val="20"/>
        </w:rPr>
      </w:pPr>
    </w:p>
    <w:p w14:paraId="19A8258F" w14:textId="77777777" w:rsidR="00D02D3C" w:rsidRPr="00D02D3C" w:rsidRDefault="00D02D3C" w:rsidP="000A566E">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rPr>
      </w:pPr>
      <w:r w:rsidRPr="00D02D3C">
        <w:rPr>
          <w:rFonts w:ascii="Cambria" w:hAnsi="Cambria"/>
          <w:sz w:val="20"/>
          <w:szCs w:val="20"/>
        </w:rPr>
        <w:t xml:space="preserve">In the instant case the IACHR recalls that in the resolution that declared the petitioner relieved of her duties as Delegate Prosecutor before the Criminal Courts of the Circuit of the Sectional Bureau of Prosecutors of Cartagena it was specifically indicated that “no remedy whatsoever against it may be admitted.” Even so, the Commission takes note that the alleged victim made use of judicial remedies in the labor, administrative, and constitutional jurisdictions.  </w:t>
      </w:r>
    </w:p>
    <w:p w14:paraId="62B58EE7" w14:textId="77777777" w:rsidR="00D02D3C" w:rsidRPr="00D02D3C" w:rsidRDefault="00D02D3C" w:rsidP="00D02D3C">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hAnsi="Cambria"/>
          <w:sz w:val="20"/>
          <w:szCs w:val="20"/>
        </w:rPr>
      </w:pPr>
    </w:p>
    <w:p w14:paraId="6A381758" w14:textId="77777777" w:rsidR="00D02D3C" w:rsidRPr="00D02D3C" w:rsidRDefault="00D02D3C" w:rsidP="000A566E">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rPr>
      </w:pPr>
      <w:r w:rsidRPr="00D02D3C">
        <w:rPr>
          <w:rFonts w:ascii="Cambria" w:hAnsi="Cambria"/>
          <w:sz w:val="20"/>
          <w:szCs w:val="20"/>
        </w:rPr>
        <w:t>With respect to the action for nullity and reestablishment of the right, the Commission takes note that it was filed by the alleged victim after they time for filing had lapsed, and the State indicated that this was the suitable action for annulling an administrative act at odds with the law and attaining the reintegration of whoever’s rights were impaired. Nonetheless, the Commission takes note that as of 2003 some of the case-law of the Council of State has established that "an employee appointed provisionally has no stability whatsoever; accordingly, he or she may be removed without it being necessary to state the reasons,”</w:t>
      </w:r>
      <w:r w:rsidRPr="00D02D3C">
        <w:rPr>
          <w:rFonts w:ascii="Cambria" w:hAnsi="Cambria"/>
          <w:sz w:val="20"/>
          <w:szCs w:val="20"/>
          <w:vertAlign w:val="superscript"/>
        </w:rPr>
        <w:footnoteReference w:id="45"/>
      </w:r>
      <w:r w:rsidRPr="00D02D3C">
        <w:rPr>
          <w:rFonts w:ascii="Cambria" w:hAnsi="Cambria"/>
          <w:sz w:val="20"/>
          <w:szCs w:val="20"/>
        </w:rPr>
        <w:t xml:space="preserve"> this being one of the alleged victim’s claims. In view of the foregoing, the IACHR considers that said remedy did not actually address the alleged victim’s claims. </w:t>
      </w:r>
    </w:p>
    <w:p w14:paraId="04E48C99" w14:textId="77777777" w:rsidR="00D02D3C" w:rsidRPr="00D02D3C" w:rsidRDefault="00D02D3C" w:rsidP="00D02D3C">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hAnsi="Cambria"/>
          <w:sz w:val="20"/>
          <w:szCs w:val="20"/>
        </w:rPr>
      </w:pPr>
    </w:p>
    <w:p w14:paraId="4EF28633" w14:textId="77777777" w:rsidR="00D02D3C" w:rsidRPr="00D02D3C" w:rsidRDefault="00D02D3C" w:rsidP="000A566E">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rPr>
      </w:pPr>
      <w:r w:rsidRPr="00D02D3C">
        <w:rPr>
          <w:rFonts w:ascii="Cambria" w:hAnsi="Cambria"/>
          <w:sz w:val="20"/>
          <w:szCs w:val="20"/>
        </w:rPr>
        <w:t xml:space="preserve">The Commission observes that the arguments put forth by Ms. </w:t>
      </w:r>
      <w:proofErr w:type="spellStart"/>
      <w:r w:rsidRPr="00D02D3C">
        <w:rPr>
          <w:rFonts w:ascii="Cambria" w:hAnsi="Cambria"/>
          <w:sz w:val="20"/>
          <w:szCs w:val="20"/>
        </w:rPr>
        <w:t>Martínez</w:t>
      </w:r>
      <w:proofErr w:type="spellEnd"/>
      <w:r w:rsidRPr="00D02D3C">
        <w:rPr>
          <w:rFonts w:ascii="Cambria" w:hAnsi="Cambria"/>
          <w:sz w:val="20"/>
          <w:szCs w:val="20"/>
        </w:rPr>
        <w:t xml:space="preserve"> </w:t>
      </w:r>
      <w:proofErr w:type="spellStart"/>
      <w:r w:rsidRPr="00D02D3C">
        <w:rPr>
          <w:rFonts w:ascii="Cambria" w:hAnsi="Cambria"/>
          <w:sz w:val="20"/>
          <w:szCs w:val="20"/>
        </w:rPr>
        <w:t>Esquivia</w:t>
      </w:r>
      <w:proofErr w:type="spellEnd"/>
      <w:r w:rsidRPr="00D02D3C">
        <w:rPr>
          <w:rFonts w:ascii="Cambria" w:hAnsi="Cambria"/>
          <w:sz w:val="20"/>
          <w:szCs w:val="20"/>
        </w:rPr>
        <w:t xml:space="preserve"> were related to violations of fundamental rights in the context of her being relieved of her duties, which were set forth in the two </w:t>
      </w:r>
      <w:proofErr w:type="spellStart"/>
      <w:r w:rsidRPr="00D02D3C">
        <w:rPr>
          <w:rFonts w:ascii="Cambria" w:hAnsi="Cambria"/>
          <w:i/>
          <w:iCs/>
          <w:sz w:val="20"/>
          <w:szCs w:val="20"/>
        </w:rPr>
        <w:t>tutela</w:t>
      </w:r>
      <w:proofErr w:type="spellEnd"/>
      <w:r w:rsidRPr="00D02D3C">
        <w:rPr>
          <w:rFonts w:ascii="Cambria" w:hAnsi="Cambria"/>
          <w:sz w:val="20"/>
          <w:szCs w:val="20"/>
        </w:rPr>
        <w:t xml:space="preserve"> actions. The first was denied as it was considered that “the administrative act enjoys the presumption of legality that the law recognizes in such acts” and that the legal review corresponds to the contentious-administrative jurisdiction. And the second </w:t>
      </w:r>
      <w:proofErr w:type="spellStart"/>
      <w:r w:rsidRPr="00D02D3C">
        <w:rPr>
          <w:rFonts w:ascii="Cambria" w:hAnsi="Cambria"/>
          <w:i/>
          <w:iCs/>
          <w:sz w:val="20"/>
          <w:szCs w:val="20"/>
        </w:rPr>
        <w:t>tutela</w:t>
      </w:r>
      <w:proofErr w:type="spellEnd"/>
      <w:r w:rsidRPr="00D02D3C">
        <w:rPr>
          <w:rFonts w:ascii="Cambria" w:hAnsi="Cambria"/>
          <w:sz w:val="20"/>
          <w:szCs w:val="20"/>
        </w:rPr>
        <w:t xml:space="preserve"> was granted initially, but the ruling was overturned on appeal, as it was considered that it was identical to the first, even though the violation of due process had not been alleged in the first </w:t>
      </w:r>
      <w:proofErr w:type="spellStart"/>
      <w:r w:rsidRPr="00D02D3C">
        <w:rPr>
          <w:rFonts w:ascii="Cambria" w:hAnsi="Cambria"/>
          <w:i/>
          <w:iCs/>
          <w:sz w:val="20"/>
          <w:szCs w:val="20"/>
        </w:rPr>
        <w:t>tutela</w:t>
      </w:r>
      <w:proofErr w:type="spellEnd"/>
      <w:r w:rsidRPr="00D02D3C">
        <w:rPr>
          <w:rFonts w:ascii="Cambria" w:hAnsi="Cambria"/>
          <w:sz w:val="20"/>
          <w:szCs w:val="20"/>
        </w:rPr>
        <w:t xml:space="preserve">. The Commission further notes that two judges of the Superior Judicial Council cast dissenting votes, one of which referred to the first </w:t>
      </w:r>
      <w:proofErr w:type="spellStart"/>
      <w:r w:rsidRPr="00D02D3C">
        <w:rPr>
          <w:rFonts w:ascii="Cambria" w:hAnsi="Cambria"/>
          <w:i/>
          <w:iCs/>
          <w:sz w:val="20"/>
          <w:szCs w:val="20"/>
        </w:rPr>
        <w:t>tutela</w:t>
      </w:r>
      <w:proofErr w:type="spellEnd"/>
      <w:r w:rsidRPr="00D02D3C">
        <w:rPr>
          <w:rFonts w:ascii="Cambria" w:hAnsi="Cambria"/>
          <w:sz w:val="20"/>
          <w:szCs w:val="20"/>
        </w:rPr>
        <w:t xml:space="preserve"> action, indicated that the argument of that court with respect to there being other mechanisms for judicial defense repudiates the case-law of the Constitutional Court, which has taken cognizance of this type of case. </w:t>
      </w:r>
    </w:p>
    <w:p w14:paraId="49132A58" w14:textId="77777777" w:rsidR="00D02D3C" w:rsidRPr="00D02D3C" w:rsidRDefault="00D02D3C" w:rsidP="00D02D3C">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sz w:val="20"/>
          <w:szCs w:val="20"/>
        </w:rPr>
      </w:pPr>
    </w:p>
    <w:p w14:paraId="7F4C474F" w14:textId="77777777" w:rsidR="00D02D3C" w:rsidRPr="00D02D3C" w:rsidRDefault="00D02D3C" w:rsidP="000A566E">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rPr>
      </w:pPr>
      <w:r w:rsidRPr="00D02D3C">
        <w:rPr>
          <w:rFonts w:ascii="Cambria" w:hAnsi="Cambria"/>
          <w:sz w:val="20"/>
          <w:szCs w:val="20"/>
        </w:rPr>
        <w:t xml:space="preserve">In light of the foregoing, the Commission considers that in none of the legal initiatives taken by the alleged victim did she have an effective remedy to challenge the decision that terminated her appointment as Delegate Prosecutor before Circuit Judges of the Sectional Bureau of Prosecutors of Cartagena and to review the violations of due process, of the freedom from ex post facto laws, </w:t>
      </w:r>
      <w:r w:rsidRPr="00D02D3C">
        <w:rPr>
          <w:rFonts w:ascii="Cambria" w:hAnsi="Cambria"/>
          <w:color w:val="000000" w:themeColor="text1"/>
          <w:sz w:val="20"/>
          <w:szCs w:val="20"/>
        </w:rPr>
        <w:t xml:space="preserve">and other arguments regarding fundamental constitutional rights that were put forth in these </w:t>
      </w:r>
      <w:proofErr w:type="spellStart"/>
      <w:r w:rsidRPr="00D02D3C">
        <w:rPr>
          <w:rFonts w:ascii="Cambria" w:hAnsi="Cambria"/>
          <w:i/>
          <w:iCs/>
          <w:color w:val="000000" w:themeColor="text1"/>
          <w:sz w:val="20"/>
          <w:szCs w:val="20"/>
        </w:rPr>
        <w:t>tutela</w:t>
      </w:r>
      <w:proofErr w:type="spellEnd"/>
      <w:r w:rsidRPr="00D02D3C">
        <w:rPr>
          <w:rFonts w:ascii="Cambria" w:hAnsi="Cambria"/>
          <w:color w:val="000000" w:themeColor="text1"/>
          <w:sz w:val="20"/>
          <w:szCs w:val="20"/>
        </w:rPr>
        <w:t xml:space="preserve"> actions.  </w:t>
      </w:r>
    </w:p>
    <w:p w14:paraId="2C589DA2" w14:textId="77777777" w:rsidR="00D02D3C" w:rsidRPr="00D02D3C" w:rsidRDefault="00D02D3C" w:rsidP="00D02D3C">
      <w:pPr>
        <w:ind w:left="720"/>
        <w:rPr>
          <w:rFonts w:ascii="Cambria" w:eastAsia="Cambria" w:hAnsi="Cambria" w:cs="Cambria"/>
          <w:color w:val="000000"/>
          <w:sz w:val="20"/>
          <w:szCs w:val="20"/>
          <w:u w:color="000000"/>
          <w:lang w:eastAsia="es-ES"/>
        </w:rPr>
      </w:pPr>
    </w:p>
    <w:p w14:paraId="5EA4141C" w14:textId="77777777" w:rsidR="00D02D3C" w:rsidRPr="00D02D3C" w:rsidRDefault="00D02D3C" w:rsidP="000A566E">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rPr>
      </w:pPr>
      <w:r w:rsidRPr="00D02D3C">
        <w:rPr>
          <w:rFonts w:ascii="Cambria" w:hAnsi="Cambria"/>
          <w:sz w:val="20"/>
          <w:szCs w:val="20"/>
        </w:rPr>
        <w:t xml:space="preserve">In addition, the Commission notes that one of the arguments put forth by Ms. </w:t>
      </w:r>
      <w:proofErr w:type="spellStart"/>
      <w:r w:rsidRPr="00D02D3C">
        <w:rPr>
          <w:rFonts w:ascii="Cambria" w:hAnsi="Cambria"/>
          <w:sz w:val="20"/>
          <w:szCs w:val="20"/>
        </w:rPr>
        <w:t>Martínez</w:t>
      </w:r>
      <w:proofErr w:type="spellEnd"/>
      <w:r w:rsidRPr="00D02D3C">
        <w:rPr>
          <w:rFonts w:ascii="Cambria" w:hAnsi="Cambria"/>
          <w:sz w:val="20"/>
          <w:szCs w:val="20"/>
        </w:rPr>
        <w:t xml:space="preserve"> </w:t>
      </w:r>
      <w:proofErr w:type="spellStart"/>
      <w:r w:rsidRPr="00D02D3C">
        <w:rPr>
          <w:rFonts w:ascii="Cambria" w:hAnsi="Cambria"/>
          <w:sz w:val="20"/>
          <w:szCs w:val="20"/>
        </w:rPr>
        <w:t>Esquivia</w:t>
      </w:r>
      <w:proofErr w:type="spellEnd"/>
      <w:r w:rsidRPr="00D02D3C">
        <w:rPr>
          <w:rFonts w:ascii="Cambria" w:hAnsi="Cambria"/>
          <w:sz w:val="20"/>
          <w:szCs w:val="20"/>
        </w:rPr>
        <w:t xml:space="preserve"> had to do with the decisions adopted by the Office of the Attorney General of the Nation against her having constituted retaliation for a series of acts in her capacity as prosecutor in the context of an investigation she was pursuing into breach of duty. The Commission observes that in the face of </w:t>
      </w:r>
      <w:r w:rsidRPr="00D02D3C">
        <w:rPr>
          <w:rFonts w:ascii="Cambria" w:hAnsi="Cambria"/>
          <w:sz w:val="20"/>
          <w:szCs w:val="20"/>
        </w:rPr>
        <w:lastRenderedPageBreak/>
        <w:t xml:space="preserve">that argument the response of the judicial authorities was that the act was covered by a presumption of legality, and that the alleged victim did not succeed in refuting that presumption. On this type of judicial response in the face of an allegation of a possible reprisal or abuse of authority, the Inter-American Court has indicated as follows:  </w:t>
      </w:r>
    </w:p>
    <w:p w14:paraId="57A46238" w14:textId="77777777" w:rsidR="00D02D3C" w:rsidRPr="00D02D3C" w:rsidRDefault="00D02D3C" w:rsidP="00D02D3C">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eastAsia="Cambria" w:hAnsi="Cambria" w:cs="Cambria"/>
          <w:color w:val="000000"/>
          <w:sz w:val="20"/>
          <w:szCs w:val="20"/>
          <w:u w:color="000000"/>
          <w:lang w:eastAsia="es-ES"/>
        </w:rPr>
      </w:pPr>
    </w:p>
    <w:p w14:paraId="5858D556" w14:textId="77777777" w:rsidR="00D02D3C" w:rsidRPr="00D02D3C" w:rsidRDefault="00D02D3C" w:rsidP="000A566E">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rPr>
      </w:pPr>
      <w:r w:rsidRPr="00D02D3C">
        <w:rPr>
          <w:rFonts w:asciiTheme="majorHAnsi" w:hAnsiTheme="majorHAnsi"/>
          <w:sz w:val="20"/>
          <w:szCs w:val="20"/>
        </w:rPr>
        <w:t>While the actions of the state authorities are covered by a presumption of lawful conduct, in cases in which arbitrary action or abuse of authority is argued the authority called upon to oversee that action should verify, by all means available, whether there is a reason or purpose different from the one in the provision that grants the powers to the state authority that would formally justify its action.</w:t>
      </w:r>
      <w:r w:rsidRPr="00D02D3C">
        <w:rPr>
          <w:rFonts w:asciiTheme="majorHAnsi" w:hAnsiTheme="majorHAnsi"/>
          <w:sz w:val="20"/>
          <w:szCs w:val="20"/>
          <w:vertAlign w:val="superscript"/>
        </w:rPr>
        <w:footnoteReference w:id="46"/>
      </w:r>
      <w:r w:rsidRPr="00D02D3C">
        <w:rPr>
          <w:rFonts w:asciiTheme="majorHAnsi" w:hAnsiTheme="majorHAnsi" w:cs="Arial"/>
          <w:sz w:val="20"/>
          <w:szCs w:val="20"/>
        </w:rPr>
        <w:t xml:space="preserve"> Accordingly, the Commission concludes that the Colombian State violated the right to judicial protection established at Article </w:t>
      </w:r>
      <w:r w:rsidRPr="00D02D3C">
        <w:rPr>
          <w:rFonts w:ascii="Cambria" w:hAnsi="Cambria"/>
          <w:sz w:val="20"/>
          <w:szCs w:val="20"/>
        </w:rPr>
        <w:t xml:space="preserve">25(1) of the American Convention in relation to the obligations established at Article 1(1) of the same instrument, to the detriment of </w:t>
      </w:r>
      <w:proofErr w:type="spellStart"/>
      <w:r w:rsidRPr="00D02D3C">
        <w:rPr>
          <w:rFonts w:ascii="Cambria" w:hAnsi="Cambria"/>
          <w:sz w:val="20"/>
          <w:szCs w:val="20"/>
        </w:rPr>
        <w:t>Yenina</w:t>
      </w:r>
      <w:proofErr w:type="spellEnd"/>
      <w:r w:rsidRPr="00D02D3C">
        <w:rPr>
          <w:rFonts w:ascii="Cambria" w:hAnsi="Cambria"/>
          <w:sz w:val="20"/>
          <w:szCs w:val="20"/>
        </w:rPr>
        <w:t xml:space="preserve"> Esther </w:t>
      </w:r>
      <w:proofErr w:type="spellStart"/>
      <w:r w:rsidRPr="00D02D3C">
        <w:rPr>
          <w:rFonts w:ascii="Cambria" w:hAnsi="Cambria"/>
          <w:sz w:val="20"/>
          <w:szCs w:val="20"/>
        </w:rPr>
        <w:t>Martínez</w:t>
      </w:r>
      <w:proofErr w:type="spellEnd"/>
      <w:r w:rsidRPr="00D02D3C">
        <w:rPr>
          <w:rFonts w:ascii="Cambria" w:hAnsi="Cambria"/>
          <w:sz w:val="20"/>
          <w:szCs w:val="20"/>
        </w:rPr>
        <w:t xml:space="preserve"> </w:t>
      </w:r>
      <w:proofErr w:type="spellStart"/>
      <w:r w:rsidRPr="00D02D3C">
        <w:rPr>
          <w:rFonts w:ascii="Cambria" w:hAnsi="Cambria"/>
          <w:sz w:val="20"/>
          <w:szCs w:val="20"/>
        </w:rPr>
        <w:t>Esquivia</w:t>
      </w:r>
      <w:proofErr w:type="spellEnd"/>
      <w:r w:rsidRPr="00D02D3C">
        <w:rPr>
          <w:rFonts w:ascii="Cambria" w:hAnsi="Cambria"/>
          <w:sz w:val="20"/>
          <w:szCs w:val="20"/>
        </w:rPr>
        <w:t xml:space="preserve">. </w:t>
      </w:r>
    </w:p>
    <w:p w14:paraId="62FD19A9" w14:textId="77777777" w:rsidR="00D02D3C" w:rsidRPr="00D02D3C" w:rsidRDefault="00D02D3C" w:rsidP="00D02D3C">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sz w:val="20"/>
          <w:szCs w:val="20"/>
        </w:rPr>
      </w:pPr>
    </w:p>
    <w:p w14:paraId="22CE44EF" w14:textId="77777777" w:rsidR="00D02D3C" w:rsidRPr="00D02D3C" w:rsidRDefault="00D02D3C" w:rsidP="000A566E">
      <w:pPr>
        <w:keepNext/>
        <w:numPr>
          <w:ilvl w:val="0"/>
          <w:numId w:val="71"/>
        </w:numPr>
        <w:pBdr>
          <w:top w:val="none" w:sz="0" w:space="0" w:color="auto"/>
          <w:left w:val="none" w:sz="0" w:space="0" w:color="auto"/>
          <w:bottom w:val="none" w:sz="0" w:space="0" w:color="auto"/>
          <w:right w:val="none" w:sz="0" w:space="0" w:color="auto"/>
          <w:between w:val="none" w:sz="0" w:space="0" w:color="auto"/>
          <w:bar w:val="none" w:sz="0" w:color="auto"/>
        </w:pBdr>
        <w:jc w:val="both"/>
        <w:outlineLvl w:val="1"/>
        <w:rPr>
          <w:rFonts w:asciiTheme="majorHAnsi" w:eastAsia="Times New Roman" w:hAnsiTheme="majorHAnsi"/>
          <w:b/>
          <w:sz w:val="20"/>
          <w:szCs w:val="20"/>
          <w:bdr w:val="none" w:sz="0" w:space="0" w:color="auto"/>
        </w:rPr>
      </w:pPr>
      <w:bookmarkStart w:id="73" w:name="_Toc477355364"/>
      <w:bookmarkStart w:id="74" w:name="_Toc480897210"/>
      <w:bookmarkStart w:id="75" w:name="_Toc515543709"/>
      <w:r w:rsidRPr="00D02D3C">
        <w:rPr>
          <w:rFonts w:asciiTheme="majorHAnsi" w:eastAsia="Times New Roman" w:hAnsiTheme="majorHAnsi"/>
          <w:b/>
          <w:sz w:val="20"/>
          <w:szCs w:val="20"/>
          <w:bdr w:val="none" w:sz="0" w:space="0" w:color="auto"/>
        </w:rPr>
        <w:t xml:space="preserve">       </w:t>
      </w:r>
      <w:bookmarkStart w:id="76" w:name="_Toc522484045"/>
      <w:bookmarkStart w:id="77" w:name="_Toc523998364"/>
      <w:r w:rsidRPr="00D02D3C">
        <w:rPr>
          <w:rFonts w:asciiTheme="majorHAnsi" w:eastAsia="Times New Roman" w:hAnsiTheme="majorHAnsi"/>
          <w:b/>
          <w:sz w:val="20"/>
          <w:szCs w:val="20"/>
          <w:bdr w:val="none" w:sz="0" w:space="0" w:color="auto"/>
        </w:rPr>
        <w:t>Reasonable time in relation to the remedy of labor appeal</w:t>
      </w:r>
      <w:bookmarkEnd w:id="76"/>
      <w:bookmarkEnd w:id="77"/>
      <w:r w:rsidRPr="00D02D3C">
        <w:rPr>
          <w:rFonts w:asciiTheme="majorHAnsi" w:eastAsia="Times New Roman" w:hAnsiTheme="majorHAnsi"/>
          <w:b/>
          <w:sz w:val="20"/>
          <w:szCs w:val="20"/>
          <w:bdr w:val="none" w:sz="0" w:space="0" w:color="auto"/>
        </w:rPr>
        <w:t xml:space="preserve"> </w:t>
      </w:r>
    </w:p>
    <w:p w14:paraId="5E3744D0" w14:textId="77777777" w:rsidR="00D02D3C" w:rsidRPr="00D02D3C" w:rsidRDefault="00D02D3C" w:rsidP="00D02D3C"/>
    <w:p w14:paraId="0957BE0D" w14:textId="77777777" w:rsidR="00D02D3C" w:rsidRPr="00D02D3C" w:rsidRDefault="00D02D3C" w:rsidP="000A566E">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rPr>
      </w:pPr>
      <w:r w:rsidRPr="00D02D3C">
        <w:rPr>
          <w:rFonts w:ascii="Cambria" w:eastAsia="Times New Roman" w:hAnsi="Cambria"/>
          <w:sz w:val="20"/>
          <w:szCs w:val="20"/>
          <w:lang w:eastAsia="es-ES"/>
        </w:rPr>
        <w:t xml:space="preserve">The Commission recalls that Article </w:t>
      </w:r>
      <w:r w:rsidRPr="00D02D3C">
        <w:rPr>
          <w:rFonts w:ascii="Cambria" w:hAnsi="Cambria"/>
          <w:sz w:val="20"/>
          <w:szCs w:val="20"/>
        </w:rPr>
        <w:t>8(1) of the American Convention establishes, as one of the elements of due process, that the courts are to decide the cases submitted to them in a reasonable time. According to the terms of that provision, the Commission shall take into consideration, in light of the specific circumstances of the case, the following elements: (</w:t>
      </w:r>
      <w:proofErr w:type="spellStart"/>
      <w:r w:rsidRPr="00D02D3C">
        <w:rPr>
          <w:rFonts w:ascii="Cambria" w:hAnsi="Cambria"/>
          <w:sz w:val="20"/>
          <w:szCs w:val="20"/>
        </w:rPr>
        <w:t>i</w:t>
      </w:r>
      <w:proofErr w:type="spellEnd"/>
      <w:r w:rsidRPr="00D02D3C">
        <w:rPr>
          <w:rFonts w:ascii="Cambria" w:hAnsi="Cambria"/>
          <w:sz w:val="20"/>
          <w:szCs w:val="20"/>
        </w:rPr>
        <w:t>) the complexity of the matter; (ii) the procedural activity of the interested party; (iii) the conduct of the judicial authorities; and (iv) the impact on the legal situation of the person involved in the proceeding.</w:t>
      </w:r>
      <w:r w:rsidRPr="00D02D3C">
        <w:rPr>
          <w:rFonts w:ascii="Cambria" w:hAnsi="Cambria"/>
          <w:sz w:val="20"/>
          <w:szCs w:val="20"/>
          <w:vertAlign w:val="superscript"/>
        </w:rPr>
        <w:footnoteReference w:id="47"/>
      </w:r>
      <w:r w:rsidRPr="00D02D3C">
        <w:rPr>
          <w:rFonts w:ascii="Cambria" w:hAnsi="Cambria"/>
          <w:sz w:val="20"/>
          <w:szCs w:val="20"/>
        </w:rPr>
        <w:t xml:space="preserve"> The Inter-American Court has established that a prolonged delay may constitute, in itself, a violation of judicial guarantees</w:t>
      </w:r>
      <w:r w:rsidRPr="00D02D3C">
        <w:rPr>
          <w:rFonts w:ascii="Cambria" w:hAnsi="Cambria"/>
          <w:sz w:val="20"/>
          <w:szCs w:val="20"/>
          <w:vertAlign w:val="superscript"/>
        </w:rPr>
        <w:footnoteReference w:id="48"/>
      </w:r>
      <w:r w:rsidRPr="00D02D3C">
        <w:rPr>
          <w:rFonts w:ascii="Cambria" w:hAnsi="Cambria"/>
          <w:sz w:val="20"/>
          <w:szCs w:val="20"/>
        </w:rPr>
        <w:t>; accordingly, it is up to the State to set forth and prove why more than a reasonable time has been required to issue a final judgment in a particular case.</w:t>
      </w:r>
      <w:r w:rsidRPr="00D02D3C">
        <w:rPr>
          <w:rFonts w:ascii="Cambria" w:hAnsi="Cambria"/>
          <w:sz w:val="20"/>
          <w:szCs w:val="20"/>
          <w:vertAlign w:val="superscript"/>
        </w:rPr>
        <w:footnoteReference w:id="49"/>
      </w:r>
    </w:p>
    <w:p w14:paraId="0622AE13" w14:textId="77777777" w:rsidR="00D02D3C" w:rsidRPr="00D02D3C" w:rsidRDefault="00D02D3C" w:rsidP="00D02D3C">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Cambria" w:hAnsi="Cambria"/>
          <w:sz w:val="20"/>
          <w:szCs w:val="20"/>
        </w:rPr>
      </w:pPr>
    </w:p>
    <w:p w14:paraId="7B7CCEF6" w14:textId="77777777" w:rsidR="00D02D3C" w:rsidRPr="00D02D3C" w:rsidRDefault="00D02D3C" w:rsidP="000A566E">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rPr>
      </w:pPr>
      <w:r w:rsidRPr="00D02D3C">
        <w:rPr>
          <w:rFonts w:asciiTheme="majorHAnsi" w:hAnsiTheme="majorHAnsi"/>
          <w:sz w:val="20"/>
          <w:szCs w:val="20"/>
        </w:rPr>
        <w:t xml:space="preserve">The IACHR recalls that in the instant case, on December 13, 2006, the petitioner appealed the decision that denied her action in the trade union jurisdiction, which was resolved on December 22, 2010 by the Superior Court of Cartagena, i.e. more than four years after </w:t>
      </w:r>
      <w:proofErr w:type="gramStart"/>
      <w:r w:rsidRPr="00D02D3C">
        <w:rPr>
          <w:rFonts w:asciiTheme="majorHAnsi" w:hAnsiTheme="majorHAnsi"/>
          <w:sz w:val="20"/>
          <w:szCs w:val="20"/>
        </w:rPr>
        <w:t>it</w:t>
      </w:r>
      <w:proofErr w:type="gramEnd"/>
      <w:r w:rsidRPr="00D02D3C">
        <w:rPr>
          <w:rFonts w:asciiTheme="majorHAnsi" w:hAnsiTheme="majorHAnsi"/>
          <w:sz w:val="20"/>
          <w:szCs w:val="20"/>
        </w:rPr>
        <w:t xml:space="preserve"> was filed. The State indicated that the delay was due to the number of matters before the Court.  </w:t>
      </w:r>
    </w:p>
    <w:p w14:paraId="7E1CBF2E" w14:textId="77777777" w:rsidR="00D02D3C" w:rsidRPr="00D02D3C" w:rsidRDefault="00D02D3C" w:rsidP="00D02D3C">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hAnsiTheme="majorHAnsi"/>
          <w:sz w:val="20"/>
          <w:szCs w:val="20"/>
        </w:rPr>
      </w:pPr>
    </w:p>
    <w:p w14:paraId="2FDF45D1" w14:textId="77777777" w:rsidR="00D02D3C" w:rsidRPr="00D02D3C" w:rsidRDefault="00D02D3C" w:rsidP="000A566E">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rPr>
      </w:pPr>
      <w:r w:rsidRPr="00D02D3C">
        <w:rPr>
          <w:rFonts w:asciiTheme="majorHAnsi" w:hAnsiTheme="majorHAnsi"/>
          <w:sz w:val="20"/>
          <w:szCs w:val="20"/>
        </w:rPr>
        <w:t xml:space="preserve">The Commission notes that the matter was not at all complex, as it had to do only with determining whether the alleged victim was protected by the right to form and join trade unions and the petitioner set the proceeding in motion through the remedy, thus the delay was due to the actions of the State. The IACHR further considers that the State’s generic argument that the delay was due to the large number of matters before the Court is not sufficient to excuse it from its obligation to decide the remedy pursued in a reasonable time. </w:t>
      </w:r>
    </w:p>
    <w:p w14:paraId="23863161" w14:textId="77777777" w:rsidR="00D02D3C" w:rsidRPr="00D02D3C" w:rsidRDefault="00D02D3C" w:rsidP="00D02D3C">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hAnsiTheme="majorHAnsi"/>
          <w:sz w:val="20"/>
          <w:szCs w:val="20"/>
        </w:rPr>
      </w:pPr>
    </w:p>
    <w:p w14:paraId="6E211088" w14:textId="77777777" w:rsidR="00D02D3C" w:rsidRPr="00D02D3C" w:rsidRDefault="00D02D3C" w:rsidP="000A566E">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rPr>
      </w:pPr>
      <w:r w:rsidRPr="00D02D3C">
        <w:rPr>
          <w:rFonts w:asciiTheme="majorHAnsi" w:hAnsiTheme="majorHAnsi"/>
          <w:sz w:val="20"/>
          <w:szCs w:val="20"/>
        </w:rPr>
        <w:t xml:space="preserve">In view of the foregoing considerations, the Commission concludes that the State violated the guarantee of a reasonable time established at Article 8(1) of the American Convention in relation to the obligation established at Article 1(1) of the same instrument, to the detriment of </w:t>
      </w:r>
      <w:proofErr w:type="spellStart"/>
      <w:r w:rsidRPr="00D02D3C">
        <w:rPr>
          <w:rFonts w:asciiTheme="majorHAnsi" w:hAnsiTheme="majorHAnsi"/>
          <w:sz w:val="20"/>
          <w:szCs w:val="20"/>
        </w:rPr>
        <w:t>Yenina</w:t>
      </w:r>
      <w:proofErr w:type="spellEnd"/>
      <w:r w:rsidRPr="00D02D3C">
        <w:rPr>
          <w:rFonts w:asciiTheme="majorHAnsi" w:hAnsiTheme="majorHAnsi"/>
          <w:sz w:val="20"/>
          <w:szCs w:val="20"/>
        </w:rPr>
        <w:t xml:space="preserve"> </w:t>
      </w:r>
      <w:proofErr w:type="spellStart"/>
      <w:r w:rsidRPr="00D02D3C">
        <w:rPr>
          <w:rFonts w:asciiTheme="majorHAnsi" w:hAnsiTheme="majorHAnsi"/>
          <w:sz w:val="20"/>
          <w:szCs w:val="20"/>
        </w:rPr>
        <w:t>Martínez</w:t>
      </w:r>
      <w:proofErr w:type="spellEnd"/>
      <w:r w:rsidRPr="00D02D3C">
        <w:rPr>
          <w:rFonts w:asciiTheme="majorHAnsi" w:hAnsiTheme="majorHAnsi"/>
          <w:sz w:val="20"/>
          <w:szCs w:val="20"/>
        </w:rPr>
        <w:t xml:space="preserve"> </w:t>
      </w:r>
      <w:proofErr w:type="spellStart"/>
      <w:r w:rsidRPr="00D02D3C">
        <w:rPr>
          <w:rFonts w:asciiTheme="majorHAnsi" w:hAnsiTheme="majorHAnsi"/>
          <w:sz w:val="20"/>
          <w:szCs w:val="20"/>
        </w:rPr>
        <w:t>Esquivia</w:t>
      </w:r>
      <w:proofErr w:type="spellEnd"/>
      <w:r w:rsidRPr="00D02D3C">
        <w:rPr>
          <w:rFonts w:asciiTheme="majorHAnsi" w:hAnsiTheme="majorHAnsi"/>
          <w:sz w:val="20"/>
          <w:szCs w:val="20"/>
        </w:rPr>
        <w:t xml:space="preserve">. </w:t>
      </w:r>
    </w:p>
    <w:p w14:paraId="05841763" w14:textId="77777777" w:rsidR="00D02D3C" w:rsidRPr="00D02D3C" w:rsidRDefault="00D02D3C" w:rsidP="00D02D3C"/>
    <w:p w14:paraId="3781ECAF" w14:textId="77777777" w:rsidR="00D02D3C" w:rsidRPr="00D02D3C" w:rsidRDefault="00D02D3C" w:rsidP="000A566E">
      <w:pPr>
        <w:keepNext/>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ind w:left="1440" w:hanging="720"/>
        <w:jc w:val="both"/>
        <w:outlineLvl w:val="1"/>
        <w:rPr>
          <w:rFonts w:ascii="Cambria" w:eastAsia="Times New Roman" w:hAnsi="Cambria"/>
          <w:b/>
          <w:i/>
          <w:sz w:val="20"/>
          <w:szCs w:val="20"/>
          <w:bdr w:val="none" w:sz="0" w:space="0" w:color="auto"/>
        </w:rPr>
      </w:pPr>
      <w:bookmarkStart w:id="78" w:name="_Toc395277588"/>
      <w:bookmarkStart w:id="79" w:name="_Toc522484046"/>
      <w:bookmarkStart w:id="80" w:name="_Toc523998365"/>
      <w:bookmarkStart w:id="81" w:name="_Toc484439867"/>
      <w:r w:rsidRPr="00D02D3C">
        <w:rPr>
          <w:rFonts w:ascii="Cambria" w:eastAsia="Times New Roman" w:hAnsi="Cambria"/>
          <w:b/>
          <w:sz w:val="20"/>
          <w:szCs w:val="20"/>
          <w:bdr w:val="none" w:sz="0" w:space="0" w:color="auto"/>
        </w:rPr>
        <w:lastRenderedPageBreak/>
        <w:t>Political rights</w:t>
      </w:r>
      <w:r w:rsidRPr="00D02D3C">
        <w:rPr>
          <w:rFonts w:ascii="Cambria" w:eastAsia="Times New Roman" w:hAnsi="Cambria"/>
          <w:b/>
          <w:sz w:val="20"/>
          <w:szCs w:val="20"/>
          <w:bdr w:val="none" w:sz="0" w:space="0" w:color="auto"/>
          <w:vertAlign w:val="superscript"/>
        </w:rPr>
        <w:footnoteReference w:id="50"/>
      </w:r>
      <w:bookmarkEnd w:id="78"/>
      <w:bookmarkEnd w:id="79"/>
      <w:bookmarkEnd w:id="80"/>
      <w:r w:rsidRPr="00D02D3C">
        <w:rPr>
          <w:rFonts w:ascii="Cambria" w:eastAsia="Times New Roman" w:hAnsi="Cambria"/>
          <w:b/>
          <w:sz w:val="20"/>
          <w:szCs w:val="20"/>
          <w:bdr w:val="none" w:sz="0" w:space="0" w:color="auto"/>
        </w:rPr>
        <w:t xml:space="preserve"> </w:t>
      </w:r>
      <w:bookmarkEnd w:id="81"/>
    </w:p>
    <w:p w14:paraId="0E61C680" w14:textId="77777777" w:rsidR="00D02D3C" w:rsidRPr="00D02D3C" w:rsidRDefault="00D02D3C" w:rsidP="00D02D3C">
      <w:pPr>
        <w:pBdr>
          <w:top w:val="none" w:sz="0" w:space="0" w:color="auto"/>
          <w:left w:val="none" w:sz="0" w:space="0" w:color="auto"/>
          <w:bottom w:val="none" w:sz="0" w:space="0" w:color="auto"/>
          <w:right w:val="none" w:sz="0" w:space="0" w:color="auto"/>
          <w:between w:val="none" w:sz="0" w:space="0" w:color="auto"/>
          <w:bar w:val="none" w:sz="0" w:color="auto"/>
        </w:pBdr>
        <w:ind w:right="720"/>
        <w:jc w:val="both"/>
        <w:rPr>
          <w:rFonts w:eastAsia="Times New Roman"/>
          <w:sz w:val="20"/>
          <w:szCs w:val="20"/>
        </w:rPr>
      </w:pPr>
    </w:p>
    <w:p w14:paraId="5808D691" w14:textId="77777777" w:rsidR="00D02D3C" w:rsidRPr="00D02D3C" w:rsidRDefault="00D02D3C" w:rsidP="000A566E">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bCs/>
          <w:sz w:val="20"/>
          <w:szCs w:val="20"/>
        </w:rPr>
      </w:pPr>
      <w:r w:rsidRPr="00D02D3C">
        <w:rPr>
          <w:rFonts w:ascii="Cambria" w:hAnsi="Cambria"/>
          <w:bCs/>
          <w:sz w:val="20"/>
          <w:szCs w:val="20"/>
        </w:rPr>
        <w:t>Article 23(1</w:t>
      </w:r>
      <w:proofErr w:type="gramStart"/>
      <w:r w:rsidRPr="00D02D3C">
        <w:rPr>
          <w:rFonts w:ascii="Cambria" w:hAnsi="Cambria"/>
          <w:bCs/>
          <w:sz w:val="20"/>
          <w:szCs w:val="20"/>
        </w:rPr>
        <w:t>)(</w:t>
      </w:r>
      <w:proofErr w:type="gramEnd"/>
      <w:r w:rsidRPr="00D02D3C">
        <w:rPr>
          <w:rFonts w:ascii="Cambria" w:hAnsi="Cambria"/>
          <w:bCs/>
          <w:sz w:val="20"/>
          <w:szCs w:val="20"/>
        </w:rPr>
        <w:t xml:space="preserve">c) established the right to gain access to public office “under general conditions of equality.” The Court has interpreted this article indicating that “when a judge’s tenure is arbitrarily impaired, the right to judicial independence recognized in Article </w:t>
      </w:r>
      <w:r w:rsidRPr="00D02D3C">
        <w:rPr>
          <w:rFonts w:ascii="Cambria" w:eastAsia="Times New Roman" w:hAnsi="Cambria"/>
          <w:sz w:val="20"/>
          <w:szCs w:val="20"/>
        </w:rPr>
        <w:t>8(1) of the American Convention is violated, as is the right to access to public service and tenure, under general conditions of equality, established in Article 23(1</w:t>
      </w:r>
      <w:proofErr w:type="gramStart"/>
      <w:r w:rsidRPr="00D02D3C">
        <w:rPr>
          <w:rFonts w:ascii="Cambria" w:eastAsia="Times New Roman" w:hAnsi="Cambria"/>
          <w:sz w:val="20"/>
          <w:szCs w:val="20"/>
        </w:rPr>
        <w:t>)(</w:t>
      </w:r>
      <w:proofErr w:type="gramEnd"/>
      <w:r w:rsidRPr="00D02D3C">
        <w:rPr>
          <w:rFonts w:ascii="Cambria" w:eastAsia="Times New Roman" w:hAnsi="Cambria"/>
          <w:sz w:val="20"/>
          <w:szCs w:val="20"/>
        </w:rPr>
        <w:t>c)….”</w:t>
      </w:r>
      <w:r w:rsidRPr="00D02D3C">
        <w:rPr>
          <w:rFonts w:ascii="Cambria" w:hAnsi="Cambria"/>
          <w:sz w:val="20"/>
          <w:szCs w:val="20"/>
          <w:vertAlign w:val="superscript"/>
        </w:rPr>
        <w:footnoteReference w:id="51"/>
      </w:r>
      <w:r w:rsidRPr="00D02D3C">
        <w:rPr>
          <w:rFonts w:ascii="Cambria" w:eastAsia="Times New Roman" w:hAnsi="Cambria"/>
          <w:sz w:val="20"/>
          <w:szCs w:val="20"/>
        </w:rPr>
        <w:t xml:space="preserve"> </w:t>
      </w:r>
    </w:p>
    <w:p w14:paraId="661C701C" w14:textId="77777777" w:rsidR="00D02D3C" w:rsidRPr="00D02D3C" w:rsidRDefault="00D02D3C" w:rsidP="00D02D3C">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Cambria" w:hAnsi="Cambria"/>
          <w:bCs/>
          <w:sz w:val="20"/>
          <w:szCs w:val="20"/>
        </w:rPr>
      </w:pPr>
    </w:p>
    <w:p w14:paraId="6C05D08A" w14:textId="77777777" w:rsidR="00D02D3C" w:rsidRPr="00D02D3C" w:rsidRDefault="00D02D3C" w:rsidP="000A566E">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bCs/>
          <w:sz w:val="20"/>
          <w:szCs w:val="20"/>
        </w:rPr>
      </w:pPr>
      <w:r w:rsidRPr="00D02D3C">
        <w:rPr>
          <w:rFonts w:ascii="Cambria" w:hAnsi="Cambria"/>
          <w:bCs/>
          <w:sz w:val="20"/>
          <w:szCs w:val="20"/>
        </w:rPr>
        <w:t xml:space="preserve">The Commission considers that the standard indicated is also applicable to prosecutors, in light of what is indicated in this report, i.e. that the reinforced guarantees of stability of judges are also applicable to and should protect prosecutors to ensure independence in the performance of their duties. </w:t>
      </w:r>
    </w:p>
    <w:p w14:paraId="361E2D54" w14:textId="77777777" w:rsidR="00D02D3C" w:rsidRPr="00D02D3C" w:rsidRDefault="00D02D3C" w:rsidP="00D02D3C">
      <w:pPr>
        <w:ind w:left="720"/>
        <w:rPr>
          <w:rFonts w:ascii="Cambria" w:eastAsia="Cambria" w:hAnsi="Cambria" w:cs="Cambria"/>
          <w:bCs/>
          <w:color w:val="000000"/>
          <w:sz w:val="20"/>
          <w:szCs w:val="20"/>
          <w:u w:color="000000"/>
          <w:lang w:eastAsia="es-ES"/>
        </w:rPr>
      </w:pPr>
    </w:p>
    <w:p w14:paraId="3EBDB845" w14:textId="77777777" w:rsidR="00D02D3C" w:rsidRPr="00D02D3C" w:rsidRDefault="00D02D3C" w:rsidP="000A566E">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bCs/>
          <w:sz w:val="20"/>
          <w:szCs w:val="20"/>
        </w:rPr>
      </w:pPr>
      <w:r w:rsidRPr="00D02D3C">
        <w:rPr>
          <w:rFonts w:ascii="Cambria" w:hAnsi="Cambria"/>
          <w:bCs/>
          <w:sz w:val="20"/>
          <w:szCs w:val="20"/>
        </w:rPr>
        <w:t xml:space="preserve">In the instant case it has been established that Ms. </w:t>
      </w:r>
      <w:proofErr w:type="spellStart"/>
      <w:r w:rsidRPr="00D02D3C">
        <w:rPr>
          <w:rFonts w:ascii="Cambria" w:hAnsi="Cambria"/>
          <w:bCs/>
          <w:sz w:val="20"/>
          <w:szCs w:val="20"/>
        </w:rPr>
        <w:t>Martínez</w:t>
      </w:r>
      <w:proofErr w:type="spellEnd"/>
      <w:r w:rsidRPr="00D02D3C">
        <w:rPr>
          <w:rFonts w:ascii="Cambria" w:hAnsi="Cambria"/>
          <w:bCs/>
          <w:sz w:val="20"/>
          <w:szCs w:val="20"/>
        </w:rPr>
        <w:t xml:space="preserve"> </w:t>
      </w:r>
      <w:proofErr w:type="spellStart"/>
      <w:r w:rsidRPr="00D02D3C">
        <w:rPr>
          <w:rFonts w:ascii="Cambria" w:hAnsi="Cambria"/>
          <w:bCs/>
          <w:sz w:val="20"/>
          <w:szCs w:val="20"/>
        </w:rPr>
        <w:t>Esquivia</w:t>
      </w:r>
      <w:proofErr w:type="spellEnd"/>
      <w:r w:rsidRPr="00D02D3C">
        <w:rPr>
          <w:rFonts w:ascii="Cambria" w:hAnsi="Cambria"/>
          <w:bCs/>
          <w:sz w:val="20"/>
          <w:szCs w:val="20"/>
        </w:rPr>
        <w:t xml:space="preserve"> was separated from her position as provisional prosecutor in a procedure in which the minimal guarantees required were not respected, in the terms described throughout this report. In those circumstances and consistent with the criterion mentioned in the previous paragraph, the Commission considers that the State also violated Article 23(1)(c) of the American Convention, in relation to Article 1(1) of the same instrument, to the detriment of </w:t>
      </w:r>
      <w:proofErr w:type="spellStart"/>
      <w:r w:rsidRPr="00D02D3C">
        <w:rPr>
          <w:rFonts w:ascii="Cambria" w:hAnsi="Cambria"/>
          <w:bCs/>
          <w:sz w:val="20"/>
          <w:szCs w:val="20"/>
        </w:rPr>
        <w:t>Yenina</w:t>
      </w:r>
      <w:proofErr w:type="spellEnd"/>
      <w:r w:rsidRPr="00D02D3C">
        <w:rPr>
          <w:rFonts w:ascii="Cambria" w:hAnsi="Cambria"/>
          <w:bCs/>
          <w:sz w:val="20"/>
          <w:szCs w:val="20"/>
        </w:rPr>
        <w:t xml:space="preserve"> Esther </w:t>
      </w:r>
      <w:proofErr w:type="spellStart"/>
      <w:r w:rsidRPr="00D02D3C">
        <w:rPr>
          <w:rFonts w:ascii="Cambria" w:hAnsi="Cambria"/>
          <w:bCs/>
          <w:sz w:val="20"/>
          <w:szCs w:val="20"/>
        </w:rPr>
        <w:t>Martínez</w:t>
      </w:r>
      <w:proofErr w:type="spellEnd"/>
      <w:r w:rsidRPr="00D02D3C">
        <w:rPr>
          <w:rFonts w:ascii="Cambria" w:hAnsi="Cambria"/>
          <w:bCs/>
          <w:sz w:val="20"/>
          <w:szCs w:val="20"/>
        </w:rPr>
        <w:t xml:space="preserve"> </w:t>
      </w:r>
      <w:proofErr w:type="spellStart"/>
      <w:r w:rsidRPr="00D02D3C">
        <w:rPr>
          <w:rFonts w:ascii="Cambria" w:hAnsi="Cambria"/>
          <w:bCs/>
          <w:sz w:val="20"/>
          <w:szCs w:val="20"/>
        </w:rPr>
        <w:t>Esquivia</w:t>
      </w:r>
      <w:proofErr w:type="spellEnd"/>
      <w:r w:rsidRPr="00D02D3C">
        <w:rPr>
          <w:rFonts w:ascii="Cambria" w:hAnsi="Cambria"/>
          <w:bCs/>
          <w:sz w:val="20"/>
          <w:szCs w:val="20"/>
        </w:rPr>
        <w:t xml:space="preserve">. </w:t>
      </w:r>
    </w:p>
    <w:p w14:paraId="0F531738" w14:textId="77777777" w:rsidR="00D02D3C" w:rsidRPr="00D02D3C" w:rsidRDefault="00D02D3C" w:rsidP="00D02D3C"/>
    <w:p w14:paraId="01AE8542" w14:textId="77777777" w:rsidR="00D02D3C" w:rsidRPr="00D02D3C" w:rsidRDefault="00D02D3C" w:rsidP="000A566E">
      <w:pPr>
        <w:keepNext/>
        <w:numPr>
          <w:ilvl w:val="0"/>
          <w:numId w:val="66"/>
        </w:numPr>
        <w:pBdr>
          <w:top w:val="none" w:sz="0" w:space="0" w:color="auto"/>
          <w:left w:val="none" w:sz="0" w:space="0" w:color="auto"/>
          <w:bottom w:val="none" w:sz="0" w:space="0" w:color="auto"/>
          <w:right w:val="none" w:sz="0" w:space="0" w:color="auto"/>
          <w:between w:val="none" w:sz="0" w:space="0" w:color="auto"/>
          <w:bar w:val="none" w:sz="0" w:color="auto"/>
        </w:pBdr>
        <w:ind w:hanging="810"/>
        <w:outlineLvl w:val="0"/>
        <w:rPr>
          <w:rFonts w:ascii="Cambria" w:eastAsia="Times New Roman" w:hAnsi="Cambria"/>
          <w:b/>
          <w:sz w:val="20"/>
          <w:szCs w:val="20"/>
          <w:bdr w:val="none" w:sz="0" w:space="0" w:color="auto"/>
        </w:rPr>
      </w:pPr>
      <w:bookmarkStart w:id="82" w:name="_Toc522484047"/>
      <w:bookmarkStart w:id="83" w:name="_Toc523998366"/>
      <w:r w:rsidRPr="00D02D3C">
        <w:rPr>
          <w:rFonts w:asciiTheme="majorHAnsi" w:eastAsia="Times New Roman" w:hAnsiTheme="majorHAnsi"/>
          <w:b/>
          <w:sz w:val="20"/>
          <w:szCs w:val="20"/>
          <w:bdr w:val="none" w:sz="0" w:space="0" w:color="auto"/>
        </w:rPr>
        <w:t>CONCLUSIONS</w:t>
      </w:r>
      <w:bookmarkEnd w:id="73"/>
      <w:bookmarkEnd w:id="74"/>
      <w:r w:rsidRPr="00D02D3C">
        <w:rPr>
          <w:rFonts w:ascii="Cambria" w:eastAsia="Times New Roman" w:hAnsi="Cambria"/>
          <w:b/>
          <w:sz w:val="20"/>
          <w:szCs w:val="20"/>
          <w:bdr w:val="none" w:sz="0" w:space="0" w:color="auto"/>
        </w:rPr>
        <w:t xml:space="preserve"> AND RECOMMENDATIONS</w:t>
      </w:r>
      <w:bookmarkEnd w:id="82"/>
      <w:bookmarkEnd w:id="83"/>
      <w:r w:rsidRPr="00D02D3C">
        <w:rPr>
          <w:rFonts w:ascii="Cambria" w:eastAsia="Times New Roman" w:hAnsi="Cambria"/>
          <w:b/>
          <w:sz w:val="20"/>
          <w:szCs w:val="20"/>
          <w:bdr w:val="none" w:sz="0" w:space="0" w:color="auto"/>
        </w:rPr>
        <w:t xml:space="preserve"> </w:t>
      </w:r>
      <w:bookmarkEnd w:id="75"/>
    </w:p>
    <w:p w14:paraId="1F3AD426" w14:textId="77777777" w:rsidR="00D02D3C" w:rsidRPr="00D02D3C" w:rsidRDefault="00D02D3C" w:rsidP="00D02D3C">
      <w:pPr>
        <w:jc w:val="both"/>
        <w:rPr>
          <w:rFonts w:ascii="Cambria" w:eastAsia="Times New Roman" w:hAnsi="Cambria"/>
          <w:sz w:val="20"/>
          <w:szCs w:val="20"/>
        </w:rPr>
      </w:pPr>
    </w:p>
    <w:p w14:paraId="2EE97EDD" w14:textId="77777777" w:rsidR="00D02D3C" w:rsidRPr="00D02D3C" w:rsidRDefault="00D02D3C" w:rsidP="000A566E">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cs="Verdana"/>
          <w:sz w:val="20"/>
          <w:szCs w:val="20"/>
        </w:rPr>
      </w:pPr>
      <w:r w:rsidRPr="00D02D3C">
        <w:rPr>
          <w:rFonts w:ascii="Cambria" w:eastAsia="Times New Roman" w:hAnsi="Cambria"/>
          <w:sz w:val="20"/>
          <w:szCs w:val="20"/>
          <w:lang w:eastAsia="es-ES"/>
        </w:rPr>
        <w:t xml:space="preserve">The Commission concludes that the Colombian State is responsible for violating the right to judicial guarantees, the freedom from ex post facto laws, </w:t>
      </w:r>
      <w:r w:rsidRPr="00D02D3C">
        <w:rPr>
          <w:rFonts w:ascii="Cambria" w:hAnsi="Cambria" w:cs="Arial"/>
          <w:sz w:val="20"/>
          <w:szCs w:val="20"/>
        </w:rPr>
        <w:t xml:space="preserve">and the right to judicial protection, enshrined in Articles 8(1), 8(2)(b), 8(2)(c), 9, 23(1)(c), and 25(1) of the American Convention, in relation to the obligations established at Articles 1(1) and 2 of the same instrument, to the detriment of </w:t>
      </w:r>
      <w:proofErr w:type="spellStart"/>
      <w:r w:rsidRPr="00D02D3C">
        <w:rPr>
          <w:rFonts w:ascii="Cambria" w:hAnsi="Cambria" w:cs="Arial"/>
          <w:sz w:val="20"/>
          <w:szCs w:val="20"/>
        </w:rPr>
        <w:t>Yenina</w:t>
      </w:r>
      <w:proofErr w:type="spellEnd"/>
      <w:r w:rsidRPr="00D02D3C">
        <w:rPr>
          <w:rFonts w:ascii="Cambria" w:hAnsi="Cambria" w:cs="Arial"/>
          <w:sz w:val="20"/>
          <w:szCs w:val="20"/>
        </w:rPr>
        <w:t xml:space="preserve"> </w:t>
      </w:r>
      <w:proofErr w:type="spellStart"/>
      <w:r w:rsidRPr="00D02D3C">
        <w:rPr>
          <w:rFonts w:ascii="Cambria" w:hAnsi="Cambria" w:cs="Arial"/>
          <w:sz w:val="20"/>
          <w:szCs w:val="20"/>
        </w:rPr>
        <w:t>Martínez</w:t>
      </w:r>
      <w:proofErr w:type="spellEnd"/>
      <w:r w:rsidRPr="00D02D3C">
        <w:rPr>
          <w:rFonts w:ascii="Cambria" w:hAnsi="Cambria" w:cs="Arial"/>
          <w:sz w:val="20"/>
          <w:szCs w:val="20"/>
        </w:rPr>
        <w:t xml:space="preserve"> </w:t>
      </w:r>
      <w:proofErr w:type="spellStart"/>
      <w:r w:rsidRPr="00D02D3C">
        <w:rPr>
          <w:rFonts w:ascii="Cambria" w:hAnsi="Cambria" w:cs="Arial"/>
          <w:sz w:val="20"/>
          <w:szCs w:val="20"/>
        </w:rPr>
        <w:t>Esquivia</w:t>
      </w:r>
      <w:proofErr w:type="spellEnd"/>
      <w:r w:rsidRPr="00D02D3C">
        <w:rPr>
          <w:rFonts w:ascii="Cambria" w:hAnsi="Cambria" w:cs="Arial"/>
          <w:sz w:val="20"/>
          <w:szCs w:val="20"/>
        </w:rPr>
        <w:t>.</w:t>
      </w:r>
    </w:p>
    <w:p w14:paraId="4EB4B296" w14:textId="77777777" w:rsidR="00D02D3C" w:rsidRPr="00D02D3C" w:rsidRDefault="00D02D3C" w:rsidP="00D02D3C">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630"/>
        <w:jc w:val="both"/>
        <w:rPr>
          <w:rFonts w:ascii="Cambria" w:hAnsi="Cambria" w:cs="Verdana"/>
          <w:sz w:val="20"/>
          <w:szCs w:val="20"/>
        </w:rPr>
      </w:pPr>
    </w:p>
    <w:p w14:paraId="0533F738" w14:textId="77777777" w:rsidR="00D02D3C" w:rsidRPr="00D02D3C" w:rsidRDefault="00D02D3C" w:rsidP="000A566E">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cs="Verdana"/>
          <w:sz w:val="20"/>
          <w:szCs w:val="20"/>
        </w:rPr>
      </w:pPr>
      <w:r w:rsidRPr="00D02D3C">
        <w:rPr>
          <w:rFonts w:ascii="Cambria" w:hAnsi="Cambria" w:cs="Verdana"/>
          <w:sz w:val="20"/>
          <w:szCs w:val="20"/>
        </w:rPr>
        <w:t xml:space="preserve">Based on the analysis and conclusions set forth in this report, </w:t>
      </w:r>
    </w:p>
    <w:p w14:paraId="359FC0D6" w14:textId="77777777" w:rsidR="00D02D3C" w:rsidRPr="00D02D3C" w:rsidRDefault="00D02D3C" w:rsidP="00D02D3C">
      <w:pPr>
        <w:ind w:left="720"/>
        <w:rPr>
          <w:rFonts w:ascii="Cambria" w:eastAsia="Cambria" w:hAnsi="Cambria" w:cs="Cambria"/>
          <w:b/>
          <w:color w:val="000000"/>
          <w:sz w:val="20"/>
          <w:szCs w:val="20"/>
          <w:u w:color="000000"/>
          <w:lang w:eastAsia="es-ES"/>
        </w:rPr>
      </w:pPr>
    </w:p>
    <w:p w14:paraId="4CB5B300" w14:textId="08900B1E" w:rsidR="00D02D3C" w:rsidRPr="00D02D3C" w:rsidRDefault="00D02D3C" w:rsidP="00D02D3C">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firstLine="630"/>
        <w:jc w:val="both"/>
        <w:rPr>
          <w:rFonts w:ascii="Cambria" w:hAnsi="Cambria" w:cs="Verdana"/>
          <w:sz w:val="20"/>
          <w:szCs w:val="20"/>
        </w:rPr>
      </w:pPr>
      <w:r w:rsidRPr="00D02D3C">
        <w:rPr>
          <w:rFonts w:ascii="Cambria" w:hAnsi="Cambria"/>
          <w:b/>
          <w:sz w:val="20"/>
          <w:szCs w:val="20"/>
        </w:rPr>
        <w:t xml:space="preserve">THE INTER-AMERICAN COMMISSION ON HUMAN RIGHTS RECOMMENDS TO THE STATE OF COLOMBIA, </w:t>
      </w:r>
    </w:p>
    <w:p w14:paraId="71A0D7FF" w14:textId="77777777" w:rsidR="00D02D3C" w:rsidRPr="00D02D3C" w:rsidRDefault="00D02D3C" w:rsidP="00D02D3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color w:val="666666"/>
          <w:sz w:val="15"/>
          <w:szCs w:val="15"/>
          <w:bdr w:val="none" w:sz="0" w:space="0" w:color="auto"/>
        </w:rPr>
      </w:pPr>
    </w:p>
    <w:p w14:paraId="04909FD7" w14:textId="77777777" w:rsidR="000A566E" w:rsidRPr="006271B7" w:rsidRDefault="000A566E" w:rsidP="000A566E">
      <w:pPr>
        <w:pStyle w:val="ListParagraph"/>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720"/>
        <w:jc w:val="both"/>
        <w:rPr>
          <w:rFonts w:cs="Verdana"/>
          <w:sz w:val="20"/>
          <w:szCs w:val="20"/>
        </w:rPr>
      </w:pPr>
      <w:r w:rsidRPr="006271B7">
        <w:rPr>
          <w:rFonts w:ascii="Helvetica" w:eastAsia="Times New Roman" w:hAnsi="Helvetica"/>
          <w:color w:val="666666"/>
          <w:sz w:val="15"/>
          <w:szCs w:val="15"/>
          <w:bdr w:val="none" w:sz="0" w:space="0" w:color="auto"/>
        </w:rPr>
        <w:t> </w:t>
      </w:r>
      <w:r>
        <w:rPr>
          <w:spacing w:val="-2"/>
          <w:sz w:val="20"/>
          <w:szCs w:val="20"/>
        </w:rPr>
        <w:t>To reinstate the victim in a similar position to the one he served in, with the same remuneration, social benefits and a comparable rank to the one he would be entitled to today had he not been removed</w:t>
      </w:r>
      <w:r w:rsidRPr="006271B7">
        <w:rPr>
          <w:spacing w:val="-2"/>
          <w:sz w:val="20"/>
          <w:szCs w:val="20"/>
        </w:rPr>
        <w:t xml:space="preserve">. </w:t>
      </w:r>
      <w:r>
        <w:rPr>
          <w:spacing w:val="-2"/>
          <w:sz w:val="20"/>
          <w:szCs w:val="20"/>
        </w:rPr>
        <w:t xml:space="preserve">In the event that the victim should not wish to be reinstated or there are objective reasons preventing his reinstatement, the State shall pay compensation for this reason, which is independent from reparations relating to the material or moral damages included in recommendation number two. </w:t>
      </w:r>
    </w:p>
    <w:p w14:paraId="3B50A07F" w14:textId="77777777" w:rsidR="000A566E" w:rsidRPr="006271B7" w:rsidRDefault="000A566E" w:rsidP="000A566E">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720"/>
        <w:jc w:val="both"/>
        <w:rPr>
          <w:rFonts w:cs="Verdana"/>
          <w:sz w:val="20"/>
          <w:szCs w:val="20"/>
        </w:rPr>
      </w:pPr>
    </w:p>
    <w:p w14:paraId="1F29F41E" w14:textId="77777777" w:rsidR="000A566E" w:rsidRPr="006271B7" w:rsidRDefault="000A566E" w:rsidP="000A566E">
      <w:pPr>
        <w:pStyle w:val="ListParagraph"/>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720"/>
        <w:jc w:val="both"/>
        <w:rPr>
          <w:rFonts w:cs="Verdana"/>
          <w:sz w:val="20"/>
          <w:szCs w:val="20"/>
        </w:rPr>
      </w:pPr>
      <w:r>
        <w:rPr>
          <w:spacing w:val="-2"/>
          <w:sz w:val="20"/>
          <w:szCs w:val="20"/>
        </w:rPr>
        <w:t>To provide full reparation for the consequences of the violations declared in the instant report, including both tangible and intangible damages</w:t>
      </w:r>
      <w:r w:rsidRPr="006271B7">
        <w:rPr>
          <w:spacing w:val="-2"/>
          <w:sz w:val="20"/>
          <w:szCs w:val="20"/>
        </w:rPr>
        <w:t xml:space="preserve">. </w:t>
      </w:r>
    </w:p>
    <w:p w14:paraId="2786DD6B" w14:textId="77777777" w:rsidR="000A566E" w:rsidRPr="006271B7" w:rsidRDefault="000A566E" w:rsidP="000A566E">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720"/>
        <w:jc w:val="both"/>
        <w:rPr>
          <w:rFonts w:cs="Verdana"/>
          <w:sz w:val="20"/>
          <w:szCs w:val="20"/>
        </w:rPr>
      </w:pPr>
    </w:p>
    <w:p w14:paraId="7BE92663" w14:textId="77777777" w:rsidR="000A566E" w:rsidRPr="006271B7" w:rsidRDefault="000A566E" w:rsidP="000A566E">
      <w:pPr>
        <w:pStyle w:val="ListParagraph"/>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720"/>
        <w:jc w:val="both"/>
        <w:rPr>
          <w:spacing w:val="-2"/>
          <w:sz w:val="20"/>
          <w:szCs w:val="20"/>
        </w:rPr>
      </w:pPr>
      <w:r>
        <w:rPr>
          <w:spacing w:val="-2"/>
          <w:sz w:val="20"/>
          <w:szCs w:val="20"/>
        </w:rPr>
        <w:t xml:space="preserve">To adopt necessary measures of non-repetition to prevent similar events from taking place in the future. In particular, ensure application of the rules of due process in the context of the proceedings for the dismissal or removal of prosecutors, regardless of whether or not they are provisional. </w:t>
      </w:r>
    </w:p>
    <w:p w14:paraId="3A729FF9" w14:textId="77777777" w:rsidR="000A566E" w:rsidRPr="006271B7" w:rsidRDefault="000A566E" w:rsidP="000A566E">
      <w:pPr>
        <w:pStyle w:val="ListParagraph"/>
        <w:ind w:left="0" w:firstLine="720"/>
        <w:rPr>
          <w:spacing w:val="-2"/>
          <w:sz w:val="20"/>
          <w:szCs w:val="20"/>
        </w:rPr>
      </w:pPr>
    </w:p>
    <w:p w14:paraId="5A6FDE9C" w14:textId="77777777" w:rsidR="000A566E" w:rsidRPr="006271B7" w:rsidRDefault="000A566E" w:rsidP="000A566E">
      <w:pPr>
        <w:pStyle w:val="ListParagraph"/>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720"/>
        <w:jc w:val="both"/>
        <w:rPr>
          <w:spacing w:val="-2"/>
          <w:sz w:val="20"/>
          <w:szCs w:val="20"/>
        </w:rPr>
      </w:pPr>
      <w:r>
        <w:rPr>
          <w:spacing w:val="-2"/>
          <w:sz w:val="20"/>
          <w:szCs w:val="20"/>
        </w:rPr>
        <w:lastRenderedPageBreak/>
        <w:t xml:space="preserve">To adopt the necessary measures so that domestic law and relevant practice conform to clear criteria and ensure guarantees in the appointment, tenure and removal of prosecutors, pursuant to the criteria set forth in the instant report. </w:t>
      </w:r>
    </w:p>
    <w:p w14:paraId="10BBE7A2" w14:textId="77777777" w:rsidR="000A566E" w:rsidRPr="006271B7" w:rsidRDefault="000A566E" w:rsidP="000A566E">
      <w:pPr>
        <w:pStyle w:val="ListParagraph"/>
        <w:rPr>
          <w:spacing w:val="-2"/>
          <w:sz w:val="20"/>
          <w:szCs w:val="20"/>
        </w:rPr>
      </w:pPr>
    </w:p>
    <w:p w14:paraId="281C563C" w14:textId="77777777" w:rsidR="00D02D3C" w:rsidRPr="00D02D3C" w:rsidRDefault="00D02D3C" w:rsidP="00D02D3C">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sz w:val="20"/>
          <w:szCs w:val="20"/>
        </w:rPr>
      </w:pPr>
    </w:p>
    <w:p w14:paraId="674AC0F6" w14:textId="77777777" w:rsidR="00D02D3C" w:rsidRPr="006271B7" w:rsidRDefault="00D02D3C" w:rsidP="00D02D3C">
      <w:pPr>
        <w:tabs>
          <w:tab w:val="center" w:pos="5400"/>
        </w:tabs>
        <w:suppressAutoHyphens/>
        <w:spacing w:line="276" w:lineRule="auto"/>
        <w:rPr>
          <w:rFonts w:asciiTheme="majorHAnsi" w:hAnsiTheme="majorHAnsi"/>
          <w:sz w:val="20"/>
          <w:szCs w:val="20"/>
        </w:rPr>
      </w:pPr>
      <w:bookmarkStart w:id="84" w:name="_GoBack"/>
      <w:bookmarkEnd w:id="84"/>
    </w:p>
    <w:sectPr w:rsidR="00D02D3C" w:rsidRPr="006271B7" w:rsidSect="00105D7F">
      <w:headerReference w:type="even" r:id="rId17"/>
      <w:headerReference w:type="default" r:id="rId18"/>
      <w:footerReference w:type="default" r:id="rId19"/>
      <w:headerReference w:type="first" r:id="rId20"/>
      <w:footerReference w:type="first" r:id="rId21"/>
      <w:pgSz w:w="12240" w:h="15840"/>
      <w:pgMar w:top="1440" w:right="1440" w:bottom="1440" w:left="1980" w:header="720" w:footer="720"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425005" w14:textId="77777777" w:rsidR="00397E46" w:rsidRDefault="00397E46" w:rsidP="00036A8A">
      <w:r>
        <w:separator/>
      </w:r>
    </w:p>
  </w:endnote>
  <w:endnote w:type="continuationSeparator" w:id="0">
    <w:p w14:paraId="659FC731" w14:textId="77777777" w:rsidR="00397E46" w:rsidRDefault="00397E46"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Univers">
    <w:altName w:val="Arial"/>
    <w:panose1 w:val="020B0603020202030204"/>
    <w:charset w:val="00"/>
    <w:family w:val="swiss"/>
    <w:pitch w:val="variable"/>
    <w:sig w:usb0="00000007" w:usb1="00000000" w:usb2="00000000" w:usb3="00000000" w:csb0="00000093" w:csb1="00000000"/>
  </w:font>
  <w:font w:name="Universal">
    <w:altName w:val="Courier New"/>
    <w:charset w:val="00"/>
    <w:family w:val="auto"/>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3163477"/>
      <w:docPartObj>
        <w:docPartGallery w:val="Page Numbers (Bottom of Page)"/>
        <w:docPartUnique/>
      </w:docPartObj>
    </w:sdtPr>
    <w:sdtEndPr>
      <w:rPr>
        <w:noProof/>
        <w:sz w:val="16"/>
      </w:rPr>
    </w:sdtEndPr>
    <w:sdtContent>
      <w:p w14:paraId="278D8DAC" w14:textId="77777777" w:rsidR="00D02D3C" w:rsidRPr="006311DA" w:rsidRDefault="00D02D3C">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Pr>
            <w:noProof/>
            <w:sz w:val="16"/>
          </w:rPr>
          <w:t>1</w:t>
        </w:r>
        <w:r w:rsidRPr="006311DA">
          <w:rPr>
            <w:noProof/>
            <w:sz w:val="16"/>
          </w:rPr>
          <w:fldChar w:fldCharType="end"/>
        </w:r>
      </w:p>
    </w:sdtContent>
  </w:sdt>
  <w:p w14:paraId="7C80B847" w14:textId="77777777" w:rsidR="00D02D3C" w:rsidRDefault="00D02D3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120C57" w14:textId="77777777" w:rsidR="00D02D3C" w:rsidRDefault="00D02D3C">
    <w:pPr>
      <w:pStyle w:val="Footer"/>
      <w:jc w:val="center"/>
    </w:pPr>
  </w:p>
  <w:p w14:paraId="437008BF" w14:textId="77777777" w:rsidR="00D02D3C" w:rsidRDefault="00D02D3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5294112"/>
      <w:docPartObj>
        <w:docPartGallery w:val="Page Numbers (Bottom of Page)"/>
        <w:docPartUnique/>
      </w:docPartObj>
    </w:sdtPr>
    <w:sdtEndPr>
      <w:rPr>
        <w:noProof/>
        <w:sz w:val="16"/>
        <w:szCs w:val="22"/>
      </w:rPr>
    </w:sdtEndPr>
    <w:sdtContent>
      <w:p w14:paraId="70E592B4" w14:textId="77777777" w:rsidR="00D02D3C" w:rsidRPr="00934A2C" w:rsidRDefault="00D02D3C">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DE4AA5">
          <w:rPr>
            <w:noProof/>
            <w:sz w:val="16"/>
            <w:szCs w:val="22"/>
          </w:rPr>
          <w:t>17</w:t>
        </w:r>
        <w:r w:rsidRPr="00934A2C">
          <w:rPr>
            <w:noProof/>
            <w:sz w:val="16"/>
            <w:szCs w:val="22"/>
          </w:rPr>
          <w:fldChar w:fldCharType="end"/>
        </w:r>
      </w:p>
    </w:sdtContent>
  </w:sdt>
  <w:p w14:paraId="3239EC5E" w14:textId="77777777" w:rsidR="00D02D3C" w:rsidRDefault="00D02D3C">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D0BB18" w14:textId="77777777" w:rsidR="00D02D3C" w:rsidRPr="00934A2C" w:rsidRDefault="00D02D3C">
    <w:pPr>
      <w:pStyle w:val="Footer"/>
      <w:jc w:val="center"/>
      <w:rPr>
        <w:sz w:val="16"/>
        <w:szCs w:val="22"/>
      </w:rPr>
    </w:pPr>
  </w:p>
  <w:p w14:paraId="71A67530" w14:textId="77777777" w:rsidR="00D02D3C" w:rsidRDefault="00D02D3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06EC21" w14:textId="77777777" w:rsidR="00397E46" w:rsidRPr="00036A8A" w:rsidRDefault="00397E46"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14:paraId="1C1553DE" w14:textId="77777777" w:rsidR="00397E46" w:rsidRPr="00036A8A" w:rsidRDefault="00397E46" w:rsidP="00036A8A">
      <w:pPr>
        <w:rPr>
          <w:rFonts w:asciiTheme="majorHAnsi" w:hAnsiTheme="majorHAnsi"/>
          <w:sz w:val="16"/>
          <w:szCs w:val="16"/>
        </w:rPr>
      </w:pPr>
      <w:r w:rsidRPr="00036A8A">
        <w:rPr>
          <w:rFonts w:asciiTheme="majorHAnsi" w:hAnsiTheme="majorHAnsi"/>
          <w:sz w:val="16"/>
          <w:szCs w:val="16"/>
        </w:rPr>
        <w:separator/>
      </w:r>
    </w:p>
    <w:p w14:paraId="793F38BF" w14:textId="77777777" w:rsidR="00397E46" w:rsidRPr="00036A8A" w:rsidRDefault="00397E46"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r>
        <w:rPr>
          <w:rFonts w:asciiTheme="majorHAnsi" w:hAnsiTheme="majorHAnsi"/>
          <w:sz w:val="16"/>
          <w:szCs w:val="16"/>
        </w:rPr>
        <w:t>c</w:t>
      </w:r>
      <w:r w:rsidRPr="00036A8A">
        <w:rPr>
          <w:rFonts w:asciiTheme="majorHAnsi" w:hAnsiTheme="majorHAnsi"/>
          <w:sz w:val="16"/>
          <w:szCs w:val="16"/>
        </w:rPr>
        <w:t>ontinuation</w:t>
      </w:r>
      <w:r>
        <w:rPr>
          <w:rFonts w:asciiTheme="majorHAnsi" w:hAnsiTheme="majorHAnsi"/>
          <w:sz w:val="16"/>
          <w:szCs w:val="16"/>
        </w:rPr>
        <w:t>]</w:t>
      </w:r>
    </w:p>
  </w:footnote>
  <w:footnote w:type="continuationNotice" w:id="1">
    <w:p w14:paraId="4D50139B" w14:textId="77777777" w:rsidR="00397E46" w:rsidRPr="0093441A" w:rsidRDefault="00397E46" w:rsidP="005B222D">
      <w:pPr>
        <w:jc w:val="right"/>
        <w:rPr>
          <w:rFonts w:asciiTheme="majorHAnsi" w:hAnsiTheme="majorHAnsi"/>
          <w:sz w:val="16"/>
          <w:szCs w:val="16"/>
          <w:lang w:val="es-ES_tradnl"/>
        </w:rPr>
      </w:pPr>
      <w:r>
        <w:rPr>
          <w:rFonts w:asciiTheme="majorHAnsi" w:hAnsiTheme="majorHAnsi"/>
          <w:sz w:val="16"/>
          <w:szCs w:val="16"/>
        </w:rPr>
        <w:t>[</w:t>
      </w:r>
      <w:r w:rsidRPr="0093441A">
        <w:rPr>
          <w:rFonts w:asciiTheme="majorHAnsi" w:hAnsiTheme="majorHAnsi"/>
          <w:sz w:val="16"/>
          <w:szCs w:val="16"/>
        </w:rPr>
        <w:t>contin</w:t>
      </w:r>
      <w:r>
        <w:rPr>
          <w:rFonts w:asciiTheme="majorHAnsi" w:hAnsiTheme="majorHAnsi"/>
          <w:sz w:val="16"/>
          <w:szCs w:val="16"/>
        </w:rPr>
        <w:t xml:space="preserve">ues </w:t>
      </w:r>
      <w:r w:rsidRPr="0093441A">
        <w:rPr>
          <w:rFonts w:asciiTheme="majorHAnsi" w:hAnsiTheme="majorHAnsi"/>
          <w:sz w:val="16"/>
          <w:szCs w:val="16"/>
        </w:rPr>
        <w:t>…</w:t>
      </w:r>
      <w:r>
        <w:rPr>
          <w:rFonts w:asciiTheme="majorHAnsi" w:hAnsiTheme="majorHAnsi"/>
          <w:sz w:val="16"/>
          <w:szCs w:val="16"/>
        </w:rPr>
        <w:t>]</w:t>
      </w:r>
    </w:p>
  </w:footnote>
  <w:footnote w:id="2">
    <w:p w14:paraId="427D985B" w14:textId="77777777" w:rsidR="00D02D3C" w:rsidRPr="00875A0D" w:rsidRDefault="00D02D3C" w:rsidP="00D02D3C">
      <w:pPr>
        <w:pStyle w:val="FootnoteText"/>
        <w:spacing w:after="120"/>
        <w:jc w:val="both"/>
        <w:rPr>
          <w:rFonts w:asciiTheme="majorHAnsi" w:hAnsiTheme="majorHAnsi"/>
          <w:sz w:val="16"/>
          <w:szCs w:val="16"/>
        </w:rPr>
      </w:pPr>
      <w:r w:rsidRPr="00875A0D">
        <w:rPr>
          <w:rStyle w:val="FootnoteReference"/>
          <w:rFonts w:asciiTheme="majorHAnsi" w:hAnsiTheme="majorHAnsi"/>
          <w:sz w:val="16"/>
          <w:szCs w:val="16"/>
        </w:rPr>
        <w:footnoteRef/>
      </w:r>
      <w:r w:rsidRPr="00875A0D">
        <w:rPr>
          <w:rFonts w:asciiTheme="majorHAnsi" w:hAnsiTheme="majorHAnsi"/>
          <w:sz w:val="16"/>
          <w:szCs w:val="16"/>
        </w:rPr>
        <w:t xml:space="preserve"> </w:t>
      </w:r>
      <w:r>
        <w:rPr>
          <w:rFonts w:asciiTheme="majorHAnsi" w:hAnsiTheme="majorHAnsi"/>
          <w:sz w:val="16"/>
          <w:szCs w:val="16"/>
        </w:rPr>
        <w:t xml:space="preserve">In keeping with Article </w:t>
      </w:r>
      <w:r w:rsidRPr="00875A0D">
        <w:rPr>
          <w:rFonts w:asciiTheme="majorHAnsi" w:hAnsiTheme="majorHAnsi"/>
          <w:sz w:val="16"/>
          <w:szCs w:val="16"/>
        </w:rPr>
        <w:t>17</w:t>
      </w:r>
      <w:r>
        <w:rPr>
          <w:rFonts w:asciiTheme="majorHAnsi" w:hAnsiTheme="majorHAnsi"/>
          <w:sz w:val="16"/>
          <w:szCs w:val="16"/>
        </w:rPr>
        <w:t>(</w:t>
      </w:r>
      <w:r w:rsidRPr="00875A0D">
        <w:rPr>
          <w:rFonts w:asciiTheme="majorHAnsi" w:hAnsiTheme="majorHAnsi"/>
          <w:sz w:val="16"/>
          <w:szCs w:val="16"/>
        </w:rPr>
        <w:t>2</w:t>
      </w:r>
      <w:r>
        <w:rPr>
          <w:rFonts w:asciiTheme="majorHAnsi" w:hAnsiTheme="majorHAnsi"/>
          <w:sz w:val="16"/>
          <w:szCs w:val="16"/>
        </w:rPr>
        <w:t xml:space="preserve">) of the Commission’s Rules of Procedure, Commissioner </w:t>
      </w:r>
      <w:r w:rsidRPr="00875A0D">
        <w:rPr>
          <w:rFonts w:asciiTheme="majorHAnsi" w:hAnsiTheme="majorHAnsi"/>
          <w:sz w:val="16"/>
          <w:szCs w:val="16"/>
        </w:rPr>
        <w:t xml:space="preserve">Luis Ernesto Vargas Silva, </w:t>
      </w:r>
      <w:r>
        <w:rPr>
          <w:rFonts w:asciiTheme="majorHAnsi" w:hAnsiTheme="majorHAnsi"/>
          <w:sz w:val="16"/>
          <w:szCs w:val="16"/>
        </w:rPr>
        <w:t xml:space="preserve">of Colombian nationality, did not participate in the deliberations bate or decision on the instant case. </w:t>
      </w:r>
    </w:p>
  </w:footnote>
  <w:footnote w:id="3">
    <w:p w14:paraId="6E1C4C38" w14:textId="77777777" w:rsidR="00D02D3C" w:rsidRPr="00875A0D" w:rsidRDefault="00D02D3C" w:rsidP="00D02D3C">
      <w:pPr>
        <w:pStyle w:val="FootnoteText"/>
        <w:spacing w:after="120"/>
        <w:jc w:val="both"/>
        <w:rPr>
          <w:rFonts w:asciiTheme="majorHAnsi" w:hAnsiTheme="majorHAnsi"/>
          <w:color w:val="auto"/>
          <w:sz w:val="16"/>
          <w:szCs w:val="16"/>
        </w:rPr>
      </w:pPr>
      <w:r w:rsidRPr="00875A0D">
        <w:rPr>
          <w:rStyle w:val="FootnoteReference"/>
          <w:rFonts w:asciiTheme="majorHAnsi" w:hAnsiTheme="majorHAnsi"/>
          <w:sz w:val="16"/>
          <w:szCs w:val="16"/>
        </w:rPr>
        <w:footnoteRef/>
      </w:r>
      <w:r w:rsidRPr="00875A0D">
        <w:rPr>
          <w:rFonts w:asciiTheme="majorHAnsi" w:hAnsiTheme="majorHAnsi"/>
          <w:sz w:val="16"/>
          <w:szCs w:val="16"/>
        </w:rPr>
        <w:t xml:space="preserve"> </w:t>
      </w:r>
      <w:proofErr w:type="gramStart"/>
      <w:r>
        <w:rPr>
          <w:rFonts w:asciiTheme="majorHAnsi" w:hAnsiTheme="majorHAnsi"/>
          <w:color w:val="auto"/>
          <w:sz w:val="16"/>
          <w:szCs w:val="16"/>
        </w:rPr>
        <w:t>IACHR</w:t>
      </w:r>
      <w:r w:rsidRPr="00875A0D">
        <w:rPr>
          <w:rFonts w:asciiTheme="majorHAnsi" w:hAnsiTheme="majorHAnsi"/>
          <w:color w:val="auto"/>
          <w:sz w:val="16"/>
          <w:szCs w:val="16"/>
        </w:rPr>
        <w:t>.</w:t>
      </w:r>
      <w:proofErr w:type="gramEnd"/>
      <w:r w:rsidRPr="00875A0D">
        <w:rPr>
          <w:rFonts w:asciiTheme="majorHAnsi" w:hAnsiTheme="majorHAnsi"/>
          <w:color w:val="auto"/>
          <w:sz w:val="16"/>
          <w:szCs w:val="16"/>
        </w:rPr>
        <w:t xml:space="preserve"> </w:t>
      </w:r>
      <w:r>
        <w:rPr>
          <w:rFonts w:asciiTheme="majorHAnsi" w:hAnsiTheme="majorHAnsi"/>
          <w:color w:val="auto"/>
          <w:sz w:val="16"/>
          <w:szCs w:val="16"/>
        </w:rPr>
        <w:t>Report No.</w:t>
      </w:r>
      <w:r w:rsidRPr="00875A0D">
        <w:rPr>
          <w:rFonts w:asciiTheme="majorHAnsi" w:hAnsiTheme="majorHAnsi"/>
          <w:color w:val="auto"/>
          <w:sz w:val="16"/>
          <w:szCs w:val="16"/>
        </w:rPr>
        <w:t xml:space="preserve"> 62/12. </w:t>
      </w:r>
      <w:proofErr w:type="gramStart"/>
      <w:r>
        <w:rPr>
          <w:rFonts w:asciiTheme="majorHAnsi" w:hAnsiTheme="majorHAnsi"/>
          <w:color w:val="auto"/>
          <w:sz w:val="16"/>
          <w:szCs w:val="16"/>
        </w:rPr>
        <w:t>Petition</w:t>
      </w:r>
      <w:r w:rsidRPr="00875A0D">
        <w:rPr>
          <w:rFonts w:asciiTheme="majorHAnsi" w:hAnsiTheme="majorHAnsi"/>
          <w:color w:val="auto"/>
          <w:sz w:val="16"/>
          <w:szCs w:val="16"/>
        </w:rPr>
        <w:t xml:space="preserve"> 1471-05.</w:t>
      </w:r>
      <w:proofErr w:type="gramEnd"/>
      <w:r w:rsidRPr="00875A0D">
        <w:rPr>
          <w:rFonts w:asciiTheme="majorHAnsi" w:hAnsiTheme="majorHAnsi"/>
          <w:color w:val="auto"/>
          <w:sz w:val="16"/>
          <w:szCs w:val="16"/>
        </w:rPr>
        <w:t xml:space="preserve"> </w:t>
      </w:r>
      <w:proofErr w:type="spellStart"/>
      <w:r w:rsidRPr="00875A0D">
        <w:rPr>
          <w:rFonts w:asciiTheme="majorHAnsi" w:hAnsiTheme="majorHAnsi"/>
          <w:color w:val="auto"/>
          <w:sz w:val="16"/>
          <w:szCs w:val="16"/>
        </w:rPr>
        <w:t>Yenina</w:t>
      </w:r>
      <w:proofErr w:type="spellEnd"/>
      <w:r w:rsidRPr="00875A0D">
        <w:rPr>
          <w:rFonts w:asciiTheme="majorHAnsi" w:hAnsiTheme="majorHAnsi"/>
          <w:color w:val="auto"/>
          <w:sz w:val="16"/>
          <w:szCs w:val="16"/>
        </w:rPr>
        <w:t xml:space="preserve"> Esther </w:t>
      </w:r>
      <w:proofErr w:type="spellStart"/>
      <w:r w:rsidRPr="00875A0D">
        <w:rPr>
          <w:rFonts w:asciiTheme="majorHAnsi" w:hAnsiTheme="majorHAnsi"/>
          <w:color w:val="auto"/>
          <w:sz w:val="16"/>
          <w:szCs w:val="16"/>
        </w:rPr>
        <w:t>Martínez</w:t>
      </w:r>
      <w:proofErr w:type="spellEnd"/>
      <w:r w:rsidRPr="00875A0D">
        <w:rPr>
          <w:rFonts w:asciiTheme="majorHAnsi" w:hAnsiTheme="majorHAnsi"/>
          <w:color w:val="auto"/>
          <w:sz w:val="16"/>
          <w:szCs w:val="16"/>
        </w:rPr>
        <w:t xml:space="preserve"> </w:t>
      </w:r>
      <w:proofErr w:type="spellStart"/>
      <w:r w:rsidRPr="00875A0D">
        <w:rPr>
          <w:rFonts w:asciiTheme="majorHAnsi" w:hAnsiTheme="majorHAnsi"/>
          <w:color w:val="auto"/>
          <w:sz w:val="16"/>
          <w:szCs w:val="16"/>
        </w:rPr>
        <w:t>Esquivia</w:t>
      </w:r>
      <w:proofErr w:type="spellEnd"/>
      <w:r w:rsidRPr="00875A0D">
        <w:rPr>
          <w:rFonts w:asciiTheme="majorHAnsi" w:hAnsiTheme="majorHAnsi"/>
          <w:color w:val="auto"/>
          <w:sz w:val="16"/>
          <w:szCs w:val="16"/>
        </w:rPr>
        <w:t xml:space="preserve">. Colombia. </w:t>
      </w:r>
      <w:r>
        <w:rPr>
          <w:rFonts w:asciiTheme="majorHAnsi" w:hAnsiTheme="majorHAnsi"/>
          <w:color w:val="auto"/>
          <w:sz w:val="16"/>
          <w:szCs w:val="16"/>
        </w:rPr>
        <w:t xml:space="preserve">March </w:t>
      </w:r>
      <w:r w:rsidRPr="00875A0D">
        <w:rPr>
          <w:rFonts w:asciiTheme="majorHAnsi" w:hAnsiTheme="majorHAnsi"/>
          <w:color w:val="auto"/>
          <w:sz w:val="16"/>
          <w:szCs w:val="16"/>
        </w:rPr>
        <w:t>20</w:t>
      </w:r>
      <w:r>
        <w:rPr>
          <w:rFonts w:asciiTheme="majorHAnsi" w:hAnsiTheme="majorHAnsi"/>
          <w:color w:val="auto"/>
          <w:sz w:val="16"/>
          <w:szCs w:val="16"/>
        </w:rPr>
        <w:t>,</w:t>
      </w:r>
      <w:r w:rsidRPr="00875A0D">
        <w:rPr>
          <w:rFonts w:asciiTheme="majorHAnsi" w:hAnsiTheme="majorHAnsi"/>
          <w:color w:val="auto"/>
          <w:sz w:val="16"/>
          <w:szCs w:val="16"/>
        </w:rPr>
        <w:t xml:space="preserve"> 2012.  </w:t>
      </w:r>
      <w:r>
        <w:rPr>
          <w:rFonts w:asciiTheme="majorHAnsi" w:hAnsiTheme="majorHAnsi"/>
          <w:color w:val="auto"/>
          <w:sz w:val="16"/>
          <w:szCs w:val="16"/>
        </w:rPr>
        <w:t>In that report, the IACHR</w:t>
      </w:r>
      <w:r w:rsidRPr="00875A0D">
        <w:rPr>
          <w:rFonts w:asciiTheme="majorHAnsi" w:hAnsiTheme="majorHAnsi"/>
          <w:color w:val="auto"/>
          <w:sz w:val="16"/>
          <w:szCs w:val="16"/>
        </w:rPr>
        <w:t xml:space="preserve"> </w:t>
      </w:r>
      <w:r>
        <w:rPr>
          <w:rFonts w:asciiTheme="majorHAnsi" w:hAnsiTheme="majorHAnsi"/>
          <w:color w:val="auto"/>
          <w:sz w:val="16"/>
          <w:szCs w:val="16"/>
        </w:rPr>
        <w:t xml:space="preserve">found admissible the claims related to Articles </w:t>
      </w:r>
      <w:r w:rsidRPr="00875A0D">
        <w:rPr>
          <w:rFonts w:asciiTheme="majorHAnsi" w:hAnsiTheme="majorHAnsi"/>
          <w:color w:val="auto"/>
          <w:sz w:val="16"/>
          <w:szCs w:val="16"/>
        </w:rPr>
        <w:t xml:space="preserve">8 </w:t>
      </w:r>
      <w:r>
        <w:rPr>
          <w:rFonts w:asciiTheme="majorHAnsi" w:hAnsiTheme="majorHAnsi"/>
          <w:color w:val="auto"/>
          <w:sz w:val="16"/>
          <w:szCs w:val="16"/>
        </w:rPr>
        <w:t xml:space="preserve">and </w:t>
      </w:r>
      <w:r w:rsidRPr="00875A0D">
        <w:rPr>
          <w:rFonts w:asciiTheme="majorHAnsi" w:hAnsiTheme="majorHAnsi"/>
          <w:color w:val="auto"/>
          <w:sz w:val="16"/>
          <w:szCs w:val="16"/>
        </w:rPr>
        <w:t xml:space="preserve">25 </w:t>
      </w:r>
      <w:r>
        <w:rPr>
          <w:rFonts w:asciiTheme="majorHAnsi" w:hAnsiTheme="majorHAnsi"/>
          <w:color w:val="auto"/>
          <w:sz w:val="16"/>
          <w:szCs w:val="16"/>
        </w:rPr>
        <w:t xml:space="preserve">in relation to Article </w:t>
      </w:r>
      <w:r w:rsidRPr="00875A0D">
        <w:rPr>
          <w:rFonts w:asciiTheme="majorHAnsi" w:hAnsiTheme="majorHAnsi"/>
          <w:color w:val="auto"/>
          <w:sz w:val="16"/>
          <w:szCs w:val="16"/>
        </w:rPr>
        <w:t>1</w:t>
      </w:r>
      <w:r>
        <w:rPr>
          <w:rFonts w:asciiTheme="majorHAnsi" w:hAnsiTheme="majorHAnsi"/>
          <w:color w:val="auto"/>
          <w:sz w:val="16"/>
          <w:szCs w:val="16"/>
        </w:rPr>
        <w:t>(</w:t>
      </w:r>
      <w:r w:rsidRPr="00875A0D">
        <w:rPr>
          <w:rFonts w:asciiTheme="majorHAnsi" w:hAnsiTheme="majorHAnsi"/>
          <w:color w:val="auto"/>
          <w:sz w:val="16"/>
          <w:szCs w:val="16"/>
        </w:rPr>
        <w:t>1</w:t>
      </w:r>
      <w:r>
        <w:rPr>
          <w:rFonts w:asciiTheme="majorHAnsi" w:hAnsiTheme="majorHAnsi"/>
          <w:color w:val="auto"/>
          <w:sz w:val="16"/>
          <w:szCs w:val="16"/>
        </w:rPr>
        <w:t xml:space="preserve">) of the American Convention, and found inadmissible the claims related to Articles </w:t>
      </w:r>
      <w:r w:rsidRPr="00875A0D">
        <w:rPr>
          <w:rFonts w:asciiTheme="majorHAnsi" w:hAnsiTheme="majorHAnsi"/>
          <w:color w:val="auto"/>
          <w:sz w:val="16"/>
          <w:szCs w:val="16"/>
        </w:rPr>
        <w:t>19, 24</w:t>
      </w:r>
      <w:r>
        <w:rPr>
          <w:rFonts w:asciiTheme="majorHAnsi" w:hAnsiTheme="majorHAnsi"/>
          <w:color w:val="auto"/>
          <w:sz w:val="16"/>
          <w:szCs w:val="16"/>
        </w:rPr>
        <w:t xml:space="preserve">, and </w:t>
      </w:r>
      <w:r w:rsidRPr="00875A0D">
        <w:rPr>
          <w:rFonts w:asciiTheme="majorHAnsi" w:hAnsiTheme="majorHAnsi"/>
          <w:color w:val="auto"/>
          <w:sz w:val="16"/>
          <w:szCs w:val="16"/>
        </w:rPr>
        <w:t xml:space="preserve">26 </w:t>
      </w:r>
      <w:r>
        <w:rPr>
          <w:rFonts w:asciiTheme="majorHAnsi" w:hAnsiTheme="majorHAnsi"/>
          <w:color w:val="auto"/>
          <w:sz w:val="16"/>
          <w:szCs w:val="16"/>
        </w:rPr>
        <w:t>of the same instrument</w:t>
      </w:r>
      <w:r w:rsidRPr="00875A0D">
        <w:rPr>
          <w:rFonts w:asciiTheme="majorHAnsi" w:hAnsiTheme="majorHAnsi"/>
          <w:color w:val="auto"/>
          <w:sz w:val="16"/>
          <w:szCs w:val="16"/>
        </w:rPr>
        <w:t xml:space="preserve">. </w:t>
      </w:r>
    </w:p>
    <w:p w14:paraId="4EA4E2E0" w14:textId="77777777" w:rsidR="00D02D3C" w:rsidRPr="00875A0D" w:rsidRDefault="00D02D3C" w:rsidP="00D02D3C">
      <w:pPr>
        <w:pStyle w:val="FootnoteText"/>
        <w:spacing w:after="120"/>
        <w:jc w:val="both"/>
        <w:rPr>
          <w:rFonts w:asciiTheme="majorHAnsi" w:hAnsiTheme="majorHAnsi"/>
          <w:sz w:val="16"/>
          <w:szCs w:val="16"/>
        </w:rPr>
      </w:pPr>
    </w:p>
  </w:footnote>
  <w:footnote w:id="4">
    <w:p w14:paraId="26A07FD2" w14:textId="0FB4E531" w:rsidR="00D02D3C" w:rsidRPr="00875A0D" w:rsidRDefault="00D02D3C" w:rsidP="00D02D3C">
      <w:pPr>
        <w:pStyle w:val="FootnoteText"/>
        <w:rPr>
          <w:rFonts w:asciiTheme="majorHAnsi" w:hAnsiTheme="majorHAnsi"/>
          <w:sz w:val="16"/>
          <w:szCs w:val="16"/>
        </w:rPr>
      </w:pPr>
      <w:r w:rsidRPr="00875A0D">
        <w:rPr>
          <w:rStyle w:val="FootnoteReference"/>
          <w:rFonts w:asciiTheme="majorHAnsi" w:hAnsiTheme="majorHAnsi"/>
          <w:sz w:val="16"/>
          <w:szCs w:val="16"/>
        </w:rPr>
        <w:footnoteRef/>
      </w:r>
      <w:r w:rsidRPr="00875A0D">
        <w:rPr>
          <w:rFonts w:asciiTheme="majorHAnsi" w:hAnsiTheme="majorHAnsi"/>
          <w:sz w:val="16"/>
          <w:szCs w:val="16"/>
        </w:rPr>
        <w:t xml:space="preserve"> </w:t>
      </w:r>
      <w:r w:rsidR="002F2DAC">
        <w:rPr>
          <w:rFonts w:asciiTheme="majorHAnsi" w:hAnsiTheme="majorHAnsi"/>
          <w:sz w:val="16"/>
          <w:szCs w:val="16"/>
        </w:rPr>
        <w:t>Annex 1</w:t>
      </w:r>
      <w:r w:rsidRPr="00875A0D">
        <w:rPr>
          <w:rFonts w:asciiTheme="majorHAnsi" w:hAnsiTheme="majorHAnsi"/>
          <w:sz w:val="16"/>
          <w:szCs w:val="16"/>
        </w:rPr>
        <w:t xml:space="preserve">.  </w:t>
      </w:r>
      <w:proofErr w:type="gramStart"/>
      <w:r w:rsidRPr="00875A0D">
        <w:rPr>
          <w:rFonts w:asciiTheme="majorHAnsi" w:hAnsiTheme="majorHAnsi"/>
          <w:sz w:val="16"/>
          <w:szCs w:val="16"/>
        </w:rPr>
        <w:t>Cop</w:t>
      </w:r>
      <w:r>
        <w:rPr>
          <w:rFonts w:asciiTheme="majorHAnsi" w:hAnsiTheme="majorHAnsi"/>
          <w:sz w:val="16"/>
          <w:szCs w:val="16"/>
        </w:rPr>
        <w:t xml:space="preserve">y of the act of assuming office of March </w:t>
      </w:r>
      <w:r w:rsidRPr="00875A0D">
        <w:rPr>
          <w:rFonts w:asciiTheme="majorHAnsi" w:hAnsiTheme="majorHAnsi"/>
          <w:sz w:val="16"/>
          <w:szCs w:val="16"/>
        </w:rPr>
        <w:t>16</w:t>
      </w:r>
      <w:r>
        <w:rPr>
          <w:rFonts w:asciiTheme="majorHAnsi" w:hAnsiTheme="majorHAnsi"/>
          <w:sz w:val="16"/>
          <w:szCs w:val="16"/>
        </w:rPr>
        <w:t>,</w:t>
      </w:r>
      <w:r w:rsidRPr="00875A0D">
        <w:rPr>
          <w:rFonts w:asciiTheme="majorHAnsi" w:hAnsiTheme="majorHAnsi"/>
          <w:sz w:val="16"/>
          <w:szCs w:val="16"/>
        </w:rPr>
        <w:t xml:space="preserve"> 1992.</w:t>
      </w:r>
      <w:proofErr w:type="gramEnd"/>
      <w:r w:rsidRPr="00875A0D">
        <w:rPr>
          <w:rFonts w:asciiTheme="majorHAnsi" w:hAnsiTheme="majorHAnsi"/>
          <w:sz w:val="16"/>
          <w:szCs w:val="16"/>
        </w:rPr>
        <w:t xml:space="preserve"> </w:t>
      </w:r>
      <w:r>
        <w:rPr>
          <w:rFonts w:asciiTheme="majorHAnsi" w:hAnsiTheme="majorHAnsi"/>
          <w:sz w:val="16"/>
          <w:szCs w:val="16"/>
        </w:rPr>
        <w:t>Annex to the initial petition of December 22, 2005.</w:t>
      </w:r>
    </w:p>
  </w:footnote>
  <w:footnote w:id="5">
    <w:p w14:paraId="765469F6" w14:textId="4499D19A" w:rsidR="00D02D3C" w:rsidRPr="00875A0D" w:rsidRDefault="00D02D3C" w:rsidP="00D02D3C">
      <w:pPr>
        <w:pStyle w:val="FootnoteText"/>
        <w:rPr>
          <w:rFonts w:asciiTheme="majorHAnsi" w:hAnsiTheme="majorHAnsi"/>
          <w:sz w:val="16"/>
          <w:szCs w:val="16"/>
        </w:rPr>
      </w:pPr>
      <w:r w:rsidRPr="00875A0D">
        <w:rPr>
          <w:rStyle w:val="FootnoteReference"/>
          <w:rFonts w:asciiTheme="majorHAnsi" w:hAnsiTheme="majorHAnsi"/>
          <w:sz w:val="16"/>
          <w:szCs w:val="16"/>
        </w:rPr>
        <w:footnoteRef/>
      </w:r>
      <w:r w:rsidRPr="00875A0D">
        <w:rPr>
          <w:rFonts w:asciiTheme="majorHAnsi" w:hAnsiTheme="majorHAnsi"/>
          <w:sz w:val="16"/>
          <w:szCs w:val="16"/>
        </w:rPr>
        <w:t xml:space="preserve"> </w:t>
      </w:r>
      <w:r w:rsidR="002F2DAC">
        <w:rPr>
          <w:rFonts w:asciiTheme="majorHAnsi" w:hAnsiTheme="majorHAnsi"/>
          <w:sz w:val="16"/>
          <w:szCs w:val="16"/>
        </w:rPr>
        <w:t>Annex 2</w:t>
      </w:r>
      <w:r w:rsidRPr="00875A0D">
        <w:rPr>
          <w:rFonts w:asciiTheme="majorHAnsi" w:hAnsiTheme="majorHAnsi"/>
          <w:sz w:val="16"/>
          <w:szCs w:val="16"/>
        </w:rPr>
        <w:t xml:space="preserve">.  </w:t>
      </w:r>
      <w:r>
        <w:rPr>
          <w:rFonts w:asciiTheme="majorHAnsi" w:hAnsiTheme="majorHAnsi"/>
          <w:sz w:val="16"/>
          <w:szCs w:val="16"/>
        </w:rPr>
        <w:t>Resolution</w:t>
      </w:r>
      <w:r w:rsidRPr="00875A0D">
        <w:rPr>
          <w:rFonts w:asciiTheme="majorHAnsi" w:hAnsiTheme="majorHAnsi"/>
          <w:sz w:val="16"/>
          <w:szCs w:val="16"/>
        </w:rPr>
        <w:t xml:space="preserve"> 000004 </w:t>
      </w:r>
      <w:r>
        <w:rPr>
          <w:rFonts w:asciiTheme="majorHAnsi" w:hAnsiTheme="majorHAnsi"/>
          <w:sz w:val="16"/>
          <w:szCs w:val="16"/>
        </w:rPr>
        <w:t xml:space="preserve">of the Sectional </w:t>
      </w:r>
      <w:r w:rsidRPr="00875A0D">
        <w:rPr>
          <w:rFonts w:asciiTheme="majorHAnsi" w:hAnsiTheme="majorHAnsi"/>
          <w:sz w:val="16"/>
          <w:szCs w:val="16"/>
        </w:rPr>
        <w:t xml:space="preserve">Director </w:t>
      </w:r>
      <w:r>
        <w:rPr>
          <w:rFonts w:asciiTheme="majorHAnsi" w:hAnsiTheme="majorHAnsi"/>
          <w:sz w:val="16"/>
          <w:szCs w:val="16"/>
        </w:rPr>
        <w:t xml:space="preserve">of Prosecutors, July </w:t>
      </w:r>
      <w:r w:rsidRPr="00875A0D">
        <w:rPr>
          <w:rFonts w:asciiTheme="majorHAnsi" w:hAnsiTheme="majorHAnsi"/>
          <w:sz w:val="16"/>
          <w:szCs w:val="16"/>
        </w:rPr>
        <w:t>1</w:t>
      </w:r>
      <w:r>
        <w:rPr>
          <w:rFonts w:asciiTheme="majorHAnsi" w:hAnsiTheme="majorHAnsi"/>
          <w:sz w:val="16"/>
          <w:szCs w:val="16"/>
        </w:rPr>
        <w:t>,</w:t>
      </w:r>
      <w:r w:rsidRPr="00875A0D">
        <w:rPr>
          <w:rFonts w:asciiTheme="majorHAnsi" w:hAnsiTheme="majorHAnsi"/>
          <w:sz w:val="16"/>
          <w:szCs w:val="16"/>
        </w:rPr>
        <w:t xml:space="preserve"> 1992. </w:t>
      </w:r>
      <w:r>
        <w:rPr>
          <w:rFonts w:asciiTheme="majorHAnsi" w:hAnsiTheme="majorHAnsi"/>
          <w:sz w:val="16"/>
          <w:szCs w:val="16"/>
        </w:rPr>
        <w:t>Annex to the initial petition of December 22, 2005.</w:t>
      </w:r>
    </w:p>
  </w:footnote>
  <w:footnote w:id="6">
    <w:p w14:paraId="1F71F7EF" w14:textId="17B396F4" w:rsidR="00D02D3C" w:rsidRPr="00875A0D" w:rsidRDefault="00D02D3C" w:rsidP="00D02D3C">
      <w:pPr>
        <w:pStyle w:val="FootnoteText"/>
        <w:rPr>
          <w:rFonts w:asciiTheme="majorHAnsi" w:hAnsiTheme="majorHAnsi"/>
          <w:sz w:val="16"/>
          <w:szCs w:val="16"/>
        </w:rPr>
      </w:pPr>
      <w:r w:rsidRPr="00875A0D">
        <w:rPr>
          <w:rStyle w:val="FootnoteReference"/>
          <w:rFonts w:asciiTheme="majorHAnsi" w:hAnsiTheme="majorHAnsi"/>
          <w:sz w:val="16"/>
          <w:szCs w:val="16"/>
        </w:rPr>
        <w:footnoteRef/>
      </w:r>
      <w:r w:rsidRPr="00875A0D">
        <w:rPr>
          <w:rFonts w:asciiTheme="majorHAnsi" w:hAnsiTheme="majorHAnsi"/>
          <w:sz w:val="16"/>
          <w:szCs w:val="16"/>
        </w:rPr>
        <w:t xml:space="preserve"> </w:t>
      </w:r>
      <w:r w:rsidR="002F2DAC">
        <w:rPr>
          <w:rFonts w:asciiTheme="majorHAnsi" w:hAnsiTheme="majorHAnsi"/>
          <w:sz w:val="16"/>
          <w:szCs w:val="16"/>
        </w:rPr>
        <w:t>Annex 3</w:t>
      </w:r>
      <w:r w:rsidRPr="00875A0D">
        <w:rPr>
          <w:rFonts w:asciiTheme="majorHAnsi" w:hAnsiTheme="majorHAnsi"/>
          <w:sz w:val="16"/>
          <w:szCs w:val="16"/>
        </w:rPr>
        <w:t xml:space="preserve">. </w:t>
      </w:r>
      <w:r>
        <w:rPr>
          <w:rFonts w:asciiTheme="majorHAnsi" w:hAnsiTheme="majorHAnsi"/>
          <w:sz w:val="16"/>
          <w:szCs w:val="16"/>
        </w:rPr>
        <w:t>Resolution</w:t>
      </w:r>
      <w:r w:rsidRPr="00875A0D">
        <w:rPr>
          <w:rFonts w:asciiTheme="majorHAnsi" w:hAnsiTheme="majorHAnsi"/>
          <w:sz w:val="16"/>
          <w:szCs w:val="16"/>
        </w:rPr>
        <w:t xml:space="preserve"> 000158 </w:t>
      </w:r>
      <w:r>
        <w:rPr>
          <w:rFonts w:asciiTheme="majorHAnsi" w:hAnsiTheme="majorHAnsi"/>
          <w:sz w:val="16"/>
          <w:szCs w:val="16"/>
        </w:rPr>
        <w:t xml:space="preserve">of the Sectional Bureau of Prosecutors, September </w:t>
      </w:r>
      <w:r w:rsidRPr="00875A0D">
        <w:rPr>
          <w:rFonts w:asciiTheme="majorHAnsi" w:hAnsiTheme="majorHAnsi"/>
          <w:sz w:val="16"/>
          <w:szCs w:val="16"/>
        </w:rPr>
        <w:t>28</w:t>
      </w:r>
      <w:r>
        <w:rPr>
          <w:rFonts w:asciiTheme="majorHAnsi" w:hAnsiTheme="majorHAnsi"/>
          <w:sz w:val="16"/>
          <w:szCs w:val="16"/>
        </w:rPr>
        <w:t>,</w:t>
      </w:r>
      <w:r w:rsidRPr="00875A0D">
        <w:rPr>
          <w:rFonts w:asciiTheme="majorHAnsi" w:hAnsiTheme="majorHAnsi"/>
          <w:sz w:val="16"/>
          <w:szCs w:val="16"/>
        </w:rPr>
        <w:t xml:space="preserve"> 1992.</w:t>
      </w:r>
      <w:r>
        <w:rPr>
          <w:rFonts w:asciiTheme="majorHAnsi" w:hAnsiTheme="majorHAnsi"/>
          <w:sz w:val="16"/>
          <w:szCs w:val="16"/>
        </w:rPr>
        <w:t xml:space="preserve"> Annex to the initial petition</w:t>
      </w:r>
      <w:r w:rsidRPr="00875A0D">
        <w:rPr>
          <w:rFonts w:asciiTheme="majorHAnsi" w:hAnsiTheme="majorHAnsi"/>
          <w:sz w:val="16"/>
          <w:szCs w:val="16"/>
        </w:rPr>
        <w:t xml:space="preserve"> </w:t>
      </w:r>
      <w:r>
        <w:rPr>
          <w:rFonts w:asciiTheme="majorHAnsi" w:hAnsiTheme="majorHAnsi"/>
          <w:sz w:val="16"/>
          <w:szCs w:val="16"/>
        </w:rPr>
        <w:t xml:space="preserve">of December </w:t>
      </w:r>
      <w:r w:rsidRPr="00875A0D">
        <w:rPr>
          <w:rFonts w:asciiTheme="majorHAnsi" w:hAnsiTheme="majorHAnsi"/>
          <w:sz w:val="16"/>
          <w:szCs w:val="16"/>
        </w:rPr>
        <w:t>22</w:t>
      </w:r>
      <w:r>
        <w:rPr>
          <w:rFonts w:asciiTheme="majorHAnsi" w:hAnsiTheme="majorHAnsi"/>
          <w:sz w:val="16"/>
          <w:szCs w:val="16"/>
        </w:rPr>
        <w:t>,</w:t>
      </w:r>
      <w:r w:rsidRPr="00875A0D">
        <w:rPr>
          <w:rFonts w:asciiTheme="majorHAnsi" w:hAnsiTheme="majorHAnsi"/>
          <w:sz w:val="16"/>
          <w:szCs w:val="16"/>
        </w:rPr>
        <w:t xml:space="preserve"> 2005.</w:t>
      </w:r>
    </w:p>
  </w:footnote>
  <w:footnote w:id="7">
    <w:p w14:paraId="72413F26" w14:textId="1C6A8272" w:rsidR="00D02D3C" w:rsidRPr="00875A0D" w:rsidRDefault="00D02D3C" w:rsidP="00D02D3C">
      <w:pPr>
        <w:pStyle w:val="FootnoteText"/>
        <w:rPr>
          <w:rFonts w:asciiTheme="majorHAnsi" w:hAnsiTheme="majorHAnsi"/>
          <w:sz w:val="16"/>
          <w:szCs w:val="16"/>
        </w:rPr>
      </w:pPr>
      <w:r w:rsidRPr="00875A0D">
        <w:rPr>
          <w:rStyle w:val="FootnoteReference"/>
          <w:rFonts w:asciiTheme="majorHAnsi" w:hAnsiTheme="majorHAnsi"/>
          <w:sz w:val="16"/>
          <w:szCs w:val="16"/>
        </w:rPr>
        <w:footnoteRef/>
      </w:r>
      <w:r w:rsidRPr="00875A0D">
        <w:rPr>
          <w:rFonts w:asciiTheme="majorHAnsi" w:hAnsiTheme="majorHAnsi"/>
          <w:sz w:val="16"/>
          <w:szCs w:val="16"/>
        </w:rPr>
        <w:t xml:space="preserve"> </w:t>
      </w:r>
      <w:r w:rsidR="002F2DAC">
        <w:rPr>
          <w:rFonts w:asciiTheme="majorHAnsi" w:hAnsiTheme="majorHAnsi"/>
          <w:sz w:val="16"/>
          <w:szCs w:val="16"/>
        </w:rPr>
        <w:t>Annex 4</w:t>
      </w:r>
      <w:r w:rsidRPr="00875A0D">
        <w:rPr>
          <w:rFonts w:asciiTheme="majorHAnsi" w:hAnsiTheme="majorHAnsi"/>
          <w:sz w:val="16"/>
          <w:szCs w:val="16"/>
        </w:rPr>
        <w:t xml:space="preserve">.  </w:t>
      </w:r>
      <w:proofErr w:type="gramStart"/>
      <w:r>
        <w:rPr>
          <w:rFonts w:asciiTheme="majorHAnsi" w:hAnsiTheme="majorHAnsi"/>
          <w:sz w:val="16"/>
          <w:szCs w:val="16"/>
        </w:rPr>
        <w:t>Resolution</w:t>
      </w:r>
      <w:r w:rsidRPr="00875A0D">
        <w:rPr>
          <w:rFonts w:asciiTheme="majorHAnsi" w:hAnsiTheme="majorHAnsi"/>
          <w:sz w:val="16"/>
          <w:szCs w:val="16"/>
        </w:rPr>
        <w:t xml:space="preserve">  000946</w:t>
      </w:r>
      <w:proofErr w:type="gramEnd"/>
      <w:r w:rsidRPr="00875A0D">
        <w:rPr>
          <w:rFonts w:asciiTheme="majorHAnsi" w:hAnsiTheme="majorHAnsi"/>
          <w:sz w:val="16"/>
          <w:szCs w:val="16"/>
        </w:rPr>
        <w:t xml:space="preserve"> </w:t>
      </w:r>
      <w:r>
        <w:rPr>
          <w:rFonts w:asciiTheme="majorHAnsi" w:hAnsiTheme="majorHAnsi"/>
          <w:sz w:val="16"/>
          <w:szCs w:val="16"/>
        </w:rPr>
        <w:t xml:space="preserve">of the Sectional Administrative and Financial Bureau of the Office of the Attorney General of the Nation of </w:t>
      </w:r>
      <w:r w:rsidRPr="00875A0D">
        <w:rPr>
          <w:rFonts w:asciiTheme="majorHAnsi" w:hAnsiTheme="majorHAnsi"/>
          <w:sz w:val="16"/>
          <w:szCs w:val="16"/>
        </w:rPr>
        <w:t xml:space="preserve">1996. </w:t>
      </w:r>
      <w:r>
        <w:rPr>
          <w:rFonts w:asciiTheme="majorHAnsi" w:hAnsiTheme="majorHAnsi"/>
          <w:sz w:val="16"/>
          <w:szCs w:val="16"/>
        </w:rPr>
        <w:t>Annex to the initial petition</w:t>
      </w:r>
      <w:r w:rsidRPr="00875A0D">
        <w:rPr>
          <w:rFonts w:asciiTheme="majorHAnsi" w:hAnsiTheme="majorHAnsi"/>
          <w:sz w:val="16"/>
          <w:szCs w:val="16"/>
        </w:rPr>
        <w:t xml:space="preserve"> </w:t>
      </w:r>
      <w:r>
        <w:rPr>
          <w:rFonts w:asciiTheme="majorHAnsi" w:hAnsiTheme="majorHAnsi"/>
          <w:sz w:val="16"/>
          <w:szCs w:val="16"/>
        </w:rPr>
        <w:t xml:space="preserve">of December </w:t>
      </w:r>
      <w:r w:rsidRPr="00875A0D">
        <w:rPr>
          <w:rFonts w:asciiTheme="majorHAnsi" w:hAnsiTheme="majorHAnsi"/>
          <w:sz w:val="16"/>
          <w:szCs w:val="16"/>
        </w:rPr>
        <w:t>22</w:t>
      </w:r>
      <w:r>
        <w:rPr>
          <w:rFonts w:asciiTheme="majorHAnsi" w:hAnsiTheme="majorHAnsi"/>
          <w:sz w:val="16"/>
          <w:szCs w:val="16"/>
        </w:rPr>
        <w:t>,</w:t>
      </w:r>
      <w:r w:rsidRPr="00875A0D">
        <w:rPr>
          <w:rFonts w:asciiTheme="majorHAnsi" w:hAnsiTheme="majorHAnsi"/>
          <w:sz w:val="16"/>
          <w:szCs w:val="16"/>
        </w:rPr>
        <w:t xml:space="preserve"> 2005.</w:t>
      </w:r>
    </w:p>
  </w:footnote>
  <w:footnote w:id="8">
    <w:p w14:paraId="4C207EE7" w14:textId="67F9843E" w:rsidR="00D02D3C" w:rsidRPr="00875A0D" w:rsidRDefault="00D02D3C" w:rsidP="00D02D3C">
      <w:pPr>
        <w:pStyle w:val="FootnoteText"/>
        <w:rPr>
          <w:rFonts w:asciiTheme="majorHAnsi" w:hAnsiTheme="majorHAnsi"/>
          <w:sz w:val="16"/>
          <w:szCs w:val="16"/>
        </w:rPr>
      </w:pPr>
      <w:r w:rsidRPr="00875A0D">
        <w:rPr>
          <w:rStyle w:val="FootnoteReference"/>
          <w:rFonts w:asciiTheme="majorHAnsi" w:hAnsiTheme="majorHAnsi"/>
          <w:sz w:val="16"/>
          <w:szCs w:val="16"/>
        </w:rPr>
        <w:footnoteRef/>
      </w:r>
      <w:r w:rsidRPr="00875A0D">
        <w:rPr>
          <w:rFonts w:asciiTheme="majorHAnsi" w:hAnsiTheme="majorHAnsi"/>
          <w:sz w:val="16"/>
          <w:szCs w:val="16"/>
        </w:rPr>
        <w:t xml:space="preserve"> </w:t>
      </w:r>
      <w:r w:rsidR="002F2DAC">
        <w:rPr>
          <w:rFonts w:asciiTheme="majorHAnsi" w:hAnsiTheme="majorHAnsi"/>
          <w:sz w:val="16"/>
          <w:szCs w:val="16"/>
        </w:rPr>
        <w:t>Annex 5</w:t>
      </w:r>
      <w:r w:rsidRPr="00875A0D">
        <w:rPr>
          <w:rFonts w:asciiTheme="majorHAnsi" w:hAnsiTheme="majorHAnsi"/>
          <w:sz w:val="16"/>
          <w:szCs w:val="16"/>
        </w:rPr>
        <w:t xml:space="preserve">.  </w:t>
      </w:r>
      <w:proofErr w:type="gramStart"/>
      <w:r>
        <w:rPr>
          <w:rFonts w:asciiTheme="majorHAnsi" w:hAnsiTheme="majorHAnsi"/>
          <w:sz w:val="16"/>
          <w:szCs w:val="16"/>
        </w:rPr>
        <w:t>Resolution</w:t>
      </w:r>
      <w:r w:rsidRPr="00875A0D">
        <w:rPr>
          <w:rFonts w:asciiTheme="majorHAnsi" w:hAnsiTheme="majorHAnsi"/>
          <w:sz w:val="16"/>
          <w:szCs w:val="16"/>
        </w:rPr>
        <w:t xml:space="preserve">  001742</w:t>
      </w:r>
      <w:proofErr w:type="gramEnd"/>
      <w:r w:rsidRPr="00875A0D">
        <w:rPr>
          <w:rFonts w:asciiTheme="majorHAnsi" w:hAnsiTheme="majorHAnsi"/>
          <w:sz w:val="16"/>
          <w:szCs w:val="16"/>
        </w:rPr>
        <w:t xml:space="preserve"> </w:t>
      </w:r>
      <w:r>
        <w:rPr>
          <w:rFonts w:asciiTheme="majorHAnsi" w:hAnsiTheme="majorHAnsi"/>
          <w:sz w:val="16"/>
          <w:szCs w:val="16"/>
        </w:rPr>
        <w:t>of the Sectional Administrative and Financial Bureau of the Office of the Attorney General,</w:t>
      </w:r>
      <w:r w:rsidRPr="00875A0D">
        <w:rPr>
          <w:rFonts w:asciiTheme="majorHAnsi" w:hAnsiTheme="majorHAnsi"/>
          <w:sz w:val="16"/>
          <w:szCs w:val="16"/>
        </w:rPr>
        <w:t xml:space="preserve"> </w:t>
      </w:r>
      <w:r>
        <w:rPr>
          <w:rFonts w:asciiTheme="majorHAnsi" w:hAnsiTheme="majorHAnsi"/>
          <w:sz w:val="16"/>
          <w:szCs w:val="16"/>
        </w:rPr>
        <w:t xml:space="preserve">November </w:t>
      </w:r>
      <w:r w:rsidRPr="00875A0D">
        <w:rPr>
          <w:rFonts w:asciiTheme="majorHAnsi" w:hAnsiTheme="majorHAnsi"/>
          <w:sz w:val="16"/>
          <w:szCs w:val="16"/>
        </w:rPr>
        <w:t>25</w:t>
      </w:r>
      <w:r>
        <w:rPr>
          <w:rFonts w:asciiTheme="majorHAnsi" w:hAnsiTheme="majorHAnsi"/>
          <w:sz w:val="16"/>
          <w:szCs w:val="16"/>
        </w:rPr>
        <w:t>,</w:t>
      </w:r>
      <w:r w:rsidRPr="00875A0D">
        <w:rPr>
          <w:rFonts w:asciiTheme="majorHAnsi" w:hAnsiTheme="majorHAnsi"/>
          <w:sz w:val="16"/>
          <w:szCs w:val="16"/>
        </w:rPr>
        <w:t xml:space="preserve"> 1997</w:t>
      </w:r>
      <w:r>
        <w:rPr>
          <w:rFonts w:asciiTheme="majorHAnsi" w:hAnsiTheme="majorHAnsi"/>
          <w:sz w:val="16"/>
          <w:szCs w:val="16"/>
        </w:rPr>
        <w:t>. Annex to the initial petition</w:t>
      </w:r>
      <w:r w:rsidRPr="00875A0D">
        <w:rPr>
          <w:rFonts w:asciiTheme="majorHAnsi" w:hAnsiTheme="majorHAnsi"/>
          <w:sz w:val="16"/>
          <w:szCs w:val="16"/>
        </w:rPr>
        <w:t xml:space="preserve"> </w:t>
      </w:r>
      <w:r>
        <w:rPr>
          <w:rFonts w:asciiTheme="majorHAnsi" w:hAnsiTheme="majorHAnsi"/>
          <w:sz w:val="16"/>
          <w:szCs w:val="16"/>
        </w:rPr>
        <w:t xml:space="preserve">of December </w:t>
      </w:r>
      <w:r w:rsidRPr="00875A0D">
        <w:rPr>
          <w:rFonts w:asciiTheme="majorHAnsi" w:hAnsiTheme="majorHAnsi"/>
          <w:sz w:val="16"/>
          <w:szCs w:val="16"/>
        </w:rPr>
        <w:t>22</w:t>
      </w:r>
      <w:r>
        <w:rPr>
          <w:rFonts w:asciiTheme="majorHAnsi" w:hAnsiTheme="majorHAnsi"/>
          <w:sz w:val="16"/>
          <w:szCs w:val="16"/>
        </w:rPr>
        <w:t>,</w:t>
      </w:r>
      <w:r w:rsidRPr="00875A0D">
        <w:rPr>
          <w:rFonts w:asciiTheme="majorHAnsi" w:hAnsiTheme="majorHAnsi"/>
          <w:sz w:val="16"/>
          <w:szCs w:val="16"/>
        </w:rPr>
        <w:t xml:space="preserve"> 2005.</w:t>
      </w:r>
    </w:p>
  </w:footnote>
  <w:footnote w:id="9">
    <w:p w14:paraId="15B1458D" w14:textId="6E2CCE7A" w:rsidR="00D02D3C" w:rsidRPr="00875A0D" w:rsidRDefault="00D02D3C" w:rsidP="00D02D3C">
      <w:pPr>
        <w:pStyle w:val="FootnoteText"/>
        <w:rPr>
          <w:rFonts w:asciiTheme="majorHAnsi" w:hAnsiTheme="majorHAnsi"/>
          <w:sz w:val="16"/>
          <w:szCs w:val="16"/>
        </w:rPr>
      </w:pPr>
      <w:r w:rsidRPr="00875A0D">
        <w:rPr>
          <w:rStyle w:val="FootnoteReference"/>
          <w:rFonts w:asciiTheme="majorHAnsi" w:hAnsiTheme="majorHAnsi"/>
          <w:sz w:val="16"/>
          <w:szCs w:val="16"/>
        </w:rPr>
        <w:footnoteRef/>
      </w:r>
      <w:r w:rsidRPr="00875A0D">
        <w:rPr>
          <w:rFonts w:asciiTheme="majorHAnsi" w:hAnsiTheme="majorHAnsi"/>
          <w:sz w:val="16"/>
          <w:szCs w:val="16"/>
        </w:rPr>
        <w:t xml:space="preserve"> </w:t>
      </w:r>
      <w:r>
        <w:rPr>
          <w:rFonts w:asciiTheme="majorHAnsi" w:hAnsiTheme="majorHAnsi"/>
          <w:sz w:val="16"/>
          <w:szCs w:val="16"/>
        </w:rPr>
        <w:t>Annex</w:t>
      </w:r>
      <w:r w:rsidR="002F2DAC">
        <w:rPr>
          <w:rFonts w:asciiTheme="majorHAnsi" w:hAnsiTheme="majorHAnsi"/>
          <w:sz w:val="16"/>
          <w:szCs w:val="16"/>
        </w:rPr>
        <w:t xml:space="preserve"> 6</w:t>
      </w:r>
      <w:r w:rsidRPr="00875A0D">
        <w:rPr>
          <w:rFonts w:asciiTheme="majorHAnsi" w:hAnsiTheme="majorHAnsi"/>
          <w:sz w:val="16"/>
          <w:szCs w:val="16"/>
        </w:rPr>
        <w:t xml:space="preserve">. </w:t>
      </w:r>
      <w:r>
        <w:rPr>
          <w:rFonts w:asciiTheme="majorHAnsi" w:hAnsiTheme="majorHAnsi"/>
          <w:sz w:val="16"/>
          <w:szCs w:val="16"/>
        </w:rPr>
        <w:t>Resolution</w:t>
      </w:r>
      <w:r w:rsidRPr="00875A0D">
        <w:rPr>
          <w:rFonts w:asciiTheme="majorHAnsi" w:hAnsiTheme="majorHAnsi"/>
          <w:sz w:val="16"/>
          <w:szCs w:val="16"/>
        </w:rPr>
        <w:t xml:space="preserve"> 001048 </w:t>
      </w:r>
      <w:r>
        <w:rPr>
          <w:rFonts w:asciiTheme="majorHAnsi" w:hAnsiTheme="majorHAnsi"/>
          <w:sz w:val="16"/>
          <w:szCs w:val="16"/>
        </w:rPr>
        <w:t xml:space="preserve">of the Sectional Administrative and Financial Bureau of the Office of the Attorney General, August </w:t>
      </w:r>
      <w:r w:rsidRPr="00875A0D">
        <w:rPr>
          <w:rFonts w:asciiTheme="majorHAnsi" w:hAnsiTheme="majorHAnsi"/>
          <w:sz w:val="16"/>
          <w:szCs w:val="16"/>
        </w:rPr>
        <w:t>1999.</w:t>
      </w:r>
    </w:p>
  </w:footnote>
  <w:footnote w:id="10">
    <w:p w14:paraId="4CC5FFB3" w14:textId="591B3DE6" w:rsidR="00D02D3C" w:rsidRPr="00875A0D" w:rsidRDefault="00D02D3C" w:rsidP="00D02D3C">
      <w:pPr>
        <w:pStyle w:val="FootnoteText"/>
        <w:rPr>
          <w:rFonts w:asciiTheme="majorHAnsi" w:hAnsiTheme="majorHAnsi"/>
          <w:sz w:val="16"/>
          <w:szCs w:val="16"/>
        </w:rPr>
      </w:pPr>
      <w:r w:rsidRPr="00875A0D">
        <w:rPr>
          <w:rStyle w:val="FootnoteReference"/>
          <w:rFonts w:asciiTheme="majorHAnsi" w:hAnsiTheme="majorHAnsi"/>
          <w:sz w:val="16"/>
          <w:szCs w:val="16"/>
        </w:rPr>
        <w:footnoteRef/>
      </w:r>
      <w:r w:rsidRPr="00875A0D">
        <w:rPr>
          <w:rFonts w:asciiTheme="majorHAnsi" w:hAnsiTheme="majorHAnsi"/>
          <w:sz w:val="16"/>
          <w:szCs w:val="16"/>
        </w:rPr>
        <w:t xml:space="preserve"> </w:t>
      </w:r>
      <w:r w:rsidR="002F2DAC">
        <w:rPr>
          <w:rFonts w:asciiTheme="majorHAnsi" w:hAnsiTheme="majorHAnsi"/>
          <w:sz w:val="16"/>
          <w:szCs w:val="16"/>
        </w:rPr>
        <w:t>Annex 7</w:t>
      </w:r>
      <w:r w:rsidRPr="00875A0D">
        <w:rPr>
          <w:rFonts w:asciiTheme="majorHAnsi" w:hAnsiTheme="majorHAnsi"/>
          <w:sz w:val="16"/>
          <w:szCs w:val="16"/>
        </w:rPr>
        <w:t xml:space="preserve">.  </w:t>
      </w:r>
      <w:proofErr w:type="gramStart"/>
      <w:r>
        <w:rPr>
          <w:rFonts w:asciiTheme="majorHAnsi" w:hAnsiTheme="majorHAnsi"/>
          <w:sz w:val="16"/>
          <w:szCs w:val="16"/>
        </w:rPr>
        <w:t>Resolution</w:t>
      </w:r>
      <w:r w:rsidRPr="00875A0D">
        <w:rPr>
          <w:rFonts w:asciiTheme="majorHAnsi" w:hAnsiTheme="majorHAnsi"/>
          <w:sz w:val="16"/>
          <w:szCs w:val="16"/>
        </w:rPr>
        <w:t xml:space="preserve">  0</w:t>
      </w:r>
      <w:proofErr w:type="gramEnd"/>
      <w:r w:rsidRPr="00875A0D">
        <w:rPr>
          <w:rFonts w:asciiTheme="majorHAnsi" w:hAnsiTheme="majorHAnsi"/>
          <w:sz w:val="16"/>
          <w:szCs w:val="16"/>
        </w:rPr>
        <w:t xml:space="preserve">-5213 </w:t>
      </w:r>
      <w:r>
        <w:rPr>
          <w:rFonts w:asciiTheme="majorHAnsi" w:hAnsiTheme="majorHAnsi"/>
          <w:sz w:val="16"/>
          <w:szCs w:val="16"/>
        </w:rPr>
        <w:t>of the Office of the Attorney General of the Nation, October 29, 2004</w:t>
      </w:r>
      <w:r w:rsidRPr="00875A0D">
        <w:rPr>
          <w:rFonts w:asciiTheme="majorHAnsi" w:hAnsiTheme="majorHAnsi"/>
          <w:sz w:val="16"/>
          <w:szCs w:val="16"/>
        </w:rPr>
        <w:t xml:space="preserve">. </w:t>
      </w:r>
      <w:r>
        <w:rPr>
          <w:rFonts w:asciiTheme="majorHAnsi" w:hAnsiTheme="majorHAnsi"/>
          <w:sz w:val="16"/>
          <w:szCs w:val="16"/>
        </w:rPr>
        <w:t>Annex to the initial petition of December 22, 2005.</w:t>
      </w:r>
    </w:p>
  </w:footnote>
  <w:footnote w:id="11">
    <w:p w14:paraId="62EF48D2" w14:textId="7E988E5F" w:rsidR="00D02D3C" w:rsidRPr="00875A0D" w:rsidRDefault="00D02D3C" w:rsidP="00D02D3C">
      <w:pPr>
        <w:pStyle w:val="FootnoteText"/>
        <w:rPr>
          <w:rFonts w:asciiTheme="majorHAnsi" w:hAnsiTheme="majorHAnsi"/>
          <w:sz w:val="16"/>
          <w:szCs w:val="16"/>
        </w:rPr>
      </w:pPr>
      <w:r w:rsidRPr="00875A0D">
        <w:rPr>
          <w:rStyle w:val="FootnoteReference"/>
          <w:rFonts w:asciiTheme="majorHAnsi" w:hAnsiTheme="majorHAnsi"/>
          <w:sz w:val="16"/>
          <w:szCs w:val="16"/>
        </w:rPr>
        <w:footnoteRef/>
      </w:r>
      <w:r w:rsidRPr="00875A0D">
        <w:rPr>
          <w:rFonts w:asciiTheme="majorHAnsi" w:hAnsiTheme="majorHAnsi"/>
          <w:sz w:val="16"/>
          <w:szCs w:val="16"/>
        </w:rPr>
        <w:t xml:space="preserve"> </w:t>
      </w:r>
      <w:r w:rsidR="002F2DAC">
        <w:rPr>
          <w:rFonts w:asciiTheme="majorHAnsi" w:hAnsiTheme="majorHAnsi"/>
          <w:sz w:val="16"/>
          <w:szCs w:val="16"/>
        </w:rPr>
        <w:t>Annex 7</w:t>
      </w:r>
      <w:r w:rsidRPr="00875A0D">
        <w:rPr>
          <w:rFonts w:asciiTheme="majorHAnsi" w:hAnsiTheme="majorHAnsi"/>
          <w:sz w:val="16"/>
          <w:szCs w:val="16"/>
        </w:rPr>
        <w:t xml:space="preserve">.  </w:t>
      </w:r>
      <w:proofErr w:type="gramStart"/>
      <w:r>
        <w:rPr>
          <w:rFonts w:asciiTheme="majorHAnsi" w:hAnsiTheme="majorHAnsi"/>
          <w:sz w:val="16"/>
          <w:szCs w:val="16"/>
        </w:rPr>
        <w:t>Resolution</w:t>
      </w:r>
      <w:r w:rsidRPr="00875A0D">
        <w:rPr>
          <w:rFonts w:asciiTheme="majorHAnsi" w:hAnsiTheme="majorHAnsi"/>
          <w:sz w:val="16"/>
          <w:szCs w:val="16"/>
        </w:rPr>
        <w:t xml:space="preserve">  0</w:t>
      </w:r>
      <w:proofErr w:type="gramEnd"/>
      <w:r w:rsidRPr="00875A0D">
        <w:rPr>
          <w:rFonts w:asciiTheme="majorHAnsi" w:hAnsiTheme="majorHAnsi"/>
          <w:sz w:val="16"/>
          <w:szCs w:val="16"/>
        </w:rPr>
        <w:t xml:space="preserve">-5213 </w:t>
      </w:r>
      <w:r>
        <w:rPr>
          <w:rFonts w:asciiTheme="majorHAnsi" w:hAnsiTheme="majorHAnsi"/>
          <w:sz w:val="16"/>
          <w:szCs w:val="16"/>
        </w:rPr>
        <w:t>of the Office of the Attorney General of the Nation, October 29, 2004</w:t>
      </w:r>
      <w:r w:rsidRPr="00875A0D">
        <w:rPr>
          <w:rFonts w:asciiTheme="majorHAnsi" w:hAnsiTheme="majorHAnsi"/>
          <w:sz w:val="16"/>
          <w:szCs w:val="16"/>
        </w:rPr>
        <w:t xml:space="preserve">. </w:t>
      </w:r>
      <w:r>
        <w:rPr>
          <w:rFonts w:asciiTheme="majorHAnsi" w:hAnsiTheme="majorHAnsi"/>
          <w:sz w:val="16"/>
          <w:szCs w:val="16"/>
        </w:rPr>
        <w:t>Annex to the initial petition of December 22, 2005.</w:t>
      </w:r>
    </w:p>
  </w:footnote>
  <w:footnote w:id="12">
    <w:p w14:paraId="10C9957B" w14:textId="7498F4CB" w:rsidR="00D02D3C" w:rsidRPr="00875A0D" w:rsidRDefault="00D02D3C" w:rsidP="00D02D3C">
      <w:pPr>
        <w:pStyle w:val="FootnoteText"/>
        <w:rPr>
          <w:rFonts w:asciiTheme="majorHAnsi" w:hAnsiTheme="majorHAnsi"/>
          <w:sz w:val="16"/>
          <w:szCs w:val="16"/>
        </w:rPr>
      </w:pPr>
      <w:r w:rsidRPr="00875A0D">
        <w:rPr>
          <w:rStyle w:val="FootnoteReference"/>
          <w:rFonts w:asciiTheme="majorHAnsi" w:hAnsiTheme="majorHAnsi"/>
          <w:sz w:val="16"/>
          <w:szCs w:val="16"/>
        </w:rPr>
        <w:footnoteRef/>
      </w:r>
      <w:r w:rsidRPr="00875A0D">
        <w:rPr>
          <w:rFonts w:asciiTheme="majorHAnsi" w:hAnsiTheme="majorHAnsi"/>
          <w:sz w:val="16"/>
          <w:szCs w:val="16"/>
        </w:rPr>
        <w:t xml:space="preserve"> </w:t>
      </w:r>
      <w:r w:rsidR="002F2DAC">
        <w:rPr>
          <w:rFonts w:asciiTheme="majorHAnsi" w:hAnsiTheme="majorHAnsi"/>
          <w:sz w:val="16"/>
          <w:szCs w:val="16"/>
        </w:rPr>
        <w:t>Annex 8</w:t>
      </w:r>
      <w:r w:rsidRPr="00875A0D">
        <w:rPr>
          <w:rFonts w:asciiTheme="majorHAnsi" w:hAnsiTheme="majorHAnsi"/>
          <w:sz w:val="16"/>
          <w:szCs w:val="16"/>
        </w:rPr>
        <w:t xml:space="preserve">.  </w:t>
      </w:r>
      <w:r>
        <w:rPr>
          <w:rFonts w:asciiTheme="majorHAnsi" w:hAnsiTheme="majorHAnsi"/>
          <w:sz w:val="16"/>
          <w:szCs w:val="16"/>
        </w:rPr>
        <w:t>Resolution</w:t>
      </w:r>
      <w:r w:rsidRPr="00875A0D">
        <w:rPr>
          <w:rFonts w:asciiTheme="majorHAnsi" w:hAnsiTheme="majorHAnsi"/>
          <w:sz w:val="16"/>
          <w:szCs w:val="16"/>
        </w:rPr>
        <w:t xml:space="preserve"> 2215 </w:t>
      </w:r>
      <w:r>
        <w:rPr>
          <w:rFonts w:asciiTheme="majorHAnsi" w:hAnsiTheme="majorHAnsi"/>
          <w:sz w:val="16"/>
          <w:szCs w:val="16"/>
        </w:rPr>
        <w:t>of the Office of the Attorney General of the Nation, October 29, 2004</w:t>
      </w:r>
      <w:r w:rsidRPr="00875A0D">
        <w:rPr>
          <w:rFonts w:asciiTheme="majorHAnsi" w:hAnsiTheme="majorHAnsi"/>
          <w:sz w:val="16"/>
          <w:szCs w:val="16"/>
        </w:rPr>
        <w:t xml:space="preserve">. </w:t>
      </w:r>
      <w:r>
        <w:rPr>
          <w:rFonts w:asciiTheme="majorHAnsi" w:hAnsiTheme="majorHAnsi"/>
          <w:sz w:val="16"/>
          <w:szCs w:val="16"/>
        </w:rPr>
        <w:t>Annex to the initial petition of December 22, 2005.</w:t>
      </w:r>
    </w:p>
  </w:footnote>
  <w:footnote w:id="13">
    <w:p w14:paraId="20784675" w14:textId="7DA42F77" w:rsidR="00D02D3C" w:rsidRPr="00875A0D" w:rsidRDefault="00D02D3C" w:rsidP="00D02D3C">
      <w:pPr>
        <w:pStyle w:val="FootnoteText"/>
        <w:rPr>
          <w:rFonts w:asciiTheme="majorHAnsi" w:hAnsiTheme="majorHAnsi"/>
          <w:sz w:val="16"/>
          <w:szCs w:val="16"/>
        </w:rPr>
      </w:pPr>
      <w:r w:rsidRPr="00875A0D">
        <w:rPr>
          <w:rStyle w:val="FootnoteReference"/>
          <w:rFonts w:asciiTheme="majorHAnsi" w:hAnsiTheme="majorHAnsi"/>
          <w:sz w:val="16"/>
          <w:szCs w:val="16"/>
        </w:rPr>
        <w:footnoteRef/>
      </w:r>
      <w:r w:rsidRPr="00875A0D">
        <w:rPr>
          <w:rFonts w:asciiTheme="majorHAnsi" w:hAnsiTheme="majorHAnsi"/>
          <w:sz w:val="16"/>
          <w:szCs w:val="16"/>
        </w:rPr>
        <w:t xml:space="preserve"> </w:t>
      </w:r>
      <w:r w:rsidR="002F2DAC">
        <w:rPr>
          <w:rFonts w:asciiTheme="majorHAnsi" w:hAnsiTheme="majorHAnsi"/>
          <w:sz w:val="16"/>
          <w:szCs w:val="16"/>
        </w:rPr>
        <w:t>Annex 9</w:t>
      </w:r>
      <w:r w:rsidRPr="00875A0D">
        <w:rPr>
          <w:rFonts w:asciiTheme="majorHAnsi" w:hAnsiTheme="majorHAnsi"/>
          <w:sz w:val="16"/>
          <w:szCs w:val="16"/>
        </w:rPr>
        <w:t xml:space="preserve">. </w:t>
      </w:r>
      <w:proofErr w:type="gramStart"/>
      <w:r w:rsidRPr="00875A0D">
        <w:rPr>
          <w:rFonts w:asciiTheme="majorHAnsi" w:hAnsiTheme="majorHAnsi"/>
          <w:sz w:val="16"/>
          <w:szCs w:val="16"/>
        </w:rPr>
        <w:t>Decisi</w:t>
      </w:r>
      <w:r>
        <w:rPr>
          <w:rFonts w:asciiTheme="majorHAnsi" w:hAnsiTheme="majorHAnsi"/>
          <w:sz w:val="16"/>
          <w:szCs w:val="16"/>
        </w:rPr>
        <w:t>o</w:t>
      </w:r>
      <w:r w:rsidRPr="00875A0D">
        <w:rPr>
          <w:rFonts w:asciiTheme="majorHAnsi" w:hAnsiTheme="majorHAnsi"/>
          <w:sz w:val="16"/>
          <w:szCs w:val="16"/>
        </w:rPr>
        <w:t xml:space="preserve">n </w:t>
      </w:r>
      <w:r>
        <w:rPr>
          <w:rFonts w:asciiTheme="majorHAnsi" w:hAnsiTheme="majorHAnsi"/>
          <w:sz w:val="16"/>
          <w:szCs w:val="16"/>
        </w:rPr>
        <w:t xml:space="preserve">of the Superior Court of the Judicial District of </w:t>
      </w:r>
      <w:r w:rsidRPr="00875A0D">
        <w:rPr>
          <w:rFonts w:asciiTheme="majorHAnsi" w:hAnsiTheme="majorHAnsi"/>
          <w:sz w:val="16"/>
          <w:szCs w:val="16"/>
        </w:rPr>
        <w:t>Cartagena</w:t>
      </w:r>
      <w:r>
        <w:rPr>
          <w:rFonts w:asciiTheme="majorHAnsi" w:hAnsiTheme="majorHAnsi"/>
          <w:sz w:val="16"/>
          <w:szCs w:val="16"/>
        </w:rPr>
        <w:t>, February</w:t>
      </w:r>
      <w:r w:rsidRPr="00875A0D">
        <w:rPr>
          <w:rFonts w:asciiTheme="majorHAnsi" w:hAnsiTheme="majorHAnsi"/>
          <w:sz w:val="16"/>
          <w:szCs w:val="16"/>
        </w:rPr>
        <w:t xml:space="preserve"> 25</w:t>
      </w:r>
      <w:r>
        <w:rPr>
          <w:rFonts w:asciiTheme="majorHAnsi" w:hAnsiTheme="majorHAnsi"/>
          <w:sz w:val="16"/>
          <w:szCs w:val="16"/>
        </w:rPr>
        <w:t>,</w:t>
      </w:r>
      <w:r w:rsidRPr="00875A0D">
        <w:rPr>
          <w:rFonts w:asciiTheme="majorHAnsi" w:hAnsiTheme="majorHAnsi"/>
          <w:sz w:val="16"/>
          <w:szCs w:val="16"/>
        </w:rPr>
        <w:t xml:space="preserve"> 2005</w:t>
      </w:r>
      <w:r>
        <w:rPr>
          <w:rFonts w:asciiTheme="majorHAnsi" w:hAnsiTheme="majorHAnsi"/>
          <w:sz w:val="16"/>
          <w:szCs w:val="16"/>
        </w:rPr>
        <w:t xml:space="preserve">, denying the </w:t>
      </w:r>
      <w:proofErr w:type="spellStart"/>
      <w:r w:rsidRPr="00D0718A">
        <w:rPr>
          <w:rFonts w:asciiTheme="majorHAnsi" w:hAnsiTheme="majorHAnsi"/>
          <w:i/>
          <w:iCs/>
          <w:sz w:val="16"/>
          <w:szCs w:val="16"/>
        </w:rPr>
        <w:t>tutela</w:t>
      </w:r>
      <w:proofErr w:type="spellEnd"/>
      <w:r w:rsidRPr="00875A0D">
        <w:rPr>
          <w:rFonts w:asciiTheme="majorHAnsi" w:hAnsiTheme="majorHAnsi"/>
          <w:sz w:val="16"/>
          <w:szCs w:val="16"/>
        </w:rPr>
        <w:t xml:space="preserve"> </w:t>
      </w:r>
      <w:r>
        <w:rPr>
          <w:rFonts w:asciiTheme="majorHAnsi" w:hAnsiTheme="majorHAnsi"/>
          <w:sz w:val="16"/>
          <w:szCs w:val="16"/>
        </w:rPr>
        <w:t>action brought by the alleged victim.</w:t>
      </w:r>
      <w:proofErr w:type="gramEnd"/>
      <w:r>
        <w:rPr>
          <w:rFonts w:asciiTheme="majorHAnsi" w:hAnsiTheme="majorHAnsi"/>
          <w:sz w:val="16"/>
          <w:szCs w:val="16"/>
        </w:rPr>
        <w:t xml:space="preserve"> Annex to the initial petition of December 22, 2005.</w:t>
      </w:r>
    </w:p>
  </w:footnote>
  <w:footnote w:id="14">
    <w:p w14:paraId="4133C7E0" w14:textId="16C4832F" w:rsidR="00D02D3C" w:rsidRPr="00875A0D" w:rsidRDefault="00D02D3C" w:rsidP="00D02D3C">
      <w:pPr>
        <w:pStyle w:val="FootnoteText"/>
        <w:rPr>
          <w:rFonts w:asciiTheme="majorHAnsi" w:hAnsiTheme="majorHAnsi"/>
          <w:sz w:val="16"/>
          <w:szCs w:val="16"/>
        </w:rPr>
      </w:pPr>
      <w:r w:rsidRPr="00875A0D">
        <w:rPr>
          <w:rStyle w:val="FootnoteReference"/>
          <w:rFonts w:asciiTheme="majorHAnsi" w:hAnsiTheme="majorHAnsi"/>
          <w:sz w:val="16"/>
          <w:szCs w:val="16"/>
        </w:rPr>
        <w:footnoteRef/>
      </w:r>
      <w:r w:rsidRPr="00875A0D">
        <w:rPr>
          <w:rFonts w:asciiTheme="majorHAnsi" w:hAnsiTheme="majorHAnsi"/>
          <w:sz w:val="16"/>
          <w:szCs w:val="16"/>
        </w:rPr>
        <w:t xml:space="preserve"> </w:t>
      </w:r>
      <w:r w:rsidR="002F2DAC">
        <w:rPr>
          <w:rFonts w:asciiTheme="majorHAnsi" w:hAnsiTheme="majorHAnsi"/>
          <w:sz w:val="16"/>
          <w:szCs w:val="16"/>
        </w:rPr>
        <w:t>Annex 9</w:t>
      </w:r>
      <w:r w:rsidRPr="00875A0D">
        <w:rPr>
          <w:rFonts w:asciiTheme="majorHAnsi" w:hAnsiTheme="majorHAnsi"/>
          <w:sz w:val="16"/>
          <w:szCs w:val="16"/>
        </w:rPr>
        <w:t xml:space="preserve">. </w:t>
      </w:r>
      <w:proofErr w:type="gramStart"/>
      <w:r w:rsidRPr="00875A0D">
        <w:rPr>
          <w:rFonts w:asciiTheme="majorHAnsi" w:hAnsiTheme="majorHAnsi"/>
          <w:sz w:val="16"/>
          <w:szCs w:val="16"/>
        </w:rPr>
        <w:t>Decisi</w:t>
      </w:r>
      <w:r>
        <w:rPr>
          <w:rFonts w:asciiTheme="majorHAnsi" w:hAnsiTheme="majorHAnsi"/>
          <w:sz w:val="16"/>
          <w:szCs w:val="16"/>
        </w:rPr>
        <w:t>o</w:t>
      </w:r>
      <w:r w:rsidRPr="00875A0D">
        <w:rPr>
          <w:rFonts w:asciiTheme="majorHAnsi" w:hAnsiTheme="majorHAnsi"/>
          <w:sz w:val="16"/>
          <w:szCs w:val="16"/>
        </w:rPr>
        <w:t xml:space="preserve">n </w:t>
      </w:r>
      <w:r>
        <w:rPr>
          <w:rFonts w:asciiTheme="majorHAnsi" w:hAnsiTheme="majorHAnsi"/>
          <w:sz w:val="16"/>
          <w:szCs w:val="16"/>
        </w:rPr>
        <w:t xml:space="preserve">of the Superior Court of the Judicial District of </w:t>
      </w:r>
      <w:r w:rsidRPr="00875A0D">
        <w:rPr>
          <w:rFonts w:asciiTheme="majorHAnsi" w:hAnsiTheme="majorHAnsi"/>
          <w:sz w:val="16"/>
          <w:szCs w:val="16"/>
        </w:rPr>
        <w:t>Cartagena</w:t>
      </w:r>
      <w:r>
        <w:rPr>
          <w:rFonts w:asciiTheme="majorHAnsi" w:hAnsiTheme="majorHAnsi"/>
          <w:sz w:val="16"/>
          <w:szCs w:val="16"/>
        </w:rPr>
        <w:t>, February</w:t>
      </w:r>
      <w:r w:rsidRPr="00875A0D">
        <w:rPr>
          <w:rFonts w:asciiTheme="majorHAnsi" w:hAnsiTheme="majorHAnsi"/>
          <w:sz w:val="16"/>
          <w:szCs w:val="16"/>
        </w:rPr>
        <w:t xml:space="preserve"> 25</w:t>
      </w:r>
      <w:r>
        <w:rPr>
          <w:rFonts w:asciiTheme="majorHAnsi" w:hAnsiTheme="majorHAnsi"/>
          <w:sz w:val="16"/>
          <w:szCs w:val="16"/>
        </w:rPr>
        <w:t>,</w:t>
      </w:r>
      <w:r w:rsidRPr="00875A0D">
        <w:rPr>
          <w:rFonts w:asciiTheme="majorHAnsi" w:hAnsiTheme="majorHAnsi"/>
          <w:sz w:val="16"/>
          <w:szCs w:val="16"/>
        </w:rPr>
        <w:t xml:space="preserve"> 2005</w:t>
      </w:r>
      <w:r>
        <w:rPr>
          <w:rFonts w:asciiTheme="majorHAnsi" w:hAnsiTheme="majorHAnsi"/>
          <w:sz w:val="16"/>
          <w:szCs w:val="16"/>
        </w:rPr>
        <w:t xml:space="preserve">, denying the </w:t>
      </w:r>
      <w:proofErr w:type="spellStart"/>
      <w:r w:rsidRPr="00D0718A">
        <w:rPr>
          <w:rFonts w:asciiTheme="majorHAnsi" w:hAnsiTheme="majorHAnsi"/>
          <w:i/>
          <w:iCs/>
          <w:sz w:val="16"/>
          <w:szCs w:val="16"/>
        </w:rPr>
        <w:t>tutela</w:t>
      </w:r>
      <w:proofErr w:type="spellEnd"/>
      <w:r w:rsidRPr="00875A0D">
        <w:rPr>
          <w:rFonts w:asciiTheme="majorHAnsi" w:hAnsiTheme="majorHAnsi"/>
          <w:sz w:val="16"/>
          <w:szCs w:val="16"/>
        </w:rPr>
        <w:t xml:space="preserve"> </w:t>
      </w:r>
      <w:r>
        <w:rPr>
          <w:rFonts w:asciiTheme="majorHAnsi" w:hAnsiTheme="majorHAnsi"/>
          <w:sz w:val="16"/>
          <w:szCs w:val="16"/>
        </w:rPr>
        <w:t>action brought by the alleged victim.</w:t>
      </w:r>
      <w:proofErr w:type="gramEnd"/>
      <w:r>
        <w:rPr>
          <w:rFonts w:asciiTheme="majorHAnsi" w:hAnsiTheme="majorHAnsi"/>
          <w:sz w:val="16"/>
          <w:szCs w:val="16"/>
        </w:rPr>
        <w:t xml:space="preserve"> Annex to the initial petition of December 22, 2005.</w:t>
      </w:r>
    </w:p>
  </w:footnote>
  <w:footnote w:id="15">
    <w:p w14:paraId="7A87C040" w14:textId="0734A17F" w:rsidR="00D02D3C" w:rsidRPr="00875A0D" w:rsidRDefault="00D02D3C" w:rsidP="00D02D3C">
      <w:pPr>
        <w:pStyle w:val="FootnoteText"/>
        <w:rPr>
          <w:rFonts w:asciiTheme="majorHAnsi" w:hAnsiTheme="majorHAnsi"/>
          <w:sz w:val="16"/>
          <w:szCs w:val="16"/>
        </w:rPr>
      </w:pPr>
      <w:r w:rsidRPr="00875A0D">
        <w:rPr>
          <w:rStyle w:val="FootnoteReference"/>
          <w:rFonts w:asciiTheme="majorHAnsi" w:hAnsiTheme="majorHAnsi"/>
          <w:sz w:val="16"/>
          <w:szCs w:val="16"/>
        </w:rPr>
        <w:footnoteRef/>
      </w:r>
      <w:r w:rsidRPr="00875A0D">
        <w:rPr>
          <w:rFonts w:asciiTheme="majorHAnsi" w:hAnsiTheme="majorHAnsi"/>
          <w:sz w:val="16"/>
          <w:szCs w:val="16"/>
        </w:rPr>
        <w:t xml:space="preserve"> </w:t>
      </w:r>
      <w:r w:rsidR="002F2DAC">
        <w:rPr>
          <w:rFonts w:asciiTheme="majorHAnsi" w:hAnsiTheme="majorHAnsi"/>
          <w:sz w:val="16"/>
          <w:szCs w:val="16"/>
        </w:rPr>
        <w:t>Annex 10</w:t>
      </w:r>
      <w:r w:rsidRPr="00875A0D">
        <w:rPr>
          <w:rFonts w:asciiTheme="majorHAnsi" w:hAnsiTheme="majorHAnsi"/>
          <w:sz w:val="16"/>
          <w:szCs w:val="16"/>
        </w:rPr>
        <w:t xml:space="preserve">. </w:t>
      </w:r>
      <w:proofErr w:type="gramStart"/>
      <w:r>
        <w:rPr>
          <w:rFonts w:asciiTheme="majorHAnsi" w:hAnsiTheme="majorHAnsi"/>
          <w:sz w:val="16"/>
          <w:szCs w:val="16"/>
        </w:rPr>
        <w:t xml:space="preserve">Decision of the Sectional Judicial Council of </w:t>
      </w:r>
      <w:r w:rsidRPr="00875A0D">
        <w:rPr>
          <w:rFonts w:asciiTheme="majorHAnsi" w:hAnsiTheme="majorHAnsi"/>
          <w:sz w:val="16"/>
          <w:szCs w:val="16"/>
        </w:rPr>
        <w:t>Bolívar</w:t>
      </w:r>
      <w:r>
        <w:rPr>
          <w:rFonts w:asciiTheme="majorHAnsi" w:hAnsiTheme="majorHAnsi"/>
          <w:sz w:val="16"/>
          <w:szCs w:val="16"/>
        </w:rPr>
        <w:t>, July</w:t>
      </w:r>
      <w:r w:rsidRPr="00875A0D">
        <w:rPr>
          <w:rFonts w:asciiTheme="majorHAnsi" w:hAnsiTheme="majorHAnsi"/>
          <w:sz w:val="16"/>
          <w:szCs w:val="16"/>
        </w:rPr>
        <w:t xml:space="preserve"> 26</w:t>
      </w:r>
      <w:r>
        <w:rPr>
          <w:rFonts w:asciiTheme="majorHAnsi" w:hAnsiTheme="majorHAnsi"/>
          <w:sz w:val="16"/>
          <w:szCs w:val="16"/>
        </w:rPr>
        <w:t>,</w:t>
      </w:r>
      <w:r w:rsidRPr="00875A0D">
        <w:rPr>
          <w:rFonts w:asciiTheme="majorHAnsi" w:hAnsiTheme="majorHAnsi"/>
          <w:sz w:val="16"/>
          <w:szCs w:val="16"/>
        </w:rPr>
        <w:t xml:space="preserve"> 2005</w:t>
      </w:r>
      <w:r>
        <w:rPr>
          <w:rFonts w:asciiTheme="majorHAnsi" w:hAnsiTheme="majorHAnsi"/>
          <w:sz w:val="16"/>
          <w:szCs w:val="16"/>
        </w:rPr>
        <w:t xml:space="preserve">, granting the </w:t>
      </w:r>
      <w:proofErr w:type="spellStart"/>
      <w:r w:rsidRPr="00D0718A">
        <w:rPr>
          <w:rFonts w:asciiTheme="majorHAnsi" w:hAnsiTheme="majorHAnsi"/>
          <w:i/>
          <w:iCs/>
          <w:sz w:val="16"/>
          <w:szCs w:val="16"/>
        </w:rPr>
        <w:t>tutela</w:t>
      </w:r>
      <w:proofErr w:type="spellEnd"/>
      <w:r w:rsidRPr="00875A0D">
        <w:rPr>
          <w:rFonts w:asciiTheme="majorHAnsi" w:hAnsiTheme="majorHAnsi"/>
          <w:sz w:val="16"/>
          <w:szCs w:val="16"/>
        </w:rPr>
        <w:t xml:space="preserve"> </w:t>
      </w:r>
      <w:r>
        <w:rPr>
          <w:rFonts w:asciiTheme="majorHAnsi" w:hAnsiTheme="majorHAnsi"/>
          <w:sz w:val="16"/>
          <w:szCs w:val="16"/>
        </w:rPr>
        <w:t>action filed by the alleged victim.</w:t>
      </w:r>
      <w:proofErr w:type="gramEnd"/>
      <w:r>
        <w:rPr>
          <w:rFonts w:asciiTheme="majorHAnsi" w:hAnsiTheme="majorHAnsi"/>
          <w:sz w:val="16"/>
          <w:szCs w:val="16"/>
        </w:rPr>
        <w:t xml:space="preserve"> Annex to the initial petition of December 22, 2005.</w:t>
      </w:r>
    </w:p>
  </w:footnote>
  <w:footnote w:id="16">
    <w:p w14:paraId="44E75C53" w14:textId="347BFF26" w:rsidR="00D02D3C" w:rsidRPr="00875A0D" w:rsidRDefault="00D02D3C" w:rsidP="00D02D3C">
      <w:pPr>
        <w:pStyle w:val="FootnoteText"/>
        <w:rPr>
          <w:rFonts w:asciiTheme="majorHAnsi" w:hAnsiTheme="majorHAnsi"/>
          <w:sz w:val="16"/>
          <w:szCs w:val="16"/>
        </w:rPr>
      </w:pPr>
      <w:r w:rsidRPr="00875A0D">
        <w:rPr>
          <w:rStyle w:val="FootnoteReference"/>
          <w:rFonts w:asciiTheme="majorHAnsi" w:hAnsiTheme="majorHAnsi"/>
          <w:sz w:val="16"/>
          <w:szCs w:val="16"/>
        </w:rPr>
        <w:footnoteRef/>
      </w:r>
      <w:r w:rsidRPr="00875A0D">
        <w:rPr>
          <w:rFonts w:asciiTheme="majorHAnsi" w:hAnsiTheme="majorHAnsi"/>
          <w:sz w:val="16"/>
          <w:szCs w:val="16"/>
        </w:rPr>
        <w:t xml:space="preserve"> </w:t>
      </w:r>
      <w:r w:rsidR="002F2DAC">
        <w:rPr>
          <w:rFonts w:asciiTheme="majorHAnsi" w:hAnsiTheme="majorHAnsi"/>
          <w:sz w:val="16"/>
          <w:szCs w:val="16"/>
        </w:rPr>
        <w:t>Annex 10</w:t>
      </w:r>
      <w:r w:rsidRPr="00875A0D">
        <w:rPr>
          <w:rFonts w:asciiTheme="majorHAnsi" w:hAnsiTheme="majorHAnsi"/>
          <w:sz w:val="16"/>
          <w:szCs w:val="16"/>
        </w:rPr>
        <w:t xml:space="preserve">. </w:t>
      </w:r>
      <w:proofErr w:type="gramStart"/>
      <w:r>
        <w:rPr>
          <w:rFonts w:asciiTheme="majorHAnsi" w:hAnsiTheme="majorHAnsi"/>
          <w:sz w:val="16"/>
          <w:szCs w:val="16"/>
        </w:rPr>
        <w:t xml:space="preserve">Decision of the Sectional Judicial Council of </w:t>
      </w:r>
      <w:r w:rsidRPr="00875A0D">
        <w:rPr>
          <w:rFonts w:asciiTheme="majorHAnsi" w:hAnsiTheme="majorHAnsi"/>
          <w:sz w:val="16"/>
          <w:szCs w:val="16"/>
        </w:rPr>
        <w:t>Bolívar</w:t>
      </w:r>
      <w:r>
        <w:rPr>
          <w:rFonts w:asciiTheme="majorHAnsi" w:hAnsiTheme="majorHAnsi"/>
          <w:sz w:val="16"/>
          <w:szCs w:val="16"/>
        </w:rPr>
        <w:t>, July</w:t>
      </w:r>
      <w:r w:rsidRPr="00875A0D">
        <w:rPr>
          <w:rFonts w:asciiTheme="majorHAnsi" w:hAnsiTheme="majorHAnsi"/>
          <w:sz w:val="16"/>
          <w:szCs w:val="16"/>
        </w:rPr>
        <w:t xml:space="preserve"> 26</w:t>
      </w:r>
      <w:r>
        <w:rPr>
          <w:rFonts w:asciiTheme="majorHAnsi" w:hAnsiTheme="majorHAnsi"/>
          <w:sz w:val="16"/>
          <w:szCs w:val="16"/>
        </w:rPr>
        <w:t>,</w:t>
      </w:r>
      <w:r w:rsidRPr="00875A0D">
        <w:rPr>
          <w:rFonts w:asciiTheme="majorHAnsi" w:hAnsiTheme="majorHAnsi"/>
          <w:sz w:val="16"/>
          <w:szCs w:val="16"/>
        </w:rPr>
        <w:t xml:space="preserve"> 2005</w:t>
      </w:r>
      <w:r>
        <w:rPr>
          <w:rFonts w:asciiTheme="majorHAnsi" w:hAnsiTheme="majorHAnsi"/>
          <w:sz w:val="16"/>
          <w:szCs w:val="16"/>
        </w:rPr>
        <w:t xml:space="preserve">, granting the </w:t>
      </w:r>
      <w:proofErr w:type="spellStart"/>
      <w:r w:rsidRPr="00D0718A">
        <w:rPr>
          <w:rFonts w:asciiTheme="majorHAnsi" w:hAnsiTheme="majorHAnsi"/>
          <w:i/>
          <w:iCs/>
          <w:sz w:val="16"/>
          <w:szCs w:val="16"/>
        </w:rPr>
        <w:t>tutela</w:t>
      </w:r>
      <w:proofErr w:type="spellEnd"/>
      <w:r w:rsidRPr="00875A0D">
        <w:rPr>
          <w:rFonts w:asciiTheme="majorHAnsi" w:hAnsiTheme="majorHAnsi"/>
          <w:sz w:val="16"/>
          <w:szCs w:val="16"/>
        </w:rPr>
        <w:t xml:space="preserve"> </w:t>
      </w:r>
      <w:r>
        <w:rPr>
          <w:rFonts w:asciiTheme="majorHAnsi" w:hAnsiTheme="majorHAnsi"/>
          <w:sz w:val="16"/>
          <w:szCs w:val="16"/>
        </w:rPr>
        <w:t>action filed by the alleged victim.</w:t>
      </w:r>
      <w:proofErr w:type="gramEnd"/>
      <w:r w:rsidRPr="00875A0D">
        <w:rPr>
          <w:rFonts w:asciiTheme="majorHAnsi" w:hAnsiTheme="majorHAnsi"/>
          <w:sz w:val="16"/>
          <w:szCs w:val="16"/>
        </w:rPr>
        <w:t xml:space="preserve"> </w:t>
      </w:r>
      <w:r>
        <w:rPr>
          <w:rFonts w:asciiTheme="majorHAnsi" w:hAnsiTheme="majorHAnsi"/>
          <w:sz w:val="16"/>
          <w:szCs w:val="16"/>
        </w:rPr>
        <w:t>Annex to the initial petition of December 22, 2005.</w:t>
      </w:r>
    </w:p>
  </w:footnote>
  <w:footnote w:id="17">
    <w:p w14:paraId="7ACDA667" w14:textId="6182C56B" w:rsidR="00D02D3C" w:rsidRPr="00875A0D" w:rsidRDefault="00D02D3C" w:rsidP="00D02D3C">
      <w:pPr>
        <w:pStyle w:val="FootnoteText"/>
        <w:rPr>
          <w:rFonts w:asciiTheme="majorHAnsi" w:hAnsiTheme="majorHAnsi"/>
          <w:sz w:val="16"/>
          <w:szCs w:val="16"/>
          <w:highlight w:val="yellow"/>
        </w:rPr>
      </w:pPr>
      <w:r w:rsidRPr="00875A0D">
        <w:rPr>
          <w:rStyle w:val="FootnoteReference"/>
          <w:rFonts w:asciiTheme="majorHAnsi" w:hAnsiTheme="majorHAnsi"/>
          <w:sz w:val="16"/>
          <w:szCs w:val="16"/>
        </w:rPr>
        <w:footnoteRef/>
      </w:r>
      <w:r w:rsidRPr="00875A0D">
        <w:rPr>
          <w:rFonts w:asciiTheme="majorHAnsi" w:hAnsiTheme="majorHAnsi"/>
          <w:sz w:val="16"/>
          <w:szCs w:val="16"/>
        </w:rPr>
        <w:t xml:space="preserve"> </w:t>
      </w:r>
      <w:r w:rsidR="002F2DAC">
        <w:rPr>
          <w:rFonts w:asciiTheme="majorHAnsi" w:hAnsiTheme="majorHAnsi"/>
          <w:sz w:val="16"/>
          <w:szCs w:val="16"/>
        </w:rPr>
        <w:t>Annex 11</w:t>
      </w:r>
      <w:r w:rsidRPr="00875A0D">
        <w:rPr>
          <w:rFonts w:asciiTheme="majorHAnsi" w:hAnsiTheme="majorHAnsi"/>
          <w:sz w:val="16"/>
          <w:szCs w:val="16"/>
        </w:rPr>
        <w:t xml:space="preserve">. </w:t>
      </w:r>
      <w:proofErr w:type="gramStart"/>
      <w:r w:rsidRPr="00875A0D">
        <w:rPr>
          <w:rFonts w:asciiTheme="majorHAnsi" w:hAnsiTheme="majorHAnsi"/>
          <w:sz w:val="16"/>
          <w:szCs w:val="16"/>
        </w:rPr>
        <w:t>Decisi</w:t>
      </w:r>
      <w:r>
        <w:rPr>
          <w:rFonts w:asciiTheme="majorHAnsi" w:hAnsiTheme="majorHAnsi"/>
          <w:sz w:val="16"/>
          <w:szCs w:val="16"/>
        </w:rPr>
        <w:t>o</w:t>
      </w:r>
      <w:r w:rsidRPr="00875A0D">
        <w:rPr>
          <w:rFonts w:asciiTheme="majorHAnsi" w:hAnsiTheme="majorHAnsi"/>
          <w:sz w:val="16"/>
          <w:szCs w:val="16"/>
        </w:rPr>
        <w:t xml:space="preserve">n </w:t>
      </w:r>
      <w:r>
        <w:rPr>
          <w:rFonts w:asciiTheme="majorHAnsi" w:hAnsiTheme="majorHAnsi"/>
          <w:sz w:val="16"/>
          <w:szCs w:val="16"/>
        </w:rPr>
        <w:t xml:space="preserve">of the Superior Judicial Council, September 7, </w:t>
      </w:r>
      <w:r w:rsidRPr="00875A0D">
        <w:rPr>
          <w:rFonts w:asciiTheme="majorHAnsi" w:hAnsiTheme="majorHAnsi"/>
          <w:sz w:val="16"/>
          <w:szCs w:val="16"/>
        </w:rPr>
        <w:t>2005</w:t>
      </w:r>
      <w:r>
        <w:rPr>
          <w:rFonts w:asciiTheme="majorHAnsi" w:hAnsiTheme="majorHAnsi"/>
          <w:sz w:val="16"/>
          <w:szCs w:val="16"/>
        </w:rPr>
        <w:t xml:space="preserve">, revoking the </w:t>
      </w:r>
      <w:proofErr w:type="spellStart"/>
      <w:r w:rsidRPr="00D0718A">
        <w:rPr>
          <w:rFonts w:asciiTheme="majorHAnsi" w:hAnsiTheme="majorHAnsi"/>
          <w:i/>
          <w:iCs/>
          <w:sz w:val="16"/>
          <w:szCs w:val="16"/>
        </w:rPr>
        <w:t>tutela</w:t>
      </w:r>
      <w:proofErr w:type="spellEnd"/>
      <w:r>
        <w:rPr>
          <w:rFonts w:asciiTheme="majorHAnsi" w:hAnsiTheme="majorHAnsi"/>
          <w:sz w:val="16"/>
          <w:szCs w:val="16"/>
        </w:rPr>
        <w:t xml:space="preserve"> action</w:t>
      </w:r>
      <w:r w:rsidRPr="00875A0D">
        <w:rPr>
          <w:rFonts w:asciiTheme="majorHAnsi" w:hAnsiTheme="majorHAnsi"/>
          <w:sz w:val="16"/>
          <w:szCs w:val="16"/>
        </w:rPr>
        <w:t>.</w:t>
      </w:r>
      <w:proofErr w:type="gramEnd"/>
      <w:r w:rsidRPr="00875A0D">
        <w:rPr>
          <w:rFonts w:asciiTheme="majorHAnsi" w:hAnsiTheme="majorHAnsi"/>
          <w:sz w:val="16"/>
          <w:szCs w:val="16"/>
        </w:rPr>
        <w:t xml:space="preserve"> </w:t>
      </w:r>
      <w:r>
        <w:rPr>
          <w:rFonts w:asciiTheme="majorHAnsi" w:hAnsiTheme="majorHAnsi"/>
          <w:sz w:val="16"/>
          <w:szCs w:val="16"/>
        </w:rPr>
        <w:t>Annex to the initial petition of December 22, 2005.</w:t>
      </w:r>
    </w:p>
  </w:footnote>
  <w:footnote w:id="18">
    <w:p w14:paraId="3E75BDD8" w14:textId="25BF3555" w:rsidR="00D02D3C" w:rsidRPr="00875A0D" w:rsidRDefault="00D02D3C" w:rsidP="00D02D3C">
      <w:pPr>
        <w:pStyle w:val="FootnoteText"/>
        <w:rPr>
          <w:rFonts w:asciiTheme="majorHAnsi" w:hAnsiTheme="majorHAnsi"/>
          <w:sz w:val="16"/>
          <w:szCs w:val="16"/>
          <w:highlight w:val="yellow"/>
        </w:rPr>
      </w:pPr>
      <w:r w:rsidRPr="00875A0D">
        <w:rPr>
          <w:rStyle w:val="FootnoteReference"/>
          <w:rFonts w:asciiTheme="majorHAnsi" w:hAnsiTheme="majorHAnsi"/>
          <w:sz w:val="16"/>
          <w:szCs w:val="16"/>
        </w:rPr>
        <w:footnoteRef/>
      </w:r>
      <w:r w:rsidRPr="00875A0D">
        <w:rPr>
          <w:rFonts w:asciiTheme="majorHAnsi" w:hAnsiTheme="majorHAnsi"/>
          <w:sz w:val="16"/>
          <w:szCs w:val="16"/>
        </w:rPr>
        <w:t xml:space="preserve"> </w:t>
      </w:r>
      <w:r w:rsidR="002F2DAC">
        <w:rPr>
          <w:rFonts w:asciiTheme="majorHAnsi" w:hAnsiTheme="majorHAnsi"/>
          <w:sz w:val="16"/>
          <w:szCs w:val="16"/>
        </w:rPr>
        <w:t>Annex 12</w:t>
      </w:r>
      <w:r w:rsidRPr="00875A0D">
        <w:rPr>
          <w:rFonts w:asciiTheme="majorHAnsi" w:hAnsiTheme="majorHAnsi"/>
          <w:sz w:val="16"/>
          <w:szCs w:val="16"/>
        </w:rPr>
        <w:t xml:space="preserve">. </w:t>
      </w:r>
      <w:proofErr w:type="gramStart"/>
      <w:r>
        <w:rPr>
          <w:rFonts w:asciiTheme="majorHAnsi" w:hAnsiTheme="majorHAnsi"/>
          <w:sz w:val="16"/>
          <w:szCs w:val="16"/>
        </w:rPr>
        <w:t xml:space="preserve">Dissenting vote of Judge </w:t>
      </w:r>
      <w:r w:rsidRPr="00875A0D">
        <w:rPr>
          <w:rFonts w:asciiTheme="majorHAnsi" w:hAnsiTheme="majorHAnsi"/>
          <w:sz w:val="16"/>
          <w:szCs w:val="16"/>
        </w:rPr>
        <w:t xml:space="preserve">Jorge Alonso </w:t>
      </w:r>
      <w:proofErr w:type="spellStart"/>
      <w:r w:rsidRPr="00875A0D">
        <w:rPr>
          <w:rFonts w:asciiTheme="majorHAnsi" w:hAnsiTheme="majorHAnsi"/>
          <w:sz w:val="16"/>
          <w:szCs w:val="16"/>
        </w:rPr>
        <w:t>Flechas</w:t>
      </w:r>
      <w:proofErr w:type="spellEnd"/>
      <w:r w:rsidRPr="00875A0D">
        <w:rPr>
          <w:rFonts w:asciiTheme="majorHAnsi" w:hAnsiTheme="majorHAnsi"/>
          <w:sz w:val="16"/>
          <w:szCs w:val="16"/>
        </w:rPr>
        <w:t xml:space="preserve"> </w:t>
      </w:r>
      <w:proofErr w:type="spellStart"/>
      <w:r w:rsidRPr="00875A0D">
        <w:rPr>
          <w:rFonts w:asciiTheme="majorHAnsi" w:hAnsiTheme="majorHAnsi"/>
          <w:sz w:val="16"/>
          <w:szCs w:val="16"/>
        </w:rPr>
        <w:t>Díaz</w:t>
      </w:r>
      <w:proofErr w:type="spellEnd"/>
      <w:r>
        <w:rPr>
          <w:rFonts w:asciiTheme="majorHAnsi" w:hAnsiTheme="majorHAnsi"/>
          <w:sz w:val="16"/>
          <w:szCs w:val="16"/>
        </w:rPr>
        <w:t xml:space="preserve">, in relation to the decision of the Superior Judicial Council of September 7, </w:t>
      </w:r>
      <w:r w:rsidRPr="00875A0D">
        <w:rPr>
          <w:rFonts w:asciiTheme="majorHAnsi" w:hAnsiTheme="majorHAnsi"/>
          <w:sz w:val="16"/>
          <w:szCs w:val="16"/>
        </w:rPr>
        <w:t>2005</w:t>
      </w:r>
      <w:r>
        <w:rPr>
          <w:rFonts w:asciiTheme="majorHAnsi" w:hAnsiTheme="majorHAnsi"/>
          <w:sz w:val="16"/>
          <w:szCs w:val="16"/>
        </w:rPr>
        <w:t xml:space="preserve">, revoking the </w:t>
      </w:r>
      <w:proofErr w:type="spellStart"/>
      <w:r w:rsidRPr="00D0718A">
        <w:rPr>
          <w:rFonts w:asciiTheme="majorHAnsi" w:hAnsiTheme="majorHAnsi"/>
          <w:i/>
          <w:iCs/>
          <w:sz w:val="16"/>
          <w:szCs w:val="16"/>
        </w:rPr>
        <w:t>tutela</w:t>
      </w:r>
      <w:proofErr w:type="spellEnd"/>
      <w:r>
        <w:rPr>
          <w:rFonts w:asciiTheme="majorHAnsi" w:hAnsiTheme="majorHAnsi"/>
          <w:sz w:val="16"/>
          <w:szCs w:val="16"/>
        </w:rPr>
        <w:t xml:space="preserve"> action</w:t>
      </w:r>
      <w:r w:rsidRPr="00875A0D">
        <w:rPr>
          <w:rFonts w:asciiTheme="majorHAnsi" w:hAnsiTheme="majorHAnsi"/>
          <w:sz w:val="16"/>
          <w:szCs w:val="16"/>
        </w:rPr>
        <w:t>.</w:t>
      </w:r>
      <w:proofErr w:type="gramEnd"/>
      <w:r w:rsidRPr="00875A0D">
        <w:rPr>
          <w:rFonts w:asciiTheme="majorHAnsi" w:hAnsiTheme="majorHAnsi"/>
          <w:sz w:val="16"/>
          <w:szCs w:val="16"/>
        </w:rPr>
        <w:t xml:space="preserve"> </w:t>
      </w:r>
      <w:r>
        <w:rPr>
          <w:rFonts w:asciiTheme="majorHAnsi" w:hAnsiTheme="majorHAnsi"/>
          <w:sz w:val="16"/>
          <w:szCs w:val="16"/>
        </w:rPr>
        <w:t>Annex to the communication from the petitioner, September 30, 2009.</w:t>
      </w:r>
    </w:p>
  </w:footnote>
  <w:footnote w:id="19">
    <w:p w14:paraId="4600EE32" w14:textId="0D8D932B" w:rsidR="00D02D3C" w:rsidRPr="00875A0D" w:rsidRDefault="00D02D3C" w:rsidP="00D02D3C">
      <w:pPr>
        <w:pStyle w:val="FootnoteText"/>
        <w:rPr>
          <w:rFonts w:asciiTheme="majorHAnsi" w:hAnsiTheme="majorHAnsi"/>
          <w:sz w:val="16"/>
          <w:szCs w:val="16"/>
          <w:highlight w:val="yellow"/>
        </w:rPr>
      </w:pPr>
      <w:r w:rsidRPr="00875A0D">
        <w:rPr>
          <w:rStyle w:val="FootnoteReference"/>
          <w:rFonts w:asciiTheme="majorHAnsi" w:hAnsiTheme="majorHAnsi"/>
          <w:sz w:val="16"/>
          <w:szCs w:val="16"/>
        </w:rPr>
        <w:footnoteRef/>
      </w:r>
      <w:r w:rsidRPr="00875A0D">
        <w:rPr>
          <w:rFonts w:asciiTheme="majorHAnsi" w:hAnsiTheme="majorHAnsi"/>
          <w:sz w:val="16"/>
          <w:szCs w:val="16"/>
        </w:rPr>
        <w:t xml:space="preserve"> </w:t>
      </w:r>
      <w:r>
        <w:rPr>
          <w:rFonts w:asciiTheme="majorHAnsi" w:hAnsiTheme="majorHAnsi"/>
          <w:sz w:val="16"/>
          <w:szCs w:val="16"/>
        </w:rPr>
        <w:t>A</w:t>
      </w:r>
      <w:r w:rsidR="002F2DAC">
        <w:rPr>
          <w:rFonts w:asciiTheme="majorHAnsi" w:hAnsiTheme="majorHAnsi"/>
          <w:sz w:val="16"/>
          <w:szCs w:val="16"/>
        </w:rPr>
        <w:t>nnex 12</w:t>
      </w:r>
      <w:r w:rsidRPr="00875A0D">
        <w:rPr>
          <w:rFonts w:asciiTheme="majorHAnsi" w:hAnsiTheme="majorHAnsi"/>
          <w:sz w:val="16"/>
          <w:szCs w:val="16"/>
        </w:rPr>
        <w:t xml:space="preserve">. </w:t>
      </w:r>
      <w:proofErr w:type="gramStart"/>
      <w:r>
        <w:rPr>
          <w:rFonts w:asciiTheme="majorHAnsi" w:hAnsiTheme="majorHAnsi"/>
          <w:sz w:val="16"/>
          <w:szCs w:val="16"/>
        </w:rPr>
        <w:t xml:space="preserve">Dissenting vote of Judge </w:t>
      </w:r>
      <w:r w:rsidRPr="00875A0D">
        <w:rPr>
          <w:rFonts w:asciiTheme="majorHAnsi" w:hAnsiTheme="majorHAnsi"/>
          <w:sz w:val="16"/>
          <w:szCs w:val="16"/>
        </w:rPr>
        <w:t xml:space="preserve">Ruben Darío </w:t>
      </w:r>
      <w:proofErr w:type="spellStart"/>
      <w:r w:rsidRPr="00875A0D">
        <w:rPr>
          <w:rFonts w:asciiTheme="majorHAnsi" w:hAnsiTheme="majorHAnsi"/>
          <w:sz w:val="16"/>
          <w:szCs w:val="16"/>
        </w:rPr>
        <w:t>Henao</w:t>
      </w:r>
      <w:proofErr w:type="spellEnd"/>
      <w:r w:rsidRPr="00875A0D">
        <w:rPr>
          <w:rFonts w:asciiTheme="majorHAnsi" w:hAnsiTheme="majorHAnsi"/>
          <w:sz w:val="16"/>
          <w:szCs w:val="16"/>
        </w:rPr>
        <w:t xml:space="preserve"> Orozco</w:t>
      </w:r>
      <w:r>
        <w:rPr>
          <w:rFonts w:asciiTheme="majorHAnsi" w:hAnsiTheme="majorHAnsi"/>
          <w:sz w:val="16"/>
          <w:szCs w:val="16"/>
        </w:rPr>
        <w:t xml:space="preserve">, in relation to the decision of the Superior Judicial Council of September 7, </w:t>
      </w:r>
      <w:r w:rsidRPr="00875A0D">
        <w:rPr>
          <w:rFonts w:asciiTheme="majorHAnsi" w:hAnsiTheme="majorHAnsi"/>
          <w:sz w:val="16"/>
          <w:szCs w:val="16"/>
        </w:rPr>
        <w:t>2005</w:t>
      </w:r>
      <w:r>
        <w:rPr>
          <w:rFonts w:asciiTheme="majorHAnsi" w:hAnsiTheme="majorHAnsi"/>
          <w:sz w:val="16"/>
          <w:szCs w:val="16"/>
        </w:rPr>
        <w:t xml:space="preserve">, revoking the </w:t>
      </w:r>
      <w:proofErr w:type="spellStart"/>
      <w:r w:rsidRPr="00D0718A">
        <w:rPr>
          <w:rFonts w:asciiTheme="majorHAnsi" w:hAnsiTheme="majorHAnsi"/>
          <w:i/>
          <w:iCs/>
          <w:sz w:val="16"/>
          <w:szCs w:val="16"/>
        </w:rPr>
        <w:t>tutela</w:t>
      </w:r>
      <w:proofErr w:type="spellEnd"/>
      <w:r>
        <w:rPr>
          <w:rFonts w:asciiTheme="majorHAnsi" w:hAnsiTheme="majorHAnsi"/>
          <w:sz w:val="16"/>
          <w:szCs w:val="16"/>
        </w:rPr>
        <w:t xml:space="preserve"> action</w:t>
      </w:r>
      <w:r w:rsidRPr="00875A0D">
        <w:rPr>
          <w:rFonts w:asciiTheme="majorHAnsi" w:hAnsiTheme="majorHAnsi"/>
          <w:sz w:val="16"/>
          <w:szCs w:val="16"/>
        </w:rPr>
        <w:t>.</w:t>
      </w:r>
      <w:proofErr w:type="gramEnd"/>
      <w:r w:rsidRPr="00875A0D">
        <w:rPr>
          <w:rFonts w:asciiTheme="majorHAnsi" w:hAnsiTheme="majorHAnsi"/>
          <w:sz w:val="16"/>
          <w:szCs w:val="16"/>
        </w:rPr>
        <w:t xml:space="preserve"> </w:t>
      </w:r>
      <w:r>
        <w:rPr>
          <w:rFonts w:asciiTheme="majorHAnsi" w:hAnsiTheme="majorHAnsi"/>
          <w:sz w:val="16"/>
          <w:szCs w:val="16"/>
        </w:rPr>
        <w:t>Annex to the communication from the petitioner, September 30, 2009.</w:t>
      </w:r>
    </w:p>
  </w:footnote>
  <w:footnote w:id="20">
    <w:p w14:paraId="2CBECF21" w14:textId="0E5CCE50" w:rsidR="00D02D3C" w:rsidRPr="00875A0D" w:rsidRDefault="00D02D3C" w:rsidP="00D02D3C">
      <w:pPr>
        <w:pStyle w:val="FootnoteText"/>
        <w:rPr>
          <w:rFonts w:asciiTheme="majorHAnsi" w:hAnsiTheme="majorHAnsi"/>
          <w:sz w:val="16"/>
          <w:szCs w:val="16"/>
        </w:rPr>
      </w:pPr>
      <w:r w:rsidRPr="00875A0D">
        <w:rPr>
          <w:rStyle w:val="FootnoteReference"/>
          <w:rFonts w:asciiTheme="majorHAnsi" w:hAnsiTheme="majorHAnsi"/>
          <w:sz w:val="16"/>
          <w:szCs w:val="16"/>
        </w:rPr>
        <w:footnoteRef/>
      </w:r>
      <w:r w:rsidRPr="00875A0D">
        <w:rPr>
          <w:rFonts w:asciiTheme="majorHAnsi" w:hAnsiTheme="majorHAnsi"/>
          <w:sz w:val="16"/>
          <w:szCs w:val="16"/>
        </w:rPr>
        <w:t xml:space="preserve"> </w:t>
      </w:r>
      <w:r w:rsidR="002F2DAC">
        <w:rPr>
          <w:rFonts w:asciiTheme="majorHAnsi" w:hAnsiTheme="majorHAnsi"/>
          <w:sz w:val="16"/>
          <w:szCs w:val="16"/>
        </w:rPr>
        <w:t>Annex 13</w:t>
      </w:r>
      <w:r w:rsidRPr="00875A0D">
        <w:rPr>
          <w:rFonts w:asciiTheme="majorHAnsi" w:hAnsiTheme="majorHAnsi"/>
          <w:sz w:val="16"/>
          <w:szCs w:val="16"/>
        </w:rPr>
        <w:t xml:space="preserve">. </w:t>
      </w:r>
      <w:proofErr w:type="gramStart"/>
      <w:r w:rsidRPr="00875A0D">
        <w:rPr>
          <w:rFonts w:asciiTheme="majorHAnsi" w:hAnsiTheme="majorHAnsi"/>
          <w:sz w:val="16"/>
          <w:szCs w:val="16"/>
        </w:rPr>
        <w:t>Decisi</w:t>
      </w:r>
      <w:r>
        <w:rPr>
          <w:rFonts w:asciiTheme="majorHAnsi" w:hAnsiTheme="majorHAnsi"/>
          <w:sz w:val="16"/>
          <w:szCs w:val="16"/>
        </w:rPr>
        <w:t>o</w:t>
      </w:r>
      <w:r w:rsidRPr="00875A0D">
        <w:rPr>
          <w:rFonts w:asciiTheme="majorHAnsi" w:hAnsiTheme="majorHAnsi"/>
          <w:sz w:val="16"/>
          <w:szCs w:val="16"/>
        </w:rPr>
        <w:t xml:space="preserve">n </w:t>
      </w:r>
      <w:r>
        <w:rPr>
          <w:rFonts w:asciiTheme="majorHAnsi" w:hAnsiTheme="majorHAnsi"/>
          <w:sz w:val="16"/>
          <w:szCs w:val="16"/>
        </w:rPr>
        <w:t xml:space="preserve">of the Administrative </w:t>
      </w:r>
      <w:r w:rsidRPr="00875A0D">
        <w:rPr>
          <w:rFonts w:asciiTheme="majorHAnsi" w:hAnsiTheme="majorHAnsi"/>
          <w:sz w:val="16"/>
          <w:szCs w:val="16"/>
        </w:rPr>
        <w:t xml:space="preserve">Tribunal </w:t>
      </w:r>
      <w:r>
        <w:rPr>
          <w:rFonts w:asciiTheme="majorHAnsi" w:hAnsiTheme="majorHAnsi"/>
          <w:sz w:val="16"/>
          <w:szCs w:val="16"/>
        </w:rPr>
        <w:t xml:space="preserve">of </w:t>
      </w:r>
      <w:r w:rsidRPr="00875A0D">
        <w:rPr>
          <w:rFonts w:asciiTheme="majorHAnsi" w:hAnsiTheme="majorHAnsi"/>
          <w:sz w:val="16"/>
          <w:szCs w:val="16"/>
        </w:rPr>
        <w:t>Bolívar</w:t>
      </w:r>
      <w:r>
        <w:rPr>
          <w:rFonts w:asciiTheme="majorHAnsi" w:hAnsiTheme="majorHAnsi"/>
          <w:sz w:val="16"/>
          <w:szCs w:val="16"/>
        </w:rPr>
        <w:t>, October</w:t>
      </w:r>
      <w:r w:rsidRPr="00875A0D">
        <w:rPr>
          <w:rFonts w:asciiTheme="majorHAnsi" w:hAnsiTheme="majorHAnsi"/>
          <w:sz w:val="16"/>
          <w:szCs w:val="16"/>
        </w:rPr>
        <w:t xml:space="preserve"> 4</w:t>
      </w:r>
      <w:r>
        <w:rPr>
          <w:rFonts w:asciiTheme="majorHAnsi" w:hAnsiTheme="majorHAnsi"/>
          <w:sz w:val="16"/>
          <w:szCs w:val="16"/>
        </w:rPr>
        <w:t>,</w:t>
      </w:r>
      <w:r w:rsidRPr="00875A0D">
        <w:rPr>
          <w:rFonts w:asciiTheme="majorHAnsi" w:hAnsiTheme="majorHAnsi"/>
          <w:sz w:val="16"/>
          <w:szCs w:val="16"/>
        </w:rPr>
        <w:t xml:space="preserve"> 2005</w:t>
      </w:r>
      <w:r>
        <w:rPr>
          <w:rFonts w:asciiTheme="majorHAnsi" w:hAnsiTheme="majorHAnsi"/>
          <w:sz w:val="16"/>
          <w:szCs w:val="16"/>
        </w:rPr>
        <w:t>, rejecting the action for nullity and reestablishment of the right.</w:t>
      </w:r>
      <w:proofErr w:type="gramEnd"/>
      <w:r>
        <w:rPr>
          <w:rFonts w:asciiTheme="majorHAnsi" w:hAnsiTheme="majorHAnsi"/>
          <w:sz w:val="16"/>
          <w:szCs w:val="16"/>
        </w:rPr>
        <w:t xml:space="preserve"> Annex to the communication from the petitioner, September 30, 2009.</w:t>
      </w:r>
    </w:p>
  </w:footnote>
  <w:footnote w:id="21">
    <w:p w14:paraId="2F1CEC19" w14:textId="04428731" w:rsidR="00D02D3C" w:rsidRPr="00875A0D" w:rsidRDefault="00D02D3C" w:rsidP="00D02D3C">
      <w:pPr>
        <w:pStyle w:val="FootnoteText"/>
        <w:rPr>
          <w:rFonts w:asciiTheme="majorHAnsi" w:hAnsiTheme="majorHAnsi"/>
          <w:color w:val="auto"/>
          <w:sz w:val="16"/>
          <w:szCs w:val="16"/>
        </w:rPr>
      </w:pPr>
      <w:r w:rsidRPr="00875A0D">
        <w:rPr>
          <w:rStyle w:val="FootnoteReference"/>
          <w:rFonts w:asciiTheme="majorHAnsi" w:hAnsiTheme="majorHAnsi"/>
          <w:color w:val="auto"/>
          <w:sz w:val="16"/>
          <w:szCs w:val="16"/>
        </w:rPr>
        <w:footnoteRef/>
      </w:r>
      <w:r w:rsidRPr="00875A0D">
        <w:rPr>
          <w:rFonts w:asciiTheme="majorHAnsi" w:hAnsiTheme="majorHAnsi"/>
          <w:color w:val="auto"/>
          <w:sz w:val="16"/>
          <w:szCs w:val="16"/>
        </w:rPr>
        <w:t xml:space="preserve"> </w:t>
      </w:r>
      <w:r w:rsidR="00C279CC">
        <w:rPr>
          <w:rFonts w:asciiTheme="majorHAnsi" w:hAnsiTheme="majorHAnsi"/>
          <w:color w:val="auto"/>
          <w:sz w:val="16"/>
          <w:szCs w:val="16"/>
        </w:rPr>
        <w:t>Annex 14</w:t>
      </w:r>
      <w:r w:rsidRPr="00875A0D">
        <w:rPr>
          <w:rFonts w:asciiTheme="majorHAnsi" w:hAnsiTheme="majorHAnsi"/>
          <w:color w:val="auto"/>
          <w:sz w:val="16"/>
          <w:szCs w:val="16"/>
        </w:rPr>
        <w:t>. Decisi</w:t>
      </w:r>
      <w:r>
        <w:rPr>
          <w:rFonts w:asciiTheme="majorHAnsi" w:hAnsiTheme="majorHAnsi"/>
          <w:color w:val="auto"/>
          <w:sz w:val="16"/>
          <w:szCs w:val="16"/>
        </w:rPr>
        <w:t>o</w:t>
      </w:r>
      <w:r w:rsidRPr="00875A0D">
        <w:rPr>
          <w:rFonts w:asciiTheme="majorHAnsi" w:hAnsiTheme="majorHAnsi"/>
          <w:color w:val="auto"/>
          <w:sz w:val="16"/>
          <w:szCs w:val="16"/>
        </w:rPr>
        <w:t xml:space="preserve">n </w:t>
      </w:r>
      <w:r>
        <w:rPr>
          <w:rFonts w:asciiTheme="majorHAnsi" w:hAnsiTheme="majorHAnsi"/>
          <w:color w:val="auto"/>
          <w:sz w:val="16"/>
          <w:szCs w:val="16"/>
        </w:rPr>
        <w:t xml:space="preserve">of the Seventh Labor Court of </w:t>
      </w:r>
      <w:r w:rsidRPr="00875A0D">
        <w:rPr>
          <w:rFonts w:asciiTheme="majorHAnsi" w:hAnsiTheme="majorHAnsi"/>
          <w:color w:val="auto"/>
          <w:sz w:val="16"/>
          <w:szCs w:val="16"/>
        </w:rPr>
        <w:t>Cartagena</w:t>
      </w:r>
      <w:r>
        <w:rPr>
          <w:rFonts w:asciiTheme="majorHAnsi" w:hAnsiTheme="majorHAnsi"/>
          <w:color w:val="auto"/>
          <w:sz w:val="16"/>
          <w:szCs w:val="16"/>
        </w:rPr>
        <w:t>, December</w:t>
      </w:r>
      <w:r w:rsidRPr="00875A0D">
        <w:rPr>
          <w:rFonts w:asciiTheme="majorHAnsi" w:hAnsiTheme="majorHAnsi"/>
          <w:color w:val="auto"/>
          <w:sz w:val="16"/>
          <w:szCs w:val="16"/>
        </w:rPr>
        <w:t xml:space="preserve"> 13</w:t>
      </w:r>
      <w:r>
        <w:rPr>
          <w:rFonts w:asciiTheme="majorHAnsi" w:hAnsiTheme="majorHAnsi"/>
          <w:color w:val="auto"/>
          <w:sz w:val="16"/>
          <w:szCs w:val="16"/>
        </w:rPr>
        <w:t>,</w:t>
      </w:r>
      <w:r w:rsidRPr="00875A0D">
        <w:rPr>
          <w:rFonts w:asciiTheme="majorHAnsi" w:hAnsiTheme="majorHAnsi"/>
          <w:color w:val="auto"/>
          <w:sz w:val="16"/>
          <w:szCs w:val="16"/>
        </w:rPr>
        <w:t xml:space="preserve"> 2006. </w:t>
      </w:r>
      <w:r>
        <w:rPr>
          <w:rFonts w:asciiTheme="majorHAnsi" w:hAnsiTheme="majorHAnsi"/>
          <w:color w:val="auto"/>
          <w:sz w:val="16"/>
          <w:szCs w:val="16"/>
        </w:rPr>
        <w:t>Annex to the communication from the petitioner, September 30, 2009.</w:t>
      </w:r>
    </w:p>
  </w:footnote>
  <w:footnote w:id="22">
    <w:p w14:paraId="039A3D06" w14:textId="77777777" w:rsidR="00D02D3C" w:rsidRPr="00875A0D" w:rsidRDefault="00D02D3C" w:rsidP="00D02D3C">
      <w:pPr>
        <w:pStyle w:val="FootnoteText"/>
        <w:rPr>
          <w:rFonts w:asciiTheme="majorHAnsi" w:hAnsiTheme="majorHAnsi"/>
          <w:color w:val="auto"/>
          <w:sz w:val="16"/>
          <w:szCs w:val="16"/>
        </w:rPr>
      </w:pPr>
      <w:r w:rsidRPr="00875A0D">
        <w:rPr>
          <w:rStyle w:val="FootnoteReference"/>
          <w:rFonts w:asciiTheme="majorHAnsi" w:hAnsiTheme="majorHAnsi"/>
          <w:color w:val="auto"/>
          <w:sz w:val="16"/>
          <w:szCs w:val="16"/>
        </w:rPr>
        <w:footnoteRef/>
      </w:r>
      <w:r w:rsidRPr="00875A0D">
        <w:rPr>
          <w:rFonts w:asciiTheme="majorHAnsi" w:hAnsiTheme="majorHAnsi"/>
          <w:color w:val="auto"/>
          <w:sz w:val="16"/>
          <w:szCs w:val="16"/>
        </w:rPr>
        <w:t xml:space="preserve"> </w:t>
      </w:r>
      <w:proofErr w:type="gramStart"/>
      <w:r w:rsidRPr="00875A0D">
        <w:rPr>
          <w:rFonts w:asciiTheme="majorHAnsi" w:hAnsiTheme="majorHAnsi"/>
          <w:color w:val="auto"/>
          <w:sz w:val="16"/>
          <w:szCs w:val="16"/>
        </w:rPr>
        <w:t>Com</w:t>
      </w:r>
      <w:r>
        <w:rPr>
          <w:rFonts w:asciiTheme="majorHAnsi" w:hAnsiTheme="majorHAnsi"/>
          <w:color w:val="auto"/>
          <w:sz w:val="16"/>
          <w:szCs w:val="16"/>
        </w:rPr>
        <w:t>m</w:t>
      </w:r>
      <w:r w:rsidRPr="00875A0D">
        <w:rPr>
          <w:rFonts w:asciiTheme="majorHAnsi" w:hAnsiTheme="majorHAnsi"/>
          <w:color w:val="auto"/>
          <w:sz w:val="16"/>
          <w:szCs w:val="16"/>
        </w:rPr>
        <w:t>unica</w:t>
      </w:r>
      <w:r>
        <w:rPr>
          <w:rFonts w:asciiTheme="majorHAnsi" w:hAnsiTheme="majorHAnsi"/>
          <w:color w:val="auto"/>
          <w:sz w:val="16"/>
          <w:szCs w:val="16"/>
        </w:rPr>
        <w:t>tio</w:t>
      </w:r>
      <w:r w:rsidRPr="00875A0D">
        <w:rPr>
          <w:rFonts w:asciiTheme="majorHAnsi" w:hAnsiTheme="majorHAnsi"/>
          <w:color w:val="auto"/>
          <w:sz w:val="16"/>
          <w:szCs w:val="16"/>
        </w:rPr>
        <w:t xml:space="preserve">n </w:t>
      </w:r>
      <w:r>
        <w:rPr>
          <w:rFonts w:asciiTheme="majorHAnsi" w:hAnsiTheme="majorHAnsi"/>
          <w:color w:val="auto"/>
          <w:sz w:val="16"/>
          <w:szCs w:val="16"/>
        </w:rPr>
        <w:t xml:space="preserve">from the alleged victim, September </w:t>
      </w:r>
      <w:r w:rsidRPr="00875A0D">
        <w:rPr>
          <w:rFonts w:asciiTheme="majorHAnsi" w:hAnsiTheme="majorHAnsi"/>
          <w:color w:val="auto"/>
          <w:sz w:val="16"/>
          <w:szCs w:val="16"/>
        </w:rPr>
        <w:t>30</w:t>
      </w:r>
      <w:r>
        <w:rPr>
          <w:rFonts w:asciiTheme="majorHAnsi" w:hAnsiTheme="majorHAnsi"/>
          <w:color w:val="auto"/>
          <w:sz w:val="16"/>
          <w:szCs w:val="16"/>
        </w:rPr>
        <w:t>,</w:t>
      </w:r>
      <w:r w:rsidRPr="00875A0D">
        <w:rPr>
          <w:rFonts w:asciiTheme="majorHAnsi" w:hAnsiTheme="majorHAnsi"/>
          <w:color w:val="auto"/>
          <w:sz w:val="16"/>
          <w:szCs w:val="16"/>
        </w:rPr>
        <w:t xml:space="preserve"> 2009.</w:t>
      </w:r>
      <w:proofErr w:type="gramEnd"/>
    </w:p>
  </w:footnote>
  <w:footnote w:id="23">
    <w:p w14:paraId="4F23BCA9" w14:textId="77777777" w:rsidR="00D02D3C" w:rsidRPr="00875A0D" w:rsidRDefault="00D02D3C" w:rsidP="00D02D3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sz w:val="16"/>
          <w:szCs w:val="16"/>
          <w:lang w:eastAsia="es-ES"/>
        </w:rPr>
      </w:pPr>
      <w:r w:rsidRPr="00875A0D">
        <w:rPr>
          <w:rStyle w:val="FootnoteReference"/>
          <w:rFonts w:asciiTheme="majorHAnsi" w:hAnsiTheme="majorHAnsi"/>
          <w:sz w:val="16"/>
          <w:szCs w:val="16"/>
        </w:rPr>
        <w:footnoteRef/>
      </w:r>
      <w:r w:rsidRPr="00875A0D">
        <w:rPr>
          <w:rFonts w:asciiTheme="majorHAnsi" w:hAnsiTheme="majorHAnsi"/>
          <w:sz w:val="16"/>
          <w:szCs w:val="16"/>
        </w:rPr>
        <w:t xml:space="preserve"> </w:t>
      </w:r>
      <w:r>
        <w:rPr>
          <w:rFonts w:asciiTheme="majorHAnsi" w:hAnsiTheme="majorHAnsi"/>
          <w:sz w:val="16"/>
          <w:szCs w:val="16"/>
        </w:rPr>
        <w:t xml:space="preserve">Article </w:t>
      </w:r>
      <w:r w:rsidRPr="00875A0D">
        <w:rPr>
          <w:rFonts w:asciiTheme="majorHAnsi" w:hAnsiTheme="majorHAnsi"/>
          <w:sz w:val="16"/>
          <w:szCs w:val="16"/>
        </w:rPr>
        <w:t>8</w:t>
      </w:r>
      <w:r>
        <w:rPr>
          <w:rFonts w:asciiTheme="majorHAnsi" w:hAnsiTheme="majorHAnsi"/>
          <w:sz w:val="16"/>
          <w:szCs w:val="16"/>
        </w:rPr>
        <w:t>(</w:t>
      </w:r>
      <w:r w:rsidRPr="00875A0D">
        <w:rPr>
          <w:rFonts w:asciiTheme="majorHAnsi" w:hAnsiTheme="majorHAnsi"/>
          <w:sz w:val="16"/>
          <w:szCs w:val="16"/>
        </w:rPr>
        <w:t>1</w:t>
      </w:r>
      <w:r>
        <w:rPr>
          <w:rFonts w:asciiTheme="majorHAnsi" w:hAnsiTheme="majorHAnsi"/>
          <w:sz w:val="16"/>
          <w:szCs w:val="16"/>
        </w:rPr>
        <w:t>) of the Convention states: “</w:t>
      </w:r>
      <w:r w:rsidRPr="00D0718A">
        <w:rPr>
          <w:rFonts w:asciiTheme="majorHAnsi" w:hAnsiTheme="majorHAnsi"/>
          <w:sz w:val="16"/>
          <w:szCs w:val="16"/>
        </w:rPr>
        <w:t>Every person has the right to a hearing, with due guarantees and within a reasonable time, by a competent, independent, and impartial tribunal, previously established by law, in the substantiation of any accusation of a criminal nature made against him or for the determination of his rights and obligations of a civil, labor, fiscal, or any other nature</w:t>
      </w:r>
      <w:r w:rsidRPr="00875A0D">
        <w:rPr>
          <w:rFonts w:asciiTheme="majorHAnsi" w:eastAsia="Times New Roman" w:hAnsiTheme="majorHAnsi"/>
          <w:sz w:val="16"/>
          <w:szCs w:val="16"/>
          <w:lang w:eastAsia="es-ES"/>
        </w:rPr>
        <w:t>.</w:t>
      </w:r>
      <w:r>
        <w:rPr>
          <w:rFonts w:asciiTheme="majorHAnsi" w:eastAsia="Times New Roman" w:hAnsiTheme="majorHAnsi"/>
          <w:sz w:val="16"/>
          <w:szCs w:val="16"/>
          <w:lang w:eastAsia="es-ES"/>
        </w:rPr>
        <w:t>”</w:t>
      </w:r>
      <w:r w:rsidRPr="00875A0D">
        <w:rPr>
          <w:rFonts w:asciiTheme="majorHAnsi" w:eastAsia="Times New Roman" w:hAnsiTheme="majorHAnsi"/>
          <w:sz w:val="16"/>
          <w:szCs w:val="16"/>
          <w:lang w:eastAsia="es-ES"/>
        </w:rPr>
        <w:t xml:space="preserve"> </w:t>
      </w:r>
      <w:r>
        <w:rPr>
          <w:rFonts w:asciiTheme="majorHAnsi" w:eastAsia="Times New Roman" w:hAnsiTheme="majorHAnsi"/>
          <w:sz w:val="16"/>
          <w:szCs w:val="16"/>
          <w:lang w:eastAsia="es-ES"/>
        </w:rPr>
        <w:t xml:space="preserve">Article </w:t>
      </w:r>
      <w:r w:rsidRPr="00875A0D">
        <w:rPr>
          <w:rFonts w:asciiTheme="majorHAnsi" w:hAnsiTheme="majorHAnsi"/>
          <w:sz w:val="16"/>
          <w:szCs w:val="16"/>
        </w:rPr>
        <w:t>8</w:t>
      </w:r>
      <w:r>
        <w:rPr>
          <w:rFonts w:asciiTheme="majorHAnsi" w:hAnsiTheme="majorHAnsi"/>
          <w:sz w:val="16"/>
          <w:szCs w:val="16"/>
        </w:rPr>
        <w:t>(</w:t>
      </w:r>
      <w:r w:rsidRPr="00875A0D">
        <w:rPr>
          <w:rFonts w:asciiTheme="majorHAnsi" w:hAnsiTheme="majorHAnsi"/>
          <w:sz w:val="16"/>
          <w:szCs w:val="16"/>
        </w:rPr>
        <w:t>2</w:t>
      </w:r>
      <w:r>
        <w:rPr>
          <w:rFonts w:asciiTheme="majorHAnsi" w:hAnsiTheme="majorHAnsi"/>
          <w:sz w:val="16"/>
          <w:szCs w:val="16"/>
        </w:rPr>
        <w:t>)</w:t>
      </w:r>
      <w:r w:rsidRPr="00875A0D">
        <w:rPr>
          <w:rFonts w:asciiTheme="majorHAnsi" w:hAnsiTheme="majorHAnsi"/>
          <w:sz w:val="16"/>
          <w:szCs w:val="16"/>
        </w:rPr>
        <w:t xml:space="preserve"> establ</w:t>
      </w:r>
      <w:r>
        <w:rPr>
          <w:rFonts w:asciiTheme="majorHAnsi" w:hAnsiTheme="majorHAnsi"/>
          <w:sz w:val="16"/>
          <w:szCs w:val="16"/>
        </w:rPr>
        <w:t>ishes, at the relevant part: “</w:t>
      </w:r>
      <w:r w:rsidRPr="00875A0D">
        <w:rPr>
          <w:rFonts w:asciiTheme="majorHAnsi" w:hAnsiTheme="majorHAnsi"/>
          <w:sz w:val="16"/>
          <w:szCs w:val="16"/>
        </w:rPr>
        <w:t xml:space="preserve">2. </w:t>
      </w:r>
      <w:proofErr w:type="gramStart"/>
      <w:r w:rsidRPr="00D0718A">
        <w:rPr>
          <w:rFonts w:asciiTheme="majorHAnsi" w:hAnsiTheme="majorHAnsi"/>
          <w:sz w:val="16"/>
          <w:szCs w:val="16"/>
        </w:rPr>
        <w:t>Every</w:t>
      </w:r>
      <w:proofErr w:type="gramEnd"/>
      <w:r w:rsidRPr="00D0718A">
        <w:rPr>
          <w:rFonts w:asciiTheme="majorHAnsi" w:hAnsiTheme="majorHAnsi"/>
          <w:sz w:val="16"/>
          <w:szCs w:val="16"/>
        </w:rPr>
        <w:t xml:space="preserve"> person accused of a criminal offense has the right to be presumed innocent so long as his guilt has not been proven according to law. During the proceedings, every person is entitled, with full equality, to the following minimum guarantees</w:t>
      </w:r>
      <w:r w:rsidRPr="00875A0D">
        <w:rPr>
          <w:rFonts w:asciiTheme="majorHAnsi" w:hAnsiTheme="majorHAnsi"/>
          <w:sz w:val="16"/>
          <w:szCs w:val="16"/>
        </w:rPr>
        <w:t>:</w:t>
      </w:r>
      <w:r>
        <w:rPr>
          <w:rFonts w:asciiTheme="majorHAnsi" w:hAnsiTheme="majorHAnsi"/>
          <w:sz w:val="16"/>
          <w:szCs w:val="16"/>
        </w:rPr>
        <w:t xml:space="preserve"> …</w:t>
      </w:r>
      <w:r w:rsidRPr="00875A0D">
        <w:rPr>
          <w:rFonts w:asciiTheme="majorHAnsi" w:hAnsiTheme="majorHAnsi"/>
          <w:sz w:val="16"/>
          <w:szCs w:val="16"/>
        </w:rPr>
        <w:t xml:space="preserve"> </w:t>
      </w:r>
      <w:r>
        <w:rPr>
          <w:rFonts w:asciiTheme="majorHAnsi" w:hAnsiTheme="majorHAnsi"/>
          <w:sz w:val="16"/>
          <w:szCs w:val="16"/>
        </w:rPr>
        <w:t>(</w:t>
      </w:r>
      <w:r w:rsidRPr="00875A0D">
        <w:rPr>
          <w:rFonts w:asciiTheme="majorHAnsi" w:hAnsiTheme="majorHAnsi"/>
          <w:sz w:val="16"/>
          <w:szCs w:val="16"/>
        </w:rPr>
        <w:t xml:space="preserve">b) </w:t>
      </w:r>
      <w:proofErr w:type="gramStart"/>
      <w:r>
        <w:rPr>
          <w:rFonts w:asciiTheme="majorHAnsi" w:hAnsiTheme="majorHAnsi"/>
          <w:sz w:val="16"/>
          <w:szCs w:val="16"/>
        </w:rPr>
        <w:t>prior</w:t>
      </w:r>
      <w:proofErr w:type="gramEnd"/>
      <w:r>
        <w:rPr>
          <w:rFonts w:asciiTheme="majorHAnsi" w:hAnsiTheme="majorHAnsi"/>
          <w:sz w:val="16"/>
          <w:szCs w:val="16"/>
        </w:rPr>
        <w:t xml:space="preserve"> notification in detail to the accused of the charges against him; (</w:t>
      </w:r>
      <w:r w:rsidRPr="00875A0D">
        <w:rPr>
          <w:rFonts w:asciiTheme="majorHAnsi" w:hAnsiTheme="majorHAnsi"/>
          <w:sz w:val="16"/>
          <w:szCs w:val="16"/>
        </w:rPr>
        <w:t xml:space="preserve">c) </w:t>
      </w:r>
      <w:r>
        <w:rPr>
          <w:rFonts w:asciiTheme="majorHAnsi" w:hAnsiTheme="majorHAnsi"/>
          <w:sz w:val="16"/>
          <w:szCs w:val="16"/>
        </w:rPr>
        <w:t>adequate time and means for the preparation of his defense</w:t>
      </w:r>
      <w:r w:rsidRPr="00875A0D">
        <w:rPr>
          <w:rFonts w:asciiTheme="majorHAnsi" w:hAnsiTheme="majorHAnsi"/>
          <w:sz w:val="16"/>
          <w:szCs w:val="16"/>
        </w:rPr>
        <w:t>.</w:t>
      </w:r>
      <w:r>
        <w:rPr>
          <w:rFonts w:asciiTheme="majorHAnsi" w:hAnsiTheme="majorHAnsi"/>
          <w:sz w:val="16"/>
          <w:szCs w:val="16"/>
        </w:rPr>
        <w:t>”</w:t>
      </w:r>
    </w:p>
  </w:footnote>
  <w:footnote w:id="24">
    <w:p w14:paraId="2909830D" w14:textId="77777777" w:rsidR="00D02D3C" w:rsidRPr="00875A0D" w:rsidRDefault="00D02D3C" w:rsidP="00D02D3C">
      <w:pPr>
        <w:pStyle w:val="FootnoteText"/>
        <w:rPr>
          <w:rFonts w:asciiTheme="majorHAnsi" w:hAnsiTheme="majorHAnsi"/>
          <w:sz w:val="16"/>
          <w:szCs w:val="16"/>
        </w:rPr>
      </w:pPr>
      <w:r w:rsidRPr="00875A0D">
        <w:rPr>
          <w:rStyle w:val="FootnoteReference"/>
          <w:rFonts w:asciiTheme="majorHAnsi" w:hAnsiTheme="majorHAnsi"/>
          <w:sz w:val="16"/>
          <w:szCs w:val="16"/>
        </w:rPr>
        <w:footnoteRef/>
      </w:r>
      <w:r w:rsidRPr="00875A0D">
        <w:rPr>
          <w:rFonts w:asciiTheme="majorHAnsi" w:hAnsiTheme="majorHAnsi"/>
          <w:sz w:val="16"/>
          <w:szCs w:val="16"/>
        </w:rPr>
        <w:t xml:space="preserve"> </w:t>
      </w:r>
      <w:r>
        <w:rPr>
          <w:rFonts w:asciiTheme="majorHAnsi" w:hAnsiTheme="majorHAnsi"/>
          <w:sz w:val="16"/>
          <w:szCs w:val="16"/>
        </w:rPr>
        <w:t xml:space="preserve">Article </w:t>
      </w:r>
      <w:r w:rsidRPr="00875A0D">
        <w:rPr>
          <w:rFonts w:asciiTheme="majorHAnsi" w:hAnsiTheme="majorHAnsi"/>
          <w:sz w:val="16"/>
          <w:szCs w:val="16"/>
        </w:rPr>
        <w:t xml:space="preserve">9 </w:t>
      </w:r>
      <w:r>
        <w:rPr>
          <w:rFonts w:asciiTheme="majorHAnsi" w:hAnsiTheme="majorHAnsi"/>
          <w:sz w:val="16"/>
          <w:szCs w:val="16"/>
        </w:rPr>
        <w:t>of the American Convention establishes: “</w:t>
      </w:r>
      <w:r w:rsidRPr="00203A9B">
        <w:rPr>
          <w:rFonts w:asciiTheme="majorHAnsi" w:hAnsiTheme="majorHAnsi"/>
          <w:sz w:val="16"/>
          <w:szCs w:val="16"/>
        </w:rPr>
        <w:t>No one shall be convicted of any act or omission that did not constitute a criminal offense, under the applicable law, at the time it was committed. A heavier penalty shall not be imposed than the one that was applicable at the time the criminal offense was committed. If subsequent to the commission of the offense the law provides for the imposition of a lighter punishment, the guilty person shall benefit therefrom.</w:t>
      </w:r>
      <w:r>
        <w:rPr>
          <w:rFonts w:asciiTheme="majorHAnsi" w:hAnsiTheme="majorHAnsi"/>
          <w:sz w:val="16"/>
          <w:szCs w:val="16"/>
        </w:rPr>
        <w:t>”</w:t>
      </w:r>
    </w:p>
  </w:footnote>
  <w:footnote w:id="25">
    <w:p w14:paraId="6CF55386" w14:textId="77777777" w:rsidR="00D02D3C" w:rsidRPr="00875A0D" w:rsidRDefault="00D02D3C" w:rsidP="00D02D3C">
      <w:pPr>
        <w:pStyle w:val="FootnoteText"/>
        <w:jc w:val="both"/>
        <w:rPr>
          <w:rFonts w:asciiTheme="majorHAnsi" w:hAnsiTheme="majorHAnsi"/>
          <w:color w:val="auto"/>
          <w:sz w:val="16"/>
          <w:szCs w:val="16"/>
        </w:rPr>
      </w:pPr>
      <w:r w:rsidRPr="00875A0D">
        <w:rPr>
          <w:rStyle w:val="FootnoteReference"/>
          <w:rFonts w:asciiTheme="majorHAnsi" w:hAnsiTheme="majorHAnsi"/>
          <w:color w:val="auto"/>
          <w:sz w:val="16"/>
          <w:szCs w:val="16"/>
        </w:rPr>
        <w:footnoteRef/>
      </w:r>
      <w:r w:rsidRPr="00875A0D">
        <w:rPr>
          <w:rFonts w:asciiTheme="majorHAnsi" w:hAnsiTheme="majorHAnsi"/>
          <w:color w:val="auto"/>
          <w:sz w:val="16"/>
          <w:szCs w:val="16"/>
        </w:rPr>
        <w:t xml:space="preserve"> </w:t>
      </w:r>
      <w:r>
        <w:rPr>
          <w:rFonts w:asciiTheme="majorHAnsi" w:hAnsiTheme="majorHAnsi"/>
          <w:color w:val="auto"/>
          <w:sz w:val="16"/>
          <w:szCs w:val="16"/>
        </w:rPr>
        <w:t>IACHR</w:t>
      </w:r>
      <w:r w:rsidRPr="00875A0D">
        <w:rPr>
          <w:rFonts w:asciiTheme="majorHAnsi" w:hAnsiTheme="majorHAnsi"/>
          <w:color w:val="auto"/>
          <w:sz w:val="16"/>
          <w:szCs w:val="16"/>
        </w:rPr>
        <w:t xml:space="preserve">, </w:t>
      </w:r>
      <w:r>
        <w:rPr>
          <w:rFonts w:asciiTheme="majorHAnsi" w:hAnsiTheme="majorHAnsi"/>
          <w:color w:val="auto"/>
          <w:sz w:val="16"/>
          <w:szCs w:val="16"/>
        </w:rPr>
        <w:t>Report No.</w:t>
      </w:r>
      <w:r w:rsidRPr="00875A0D">
        <w:rPr>
          <w:rFonts w:asciiTheme="majorHAnsi" w:hAnsiTheme="majorHAnsi"/>
          <w:color w:val="auto"/>
          <w:sz w:val="16"/>
          <w:szCs w:val="16"/>
        </w:rPr>
        <w:t xml:space="preserve"> 65/11, </w:t>
      </w:r>
      <w:r>
        <w:rPr>
          <w:rFonts w:asciiTheme="majorHAnsi" w:hAnsiTheme="majorHAnsi"/>
          <w:color w:val="auto"/>
          <w:sz w:val="16"/>
          <w:szCs w:val="16"/>
        </w:rPr>
        <w:t>Case</w:t>
      </w:r>
      <w:r w:rsidRPr="00875A0D">
        <w:rPr>
          <w:rFonts w:asciiTheme="majorHAnsi" w:hAnsiTheme="majorHAnsi"/>
          <w:color w:val="auto"/>
          <w:sz w:val="16"/>
          <w:szCs w:val="16"/>
        </w:rPr>
        <w:t xml:space="preserve"> 12</w:t>
      </w:r>
      <w:r>
        <w:rPr>
          <w:rFonts w:asciiTheme="majorHAnsi" w:hAnsiTheme="majorHAnsi"/>
          <w:color w:val="auto"/>
          <w:sz w:val="16"/>
          <w:szCs w:val="16"/>
        </w:rPr>
        <w:t>,</w:t>
      </w:r>
      <w:r w:rsidRPr="00875A0D">
        <w:rPr>
          <w:rFonts w:asciiTheme="majorHAnsi" w:hAnsiTheme="majorHAnsi"/>
          <w:color w:val="auto"/>
          <w:sz w:val="16"/>
          <w:szCs w:val="16"/>
        </w:rPr>
        <w:t xml:space="preserve">600, </w:t>
      </w:r>
      <w:r>
        <w:rPr>
          <w:rFonts w:asciiTheme="majorHAnsi" w:hAnsiTheme="majorHAnsi"/>
          <w:color w:val="auto"/>
          <w:sz w:val="16"/>
          <w:szCs w:val="16"/>
        </w:rPr>
        <w:t xml:space="preserve">Merits, </w:t>
      </w:r>
      <w:r w:rsidRPr="00875A0D">
        <w:rPr>
          <w:rFonts w:asciiTheme="majorHAnsi" w:hAnsiTheme="majorHAnsi"/>
          <w:color w:val="auto"/>
          <w:sz w:val="16"/>
          <w:szCs w:val="16"/>
        </w:rPr>
        <w:t xml:space="preserve">Hugo Quintana </w:t>
      </w:r>
      <w:proofErr w:type="spellStart"/>
      <w:r w:rsidRPr="00875A0D">
        <w:rPr>
          <w:rFonts w:asciiTheme="majorHAnsi" w:hAnsiTheme="majorHAnsi"/>
          <w:color w:val="auto"/>
          <w:sz w:val="16"/>
          <w:szCs w:val="16"/>
        </w:rPr>
        <w:t>Coello</w:t>
      </w:r>
      <w:proofErr w:type="spellEnd"/>
      <w:r w:rsidRPr="00875A0D">
        <w:rPr>
          <w:rFonts w:asciiTheme="majorHAnsi" w:hAnsiTheme="majorHAnsi"/>
          <w:color w:val="auto"/>
          <w:sz w:val="16"/>
          <w:szCs w:val="16"/>
        </w:rPr>
        <w:t xml:space="preserve"> </w:t>
      </w:r>
      <w:r w:rsidRPr="00203A9B">
        <w:rPr>
          <w:rFonts w:asciiTheme="majorHAnsi" w:hAnsiTheme="majorHAnsi"/>
          <w:i/>
          <w:iCs/>
          <w:color w:val="auto"/>
          <w:sz w:val="16"/>
          <w:szCs w:val="16"/>
        </w:rPr>
        <w:t>et al.</w:t>
      </w:r>
      <w:r>
        <w:rPr>
          <w:rFonts w:asciiTheme="majorHAnsi" w:hAnsiTheme="majorHAnsi"/>
          <w:color w:val="auto"/>
          <w:sz w:val="16"/>
          <w:szCs w:val="16"/>
        </w:rPr>
        <w:t xml:space="preserve"> </w:t>
      </w:r>
      <w:r w:rsidRPr="00875A0D">
        <w:rPr>
          <w:rFonts w:asciiTheme="majorHAnsi" w:hAnsiTheme="majorHAnsi"/>
          <w:color w:val="auto"/>
          <w:sz w:val="16"/>
          <w:szCs w:val="16"/>
        </w:rPr>
        <w:t>“</w:t>
      </w:r>
      <w:r>
        <w:rPr>
          <w:rFonts w:asciiTheme="majorHAnsi" w:hAnsiTheme="majorHAnsi"/>
          <w:color w:val="auto"/>
          <w:sz w:val="16"/>
          <w:szCs w:val="16"/>
        </w:rPr>
        <w:t xml:space="preserve">Judges of the Supreme Court of Justice,” </w:t>
      </w:r>
      <w:r w:rsidRPr="00875A0D">
        <w:rPr>
          <w:rFonts w:asciiTheme="majorHAnsi" w:hAnsiTheme="majorHAnsi"/>
          <w:color w:val="auto"/>
          <w:sz w:val="16"/>
          <w:szCs w:val="16"/>
        </w:rPr>
        <w:t xml:space="preserve">Ecuador, </w:t>
      </w:r>
      <w:r>
        <w:rPr>
          <w:rFonts w:asciiTheme="majorHAnsi" w:hAnsiTheme="majorHAnsi"/>
          <w:color w:val="auto"/>
          <w:sz w:val="16"/>
          <w:szCs w:val="16"/>
        </w:rPr>
        <w:t xml:space="preserve">March </w:t>
      </w:r>
      <w:r w:rsidRPr="00875A0D">
        <w:rPr>
          <w:rFonts w:asciiTheme="majorHAnsi" w:hAnsiTheme="majorHAnsi"/>
          <w:color w:val="auto"/>
          <w:sz w:val="16"/>
          <w:szCs w:val="16"/>
        </w:rPr>
        <w:t>31</w:t>
      </w:r>
      <w:r>
        <w:rPr>
          <w:rFonts w:asciiTheme="majorHAnsi" w:hAnsiTheme="majorHAnsi"/>
          <w:color w:val="auto"/>
          <w:sz w:val="16"/>
          <w:szCs w:val="16"/>
        </w:rPr>
        <w:t>,</w:t>
      </w:r>
      <w:r w:rsidRPr="00875A0D">
        <w:rPr>
          <w:rFonts w:asciiTheme="majorHAnsi" w:hAnsiTheme="majorHAnsi"/>
          <w:color w:val="auto"/>
          <w:sz w:val="16"/>
          <w:szCs w:val="16"/>
        </w:rPr>
        <w:t xml:space="preserve"> 2011, </w:t>
      </w:r>
      <w:r>
        <w:rPr>
          <w:rFonts w:asciiTheme="majorHAnsi" w:hAnsiTheme="majorHAnsi"/>
          <w:color w:val="auto"/>
          <w:sz w:val="16"/>
          <w:szCs w:val="16"/>
        </w:rPr>
        <w:t>para.</w:t>
      </w:r>
      <w:r w:rsidRPr="00875A0D">
        <w:rPr>
          <w:rFonts w:asciiTheme="majorHAnsi" w:hAnsiTheme="majorHAnsi"/>
          <w:color w:val="auto"/>
          <w:sz w:val="16"/>
          <w:szCs w:val="16"/>
        </w:rPr>
        <w:t xml:space="preserve"> </w:t>
      </w:r>
      <w:proofErr w:type="gramStart"/>
      <w:r w:rsidRPr="00875A0D">
        <w:rPr>
          <w:rFonts w:asciiTheme="majorHAnsi" w:hAnsiTheme="majorHAnsi"/>
          <w:color w:val="auto"/>
          <w:sz w:val="16"/>
          <w:szCs w:val="16"/>
        </w:rPr>
        <w:t xml:space="preserve">102; </w:t>
      </w:r>
      <w:r>
        <w:rPr>
          <w:rFonts w:asciiTheme="majorHAnsi" w:hAnsiTheme="majorHAnsi"/>
          <w:color w:val="auto"/>
          <w:sz w:val="16"/>
          <w:szCs w:val="16"/>
        </w:rPr>
        <w:t>I/A Court HR</w:t>
      </w:r>
      <w:r w:rsidRPr="00875A0D">
        <w:rPr>
          <w:rFonts w:asciiTheme="majorHAnsi" w:hAnsiTheme="majorHAnsi"/>
          <w:color w:val="auto"/>
          <w:sz w:val="16"/>
          <w:szCs w:val="16"/>
        </w:rPr>
        <w:t xml:space="preserve">. </w:t>
      </w:r>
      <w:hyperlink r:id="rId1" w:history="1">
        <w:r>
          <w:rPr>
            <w:rStyle w:val="Hyperlink"/>
            <w:rFonts w:asciiTheme="majorHAnsi" w:hAnsiTheme="majorHAnsi" w:cs="Arial"/>
            <w:color w:val="auto"/>
            <w:sz w:val="16"/>
            <w:szCs w:val="16"/>
            <w:u w:val="none"/>
            <w:shd w:val="clear" w:color="auto" w:fill="FFFFFF"/>
          </w:rPr>
          <w:t xml:space="preserve">Case of </w:t>
        </w:r>
        <w:proofErr w:type="spellStart"/>
        <w:r w:rsidRPr="00875A0D">
          <w:rPr>
            <w:rStyle w:val="Hyperlink"/>
            <w:rFonts w:asciiTheme="majorHAnsi" w:hAnsiTheme="majorHAnsi" w:cs="Arial"/>
            <w:color w:val="auto"/>
            <w:sz w:val="16"/>
            <w:szCs w:val="16"/>
            <w:u w:val="none"/>
            <w:shd w:val="clear" w:color="auto" w:fill="FFFFFF"/>
          </w:rPr>
          <w:t>Baena</w:t>
        </w:r>
        <w:proofErr w:type="spellEnd"/>
        <w:r w:rsidRPr="00875A0D">
          <w:rPr>
            <w:rStyle w:val="Hyperlink"/>
            <w:rFonts w:asciiTheme="majorHAnsi" w:hAnsiTheme="majorHAnsi" w:cs="Arial"/>
            <w:color w:val="auto"/>
            <w:sz w:val="16"/>
            <w:szCs w:val="16"/>
            <w:u w:val="none"/>
            <w:shd w:val="clear" w:color="auto" w:fill="FFFFFF"/>
          </w:rPr>
          <w:t xml:space="preserve"> Ricardo </w:t>
        </w:r>
        <w:r w:rsidRPr="00203A9B">
          <w:rPr>
            <w:rStyle w:val="Hyperlink"/>
            <w:rFonts w:asciiTheme="majorHAnsi" w:hAnsiTheme="majorHAnsi" w:cs="Arial"/>
            <w:i/>
            <w:iCs/>
            <w:color w:val="auto"/>
            <w:sz w:val="16"/>
            <w:szCs w:val="16"/>
            <w:u w:val="none"/>
            <w:shd w:val="clear" w:color="auto" w:fill="FFFFFF"/>
          </w:rPr>
          <w:t>et al</w:t>
        </w:r>
        <w:r>
          <w:rPr>
            <w:rStyle w:val="Hyperlink"/>
            <w:rFonts w:asciiTheme="majorHAnsi" w:hAnsiTheme="majorHAnsi" w:cs="Arial"/>
            <w:color w:val="auto"/>
            <w:sz w:val="16"/>
            <w:szCs w:val="16"/>
            <w:u w:val="none"/>
            <w:shd w:val="clear" w:color="auto" w:fill="FFFFFF"/>
          </w:rPr>
          <w:t>. v</w:t>
        </w:r>
        <w:r w:rsidRPr="00875A0D">
          <w:rPr>
            <w:rStyle w:val="Hyperlink"/>
            <w:rFonts w:asciiTheme="majorHAnsi" w:hAnsiTheme="majorHAnsi" w:cs="Arial"/>
            <w:color w:val="auto"/>
            <w:sz w:val="16"/>
            <w:szCs w:val="16"/>
            <w:u w:val="none"/>
            <w:shd w:val="clear" w:color="auto" w:fill="FFFFFF"/>
          </w:rPr>
          <w:t xml:space="preserve">. </w:t>
        </w:r>
        <w:r w:rsidRPr="00203A9B">
          <w:rPr>
            <w:rStyle w:val="Hyperlink"/>
            <w:rFonts w:asciiTheme="majorHAnsi" w:hAnsiTheme="majorHAnsi" w:cs="Arial"/>
            <w:color w:val="auto"/>
            <w:sz w:val="16"/>
            <w:szCs w:val="16"/>
            <w:u w:val="none"/>
            <w:shd w:val="clear" w:color="auto" w:fill="FFFFFF"/>
          </w:rPr>
          <w:t>Panama</w:t>
        </w:r>
        <w:r w:rsidRPr="00875A0D">
          <w:rPr>
            <w:rStyle w:val="Hyperlink"/>
            <w:rFonts w:asciiTheme="majorHAnsi" w:hAnsiTheme="majorHAnsi" w:cs="Arial"/>
            <w:color w:val="auto"/>
            <w:sz w:val="16"/>
            <w:szCs w:val="16"/>
            <w:u w:val="none"/>
            <w:shd w:val="clear" w:color="auto" w:fill="FFFFFF"/>
          </w:rPr>
          <w:t>.</w:t>
        </w:r>
        <w:proofErr w:type="gramEnd"/>
        <w:r w:rsidRPr="00875A0D">
          <w:rPr>
            <w:rStyle w:val="Hyperlink"/>
            <w:rFonts w:asciiTheme="majorHAnsi" w:hAnsiTheme="majorHAnsi" w:cs="Arial"/>
            <w:color w:val="auto"/>
            <w:sz w:val="16"/>
            <w:szCs w:val="16"/>
            <w:u w:val="none"/>
            <w:shd w:val="clear" w:color="auto" w:fill="FFFFFF"/>
          </w:rPr>
          <w:t xml:space="preserve"> </w:t>
        </w:r>
        <w:proofErr w:type="gramStart"/>
        <w:r w:rsidRPr="00203A9B">
          <w:rPr>
            <w:rStyle w:val="Hyperlink"/>
            <w:rFonts w:asciiTheme="majorHAnsi" w:hAnsiTheme="majorHAnsi" w:cs="Arial"/>
            <w:color w:val="auto"/>
            <w:sz w:val="16"/>
            <w:szCs w:val="16"/>
            <w:u w:val="none"/>
            <w:shd w:val="clear" w:color="auto" w:fill="FFFFFF"/>
          </w:rPr>
          <w:t>Merits, Reparations and Costs</w:t>
        </w:r>
        <w:r w:rsidRPr="00875A0D">
          <w:rPr>
            <w:rStyle w:val="Hyperlink"/>
            <w:rFonts w:asciiTheme="majorHAnsi" w:hAnsiTheme="majorHAnsi" w:cs="Arial"/>
            <w:color w:val="auto"/>
            <w:sz w:val="16"/>
            <w:szCs w:val="16"/>
            <w:u w:val="none"/>
            <w:shd w:val="clear" w:color="auto" w:fill="FFFFFF"/>
          </w:rPr>
          <w:t>.</w:t>
        </w:r>
        <w:proofErr w:type="gramEnd"/>
        <w:r w:rsidRPr="00875A0D">
          <w:rPr>
            <w:rStyle w:val="Hyperlink"/>
            <w:rFonts w:asciiTheme="majorHAnsi" w:hAnsiTheme="majorHAnsi" w:cs="Arial"/>
            <w:color w:val="auto"/>
            <w:sz w:val="16"/>
            <w:szCs w:val="16"/>
            <w:u w:val="none"/>
            <w:shd w:val="clear" w:color="auto" w:fill="FFFFFF"/>
          </w:rPr>
          <w:t xml:space="preserve"> </w:t>
        </w:r>
        <w:r w:rsidRPr="00203A9B">
          <w:rPr>
            <w:rStyle w:val="Hyperlink"/>
            <w:rFonts w:asciiTheme="majorHAnsi" w:hAnsiTheme="majorHAnsi" w:cs="Arial"/>
            <w:color w:val="auto"/>
            <w:sz w:val="16"/>
            <w:szCs w:val="16"/>
            <w:u w:val="none"/>
            <w:shd w:val="clear" w:color="auto" w:fill="FFFFFF"/>
          </w:rPr>
          <w:t>Judgment of</w:t>
        </w:r>
        <w:r w:rsidRPr="00875A0D">
          <w:rPr>
            <w:rStyle w:val="Hyperlink"/>
            <w:rFonts w:asciiTheme="majorHAnsi" w:hAnsiTheme="majorHAnsi" w:cs="Arial"/>
            <w:color w:val="auto"/>
            <w:sz w:val="16"/>
            <w:szCs w:val="16"/>
            <w:u w:val="none"/>
            <w:shd w:val="clear" w:color="auto" w:fill="FFFFFF"/>
          </w:rPr>
          <w:t xml:space="preserve"> </w:t>
        </w:r>
        <w:r>
          <w:rPr>
            <w:rStyle w:val="Hyperlink"/>
            <w:rFonts w:asciiTheme="majorHAnsi" w:hAnsiTheme="majorHAnsi" w:cs="Arial"/>
            <w:color w:val="auto"/>
            <w:sz w:val="16"/>
            <w:szCs w:val="16"/>
            <w:u w:val="none"/>
            <w:shd w:val="clear" w:color="auto" w:fill="FFFFFF"/>
          </w:rPr>
          <w:t xml:space="preserve">February </w:t>
        </w:r>
        <w:r w:rsidRPr="00875A0D">
          <w:rPr>
            <w:rStyle w:val="Hyperlink"/>
            <w:rFonts w:asciiTheme="majorHAnsi" w:hAnsiTheme="majorHAnsi" w:cs="Arial"/>
            <w:color w:val="auto"/>
            <w:sz w:val="16"/>
            <w:szCs w:val="16"/>
            <w:u w:val="none"/>
            <w:shd w:val="clear" w:color="auto" w:fill="FFFFFF"/>
          </w:rPr>
          <w:t>2</w:t>
        </w:r>
        <w:r>
          <w:rPr>
            <w:rStyle w:val="Hyperlink"/>
            <w:rFonts w:asciiTheme="majorHAnsi" w:hAnsiTheme="majorHAnsi" w:cs="Arial"/>
            <w:color w:val="auto"/>
            <w:sz w:val="16"/>
            <w:szCs w:val="16"/>
            <w:u w:val="none"/>
            <w:shd w:val="clear" w:color="auto" w:fill="FFFFFF"/>
          </w:rPr>
          <w:t>,</w:t>
        </w:r>
        <w:r w:rsidRPr="00875A0D">
          <w:rPr>
            <w:rStyle w:val="Hyperlink"/>
            <w:rFonts w:asciiTheme="majorHAnsi" w:hAnsiTheme="majorHAnsi" w:cs="Arial"/>
            <w:color w:val="auto"/>
            <w:sz w:val="16"/>
            <w:szCs w:val="16"/>
            <w:u w:val="none"/>
            <w:shd w:val="clear" w:color="auto" w:fill="FFFFFF"/>
          </w:rPr>
          <w:t xml:space="preserve"> 2001. </w:t>
        </w:r>
        <w:r w:rsidRPr="00203A9B">
          <w:rPr>
            <w:rStyle w:val="Hyperlink"/>
            <w:rFonts w:asciiTheme="majorHAnsi" w:hAnsiTheme="majorHAnsi" w:cs="Arial"/>
            <w:color w:val="auto"/>
            <w:sz w:val="16"/>
            <w:szCs w:val="16"/>
            <w:u w:val="none"/>
            <w:shd w:val="clear" w:color="auto" w:fill="FFFFFF"/>
          </w:rPr>
          <w:t>Series C</w:t>
        </w:r>
        <w:r w:rsidRPr="00875A0D">
          <w:rPr>
            <w:rStyle w:val="Hyperlink"/>
            <w:rFonts w:asciiTheme="majorHAnsi" w:hAnsiTheme="majorHAnsi" w:cs="Arial"/>
            <w:color w:val="auto"/>
            <w:sz w:val="16"/>
            <w:szCs w:val="16"/>
            <w:u w:val="none"/>
            <w:shd w:val="clear" w:color="auto" w:fill="FFFFFF"/>
          </w:rPr>
          <w:t xml:space="preserve"> No. 72</w:t>
        </w:r>
      </w:hyperlink>
      <w:r w:rsidRPr="00875A0D">
        <w:rPr>
          <w:rFonts w:asciiTheme="majorHAnsi" w:hAnsiTheme="majorHAnsi"/>
          <w:color w:val="auto"/>
          <w:sz w:val="16"/>
          <w:szCs w:val="16"/>
        </w:rPr>
        <w:t xml:space="preserve">, </w:t>
      </w:r>
      <w:r>
        <w:rPr>
          <w:rFonts w:asciiTheme="majorHAnsi" w:hAnsiTheme="majorHAnsi"/>
          <w:color w:val="auto"/>
          <w:sz w:val="16"/>
          <w:szCs w:val="16"/>
        </w:rPr>
        <w:t>paras.</w:t>
      </w:r>
      <w:r w:rsidRPr="00875A0D">
        <w:rPr>
          <w:rFonts w:asciiTheme="majorHAnsi" w:hAnsiTheme="majorHAnsi"/>
          <w:color w:val="auto"/>
          <w:sz w:val="16"/>
          <w:szCs w:val="16"/>
        </w:rPr>
        <w:t xml:space="preserve"> </w:t>
      </w:r>
      <w:proofErr w:type="gramStart"/>
      <w:r w:rsidRPr="00875A0D">
        <w:rPr>
          <w:rFonts w:asciiTheme="majorHAnsi" w:hAnsiTheme="majorHAnsi"/>
          <w:color w:val="auto"/>
          <w:sz w:val="16"/>
          <w:szCs w:val="16"/>
        </w:rPr>
        <w:t xml:space="preserve">126-127; </w:t>
      </w:r>
      <w:hyperlink r:id="rId2" w:history="1">
        <w:r>
          <w:rPr>
            <w:rStyle w:val="Hyperlink"/>
            <w:rFonts w:asciiTheme="majorHAnsi" w:hAnsiTheme="majorHAnsi" w:cs="Arial"/>
            <w:color w:val="auto"/>
            <w:sz w:val="16"/>
            <w:szCs w:val="16"/>
            <w:u w:val="none"/>
            <w:shd w:val="clear" w:color="auto" w:fill="FFFFFF"/>
          </w:rPr>
          <w:t>Case of</w:t>
        </w:r>
        <w:r w:rsidRPr="00875A0D">
          <w:rPr>
            <w:rStyle w:val="Hyperlink"/>
            <w:rFonts w:asciiTheme="majorHAnsi" w:hAnsiTheme="majorHAnsi" w:cs="Arial"/>
            <w:color w:val="auto"/>
            <w:sz w:val="16"/>
            <w:szCs w:val="16"/>
            <w:u w:val="none"/>
            <w:shd w:val="clear" w:color="auto" w:fill="FFFFFF"/>
          </w:rPr>
          <w:t xml:space="preserve"> </w:t>
        </w:r>
        <w:r>
          <w:rPr>
            <w:rStyle w:val="Hyperlink"/>
            <w:rFonts w:asciiTheme="majorHAnsi" w:hAnsiTheme="majorHAnsi" w:cs="Arial"/>
            <w:color w:val="auto"/>
            <w:sz w:val="16"/>
            <w:szCs w:val="16"/>
            <w:u w:val="none"/>
            <w:shd w:val="clear" w:color="auto" w:fill="FFFFFF"/>
          </w:rPr>
          <w:t xml:space="preserve">the Constitutional Court v. </w:t>
        </w:r>
        <w:r w:rsidRPr="00203A9B">
          <w:rPr>
            <w:rStyle w:val="Hyperlink"/>
            <w:rFonts w:asciiTheme="majorHAnsi" w:hAnsiTheme="majorHAnsi" w:cs="Arial"/>
            <w:color w:val="auto"/>
            <w:sz w:val="16"/>
            <w:szCs w:val="16"/>
            <w:u w:val="none"/>
            <w:shd w:val="clear" w:color="auto" w:fill="FFFFFF"/>
          </w:rPr>
          <w:t>Peru</w:t>
        </w:r>
        <w:r w:rsidRPr="00875A0D">
          <w:rPr>
            <w:rStyle w:val="Hyperlink"/>
            <w:rFonts w:asciiTheme="majorHAnsi" w:hAnsiTheme="majorHAnsi" w:cs="Arial"/>
            <w:color w:val="auto"/>
            <w:sz w:val="16"/>
            <w:szCs w:val="16"/>
            <w:u w:val="none"/>
            <w:shd w:val="clear" w:color="auto" w:fill="FFFFFF"/>
          </w:rPr>
          <w:t>.</w:t>
        </w:r>
        <w:proofErr w:type="gramEnd"/>
        <w:r w:rsidRPr="00875A0D">
          <w:rPr>
            <w:rStyle w:val="Hyperlink"/>
            <w:rFonts w:asciiTheme="majorHAnsi" w:hAnsiTheme="majorHAnsi" w:cs="Arial"/>
            <w:color w:val="auto"/>
            <w:sz w:val="16"/>
            <w:szCs w:val="16"/>
            <w:u w:val="none"/>
            <w:shd w:val="clear" w:color="auto" w:fill="FFFFFF"/>
          </w:rPr>
          <w:t xml:space="preserve"> </w:t>
        </w:r>
        <w:proofErr w:type="gramStart"/>
        <w:r w:rsidRPr="00203A9B">
          <w:rPr>
            <w:rStyle w:val="Hyperlink"/>
            <w:rFonts w:asciiTheme="majorHAnsi" w:hAnsiTheme="majorHAnsi" w:cs="Arial"/>
            <w:color w:val="auto"/>
            <w:sz w:val="16"/>
            <w:szCs w:val="16"/>
            <w:u w:val="none"/>
            <w:shd w:val="clear" w:color="auto" w:fill="FFFFFF"/>
          </w:rPr>
          <w:t>Merits, Reparations and Costs</w:t>
        </w:r>
        <w:r w:rsidRPr="00875A0D">
          <w:rPr>
            <w:rStyle w:val="Hyperlink"/>
            <w:rFonts w:asciiTheme="majorHAnsi" w:hAnsiTheme="majorHAnsi" w:cs="Arial"/>
            <w:color w:val="auto"/>
            <w:sz w:val="16"/>
            <w:szCs w:val="16"/>
            <w:u w:val="none"/>
            <w:shd w:val="clear" w:color="auto" w:fill="FFFFFF"/>
          </w:rPr>
          <w:t>.</w:t>
        </w:r>
        <w:proofErr w:type="gramEnd"/>
        <w:r w:rsidRPr="00875A0D">
          <w:rPr>
            <w:rStyle w:val="Hyperlink"/>
            <w:rFonts w:asciiTheme="majorHAnsi" w:hAnsiTheme="majorHAnsi" w:cs="Arial"/>
            <w:color w:val="auto"/>
            <w:sz w:val="16"/>
            <w:szCs w:val="16"/>
            <w:u w:val="none"/>
            <w:shd w:val="clear" w:color="auto" w:fill="FFFFFF"/>
          </w:rPr>
          <w:t xml:space="preserve"> </w:t>
        </w:r>
        <w:r w:rsidRPr="00203A9B">
          <w:rPr>
            <w:rStyle w:val="Hyperlink"/>
            <w:rFonts w:asciiTheme="majorHAnsi" w:hAnsiTheme="majorHAnsi" w:cs="Arial"/>
            <w:color w:val="auto"/>
            <w:sz w:val="16"/>
            <w:szCs w:val="16"/>
            <w:u w:val="none"/>
            <w:shd w:val="clear" w:color="auto" w:fill="FFFFFF"/>
          </w:rPr>
          <w:t>Judgment of</w:t>
        </w:r>
        <w:r w:rsidRPr="00875A0D">
          <w:rPr>
            <w:rStyle w:val="Hyperlink"/>
            <w:rFonts w:asciiTheme="majorHAnsi" w:hAnsiTheme="majorHAnsi" w:cs="Arial"/>
            <w:color w:val="auto"/>
            <w:sz w:val="16"/>
            <w:szCs w:val="16"/>
            <w:u w:val="none"/>
            <w:shd w:val="clear" w:color="auto" w:fill="FFFFFF"/>
          </w:rPr>
          <w:t xml:space="preserve"> </w:t>
        </w:r>
        <w:r>
          <w:rPr>
            <w:rStyle w:val="Hyperlink"/>
            <w:rFonts w:asciiTheme="majorHAnsi" w:hAnsiTheme="majorHAnsi" w:cs="Arial"/>
            <w:color w:val="auto"/>
            <w:sz w:val="16"/>
            <w:szCs w:val="16"/>
            <w:u w:val="none"/>
            <w:shd w:val="clear" w:color="auto" w:fill="FFFFFF"/>
          </w:rPr>
          <w:t xml:space="preserve">January </w:t>
        </w:r>
        <w:r w:rsidRPr="00875A0D">
          <w:rPr>
            <w:rStyle w:val="Hyperlink"/>
            <w:rFonts w:asciiTheme="majorHAnsi" w:hAnsiTheme="majorHAnsi" w:cs="Arial"/>
            <w:color w:val="auto"/>
            <w:sz w:val="16"/>
            <w:szCs w:val="16"/>
            <w:u w:val="none"/>
            <w:shd w:val="clear" w:color="auto" w:fill="FFFFFF"/>
          </w:rPr>
          <w:t>31</w:t>
        </w:r>
        <w:r>
          <w:rPr>
            <w:rStyle w:val="Hyperlink"/>
            <w:rFonts w:asciiTheme="majorHAnsi" w:hAnsiTheme="majorHAnsi" w:cs="Arial"/>
            <w:color w:val="auto"/>
            <w:sz w:val="16"/>
            <w:szCs w:val="16"/>
            <w:u w:val="none"/>
            <w:shd w:val="clear" w:color="auto" w:fill="FFFFFF"/>
          </w:rPr>
          <w:t>,</w:t>
        </w:r>
        <w:r w:rsidRPr="00875A0D">
          <w:rPr>
            <w:rStyle w:val="Hyperlink"/>
            <w:rFonts w:asciiTheme="majorHAnsi" w:hAnsiTheme="majorHAnsi" w:cs="Arial"/>
            <w:color w:val="auto"/>
            <w:sz w:val="16"/>
            <w:szCs w:val="16"/>
            <w:u w:val="none"/>
            <w:shd w:val="clear" w:color="auto" w:fill="FFFFFF"/>
          </w:rPr>
          <w:t xml:space="preserve"> 2001. </w:t>
        </w:r>
        <w:r w:rsidRPr="00203A9B">
          <w:rPr>
            <w:rStyle w:val="Hyperlink"/>
            <w:rFonts w:asciiTheme="majorHAnsi" w:hAnsiTheme="majorHAnsi" w:cs="Arial"/>
            <w:color w:val="auto"/>
            <w:sz w:val="16"/>
            <w:szCs w:val="16"/>
            <w:u w:val="none"/>
            <w:shd w:val="clear" w:color="auto" w:fill="FFFFFF"/>
          </w:rPr>
          <w:t>Series C</w:t>
        </w:r>
        <w:r w:rsidRPr="00875A0D">
          <w:rPr>
            <w:rStyle w:val="Hyperlink"/>
            <w:rFonts w:asciiTheme="majorHAnsi" w:hAnsiTheme="majorHAnsi" w:cs="Arial"/>
            <w:color w:val="auto"/>
            <w:sz w:val="16"/>
            <w:szCs w:val="16"/>
            <w:u w:val="none"/>
            <w:shd w:val="clear" w:color="auto" w:fill="FFFFFF"/>
          </w:rPr>
          <w:t xml:space="preserve"> No. 71</w:t>
        </w:r>
      </w:hyperlink>
      <w:r w:rsidRPr="00875A0D">
        <w:rPr>
          <w:rFonts w:asciiTheme="majorHAnsi" w:hAnsiTheme="majorHAnsi"/>
          <w:color w:val="auto"/>
          <w:sz w:val="16"/>
          <w:szCs w:val="16"/>
        </w:rPr>
        <w:t xml:space="preserve">, </w:t>
      </w:r>
      <w:r>
        <w:rPr>
          <w:rFonts w:asciiTheme="majorHAnsi" w:hAnsiTheme="majorHAnsi"/>
          <w:color w:val="auto"/>
          <w:sz w:val="16"/>
          <w:szCs w:val="16"/>
        </w:rPr>
        <w:t>paras.</w:t>
      </w:r>
      <w:r w:rsidRPr="00875A0D">
        <w:rPr>
          <w:rFonts w:asciiTheme="majorHAnsi" w:hAnsiTheme="majorHAnsi"/>
          <w:color w:val="auto"/>
          <w:sz w:val="16"/>
          <w:szCs w:val="16"/>
        </w:rPr>
        <w:t xml:space="preserve"> </w:t>
      </w:r>
      <w:proofErr w:type="gramStart"/>
      <w:r w:rsidRPr="00875A0D">
        <w:rPr>
          <w:rFonts w:asciiTheme="majorHAnsi" w:hAnsiTheme="majorHAnsi"/>
          <w:color w:val="auto"/>
          <w:sz w:val="16"/>
          <w:szCs w:val="16"/>
        </w:rPr>
        <w:t xml:space="preserve">69-70; </w:t>
      </w:r>
      <w:r>
        <w:rPr>
          <w:rFonts w:asciiTheme="majorHAnsi" w:hAnsiTheme="majorHAnsi"/>
          <w:color w:val="auto"/>
          <w:sz w:val="16"/>
          <w:szCs w:val="16"/>
        </w:rPr>
        <w:t xml:space="preserve">and </w:t>
      </w:r>
      <w:hyperlink r:id="rId3" w:history="1">
        <w:r>
          <w:rPr>
            <w:rStyle w:val="Hyperlink"/>
            <w:rFonts w:asciiTheme="majorHAnsi" w:hAnsiTheme="majorHAnsi" w:cs="Arial"/>
            <w:color w:val="auto"/>
            <w:sz w:val="16"/>
            <w:szCs w:val="16"/>
            <w:u w:val="none"/>
            <w:shd w:val="clear" w:color="auto" w:fill="FFFFFF"/>
          </w:rPr>
          <w:t>Case of</w:t>
        </w:r>
        <w:r w:rsidRPr="00875A0D">
          <w:rPr>
            <w:rStyle w:val="Hyperlink"/>
            <w:rFonts w:asciiTheme="majorHAnsi" w:hAnsiTheme="majorHAnsi" w:cs="Arial"/>
            <w:color w:val="auto"/>
            <w:sz w:val="16"/>
            <w:szCs w:val="16"/>
            <w:u w:val="none"/>
            <w:shd w:val="clear" w:color="auto" w:fill="FFFFFF"/>
          </w:rPr>
          <w:t xml:space="preserve"> López Mendoza </w:t>
        </w:r>
        <w:r>
          <w:rPr>
            <w:rStyle w:val="Hyperlink"/>
            <w:rFonts w:asciiTheme="majorHAnsi" w:hAnsiTheme="majorHAnsi" w:cs="Arial"/>
            <w:color w:val="auto"/>
            <w:sz w:val="16"/>
            <w:szCs w:val="16"/>
            <w:u w:val="none"/>
            <w:shd w:val="clear" w:color="auto" w:fill="FFFFFF"/>
          </w:rPr>
          <w:t>v</w:t>
        </w:r>
        <w:r w:rsidRPr="00875A0D">
          <w:rPr>
            <w:rStyle w:val="Hyperlink"/>
            <w:rFonts w:asciiTheme="majorHAnsi" w:hAnsiTheme="majorHAnsi" w:cs="Arial"/>
            <w:color w:val="auto"/>
            <w:sz w:val="16"/>
            <w:szCs w:val="16"/>
            <w:u w:val="none"/>
            <w:shd w:val="clear" w:color="auto" w:fill="FFFFFF"/>
          </w:rPr>
          <w:t>. Venezuela.</w:t>
        </w:r>
        <w:proofErr w:type="gramEnd"/>
        <w:r w:rsidRPr="00875A0D">
          <w:rPr>
            <w:rStyle w:val="Hyperlink"/>
            <w:rFonts w:asciiTheme="majorHAnsi" w:hAnsiTheme="majorHAnsi" w:cs="Arial"/>
            <w:color w:val="auto"/>
            <w:sz w:val="16"/>
            <w:szCs w:val="16"/>
            <w:u w:val="none"/>
            <w:shd w:val="clear" w:color="auto" w:fill="FFFFFF"/>
          </w:rPr>
          <w:t xml:space="preserve"> </w:t>
        </w:r>
        <w:proofErr w:type="gramStart"/>
        <w:r>
          <w:rPr>
            <w:rStyle w:val="Hyperlink"/>
            <w:rFonts w:asciiTheme="majorHAnsi" w:hAnsiTheme="majorHAnsi" w:cs="Arial"/>
            <w:color w:val="auto"/>
            <w:sz w:val="16"/>
            <w:szCs w:val="16"/>
            <w:u w:val="none"/>
            <w:shd w:val="clear" w:color="auto" w:fill="FFFFFF"/>
          </w:rPr>
          <w:t>Merits, Reparations and Costs.</w:t>
        </w:r>
        <w:proofErr w:type="gramEnd"/>
        <w:r>
          <w:rPr>
            <w:rStyle w:val="Hyperlink"/>
            <w:rFonts w:asciiTheme="majorHAnsi" w:hAnsiTheme="majorHAnsi" w:cs="Arial"/>
            <w:color w:val="auto"/>
            <w:sz w:val="16"/>
            <w:szCs w:val="16"/>
            <w:u w:val="none"/>
            <w:shd w:val="clear" w:color="auto" w:fill="FFFFFF"/>
          </w:rPr>
          <w:t xml:space="preserve"> </w:t>
        </w:r>
        <w:proofErr w:type="gramStart"/>
        <w:r w:rsidRPr="00203A9B">
          <w:rPr>
            <w:rStyle w:val="Hyperlink"/>
            <w:rFonts w:asciiTheme="majorHAnsi" w:hAnsiTheme="majorHAnsi" w:cs="Arial"/>
            <w:color w:val="auto"/>
            <w:sz w:val="16"/>
            <w:szCs w:val="16"/>
            <w:u w:val="none"/>
            <w:shd w:val="clear" w:color="auto" w:fill="FFFFFF"/>
          </w:rPr>
          <w:t>Judgment of</w:t>
        </w:r>
        <w:r w:rsidRPr="00875A0D">
          <w:rPr>
            <w:rStyle w:val="Hyperlink"/>
            <w:rFonts w:asciiTheme="majorHAnsi" w:hAnsiTheme="majorHAnsi" w:cs="Arial"/>
            <w:color w:val="auto"/>
            <w:sz w:val="16"/>
            <w:szCs w:val="16"/>
            <w:u w:val="none"/>
            <w:shd w:val="clear" w:color="auto" w:fill="FFFFFF"/>
          </w:rPr>
          <w:t xml:space="preserve"> </w:t>
        </w:r>
        <w:r>
          <w:rPr>
            <w:rStyle w:val="Hyperlink"/>
            <w:rFonts w:asciiTheme="majorHAnsi" w:hAnsiTheme="majorHAnsi" w:cs="Arial"/>
            <w:color w:val="auto"/>
            <w:sz w:val="16"/>
            <w:szCs w:val="16"/>
            <w:u w:val="none"/>
            <w:shd w:val="clear" w:color="auto" w:fill="FFFFFF"/>
          </w:rPr>
          <w:t xml:space="preserve">September </w:t>
        </w:r>
        <w:r w:rsidRPr="00875A0D">
          <w:rPr>
            <w:rStyle w:val="Hyperlink"/>
            <w:rFonts w:asciiTheme="majorHAnsi" w:hAnsiTheme="majorHAnsi" w:cs="Arial"/>
            <w:color w:val="auto"/>
            <w:sz w:val="16"/>
            <w:szCs w:val="16"/>
            <w:u w:val="none"/>
            <w:shd w:val="clear" w:color="auto" w:fill="FFFFFF"/>
          </w:rPr>
          <w:t>1</w:t>
        </w:r>
        <w:r>
          <w:rPr>
            <w:rStyle w:val="Hyperlink"/>
            <w:rFonts w:asciiTheme="majorHAnsi" w:hAnsiTheme="majorHAnsi" w:cs="Arial"/>
            <w:color w:val="auto"/>
            <w:sz w:val="16"/>
            <w:szCs w:val="16"/>
            <w:u w:val="none"/>
            <w:shd w:val="clear" w:color="auto" w:fill="FFFFFF"/>
          </w:rPr>
          <w:t>,</w:t>
        </w:r>
        <w:r w:rsidRPr="00875A0D">
          <w:rPr>
            <w:rStyle w:val="Hyperlink"/>
            <w:rFonts w:asciiTheme="majorHAnsi" w:hAnsiTheme="majorHAnsi" w:cs="Arial"/>
            <w:color w:val="auto"/>
            <w:sz w:val="16"/>
            <w:szCs w:val="16"/>
            <w:u w:val="none"/>
            <w:shd w:val="clear" w:color="auto" w:fill="FFFFFF"/>
          </w:rPr>
          <w:t xml:space="preserve"> 2011 </w:t>
        </w:r>
        <w:r w:rsidRPr="00203A9B">
          <w:rPr>
            <w:rStyle w:val="Hyperlink"/>
            <w:rFonts w:asciiTheme="majorHAnsi" w:hAnsiTheme="majorHAnsi" w:cs="Arial"/>
            <w:color w:val="auto"/>
            <w:sz w:val="16"/>
            <w:szCs w:val="16"/>
            <w:u w:val="none"/>
            <w:shd w:val="clear" w:color="auto" w:fill="FFFFFF"/>
          </w:rPr>
          <w:t>Series C</w:t>
        </w:r>
        <w:r w:rsidRPr="00875A0D">
          <w:rPr>
            <w:rStyle w:val="Hyperlink"/>
            <w:rFonts w:asciiTheme="majorHAnsi" w:hAnsiTheme="majorHAnsi" w:cs="Arial"/>
            <w:color w:val="auto"/>
            <w:sz w:val="16"/>
            <w:szCs w:val="16"/>
            <w:u w:val="none"/>
            <w:shd w:val="clear" w:color="auto" w:fill="FFFFFF"/>
          </w:rPr>
          <w:t xml:space="preserve"> No. 233</w:t>
        </w:r>
      </w:hyperlink>
      <w:r w:rsidRPr="00875A0D">
        <w:rPr>
          <w:rFonts w:asciiTheme="majorHAnsi" w:hAnsiTheme="majorHAnsi"/>
          <w:color w:val="auto"/>
          <w:sz w:val="16"/>
          <w:szCs w:val="16"/>
        </w:rPr>
        <w:t xml:space="preserve">, </w:t>
      </w:r>
      <w:r>
        <w:rPr>
          <w:rFonts w:asciiTheme="majorHAnsi" w:hAnsiTheme="majorHAnsi"/>
          <w:color w:val="auto"/>
          <w:sz w:val="16"/>
          <w:szCs w:val="16"/>
        </w:rPr>
        <w:t>para.</w:t>
      </w:r>
      <w:proofErr w:type="gramEnd"/>
      <w:r w:rsidRPr="00875A0D">
        <w:rPr>
          <w:rFonts w:asciiTheme="majorHAnsi" w:hAnsiTheme="majorHAnsi"/>
          <w:color w:val="auto"/>
          <w:sz w:val="16"/>
          <w:szCs w:val="16"/>
        </w:rPr>
        <w:t xml:space="preserve"> 111. </w:t>
      </w:r>
    </w:p>
  </w:footnote>
  <w:footnote w:id="26">
    <w:p w14:paraId="1A9238AA" w14:textId="77777777" w:rsidR="00D02D3C" w:rsidRPr="00875A0D" w:rsidRDefault="00D02D3C" w:rsidP="00D02D3C">
      <w:pPr>
        <w:pStyle w:val="FootnoteText"/>
        <w:jc w:val="both"/>
        <w:rPr>
          <w:rFonts w:asciiTheme="majorHAnsi" w:hAnsiTheme="majorHAnsi"/>
          <w:color w:val="auto"/>
          <w:sz w:val="16"/>
          <w:szCs w:val="16"/>
        </w:rPr>
      </w:pPr>
      <w:r w:rsidRPr="00875A0D">
        <w:rPr>
          <w:rStyle w:val="FootnoteReference"/>
          <w:rFonts w:asciiTheme="majorHAnsi" w:hAnsiTheme="majorHAnsi"/>
          <w:color w:val="auto"/>
          <w:sz w:val="16"/>
          <w:szCs w:val="16"/>
        </w:rPr>
        <w:footnoteRef/>
      </w:r>
      <w:r w:rsidRPr="00875A0D">
        <w:rPr>
          <w:rFonts w:asciiTheme="majorHAnsi" w:hAnsiTheme="majorHAnsi"/>
          <w:color w:val="auto"/>
          <w:sz w:val="16"/>
          <w:szCs w:val="16"/>
        </w:rPr>
        <w:t xml:space="preserve"> </w:t>
      </w:r>
      <w:r>
        <w:rPr>
          <w:rFonts w:asciiTheme="majorHAnsi" w:hAnsiTheme="majorHAnsi"/>
          <w:color w:val="auto"/>
          <w:sz w:val="16"/>
          <w:szCs w:val="16"/>
        </w:rPr>
        <w:t>IACHR</w:t>
      </w:r>
      <w:r w:rsidRPr="00875A0D">
        <w:rPr>
          <w:rFonts w:asciiTheme="majorHAnsi" w:hAnsiTheme="majorHAnsi"/>
          <w:color w:val="auto"/>
          <w:sz w:val="16"/>
          <w:szCs w:val="16"/>
        </w:rPr>
        <w:t xml:space="preserve">, </w:t>
      </w:r>
      <w:r>
        <w:rPr>
          <w:rFonts w:asciiTheme="majorHAnsi" w:hAnsiTheme="majorHAnsi"/>
          <w:color w:val="auto"/>
          <w:sz w:val="16"/>
          <w:szCs w:val="16"/>
        </w:rPr>
        <w:t>Report No.</w:t>
      </w:r>
      <w:r w:rsidRPr="00875A0D">
        <w:rPr>
          <w:rFonts w:asciiTheme="majorHAnsi" w:hAnsiTheme="majorHAnsi"/>
          <w:color w:val="auto"/>
          <w:sz w:val="16"/>
          <w:szCs w:val="16"/>
        </w:rPr>
        <w:t xml:space="preserve"> 65/11, </w:t>
      </w:r>
      <w:r>
        <w:rPr>
          <w:rFonts w:asciiTheme="majorHAnsi" w:hAnsiTheme="majorHAnsi"/>
          <w:color w:val="auto"/>
          <w:sz w:val="16"/>
          <w:szCs w:val="16"/>
        </w:rPr>
        <w:t>Case</w:t>
      </w:r>
      <w:r w:rsidRPr="00875A0D">
        <w:rPr>
          <w:rFonts w:asciiTheme="majorHAnsi" w:hAnsiTheme="majorHAnsi"/>
          <w:color w:val="auto"/>
          <w:sz w:val="16"/>
          <w:szCs w:val="16"/>
        </w:rPr>
        <w:t xml:space="preserve"> 12</w:t>
      </w:r>
      <w:r>
        <w:rPr>
          <w:rFonts w:asciiTheme="majorHAnsi" w:hAnsiTheme="majorHAnsi"/>
          <w:color w:val="auto"/>
          <w:sz w:val="16"/>
          <w:szCs w:val="16"/>
        </w:rPr>
        <w:t>,</w:t>
      </w:r>
      <w:r w:rsidRPr="00875A0D">
        <w:rPr>
          <w:rFonts w:asciiTheme="majorHAnsi" w:hAnsiTheme="majorHAnsi"/>
          <w:color w:val="auto"/>
          <w:sz w:val="16"/>
          <w:szCs w:val="16"/>
        </w:rPr>
        <w:t xml:space="preserve">600, </w:t>
      </w:r>
      <w:r>
        <w:rPr>
          <w:rFonts w:asciiTheme="majorHAnsi" w:hAnsiTheme="majorHAnsi"/>
          <w:color w:val="auto"/>
          <w:sz w:val="16"/>
          <w:szCs w:val="16"/>
        </w:rPr>
        <w:t xml:space="preserve">Merits, </w:t>
      </w:r>
      <w:r w:rsidRPr="00875A0D">
        <w:rPr>
          <w:rFonts w:asciiTheme="majorHAnsi" w:hAnsiTheme="majorHAnsi"/>
          <w:color w:val="auto"/>
          <w:sz w:val="16"/>
          <w:szCs w:val="16"/>
        </w:rPr>
        <w:t xml:space="preserve">Hugo Quintana </w:t>
      </w:r>
      <w:proofErr w:type="spellStart"/>
      <w:r w:rsidRPr="00875A0D">
        <w:rPr>
          <w:rFonts w:asciiTheme="majorHAnsi" w:hAnsiTheme="majorHAnsi"/>
          <w:color w:val="auto"/>
          <w:sz w:val="16"/>
          <w:szCs w:val="16"/>
        </w:rPr>
        <w:t>Coello</w:t>
      </w:r>
      <w:proofErr w:type="spellEnd"/>
      <w:r w:rsidRPr="00875A0D">
        <w:rPr>
          <w:rFonts w:asciiTheme="majorHAnsi" w:hAnsiTheme="majorHAnsi"/>
          <w:color w:val="auto"/>
          <w:sz w:val="16"/>
          <w:szCs w:val="16"/>
        </w:rPr>
        <w:t xml:space="preserve"> </w:t>
      </w:r>
      <w:r>
        <w:rPr>
          <w:rFonts w:asciiTheme="majorHAnsi" w:hAnsiTheme="majorHAnsi"/>
          <w:color w:val="auto"/>
          <w:sz w:val="16"/>
          <w:szCs w:val="16"/>
        </w:rPr>
        <w:t xml:space="preserve">et al. “Supreme Court of Justice,” </w:t>
      </w:r>
      <w:r w:rsidRPr="00875A0D">
        <w:rPr>
          <w:rFonts w:asciiTheme="majorHAnsi" w:hAnsiTheme="majorHAnsi"/>
          <w:color w:val="auto"/>
          <w:sz w:val="16"/>
          <w:szCs w:val="16"/>
        </w:rPr>
        <w:t xml:space="preserve">Ecuador, </w:t>
      </w:r>
      <w:r>
        <w:rPr>
          <w:rFonts w:asciiTheme="majorHAnsi" w:hAnsiTheme="majorHAnsi"/>
          <w:color w:val="auto"/>
          <w:sz w:val="16"/>
          <w:szCs w:val="16"/>
        </w:rPr>
        <w:t xml:space="preserve">March </w:t>
      </w:r>
      <w:r w:rsidRPr="00875A0D">
        <w:rPr>
          <w:rFonts w:asciiTheme="majorHAnsi" w:hAnsiTheme="majorHAnsi"/>
          <w:color w:val="auto"/>
          <w:sz w:val="16"/>
          <w:szCs w:val="16"/>
        </w:rPr>
        <w:t>31</w:t>
      </w:r>
      <w:r>
        <w:rPr>
          <w:rFonts w:asciiTheme="majorHAnsi" w:hAnsiTheme="majorHAnsi"/>
          <w:color w:val="auto"/>
          <w:sz w:val="16"/>
          <w:szCs w:val="16"/>
        </w:rPr>
        <w:t>,</w:t>
      </w:r>
      <w:r w:rsidRPr="00875A0D">
        <w:rPr>
          <w:rFonts w:asciiTheme="majorHAnsi" w:hAnsiTheme="majorHAnsi"/>
          <w:color w:val="auto"/>
          <w:sz w:val="16"/>
          <w:szCs w:val="16"/>
        </w:rPr>
        <w:t xml:space="preserve"> 2011, </w:t>
      </w:r>
      <w:r>
        <w:rPr>
          <w:rFonts w:asciiTheme="majorHAnsi" w:hAnsiTheme="majorHAnsi"/>
          <w:color w:val="auto"/>
          <w:sz w:val="16"/>
          <w:szCs w:val="16"/>
        </w:rPr>
        <w:t>para.</w:t>
      </w:r>
      <w:r w:rsidRPr="00875A0D">
        <w:rPr>
          <w:rFonts w:asciiTheme="majorHAnsi" w:hAnsiTheme="majorHAnsi"/>
          <w:color w:val="auto"/>
          <w:sz w:val="16"/>
          <w:szCs w:val="16"/>
        </w:rPr>
        <w:t xml:space="preserve"> </w:t>
      </w:r>
      <w:proofErr w:type="gramStart"/>
      <w:r w:rsidRPr="00875A0D">
        <w:rPr>
          <w:rFonts w:asciiTheme="majorHAnsi" w:hAnsiTheme="majorHAnsi"/>
          <w:color w:val="auto"/>
          <w:sz w:val="16"/>
          <w:szCs w:val="16"/>
        </w:rPr>
        <w:t xml:space="preserve">102; </w:t>
      </w:r>
      <w:r>
        <w:rPr>
          <w:rFonts w:asciiTheme="majorHAnsi" w:hAnsiTheme="majorHAnsi"/>
          <w:color w:val="auto"/>
          <w:sz w:val="16"/>
          <w:szCs w:val="16"/>
        </w:rPr>
        <w:t>I/A Court HR</w:t>
      </w:r>
      <w:r w:rsidRPr="00875A0D">
        <w:rPr>
          <w:rFonts w:asciiTheme="majorHAnsi" w:hAnsiTheme="majorHAnsi"/>
          <w:color w:val="auto"/>
          <w:sz w:val="16"/>
          <w:szCs w:val="16"/>
        </w:rPr>
        <w:t xml:space="preserve">. </w:t>
      </w:r>
      <w:hyperlink r:id="rId4" w:history="1">
        <w:r>
          <w:rPr>
            <w:rStyle w:val="Hyperlink"/>
            <w:rFonts w:asciiTheme="majorHAnsi" w:hAnsiTheme="majorHAnsi" w:cs="Arial"/>
            <w:color w:val="auto"/>
            <w:sz w:val="16"/>
            <w:szCs w:val="16"/>
            <w:u w:val="none"/>
            <w:shd w:val="clear" w:color="auto" w:fill="FFFFFF"/>
          </w:rPr>
          <w:t>Case of</w:t>
        </w:r>
        <w:r w:rsidRPr="00875A0D">
          <w:rPr>
            <w:rStyle w:val="Hyperlink"/>
            <w:rFonts w:asciiTheme="majorHAnsi" w:hAnsiTheme="majorHAnsi" w:cs="Arial"/>
            <w:color w:val="auto"/>
            <w:sz w:val="16"/>
            <w:szCs w:val="16"/>
            <w:u w:val="none"/>
            <w:shd w:val="clear" w:color="auto" w:fill="FFFFFF"/>
          </w:rPr>
          <w:t xml:space="preserve"> </w:t>
        </w:r>
        <w:proofErr w:type="spellStart"/>
        <w:r w:rsidRPr="00875A0D">
          <w:rPr>
            <w:rStyle w:val="Hyperlink"/>
            <w:rFonts w:asciiTheme="majorHAnsi" w:hAnsiTheme="majorHAnsi" w:cs="Arial"/>
            <w:color w:val="auto"/>
            <w:sz w:val="16"/>
            <w:szCs w:val="16"/>
            <w:u w:val="none"/>
            <w:shd w:val="clear" w:color="auto" w:fill="FFFFFF"/>
          </w:rPr>
          <w:t>Baena</w:t>
        </w:r>
        <w:proofErr w:type="spellEnd"/>
        <w:r w:rsidRPr="00875A0D">
          <w:rPr>
            <w:rStyle w:val="Hyperlink"/>
            <w:rFonts w:asciiTheme="majorHAnsi" w:hAnsiTheme="majorHAnsi" w:cs="Arial"/>
            <w:color w:val="auto"/>
            <w:sz w:val="16"/>
            <w:szCs w:val="16"/>
            <w:u w:val="none"/>
            <w:shd w:val="clear" w:color="auto" w:fill="FFFFFF"/>
          </w:rPr>
          <w:t xml:space="preserve"> Ricardo </w:t>
        </w:r>
        <w:r w:rsidRPr="00203A9B">
          <w:rPr>
            <w:rStyle w:val="Hyperlink"/>
            <w:rFonts w:asciiTheme="majorHAnsi" w:hAnsiTheme="majorHAnsi" w:cs="Arial"/>
            <w:color w:val="auto"/>
            <w:sz w:val="16"/>
            <w:szCs w:val="16"/>
            <w:u w:val="none"/>
            <w:shd w:val="clear" w:color="auto" w:fill="FFFFFF"/>
          </w:rPr>
          <w:t>et al.</w:t>
        </w:r>
        <w:r>
          <w:rPr>
            <w:rStyle w:val="Hyperlink"/>
            <w:rFonts w:asciiTheme="majorHAnsi" w:hAnsiTheme="majorHAnsi" w:cs="Arial"/>
            <w:color w:val="auto"/>
            <w:sz w:val="16"/>
            <w:szCs w:val="16"/>
            <w:u w:val="none"/>
            <w:shd w:val="clear" w:color="auto" w:fill="FFFFFF"/>
          </w:rPr>
          <w:t xml:space="preserve"> v.</w:t>
        </w:r>
        <w:r w:rsidRPr="00875A0D">
          <w:rPr>
            <w:rStyle w:val="Hyperlink"/>
            <w:rFonts w:asciiTheme="majorHAnsi" w:hAnsiTheme="majorHAnsi" w:cs="Arial"/>
            <w:color w:val="auto"/>
            <w:sz w:val="16"/>
            <w:szCs w:val="16"/>
            <w:u w:val="none"/>
            <w:shd w:val="clear" w:color="auto" w:fill="FFFFFF"/>
          </w:rPr>
          <w:t xml:space="preserve"> </w:t>
        </w:r>
        <w:r w:rsidRPr="00203A9B">
          <w:rPr>
            <w:rStyle w:val="Hyperlink"/>
            <w:rFonts w:asciiTheme="majorHAnsi" w:hAnsiTheme="majorHAnsi" w:cs="Arial"/>
            <w:color w:val="auto"/>
            <w:sz w:val="16"/>
            <w:szCs w:val="16"/>
            <w:u w:val="none"/>
            <w:shd w:val="clear" w:color="auto" w:fill="FFFFFF"/>
          </w:rPr>
          <w:t>Panama</w:t>
        </w:r>
        <w:r w:rsidRPr="00875A0D">
          <w:rPr>
            <w:rStyle w:val="Hyperlink"/>
            <w:rFonts w:asciiTheme="majorHAnsi" w:hAnsiTheme="majorHAnsi" w:cs="Arial"/>
            <w:color w:val="auto"/>
            <w:sz w:val="16"/>
            <w:szCs w:val="16"/>
            <w:u w:val="none"/>
            <w:shd w:val="clear" w:color="auto" w:fill="FFFFFF"/>
          </w:rPr>
          <w:t>.</w:t>
        </w:r>
        <w:proofErr w:type="gramEnd"/>
        <w:r w:rsidRPr="00875A0D">
          <w:rPr>
            <w:rStyle w:val="Hyperlink"/>
            <w:rFonts w:asciiTheme="majorHAnsi" w:hAnsiTheme="majorHAnsi" w:cs="Arial"/>
            <w:color w:val="auto"/>
            <w:sz w:val="16"/>
            <w:szCs w:val="16"/>
            <w:u w:val="none"/>
            <w:shd w:val="clear" w:color="auto" w:fill="FFFFFF"/>
          </w:rPr>
          <w:t xml:space="preserve"> </w:t>
        </w:r>
        <w:proofErr w:type="gramStart"/>
        <w:r w:rsidRPr="00203A9B">
          <w:rPr>
            <w:rStyle w:val="Hyperlink"/>
            <w:rFonts w:asciiTheme="majorHAnsi" w:hAnsiTheme="majorHAnsi" w:cs="Arial"/>
            <w:color w:val="auto"/>
            <w:sz w:val="16"/>
            <w:szCs w:val="16"/>
            <w:u w:val="none"/>
            <w:shd w:val="clear" w:color="auto" w:fill="FFFFFF"/>
          </w:rPr>
          <w:t>Merits, Reparations and Costs</w:t>
        </w:r>
        <w:r w:rsidRPr="00875A0D">
          <w:rPr>
            <w:rStyle w:val="Hyperlink"/>
            <w:rFonts w:asciiTheme="majorHAnsi" w:hAnsiTheme="majorHAnsi" w:cs="Arial"/>
            <w:color w:val="auto"/>
            <w:sz w:val="16"/>
            <w:szCs w:val="16"/>
            <w:u w:val="none"/>
            <w:shd w:val="clear" w:color="auto" w:fill="FFFFFF"/>
          </w:rPr>
          <w:t>.</w:t>
        </w:r>
        <w:proofErr w:type="gramEnd"/>
        <w:r w:rsidRPr="00875A0D">
          <w:rPr>
            <w:rStyle w:val="Hyperlink"/>
            <w:rFonts w:asciiTheme="majorHAnsi" w:hAnsiTheme="majorHAnsi" w:cs="Arial"/>
            <w:color w:val="auto"/>
            <w:sz w:val="16"/>
            <w:szCs w:val="16"/>
            <w:u w:val="none"/>
            <w:shd w:val="clear" w:color="auto" w:fill="FFFFFF"/>
          </w:rPr>
          <w:t xml:space="preserve"> </w:t>
        </w:r>
        <w:r w:rsidRPr="00203A9B">
          <w:rPr>
            <w:rStyle w:val="Hyperlink"/>
            <w:rFonts w:asciiTheme="majorHAnsi" w:hAnsiTheme="majorHAnsi" w:cs="Arial"/>
            <w:color w:val="auto"/>
            <w:sz w:val="16"/>
            <w:szCs w:val="16"/>
            <w:u w:val="none"/>
            <w:shd w:val="clear" w:color="auto" w:fill="FFFFFF"/>
          </w:rPr>
          <w:t>Judgment of</w:t>
        </w:r>
        <w:r w:rsidRPr="00875A0D">
          <w:rPr>
            <w:rStyle w:val="Hyperlink"/>
            <w:rFonts w:asciiTheme="majorHAnsi" w:hAnsiTheme="majorHAnsi" w:cs="Arial"/>
            <w:color w:val="auto"/>
            <w:sz w:val="16"/>
            <w:szCs w:val="16"/>
            <w:u w:val="none"/>
            <w:shd w:val="clear" w:color="auto" w:fill="FFFFFF"/>
          </w:rPr>
          <w:t xml:space="preserve"> </w:t>
        </w:r>
        <w:r>
          <w:rPr>
            <w:rStyle w:val="Hyperlink"/>
            <w:rFonts w:asciiTheme="majorHAnsi" w:hAnsiTheme="majorHAnsi" w:cs="Arial"/>
            <w:color w:val="auto"/>
            <w:sz w:val="16"/>
            <w:szCs w:val="16"/>
            <w:u w:val="none"/>
            <w:shd w:val="clear" w:color="auto" w:fill="FFFFFF"/>
          </w:rPr>
          <w:t xml:space="preserve">February </w:t>
        </w:r>
        <w:r w:rsidRPr="00875A0D">
          <w:rPr>
            <w:rStyle w:val="Hyperlink"/>
            <w:rFonts w:asciiTheme="majorHAnsi" w:hAnsiTheme="majorHAnsi" w:cs="Arial"/>
            <w:color w:val="auto"/>
            <w:sz w:val="16"/>
            <w:szCs w:val="16"/>
            <w:u w:val="none"/>
            <w:shd w:val="clear" w:color="auto" w:fill="FFFFFF"/>
          </w:rPr>
          <w:t>2</w:t>
        </w:r>
        <w:r>
          <w:rPr>
            <w:rStyle w:val="Hyperlink"/>
            <w:rFonts w:asciiTheme="majorHAnsi" w:hAnsiTheme="majorHAnsi" w:cs="Arial"/>
            <w:color w:val="auto"/>
            <w:sz w:val="16"/>
            <w:szCs w:val="16"/>
            <w:u w:val="none"/>
            <w:shd w:val="clear" w:color="auto" w:fill="FFFFFF"/>
          </w:rPr>
          <w:t>,</w:t>
        </w:r>
        <w:r w:rsidRPr="00875A0D">
          <w:rPr>
            <w:rStyle w:val="Hyperlink"/>
            <w:rFonts w:asciiTheme="majorHAnsi" w:hAnsiTheme="majorHAnsi" w:cs="Arial"/>
            <w:color w:val="auto"/>
            <w:sz w:val="16"/>
            <w:szCs w:val="16"/>
            <w:u w:val="none"/>
            <w:shd w:val="clear" w:color="auto" w:fill="FFFFFF"/>
          </w:rPr>
          <w:t xml:space="preserve"> 2001. </w:t>
        </w:r>
        <w:r w:rsidRPr="00203A9B">
          <w:rPr>
            <w:rStyle w:val="Hyperlink"/>
            <w:rFonts w:asciiTheme="majorHAnsi" w:hAnsiTheme="majorHAnsi" w:cs="Arial"/>
            <w:color w:val="auto"/>
            <w:sz w:val="16"/>
            <w:szCs w:val="16"/>
            <w:u w:val="none"/>
            <w:shd w:val="clear" w:color="auto" w:fill="FFFFFF"/>
          </w:rPr>
          <w:t>Series C</w:t>
        </w:r>
        <w:r w:rsidRPr="00875A0D">
          <w:rPr>
            <w:rStyle w:val="Hyperlink"/>
            <w:rFonts w:asciiTheme="majorHAnsi" w:hAnsiTheme="majorHAnsi" w:cs="Arial"/>
            <w:color w:val="auto"/>
            <w:sz w:val="16"/>
            <w:szCs w:val="16"/>
            <w:u w:val="none"/>
            <w:shd w:val="clear" w:color="auto" w:fill="FFFFFF"/>
          </w:rPr>
          <w:t xml:space="preserve"> No. 72</w:t>
        </w:r>
      </w:hyperlink>
      <w:r w:rsidRPr="00875A0D">
        <w:rPr>
          <w:rFonts w:asciiTheme="majorHAnsi" w:hAnsiTheme="majorHAnsi"/>
          <w:color w:val="auto"/>
          <w:sz w:val="16"/>
          <w:szCs w:val="16"/>
        </w:rPr>
        <w:t xml:space="preserve">, </w:t>
      </w:r>
      <w:r>
        <w:rPr>
          <w:rFonts w:asciiTheme="majorHAnsi" w:hAnsiTheme="majorHAnsi"/>
          <w:color w:val="auto"/>
          <w:sz w:val="16"/>
          <w:szCs w:val="16"/>
        </w:rPr>
        <w:t>paras.</w:t>
      </w:r>
      <w:r w:rsidRPr="00875A0D">
        <w:rPr>
          <w:rFonts w:asciiTheme="majorHAnsi" w:hAnsiTheme="majorHAnsi"/>
          <w:color w:val="auto"/>
          <w:sz w:val="16"/>
          <w:szCs w:val="16"/>
        </w:rPr>
        <w:t xml:space="preserve"> </w:t>
      </w:r>
      <w:proofErr w:type="gramStart"/>
      <w:r w:rsidRPr="00875A0D">
        <w:rPr>
          <w:rFonts w:asciiTheme="majorHAnsi" w:hAnsiTheme="majorHAnsi"/>
          <w:color w:val="auto"/>
          <w:sz w:val="16"/>
          <w:szCs w:val="16"/>
        </w:rPr>
        <w:t xml:space="preserve">126-127; </w:t>
      </w:r>
      <w:hyperlink r:id="rId5" w:history="1">
        <w:r>
          <w:rPr>
            <w:rStyle w:val="Hyperlink"/>
            <w:rFonts w:asciiTheme="majorHAnsi" w:hAnsiTheme="majorHAnsi" w:cs="Arial"/>
            <w:color w:val="auto"/>
            <w:sz w:val="16"/>
            <w:szCs w:val="16"/>
            <w:u w:val="none"/>
            <w:shd w:val="clear" w:color="auto" w:fill="FFFFFF"/>
          </w:rPr>
          <w:t xml:space="preserve">Case of the Constitutional Court v. </w:t>
        </w:r>
        <w:r w:rsidRPr="00203A9B">
          <w:rPr>
            <w:rStyle w:val="Hyperlink"/>
            <w:rFonts w:asciiTheme="majorHAnsi" w:hAnsiTheme="majorHAnsi" w:cs="Arial"/>
            <w:color w:val="auto"/>
            <w:sz w:val="16"/>
            <w:szCs w:val="16"/>
            <w:u w:val="none"/>
            <w:shd w:val="clear" w:color="auto" w:fill="FFFFFF"/>
          </w:rPr>
          <w:t>Peru</w:t>
        </w:r>
        <w:r w:rsidRPr="00875A0D">
          <w:rPr>
            <w:rStyle w:val="Hyperlink"/>
            <w:rFonts w:asciiTheme="majorHAnsi" w:hAnsiTheme="majorHAnsi" w:cs="Arial"/>
            <w:color w:val="auto"/>
            <w:sz w:val="16"/>
            <w:szCs w:val="16"/>
            <w:u w:val="none"/>
            <w:shd w:val="clear" w:color="auto" w:fill="FFFFFF"/>
          </w:rPr>
          <w:t>.</w:t>
        </w:r>
        <w:proofErr w:type="gramEnd"/>
        <w:r w:rsidRPr="00875A0D">
          <w:rPr>
            <w:rStyle w:val="Hyperlink"/>
            <w:rFonts w:asciiTheme="majorHAnsi" w:hAnsiTheme="majorHAnsi" w:cs="Arial"/>
            <w:color w:val="auto"/>
            <w:sz w:val="16"/>
            <w:szCs w:val="16"/>
            <w:u w:val="none"/>
            <w:shd w:val="clear" w:color="auto" w:fill="FFFFFF"/>
          </w:rPr>
          <w:t xml:space="preserve"> </w:t>
        </w:r>
        <w:proofErr w:type="gramStart"/>
        <w:r w:rsidRPr="00203A9B">
          <w:rPr>
            <w:rStyle w:val="Hyperlink"/>
            <w:rFonts w:asciiTheme="majorHAnsi" w:hAnsiTheme="majorHAnsi" w:cs="Arial"/>
            <w:color w:val="auto"/>
            <w:sz w:val="16"/>
            <w:szCs w:val="16"/>
            <w:u w:val="none"/>
            <w:shd w:val="clear" w:color="auto" w:fill="FFFFFF"/>
          </w:rPr>
          <w:t>Merits, Reparations and Costs</w:t>
        </w:r>
        <w:r w:rsidRPr="00875A0D">
          <w:rPr>
            <w:rStyle w:val="Hyperlink"/>
            <w:rFonts w:asciiTheme="majorHAnsi" w:hAnsiTheme="majorHAnsi" w:cs="Arial"/>
            <w:color w:val="auto"/>
            <w:sz w:val="16"/>
            <w:szCs w:val="16"/>
            <w:u w:val="none"/>
            <w:shd w:val="clear" w:color="auto" w:fill="FFFFFF"/>
          </w:rPr>
          <w:t>.</w:t>
        </w:r>
        <w:proofErr w:type="gramEnd"/>
        <w:r w:rsidRPr="00875A0D">
          <w:rPr>
            <w:rStyle w:val="Hyperlink"/>
            <w:rFonts w:asciiTheme="majorHAnsi" w:hAnsiTheme="majorHAnsi" w:cs="Arial"/>
            <w:color w:val="auto"/>
            <w:sz w:val="16"/>
            <w:szCs w:val="16"/>
            <w:u w:val="none"/>
            <w:shd w:val="clear" w:color="auto" w:fill="FFFFFF"/>
          </w:rPr>
          <w:t xml:space="preserve"> </w:t>
        </w:r>
        <w:r w:rsidRPr="00203A9B">
          <w:rPr>
            <w:rStyle w:val="Hyperlink"/>
            <w:rFonts w:asciiTheme="majorHAnsi" w:hAnsiTheme="majorHAnsi" w:cs="Arial"/>
            <w:color w:val="auto"/>
            <w:sz w:val="16"/>
            <w:szCs w:val="16"/>
            <w:u w:val="none"/>
            <w:shd w:val="clear" w:color="auto" w:fill="FFFFFF"/>
          </w:rPr>
          <w:t>Judgment of</w:t>
        </w:r>
        <w:r w:rsidRPr="00875A0D">
          <w:rPr>
            <w:rStyle w:val="Hyperlink"/>
            <w:rFonts w:asciiTheme="majorHAnsi" w:hAnsiTheme="majorHAnsi" w:cs="Arial"/>
            <w:color w:val="auto"/>
            <w:sz w:val="16"/>
            <w:szCs w:val="16"/>
            <w:u w:val="none"/>
            <w:shd w:val="clear" w:color="auto" w:fill="FFFFFF"/>
          </w:rPr>
          <w:t xml:space="preserve"> </w:t>
        </w:r>
        <w:r>
          <w:rPr>
            <w:rStyle w:val="Hyperlink"/>
            <w:rFonts w:asciiTheme="majorHAnsi" w:hAnsiTheme="majorHAnsi" w:cs="Arial"/>
            <w:color w:val="auto"/>
            <w:sz w:val="16"/>
            <w:szCs w:val="16"/>
            <w:u w:val="none"/>
            <w:shd w:val="clear" w:color="auto" w:fill="FFFFFF"/>
          </w:rPr>
          <w:t xml:space="preserve">January </w:t>
        </w:r>
        <w:r w:rsidRPr="00875A0D">
          <w:rPr>
            <w:rStyle w:val="Hyperlink"/>
            <w:rFonts w:asciiTheme="majorHAnsi" w:hAnsiTheme="majorHAnsi" w:cs="Arial"/>
            <w:color w:val="auto"/>
            <w:sz w:val="16"/>
            <w:szCs w:val="16"/>
            <w:u w:val="none"/>
            <w:shd w:val="clear" w:color="auto" w:fill="FFFFFF"/>
          </w:rPr>
          <w:t>31</w:t>
        </w:r>
        <w:r>
          <w:rPr>
            <w:rStyle w:val="Hyperlink"/>
            <w:rFonts w:asciiTheme="majorHAnsi" w:hAnsiTheme="majorHAnsi" w:cs="Arial"/>
            <w:color w:val="auto"/>
            <w:sz w:val="16"/>
            <w:szCs w:val="16"/>
            <w:u w:val="none"/>
            <w:shd w:val="clear" w:color="auto" w:fill="FFFFFF"/>
          </w:rPr>
          <w:t>,</w:t>
        </w:r>
        <w:r w:rsidRPr="00875A0D">
          <w:rPr>
            <w:rStyle w:val="Hyperlink"/>
            <w:rFonts w:asciiTheme="majorHAnsi" w:hAnsiTheme="majorHAnsi" w:cs="Arial"/>
            <w:color w:val="auto"/>
            <w:sz w:val="16"/>
            <w:szCs w:val="16"/>
            <w:u w:val="none"/>
            <w:shd w:val="clear" w:color="auto" w:fill="FFFFFF"/>
          </w:rPr>
          <w:t xml:space="preserve"> 2001. </w:t>
        </w:r>
        <w:r w:rsidRPr="00203A9B">
          <w:rPr>
            <w:rStyle w:val="Hyperlink"/>
            <w:rFonts w:asciiTheme="majorHAnsi" w:hAnsiTheme="majorHAnsi" w:cs="Arial"/>
            <w:color w:val="auto"/>
            <w:sz w:val="16"/>
            <w:szCs w:val="16"/>
            <w:u w:val="none"/>
            <w:shd w:val="clear" w:color="auto" w:fill="FFFFFF"/>
          </w:rPr>
          <w:t>Series C</w:t>
        </w:r>
        <w:r w:rsidRPr="00875A0D">
          <w:rPr>
            <w:rStyle w:val="Hyperlink"/>
            <w:rFonts w:asciiTheme="majorHAnsi" w:hAnsiTheme="majorHAnsi" w:cs="Arial"/>
            <w:color w:val="auto"/>
            <w:sz w:val="16"/>
            <w:szCs w:val="16"/>
            <w:u w:val="none"/>
            <w:shd w:val="clear" w:color="auto" w:fill="FFFFFF"/>
          </w:rPr>
          <w:t xml:space="preserve"> No. 71</w:t>
        </w:r>
      </w:hyperlink>
      <w:r w:rsidRPr="00875A0D">
        <w:rPr>
          <w:rFonts w:asciiTheme="majorHAnsi" w:hAnsiTheme="majorHAnsi"/>
          <w:color w:val="auto"/>
          <w:sz w:val="16"/>
          <w:szCs w:val="16"/>
        </w:rPr>
        <w:t xml:space="preserve">, </w:t>
      </w:r>
      <w:r>
        <w:rPr>
          <w:rFonts w:asciiTheme="majorHAnsi" w:hAnsiTheme="majorHAnsi"/>
          <w:color w:val="auto"/>
          <w:sz w:val="16"/>
          <w:szCs w:val="16"/>
        </w:rPr>
        <w:t>paras.</w:t>
      </w:r>
      <w:r w:rsidRPr="00875A0D">
        <w:rPr>
          <w:rFonts w:asciiTheme="majorHAnsi" w:hAnsiTheme="majorHAnsi"/>
          <w:color w:val="auto"/>
          <w:sz w:val="16"/>
          <w:szCs w:val="16"/>
        </w:rPr>
        <w:t xml:space="preserve"> </w:t>
      </w:r>
      <w:proofErr w:type="gramStart"/>
      <w:r w:rsidRPr="00875A0D">
        <w:rPr>
          <w:rFonts w:asciiTheme="majorHAnsi" w:hAnsiTheme="majorHAnsi"/>
          <w:color w:val="auto"/>
          <w:sz w:val="16"/>
          <w:szCs w:val="16"/>
        </w:rPr>
        <w:t xml:space="preserve">69-70; </w:t>
      </w:r>
      <w:r>
        <w:rPr>
          <w:rFonts w:asciiTheme="majorHAnsi" w:hAnsiTheme="majorHAnsi"/>
          <w:color w:val="auto"/>
          <w:sz w:val="16"/>
          <w:szCs w:val="16"/>
        </w:rPr>
        <w:t>and</w:t>
      </w:r>
      <w:r w:rsidRPr="00875A0D">
        <w:rPr>
          <w:rFonts w:asciiTheme="majorHAnsi" w:hAnsiTheme="majorHAnsi"/>
          <w:color w:val="auto"/>
          <w:sz w:val="16"/>
          <w:szCs w:val="16"/>
        </w:rPr>
        <w:t xml:space="preserve"> </w:t>
      </w:r>
      <w:hyperlink r:id="rId6" w:history="1">
        <w:r>
          <w:rPr>
            <w:rStyle w:val="Hyperlink"/>
            <w:rFonts w:asciiTheme="majorHAnsi" w:hAnsiTheme="majorHAnsi" w:cs="Arial"/>
            <w:color w:val="auto"/>
            <w:sz w:val="16"/>
            <w:szCs w:val="16"/>
            <w:u w:val="none"/>
            <w:shd w:val="clear" w:color="auto" w:fill="FFFFFF"/>
          </w:rPr>
          <w:t>Case of</w:t>
        </w:r>
        <w:r w:rsidRPr="00875A0D">
          <w:rPr>
            <w:rStyle w:val="Hyperlink"/>
            <w:rFonts w:asciiTheme="majorHAnsi" w:hAnsiTheme="majorHAnsi" w:cs="Arial"/>
            <w:color w:val="auto"/>
            <w:sz w:val="16"/>
            <w:szCs w:val="16"/>
            <w:u w:val="none"/>
            <w:shd w:val="clear" w:color="auto" w:fill="FFFFFF"/>
          </w:rPr>
          <w:t xml:space="preserve"> López Mendoza </w:t>
        </w:r>
        <w:r>
          <w:rPr>
            <w:rStyle w:val="Hyperlink"/>
            <w:rFonts w:asciiTheme="majorHAnsi" w:hAnsiTheme="majorHAnsi" w:cs="Arial"/>
            <w:color w:val="auto"/>
            <w:sz w:val="16"/>
            <w:szCs w:val="16"/>
            <w:u w:val="none"/>
            <w:shd w:val="clear" w:color="auto" w:fill="FFFFFF"/>
          </w:rPr>
          <w:t>v</w:t>
        </w:r>
        <w:r w:rsidRPr="00875A0D">
          <w:rPr>
            <w:rStyle w:val="Hyperlink"/>
            <w:rFonts w:asciiTheme="majorHAnsi" w:hAnsiTheme="majorHAnsi" w:cs="Arial"/>
            <w:color w:val="auto"/>
            <w:sz w:val="16"/>
            <w:szCs w:val="16"/>
            <w:u w:val="none"/>
            <w:shd w:val="clear" w:color="auto" w:fill="FFFFFF"/>
          </w:rPr>
          <w:t>. Venezuela.</w:t>
        </w:r>
        <w:proofErr w:type="gramEnd"/>
        <w:r w:rsidRPr="00875A0D">
          <w:rPr>
            <w:rStyle w:val="Hyperlink"/>
            <w:rFonts w:asciiTheme="majorHAnsi" w:hAnsiTheme="majorHAnsi" w:cs="Arial"/>
            <w:color w:val="auto"/>
            <w:sz w:val="16"/>
            <w:szCs w:val="16"/>
            <w:u w:val="none"/>
            <w:shd w:val="clear" w:color="auto" w:fill="FFFFFF"/>
          </w:rPr>
          <w:t xml:space="preserve"> </w:t>
        </w:r>
        <w:proofErr w:type="gramStart"/>
        <w:r w:rsidRPr="00203A9B">
          <w:rPr>
            <w:rStyle w:val="Hyperlink"/>
            <w:rFonts w:asciiTheme="majorHAnsi" w:hAnsiTheme="majorHAnsi" w:cs="Arial"/>
            <w:color w:val="auto"/>
            <w:sz w:val="16"/>
            <w:szCs w:val="16"/>
            <w:u w:val="none"/>
            <w:shd w:val="clear" w:color="auto" w:fill="FFFFFF"/>
          </w:rPr>
          <w:t>Merits, Reparations and Costs</w:t>
        </w:r>
        <w:r w:rsidRPr="00875A0D">
          <w:rPr>
            <w:rStyle w:val="Hyperlink"/>
            <w:rFonts w:asciiTheme="majorHAnsi" w:hAnsiTheme="majorHAnsi" w:cs="Arial"/>
            <w:color w:val="auto"/>
            <w:sz w:val="16"/>
            <w:szCs w:val="16"/>
            <w:u w:val="none"/>
            <w:shd w:val="clear" w:color="auto" w:fill="FFFFFF"/>
          </w:rPr>
          <w:t>.</w:t>
        </w:r>
        <w:proofErr w:type="gramEnd"/>
        <w:r w:rsidRPr="00875A0D">
          <w:rPr>
            <w:rStyle w:val="Hyperlink"/>
            <w:rFonts w:asciiTheme="majorHAnsi" w:hAnsiTheme="majorHAnsi" w:cs="Arial"/>
            <w:color w:val="auto"/>
            <w:sz w:val="16"/>
            <w:szCs w:val="16"/>
            <w:u w:val="none"/>
            <w:shd w:val="clear" w:color="auto" w:fill="FFFFFF"/>
          </w:rPr>
          <w:t xml:space="preserve"> </w:t>
        </w:r>
        <w:proofErr w:type="gramStart"/>
        <w:r w:rsidRPr="00203A9B">
          <w:rPr>
            <w:rStyle w:val="Hyperlink"/>
            <w:rFonts w:asciiTheme="majorHAnsi" w:hAnsiTheme="majorHAnsi" w:cs="Arial"/>
            <w:color w:val="auto"/>
            <w:sz w:val="16"/>
            <w:szCs w:val="16"/>
            <w:u w:val="none"/>
            <w:shd w:val="clear" w:color="auto" w:fill="FFFFFF"/>
          </w:rPr>
          <w:t>Judgment of</w:t>
        </w:r>
        <w:r w:rsidRPr="00875A0D">
          <w:rPr>
            <w:rStyle w:val="Hyperlink"/>
            <w:rFonts w:asciiTheme="majorHAnsi" w:hAnsiTheme="majorHAnsi" w:cs="Arial"/>
            <w:color w:val="auto"/>
            <w:sz w:val="16"/>
            <w:szCs w:val="16"/>
            <w:u w:val="none"/>
            <w:shd w:val="clear" w:color="auto" w:fill="FFFFFF"/>
          </w:rPr>
          <w:t xml:space="preserve"> </w:t>
        </w:r>
        <w:r>
          <w:rPr>
            <w:rStyle w:val="Hyperlink"/>
            <w:rFonts w:asciiTheme="majorHAnsi" w:hAnsiTheme="majorHAnsi" w:cs="Arial"/>
            <w:color w:val="auto"/>
            <w:sz w:val="16"/>
            <w:szCs w:val="16"/>
            <w:u w:val="none"/>
            <w:shd w:val="clear" w:color="auto" w:fill="FFFFFF"/>
          </w:rPr>
          <w:t xml:space="preserve">September </w:t>
        </w:r>
        <w:r w:rsidRPr="00875A0D">
          <w:rPr>
            <w:rStyle w:val="Hyperlink"/>
            <w:rFonts w:asciiTheme="majorHAnsi" w:hAnsiTheme="majorHAnsi" w:cs="Arial"/>
            <w:color w:val="auto"/>
            <w:sz w:val="16"/>
            <w:szCs w:val="16"/>
            <w:u w:val="none"/>
            <w:shd w:val="clear" w:color="auto" w:fill="FFFFFF"/>
          </w:rPr>
          <w:t>1</w:t>
        </w:r>
        <w:r>
          <w:rPr>
            <w:rStyle w:val="Hyperlink"/>
            <w:rFonts w:asciiTheme="majorHAnsi" w:hAnsiTheme="majorHAnsi" w:cs="Arial"/>
            <w:color w:val="auto"/>
            <w:sz w:val="16"/>
            <w:szCs w:val="16"/>
            <w:u w:val="none"/>
            <w:shd w:val="clear" w:color="auto" w:fill="FFFFFF"/>
          </w:rPr>
          <w:t>,</w:t>
        </w:r>
        <w:r w:rsidRPr="00875A0D">
          <w:rPr>
            <w:rStyle w:val="Hyperlink"/>
            <w:rFonts w:asciiTheme="majorHAnsi" w:hAnsiTheme="majorHAnsi" w:cs="Arial"/>
            <w:color w:val="auto"/>
            <w:sz w:val="16"/>
            <w:szCs w:val="16"/>
            <w:u w:val="none"/>
            <w:shd w:val="clear" w:color="auto" w:fill="FFFFFF"/>
          </w:rPr>
          <w:t xml:space="preserve"> 2011 </w:t>
        </w:r>
        <w:r w:rsidRPr="00203A9B">
          <w:rPr>
            <w:rStyle w:val="Hyperlink"/>
            <w:rFonts w:asciiTheme="majorHAnsi" w:hAnsiTheme="majorHAnsi" w:cs="Arial"/>
            <w:color w:val="auto"/>
            <w:sz w:val="16"/>
            <w:szCs w:val="16"/>
            <w:u w:val="none"/>
            <w:shd w:val="clear" w:color="auto" w:fill="FFFFFF"/>
          </w:rPr>
          <w:t>Series C</w:t>
        </w:r>
        <w:r w:rsidRPr="00875A0D">
          <w:rPr>
            <w:rStyle w:val="Hyperlink"/>
            <w:rFonts w:asciiTheme="majorHAnsi" w:hAnsiTheme="majorHAnsi" w:cs="Arial"/>
            <w:color w:val="auto"/>
            <w:sz w:val="16"/>
            <w:szCs w:val="16"/>
            <w:u w:val="none"/>
            <w:shd w:val="clear" w:color="auto" w:fill="FFFFFF"/>
          </w:rPr>
          <w:t xml:space="preserve"> No. 233</w:t>
        </w:r>
      </w:hyperlink>
      <w:r w:rsidRPr="00875A0D">
        <w:rPr>
          <w:rFonts w:asciiTheme="majorHAnsi" w:hAnsiTheme="majorHAnsi"/>
          <w:color w:val="auto"/>
          <w:sz w:val="16"/>
          <w:szCs w:val="16"/>
        </w:rPr>
        <w:t xml:space="preserve">, </w:t>
      </w:r>
      <w:r>
        <w:rPr>
          <w:rFonts w:asciiTheme="majorHAnsi" w:hAnsiTheme="majorHAnsi"/>
          <w:color w:val="auto"/>
          <w:sz w:val="16"/>
          <w:szCs w:val="16"/>
        </w:rPr>
        <w:t>para.</w:t>
      </w:r>
      <w:proofErr w:type="gramEnd"/>
      <w:r w:rsidRPr="00875A0D">
        <w:rPr>
          <w:rFonts w:asciiTheme="majorHAnsi" w:hAnsiTheme="majorHAnsi"/>
          <w:color w:val="auto"/>
          <w:sz w:val="16"/>
          <w:szCs w:val="16"/>
        </w:rPr>
        <w:t xml:space="preserve"> 111. </w:t>
      </w:r>
    </w:p>
  </w:footnote>
  <w:footnote w:id="27">
    <w:p w14:paraId="76948455" w14:textId="77777777" w:rsidR="00D02D3C" w:rsidRPr="00875A0D" w:rsidRDefault="00D02D3C" w:rsidP="00D02D3C">
      <w:pPr>
        <w:pStyle w:val="FootnoteText"/>
        <w:spacing w:after="120"/>
        <w:jc w:val="both"/>
        <w:rPr>
          <w:rFonts w:asciiTheme="majorHAnsi" w:hAnsiTheme="majorHAnsi"/>
          <w:sz w:val="16"/>
          <w:szCs w:val="16"/>
        </w:rPr>
      </w:pPr>
      <w:r w:rsidRPr="00875A0D">
        <w:rPr>
          <w:rStyle w:val="FootnoteReference"/>
          <w:rFonts w:asciiTheme="majorHAnsi" w:hAnsiTheme="majorHAnsi"/>
          <w:sz w:val="16"/>
          <w:szCs w:val="16"/>
        </w:rPr>
        <w:footnoteRef/>
      </w:r>
      <w:r w:rsidRPr="00875A0D">
        <w:rPr>
          <w:rFonts w:asciiTheme="majorHAnsi" w:hAnsiTheme="majorHAnsi"/>
          <w:sz w:val="16"/>
          <w:szCs w:val="16"/>
        </w:rPr>
        <w:t xml:space="preserve"> </w:t>
      </w:r>
      <w:proofErr w:type="gramStart"/>
      <w:r>
        <w:rPr>
          <w:rFonts w:asciiTheme="majorHAnsi" w:hAnsiTheme="majorHAnsi"/>
          <w:sz w:val="16"/>
          <w:szCs w:val="16"/>
        </w:rPr>
        <w:t>I/A Court HR</w:t>
      </w:r>
      <w:r w:rsidRPr="00875A0D">
        <w:rPr>
          <w:rFonts w:asciiTheme="majorHAnsi" w:hAnsiTheme="majorHAnsi"/>
          <w:sz w:val="16"/>
          <w:szCs w:val="16"/>
        </w:rPr>
        <w:t xml:space="preserve">. </w:t>
      </w:r>
      <w:hyperlink r:id="rId7" w:history="1">
        <w:r>
          <w:rPr>
            <w:rStyle w:val="Hyperlink"/>
            <w:rFonts w:asciiTheme="majorHAnsi" w:hAnsiTheme="majorHAnsi" w:cs="Arial"/>
            <w:color w:val="auto"/>
            <w:sz w:val="16"/>
            <w:szCs w:val="16"/>
            <w:u w:val="none"/>
            <w:shd w:val="clear" w:color="auto" w:fill="FFFFFF"/>
          </w:rPr>
          <w:t>Case of</w:t>
        </w:r>
        <w:r w:rsidRPr="00875A0D">
          <w:rPr>
            <w:rStyle w:val="Hyperlink"/>
            <w:rFonts w:asciiTheme="majorHAnsi" w:hAnsiTheme="majorHAnsi" w:cs="Arial"/>
            <w:color w:val="auto"/>
            <w:sz w:val="16"/>
            <w:szCs w:val="16"/>
            <w:u w:val="none"/>
            <w:shd w:val="clear" w:color="auto" w:fill="FFFFFF"/>
          </w:rPr>
          <w:t xml:space="preserve"> </w:t>
        </w:r>
        <w:proofErr w:type="spellStart"/>
        <w:r w:rsidRPr="00875A0D">
          <w:rPr>
            <w:rStyle w:val="Hyperlink"/>
            <w:rFonts w:asciiTheme="majorHAnsi" w:hAnsiTheme="majorHAnsi" w:cs="Arial"/>
            <w:color w:val="auto"/>
            <w:sz w:val="16"/>
            <w:szCs w:val="16"/>
            <w:u w:val="none"/>
            <w:shd w:val="clear" w:color="auto" w:fill="FFFFFF"/>
          </w:rPr>
          <w:t>Barbani</w:t>
        </w:r>
        <w:proofErr w:type="spellEnd"/>
        <w:r w:rsidRPr="00875A0D">
          <w:rPr>
            <w:rStyle w:val="Hyperlink"/>
            <w:rFonts w:asciiTheme="majorHAnsi" w:hAnsiTheme="majorHAnsi" w:cs="Arial"/>
            <w:color w:val="auto"/>
            <w:sz w:val="16"/>
            <w:szCs w:val="16"/>
            <w:u w:val="none"/>
            <w:shd w:val="clear" w:color="auto" w:fill="FFFFFF"/>
          </w:rPr>
          <w:t xml:space="preserve"> Duarte </w:t>
        </w:r>
        <w:r w:rsidRPr="000D7BD2">
          <w:rPr>
            <w:rStyle w:val="Hyperlink"/>
            <w:rFonts w:asciiTheme="majorHAnsi" w:hAnsiTheme="majorHAnsi" w:cs="Arial"/>
            <w:i/>
            <w:iCs/>
            <w:color w:val="auto"/>
            <w:sz w:val="16"/>
            <w:szCs w:val="16"/>
            <w:u w:val="none"/>
            <w:shd w:val="clear" w:color="auto" w:fill="FFFFFF"/>
          </w:rPr>
          <w:t>et al.</w:t>
        </w:r>
        <w:r>
          <w:rPr>
            <w:rStyle w:val="Hyperlink"/>
            <w:rFonts w:asciiTheme="majorHAnsi" w:hAnsiTheme="majorHAnsi" w:cs="Arial"/>
            <w:color w:val="auto"/>
            <w:sz w:val="16"/>
            <w:szCs w:val="16"/>
            <w:u w:val="none"/>
            <w:shd w:val="clear" w:color="auto" w:fill="FFFFFF"/>
          </w:rPr>
          <w:t xml:space="preserve"> v</w:t>
        </w:r>
        <w:r w:rsidRPr="00875A0D">
          <w:rPr>
            <w:rStyle w:val="Hyperlink"/>
            <w:rFonts w:asciiTheme="majorHAnsi" w:hAnsiTheme="majorHAnsi" w:cs="Arial"/>
            <w:color w:val="auto"/>
            <w:sz w:val="16"/>
            <w:szCs w:val="16"/>
            <w:u w:val="none"/>
            <w:shd w:val="clear" w:color="auto" w:fill="FFFFFF"/>
          </w:rPr>
          <w:t>. Uruguay.</w:t>
        </w:r>
        <w:proofErr w:type="gramEnd"/>
        <w:r w:rsidRPr="00875A0D">
          <w:rPr>
            <w:rStyle w:val="Hyperlink"/>
            <w:rFonts w:asciiTheme="majorHAnsi" w:hAnsiTheme="majorHAnsi" w:cs="Arial"/>
            <w:color w:val="auto"/>
            <w:sz w:val="16"/>
            <w:szCs w:val="16"/>
            <w:u w:val="none"/>
            <w:shd w:val="clear" w:color="auto" w:fill="FFFFFF"/>
          </w:rPr>
          <w:t xml:space="preserve"> </w:t>
        </w:r>
        <w:proofErr w:type="gramStart"/>
        <w:r w:rsidRPr="00203A9B">
          <w:rPr>
            <w:rStyle w:val="Hyperlink"/>
            <w:rFonts w:asciiTheme="majorHAnsi" w:hAnsiTheme="majorHAnsi" w:cs="Arial"/>
            <w:color w:val="auto"/>
            <w:sz w:val="16"/>
            <w:szCs w:val="16"/>
            <w:u w:val="none"/>
            <w:shd w:val="clear" w:color="auto" w:fill="FFFFFF"/>
          </w:rPr>
          <w:t>Merits, Reparations and Costs</w:t>
        </w:r>
        <w:r w:rsidRPr="00875A0D">
          <w:rPr>
            <w:rStyle w:val="Hyperlink"/>
            <w:rFonts w:asciiTheme="majorHAnsi" w:hAnsiTheme="majorHAnsi" w:cs="Arial"/>
            <w:color w:val="auto"/>
            <w:sz w:val="16"/>
            <w:szCs w:val="16"/>
            <w:u w:val="none"/>
            <w:shd w:val="clear" w:color="auto" w:fill="FFFFFF"/>
          </w:rPr>
          <w:t>.</w:t>
        </w:r>
        <w:proofErr w:type="gramEnd"/>
        <w:r w:rsidRPr="00875A0D">
          <w:rPr>
            <w:rStyle w:val="Hyperlink"/>
            <w:rFonts w:asciiTheme="majorHAnsi" w:hAnsiTheme="majorHAnsi" w:cs="Arial"/>
            <w:color w:val="auto"/>
            <w:sz w:val="16"/>
            <w:szCs w:val="16"/>
            <w:u w:val="none"/>
            <w:shd w:val="clear" w:color="auto" w:fill="FFFFFF"/>
          </w:rPr>
          <w:t xml:space="preserve"> </w:t>
        </w:r>
        <w:r w:rsidRPr="00203A9B">
          <w:rPr>
            <w:rStyle w:val="Hyperlink"/>
            <w:rFonts w:asciiTheme="majorHAnsi" w:hAnsiTheme="majorHAnsi" w:cs="Arial"/>
            <w:color w:val="auto"/>
            <w:sz w:val="16"/>
            <w:szCs w:val="16"/>
            <w:u w:val="none"/>
            <w:shd w:val="clear" w:color="auto" w:fill="FFFFFF"/>
          </w:rPr>
          <w:t>Judgment of</w:t>
        </w:r>
        <w:r w:rsidRPr="00875A0D">
          <w:rPr>
            <w:rStyle w:val="Hyperlink"/>
            <w:rFonts w:asciiTheme="majorHAnsi" w:hAnsiTheme="majorHAnsi" w:cs="Arial"/>
            <w:color w:val="auto"/>
            <w:sz w:val="16"/>
            <w:szCs w:val="16"/>
            <w:u w:val="none"/>
            <w:shd w:val="clear" w:color="auto" w:fill="FFFFFF"/>
          </w:rPr>
          <w:t xml:space="preserve"> </w:t>
        </w:r>
        <w:r>
          <w:rPr>
            <w:rStyle w:val="Hyperlink"/>
            <w:rFonts w:asciiTheme="majorHAnsi" w:hAnsiTheme="majorHAnsi" w:cs="Arial"/>
            <w:color w:val="auto"/>
            <w:sz w:val="16"/>
            <w:szCs w:val="16"/>
            <w:u w:val="none"/>
            <w:shd w:val="clear" w:color="auto" w:fill="FFFFFF"/>
          </w:rPr>
          <w:t xml:space="preserve">October </w:t>
        </w:r>
        <w:r w:rsidRPr="00875A0D">
          <w:rPr>
            <w:rStyle w:val="Hyperlink"/>
            <w:rFonts w:asciiTheme="majorHAnsi" w:hAnsiTheme="majorHAnsi" w:cs="Arial"/>
            <w:color w:val="auto"/>
            <w:sz w:val="16"/>
            <w:szCs w:val="16"/>
            <w:u w:val="none"/>
            <w:shd w:val="clear" w:color="auto" w:fill="FFFFFF"/>
          </w:rPr>
          <w:t>13</w:t>
        </w:r>
        <w:r>
          <w:rPr>
            <w:rStyle w:val="Hyperlink"/>
            <w:rFonts w:asciiTheme="majorHAnsi" w:hAnsiTheme="majorHAnsi" w:cs="Arial"/>
            <w:color w:val="auto"/>
            <w:sz w:val="16"/>
            <w:szCs w:val="16"/>
            <w:u w:val="none"/>
            <w:shd w:val="clear" w:color="auto" w:fill="FFFFFF"/>
          </w:rPr>
          <w:t>,</w:t>
        </w:r>
        <w:r w:rsidRPr="00875A0D">
          <w:rPr>
            <w:rStyle w:val="Hyperlink"/>
            <w:rFonts w:asciiTheme="majorHAnsi" w:hAnsiTheme="majorHAnsi" w:cs="Arial"/>
            <w:color w:val="auto"/>
            <w:sz w:val="16"/>
            <w:szCs w:val="16"/>
            <w:u w:val="none"/>
            <w:shd w:val="clear" w:color="auto" w:fill="FFFFFF"/>
          </w:rPr>
          <w:t xml:space="preserve"> 2011. </w:t>
        </w:r>
        <w:r w:rsidRPr="00203A9B">
          <w:rPr>
            <w:rStyle w:val="Hyperlink"/>
            <w:rFonts w:asciiTheme="majorHAnsi" w:hAnsiTheme="majorHAnsi" w:cs="Arial"/>
            <w:color w:val="auto"/>
            <w:sz w:val="16"/>
            <w:szCs w:val="16"/>
            <w:u w:val="none"/>
            <w:shd w:val="clear" w:color="auto" w:fill="FFFFFF"/>
          </w:rPr>
          <w:t>Series C</w:t>
        </w:r>
        <w:r w:rsidRPr="00875A0D">
          <w:rPr>
            <w:rStyle w:val="Hyperlink"/>
            <w:rFonts w:asciiTheme="majorHAnsi" w:hAnsiTheme="majorHAnsi" w:cs="Arial"/>
            <w:color w:val="auto"/>
            <w:sz w:val="16"/>
            <w:szCs w:val="16"/>
            <w:u w:val="none"/>
            <w:shd w:val="clear" w:color="auto" w:fill="FFFFFF"/>
          </w:rPr>
          <w:t xml:space="preserve"> No. 234</w:t>
        </w:r>
      </w:hyperlink>
      <w:r w:rsidRPr="00875A0D">
        <w:rPr>
          <w:rFonts w:asciiTheme="majorHAnsi" w:hAnsiTheme="majorHAnsi"/>
          <w:sz w:val="16"/>
          <w:szCs w:val="16"/>
        </w:rPr>
        <w:t xml:space="preserve">, </w:t>
      </w:r>
      <w:r>
        <w:rPr>
          <w:rFonts w:asciiTheme="majorHAnsi" w:hAnsiTheme="majorHAnsi"/>
          <w:sz w:val="16"/>
          <w:szCs w:val="16"/>
        </w:rPr>
        <w:t>para.</w:t>
      </w:r>
      <w:r w:rsidRPr="00875A0D">
        <w:rPr>
          <w:rFonts w:asciiTheme="majorHAnsi" w:hAnsiTheme="majorHAnsi"/>
          <w:sz w:val="16"/>
          <w:szCs w:val="16"/>
        </w:rPr>
        <w:t xml:space="preserve"> </w:t>
      </w:r>
      <w:proofErr w:type="gramStart"/>
      <w:r w:rsidRPr="00875A0D">
        <w:rPr>
          <w:rFonts w:asciiTheme="majorHAnsi" w:hAnsiTheme="majorHAnsi"/>
          <w:sz w:val="16"/>
          <w:szCs w:val="16"/>
        </w:rPr>
        <w:t>118;</w:t>
      </w:r>
      <w:r>
        <w:rPr>
          <w:rFonts w:asciiTheme="majorHAnsi" w:hAnsiTheme="majorHAnsi"/>
          <w:sz w:val="16"/>
          <w:szCs w:val="16"/>
        </w:rPr>
        <w:t xml:space="preserve"> and </w:t>
      </w:r>
      <w:hyperlink r:id="rId8" w:history="1">
        <w:r>
          <w:rPr>
            <w:rStyle w:val="Hyperlink"/>
            <w:rFonts w:asciiTheme="majorHAnsi" w:hAnsiTheme="majorHAnsi" w:cs="Arial"/>
            <w:color w:val="auto"/>
            <w:sz w:val="16"/>
            <w:szCs w:val="16"/>
            <w:u w:val="none"/>
            <w:shd w:val="clear" w:color="auto" w:fill="FFFFFF"/>
          </w:rPr>
          <w:t>Case of</w:t>
        </w:r>
        <w:r w:rsidRPr="00875A0D">
          <w:rPr>
            <w:rStyle w:val="Hyperlink"/>
            <w:rFonts w:asciiTheme="majorHAnsi" w:hAnsiTheme="majorHAnsi" w:cs="Arial"/>
            <w:color w:val="auto"/>
            <w:sz w:val="16"/>
            <w:szCs w:val="16"/>
            <w:u w:val="none"/>
            <w:shd w:val="clear" w:color="auto" w:fill="FFFFFF"/>
          </w:rPr>
          <w:t xml:space="preserve"> Claude Reyes </w:t>
        </w:r>
        <w:r w:rsidRPr="00203A9B">
          <w:rPr>
            <w:rStyle w:val="Hyperlink"/>
            <w:rFonts w:asciiTheme="majorHAnsi" w:hAnsiTheme="majorHAnsi" w:cs="Arial"/>
            <w:i/>
            <w:iCs/>
            <w:color w:val="auto"/>
            <w:sz w:val="16"/>
            <w:szCs w:val="16"/>
            <w:u w:val="none"/>
            <w:shd w:val="clear" w:color="auto" w:fill="FFFFFF"/>
          </w:rPr>
          <w:t>et al.</w:t>
        </w:r>
        <w:r>
          <w:rPr>
            <w:rStyle w:val="Hyperlink"/>
            <w:rFonts w:asciiTheme="majorHAnsi" w:hAnsiTheme="majorHAnsi" w:cs="Arial"/>
            <w:color w:val="auto"/>
            <w:sz w:val="16"/>
            <w:szCs w:val="16"/>
            <w:u w:val="none"/>
            <w:shd w:val="clear" w:color="auto" w:fill="FFFFFF"/>
          </w:rPr>
          <w:t xml:space="preserve"> v</w:t>
        </w:r>
        <w:r w:rsidRPr="00875A0D">
          <w:rPr>
            <w:rStyle w:val="Hyperlink"/>
            <w:rFonts w:asciiTheme="majorHAnsi" w:hAnsiTheme="majorHAnsi" w:cs="Arial"/>
            <w:color w:val="auto"/>
            <w:sz w:val="16"/>
            <w:szCs w:val="16"/>
            <w:u w:val="none"/>
            <w:shd w:val="clear" w:color="auto" w:fill="FFFFFF"/>
          </w:rPr>
          <w:t>. Chile.</w:t>
        </w:r>
        <w:proofErr w:type="gramEnd"/>
        <w:r w:rsidRPr="00875A0D">
          <w:rPr>
            <w:rStyle w:val="Hyperlink"/>
            <w:rFonts w:asciiTheme="majorHAnsi" w:hAnsiTheme="majorHAnsi" w:cs="Arial"/>
            <w:color w:val="auto"/>
            <w:sz w:val="16"/>
            <w:szCs w:val="16"/>
            <w:u w:val="none"/>
            <w:shd w:val="clear" w:color="auto" w:fill="FFFFFF"/>
          </w:rPr>
          <w:t xml:space="preserve"> </w:t>
        </w:r>
        <w:proofErr w:type="gramStart"/>
        <w:r w:rsidRPr="00203A9B">
          <w:rPr>
            <w:rStyle w:val="Hyperlink"/>
            <w:rFonts w:asciiTheme="majorHAnsi" w:hAnsiTheme="majorHAnsi" w:cs="Arial"/>
            <w:color w:val="auto"/>
            <w:sz w:val="16"/>
            <w:szCs w:val="16"/>
            <w:u w:val="none"/>
            <w:shd w:val="clear" w:color="auto" w:fill="FFFFFF"/>
          </w:rPr>
          <w:t>Merits, Reparations and Costs</w:t>
        </w:r>
        <w:r w:rsidRPr="00875A0D">
          <w:rPr>
            <w:rStyle w:val="Hyperlink"/>
            <w:rFonts w:asciiTheme="majorHAnsi" w:hAnsiTheme="majorHAnsi" w:cs="Arial"/>
            <w:color w:val="auto"/>
            <w:sz w:val="16"/>
            <w:szCs w:val="16"/>
            <w:u w:val="none"/>
            <w:shd w:val="clear" w:color="auto" w:fill="FFFFFF"/>
          </w:rPr>
          <w:t>.</w:t>
        </w:r>
        <w:proofErr w:type="gramEnd"/>
        <w:r w:rsidRPr="00875A0D">
          <w:rPr>
            <w:rStyle w:val="Hyperlink"/>
            <w:rFonts w:asciiTheme="majorHAnsi" w:hAnsiTheme="majorHAnsi" w:cs="Arial"/>
            <w:color w:val="auto"/>
            <w:sz w:val="16"/>
            <w:szCs w:val="16"/>
            <w:u w:val="none"/>
            <w:shd w:val="clear" w:color="auto" w:fill="FFFFFF"/>
          </w:rPr>
          <w:t xml:space="preserve"> </w:t>
        </w:r>
        <w:r w:rsidRPr="00203A9B">
          <w:rPr>
            <w:rStyle w:val="Hyperlink"/>
            <w:rFonts w:asciiTheme="majorHAnsi" w:hAnsiTheme="majorHAnsi" w:cs="Arial"/>
            <w:color w:val="auto"/>
            <w:sz w:val="16"/>
            <w:szCs w:val="16"/>
            <w:u w:val="none"/>
            <w:shd w:val="clear" w:color="auto" w:fill="FFFFFF"/>
          </w:rPr>
          <w:t>Judgment of</w:t>
        </w:r>
        <w:r w:rsidRPr="00875A0D">
          <w:rPr>
            <w:rStyle w:val="Hyperlink"/>
            <w:rFonts w:asciiTheme="majorHAnsi" w:hAnsiTheme="majorHAnsi" w:cs="Arial"/>
            <w:color w:val="auto"/>
            <w:sz w:val="16"/>
            <w:szCs w:val="16"/>
            <w:u w:val="none"/>
            <w:shd w:val="clear" w:color="auto" w:fill="FFFFFF"/>
          </w:rPr>
          <w:t xml:space="preserve"> </w:t>
        </w:r>
        <w:r>
          <w:rPr>
            <w:rStyle w:val="Hyperlink"/>
            <w:rFonts w:asciiTheme="majorHAnsi" w:hAnsiTheme="majorHAnsi" w:cs="Arial"/>
            <w:color w:val="auto"/>
            <w:sz w:val="16"/>
            <w:szCs w:val="16"/>
            <w:u w:val="none"/>
            <w:shd w:val="clear" w:color="auto" w:fill="FFFFFF"/>
          </w:rPr>
          <w:t xml:space="preserve">September </w:t>
        </w:r>
        <w:r w:rsidRPr="00875A0D">
          <w:rPr>
            <w:rStyle w:val="Hyperlink"/>
            <w:rFonts w:asciiTheme="majorHAnsi" w:hAnsiTheme="majorHAnsi" w:cs="Arial"/>
            <w:color w:val="auto"/>
            <w:sz w:val="16"/>
            <w:szCs w:val="16"/>
            <w:u w:val="none"/>
            <w:shd w:val="clear" w:color="auto" w:fill="FFFFFF"/>
          </w:rPr>
          <w:t>19</w:t>
        </w:r>
        <w:r>
          <w:rPr>
            <w:rStyle w:val="Hyperlink"/>
            <w:rFonts w:asciiTheme="majorHAnsi" w:hAnsiTheme="majorHAnsi" w:cs="Arial"/>
            <w:color w:val="auto"/>
            <w:sz w:val="16"/>
            <w:szCs w:val="16"/>
            <w:u w:val="none"/>
            <w:shd w:val="clear" w:color="auto" w:fill="FFFFFF"/>
          </w:rPr>
          <w:t>,</w:t>
        </w:r>
        <w:r w:rsidRPr="00875A0D">
          <w:rPr>
            <w:rStyle w:val="Hyperlink"/>
            <w:rFonts w:asciiTheme="majorHAnsi" w:hAnsiTheme="majorHAnsi" w:cs="Arial"/>
            <w:color w:val="auto"/>
            <w:sz w:val="16"/>
            <w:szCs w:val="16"/>
            <w:u w:val="none"/>
            <w:shd w:val="clear" w:color="auto" w:fill="FFFFFF"/>
          </w:rPr>
          <w:t xml:space="preserve"> 2006. </w:t>
        </w:r>
        <w:r w:rsidRPr="00203A9B">
          <w:rPr>
            <w:rStyle w:val="Hyperlink"/>
            <w:rFonts w:asciiTheme="majorHAnsi" w:hAnsiTheme="majorHAnsi" w:cs="Arial"/>
            <w:color w:val="auto"/>
            <w:sz w:val="16"/>
            <w:szCs w:val="16"/>
            <w:u w:val="none"/>
            <w:shd w:val="clear" w:color="auto" w:fill="FFFFFF"/>
          </w:rPr>
          <w:t>Series C</w:t>
        </w:r>
        <w:r w:rsidRPr="00875A0D">
          <w:rPr>
            <w:rStyle w:val="Hyperlink"/>
            <w:rFonts w:asciiTheme="majorHAnsi" w:hAnsiTheme="majorHAnsi" w:cs="Arial"/>
            <w:color w:val="auto"/>
            <w:sz w:val="16"/>
            <w:szCs w:val="16"/>
            <w:u w:val="none"/>
            <w:shd w:val="clear" w:color="auto" w:fill="FFFFFF"/>
          </w:rPr>
          <w:t xml:space="preserve"> No. 151</w:t>
        </w:r>
      </w:hyperlink>
      <w:r w:rsidRPr="00875A0D">
        <w:rPr>
          <w:rFonts w:asciiTheme="majorHAnsi" w:hAnsiTheme="majorHAnsi"/>
          <w:sz w:val="16"/>
          <w:szCs w:val="16"/>
        </w:rPr>
        <w:t xml:space="preserve">, </w:t>
      </w:r>
      <w:r>
        <w:rPr>
          <w:rFonts w:asciiTheme="majorHAnsi" w:hAnsiTheme="majorHAnsi"/>
          <w:sz w:val="16"/>
          <w:szCs w:val="16"/>
        </w:rPr>
        <w:t>para.</w:t>
      </w:r>
      <w:r w:rsidRPr="00875A0D">
        <w:rPr>
          <w:rFonts w:asciiTheme="majorHAnsi" w:hAnsiTheme="majorHAnsi"/>
          <w:sz w:val="16"/>
          <w:szCs w:val="16"/>
        </w:rPr>
        <w:t xml:space="preserve"> 118.</w:t>
      </w:r>
    </w:p>
  </w:footnote>
  <w:footnote w:id="28">
    <w:p w14:paraId="3AA5A205" w14:textId="77777777" w:rsidR="00D02D3C" w:rsidRPr="00875A0D" w:rsidRDefault="00D02D3C" w:rsidP="00D02D3C">
      <w:pPr>
        <w:pStyle w:val="FootnoteText"/>
        <w:rPr>
          <w:rFonts w:asciiTheme="majorHAnsi" w:hAnsiTheme="majorHAnsi"/>
          <w:sz w:val="16"/>
          <w:szCs w:val="16"/>
        </w:rPr>
      </w:pPr>
      <w:r w:rsidRPr="00875A0D">
        <w:rPr>
          <w:rStyle w:val="FootnoteReference"/>
          <w:rFonts w:asciiTheme="majorHAnsi" w:hAnsiTheme="majorHAnsi"/>
          <w:sz w:val="16"/>
          <w:szCs w:val="16"/>
        </w:rPr>
        <w:footnoteRef/>
      </w:r>
      <w:r w:rsidRPr="00875A0D">
        <w:rPr>
          <w:rFonts w:asciiTheme="majorHAnsi" w:hAnsiTheme="majorHAnsi"/>
          <w:sz w:val="16"/>
          <w:szCs w:val="16"/>
        </w:rPr>
        <w:t xml:space="preserve"> </w:t>
      </w:r>
      <w:r>
        <w:rPr>
          <w:rFonts w:asciiTheme="majorHAnsi" w:hAnsiTheme="majorHAnsi"/>
          <w:sz w:val="16"/>
          <w:szCs w:val="16"/>
        </w:rPr>
        <w:t>ECHR</w:t>
      </w:r>
      <w:r w:rsidRPr="00875A0D">
        <w:rPr>
          <w:rFonts w:asciiTheme="majorHAnsi" w:hAnsiTheme="majorHAnsi"/>
          <w:sz w:val="16"/>
          <w:szCs w:val="16"/>
        </w:rPr>
        <w:t xml:space="preserve">, </w:t>
      </w:r>
      <w:proofErr w:type="spellStart"/>
      <w:r w:rsidRPr="00875A0D">
        <w:rPr>
          <w:rFonts w:asciiTheme="majorHAnsi" w:hAnsiTheme="majorHAnsi"/>
          <w:sz w:val="16"/>
          <w:szCs w:val="16"/>
        </w:rPr>
        <w:t>Cudak</w:t>
      </w:r>
      <w:proofErr w:type="spellEnd"/>
      <w:r w:rsidRPr="00875A0D">
        <w:rPr>
          <w:rFonts w:asciiTheme="majorHAnsi" w:hAnsiTheme="majorHAnsi"/>
          <w:sz w:val="16"/>
          <w:szCs w:val="16"/>
        </w:rPr>
        <w:t xml:space="preserve"> v. L</w:t>
      </w:r>
      <w:r>
        <w:rPr>
          <w:rFonts w:asciiTheme="majorHAnsi" w:hAnsiTheme="majorHAnsi"/>
          <w:sz w:val="16"/>
          <w:szCs w:val="16"/>
        </w:rPr>
        <w:t>ithuania</w:t>
      </w:r>
      <w:r w:rsidRPr="00875A0D">
        <w:rPr>
          <w:rFonts w:asciiTheme="majorHAnsi" w:hAnsiTheme="majorHAnsi"/>
          <w:sz w:val="16"/>
          <w:szCs w:val="16"/>
        </w:rPr>
        <w:t xml:space="preserve">. </w:t>
      </w:r>
      <w:proofErr w:type="gramStart"/>
      <w:r w:rsidRPr="00875A0D">
        <w:rPr>
          <w:rFonts w:asciiTheme="majorHAnsi" w:hAnsiTheme="majorHAnsi"/>
          <w:sz w:val="16"/>
          <w:szCs w:val="16"/>
        </w:rPr>
        <w:t>Application No. 15869/025.</w:t>
      </w:r>
      <w:proofErr w:type="gramEnd"/>
      <w:r w:rsidRPr="00875A0D">
        <w:rPr>
          <w:rFonts w:asciiTheme="majorHAnsi" w:hAnsiTheme="majorHAnsi"/>
          <w:sz w:val="16"/>
          <w:szCs w:val="16"/>
        </w:rPr>
        <w:t xml:space="preserve"> </w:t>
      </w:r>
      <w:proofErr w:type="gramStart"/>
      <w:r w:rsidRPr="00875A0D">
        <w:rPr>
          <w:rFonts w:asciiTheme="majorHAnsi" w:hAnsiTheme="majorHAnsi"/>
          <w:sz w:val="16"/>
          <w:szCs w:val="16"/>
        </w:rPr>
        <w:t>Judgment of March 23, 2010, para.</w:t>
      </w:r>
      <w:proofErr w:type="gramEnd"/>
      <w:r>
        <w:rPr>
          <w:rFonts w:asciiTheme="majorHAnsi" w:hAnsiTheme="majorHAnsi"/>
          <w:sz w:val="16"/>
          <w:szCs w:val="16"/>
        </w:rPr>
        <w:t xml:space="preserve"> </w:t>
      </w:r>
      <w:r w:rsidRPr="00875A0D">
        <w:rPr>
          <w:rFonts w:asciiTheme="majorHAnsi" w:hAnsiTheme="majorHAnsi"/>
          <w:sz w:val="16"/>
          <w:szCs w:val="16"/>
        </w:rPr>
        <w:t>42.</w:t>
      </w:r>
    </w:p>
  </w:footnote>
  <w:footnote w:id="29">
    <w:p w14:paraId="7F457E71" w14:textId="77777777" w:rsidR="00D02D3C" w:rsidRPr="00875A0D" w:rsidRDefault="00D02D3C" w:rsidP="00D02D3C">
      <w:pPr>
        <w:pStyle w:val="FootnoteText"/>
        <w:spacing w:after="120"/>
        <w:rPr>
          <w:rFonts w:asciiTheme="majorHAnsi" w:hAnsiTheme="majorHAnsi"/>
          <w:sz w:val="16"/>
          <w:szCs w:val="16"/>
        </w:rPr>
      </w:pPr>
      <w:r w:rsidRPr="00875A0D">
        <w:rPr>
          <w:rStyle w:val="FootnoteReference"/>
          <w:rFonts w:asciiTheme="majorHAnsi" w:hAnsiTheme="majorHAnsi"/>
          <w:sz w:val="16"/>
          <w:szCs w:val="16"/>
        </w:rPr>
        <w:footnoteRef/>
      </w:r>
      <w:r w:rsidRPr="00875A0D">
        <w:rPr>
          <w:rFonts w:asciiTheme="majorHAnsi" w:hAnsiTheme="majorHAnsi"/>
          <w:sz w:val="16"/>
          <w:szCs w:val="16"/>
        </w:rPr>
        <w:t xml:space="preserve"> </w:t>
      </w:r>
      <w:proofErr w:type="gramStart"/>
      <w:r>
        <w:rPr>
          <w:rFonts w:asciiTheme="majorHAnsi" w:hAnsiTheme="majorHAnsi"/>
          <w:sz w:val="16"/>
          <w:szCs w:val="16"/>
        </w:rPr>
        <w:t>I/A Court HR</w:t>
      </w:r>
      <w:r w:rsidRPr="00875A0D">
        <w:rPr>
          <w:rFonts w:asciiTheme="majorHAnsi" w:hAnsiTheme="majorHAnsi"/>
          <w:sz w:val="16"/>
          <w:szCs w:val="16"/>
        </w:rPr>
        <w:t xml:space="preserve">. </w:t>
      </w:r>
      <w:hyperlink r:id="rId9" w:history="1">
        <w:r>
          <w:rPr>
            <w:rStyle w:val="Hyperlink"/>
            <w:rFonts w:asciiTheme="majorHAnsi" w:hAnsiTheme="majorHAnsi" w:cs="Arial"/>
            <w:color w:val="auto"/>
            <w:sz w:val="16"/>
            <w:szCs w:val="16"/>
            <w:u w:val="none"/>
            <w:shd w:val="clear" w:color="auto" w:fill="FFFFFF"/>
          </w:rPr>
          <w:t>Case of</w:t>
        </w:r>
        <w:r w:rsidRPr="00875A0D">
          <w:rPr>
            <w:rStyle w:val="Hyperlink"/>
            <w:rFonts w:asciiTheme="majorHAnsi" w:hAnsiTheme="majorHAnsi" w:cs="Arial"/>
            <w:color w:val="auto"/>
            <w:sz w:val="16"/>
            <w:szCs w:val="16"/>
            <w:u w:val="none"/>
            <w:shd w:val="clear" w:color="auto" w:fill="FFFFFF"/>
          </w:rPr>
          <w:t xml:space="preserve"> </w:t>
        </w:r>
        <w:proofErr w:type="spellStart"/>
        <w:r w:rsidRPr="00875A0D">
          <w:rPr>
            <w:rStyle w:val="Hyperlink"/>
            <w:rFonts w:asciiTheme="majorHAnsi" w:hAnsiTheme="majorHAnsi" w:cs="Arial"/>
            <w:color w:val="auto"/>
            <w:sz w:val="16"/>
            <w:szCs w:val="16"/>
            <w:u w:val="none"/>
            <w:shd w:val="clear" w:color="auto" w:fill="FFFFFF"/>
          </w:rPr>
          <w:t>Barbani</w:t>
        </w:r>
        <w:proofErr w:type="spellEnd"/>
        <w:r w:rsidRPr="00875A0D">
          <w:rPr>
            <w:rStyle w:val="Hyperlink"/>
            <w:rFonts w:asciiTheme="majorHAnsi" w:hAnsiTheme="majorHAnsi" w:cs="Arial"/>
            <w:color w:val="auto"/>
            <w:sz w:val="16"/>
            <w:szCs w:val="16"/>
            <w:u w:val="none"/>
            <w:shd w:val="clear" w:color="auto" w:fill="FFFFFF"/>
          </w:rPr>
          <w:t xml:space="preserve"> Duarte </w:t>
        </w:r>
        <w:r w:rsidRPr="00203A9B">
          <w:rPr>
            <w:rStyle w:val="Hyperlink"/>
            <w:rFonts w:asciiTheme="majorHAnsi" w:hAnsiTheme="majorHAnsi" w:cs="Arial"/>
            <w:i/>
            <w:iCs/>
            <w:color w:val="auto"/>
            <w:sz w:val="16"/>
            <w:szCs w:val="16"/>
            <w:u w:val="none"/>
            <w:shd w:val="clear" w:color="auto" w:fill="FFFFFF"/>
          </w:rPr>
          <w:t>et al.</w:t>
        </w:r>
        <w:r>
          <w:rPr>
            <w:rStyle w:val="Hyperlink"/>
            <w:rFonts w:asciiTheme="majorHAnsi" w:hAnsiTheme="majorHAnsi" w:cs="Arial"/>
            <w:color w:val="auto"/>
            <w:sz w:val="16"/>
            <w:szCs w:val="16"/>
            <w:u w:val="none"/>
            <w:shd w:val="clear" w:color="auto" w:fill="FFFFFF"/>
          </w:rPr>
          <w:t xml:space="preserve"> v</w:t>
        </w:r>
        <w:r w:rsidRPr="00875A0D">
          <w:rPr>
            <w:rStyle w:val="Hyperlink"/>
            <w:rFonts w:asciiTheme="majorHAnsi" w:hAnsiTheme="majorHAnsi" w:cs="Arial"/>
            <w:color w:val="auto"/>
            <w:sz w:val="16"/>
            <w:szCs w:val="16"/>
            <w:u w:val="none"/>
            <w:shd w:val="clear" w:color="auto" w:fill="FFFFFF"/>
          </w:rPr>
          <w:t>. Uruguay.</w:t>
        </w:r>
        <w:proofErr w:type="gramEnd"/>
        <w:r w:rsidRPr="00875A0D">
          <w:rPr>
            <w:rStyle w:val="Hyperlink"/>
            <w:rFonts w:asciiTheme="majorHAnsi" w:hAnsiTheme="majorHAnsi" w:cs="Arial"/>
            <w:color w:val="auto"/>
            <w:sz w:val="16"/>
            <w:szCs w:val="16"/>
            <w:u w:val="none"/>
            <w:shd w:val="clear" w:color="auto" w:fill="FFFFFF"/>
          </w:rPr>
          <w:t xml:space="preserve"> </w:t>
        </w:r>
        <w:proofErr w:type="gramStart"/>
        <w:r w:rsidRPr="00203A9B">
          <w:rPr>
            <w:rStyle w:val="Hyperlink"/>
            <w:rFonts w:asciiTheme="majorHAnsi" w:hAnsiTheme="majorHAnsi" w:cs="Arial"/>
            <w:color w:val="auto"/>
            <w:sz w:val="16"/>
            <w:szCs w:val="16"/>
            <w:u w:val="none"/>
            <w:shd w:val="clear" w:color="auto" w:fill="FFFFFF"/>
          </w:rPr>
          <w:t>Merits, Reparations and Costs</w:t>
        </w:r>
        <w:r w:rsidRPr="00875A0D">
          <w:rPr>
            <w:rStyle w:val="Hyperlink"/>
            <w:rFonts w:asciiTheme="majorHAnsi" w:hAnsiTheme="majorHAnsi" w:cs="Arial"/>
            <w:color w:val="auto"/>
            <w:sz w:val="16"/>
            <w:szCs w:val="16"/>
            <w:u w:val="none"/>
            <w:shd w:val="clear" w:color="auto" w:fill="FFFFFF"/>
          </w:rPr>
          <w:t>.</w:t>
        </w:r>
        <w:proofErr w:type="gramEnd"/>
        <w:r w:rsidRPr="00875A0D">
          <w:rPr>
            <w:rStyle w:val="Hyperlink"/>
            <w:rFonts w:asciiTheme="majorHAnsi" w:hAnsiTheme="majorHAnsi" w:cs="Arial"/>
            <w:color w:val="auto"/>
            <w:sz w:val="16"/>
            <w:szCs w:val="16"/>
            <w:u w:val="none"/>
            <w:shd w:val="clear" w:color="auto" w:fill="FFFFFF"/>
          </w:rPr>
          <w:t xml:space="preserve"> </w:t>
        </w:r>
        <w:r w:rsidRPr="00203A9B">
          <w:rPr>
            <w:rStyle w:val="Hyperlink"/>
            <w:rFonts w:asciiTheme="majorHAnsi" w:hAnsiTheme="majorHAnsi" w:cs="Arial"/>
            <w:color w:val="auto"/>
            <w:sz w:val="16"/>
            <w:szCs w:val="16"/>
            <w:u w:val="none"/>
            <w:shd w:val="clear" w:color="auto" w:fill="FFFFFF"/>
          </w:rPr>
          <w:t>Judgment of</w:t>
        </w:r>
        <w:r w:rsidRPr="00875A0D">
          <w:rPr>
            <w:rStyle w:val="Hyperlink"/>
            <w:rFonts w:asciiTheme="majorHAnsi" w:hAnsiTheme="majorHAnsi" w:cs="Arial"/>
            <w:color w:val="auto"/>
            <w:sz w:val="16"/>
            <w:szCs w:val="16"/>
            <w:u w:val="none"/>
            <w:shd w:val="clear" w:color="auto" w:fill="FFFFFF"/>
          </w:rPr>
          <w:t xml:space="preserve"> </w:t>
        </w:r>
        <w:r>
          <w:rPr>
            <w:rStyle w:val="Hyperlink"/>
            <w:rFonts w:asciiTheme="majorHAnsi" w:hAnsiTheme="majorHAnsi" w:cs="Arial"/>
            <w:color w:val="auto"/>
            <w:sz w:val="16"/>
            <w:szCs w:val="16"/>
            <w:u w:val="none"/>
            <w:shd w:val="clear" w:color="auto" w:fill="FFFFFF"/>
          </w:rPr>
          <w:t xml:space="preserve">October </w:t>
        </w:r>
        <w:r w:rsidRPr="00875A0D">
          <w:rPr>
            <w:rStyle w:val="Hyperlink"/>
            <w:rFonts w:asciiTheme="majorHAnsi" w:hAnsiTheme="majorHAnsi" w:cs="Arial"/>
            <w:color w:val="auto"/>
            <w:sz w:val="16"/>
            <w:szCs w:val="16"/>
            <w:u w:val="none"/>
            <w:shd w:val="clear" w:color="auto" w:fill="FFFFFF"/>
          </w:rPr>
          <w:t>13</w:t>
        </w:r>
        <w:r>
          <w:rPr>
            <w:rStyle w:val="Hyperlink"/>
            <w:rFonts w:asciiTheme="majorHAnsi" w:hAnsiTheme="majorHAnsi" w:cs="Arial"/>
            <w:color w:val="auto"/>
            <w:sz w:val="16"/>
            <w:szCs w:val="16"/>
            <w:u w:val="none"/>
            <w:shd w:val="clear" w:color="auto" w:fill="FFFFFF"/>
          </w:rPr>
          <w:t>,</w:t>
        </w:r>
        <w:r w:rsidRPr="00875A0D">
          <w:rPr>
            <w:rStyle w:val="Hyperlink"/>
            <w:rFonts w:asciiTheme="majorHAnsi" w:hAnsiTheme="majorHAnsi" w:cs="Arial"/>
            <w:color w:val="auto"/>
            <w:sz w:val="16"/>
            <w:szCs w:val="16"/>
            <w:u w:val="none"/>
            <w:shd w:val="clear" w:color="auto" w:fill="FFFFFF"/>
          </w:rPr>
          <w:t xml:space="preserve"> 2011. </w:t>
        </w:r>
        <w:r w:rsidRPr="00203A9B">
          <w:rPr>
            <w:rStyle w:val="Hyperlink"/>
            <w:rFonts w:asciiTheme="majorHAnsi" w:hAnsiTheme="majorHAnsi" w:cs="Arial"/>
            <w:color w:val="auto"/>
            <w:sz w:val="16"/>
            <w:szCs w:val="16"/>
            <w:u w:val="none"/>
            <w:shd w:val="clear" w:color="auto" w:fill="FFFFFF"/>
          </w:rPr>
          <w:t>Series C</w:t>
        </w:r>
        <w:r w:rsidRPr="00875A0D">
          <w:rPr>
            <w:rStyle w:val="Hyperlink"/>
            <w:rFonts w:asciiTheme="majorHAnsi" w:hAnsiTheme="majorHAnsi" w:cs="Arial"/>
            <w:color w:val="auto"/>
            <w:sz w:val="16"/>
            <w:szCs w:val="16"/>
            <w:u w:val="none"/>
            <w:shd w:val="clear" w:color="auto" w:fill="FFFFFF"/>
          </w:rPr>
          <w:t xml:space="preserve"> No. 234</w:t>
        </w:r>
      </w:hyperlink>
      <w:r w:rsidRPr="00875A0D">
        <w:rPr>
          <w:rFonts w:asciiTheme="majorHAnsi" w:hAnsiTheme="majorHAnsi"/>
          <w:sz w:val="16"/>
          <w:szCs w:val="16"/>
        </w:rPr>
        <w:t xml:space="preserve">, </w:t>
      </w:r>
      <w:r>
        <w:rPr>
          <w:rFonts w:asciiTheme="majorHAnsi" w:hAnsiTheme="majorHAnsi"/>
          <w:sz w:val="16"/>
          <w:szCs w:val="16"/>
        </w:rPr>
        <w:t>paras.</w:t>
      </w:r>
      <w:r w:rsidRPr="00875A0D">
        <w:rPr>
          <w:rFonts w:asciiTheme="majorHAnsi" w:hAnsiTheme="majorHAnsi"/>
          <w:sz w:val="16"/>
          <w:szCs w:val="16"/>
        </w:rPr>
        <w:t xml:space="preserve"> 118-119.</w:t>
      </w:r>
    </w:p>
  </w:footnote>
  <w:footnote w:id="30">
    <w:p w14:paraId="2810B315" w14:textId="77777777" w:rsidR="00D02D3C" w:rsidRPr="00875A0D" w:rsidRDefault="00D02D3C" w:rsidP="00D02D3C">
      <w:pPr>
        <w:jc w:val="both"/>
        <w:rPr>
          <w:rFonts w:asciiTheme="majorHAnsi" w:eastAsia="Times New Roman" w:hAnsiTheme="majorHAnsi"/>
          <w:sz w:val="16"/>
          <w:szCs w:val="16"/>
        </w:rPr>
      </w:pPr>
      <w:r w:rsidRPr="00875A0D">
        <w:rPr>
          <w:rStyle w:val="FootnoteReference"/>
          <w:rFonts w:asciiTheme="majorHAnsi" w:hAnsiTheme="majorHAnsi"/>
          <w:sz w:val="16"/>
          <w:szCs w:val="16"/>
        </w:rPr>
        <w:footnoteRef/>
      </w:r>
      <w:r w:rsidRPr="00875A0D">
        <w:rPr>
          <w:rFonts w:asciiTheme="majorHAnsi" w:hAnsiTheme="majorHAnsi"/>
          <w:sz w:val="16"/>
          <w:szCs w:val="16"/>
        </w:rPr>
        <w:t xml:space="preserve"> </w:t>
      </w:r>
      <w:proofErr w:type="gramStart"/>
      <w:r>
        <w:rPr>
          <w:rFonts w:asciiTheme="majorHAnsi" w:hAnsiTheme="majorHAnsi"/>
          <w:sz w:val="16"/>
          <w:szCs w:val="16"/>
        </w:rPr>
        <w:t>IACHR</w:t>
      </w:r>
      <w:r w:rsidRPr="00875A0D">
        <w:rPr>
          <w:rFonts w:asciiTheme="majorHAnsi" w:hAnsiTheme="majorHAnsi"/>
          <w:sz w:val="16"/>
          <w:szCs w:val="16"/>
        </w:rPr>
        <w:t xml:space="preserve">, </w:t>
      </w:r>
      <w:r>
        <w:rPr>
          <w:rFonts w:asciiTheme="majorHAnsi" w:hAnsiTheme="majorHAnsi"/>
          <w:sz w:val="16"/>
          <w:szCs w:val="16"/>
        </w:rPr>
        <w:t xml:space="preserve">Case </w:t>
      </w:r>
      <w:r w:rsidRPr="00875A0D">
        <w:rPr>
          <w:rFonts w:asciiTheme="majorHAnsi" w:hAnsiTheme="majorHAnsi"/>
          <w:sz w:val="16"/>
          <w:szCs w:val="16"/>
        </w:rPr>
        <w:t>12</w:t>
      </w:r>
      <w:r>
        <w:rPr>
          <w:rFonts w:asciiTheme="majorHAnsi" w:hAnsiTheme="majorHAnsi"/>
          <w:sz w:val="16"/>
          <w:szCs w:val="16"/>
        </w:rPr>
        <w:t>,</w:t>
      </w:r>
      <w:r w:rsidRPr="00875A0D">
        <w:rPr>
          <w:rFonts w:asciiTheme="majorHAnsi" w:hAnsiTheme="majorHAnsi"/>
          <w:sz w:val="16"/>
          <w:szCs w:val="16"/>
        </w:rPr>
        <w:t xml:space="preserve">816, </w:t>
      </w:r>
      <w:r>
        <w:rPr>
          <w:rFonts w:asciiTheme="majorHAnsi" w:hAnsiTheme="majorHAnsi"/>
          <w:sz w:val="16"/>
          <w:szCs w:val="16"/>
        </w:rPr>
        <w:t>Merits, Report No.</w:t>
      </w:r>
      <w:r w:rsidRPr="00875A0D">
        <w:rPr>
          <w:rFonts w:asciiTheme="majorHAnsi" w:hAnsiTheme="majorHAnsi"/>
          <w:sz w:val="16"/>
          <w:szCs w:val="16"/>
        </w:rPr>
        <w:t xml:space="preserve"> 103/13, </w:t>
      </w:r>
      <w:r>
        <w:rPr>
          <w:rFonts w:asciiTheme="majorHAnsi" w:hAnsiTheme="majorHAnsi"/>
          <w:sz w:val="16"/>
          <w:szCs w:val="16"/>
        </w:rPr>
        <w:t xml:space="preserve">November </w:t>
      </w:r>
      <w:r w:rsidRPr="00875A0D">
        <w:rPr>
          <w:rFonts w:asciiTheme="majorHAnsi" w:hAnsiTheme="majorHAnsi"/>
          <w:sz w:val="16"/>
          <w:szCs w:val="16"/>
        </w:rPr>
        <w:t>5</w:t>
      </w:r>
      <w:r>
        <w:rPr>
          <w:rFonts w:asciiTheme="majorHAnsi" w:hAnsiTheme="majorHAnsi"/>
          <w:sz w:val="16"/>
          <w:szCs w:val="16"/>
        </w:rPr>
        <w:t>,</w:t>
      </w:r>
      <w:r w:rsidRPr="00875A0D">
        <w:rPr>
          <w:rFonts w:asciiTheme="majorHAnsi" w:hAnsiTheme="majorHAnsi"/>
          <w:sz w:val="16"/>
          <w:szCs w:val="16"/>
        </w:rPr>
        <w:t xml:space="preserve"> 2013, </w:t>
      </w:r>
      <w:r>
        <w:rPr>
          <w:rFonts w:asciiTheme="majorHAnsi" w:hAnsiTheme="majorHAnsi"/>
          <w:sz w:val="16"/>
          <w:szCs w:val="16"/>
        </w:rPr>
        <w:t>para.</w:t>
      </w:r>
      <w:proofErr w:type="gramEnd"/>
      <w:r w:rsidRPr="00875A0D">
        <w:rPr>
          <w:rFonts w:asciiTheme="majorHAnsi" w:hAnsiTheme="majorHAnsi"/>
          <w:sz w:val="16"/>
          <w:szCs w:val="16"/>
        </w:rPr>
        <w:t xml:space="preserve"> 112. Cit</w:t>
      </w:r>
      <w:r>
        <w:rPr>
          <w:rFonts w:asciiTheme="majorHAnsi" w:hAnsiTheme="majorHAnsi"/>
          <w:sz w:val="16"/>
          <w:szCs w:val="16"/>
        </w:rPr>
        <w:t xml:space="preserve">ing United Nations, Human Rights Committee, General Comment No. </w:t>
      </w:r>
      <w:r w:rsidRPr="00875A0D">
        <w:rPr>
          <w:rFonts w:asciiTheme="majorHAnsi" w:eastAsia="Times New Roman" w:hAnsiTheme="majorHAnsi"/>
          <w:sz w:val="16"/>
          <w:szCs w:val="16"/>
        </w:rPr>
        <w:t xml:space="preserve">32, CCPR/C/GC/32, </w:t>
      </w:r>
      <w:r>
        <w:rPr>
          <w:rFonts w:asciiTheme="majorHAnsi" w:eastAsia="Times New Roman" w:hAnsiTheme="majorHAnsi"/>
          <w:sz w:val="16"/>
          <w:szCs w:val="16"/>
        </w:rPr>
        <w:t xml:space="preserve">August </w:t>
      </w:r>
      <w:r w:rsidRPr="00875A0D">
        <w:rPr>
          <w:rFonts w:asciiTheme="majorHAnsi" w:eastAsia="Times New Roman" w:hAnsiTheme="majorHAnsi"/>
          <w:sz w:val="16"/>
          <w:szCs w:val="16"/>
        </w:rPr>
        <w:t>23</w:t>
      </w:r>
      <w:r>
        <w:rPr>
          <w:rFonts w:asciiTheme="majorHAnsi" w:eastAsia="Times New Roman" w:hAnsiTheme="majorHAnsi"/>
          <w:sz w:val="16"/>
          <w:szCs w:val="16"/>
        </w:rPr>
        <w:t>,</w:t>
      </w:r>
      <w:r w:rsidRPr="00875A0D">
        <w:rPr>
          <w:rFonts w:asciiTheme="majorHAnsi" w:eastAsia="Times New Roman" w:hAnsiTheme="majorHAnsi"/>
          <w:sz w:val="16"/>
          <w:szCs w:val="16"/>
        </w:rPr>
        <w:t xml:space="preserve"> 2007, </w:t>
      </w:r>
      <w:r>
        <w:rPr>
          <w:rFonts w:asciiTheme="majorHAnsi" w:eastAsia="Times New Roman" w:hAnsiTheme="majorHAnsi"/>
          <w:sz w:val="16"/>
          <w:szCs w:val="16"/>
        </w:rPr>
        <w:t xml:space="preserve">para. </w:t>
      </w:r>
      <w:r w:rsidRPr="00875A0D">
        <w:rPr>
          <w:rFonts w:asciiTheme="majorHAnsi" w:eastAsia="Times New Roman" w:hAnsiTheme="majorHAnsi"/>
          <w:sz w:val="16"/>
          <w:szCs w:val="16"/>
        </w:rPr>
        <w:t xml:space="preserve">19. </w:t>
      </w:r>
      <w:r>
        <w:rPr>
          <w:rFonts w:asciiTheme="majorHAnsi" w:eastAsia="Times New Roman" w:hAnsiTheme="majorHAnsi"/>
          <w:sz w:val="16"/>
          <w:szCs w:val="16"/>
        </w:rPr>
        <w:t xml:space="preserve">See in this regard, Habeas </w:t>
      </w:r>
      <w:r w:rsidRPr="00875A0D">
        <w:rPr>
          <w:rFonts w:asciiTheme="majorHAnsi" w:eastAsia="Times New Roman" w:hAnsiTheme="majorHAnsi"/>
          <w:sz w:val="16"/>
          <w:szCs w:val="16"/>
        </w:rPr>
        <w:t xml:space="preserve">Corpus </w:t>
      </w:r>
      <w:r>
        <w:rPr>
          <w:rFonts w:asciiTheme="majorHAnsi" w:eastAsia="Times New Roman" w:hAnsiTheme="majorHAnsi"/>
          <w:sz w:val="16"/>
          <w:szCs w:val="16"/>
        </w:rPr>
        <w:t xml:space="preserve">in Emergency Situations </w:t>
      </w:r>
      <w:r w:rsidRPr="00875A0D">
        <w:rPr>
          <w:rFonts w:asciiTheme="majorHAnsi" w:eastAsia="Times New Roman" w:hAnsiTheme="majorHAnsi"/>
          <w:sz w:val="16"/>
          <w:szCs w:val="16"/>
        </w:rPr>
        <w:t>(</w:t>
      </w:r>
      <w:r>
        <w:rPr>
          <w:rFonts w:asciiTheme="majorHAnsi" w:eastAsia="Times New Roman" w:hAnsiTheme="majorHAnsi"/>
          <w:sz w:val="16"/>
          <w:szCs w:val="16"/>
        </w:rPr>
        <w:t xml:space="preserve">Articles </w:t>
      </w:r>
      <w:r w:rsidRPr="00875A0D">
        <w:rPr>
          <w:rFonts w:asciiTheme="majorHAnsi" w:eastAsia="Times New Roman" w:hAnsiTheme="majorHAnsi"/>
          <w:sz w:val="16"/>
          <w:szCs w:val="16"/>
        </w:rPr>
        <w:t>27</w:t>
      </w:r>
      <w:r>
        <w:rPr>
          <w:rFonts w:asciiTheme="majorHAnsi" w:eastAsia="Times New Roman" w:hAnsiTheme="majorHAnsi"/>
          <w:sz w:val="16"/>
          <w:szCs w:val="16"/>
        </w:rPr>
        <w:t>(</w:t>
      </w:r>
      <w:r w:rsidRPr="00875A0D">
        <w:rPr>
          <w:rFonts w:asciiTheme="majorHAnsi" w:eastAsia="Times New Roman" w:hAnsiTheme="majorHAnsi"/>
          <w:sz w:val="16"/>
          <w:szCs w:val="16"/>
        </w:rPr>
        <w:t>2</w:t>
      </w:r>
      <w:r>
        <w:rPr>
          <w:rFonts w:asciiTheme="majorHAnsi" w:eastAsia="Times New Roman" w:hAnsiTheme="majorHAnsi"/>
          <w:sz w:val="16"/>
          <w:szCs w:val="16"/>
        </w:rPr>
        <w:t>)</w:t>
      </w:r>
      <w:r w:rsidRPr="00875A0D">
        <w:rPr>
          <w:rFonts w:asciiTheme="majorHAnsi" w:eastAsia="Times New Roman" w:hAnsiTheme="majorHAnsi"/>
          <w:sz w:val="16"/>
          <w:szCs w:val="16"/>
        </w:rPr>
        <w:t>, 25</w:t>
      </w:r>
      <w:r>
        <w:rPr>
          <w:rFonts w:asciiTheme="majorHAnsi" w:eastAsia="Times New Roman" w:hAnsiTheme="majorHAnsi"/>
          <w:sz w:val="16"/>
          <w:szCs w:val="16"/>
        </w:rPr>
        <w:t>(</w:t>
      </w:r>
      <w:r w:rsidRPr="00875A0D">
        <w:rPr>
          <w:rFonts w:asciiTheme="majorHAnsi" w:eastAsia="Times New Roman" w:hAnsiTheme="majorHAnsi"/>
          <w:sz w:val="16"/>
          <w:szCs w:val="16"/>
        </w:rPr>
        <w:t>1</w:t>
      </w:r>
      <w:r>
        <w:rPr>
          <w:rFonts w:asciiTheme="majorHAnsi" w:eastAsia="Times New Roman" w:hAnsiTheme="majorHAnsi"/>
          <w:sz w:val="16"/>
          <w:szCs w:val="16"/>
        </w:rPr>
        <w:t>)</w:t>
      </w:r>
      <w:r w:rsidRPr="00875A0D">
        <w:rPr>
          <w:rFonts w:asciiTheme="majorHAnsi" w:eastAsia="Times New Roman" w:hAnsiTheme="majorHAnsi"/>
          <w:sz w:val="16"/>
          <w:szCs w:val="16"/>
        </w:rPr>
        <w:t xml:space="preserve"> </w:t>
      </w:r>
      <w:r>
        <w:rPr>
          <w:rFonts w:asciiTheme="majorHAnsi" w:eastAsia="Times New Roman" w:hAnsiTheme="majorHAnsi"/>
          <w:sz w:val="16"/>
          <w:szCs w:val="16"/>
        </w:rPr>
        <w:t xml:space="preserve">and </w:t>
      </w:r>
      <w:r w:rsidRPr="00875A0D">
        <w:rPr>
          <w:rFonts w:asciiTheme="majorHAnsi" w:eastAsia="Times New Roman" w:hAnsiTheme="majorHAnsi"/>
          <w:sz w:val="16"/>
          <w:szCs w:val="16"/>
        </w:rPr>
        <w:t>7</w:t>
      </w:r>
      <w:r>
        <w:rPr>
          <w:rFonts w:asciiTheme="majorHAnsi" w:eastAsia="Times New Roman" w:hAnsiTheme="majorHAnsi"/>
          <w:sz w:val="16"/>
          <w:szCs w:val="16"/>
        </w:rPr>
        <w:t>(</w:t>
      </w:r>
      <w:r w:rsidRPr="00875A0D">
        <w:rPr>
          <w:rFonts w:asciiTheme="majorHAnsi" w:eastAsia="Times New Roman" w:hAnsiTheme="majorHAnsi"/>
          <w:sz w:val="16"/>
          <w:szCs w:val="16"/>
        </w:rPr>
        <w:t>6</w:t>
      </w:r>
      <w:r>
        <w:rPr>
          <w:rFonts w:asciiTheme="majorHAnsi" w:eastAsia="Times New Roman" w:hAnsiTheme="majorHAnsi"/>
          <w:sz w:val="16"/>
          <w:szCs w:val="16"/>
        </w:rPr>
        <w:t>)</w:t>
      </w:r>
      <w:r w:rsidRPr="00875A0D">
        <w:rPr>
          <w:rFonts w:asciiTheme="majorHAnsi" w:eastAsia="Times New Roman" w:hAnsiTheme="majorHAnsi"/>
          <w:sz w:val="16"/>
          <w:szCs w:val="16"/>
        </w:rPr>
        <w:t xml:space="preserve"> American</w:t>
      </w:r>
      <w:r>
        <w:rPr>
          <w:rFonts w:asciiTheme="majorHAnsi" w:eastAsia="Times New Roman" w:hAnsiTheme="majorHAnsi"/>
          <w:sz w:val="16"/>
          <w:szCs w:val="16"/>
        </w:rPr>
        <w:t xml:space="preserve"> Convention on Human Rights</w:t>
      </w:r>
      <w:r w:rsidRPr="00875A0D">
        <w:rPr>
          <w:rFonts w:asciiTheme="majorHAnsi" w:eastAsia="Times New Roman" w:hAnsiTheme="majorHAnsi"/>
          <w:sz w:val="16"/>
          <w:szCs w:val="16"/>
        </w:rPr>
        <w:t xml:space="preserve">). </w:t>
      </w:r>
      <w:r>
        <w:rPr>
          <w:rFonts w:asciiTheme="majorHAnsi" w:eastAsia="Times New Roman" w:hAnsiTheme="majorHAnsi"/>
          <w:sz w:val="16"/>
          <w:szCs w:val="16"/>
        </w:rPr>
        <w:t xml:space="preserve">Advisory Opinion </w:t>
      </w:r>
      <w:r w:rsidRPr="00875A0D">
        <w:rPr>
          <w:rFonts w:asciiTheme="majorHAnsi" w:eastAsia="Times New Roman" w:hAnsiTheme="majorHAnsi"/>
          <w:sz w:val="16"/>
          <w:szCs w:val="16"/>
        </w:rPr>
        <w:t>OC-8/87</w:t>
      </w:r>
      <w:r>
        <w:rPr>
          <w:rFonts w:asciiTheme="majorHAnsi" w:eastAsia="Times New Roman" w:hAnsiTheme="majorHAnsi"/>
          <w:sz w:val="16"/>
          <w:szCs w:val="16"/>
        </w:rPr>
        <w:t xml:space="preserve">, January </w:t>
      </w:r>
      <w:r w:rsidRPr="00875A0D">
        <w:rPr>
          <w:rFonts w:asciiTheme="majorHAnsi" w:eastAsia="Times New Roman" w:hAnsiTheme="majorHAnsi"/>
          <w:sz w:val="16"/>
          <w:szCs w:val="16"/>
        </w:rPr>
        <w:t>30</w:t>
      </w:r>
      <w:r>
        <w:rPr>
          <w:rFonts w:asciiTheme="majorHAnsi" w:eastAsia="Times New Roman" w:hAnsiTheme="majorHAnsi"/>
          <w:sz w:val="16"/>
          <w:szCs w:val="16"/>
        </w:rPr>
        <w:t>,</w:t>
      </w:r>
      <w:r w:rsidRPr="00875A0D">
        <w:rPr>
          <w:rFonts w:asciiTheme="majorHAnsi" w:eastAsia="Times New Roman" w:hAnsiTheme="majorHAnsi"/>
          <w:sz w:val="16"/>
          <w:szCs w:val="16"/>
        </w:rPr>
        <w:t xml:space="preserve"> 1987. Serie</w:t>
      </w:r>
      <w:r>
        <w:rPr>
          <w:rFonts w:asciiTheme="majorHAnsi" w:eastAsia="Times New Roman" w:hAnsiTheme="majorHAnsi"/>
          <w:sz w:val="16"/>
          <w:szCs w:val="16"/>
        </w:rPr>
        <w:t>s</w:t>
      </w:r>
      <w:r w:rsidRPr="00875A0D">
        <w:rPr>
          <w:rFonts w:asciiTheme="majorHAnsi" w:eastAsia="Times New Roman" w:hAnsiTheme="majorHAnsi"/>
          <w:sz w:val="16"/>
          <w:szCs w:val="16"/>
        </w:rPr>
        <w:t xml:space="preserve"> </w:t>
      </w:r>
      <w:proofErr w:type="gramStart"/>
      <w:r w:rsidRPr="00875A0D">
        <w:rPr>
          <w:rFonts w:asciiTheme="majorHAnsi" w:eastAsia="Times New Roman" w:hAnsiTheme="majorHAnsi"/>
          <w:sz w:val="16"/>
          <w:szCs w:val="16"/>
        </w:rPr>
        <w:t>A</w:t>
      </w:r>
      <w:proofErr w:type="gramEnd"/>
      <w:r w:rsidRPr="00875A0D">
        <w:rPr>
          <w:rFonts w:asciiTheme="majorHAnsi" w:eastAsia="Times New Roman" w:hAnsiTheme="majorHAnsi"/>
          <w:sz w:val="16"/>
          <w:szCs w:val="16"/>
        </w:rPr>
        <w:t xml:space="preserve"> No. 8, </w:t>
      </w:r>
      <w:r>
        <w:rPr>
          <w:rFonts w:asciiTheme="majorHAnsi" w:eastAsia="Times New Roman" w:hAnsiTheme="majorHAnsi"/>
          <w:sz w:val="16"/>
          <w:szCs w:val="16"/>
        </w:rPr>
        <w:t>para.</w:t>
      </w:r>
      <w:r w:rsidRPr="00875A0D">
        <w:rPr>
          <w:rFonts w:asciiTheme="majorHAnsi" w:eastAsia="Times New Roman" w:hAnsiTheme="majorHAnsi"/>
          <w:sz w:val="16"/>
          <w:szCs w:val="16"/>
        </w:rPr>
        <w:t xml:space="preserve"> 30.</w:t>
      </w:r>
      <w:r w:rsidRPr="00875A0D">
        <w:rPr>
          <w:rFonts w:asciiTheme="majorHAnsi" w:hAnsiTheme="majorHAnsi"/>
          <w:sz w:val="16"/>
          <w:szCs w:val="16"/>
        </w:rPr>
        <w:t xml:space="preserve"> </w:t>
      </w:r>
      <w:r>
        <w:rPr>
          <w:rFonts w:asciiTheme="majorHAnsi" w:hAnsiTheme="majorHAnsi"/>
          <w:sz w:val="16"/>
          <w:szCs w:val="16"/>
        </w:rPr>
        <w:t>See also, IACHR</w:t>
      </w:r>
      <w:r w:rsidRPr="00875A0D">
        <w:rPr>
          <w:rFonts w:asciiTheme="majorHAnsi" w:hAnsiTheme="majorHAnsi"/>
          <w:sz w:val="16"/>
          <w:szCs w:val="16"/>
        </w:rPr>
        <w:t>, Democrac</w:t>
      </w:r>
      <w:r>
        <w:rPr>
          <w:rFonts w:asciiTheme="majorHAnsi" w:hAnsiTheme="majorHAnsi"/>
          <w:sz w:val="16"/>
          <w:szCs w:val="16"/>
        </w:rPr>
        <w:t xml:space="preserve">y and Human Rights in </w:t>
      </w:r>
      <w:r w:rsidRPr="00875A0D">
        <w:rPr>
          <w:rFonts w:asciiTheme="majorHAnsi" w:hAnsiTheme="majorHAnsi"/>
          <w:sz w:val="16"/>
          <w:szCs w:val="16"/>
        </w:rPr>
        <w:t xml:space="preserve">Venezuela, III. </w:t>
      </w:r>
      <w:r>
        <w:rPr>
          <w:rFonts w:asciiTheme="majorHAnsi" w:hAnsiTheme="majorHAnsi"/>
          <w:sz w:val="16"/>
          <w:szCs w:val="16"/>
        </w:rPr>
        <w:t xml:space="preserve">Independence and Separation of Public Powers, December </w:t>
      </w:r>
      <w:r w:rsidRPr="00875A0D">
        <w:rPr>
          <w:rFonts w:asciiTheme="majorHAnsi" w:hAnsiTheme="majorHAnsi"/>
          <w:sz w:val="16"/>
          <w:szCs w:val="16"/>
        </w:rPr>
        <w:t>30</w:t>
      </w:r>
      <w:r>
        <w:rPr>
          <w:rFonts w:asciiTheme="majorHAnsi" w:hAnsiTheme="majorHAnsi"/>
          <w:sz w:val="16"/>
          <w:szCs w:val="16"/>
        </w:rPr>
        <w:t>,</w:t>
      </w:r>
      <w:r w:rsidRPr="00875A0D">
        <w:rPr>
          <w:rFonts w:asciiTheme="majorHAnsi" w:hAnsiTheme="majorHAnsi"/>
          <w:sz w:val="16"/>
          <w:szCs w:val="16"/>
        </w:rPr>
        <w:t xml:space="preserve"> 2009. </w:t>
      </w:r>
      <w:proofErr w:type="gramStart"/>
      <w:r>
        <w:rPr>
          <w:rFonts w:asciiTheme="majorHAnsi" w:hAnsiTheme="majorHAnsi"/>
          <w:sz w:val="16"/>
          <w:szCs w:val="16"/>
        </w:rPr>
        <w:t>para</w:t>
      </w:r>
      <w:proofErr w:type="gramEnd"/>
      <w:r>
        <w:rPr>
          <w:rFonts w:asciiTheme="majorHAnsi" w:hAnsiTheme="majorHAnsi"/>
          <w:sz w:val="16"/>
          <w:szCs w:val="16"/>
        </w:rPr>
        <w:t>.</w:t>
      </w:r>
      <w:r w:rsidRPr="00875A0D">
        <w:rPr>
          <w:rFonts w:asciiTheme="majorHAnsi" w:hAnsiTheme="majorHAnsi"/>
          <w:sz w:val="16"/>
          <w:szCs w:val="16"/>
        </w:rPr>
        <w:t xml:space="preserve"> 80.</w:t>
      </w:r>
    </w:p>
  </w:footnote>
  <w:footnote w:id="31">
    <w:p w14:paraId="23B2F430" w14:textId="77777777" w:rsidR="00D02D3C" w:rsidRPr="00875A0D" w:rsidRDefault="00D02D3C" w:rsidP="00D02D3C">
      <w:pPr>
        <w:pStyle w:val="FootnoteText"/>
        <w:jc w:val="both"/>
        <w:rPr>
          <w:rFonts w:asciiTheme="majorHAnsi" w:hAnsiTheme="majorHAnsi"/>
          <w:sz w:val="16"/>
          <w:szCs w:val="16"/>
        </w:rPr>
      </w:pPr>
      <w:r w:rsidRPr="00875A0D">
        <w:rPr>
          <w:rFonts w:asciiTheme="majorHAnsi" w:hAnsiTheme="majorHAnsi"/>
          <w:sz w:val="16"/>
          <w:szCs w:val="16"/>
          <w:vertAlign w:val="superscript"/>
        </w:rPr>
        <w:footnoteRef/>
      </w:r>
      <w:r w:rsidRPr="00875A0D">
        <w:rPr>
          <w:rFonts w:asciiTheme="majorHAnsi" w:hAnsiTheme="majorHAnsi"/>
          <w:sz w:val="16"/>
          <w:szCs w:val="16"/>
        </w:rPr>
        <w:t xml:space="preserve"> </w:t>
      </w:r>
      <w:proofErr w:type="gramStart"/>
      <w:r>
        <w:rPr>
          <w:rFonts w:asciiTheme="majorHAnsi" w:hAnsiTheme="majorHAnsi"/>
          <w:sz w:val="16"/>
          <w:szCs w:val="16"/>
        </w:rPr>
        <w:t>I/A Court HR</w:t>
      </w:r>
      <w:r w:rsidRPr="00875A0D">
        <w:rPr>
          <w:rFonts w:asciiTheme="majorHAnsi" w:hAnsiTheme="majorHAnsi"/>
          <w:sz w:val="16"/>
          <w:szCs w:val="16"/>
        </w:rPr>
        <w:t xml:space="preserve">. </w:t>
      </w:r>
      <w:r>
        <w:rPr>
          <w:rFonts w:asciiTheme="majorHAnsi" w:hAnsiTheme="majorHAnsi"/>
          <w:sz w:val="16"/>
          <w:szCs w:val="16"/>
        </w:rPr>
        <w:t>Case of</w:t>
      </w:r>
      <w:r w:rsidRPr="00875A0D">
        <w:rPr>
          <w:rFonts w:asciiTheme="majorHAnsi" w:hAnsiTheme="majorHAnsi"/>
          <w:sz w:val="16"/>
          <w:szCs w:val="16"/>
        </w:rPr>
        <w:t xml:space="preserve"> </w:t>
      </w:r>
      <w:proofErr w:type="spellStart"/>
      <w:r w:rsidRPr="00875A0D">
        <w:rPr>
          <w:rFonts w:asciiTheme="majorHAnsi" w:hAnsiTheme="majorHAnsi"/>
          <w:sz w:val="16"/>
          <w:szCs w:val="16"/>
        </w:rPr>
        <w:t>Reverón</w:t>
      </w:r>
      <w:proofErr w:type="spellEnd"/>
      <w:r w:rsidRPr="00875A0D">
        <w:rPr>
          <w:rFonts w:asciiTheme="majorHAnsi" w:hAnsiTheme="majorHAnsi"/>
          <w:sz w:val="16"/>
          <w:szCs w:val="16"/>
        </w:rPr>
        <w:t xml:space="preserve"> Trujillo </w:t>
      </w:r>
      <w:r>
        <w:rPr>
          <w:rFonts w:asciiTheme="majorHAnsi" w:hAnsiTheme="majorHAnsi"/>
          <w:sz w:val="16"/>
          <w:szCs w:val="16"/>
        </w:rPr>
        <w:t>v.</w:t>
      </w:r>
      <w:r w:rsidRPr="00875A0D">
        <w:rPr>
          <w:rFonts w:asciiTheme="majorHAnsi" w:hAnsiTheme="majorHAnsi"/>
          <w:sz w:val="16"/>
          <w:szCs w:val="16"/>
        </w:rPr>
        <w:t xml:space="preserve"> Venezuela.</w:t>
      </w:r>
      <w:proofErr w:type="gramEnd"/>
      <w:r w:rsidRPr="00875A0D">
        <w:rPr>
          <w:rFonts w:asciiTheme="majorHAnsi" w:hAnsiTheme="majorHAnsi"/>
          <w:sz w:val="16"/>
          <w:szCs w:val="16"/>
        </w:rPr>
        <w:t xml:space="preserve"> </w:t>
      </w:r>
      <w:proofErr w:type="gramStart"/>
      <w:r w:rsidRPr="00D02E8B">
        <w:rPr>
          <w:rFonts w:asciiTheme="majorHAnsi" w:hAnsiTheme="majorHAnsi"/>
          <w:sz w:val="16"/>
          <w:szCs w:val="16"/>
        </w:rPr>
        <w:t>Preliminary Objection</w:t>
      </w:r>
      <w:r w:rsidRPr="00875A0D">
        <w:rPr>
          <w:rFonts w:asciiTheme="majorHAnsi" w:hAnsiTheme="majorHAnsi"/>
          <w:sz w:val="16"/>
          <w:szCs w:val="16"/>
        </w:rPr>
        <w:t xml:space="preserve">, </w:t>
      </w:r>
      <w:r w:rsidRPr="00203A9B">
        <w:rPr>
          <w:rFonts w:asciiTheme="majorHAnsi" w:hAnsiTheme="majorHAnsi"/>
          <w:sz w:val="16"/>
          <w:szCs w:val="16"/>
        </w:rPr>
        <w:t>Merits, Reparations and Costs</w:t>
      </w:r>
      <w:r w:rsidRPr="00875A0D">
        <w:rPr>
          <w:rFonts w:asciiTheme="majorHAnsi" w:hAnsiTheme="majorHAnsi"/>
          <w:sz w:val="16"/>
          <w:szCs w:val="16"/>
        </w:rPr>
        <w:t>.</w:t>
      </w:r>
      <w:proofErr w:type="gramEnd"/>
      <w:r w:rsidRPr="00875A0D">
        <w:rPr>
          <w:rFonts w:asciiTheme="majorHAnsi" w:hAnsiTheme="majorHAnsi"/>
          <w:sz w:val="16"/>
          <w:szCs w:val="16"/>
        </w:rPr>
        <w:t xml:space="preserve"> </w:t>
      </w:r>
      <w:r w:rsidRPr="00203A9B">
        <w:rPr>
          <w:rFonts w:asciiTheme="majorHAnsi" w:hAnsiTheme="majorHAnsi"/>
          <w:sz w:val="16"/>
          <w:szCs w:val="16"/>
        </w:rPr>
        <w:t>Judgment of</w:t>
      </w:r>
      <w:r w:rsidRPr="00875A0D">
        <w:rPr>
          <w:rFonts w:asciiTheme="majorHAnsi" w:hAnsiTheme="majorHAnsi"/>
          <w:sz w:val="16"/>
          <w:szCs w:val="16"/>
        </w:rPr>
        <w:t xml:space="preserve"> </w:t>
      </w:r>
      <w:r>
        <w:rPr>
          <w:rFonts w:asciiTheme="majorHAnsi" w:hAnsiTheme="majorHAnsi"/>
          <w:sz w:val="16"/>
          <w:szCs w:val="16"/>
        </w:rPr>
        <w:t xml:space="preserve">June </w:t>
      </w:r>
      <w:r w:rsidRPr="00875A0D">
        <w:rPr>
          <w:rFonts w:asciiTheme="majorHAnsi" w:hAnsiTheme="majorHAnsi"/>
          <w:sz w:val="16"/>
          <w:szCs w:val="16"/>
        </w:rPr>
        <w:t>30</w:t>
      </w:r>
      <w:r>
        <w:rPr>
          <w:rFonts w:asciiTheme="majorHAnsi" w:hAnsiTheme="majorHAnsi"/>
          <w:sz w:val="16"/>
          <w:szCs w:val="16"/>
        </w:rPr>
        <w:t>,</w:t>
      </w:r>
      <w:r w:rsidRPr="00875A0D">
        <w:rPr>
          <w:rFonts w:asciiTheme="majorHAnsi" w:hAnsiTheme="majorHAnsi"/>
          <w:sz w:val="16"/>
          <w:szCs w:val="16"/>
        </w:rPr>
        <w:t xml:space="preserve"> 2009. </w:t>
      </w:r>
      <w:r w:rsidRPr="00203A9B">
        <w:rPr>
          <w:rFonts w:asciiTheme="majorHAnsi" w:hAnsiTheme="majorHAnsi"/>
          <w:sz w:val="16"/>
          <w:szCs w:val="16"/>
        </w:rPr>
        <w:t>Series C</w:t>
      </w:r>
      <w:r w:rsidRPr="00875A0D">
        <w:rPr>
          <w:rFonts w:asciiTheme="majorHAnsi" w:hAnsiTheme="majorHAnsi"/>
          <w:sz w:val="16"/>
          <w:szCs w:val="16"/>
        </w:rPr>
        <w:t xml:space="preserve"> No. 197, </w:t>
      </w:r>
      <w:r>
        <w:rPr>
          <w:rFonts w:asciiTheme="majorHAnsi" w:hAnsiTheme="majorHAnsi"/>
          <w:sz w:val="16"/>
          <w:szCs w:val="16"/>
        </w:rPr>
        <w:t>para.</w:t>
      </w:r>
      <w:r w:rsidRPr="00875A0D">
        <w:rPr>
          <w:rFonts w:asciiTheme="majorHAnsi" w:hAnsiTheme="majorHAnsi"/>
          <w:sz w:val="16"/>
          <w:szCs w:val="16"/>
        </w:rPr>
        <w:t xml:space="preserve"> </w:t>
      </w:r>
      <w:proofErr w:type="gramStart"/>
      <w:r w:rsidRPr="00875A0D">
        <w:rPr>
          <w:rFonts w:asciiTheme="majorHAnsi" w:hAnsiTheme="majorHAnsi"/>
          <w:sz w:val="16"/>
          <w:szCs w:val="16"/>
        </w:rPr>
        <w:t xml:space="preserve">67; </w:t>
      </w:r>
      <w:r>
        <w:rPr>
          <w:rFonts w:asciiTheme="majorHAnsi" w:hAnsiTheme="majorHAnsi"/>
          <w:sz w:val="16"/>
          <w:szCs w:val="16"/>
        </w:rPr>
        <w:t>IACHR</w:t>
      </w:r>
      <w:r w:rsidRPr="00875A0D">
        <w:rPr>
          <w:rFonts w:asciiTheme="majorHAnsi" w:hAnsiTheme="majorHAnsi"/>
          <w:sz w:val="16"/>
          <w:szCs w:val="16"/>
        </w:rPr>
        <w:t>, Democrac</w:t>
      </w:r>
      <w:r>
        <w:rPr>
          <w:rFonts w:asciiTheme="majorHAnsi" w:hAnsiTheme="majorHAnsi"/>
          <w:sz w:val="16"/>
          <w:szCs w:val="16"/>
        </w:rPr>
        <w:t>y and Human Rights</w:t>
      </w:r>
      <w:r w:rsidRPr="00875A0D">
        <w:rPr>
          <w:rFonts w:asciiTheme="majorHAnsi" w:hAnsiTheme="majorHAnsi"/>
          <w:sz w:val="16"/>
          <w:szCs w:val="16"/>
        </w:rPr>
        <w:t xml:space="preserve">, </w:t>
      </w:r>
      <w:r>
        <w:rPr>
          <w:rFonts w:asciiTheme="majorHAnsi" w:hAnsiTheme="majorHAnsi"/>
          <w:sz w:val="16"/>
          <w:szCs w:val="16"/>
        </w:rPr>
        <w:t xml:space="preserve">December </w:t>
      </w:r>
      <w:r w:rsidRPr="00875A0D">
        <w:rPr>
          <w:rFonts w:asciiTheme="majorHAnsi" w:hAnsiTheme="majorHAnsi"/>
          <w:sz w:val="16"/>
          <w:szCs w:val="16"/>
        </w:rPr>
        <w:t>30</w:t>
      </w:r>
      <w:r>
        <w:rPr>
          <w:rFonts w:asciiTheme="majorHAnsi" w:hAnsiTheme="majorHAnsi"/>
          <w:sz w:val="16"/>
          <w:szCs w:val="16"/>
        </w:rPr>
        <w:t>,</w:t>
      </w:r>
      <w:r w:rsidRPr="00875A0D">
        <w:rPr>
          <w:rFonts w:asciiTheme="majorHAnsi" w:hAnsiTheme="majorHAnsi"/>
          <w:sz w:val="16"/>
          <w:szCs w:val="16"/>
        </w:rPr>
        <w:t xml:space="preserve"> 2009, </w:t>
      </w:r>
      <w:r>
        <w:rPr>
          <w:rFonts w:asciiTheme="majorHAnsi" w:hAnsiTheme="majorHAnsi"/>
          <w:sz w:val="16"/>
          <w:szCs w:val="16"/>
        </w:rPr>
        <w:t>para.</w:t>
      </w:r>
      <w:proofErr w:type="gramEnd"/>
      <w:r w:rsidRPr="00875A0D">
        <w:rPr>
          <w:rFonts w:asciiTheme="majorHAnsi" w:hAnsiTheme="majorHAnsi"/>
          <w:sz w:val="16"/>
          <w:szCs w:val="16"/>
        </w:rPr>
        <w:t xml:space="preserve"> </w:t>
      </w:r>
      <w:proofErr w:type="gramStart"/>
      <w:r w:rsidRPr="00875A0D">
        <w:rPr>
          <w:rFonts w:asciiTheme="majorHAnsi" w:hAnsiTheme="majorHAnsi"/>
          <w:sz w:val="16"/>
          <w:szCs w:val="16"/>
        </w:rPr>
        <w:t xml:space="preserve">185; </w:t>
      </w:r>
      <w:r>
        <w:rPr>
          <w:rFonts w:asciiTheme="majorHAnsi" w:hAnsiTheme="majorHAnsi"/>
          <w:sz w:val="16"/>
          <w:szCs w:val="16"/>
        </w:rPr>
        <w:t>IACHR</w:t>
      </w:r>
      <w:r w:rsidRPr="00875A0D">
        <w:rPr>
          <w:rFonts w:asciiTheme="majorHAnsi" w:hAnsiTheme="majorHAnsi"/>
          <w:sz w:val="16"/>
          <w:szCs w:val="16"/>
        </w:rPr>
        <w:t xml:space="preserve">, </w:t>
      </w:r>
      <w:r>
        <w:rPr>
          <w:rFonts w:asciiTheme="majorHAnsi" w:hAnsiTheme="majorHAnsi"/>
          <w:sz w:val="16"/>
          <w:szCs w:val="16"/>
        </w:rPr>
        <w:t>Second Report on the Situation of Human Rights Defenders, December</w:t>
      </w:r>
      <w:r w:rsidRPr="00875A0D">
        <w:rPr>
          <w:rFonts w:asciiTheme="majorHAnsi" w:hAnsiTheme="majorHAnsi"/>
          <w:sz w:val="16"/>
          <w:szCs w:val="16"/>
        </w:rPr>
        <w:t xml:space="preserve"> 31</w:t>
      </w:r>
      <w:r>
        <w:rPr>
          <w:rFonts w:asciiTheme="majorHAnsi" w:hAnsiTheme="majorHAnsi"/>
          <w:sz w:val="16"/>
          <w:szCs w:val="16"/>
        </w:rPr>
        <w:t>,</w:t>
      </w:r>
      <w:r w:rsidRPr="00875A0D">
        <w:rPr>
          <w:rFonts w:asciiTheme="majorHAnsi" w:hAnsiTheme="majorHAnsi"/>
          <w:sz w:val="16"/>
          <w:szCs w:val="16"/>
        </w:rPr>
        <w:t xml:space="preserve"> 2011, </w:t>
      </w:r>
      <w:r>
        <w:rPr>
          <w:rFonts w:asciiTheme="majorHAnsi" w:hAnsiTheme="majorHAnsi"/>
          <w:sz w:val="16"/>
          <w:szCs w:val="16"/>
        </w:rPr>
        <w:t>para.</w:t>
      </w:r>
      <w:proofErr w:type="gramEnd"/>
      <w:r w:rsidRPr="00875A0D">
        <w:rPr>
          <w:rFonts w:asciiTheme="majorHAnsi" w:hAnsiTheme="majorHAnsi"/>
          <w:sz w:val="16"/>
          <w:szCs w:val="16"/>
        </w:rPr>
        <w:t xml:space="preserve"> 359. </w:t>
      </w:r>
    </w:p>
  </w:footnote>
  <w:footnote w:id="32">
    <w:p w14:paraId="234E9AD3" w14:textId="77777777" w:rsidR="00D02D3C" w:rsidRPr="00D02D3C" w:rsidRDefault="00D02D3C" w:rsidP="00D02D3C">
      <w:pPr>
        <w:pStyle w:val="FootnoteText"/>
        <w:jc w:val="both"/>
        <w:rPr>
          <w:rFonts w:asciiTheme="majorHAnsi" w:hAnsiTheme="majorHAnsi"/>
          <w:sz w:val="16"/>
          <w:szCs w:val="16"/>
        </w:rPr>
      </w:pPr>
      <w:r w:rsidRPr="00875A0D">
        <w:rPr>
          <w:rFonts w:asciiTheme="majorHAnsi" w:hAnsiTheme="majorHAnsi"/>
          <w:sz w:val="16"/>
          <w:szCs w:val="16"/>
          <w:vertAlign w:val="superscript"/>
        </w:rPr>
        <w:footnoteRef/>
      </w:r>
      <w:r w:rsidRPr="00875A0D">
        <w:rPr>
          <w:rFonts w:asciiTheme="majorHAnsi" w:hAnsiTheme="majorHAnsi"/>
          <w:sz w:val="16"/>
          <w:szCs w:val="16"/>
        </w:rPr>
        <w:t xml:space="preserve"> </w:t>
      </w:r>
      <w:r>
        <w:rPr>
          <w:rFonts w:asciiTheme="majorHAnsi" w:hAnsiTheme="majorHAnsi"/>
          <w:sz w:val="16"/>
          <w:szCs w:val="16"/>
        </w:rPr>
        <w:t xml:space="preserve">Thus, for example, the Inter-American Court has indicated that the obligations of the State with respect to parties subject to proceedings before the courts give rise, in turn, to “rights for judges,” among which the Court has indicated </w:t>
      </w:r>
      <w:r w:rsidRPr="00374B13">
        <w:rPr>
          <w:rFonts w:asciiTheme="majorHAnsi" w:hAnsiTheme="majorHAnsi"/>
          <w:sz w:val="16"/>
          <w:szCs w:val="16"/>
        </w:rPr>
        <w:t>the guarantee that judges enjoy that they shall not be subject to discretionary removal, mean</w:t>
      </w:r>
      <w:r>
        <w:rPr>
          <w:rFonts w:asciiTheme="majorHAnsi" w:hAnsiTheme="majorHAnsi"/>
          <w:sz w:val="16"/>
          <w:szCs w:val="16"/>
        </w:rPr>
        <w:t>ing</w:t>
      </w:r>
      <w:r w:rsidRPr="00374B13">
        <w:rPr>
          <w:rFonts w:asciiTheme="majorHAnsi" w:hAnsiTheme="majorHAnsi"/>
          <w:sz w:val="16"/>
          <w:szCs w:val="16"/>
        </w:rPr>
        <w:t xml:space="preserve"> that disciplinary proceedings involving judges must observe the guarantees of due process and offer judges undergoing a disciplinary process an effective </w:t>
      </w:r>
      <w:r>
        <w:rPr>
          <w:rFonts w:asciiTheme="majorHAnsi" w:hAnsiTheme="majorHAnsi"/>
          <w:sz w:val="16"/>
          <w:szCs w:val="16"/>
        </w:rPr>
        <w:t xml:space="preserve">remedy. </w:t>
      </w:r>
      <w:proofErr w:type="gramStart"/>
      <w:r>
        <w:rPr>
          <w:rFonts w:asciiTheme="majorHAnsi" w:hAnsiTheme="majorHAnsi"/>
          <w:sz w:val="16"/>
          <w:szCs w:val="16"/>
        </w:rPr>
        <w:t>I/A Court HR</w:t>
      </w:r>
      <w:r w:rsidRPr="00875A0D">
        <w:rPr>
          <w:rFonts w:asciiTheme="majorHAnsi" w:hAnsiTheme="majorHAnsi"/>
          <w:sz w:val="16"/>
          <w:szCs w:val="16"/>
        </w:rPr>
        <w:t xml:space="preserve">. </w:t>
      </w:r>
      <w:r>
        <w:rPr>
          <w:rFonts w:asciiTheme="majorHAnsi" w:hAnsiTheme="majorHAnsi"/>
          <w:sz w:val="16"/>
          <w:szCs w:val="16"/>
        </w:rPr>
        <w:t>Case of</w:t>
      </w:r>
      <w:r w:rsidRPr="00875A0D">
        <w:rPr>
          <w:rFonts w:asciiTheme="majorHAnsi" w:hAnsiTheme="majorHAnsi"/>
          <w:sz w:val="16"/>
          <w:szCs w:val="16"/>
        </w:rPr>
        <w:t xml:space="preserve"> </w:t>
      </w:r>
      <w:proofErr w:type="spellStart"/>
      <w:r w:rsidRPr="00875A0D">
        <w:rPr>
          <w:rFonts w:asciiTheme="majorHAnsi" w:hAnsiTheme="majorHAnsi"/>
          <w:sz w:val="16"/>
          <w:szCs w:val="16"/>
        </w:rPr>
        <w:t>Apitz</w:t>
      </w:r>
      <w:proofErr w:type="spellEnd"/>
      <w:r w:rsidRPr="00875A0D">
        <w:rPr>
          <w:rFonts w:asciiTheme="majorHAnsi" w:hAnsiTheme="majorHAnsi"/>
          <w:sz w:val="16"/>
          <w:szCs w:val="16"/>
        </w:rPr>
        <w:t xml:space="preserve"> </w:t>
      </w:r>
      <w:proofErr w:type="spellStart"/>
      <w:r w:rsidRPr="00875A0D">
        <w:rPr>
          <w:rFonts w:asciiTheme="majorHAnsi" w:hAnsiTheme="majorHAnsi"/>
          <w:sz w:val="16"/>
          <w:szCs w:val="16"/>
        </w:rPr>
        <w:t>Barbera</w:t>
      </w:r>
      <w:proofErr w:type="spellEnd"/>
      <w:r w:rsidRPr="00875A0D">
        <w:rPr>
          <w:rFonts w:asciiTheme="majorHAnsi" w:hAnsiTheme="majorHAnsi"/>
          <w:sz w:val="16"/>
          <w:szCs w:val="16"/>
        </w:rPr>
        <w:t xml:space="preserve"> </w:t>
      </w:r>
      <w:r>
        <w:rPr>
          <w:rFonts w:asciiTheme="majorHAnsi" w:hAnsiTheme="majorHAnsi"/>
          <w:sz w:val="16"/>
          <w:szCs w:val="16"/>
        </w:rPr>
        <w:t xml:space="preserve">et al. </w:t>
      </w:r>
      <w:r w:rsidRPr="00875A0D">
        <w:rPr>
          <w:rFonts w:asciiTheme="majorHAnsi" w:hAnsiTheme="majorHAnsi"/>
          <w:sz w:val="16"/>
          <w:szCs w:val="16"/>
        </w:rPr>
        <w:t>(“</w:t>
      </w:r>
      <w:r>
        <w:rPr>
          <w:rFonts w:asciiTheme="majorHAnsi" w:hAnsiTheme="majorHAnsi"/>
          <w:sz w:val="16"/>
          <w:szCs w:val="16"/>
        </w:rPr>
        <w:t>First Court of Administrative Disputes</w:t>
      </w:r>
      <w:r w:rsidRPr="00875A0D">
        <w:rPr>
          <w:rFonts w:asciiTheme="majorHAnsi" w:hAnsiTheme="majorHAnsi"/>
          <w:sz w:val="16"/>
          <w:szCs w:val="16"/>
        </w:rPr>
        <w:t xml:space="preserve">”) </w:t>
      </w:r>
      <w:r>
        <w:rPr>
          <w:rFonts w:asciiTheme="majorHAnsi" w:hAnsiTheme="majorHAnsi"/>
          <w:sz w:val="16"/>
          <w:szCs w:val="16"/>
        </w:rPr>
        <w:t>v</w:t>
      </w:r>
      <w:r w:rsidRPr="00875A0D">
        <w:rPr>
          <w:rFonts w:asciiTheme="majorHAnsi" w:hAnsiTheme="majorHAnsi"/>
          <w:sz w:val="16"/>
          <w:szCs w:val="16"/>
        </w:rPr>
        <w:t>. Venezuela.</w:t>
      </w:r>
      <w:proofErr w:type="gramEnd"/>
      <w:r w:rsidRPr="00875A0D">
        <w:rPr>
          <w:rFonts w:asciiTheme="majorHAnsi" w:hAnsiTheme="majorHAnsi"/>
          <w:sz w:val="16"/>
          <w:szCs w:val="16"/>
        </w:rPr>
        <w:t xml:space="preserve"> </w:t>
      </w:r>
      <w:proofErr w:type="gramStart"/>
      <w:r w:rsidRPr="00D02E8B">
        <w:rPr>
          <w:rFonts w:asciiTheme="majorHAnsi" w:hAnsiTheme="majorHAnsi"/>
          <w:sz w:val="16"/>
          <w:szCs w:val="16"/>
        </w:rPr>
        <w:t>Preliminary Objection</w:t>
      </w:r>
      <w:r w:rsidRPr="00875A0D">
        <w:rPr>
          <w:rFonts w:asciiTheme="majorHAnsi" w:hAnsiTheme="majorHAnsi"/>
          <w:sz w:val="16"/>
          <w:szCs w:val="16"/>
        </w:rPr>
        <w:t xml:space="preserve">, </w:t>
      </w:r>
      <w:r w:rsidRPr="00203A9B">
        <w:rPr>
          <w:rFonts w:asciiTheme="majorHAnsi" w:hAnsiTheme="majorHAnsi"/>
          <w:sz w:val="16"/>
          <w:szCs w:val="16"/>
        </w:rPr>
        <w:t>Merits, Reparations and Costs</w:t>
      </w:r>
      <w:r w:rsidRPr="00875A0D">
        <w:rPr>
          <w:rFonts w:asciiTheme="majorHAnsi" w:hAnsiTheme="majorHAnsi"/>
          <w:sz w:val="16"/>
          <w:szCs w:val="16"/>
        </w:rPr>
        <w:t>.</w:t>
      </w:r>
      <w:proofErr w:type="gramEnd"/>
      <w:r w:rsidRPr="00875A0D">
        <w:rPr>
          <w:rFonts w:asciiTheme="majorHAnsi" w:hAnsiTheme="majorHAnsi"/>
          <w:sz w:val="16"/>
          <w:szCs w:val="16"/>
        </w:rPr>
        <w:t xml:space="preserve"> </w:t>
      </w:r>
      <w:r w:rsidRPr="00203A9B">
        <w:rPr>
          <w:rFonts w:asciiTheme="majorHAnsi" w:hAnsiTheme="majorHAnsi"/>
          <w:sz w:val="16"/>
          <w:szCs w:val="16"/>
        </w:rPr>
        <w:t>Judgment of</w:t>
      </w:r>
      <w:r w:rsidRPr="00875A0D">
        <w:rPr>
          <w:rFonts w:asciiTheme="majorHAnsi" w:hAnsiTheme="majorHAnsi"/>
          <w:sz w:val="16"/>
          <w:szCs w:val="16"/>
        </w:rPr>
        <w:t xml:space="preserve"> </w:t>
      </w:r>
      <w:r>
        <w:rPr>
          <w:rFonts w:asciiTheme="majorHAnsi" w:hAnsiTheme="majorHAnsi"/>
          <w:sz w:val="16"/>
          <w:szCs w:val="16"/>
        </w:rPr>
        <w:t xml:space="preserve">August </w:t>
      </w:r>
      <w:r w:rsidRPr="00875A0D">
        <w:rPr>
          <w:rFonts w:asciiTheme="majorHAnsi" w:hAnsiTheme="majorHAnsi"/>
          <w:sz w:val="16"/>
          <w:szCs w:val="16"/>
        </w:rPr>
        <w:t>5</w:t>
      </w:r>
      <w:r>
        <w:rPr>
          <w:rFonts w:asciiTheme="majorHAnsi" w:hAnsiTheme="majorHAnsi"/>
          <w:sz w:val="16"/>
          <w:szCs w:val="16"/>
        </w:rPr>
        <w:t>,</w:t>
      </w:r>
      <w:r w:rsidRPr="00875A0D">
        <w:rPr>
          <w:rFonts w:asciiTheme="majorHAnsi" w:hAnsiTheme="majorHAnsi"/>
          <w:sz w:val="16"/>
          <w:szCs w:val="16"/>
        </w:rPr>
        <w:t xml:space="preserve"> 2008. </w:t>
      </w:r>
      <w:r w:rsidRPr="00203A9B">
        <w:rPr>
          <w:rFonts w:asciiTheme="majorHAnsi" w:hAnsiTheme="majorHAnsi"/>
          <w:sz w:val="16"/>
          <w:szCs w:val="16"/>
        </w:rPr>
        <w:t>Series C</w:t>
      </w:r>
      <w:r w:rsidRPr="00875A0D">
        <w:rPr>
          <w:rFonts w:asciiTheme="majorHAnsi" w:hAnsiTheme="majorHAnsi"/>
          <w:sz w:val="16"/>
          <w:szCs w:val="16"/>
        </w:rPr>
        <w:t xml:space="preserve"> No. 182, </w:t>
      </w:r>
      <w:r>
        <w:rPr>
          <w:rFonts w:asciiTheme="majorHAnsi" w:hAnsiTheme="majorHAnsi"/>
          <w:sz w:val="16"/>
          <w:szCs w:val="16"/>
        </w:rPr>
        <w:t>para.</w:t>
      </w:r>
      <w:r w:rsidRPr="00875A0D">
        <w:rPr>
          <w:rFonts w:asciiTheme="majorHAnsi" w:hAnsiTheme="majorHAnsi"/>
          <w:sz w:val="16"/>
          <w:szCs w:val="16"/>
        </w:rPr>
        <w:t xml:space="preserve"> 1</w:t>
      </w:r>
      <w:r>
        <w:rPr>
          <w:rFonts w:asciiTheme="majorHAnsi" w:hAnsiTheme="majorHAnsi"/>
          <w:sz w:val="16"/>
          <w:szCs w:val="16"/>
        </w:rPr>
        <w:t>88</w:t>
      </w:r>
      <w:r w:rsidRPr="00875A0D">
        <w:rPr>
          <w:rFonts w:asciiTheme="majorHAnsi" w:hAnsiTheme="majorHAnsi"/>
          <w:sz w:val="16"/>
          <w:szCs w:val="16"/>
        </w:rPr>
        <w:t>.</w:t>
      </w:r>
      <w:r>
        <w:rPr>
          <w:rFonts w:asciiTheme="majorHAnsi" w:hAnsiTheme="majorHAnsi"/>
          <w:sz w:val="16"/>
          <w:szCs w:val="16"/>
        </w:rPr>
        <w:t xml:space="preserve"> </w:t>
      </w:r>
    </w:p>
  </w:footnote>
  <w:footnote w:id="33">
    <w:p w14:paraId="19964BC6" w14:textId="77777777" w:rsidR="00D02D3C" w:rsidRPr="00875A0D" w:rsidRDefault="00D02D3C" w:rsidP="00D02D3C">
      <w:pPr>
        <w:jc w:val="both"/>
        <w:rPr>
          <w:rFonts w:asciiTheme="majorHAnsi" w:eastAsia="Times New Roman" w:hAnsiTheme="majorHAnsi"/>
          <w:sz w:val="16"/>
          <w:szCs w:val="16"/>
        </w:rPr>
      </w:pPr>
      <w:r w:rsidRPr="00875A0D">
        <w:rPr>
          <w:rStyle w:val="FootnoteReference"/>
          <w:rFonts w:asciiTheme="majorHAnsi" w:hAnsiTheme="majorHAnsi"/>
          <w:sz w:val="16"/>
          <w:szCs w:val="16"/>
        </w:rPr>
        <w:footnoteRef/>
      </w:r>
      <w:r>
        <w:rPr>
          <w:rFonts w:asciiTheme="majorHAnsi" w:hAnsiTheme="majorHAnsi"/>
          <w:sz w:val="16"/>
          <w:szCs w:val="16"/>
        </w:rPr>
        <w:t>IACHR</w:t>
      </w:r>
      <w:r w:rsidRPr="00875A0D">
        <w:rPr>
          <w:rFonts w:asciiTheme="majorHAnsi" w:hAnsiTheme="majorHAnsi"/>
          <w:sz w:val="16"/>
          <w:szCs w:val="16"/>
        </w:rPr>
        <w:t xml:space="preserve">, </w:t>
      </w:r>
      <w:r>
        <w:rPr>
          <w:rFonts w:asciiTheme="majorHAnsi" w:hAnsiTheme="majorHAnsi"/>
          <w:sz w:val="16"/>
          <w:szCs w:val="16"/>
        </w:rPr>
        <w:t xml:space="preserve">Guarantees for the Independence of Justice Operators: Towards Strengthening Access to Justice and the Rule of Law in the Americas, December </w:t>
      </w:r>
      <w:r w:rsidRPr="00875A0D">
        <w:rPr>
          <w:rFonts w:asciiTheme="majorHAnsi" w:hAnsiTheme="majorHAnsi"/>
          <w:sz w:val="16"/>
          <w:szCs w:val="16"/>
        </w:rPr>
        <w:t>5</w:t>
      </w:r>
      <w:r>
        <w:rPr>
          <w:rFonts w:asciiTheme="majorHAnsi" w:hAnsiTheme="majorHAnsi"/>
          <w:sz w:val="16"/>
          <w:szCs w:val="16"/>
        </w:rPr>
        <w:t>,</w:t>
      </w:r>
      <w:r w:rsidRPr="00875A0D">
        <w:rPr>
          <w:rFonts w:asciiTheme="majorHAnsi" w:hAnsiTheme="majorHAnsi"/>
          <w:sz w:val="16"/>
          <w:szCs w:val="16"/>
        </w:rPr>
        <w:t xml:space="preserve"> 2013, </w:t>
      </w:r>
      <w:r>
        <w:rPr>
          <w:rFonts w:asciiTheme="majorHAnsi" w:hAnsiTheme="majorHAnsi"/>
          <w:sz w:val="16"/>
          <w:szCs w:val="16"/>
        </w:rPr>
        <w:t>paras.</w:t>
      </w:r>
      <w:r w:rsidRPr="00875A0D">
        <w:rPr>
          <w:rFonts w:asciiTheme="majorHAnsi" w:hAnsiTheme="majorHAnsi"/>
          <w:sz w:val="16"/>
          <w:szCs w:val="16"/>
        </w:rPr>
        <w:t xml:space="preserve"> </w:t>
      </w:r>
      <w:proofErr w:type="gramStart"/>
      <w:r w:rsidRPr="00875A0D">
        <w:rPr>
          <w:rFonts w:asciiTheme="majorHAnsi" w:hAnsiTheme="majorHAnsi"/>
          <w:sz w:val="16"/>
          <w:szCs w:val="16"/>
        </w:rPr>
        <w:t>56, 109</w:t>
      </w:r>
      <w:r>
        <w:rPr>
          <w:rFonts w:asciiTheme="majorHAnsi" w:hAnsiTheme="majorHAnsi"/>
          <w:sz w:val="16"/>
          <w:szCs w:val="16"/>
        </w:rPr>
        <w:t xml:space="preserve">, and </w:t>
      </w:r>
      <w:r w:rsidRPr="00875A0D">
        <w:rPr>
          <w:rFonts w:asciiTheme="majorHAnsi" w:hAnsiTheme="majorHAnsi"/>
          <w:sz w:val="16"/>
          <w:szCs w:val="16"/>
        </w:rPr>
        <w:t xml:space="preserve">184, </w:t>
      </w:r>
      <w:r>
        <w:rPr>
          <w:rFonts w:asciiTheme="majorHAnsi" w:eastAsia="Times New Roman" w:hAnsiTheme="majorHAnsi"/>
          <w:bCs/>
          <w:sz w:val="16"/>
          <w:szCs w:val="16"/>
          <w:shd w:val="clear" w:color="auto" w:fill="FFFFFF"/>
        </w:rPr>
        <w:t>I/A Court HR</w:t>
      </w:r>
      <w:r w:rsidRPr="00875A0D">
        <w:rPr>
          <w:rFonts w:asciiTheme="majorHAnsi" w:eastAsia="Times New Roman" w:hAnsiTheme="majorHAnsi"/>
          <w:bCs/>
          <w:sz w:val="16"/>
          <w:szCs w:val="16"/>
          <w:shd w:val="clear" w:color="auto" w:fill="FFFFFF"/>
        </w:rPr>
        <w:t xml:space="preserve">. </w:t>
      </w:r>
      <w:r>
        <w:rPr>
          <w:rFonts w:asciiTheme="majorHAnsi" w:eastAsia="Times New Roman" w:hAnsiTheme="majorHAnsi"/>
          <w:bCs/>
          <w:sz w:val="16"/>
          <w:szCs w:val="16"/>
          <w:shd w:val="clear" w:color="auto" w:fill="FFFFFF"/>
        </w:rPr>
        <w:t>Case of</w:t>
      </w:r>
      <w:r w:rsidRPr="00875A0D">
        <w:rPr>
          <w:rFonts w:asciiTheme="majorHAnsi" w:eastAsia="Times New Roman" w:hAnsiTheme="majorHAnsi"/>
          <w:bCs/>
          <w:sz w:val="16"/>
          <w:szCs w:val="16"/>
          <w:shd w:val="clear" w:color="auto" w:fill="FFFFFF"/>
        </w:rPr>
        <w:t xml:space="preserve"> López Lone </w:t>
      </w:r>
      <w:r w:rsidRPr="00203A9B">
        <w:rPr>
          <w:rFonts w:asciiTheme="majorHAnsi" w:eastAsia="Times New Roman" w:hAnsiTheme="majorHAnsi"/>
          <w:bCs/>
          <w:i/>
          <w:iCs/>
          <w:sz w:val="16"/>
          <w:szCs w:val="16"/>
          <w:shd w:val="clear" w:color="auto" w:fill="FFFFFF"/>
        </w:rPr>
        <w:t>et al.</w:t>
      </w:r>
      <w:r>
        <w:rPr>
          <w:rFonts w:asciiTheme="majorHAnsi" w:eastAsia="Times New Roman" w:hAnsiTheme="majorHAnsi"/>
          <w:bCs/>
          <w:sz w:val="16"/>
          <w:szCs w:val="16"/>
          <w:shd w:val="clear" w:color="auto" w:fill="FFFFFF"/>
        </w:rPr>
        <w:t xml:space="preserve"> v</w:t>
      </w:r>
      <w:r w:rsidRPr="00875A0D">
        <w:rPr>
          <w:rFonts w:asciiTheme="majorHAnsi" w:eastAsia="Times New Roman" w:hAnsiTheme="majorHAnsi"/>
          <w:bCs/>
          <w:sz w:val="16"/>
          <w:szCs w:val="16"/>
          <w:shd w:val="clear" w:color="auto" w:fill="FFFFFF"/>
        </w:rPr>
        <w:t>. Honduras.</w:t>
      </w:r>
      <w:proofErr w:type="gramEnd"/>
      <w:r w:rsidRPr="00875A0D">
        <w:rPr>
          <w:rFonts w:asciiTheme="majorHAnsi" w:eastAsia="Times New Roman" w:hAnsiTheme="majorHAnsi"/>
          <w:bCs/>
          <w:sz w:val="16"/>
          <w:szCs w:val="16"/>
          <w:shd w:val="clear" w:color="auto" w:fill="FFFFFF"/>
        </w:rPr>
        <w:t xml:space="preserve"> </w:t>
      </w:r>
      <w:proofErr w:type="gramStart"/>
      <w:r w:rsidRPr="00D02E8B">
        <w:rPr>
          <w:rFonts w:asciiTheme="majorHAnsi" w:eastAsia="Times New Roman" w:hAnsiTheme="majorHAnsi"/>
          <w:bCs/>
          <w:sz w:val="16"/>
          <w:szCs w:val="16"/>
          <w:shd w:val="clear" w:color="auto" w:fill="FFFFFF"/>
        </w:rPr>
        <w:t>Preliminary Objection</w:t>
      </w:r>
      <w:r w:rsidRPr="00875A0D">
        <w:rPr>
          <w:rFonts w:asciiTheme="majorHAnsi" w:eastAsia="Times New Roman" w:hAnsiTheme="majorHAnsi"/>
          <w:bCs/>
          <w:sz w:val="16"/>
          <w:szCs w:val="16"/>
          <w:shd w:val="clear" w:color="auto" w:fill="FFFFFF"/>
        </w:rPr>
        <w:t xml:space="preserve">, </w:t>
      </w:r>
      <w:r w:rsidRPr="00203A9B">
        <w:rPr>
          <w:rFonts w:asciiTheme="majorHAnsi" w:eastAsia="Times New Roman" w:hAnsiTheme="majorHAnsi"/>
          <w:bCs/>
          <w:sz w:val="16"/>
          <w:szCs w:val="16"/>
          <w:shd w:val="clear" w:color="auto" w:fill="FFFFFF"/>
        </w:rPr>
        <w:t>Merits, Reparations and Costs</w:t>
      </w:r>
      <w:r w:rsidRPr="00875A0D">
        <w:rPr>
          <w:rFonts w:asciiTheme="majorHAnsi" w:eastAsia="Times New Roman" w:hAnsiTheme="majorHAnsi"/>
          <w:bCs/>
          <w:sz w:val="16"/>
          <w:szCs w:val="16"/>
          <w:shd w:val="clear" w:color="auto" w:fill="FFFFFF"/>
        </w:rPr>
        <w:t>.</w:t>
      </w:r>
      <w:proofErr w:type="gramEnd"/>
      <w:r w:rsidRPr="00875A0D">
        <w:rPr>
          <w:rFonts w:asciiTheme="majorHAnsi" w:eastAsia="Times New Roman" w:hAnsiTheme="majorHAnsi"/>
          <w:bCs/>
          <w:sz w:val="16"/>
          <w:szCs w:val="16"/>
          <w:shd w:val="clear" w:color="auto" w:fill="FFFFFF"/>
        </w:rPr>
        <w:t xml:space="preserve"> </w:t>
      </w:r>
      <w:r w:rsidRPr="00203A9B">
        <w:rPr>
          <w:rFonts w:asciiTheme="majorHAnsi" w:eastAsia="Times New Roman" w:hAnsiTheme="majorHAnsi"/>
          <w:bCs/>
          <w:sz w:val="16"/>
          <w:szCs w:val="16"/>
          <w:shd w:val="clear" w:color="auto" w:fill="FFFFFF"/>
        </w:rPr>
        <w:t>Judgment of</w:t>
      </w:r>
      <w:r w:rsidRPr="00875A0D">
        <w:rPr>
          <w:rFonts w:asciiTheme="majorHAnsi" w:eastAsia="Times New Roman" w:hAnsiTheme="majorHAnsi"/>
          <w:bCs/>
          <w:sz w:val="16"/>
          <w:szCs w:val="16"/>
          <w:shd w:val="clear" w:color="auto" w:fill="FFFFFF"/>
        </w:rPr>
        <w:t xml:space="preserve"> </w:t>
      </w:r>
      <w:r>
        <w:rPr>
          <w:rFonts w:asciiTheme="majorHAnsi" w:eastAsia="Times New Roman" w:hAnsiTheme="majorHAnsi"/>
          <w:bCs/>
          <w:sz w:val="16"/>
          <w:szCs w:val="16"/>
          <w:shd w:val="clear" w:color="auto" w:fill="FFFFFF"/>
        </w:rPr>
        <w:t xml:space="preserve">October </w:t>
      </w:r>
      <w:r w:rsidRPr="00875A0D">
        <w:rPr>
          <w:rFonts w:asciiTheme="majorHAnsi" w:eastAsia="Times New Roman" w:hAnsiTheme="majorHAnsi"/>
          <w:bCs/>
          <w:sz w:val="16"/>
          <w:szCs w:val="16"/>
          <w:shd w:val="clear" w:color="auto" w:fill="FFFFFF"/>
        </w:rPr>
        <w:t>5</w:t>
      </w:r>
      <w:r>
        <w:rPr>
          <w:rFonts w:asciiTheme="majorHAnsi" w:eastAsia="Times New Roman" w:hAnsiTheme="majorHAnsi"/>
          <w:bCs/>
          <w:sz w:val="16"/>
          <w:szCs w:val="16"/>
          <w:shd w:val="clear" w:color="auto" w:fill="FFFFFF"/>
        </w:rPr>
        <w:t>,</w:t>
      </w:r>
      <w:r w:rsidRPr="00875A0D">
        <w:rPr>
          <w:rFonts w:asciiTheme="majorHAnsi" w:eastAsia="Times New Roman" w:hAnsiTheme="majorHAnsi"/>
          <w:bCs/>
          <w:sz w:val="16"/>
          <w:szCs w:val="16"/>
          <w:shd w:val="clear" w:color="auto" w:fill="FFFFFF"/>
        </w:rPr>
        <w:t xml:space="preserve"> 2015. </w:t>
      </w:r>
      <w:r w:rsidRPr="00203A9B">
        <w:rPr>
          <w:rFonts w:asciiTheme="majorHAnsi" w:eastAsia="Times New Roman" w:hAnsiTheme="majorHAnsi"/>
          <w:bCs/>
          <w:sz w:val="16"/>
          <w:szCs w:val="16"/>
          <w:shd w:val="clear" w:color="auto" w:fill="FFFFFF"/>
        </w:rPr>
        <w:t>Series C</w:t>
      </w:r>
      <w:r w:rsidRPr="00875A0D">
        <w:rPr>
          <w:rFonts w:asciiTheme="majorHAnsi" w:eastAsia="Times New Roman" w:hAnsiTheme="majorHAnsi"/>
          <w:bCs/>
          <w:sz w:val="16"/>
          <w:szCs w:val="16"/>
          <w:shd w:val="clear" w:color="auto" w:fill="FFFFFF"/>
        </w:rPr>
        <w:t xml:space="preserve"> No. 302, </w:t>
      </w:r>
      <w:r>
        <w:rPr>
          <w:rFonts w:asciiTheme="majorHAnsi" w:eastAsia="Times New Roman" w:hAnsiTheme="majorHAnsi"/>
          <w:bCs/>
          <w:sz w:val="16"/>
          <w:szCs w:val="16"/>
          <w:shd w:val="clear" w:color="auto" w:fill="FFFFFF"/>
        </w:rPr>
        <w:t>para.</w:t>
      </w:r>
      <w:r w:rsidRPr="00875A0D">
        <w:rPr>
          <w:rFonts w:asciiTheme="majorHAnsi" w:eastAsia="Times New Roman" w:hAnsiTheme="majorHAnsi"/>
          <w:bCs/>
          <w:sz w:val="16"/>
          <w:szCs w:val="16"/>
          <w:shd w:val="clear" w:color="auto" w:fill="FFFFFF"/>
        </w:rPr>
        <w:t xml:space="preserve"> 191.</w:t>
      </w:r>
    </w:p>
  </w:footnote>
  <w:footnote w:id="34">
    <w:p w14:paraId="35E5AA78" w14:textId="77777777" w:rsidR="00D02D3C" w:rsidRPr="00875A0D" w:rsidRDefault="00D02D3C" w:rsidP="00D02D3C">
      <w:pPr>
        <w:pStyle w:val="FootnoteText"/>
        <w:jc w:val="both"/>
        <w:rPr>
          <w:rFonts w:asciiTheme="majorHAnsi" w:hAnsiTheme="majorHAnsi"/>
          <w:sz w:val="16"/>
          <w:szCs w:val="16"/>
        </w:rPr>
      </w:pPr>
      <w:r w:rsidRPr="00875A0D">
        <w:rPr>
          <w:rStyle w:val="FootnoteReference"/>
          <w:rFonts w:asciiTheme="majorHAnsi" w:hAnsiTheme="majorHAnsi"/>
          <w:sz w:val="16"/>
          <w:szCs w:val="16"/>
        </w:rPr>
        <w:footnoteRef/>
      </w:r>
      <w:r w:rsidRPr="00875A0D">
        <w:rPr>
          <w:rFonts w:asciiTheme="majorHAnsi" w:hAnsiTheme="majorHAnsi"/>
          <w:sz w:val="16"/>
          <w:szCs w:val="16"/>
        </w:rPr>
        <w:t xml:space="preserve"> </w:t>
      </w:r>
      <w:proofErr w:type="gramStart"/>
      <w:r>
        <w:rPr>
          <w:rFonts w:asciiTheme="majorHAnsi" w:hAnsiTheme="majorHAnsi"/>
          <w:sz w:val="16"/>
          <w:szCs w:val="16"/>
        </w:rPr>
        <w:t>I/A Court HR</w:t>
      </w:r>
      <w:r w:rsidRPr="00875A0D">
        <w:rPr>
          <w:rFonts w:asciiTheme="majorHAnsi" w:hAnsiTheme="majorHAnsi"/>
          <w:sz w:val="16"/>
          <w:szCs w:val="16"/>
        </w:rPr>
        <w:t xml:space="preserve">. </w:t>
      </w:r>
      <w:r>
        <w:rPr>
          <w:rFonts w:asciiTheme="majorHAnsi" w:hAnsiTheme="majorHAnsi"/>
          <w:sz w:val="16"/>
          <w:szCs w:val="16"/>
        </w:rPr>
        <w:t>Case of</w:t>
      </w:r>
      <w:r w:rsidRPr="00875A0D">
        <w:rPr>
          <w:rFonts w:asciiTheme="majorHAnsi" w:hAnsiTheme="majorHAnsi"/>
          <w:sz w:val="16"/>
          <w:szCs w:val="16"/>
        </w:rPr>
        <w:t xml:space="preserve"> López Lone </w:t>
      </w:r>
      <w:r w:rsidRPr="00203A9B">
        <w:rPr>
          <w:rFonts w:asciiTheme="majorHAnsi" w:hAnsiTheme="majorHAnsi"/>
          <w:i/>
          <w:iCs/>
          <w:sz w:val="16"/>
          <w:szCs w:val="16"/>
        </w:rPr>
        <w:t>et al.</w:t>
      </w:r>
      <w:r>
        <w:rPr>
          <w:rFonts w:asciiTheme="majorHAnsi" w:hAnsiTheme="majorHAnsi"/>
          <w:sz w:val="16"/>
          <w:szCs w:val="16"/>
        </w:rPr>
        <w:t xml:space="preserve"> v</w:t>
      </w:r>
      <w:r w:rsidRPr="00875A0D">
        <w:rPr>
          <w:rFonts w:asciiTheme="majorHAnsi" w:hAnsiTheme="majorHAnsi"/>
          <w:sz w:val="16"/>
          <w:szCs w:val="16"/>
        </w:rPr>
        <w:t>. Honduras.</w:t>
      </w:r>
      <w:proofErr w:type="gramEnd"/>
      <w:r w:rsidRPr="00875A0D">
        <w:rPr>
          <w:rFonts w:asciiTheme="majorHAnsi" w:hAnsiTheme="majorHAnsi"/>
          <w:sz w:val="16"/>
          <w:szCs w:val="16"/>
        </w:rPr>
        <w:t xml:space="preserve"> </w:t>
      </w:r>
      <w:proofErr w:type="gramStart"/>
      <w:r w:rsidRPr="00D02E8B">
        <w:rPr>
          <w:rFonts w:asciiTheme="majorHAnsi" w:hAnsiTheme="majorHAnsi"/>
          <w:sz w:val="16"/>
          <w:szCs w:val="16"/>
        </w:rPr>
        <w:t>Preliminary Objection</w:t>
      </w:r>
      <w:r w:rsidRPr="00875A0D">
        <w:rPr>
          <w:rFonts w:asciiTheme="majorHAnsi" w:hAnsiTheme="majorHAnsi"/>
          <w:sz w:val="16"/>
          <w:szCs w:val="16"/>
        </w:rPr>
        <w:t xml:space="preserve">, </w:t>
      </w:r>
      <w:r w:rsidRPr="00203A9B">
        <w:rPr>
          <w:rFonts w:asciiTheme="majorHAnsi" w:hAnsiTheme="majorHAnsi"/>
          <w:sz w:val="16"/>
          <w:szCs w:val="16"/>
        </w:rPr>
        <w:t>Merits, Reparations and Costs</w:t>
      </w:r>
      <w:r w:rsidRPr="00875A0D">
        <w:rPr>
          <w:rFonts w:asciiTheme="majorHAnsi" w:hAnsiTheme="majorHAnsi"/>
          <w:sz w:val="16"/>
          <w:szCs w:val="16"/>
        </w:rPr>
        <w:t>.</w:t>
      </w:r>
      <w:proofErr w:type="gramEnd"/>
      <w:r w:rsidRPr="00875A0D">
        <w:rPr>
          <w:rFonts w:asciiTheme="majorHAnsi" w:hAnsiTheme="majorHAnsi"/>
          <w:sz w:val="16"/>
          <w:szCs w:val="16"/>
        </w:rPr>
        <w:t xml:space="preserve"> </w:t>
      </w:r>
      <w:r w:rsidRPr="00203A9B">
        <w:rPr>
          <w:rFonts w:asciiTheme="majorHAnsi" w:hAnsiTheme="majorHAnsi"/>
          <w:sz w:val="16"/>
          <w:szCs w:val="16"/>
        </w:rPr>
        <w:t xml:space="preserve">Judgment </w:t>
      </w:r>
      <w:proofErr w:type="gramStart"/>
      <w:r w:rsidRPr="00203A9B">
        <w:rPr>
          <w:rFonts w:asciiTheme="majorHAnsi" w:hAnsiTheme="majorHAnsi"/>
          <w:sz w:val="16"/>
          <w:szCs w:val="16"/>
        </w:rPr>
        <w:t>of</w:t>
      </w:r>
      <w:r w:rsidRPr="00875A0D">
        <w:rPr>
          <w:rFonts w:asciiTheme="majorHAnsi" w:hAnsiTheme="majorHAnsi"/>
          <w:sz w:val="16"/>
          <w:szCs w:val="16"/>
        </w:rPr>
        <w:t xml:space="preserve">  </w:t>
      </w:r>
      <w:r>
        <w:rPr>
          <w:rFonts w:asciiTheme="majorHAnsi" w:hAnsiTheme="majorHAnsi"/>
          <w:sz w:val="16"/>
          <w:szCs w:val="16"/>
        </w:rPr>
        <w:t>October</w:t>
      </w:r>
      <w:proofErr w:type="gramEnd"/>
      <w:r>
        <w:rPr>
          <w:rFonts w:asciiTheme="majorHAnsi" w:hAnsiTheme="majorHAnsi"/>
          <w:sz w:val="16"/>
          <w:szCs w:val="16"/>
        </w:rPr>
        <w:t xml:space="preserve"> </w:t>
      </w:r>
      <w:r w:rsidRPr="00875A0D">
        <w:rPr>
          <w:rFonts w:asciiTheme="majorHAnsi" w:hAnsiTheme="majorHAnsi"/>
          <w:sz w:val="16"/>
          <w:szCs w:val="16"/>
        </w:rPr>
        <w:t>5</w:t>
      </w:r>
      <w:r>
        <w:rPr>
          <w:rFonts w:asciiTheme="majorHAnsi" w:hAnsiTheme="majorHAnsi"/>
          <w:sz w:val="16"/>
          <w:szCs w:val="16"/>
        </w:rPr>
        <w:t>,</w:t>
      </w:r>
      <w:r w:rsidRPr="00875A0D">
        <w:rPr>
          <w:rFonts w:asciiTheme="majorHAnsi" w:hAnsiTheme="majorHAnsi"/>
          <w:sz w:val="16"/>
          <w:szCs w:val="16"/>
        </w:rPr>
        <w:t xml:space="preserve"> 2015. </w:t>
      </w:r>
      <w:r w:rsidRPr="00203A9B">
        <w:rPr>
          <w:rFonts w:asciiTheme="majorHAnsi" w:hAnsiTheme="majorHAnsi"/>
          <w:sz w:val="16"/>
          <w:szCs w:val="16"/>
        </w:rPr>
        <w:t>Series C</w:t>
      </w:r>
      <w:r w:rsidRPr="00875A0D">
        <w:rPr>
          <w:rFonts w:asciiTheme="majorHAnsi" w:hAnsiTheme="majorHAnsi"/>
          <w:sz w:val="16"/>
          <w:szCs w:val="16"/>
        </w:rPr>
        <w:t xml:space="preserve"> No. 302, </w:t>
      </w:r>
      <w:r>
        <w:rPr>
          <w:rFonts w:asciiTheme="majorHAnsi" w:hAnsiTheme="majorHAnsi"/>
          <w:sz w:val="16"/>
          <w:szCs w:val="16"/>
        </w:rPr>
        <w:t>para.</w:t>
      </w:r>
      <w:r w:rsidRPr="00875A0D">
        <w:rPr>
          <w:rFonts w:asciiTheme="majorHAnsi" w:hAnsiTheme="majorHAnsi"/>
          <w:sz w:val="16"/>
          <w:szCs w:val="16"/>
        </w:rPr>
        <w:t xml:space="preserve"> 259.</w:t>
      </w:r>
    </w:p>
  </w:footnote>
  <w:footnote w:id="35">
    <w:p w14:paraId="46C998A2" w14:textId="77777777" w:rsidR="00D02D3C" w:rsidRPr="00875A0D" w:rsidRDefault="00D02D3C" w:rsidP="00D02D3C">
      <w:pPr>
        <w:pStyle w:val="FootnoteText"/>
        <w:rPr>
          <w:rFonts w:asciiTheme="majorHAnsi" w:hAnsiTheme="majorHAnsi"/>
          <w:sz w:val="16"/>
          <w:szCs w:val="16"/>
        </w:rPr>
      </w:pPr>
      <w:r w:rsidRPr="00875A0D">
        <w:rPr>
          <w:rStyle w:val="FootnoteReference"/>
          <w:rFonts w:asciiTheme="majorHAnsi" w:hAnsiTheme="majorHAnsi"/>
          <w:sz w:val="16"/>
          <w:szCs w:val="16"/>
        </w:rPr>
        <w:footnoteRef/>
      </w:r>
      <w:r w:rsidRPr="00875A0D">
        <w:rPr>
          <w:rFonts w:asciiTheme="majorHAnsi" w:hAnsiTheme="majorHAnsi"/>
          <w:sz w:val="16"/>
          <w:szCs w:val="16"/>
        </w:rPr>
        <w:t xml:space="preserve"> </w:t>
      </w:r>
      <w:proofErr w:type="gramStart"/>
      <w:r>
        <w:rPr>
          <w:rFonts w:asciiTheme="majorHAnsi" w:hAnsiTheme="majorHAnsi"/>
          <w:sz w:val="16"/>
          <w:szCs w:val="16"/>
        </w:rPr>
        <w:t>I/A Court HR</w:t>
      </w:r>
      <w:r w:rsidRPr="00875A0D">
        <w:rPr>
          <w:rFonts w:asciiTheme="majorHAnsi" w:hAnsiTheme="majorHAnsi"/>
          <w:sz w:val="16"/>
          <w:szCs w:val="16"/>
        </w:rPr>
        <w:t xml:space="preserve">. </w:t>
      </w:r>
      <w:r>
        <w:rPr>
          <w:rFonts w:asciiTheme="majorHAnsi" w:hAnsiTheme="majorHAnsi"/>
          <w:sz w:val="16"/>
          <w:szCs w:val="16"/>
        </w:rPr>
        <w:t>Case of</w:t>
      </w:r>
      <w:r w:rsidRPr="00875A0D">
        <w:rPr>
          <w:rFonts w:asciiTheme="majorHAnsi" w:hAnsiTheme="majorHAnsi"/>
          <w:sz w:val="16"/>
          <w:szCs w:val="16"/>
        </w:rPr>
        <w:t xml:space="preserve"> </w:t>
      </w:r>
      <w:proofErr w:type="spellStart"/>
      <w:r w:rsidRPr="00875A0D">
        <w:rPr>
          <w:rFonts w:asciiTheme="majorHAnsi" w:hAnsiTheme="majorHAnsi"/>
          <w:sz w:val="16"/>
          <w:szCs w:val="16"/>
        </w:rPr>
        <w:t>Apitz</w:t>
      </w:r>
      <w:proofErr w:type="spellEnd"/>
      <w:r w:rsidRPr="00875A0D">
        <w:rPr>
          <w:rFonts w:asciiTheme="majorHAnsi" w:hAnsiTheme="majorHAnsi"/>
          <w:sz w:val="16"/>
          <w:szCs w:val="16"/>
        </w:rPr>
        <w:t xml:space="preserve"> </w:t>
      </w:r>
      <w:proofErr w:type="spellStart"/>
      <w:r w:rsidRPr="00875A0D">
        <w:rPr>
          <w:rFonts w:asciiTheme="majorHAnsi" w:hAnsiTheme="majorHAnsi"/>
          <w:sz w:val="16"/>
          <w:szCs w:val="16"/>
        </w:rPr>
        <w:t>Barbera</w:t>
      </w:r>
      <w:proofErr w:type="spellEnd"/>
      <w:r w:rsidRPr="00875A0D">
        <w:rPr>
          <w:rFonts w:asciiTheme="majorHAnsi" w:hAnsiTheme="majorHAnsi"/>
          <w:sz w:val="16"/>
          <w:szCs w:val="16"/>
        </w:rPr>
        <w:t xml:space="preserve"> </w:t>
      </w:r>
      <w:r w:rsidRPr="00374B13">
        <w:rPr>
          <w:rFonts w:asciiTheme="majorHAnsi" w:hAnsiTheme="majorHAnsi"/>
          <w:i/>
          <w:iCs/>
          <w:sz w:val="16"/>
          <w:szCs w:val="16"/>
        </w:rPr>
        <w:t>et al</w:t>
      </w:r>
      <w:r>
        <w:rPr>
          <w:rFonts w:asciiTheme="majorHAnsi" w:hAnsiTheme="majorHAnsi"/>
          <w:sz w:val="16"/>
          <w:szCs w:val="16"/>
        </w:rPr>
        <w:t xml:space="preserve">. </w:t>
      </w:r>
      <w:r w:rsidRPr="00875A0D">
        <w:rPr>
          <w:rFonts w:asciiTheme="majorHAnsi" w:hAnsiTheme="majorHAnsi"/>
          <w:sz w:val="16"/>
          <w:szCs w:val="16"/>
        </w:rPr>
        <w:t>(“</w:t>
      </w:r>
      <w:r>
        <w:rPr>
          <w:rFonts w:asciiTheme="majorHAnsi" w:hAnsiTheme="majorHAnsi"/>
          <w:sz w:val="16"/>
          <w:szCs w:val="16"/>
        </w:rPr>
        <w:t xml:space="preserve">First Court of Administrative Disputes”) </w:t>
      </w:r>
      <w:r w:rsidRPr="00875A0D">
        <w:rPr>
          <w:rFonts w:asciiTheme="majorHAnsi" w:hAnsiTheme="majorHAnsi"/>
          <w:sz w:val="16"/>
          <w:szCs w:val="16"/>
        </w:rPr>
        <w:t>vs. Venezuela.</w:t>
      </w:r>
      <w:proofErr w:type="gramEnd"/>
      <w:r w:rsidRPr="00875A0D">
        <w:rPr>
          <w:rFonts w:asciiTheme="majorHAnsi" w:hAnsiTheme="majorHAnsi"/>
          <w:sz w:val="16"/>
          <w:szCs w:val="16"/>
        </w:rPr>
        <w:t xml:space="preserve"> </w:t>
      </w:r>
      <w:proofErr w:type="gramStart"/>
      <w:r w:rsidRPr="00D02E8B">
        <w:rPr>
          <w:rFonts w:asciiTheme="majorHAnsi" w:hAnsiTheme="majorHAnsi"/>
          <w:sz w:val="16"/>
          <w:szCs w:val="16"/>
        </w:rPr>
        <w:t>Preliminary Objection</w:t>
      </w:r>
      <w:r w:rsidRPr="00875A0D">
        <w:rPr>
          <w:rFonts w:asciiTheme="majorHAnsi" w:hAnsiTheme="majorHAnsi"/>
          <w:sz w:val="16"/>
          <w:szCs w:val="16"/>
        </w:rPr>
        <w:t xml:space="preserve">, </w:t>
      </w:r>
      <w:r w:rsidRPr="00203A9B">
        <w:rPr>
          <w:rFonts w:asciiTheme="majorHAnsi" w:hAnsiTheme="majorHAnsi"/>
          <w:sz w:val="16"/>
          <w:szCs w:val="16"/>
        </w:rPr>
        <w:t>Merits, Reparations and Costs</w:t>
      </w:r>
      <w:r w:rsidRPr="00875A0D">
        <w:rPr>
          <w:rFonts w:asciiTheme="majorHAnsi" w:hAnsiTheme="majorHAnsi"/>
          <w:sz w:val="16"/>
          <w:szCs w:val="16"/>
        </w:rPr>
        <w:t>.</w:t>
      </w:r>
      <w:proofErr w:type="gramEnd"/>
      <w:r w:rsidRPr="00875A0D">
        <w:rPr>
          <w:rFonts w:asciiTheme="majorHAnsi" w:hAnsiTheme="majorHAnsi"/>
          <w:sz w:val="16"/>
          <w:szCs w:val="16"/>
        </w:rPr>
        <w:t xml:space="preserve"> </w:t>
      </w:r>
      <w:proofErr w:type="gramStart"/>
      <w:r w:rsidRPr="00203A9B">
        <w:rPr>
          <w:rFonts w:asciiTheme="majorHAnsi" w:hAnsiTheme="majorHAnsi"/>
          <w:sz w:val="16"/>
          <w:szCs w:val="16"/>
        </w:rPr>
        <w:t>Judgment of</w:t>
      </w:r>
      <w:r w:rsidRPr="00875A0D">
        <w:rPr>
          <w:rFonts w:asciiTheme="majorHAnsi" w:hAnsiTheme="majorHAnsi"/>
          <w:sz w:val="16"/>
          <w:szCs w:val="16"/>
        </w:rPr>
        <w:t xml:space="preserve"> </w:t>
      </w:r>
      <w:r>
        <w:rPr>
          <w:rFonts w:asciiTheme="majorHAnsi" w:hAnsiTheme="majorHAnsi"/>
          <w:sz w:val="16"/>
          <w:szCs w:val="16"/>
        </w:rPr>
        <w:t xml:space="preserve">August </w:t>
      </w:r>
      <w:r w:rsidRPr="00875A0D">
        <w:rPr>
          <w:rFonts w:asciiTheme="majorHAnsi" w:hAnsiTheme="majorHAnsi"/>
          <w:sz w:val="16"/>
          <w:szCs w:val="16"/>
        </w:rPr>
        <w:t>5</w:t>
      </w:r>
      <w:r>
        <w:rPr>
          <w:rFonts w:asciiTheme="majorHAnsi" w:hAnsiTheme="majorHAnsi"/>
          <w:sz w:val="16"/>
          <w:szCs w:val="16"/>
        </w:rPr>
        <w:t>,</w:t>
      </w:r>
      <w:r w:rsidRPr="00875A0D">
        <w:rPr>
          <w:rFonts w:asciiTheme="majorHAnsi" w:hAnsiTheme="majorHAnsi"/>
          <w:sz w:val="16"/>
          <w:szCs w:val="16"/>
        </w:rPr>
        <w:t xml:space="preserve"> 2008, </w:t>
      </w:r>
      <w:r w:rsidRPr="00203A9B">
        <w:rPr>
          <w:rFonts w:asciiTheme="majorHAnsi" w:hAnsiTheme="majorHAnsi"/>
          <w:sz w:val="16"/>
          <w:szCs w:val="16"/>
        </w:rPr>
        <w:t>Series C</w:t>
      </w:r>
      <w:r w:rsidRPr="00875A0D">
        <w:rPr>
          <w:rFonts w:asciiTheme="majorHAnsi" w:hAnsiTheme="majorHAnsi"/>
          <w:sz w:val="16"/>
          <w:szCs w:val="16"/>
        </w:rPr>
        <w:t xml:space="preserve"> No.182, </w:t>
      </w:r>
      <w:r>
        <w:rPr>
          <w:rFonts w:asciiTheme="majorHAnsi" w:hAnsiTheme="majorHAnsi"/>
          <w:sz w:val="16"/>
          <w:szCs w:val="16"/>
        </w:rPr>
        <w:t>para.</w:t>
      </w:r>
      <w:proofErr w:type="gramEnd"/>
      <w:r>
        <w:rPr>
          <w:rFonts w:asciiTheme="majorHAnsi" w:hAnsiTheme="majorHAnsi"/>
          <w:sz w:val="16"/>
          <w:szCs w:val="16"/>
        </w:rPr>
        <w:t xml:space="preserve"> </w:t>
      </w:r>
      <w:r w:rsidRPr="00875A0D">
        <w:rPr>
          <w:rFonts w:asciiTheme="majorHAnsi" w:hAnsiTheme="majorHAnsi"/>
          <w:sz w:val="16"/>
          <w:szCs w:val="16"/>
        </w:rPr>
        <w:t>43.</w:t>
      </w:r>
    </w:p>
  </w:footnote>
  <w:footnote w:id="36">
    <w:p w14:paraId="3EF14CED" w14:textId="77777777" w:rsidR="00D02D3C" w:rsidRPr="00875A0D" w:rsidRDefault="00D02D3C" w:rsidP="00D02D3C">
      <w:pPr>
        <w:pStyle w:val="FootnoteText"/>
        <w:rPr>
          <w:rFonts w:asciiTheme="majorHAnsi" w:hAnsiTheme="majorHAnsi"/>
          <w:sz w:val="16"/>
          <w:szCs w:val="16"/>
        </w:rPr>
      </w:pPr>
      <w:r w:rsidRPr="00875A0D">
        <w:rPr>
          <w:rStyle w:val="FootnoteReference"/>
          <w:rFonts w:asciiTheme="majorHAnsi" w:hAnsiTheme="majorHAnsi"/>
          <w:sz w:val="16"/>
          <w:szCs w:val="16"/>
        </w:rPr>
        <w:footnoteRef/>
      </w:r>
      <w:r w:rsidRPr="00875A0D">
        <w:rPr>
          <w:rFonts w:asciiTheme="majorHAnsi" w:hAnsiTheme="majorHAnsi"/>
          <w:sz w:val="16"/>
          <w:szCs w:val="16"/>
        </w:rPr>
        <w:t xml:space="preserve"> </w:t>
      </w:r>
      <w:r>
        <w:rPr>
          <w:rFonts w:asciiTheme="majorHAnsi" w:hAnsiTheme="majorHAnsi"/>
          <w:sz w:val="16"/>
          <w:szCs w:val="16"/>
        </w:rPr>
        <w:t>IACHR</w:t>
      </w:r>
      <w:r w:rsidRPr="00875A0D">
        <w:rPr>
          <w:rFonts w:asciiTheme="majorHAnsi" w:hAnsiTheme="majorHAnsi"/>
          <w:sz w:val="16"/>
          <w:szCs w:val="16"/>
        </w:rPr>
        <w:t xml:space="preserve">, </w:t>
      </w:r>
      <w:r>
        <w:rPr>
          <w:rFonts w:asciiTheme="majorHAnsi" w:hAnsiTheme="majorHAnsi"/>
          <w:sz w:val="16"/>
          <w:szCs w:val="16"/>
        </w:rPr>
        <w:t xml:space="preserve">Application before the Inter-American Court of Human Rights in the case of </w:t>
      </w:r>
      <w:r w:rsidRPr="00875A0D">
        <w:rPr>
          <w:rFonts w:asciiTheme="majorHAnsi" w:hAnsiTheme="majorHAnsi"/>
          <w:sz w:val="16"/>
          <w:szCs w:val="16"/>
        </w:rPr>
        <w:t xml:space="preserve">Mercedes </w:t>
      </w:r>
      <w:proofErr w:type="spellStart"/>
      <w:r w:rsidRPr="00875A0D">
        <w:rPr>
          <w:rFonts w:asciiTheme="majorHAnsi" w:hAnsiTheme="majorHAnsi"/>
          <w:sz w:val="16"/>
          <w:szCs w:val="16"/>
        </w:rPr>
        <w:t>Chocrón</w:t>
      </w:r>
      <w:proofErr w:type="spellEnd"/>
      <w:r w:rsidRPr="00875A0D">
        <w:rPr>
          <w:rFonts w:asciiTheme="majorHAnsi" w:hAnsiTheme="majorHAnsi"/>
          <w:sz w:val="16"/>
          <w:szCs w:val="16"/>
        </w:rPr>
        <w:t xml:space="preserve"> </w:t>
      </w:r>
      <w:proofErr w:type="spellStart"/>
      <w:r w:rsidRPr="00875A0D">
        <w:rPr>
          <w:rFonts w:asciiTheme="majorHAnsi" w:hAnsiTheme="majorHAnsi"/>
          <w:sz w:val="16"/>
          <w:szCs w:val="16"/>
        </w:rPr>
        <w:t>Chocrón</w:t>
      </w:r>
      <w:proofErr w:type="spellEnd"/>
      <w:r w:rsidRPr="00875A0D">
        <w:rPr>
          <w:rFonts w:asciiTheme="majorHAnsi" w:hAnsiTheme="majorHAnsi"/>
          <w:sz w:val="16"/>
          <w:szCs w:val="16"/>
        </w:rPr>
        <w:t xml:space="preserve">, </w:t>
      </w:r>
      <w:r>
        <w:rPr>
          <w:rFonts w:asciiTheme="majorHAnsi" w:hAnsiTheme="majorHAnsi"/>
          <w:sz w:val="16"/>
          <w:szCs w:val="16"/>
        </w:rPr>
        <w:t>Case</w:t>
      </w:r>
      <w:r w:rsidRPr="00875A0D">
        <w:rPr>
          <w:rFonts w:asciiTheme="majorHAnsi" w:hAnsiTheme="majorHAnsi"/>
          <w:sz w:val="16"/>
          <w:szCs w:val="16"/>
        </w:rPr>
        <w:t xml:space="preserve"> 12</w:t>
      </w:r>
      <w:r>
        <w:rPr>
          <w:rFonts w:asciiTheme="majorHAnsi" w:hAnsiTheme="majorHAnsi"/>
          <w:sz w:val="16"/>
          <w:szCs w:val="16"/>
        </w:rPr>
        <w:t>,</w:t>
      </w:r>
      <w:r w:rsidRPr="00875A0D">
        <w:rPr>
          <w:rFonts w:asciiTheme="majorHAnsi" w:hAnsiTheme="majorHAnsi"/>
          <w:sz w:val="16"/>
          <w:szCs w:val="16"/>
        </w:rPr>
        <w:t xml:space="preserve">556, </w:t>
      </w:r>
      <w:r>
        <w:rPr>
          <w:rFonts w:asciiTheme="majorHAnsi" w:hAnsiTheme="majorHAnsi"/>
          <w:sz w:val="16"/>
          <w:szCs w:val="16"/>
        </w:rPr>
        <w:t xml:space="preserve">para. </w:t>
      </w:r>
      <w:r w:rsidRPr="00875A0D">
        <w:rPr>
          <w:rFonts w:asciiTheme="majorHAnsi" w:hAnsiTheme="majorHAnsi"/>
          <w:sz w:val="16"/>
          <w:szCs w:val="16"/>
        </w:rPr>
        <w:t>78.</w:t>
      </w:r>
    </w:p>
  </w:footnote>
  <w:footnote w:id="37">
    <w:p w14:paraId="4A210447" w14:textId="77777777" w:rsidR="00D02D3C" w:rsidRPr="00875A0D" w:rsidRDefault="00D02D3C" w:rsidP="00D02D3C">
      <w:pPr>
        <w:pStyle w:val="FootnoteText"/>
        <w:rPr>
          <w:rFonts w:asciiTheme="majorHAnsi" w:hAnsiTheme="majorHAnsi"/>
          <w:sz w:val="16"/>
          <w:szCs w:val="16"/>
        </w:rPr>
      </w:pPr>
      <w:r w:rsidRPr="00875A0D">
        <w:rPr>
          <w:rStyle w:val="FootnoteReference"/>
          <w:rFonts w:asciiTheme="majorHAnsi" w:hAnsiTheme="majorHAnsi"/>
          <w:sz w:val="16"/>
          <w:szCs w:val="16"/>
        </w:rPr>
        <w:footnoteRef/>
      </w:r>
      <w:r w:rsidRPr="00875A0D">
        <w:rPr>
          <w:rFonts w:asciiTheme="majorHAnsi" w:hAnsiTheme="majorHAnsi"/>
          <w:sz w:val="16"/>
          <w:szCs w:val="16"/>
        </w:rPr>
        <w:t xml:space="preserve"> </w:t>
      </w:r>
      <w:r>
        <w:rPr>
          <w:rFonts w:asciiTheme="majorHAnsi" w:hAnsiTheme="majorHAnsi"/>
          <w:sz w:val="16"/>
          <w:szCs w:val="16"/>
        </w:rPr>
        <w:t>IACHR</w:t>
      </w:r>
      <w:r w:rsidRPr="00875A0D">
        <w:rPr>
          <w:rFonts w:asciiTheme="majorHAnsi" w:hAnsiTheme="majorHAnsi"/>
          <w:sz w:val="16"/>
          <w:szCs w:val="16"/>
        </w:rPr>
        <w:t xml:space="preserve">, </w:t>
      </w:r>
      <w:r>
        <w:rPr>
          <w:rFonts w:asciiTheme="majorHAnsi" w:hAnsiTheme="majorHAnsi"/>
          <w:sz w:val="16"/>
          <w:szCs w:val="16"/>
        </w:rPr>
        <w:t xml:space="preserve">Second Report on the Situation of Human Rights in Peru, </w:t>
      </w:r>
      <w:r w:rsidRPr="00875A0D">
        <w:rPr>
          <w:rFonts w:asciiTheme="majorHAnsi" w:hAnsiTheme="majorHAnsi"/>
          <w:sz w:val="16"/>
          <w:szCs w:val="16"/>
        </w:rPr>
        <w:t>C</w:t>
      </w:r>
      <w:r>
        <w:rPr>
          <w:rFonts w:asciiTheme="majorHAnsi" w:hAnsiTheme="majorHAnsi"/>
          <w:sz w:val="16"/>
          <w:szCs w:val="16"/>
        </w:rPr>
        <w:t xml:space="preserve">hapter </w:t>
      </w:r>
      <w:r w:rsidRPr="00875A0D">
        <w:rPr>
          <w:rFonts w:asciiTheme="majorHAnsi" w:hAnsiTheme="majorHAnsi"/>
          <w:sz w:val="16"/>
          <w:szCs w:val="16"/>
        </w:rPr>
        <w:t>II, Administra</w:t>
      </w:r>
      <w:r>
        <w:rPr>
          <w:rFonts w:asciiTheme="majorHAnsi" w:hAnsiTheme="majorHAnsi"/>
          <w:sz w:val="16"/>
          <w:szCs w:val="16"/>
        </w:rPr>
        <w:t xml:space="preserve">tion of Justice and Rule of Law, </w:t>
      </w:r>
      <w:r w:rsidRPr="00875A0D">
        <w:rPr>
          <w:rFonts w:asciiTheme="majorHAnsi" w:hAnsiTheme="majorHAnsi"/>
          <w:sz w:val="16"/>
          <w:szCs w:val="16"/>
        </w:rPr>
        <w:t>OEA/</w:t>
      </w:r>
      <w:proofErr w:type="spellStart"/>
      <w:r w:rsidRPr="00875A0D">
        <w:rPr>
          <w:rFonts w:asciiTheme="majorHAnsi" w:hAnsiTheme="majorHAnsi"/>
          <w:sz w:val="16"/>
          <w:szCs w:val="16"/>
        </w:rPr>
        <w:t>Ser.L</w:t>
      </w:r>
      <w:proofErr w:type="spellEnd"/>
      <w:r w:rsidRPr="00875A0D">
        <w:rPr>
          <w:rFonts w:asciiTheme="majorHAnsi" w:hAnsiTheme="majorHAnsi"/>
          <w:sz w:val="16"/>
          <w:szCs w:val="16"/>
        </w:rPr>
        <w:t>/V/II.106 Doc. 59 rev</w:t>
      </w:r>
      <w:r>
        <w:rPr>
          <w:rFonts w:asciiTheme="majorHAnsi" w:hAnsiTheme="majorHAnsi"/>
          <w:sz w:val="16"/>
          <w:szCs w:val="16"/>
        </w:rPr>
        <w:t>.</w:t>
      </w:r>
      <w:r w:rsidRPr="00875A0D">
        <w:rPr>
          <w:rFonts w:asciiTheme="majorHAnsi" w:hAnsiTheme="majorHAnsi"/>
          <w:sz w:val="16"/>
          <w:szCs w:val="16"/>
        </w:rPr>
        <w:t xml:space="preserve">, </w:t>
      </w:r>
      <w:r>
        <w:rPr>
          <w:rFonts w:asciiTheme="majorHAnsi" w:hAnsiTheme="majorHAnsi"/>
          <w:sz w:val="16"/>
          <w:szCs w:val="16"/>
        </w:rPr>
        <w:t xml:space="preserve">June </w:t>
      </w:r>
      <w:r w:rsidRPr="00875A0D">
        <w:rPr>
          <w:rFonts w:asciiTheme="majorHAnsi" w:hAnsiTheme="majorHAnsi"/>
          <w:sz w:val="16"/>
          <w:szCs w:val="16"/>
        </w:rPr>
        <w:t>2</w:t>
      </w:r>
      <w:r>
        <w:rPr>
          <w:rFonts w:asciiTheme="majorHAnsi" w:hAnsiTheme="majorHAnsi"/>
          <w:sz w:val="16"/>
          <w:szCs w:val="16"/>
        </w:rPr>
        <w:t>,</w:t>
      </w:r>
      <w:r w:rsidRPr="00875A0D">
        <w:rPr>
          <w:rFonts w:asciiTheme="majorHAnsi" w:hAnsiTheme="majorHAnsi"/>
          <w:sz w:val="16"/>
          <w:szCs w:val="16"/>
        </w:rPr>
        <w:t xml:space="preserve"> 2000, </w:t>
      </w:r>
      <w:r>
        <w:rPr>
          <w:rFonts w:asciiTheme="majorHAnsi" w:hAnsiTheme="majorHAnsi"/>
          <w:sz w:val="16"/>
          <w:szCs w:val="16"/>
        </w:rPr>
        <w:t xml:space="preserve">para. </w:t>
      </w:r>
      <w:r w:rsidRPr="00875A0D">
        <w:rPr>
          <w:rFonts w:asciiTheme="majorHAnsi" w:hAnsiTheme="majorHAnsi"/>
          <w:sz w:val="16"/>
          <w:szCs w:val="16"/>
        </w:rPr>
        <w:t>15.</w:t>
      </w:r>
    </w:p>
  </w:footnote>
  <w:footnote w:id="38">
    <w:p w14:paraId="6FADEC03" w14:textId="2082BDA0" w:rsidR="00D02D3C" w:rsidRPr="00875A0D" w:rsidRDefault="00D02D3C" w:rsidP="00D02D3C">
      <w:pPr>
        <w:pStyle w:val="FootnoteText"/>
        <w:rPr>
          <w:rFonts w:asciiTheme="majorHAnsi" w:hAnsiTheme="majorHAnsi"/>
          <w:sz w:val="16"/>
          <w:szCs w:val="16"/>
        </w:rPr>
      </w:pPr>
      <w:r w:rsidRPr="00875A0D">
        <w:rPr>
          <w:rStyle w:val="FootnoteReference"/>
          <w:rFonts w:asciiTheme="majorHAnsi" w:hAnsiTheme="majorHAnsi"/>
          <w:sz w:val="16"/>
          <w:szCs w:val="16"/>
        </w:rPr>
        <w:footnoteRef/>
      </w:r>
      <w:r w:rsidRPr="00875A0D">
        <w:rPr>
          <w:rFonts w:asciiTheme="majorHAnsi" w:hAnsiTheme="majorHAnsi"/>
          <w:sz w:val="16"/>
          <w:szCs w:val="16"/>
        </w:rPr>
        <w:t xml:space="preserve"> </w:t>
      </w:r>
      <w:r>
        <w:rPr>
          <w:rFonts w:asciiTheme="majorHAnsi" w:hAnsiTheme="majorHAnsi"/>
          <w:sz w:val="16"/>
          <w:szCs w:val="16"/>
        </w:rPr>
        <w:t>See, for example, IACHR</w:t>
      </w:r>
      <w:r w:rsidR="009F3BBE" w:rsidRPr="00875A0D">
        <w:rPr>
          <w:rFonts w:asciiTheme="majorHAnsi" w:hAnsiTheme="majorHAnsi"/>
          <w:sz w:val="16"/>
          <w:szCs w:val="16"/>
        </w:rPr>
        <w:t>, Integral</w:t>
      </w:r>
      <w:r>
        <w:rPr>
          <w:rFonts w:asciiTheme="majorHAnsi" w:hAnsiTheme="majorHAnsi"/>
          <w:sz w:val="16"/>
          <w:szCs w:val="16"/>
        </w:rPr>
        <w:t xml:space="preserve"> Protection Policies for Human Rights Defenders, </w:t>
      </w:r>
      <w:r w:rsidRPr="00875A0D">
        <w:rPr>
          <w:rFonts w:asciiTheme="majorHAnsi" w:hAnsiTheme="majorHAnsi"/>
          <w:sz w:val="16"/>
          <w:szCs w:val="16"/>
        </w:rPr>
        <w:t>OEA/</w:t>
      </w:r>
      <w:proofErr w:type="spellStart"/>
      <w:r w:rsidRPr="00875A0D">
        <w:rPr>
          <w:rFonts w:asciiTheme="majorHAnsi" w:hAnsiTheme="majorHAnsi"/>
          <w:sz w:val="16"/>
          <w:szCs w:val="16"/>
        </w:rPr>
        <w:t>Ser.L</w:t>
      </w:r>
      <w:proofErr w:type="spellEnd"/>
      <w:r w:rsidRPr="00875A0D">
        <w:rPr>
          <w:rFonts w:asciiTheme="majorHAnsi" w:hAnsiTheme="majorHAnsi"/>
          <w:sz w:val="16"/>
          <w:szCs w:val="16"/>
        </w:rPr>
        <w:t xml:space="preserve">/V/II.Doc.207/17, </w:t>
      </w:r>
      <w:r>
        <w:rPr>
          <w:rFonts w:asciiTheme="majorHAnsi" w:hAnsiTheme="majorHAnsi"/>
          <w:sz w:val="16"/>
          <w:szCs w:val="16"/>
        </w:rPr>
        <w:t xml:space="preserve">December </w:t>
      </w:r>
      <w:r w:rsidRPr="00875A0D">
        <w:rPr>
          <w:rFonts w:asciiTheme="majorHAnsi" w:hAnsiTheme="majorHAnsi"/>
          <w:sz w:val="16"/>
          <w:szCs w:val="16"/>
        </w:rPr>
        <w:t>29</w:t>
      </w:r>
      <w:r>
        <w:rPr>
          <w:rFonts w:asciiTheme="majorHAnsi" w:hAnsiTheme="majorHAnsi"/>
          <w:sz w:val="16"/>
          <w:szCs w:val="16"/>
        </w:rPr>
        <w:t>,</w:t>
      </w:r>
      <w:r w:rsidRPr="00875A0D">
        <w:rPr>
          <w:rFonts w:asciiTheme="majorHAnsi" w:hAnsiTheme="majorHAnsi"/>
          <w:sz w:val="16"/>
          <w:szCs w:val="16"/>
        </w:rPr>
        <w:t xml:space="preserve"> 2017, </w:t>
      </w:r>
      <w:r>
        <w:rPr>
          <w:rFonts w:asciiTheme="majorHAnsi" w:hAnsiTheme="majorHAnsi"/>
          <w:sz w:val="16"/>
          <w:szCs w:val="16"/>
        </w:rPr>
        <w:t>para.</w:t>
      </w:r>
      <w:r w:rsidRPr="00875A0D">
        <w:rPr>
          <w:rFonts w:asciiTheme="majorHAnsi" w:hAnsiTheme="majorHAnsi"/>
          <w:sz w:val="16"/>
          <w:szCs w:val="16"/>
        </w:rPr>
        <w:t xml:space="preserve"> 47.</w:t>
      </w:r>
    </w:p>
  </w:footnote>
  <w:footnote w:id="39">
    <w:p w14:paraId="7E440F38" w14:textId="77777777" w:rsidR="00D02D3C" w:rsidRPr="00875A0D" w:rsidRDefault="00D02D3C" w:rsidP="00D02D3C">
      <w:pPr>
        <w:pStyle w:val="FootnoteText"/>
        <w:rPr>
          <w:rFonts w:asciiTheme="majorHAnsi" w:hAnsiTheme="majorHAnsi"/>
          <w:sz w:val="16"/>
          <w:szCs w:val="16"/>
        </w:rPr>
      </w:pPr>
      <w:r w:rsidRPr="00875A0D">
        <w:rPr>
          <w:rStyle w:val="FootnoteReference"/>
          <w:rFonts w:asciiTheme="majorHAnsi" w:hAnsiTheme="majorHAnsi"/>
          <w:sz w:val="16"/>
          <w:szCs w:val="16"/>
        </w:rPr>
        <w:footnoteRef/>
      </w:r>
      <w:r w:rsidRPr="00875A0D">
        <w:rPr>
          <w:rFonts w:asciiTheme="majorHAnsi" w:hAnsiTheme="majorHAnsi"/>
          <w:sz w:val="16"/>
          <w:szCs w:val="16"/>
        </w:rPr>
        <w:t xml:space="preserve">  </w:t>
      </w:r>
      <w:r>
        <w:rPr>
          <w:rFonts w:asciiTheme="majorHAnsi" w:hAnsiTheme="majorHAnsi"/>
          <w:sz w:val="16"/>
          <w:szCs w:val="16"/>
        </w:rPr>
        <w:t xml:space="preserve">United Nations Guidelines on the Role of Prosecutors, adopted by the </w:t>
      </w:r>
      <w:r w:rsidRPr="00FB7438">
        <w:rPr>
          <w:rFonts w:asciiTheme="majorHAnsi" w:hAnsiTheme="majorHAnsi"/>
          <w:sz w:val="16"/>
          <w:szCs w:val="16"/>
        </w:rPr>
        <w:t>Eighth United Nations Congress on the Prevention of Crime and the Treatment of Offenders, Havana, Cuba, 27 August to 7 September 1990</w:t>
      </w:r>
      <w:r>
        <w:rPr>
          <w:rFonts w:asciiTheme="majorHAnsi" w:hAnsiTheme="majorHAnsi"/>
          <w:sz w:val="16"/>
          <w:szCs w:val="16"/>
        </w:rPr>
        <w:t xml:space="preserve">. </w:t>
      </w:r>
    </w:p>
  </w:footnote>
  <w:footnote w:id="40">
    <w:p w14:paraId="1408D959" w14:textId="77777777" w:rsidR="00D02D3C" w:rsidRPr="00875A0D" w:rsidRDefault="00D02D3C" w:rsidP="00D02D3C">
      <w:pPr>
        <w:pStyle w:val="FootnoteText"/>
        <w:rPr>
          <w:rFonts w:asciiTheme="majorHAnsi" w:hAnsiTheme="majorHAnsi"/>
          <w:sz w:val="16"/>
          <w:szCs w:val="16"/>
        </w:rPr>
      </w:pPr>
      <w:r w:rsidRPr="00875A0D">
        <w:rPr>
          <w:rStyle w:val="FootnoteReference"/>
          <w:rFonts w:asciiTheme="majorHAnsi" w:hAnsiTheme="majorHAnsi"/>
          <w:sz w:val="16"/>
          <w:szCs w:val="16"/>
        </w:rPr>
        <w:footnoteRef/>
      </w:r>
      <w:r w:rsidRPr="00875A0D">
        <w:rPr>
          <w:rFonts w:asciiTheme="majorHAnsi" w:hAnsiTheme="majorHAnsi"/>
          <w:sz w:val="16"/>
          <w:szCs w:val="16"/>
        </w:rPr>
        <w:t xml:space="preserve"> </w:t>
      </w:r>
      <w:proofErr w:type="gramStart"/>
      <w:r>
        <w:rPr>
          <w:rFonts w:asciiTheme="majorHAnsi" w:hAnsiTheme="majorHAnsi"/>
          <w:sz w:val="16"/>
          <w:szCs w:val="16"/>
        </w:rPr>
        <w:t>Consultative Council of European Judges and Consultative Council of European Prosecutors.</w:t>
      </w:r>
      <w:proofErr w:type="gramEnd"/>
      <w:r>
        <w:rPr>
          <w:rFonts w:asciiTheme="majorHAnsi" w:hAnsiTheme="majorHAnsi"/>
          <w:sz w:val="16"/>
          <w:szCs w:val="16"/>
        </w:rPr>
        <w:t xml:space="preserve"> Bordeaux Declaration on judges and prosecutors in a democratic society, Strasbourg, December </w:t>
      </w:r>
      <w:r w:rsidRPr="00875A0D">
        <w:rPr>
          <w:rFonts w:asciiTheme="majorHAnsi" w:hAnsiTheme="majorHAnsi"/>
          <w:sz w:val="16"/>
          <w:szCs w:val="16"/>
        </w:rPr>
        <w:t>8</w:t>
      </w:r>
      <w:r>
        <w:rPr>
          <w:rFonts w:asciiTheme="majorHAnsi" w:hAnsiTheme="majorHAnsi"/>
          <w:sz w:val="16"/>
          <w:szCs w:val="16"/>
        </w:rPr>
        <w:t>,</w:t>
      </w:r>
      <w:r w:rsidRPr="00875A0D">
        <w:rPr>
          <w:rFonts w:asciiTheme="majorHAnsi" w:hAnsiTheme="majorHAnsi"/>
          <w:sz w:val="16"/>
          <w:szCs w:val="16"/>
        </w:rPr>
        <w:t xml:space="preserve"> 2009</w:t>
      </w:r>
      <w:proofErr w:type="gramStart"/>
      <w:r w:rsidRPr="00875A0D">
        <w:rPr>
          <w:rFonts w:asciiTheme="majorHAnsi" w:hAnsiTheme="majorHAnsi"/>
          <w:sz w:val="16"/>
          <w:szCs w:val="16"/>
        </w:rPr>
        <w:t xml:space="preserve">,  </w:t>
      </w:r>
      <w:r>
        <w:rPr>
          <w:rFonts w:asciiTheme="majorHAnsi" w:hAnsiTheme="majorHAnsi"/>
          <w:sz w:val="16"/>
          <w:szCs w:val="16"/>
        </w:rPr>
        <w:t>paras</w:t>
      </w:r>
      <w:proofErr w:type="gramEnd"/>
      <w:r>
        <w:rPr>
          <w:rFonts w:asciiTheme="majorHAnsi" w:hAnsiTheme="majorHAnsi"/>
          <w:sz w:val="16"/>
          <w:szCs w:val="16"/>
        </w:rPr>
        <w:t xml:space="preserve">. </w:t>
      </w:r>
      <w:proofErr w:type="gramStart"/>
      <w:r w:rsidRPr="00875A0D">
        <w:rPr>
          <w:rFonts w:asciiTheme="majorHAnsi" w:hAnsiTheme="majorHAnsi"/>
          <w:sz w:val="16"/>
          <w:szCs w:val="16"/>
        </w:rPr>
        <w:t>10, 27</w:t>
      </w:r>
      <w:r>
        <w:rPr>
          <w:rFonts w:asciiTheme="majorHAnsi" w:hAnsiTheme="majorHAnsi"/>
          <w:sz w:val="16"/>
          <w:szCs w:val="16"/>
        </w:rPr>
        <w:t>,</w:t>
      </w:r>
      <w:r w:rsidRPr="00875A0D">
        <w:rPr>
          <w:rFonts w:asciiTheme="majorHAnsi" w:hAnsiTheme="majorHAnsi"/>
          <w:sz w:val="16"/>
          <w:szCs w:val="16"/>
        </w:rPr>
        <w:t xml:space="preserve"> </w:t>
      </w:r>
      <w:r>
        <w:rPr>
          <w:rFonts w:asciiTheme="majorHAnsi" w:hAnsiTheme="majorHAnsi"/>
          <w:sz w:val="16"/>
          <w:szCs w:val="16"/>
        </w:rPr>
        <w:t xml:space="preserve">and </w:t>
      </w:r>
      <w:r w:rsidRPr="00875A0D">
        <w:rPr>
          <w:rFonts w:asciiTheme="majorHAnsi" w:hAnsiTheme="majorHAnsi"/>
          <w:sz w:val="16"/>
          <w:szCs w:val="16"/>
        </w:rPr>
        <w:t>37.</w:t>
      </w:r>
      <w:proofErr w:type="gramEnd"/>
    </w:p>
  </w:footnote>
  <w:footnote w:id="41">
    <w:p w14:paraId="3286E481" w14:textId="77777777" w:rsidR="00D02D3C" w:rsidRPr="00875A0D" w:rsidRDefault="00D02D3C" w:rsidP="00D02D3C">
      <w:pPr>
        <w:pStyle w:val="FootnoteText"/>
        <w:rPr>
          <w:rFonts w:asciiTheme="majorHAnsi" w:hAnsiTheme="majorHAnsi"/>
          <w:sz w:val="16"/>
          <w:szCs w:val="16"/>
        </w:rPr>
      </w:pPr>
      <w:r w:rsidRPr="00875A0D">
        <w:rPr>
          <w:rStyle w:val="FootnoteReference"/>
          <w:rFonts w:asciiTheme="majorHAnsi" w:hAnsiTheme="majorHAnsi"/>
          <w:sz w:val="16"/>
          <w:szCs w:val="16"/>
        </w:rPr>
        <w:footnoteRef/>
      </w:r>
      <w:r w:rsidRPr="00875A0D">
        <w:rPr>
          <w:rFonts w:asciiTheme="majorHAnsi" w:hAnsiTheme="majorHAnsi"/>
          <w:sz w:val="16"/>
          <w:szCs w:val="16"/>
        </w:rPr>
        <w:t xml:space="preserve"> Consultative Council of European Prosecutors, Opinion No. 9 (2014), Rome Charter, </w:t>
      </w:r>
      <w:r>
        <w:rPr>
          <w:rFonts w:asciiTheme="majorHAnsi" w:hAnsiTheme="majorHAnsi"/>
          <w:sz w:val="16"/>
          <w:szCs w:val="16"/>
        </w:rPr>
        <w:t xml:space="preserve">points </w:t>
      </w:r>
      <w:r w:rsidRPr="00875A0D">
        <w:rPr>
          <w:rFonts w:asciiTheme="majorHAnsi" w:hAnsiTheme="majorHAnsi"/>
          <w:sz w:val="16"/>
          <w:szCs w:val="16"/>
        </w:rPr>
        <w:t xml:space="preserve">IV </w:t>
      </w:r>
      <w:r>
        <w:rPr>
          <w:rFonts w:asciiTheme="majorHAnsi" w:hAnsiTheme="majorHAnsi"/>
          <w:sz w:val="16"/>
          <w:szCs w:val="16"/>
        </w:rPr>
        <w:t xml:space="preserve">and </w:t>
      </w:r>
      <w:r w:rsidRPr="00875A0D">
        <w:rPr>
          <w:rFonts w:asciiTheme="majorHAnsi" w:hAnsiTheme="majorHAnsi"/>
          <w:sz w:val="16"/>
          <w:szCs w:val="16"/>
        </w:rPr>
        <w:t>V.</w:t>
      </w:r>
    </w:p>
  </w:footnote>
  <w:footnote w:id="42">
    <w:p w14:paraId="7BF8F30A" w14:textId="77777777" w:rsidR="00D02D3C" w:rsidRPr="00875A0D" w:rsidRDefault="00D02D3C" w:rsidP="00D02D3C">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jc w:val="both"/>
        <w:rPr>
          <w:rFonts w:asciiTheme="majorHAnsi" w:hAnsiTheme="majorHAnsi"/>
          <w:sz w:val="16"/>
          <w:szCs w:val="16"/>
        </w:rPr>
      </w:pPr>
      <w:r w:rsidRPr="00875A0D">
        <w:rPr>
          <w:rStyle w:val="FootnoteReference"/>
          <w:rFonts w:asciiTheme="majorHAnsi" w:hAnsiTheme="majorHAnsi"/>
          <w:sz w:val="16"/>
          <w:szCs w:val="16"/>
        </w:rPr>
        <w:footnoteRef/>
      </w:r>
      <w:r w:rsidRPr="00875A0D">
        <w:rPr>
          <w:rFonts w:asciiTheme="majorHAnsi" w:hAnsiTheme="majorHAnsi"/>
          <w:sz w:val="16"/>
          <w:szCs w:val="16"/>
        </w:rPr>
        <w:t xml:space="preserve"> </w:t>
      </w:r>
      <w:r>
        <w:rPr>
          <w:rFonts w:asciiTheme="majorHAnsi" w:hAnsiTheme="majorHAnsi"/>
          <w:sz w:val="16"/>
          <w:szCs w:val="16"/>
        </w:rPr>
        <w:t xml:space="preserve">Article </w:t>
      </w:r>
      <w:r w:rsidRPr="00875A0D">
        <w:rPr>
          <w:rFonts w:asciiTheme="majorHAnsi" w:hAnsiTheme="majorHAnsi"/>
          <w:sz w:val="16"/>
          <w:szCs w:val="16"/>
        </w:rPr>
        <w:t>25</w:t>
      </w:r>
      <w:r>
        <w:rPr>
          <w:rFonts w:asciiTheme="majorHAnsi" w:hAnsiTheme="majorHAnsi"/>
          <w:sz w:val="16"/>
          <w:szCs w:val="16"/>
        </w:rPr>
        <w:t>(</w:t>
      </w:r>
      <w:r w:rsidRPr="00875A0D">
        <w:rPr>
          <w:rFonts w:asciiTheme="majorHAnsi" w:hAnsiTheme="majorHAnsi"/>
          <w:sz w:val="16"/>
          <w:szCs w:val="16"/>
        </w:rPr>
        <w:t>1</w:t>
      </w:r>
      <w:r>
        <w:rPr>
          <w:rFonts w:asciiTheme="majorHAnsi" w:hAnsiTheme="majorHAnsi"/>
          <w:sz w:val="16"/>
          <w:szCs w:val="16"/>
        </w:rPr>
        <w:t>) of the Convention stipulates</w:t>
      </w:r>
      <w:r w:rsidRPr="00875A0D">
        <w:rPr>
          <w:rFonts w:asciiTheme="majorHAnsi" w:hAnsiTheme="majorHAnsi"/>
          <w:sz w:val="16"/>
          <w:szCs w:val="16"/>
        </w:rPr>
        <w:t xml:space="preserve">: </w:t>
      </w:r>
      <w:r>
        <w:rPr>
          <w:rFonts w:asciiTheme="majorHAnsi" w:hAnsiTheme="majorHAnsi"/>
          <w:sz w:val="16"/>
          <w:szCs w:val="16"/>
        </w:rPr>
        <w:t>“</w:t>
      </w:r>
      <w:r w:rsidRPr="003157CE">
        <w:rPr>
          <w:rFonts w:asciiTheme="majorHAnsi" w:hAnsiTheme="majorHAnsi"/>
          <w:sz w:val="16"/>
          <w:szCs w:val="16"/>
        </w:rPr>
        <w:t>Everyone has the right to simple and prompt recourse, or any other effective recourse, to a competent court or tribunal for protection against acts that violate his fundamental rights recognized by the constitution or laws of the state concerned or by this Convention, even though such violation may have been committed by persons acting in the course of their official duties</w:t>
      </w:r>
      <w:r w:rsidRPr="00875A0D">
        <w:rPr>
          <w:rFonts w:asciiTheme="majorHAnsi" w:eastAsia="Times New Roman" w:hAnsiTheme="majorHAnsi"/>
          <w:sz w:val="16"/>
          <w:szCs w:val="16"/>
        </w:rPr>
        <w:t>.</w:t>
      </w:r>
      <w:r>
        <w:rPr>
          <w:rFonts w:asciiTheme="majorHAnsi" w:eastAsia="Times New Roman" w:hAnsiTheme="majorHAnsi"/>
          <w:sz w:val="16"/>
          <w:szCs w:val="16"/>
        </w:rPr>
        <w:t>”</w:t>
      </w:r>
    </w:p>
  </w:footnote>
  <w:footnote w:id="43">
    <w:p w14:paraId="1890C018" w14:textId="77777777" w:rsidR="00D02D3C" w:rsidRPr="00875A0D" w:rsidRDefault="00D02D3C" w:rsidP="00D02D3C">
      <w:pPr>
        <w:tabs>
          <w:tab w:val="left" w:pos="180"/>
          <w:tab w:val="left" w:pos="900"/>
          <w:tab w:val="left" w:pos="1080"/>
        </w:tabs>
        <w:jc w:val="both"/>
        <w:rPr>
          <w:rFonts w:asciiTheme="majorHAnsi" w:hAnsiTheme="majorHAnsi"/>
          <w:sz w:val="16"/>
          <w:szCs w:val="16"/>
        </w:rPr>
      </w:pPr>
      <w:r w:rsidRPr="00875A0D">
        <w:rPr>
          <w:rStyle w:val="FootnoteReference"/>
          <w:rFonts w:asciiTheme="majorHAnsi" w:hAnsiTheme="majorHAnsi"/>
          <w:sz w:val="16"/>
          <w:szCs w:val="16"/>
        </w:rPr>
        <w:footnoteRef/>
      </w:r>
      <w:r>
        <w:rPr>
          <w:rFonts w:asciiTheme="majorHAnsi" w:hAnsiTheme="majorHAnsi"/>
          <w:color w:val="000000"/>
          <w:sz w:val="16"/>
          <w:szCs w:val="16"/>
        </w:rPr>
        <w:t>I/A Court HR</w:t>
      </w:r>
      <w:r w:rsidRPr="00875A0D">
        <w:rPr>
          <w:rFonts w:asciiTheme="majorHAnsi" w:hAnsiTheme="majorHAnsi"/>
          <w:color w:val="000000"/>
          <w:sz w:val="16"/>
          <w:szCs w:val="16"/>
        </w:rPr>
        <w:t xml:space="preserve">, </w:t>
      </w:r>
      <w:r>
        <w:rPr>
          <w:rFonts w:asciiTheme="majorHAnsi" w:hAnsiTheme="majorHAnsi"/>
          <w:bCs/>
          <w:color w:val="000000"/>
          <w:sz w:val="16"/>
          <w:szCs w:val="16"/>
        </w:rPr>
        <w:t>Case of</w:t>
      </w:r>
      <w:r w:rsidRPr="00875A0D">
        <w:rPr>
          <w:rFonts w:asciiTheme="majorHAnsi" w:hAnsiTheme="majorHAnsi"/>
          <w:bCs/>
          <w:color w:val="000000"/>
          <w:sz w:val="16"/>
          <w:szCs w:val="16"/>
        </w:rPr>
        <w:t xml:space="preserve"> </w:t>
      </w:r>
      <w:r>
        <w:rPr>
          <w:rFonts w:asciiTheme="majorHAnsi" w:hAnsiTheme="majorHAnsi"/>
          <w:bCs/>
          <w:color w:val="000000"/>
          <w:sz w:val="16"/>
          <w:szCs w:val="16"/>
        </w:rPr>
        <w:t xml:space="preserve">Dismissed Congressional Employees </w:t>
      </w:r>
      <w:r w:rsidRPr="00875A0D">
        <w:rPr>
          <w:rFonts w:asciiTheme="majorHAnsi" w:hAnsiTheme="majorHAnsi"/>
          <w:bCs/>
          <w:color w:val="000000"/>
          <w:sz w:val="16"/>
          <w:szCs w:val="16"/>
        </w:rPr>
        <w:t>(</w:t>
      </w:r>
      <w:proofErr w:type="spellStart"/>
      <w:r w:rsidRPr="00875A0D">
        <w:rPr>
          <w:rFonts w:asciiTheme="majorHAnsi" w:hAnsiTheme="majorHAnsi"/>
          <w:bCs/>
          <w:color w:val="000000"/>
          <w:sz w:val="16"/>
          <w:szCs w:val="16"/>
        </w:rPr>
        <w:t>Aguado</w:t>
      </w:r>
      <w:proofErr w:type="spellEnd"/>
      <w:r w:rsidRPr="00875A0D">
        <w:rPr>
          <w:rFonts w:asciiTheme="majorHAnsi" w:hAnsiTheme="majorHAnsi"/>
          <w:bCs/>
          <w:color w:val="000000"/>
          <w:sz w:val="16"/>
          <w:szCs w:val="16"/>
        </w:rPr>
        <w:t xml:space="preserve"> Alfaro </w:t>
      </w:r>
      <w:r w:rsidRPr="003157CE">
        <w:rPr>
          <w:rFonts w:asciiTheme="majorHAnsi" w:hAnsiTheme="majorHAnsi"/>
          <w:bCs/>
          <w:i/>
          <w:iCs/>
          <w:color w:val="000000"/>
          <w:sz w:val="16"/>
          <w:szCs w:val="16"/>
        </w:rPr>
        <w:t>et al</w:t>
      </w:r>
      <w:r>
        <w:rPr>
          <w:rFonts w:asciiTheme="majorHAnsi" w:hAnsiTheme="majorHAnsi"/>
          <w:bCs/>
          <w:color w:val="000000"/>
          <w:sz w:val="16"/>
          <w:szCs w:val="16"/>
        </w:rPr>
        <w:t>.</w:t>
      </w:r>
      <w:r w:rsidRPr="00875A0D">
        <w:rPr>
          <w:rFonts w:asciiTheme="majorHAnsi" w:hAnsiTheme="majorHAnsi"/>
          <w:bCs/>
          <w:color w:val="000000"/>
          <w:sz w:val="16"/>
          <w:szCs w:val="16"/>
        </w:rPr>
        <w:t xml:space="preserve">). </w:t>
      </w:r>
      <w:r>
        <w:rPr>
          <w:rFonts w:asciiTheme="majorHAnsi" w:hAnsiTheme="majorHAnsi"/>
          <w:bCs/>
          <w:color w:val="000000"/>
          <w:sz w:val="16"/>
          <w:szCs w:val="16"/>
        </w:rPr>
        <w:t>Judgment on Preliminary Objections</w:t>
      </w:r>
      <w:proofErr w:type="gramStart"/>
      <w:r>
        <w:rPr>
          <w:rFonts w:asciiTheme="majorHAnsi" w:hAnsiTheme="majorHAnsi"/>
          <w:bCs/>
          <w:color w:val="000000"/>
          <w:sz w:val="16"/>
          <w:szCs w:val="16"/>
        </w:rPr>
        <w:t xml:space="preserve">, </w:t>
      </w:r>
      <w:r>
        <w:rPr>
          <w:rFonts w:asciiTheme="majorHAnsi" w:hAnsiTheme="majorHAnsi"/>
          <w:color w:val="000000"/>
          <w:sz w:val="16"/>
          <w:szCs w:val="16"/>
        </w:rPr>
        <w:t xml:space="preserve"> </w:t>
      </w:r>
      <w:r w:rsidRPr="00203A9B">
        <w:rPr>
          <w:rFonts w:asciiTheme="majorHAnsi" w:hAnsiTheme="majorHAnsi"/>
          <w:color w:val="000000"/>
          <w:sz w:val="16"/>
          <w:szCs w:val="16"/>
        </w:rPr>
        <w:t>Merits</w:t>
      </w:r>
      <w:proofErr w:type="gramEnd"/>
      <w:r w:rsidRPr="00203A9B">
        <w:rPr>
          <w:rFonts w:asciiTheme="majorHAnsi" w:hAnsiTheme="majorHAnsi"/>
          <w:color w:val="000000"/>
          <w:sz w:val="16"/>
          <w:szCs w:val="16"/>
        </w:rPr>
        <w:t>, Reparations and Costs</w:t>
      </w:r>
      <w:r w:rsidRPr="00875A0D">
        <w:rPr>
          <w:rFonts w:asciiTheme="majorHAnsi" w:hAnsiTheme="majorHAnsi"/>
          <w:color w:val="000000"/>
          <w:sz w:val="16"/>
          <w:szCs w:val="16"/>
        </w:rPr>
        <w:t xml:space="preserve">. </w:t>
      </w:r>
      <w:r w:rsidRPr="00203A9B">
        <w:rPr>
          <w:rFonts w:asciiTheme="majorHAnsi" w:hAnsiTheme="majorHAnsi"/>
          <w:color w:val="000000"/>
          <w:sz w:val="16"/>
          <w:szCs w:val="16"/>
        </w:rPr>
        <w:t>Judgment of</w:t>
      </w:r>
      <w:r w:rsidRPr="00875A0D">
        <w:rPr>
          <w:rFonts w:asciiTheme="majorHAnsi" w:hAnsiTheme="majorHAnsi"/>
          <w:color w:val="000000"/>
          <w:sz w:val="16"/>
          <w:szCs w:val="16"/>
        </w:rPr>
        <w:t xml:space="preserve"> </w:t>
      </w:r>
      <w:r>
        <w:rPr>
          <w:rFonts w:asciiTheme="majorHAnsi" w:hAnsiTheme="majorHAnsi"/>
          <w:color w:val="000000"/>
          <w:sz w:val="16"/>
          <w:szCs w:val="16"/>
        </w:rPr>
        <w:t xml:space="preserve">November </w:t>
      </w:r>
      <w:r w:rsidRPr="00875A0D">
        <w:rPr>
          <w:rFonts w:asciiTheme="majorHAnsi" w:hAnsiTheme="majorHAnsi"/>
          <w:color w:val="000000"/>
          <w:sz w:val="16"/>
          <w:szCs w:val="16"/>
        </w:rPr>
        <w:t>24</w:t>
      </w:r>
      <w:r>
        <w:rPr>
          <w:rFonts w:asciiTheme="majorHAnsi" w:hAnsiTheme="majorHAnsi"/>
          <w:color w:val="000000"/>
          <w:sz w:val="16"/>
          <w:szCs w:val="16"/>
        </w:rPr>
        <w:t>,</w:t>
      </w:r>
      <w:r w:rsidRPr="00875A0D">
        <w:rPr>
          <w:rFonts w:asciiTheme="majorHAnsi" w:hAnsiTheme="majorHAnsi"/>
          <w:color w:val="000000"/>
          <w:sz w:val="16"/>
          <w:szCs w:val="16"/>
        </w:rPr>
        <w:t xml:space="preserve"> 2006. </w:t>
      </w:r>
      <w:r w:rsidRPr="00203A9B">
        <w:rPr>
          <w:rFonts w:asciiTheme="majorHAnsi" w:hAnsiTheme="majorHAnsi"/>
          <w:color w:val="000000"/>
          <w:sz w:val="16"/>
          <w:szCs w:val="16"/>
        </w:rPr>
        <w:t>Series C</w:t>
      </w:r>
      <w:r w:rsidRPr="00875A0D">
        <w:rPr>
          <w:rFonts w:asciiTheme="majorHAnsi" w:hAnsiTheme="majorHAnsi"/>
          <w:color w:val="000000"/>
          <w:sz w:val="16"/>
          <w:szCs w:val="16"/>
        </w:rPr>
        <w:t xml:space="preserve"> No. 158</w:t>
      </w:r>
      <w:r>
        <w:rPr>
          <w:rFonts w:asciiTheme="majorHAnsi" w:hAnsiTheme="majorHAnsi"/>
          <w:color w:val="000000"/>
          <w:sz w:val="16"/>
          <w:szCs w:val="16"/>
        </w:rPr>
        <w:t>, para.</w:t>
      </w:r>
      <w:r w:rsidRPr="00875A0D">
        <w:rPr>
          <w:rFonts w:asciiTheme="majorHAnsi" w:hAnsiTheme="majorHAnsi"/>
          <w:color w:val="000000"/>
          <w:sz w:val="16"/>
          <w:szCs w:val="16"/>
        </w:rPr>
        <w:t xml:space="preserve"> 125; </w:t>
      </w:r>
      <w:r>
        <w:rPr>
          <w:rFonts w:asciiTheme="majorHAnsi" w:hAnsiTheme="majorHAnsi"/>
          <w:color w:val="000000"/>
          <w:sz w:val="16"/>
          <w:szCs w:val="16"/>
        </w:rPr>
        <w:t>I/A Court HR</w:t>
      </w:r>
      <w:r w:rsidRPr="00875A0D">
        <w:rPr>
          <w:rFonts w:asciiTheme="majorHAnsi" w:hAnsiTheme="majorHAnsi"/>
          <w:color w:val="000000"/>
          <w:sz w:val="16"/>
          <w:szCs w:val="16"/>
        </w:rPr>
        <w:t xml:space="preserve">, </w:t>
      </w:r>
      <w:r>
        <w:rPr>
          <w:rFonts w:asciiTheme="majorHAnsi" w:hAnsiTheme="majorHAnsi"/>
          <w:bCs/>
          <w:color w:val="000000"/>
          <w:sz w:val="16"/>
          <w:szCs w:val="16"/>
        </w:rPr>
        <w:t>Case of</w:t>
      </w:r>
      <w:r w:rsidRPr="00875A0D">
        <w:rPr>
          <w:rFonts w:asciiTheme="majorHAnsi" w:hAnsiTheme="majorHAnsi"/>
          <w:bCs/>
          <w:color w:val="000000"/>
          <w:sz w:val="16"/>
          <w:szCs w:val="16"/>
        </w:rPr>
        <w:t xml:space="preserve"> </w:t>
      </w:r>
      <w:proofErr w:type="spellStart"/>
      <w:r w:rsidRPr="00875A0D">
        <w:rPr>
          <w:rFonts w:asciiTheme="majorHAnsi" w:hAnsiTheme="majorHAnsi"/>
          <w:bCs/>
          <w:color w:val="000000"/>
          <w:sz w:val="16"/>
          <w:szCs w:val="16"/>
        </w:rPr>
        <w:t>Yakye</w:t>
      </w:r>
      <w:proofErr w:type="spellEnd"/>
      <w:r w:rsidRPr="00875A0D">
        <w:rPr>
          <w:rFonts w:asciiTheme="majorHAnsi" w:hAnsiTheme="majorHAnsi"/>
          <w:bCs/>
          <w:color w:val="000000"/>
          <w:sz w:val="16"/>
          <w:szCs w:val="16"/>
        </w:rPr>
        <w:t xml:space="preserve"> </w:t>
      </w:r>
      <w:proofErr w:type="spellStart"/>
      <w:r w:rsidRPr="00875A0D">
        <w:rPr>
          <w:rFonts w:asciiTheme="majorHAnsi" w:hAnsiTheme="majorHAnsi"/>
          <w:bCs/>
          <w:color w:val="000000"/>
          <w:sz w:val="16"/>
          <w:szCs w:val="16"/>
        </w:rPr>
        <w:t>Axa</w:t>
      </w:r>
      <w:proofErr w:type="spellEnd"/>
      <w:r>
        <w:rPr>
          <w:rFonts w:asciiTheme="majorHAnsi" w:hAnsiTheme="majorHAnsi"/>
          <w:bCs/>
          <w:color w:val="000000"/>
          <w:sz w:val="16"/>
          <w:szCs w:val="16"/>
        </w:rPr>
        <w:t xml:space="preserve"> Indigenous Community</w:t>
      </w:r>
      <w:r w:rsidRPr="00875A0D">
        <w:rPr>
          <w:rFonts w:asciiTheme="majorHAnsi" w:hAnsiTheme="majorHAnsi"/>
          <w:bCs/>
          <w:color w:val="000000"/>
          <w:sz w:val="16"/>
          <w:szCs w:val="16"/>
        </w:rPr>
        <w:t xml:space="preserve">. </w:t>
      </w:r>
      <w:r>
        <w:rPr>
          <w:rFonts w:asciiTheme="majorHAnsi" w:hAnsiTheme="majorHAnsi"/>
          <w:bCs/>
          <w:color w:val="000000"/>
          <w:sz w:val="16"/>
          <w:szCs w:val="16"/>
        </w:rPr>
        <w:t xml:space="preserve">Judgment of June </w:t>
      </w:r>
      <w:r w:rsidRPr="00875A0D">
        <w:rPr>
          <w:rFonts w:asciiTheme="majorHAnsi" w:hAnsiTheme="majorHAnsi"/>
          <w:color w:val="000000"/>
          <w:sz w:val="16"/>
          <w:szCs w:val="16"/>
        </w:rPr>
        <w:t>17</w:t>
      </w:r>
      <w:r>
        <w:rPr>
          <w:rFonts w:asciiTheme="majorHAnsi" w:hAnsiTheme="majorHAnsi"/>
          <w:color w:val="000000"/>
          <w:sz w:val="16"/>
          <w:szCs w:val="16"/>
        </w:rPr>
        <w:t>,</w:t>
      </w:r>
      <w:r w:rsidRPr="00875A0D">
        <w:rPr>
          <w:rFonts w:asciiTheme="majorHAnsi" w:hAnsiTheme="majorHAnsi"/>
          <w:color w:val="000000"/>
          <w:sz w:val="16"/>
          <w:szCs w:val="16"/>
        </w:rPr>
        <w:t xml:space="preserve"> 2005. </w:t>
      </w:r>
      <w:r w:rsidRPr="00203A9B">
        <w:rPr>
          <w:rFonts w:asciiTheme="majorHAnsi" w:hAnsiTheme="majorHAnsi"/>
          <w:color w:val="000000"/>
          <w:sz w:val="16"/>
          <w:szCs w:val="16"/>
        </w:rPr>
        <w:t>Series C</w:t>
      </w:r>
      <w:r w:rsidRPr="00875A0D">
        <w:rPr>
          <w:rFonts w:asciiTheme="majorHAnsi" w:hAnsiTheme="majorHAnsi"/>
          <w:color w:val="000000"/>
          <w:sz w:val="16"/>
          <w:szCs w:val="16"/>
        </w:rPr>
        <w:t xml:space="preserve"> No. 125</w:t>
      </w:r>
      <w:r>
        <w:rPr>
          <w:rFonts w:asciiTheme="majorHAnsi" w:hAnsiTheme="majorHAnsi"/>
          <w:sz w:val="16"/>
          <w:szCs w:val="16"/>
        </w:rPr>
        <w:t>, para.</w:t>
      </w:r>
      <w:r w:rsidRPr="00875A0D">
        <w:rPr>
          <w:rFonts w:asciiTheme="majorHAnsi" w:hAnsiTheme="majorHAnsi"/>
          <w:sz w:val="16"/>
          <w:szCs w:val="16"/>
        </w:rPr>
        <w:t xml:space="preserve">  61; </w:t>
      </w:r>
      <w:r>
        <w:rPr>
          <w:rFonts w:asciiTheme="majorHAnsi" w:hAnsiTheme="majorHAnsi"/>
          <w:color w:val="000000"/>
          <w:sz w:val="16"/>
          <w:szCs w:val="16"/>
        </w:rPr>
        <w:t>I/A Court HR</w:t>
      </w:r>
      <w:r w:rsidRPr="00875A0D">
        <w:rPr>
          <w:rFonts w:asciiTheme="majorHAnsi" w:hAnsiTheme="majorHAnsi"/>
          <w:color w:val="000000"/>
          <w:sz w:val="16"/>
          <w:szCs w:val="16"/>
        </w:rPr>
        <w:t xml:space="preserve">, </w:t>
      </w:r>
      <w:r>
        <w:rPr>
          <w:rFonts w:asciiTheme="majorHAnsi" w:hAnsiTheme="majorHAnsi"/>
          <w:bCs/>
          <w:color w:val="000000"/>
          <w:sz w:val="16"/>
          <w:szCs w:val="16"/>
        </w:rPr>
        <w:t>Case of</w:t>
      </w:r>
      <w:r w:rsidRPr="00875A0D">
        <w:rPr>
          <w:rFonts w:asciiTheme="majorHAnsi" w:hAnsiTheme="majorHAnsi"/>
          <w:bCs/>
          <w:color w:val="000000"/>
          <w:sz w:val="16"/>
          <w:szCs w:val="16"/>
        </w:rPr>
        <w:t xml:space="preserve"> </w:t>
      </w:r>
      <w:r>
        <w:rPr>
          <w:rFonts w:asciiTheme="majorHAnsi" w:hAnsiTheme="majorHAnsi"/>
          <w:bCs/>
          <w:color w:val="000000"/>
          <w:sz w:val="16"/>
          <w:szCs w:val="16"/>
        </w:rPr>
        <w:t xml:space="preserve">the “Five Pensioners.” </w:t>
      </w:r>
      <w:r w:rsidRPr="00203A9B">
        <w:rPr>
          <w:rFonts w:asciiTheme="majorHAnsi" w:hAnsiTheme="majorHAnsi"/>
          <w:color w:val="000000"/>
          <w:sz w:val="16"/>
          <w:szCs w:val="16"/>
        </w:rPr>
        <w:t>Judgment of</w:t>
      </w:r>
      <w:r w:rsidRPr="00875A0D">
        <w:rPr>
          <w:rFonts w:asciiTheme="majorHAnsi" w:hAnsiTheme="majorHAnsi"/>
          <w:color w:val="000000"/>
          <w:sz w:val="16"/>
          <w:szCs w:val="16"/>
        </w:rPr>
        <w:t xml:space="preserve"> </w:t>
      </w:r>
      <w:r>
        <w:rPr>
          <w:rFonts w:asciiTheme="majorHAnsi" w:hAnsiTheme="majorHAnsi"/>
          <w:color w:val="000000"/>
          <w:sz w:val="16"/>
          <w:szCs w:val="16"/>
        </w:rPr>
        <w:t xml:space="preserve">February </w:t>
      </w:r>
      <w:r w:rsidRPr="00875A0D">
        <w:rPr>
          <w:rFonts w:asciiTheme="majorHAnsi" w:hAnsiTheme="majorHAnsi"/>
          <w:color w:val="000000"/>
          <w:sz w:val="16"/>
          <w:szCs w:val="16"/>
        </w:rPr>
        <w:t>28</w:t>
      </w:r>
      <w:r>
        <w:rPr>
          <w:rFonts w:asciiTheme="majorHAnsi" w:hAnsiTheme="majorHAnsi"/>
          <w:color w:val="000000"/>
          <w:sz w:val="16"/>
          <w:szCs w:val="16"/>
        </w:rPr>
        <w:t>,</w:t>
      </w:r>
      <w:r w:rsidRPr="00875A0D">
        <w:rPr>
          <w:rFonts w:asciiTheme="majorHAnsi" w:hAnsiTheme="majorHAnsi"/>
          <w:color w:val="000000"/>
          <w:sz w:val="16"/>
          <w:szCs w:val="16"/>
        </w:rPr>
        <w:t xml:space="preserve"> 2003. </w:t>
      </w:r>
      <w:r w:rsidRPr="00203A9B">
        <w:rPr>
          <w:rFonts w:asciiTheme="majorHAnsi" w:hAnsiTheme="majorHAnsi"/>
          <w:color w:val="000000"/>
          <w:sz w:val="16"/>
          <w:szCs w:val="16"/>
        </w:rPr>
        <w:t>Series C</w:t>
      </w:r>
      <w:r w:rsidRPr="00875A0D">
        <w:rPr>
          <w:rFonts w:asciiTheme="majorHAnsi" w:hAnsiTheme="majorHAnsi"/>
          <w:color w:val="000000"/>
          <w:sz w:val="16"/>
          <w:szCs w:val="16"/>
        </w:rPr>
        <w:t xml:space="preserve"> No. 98</w:t>
      </w:r>
      <w:r>
        <w:rPr>
          <w:rFonts w:asciiTheme="majorHAnsi" w:hAnsiTheme="majorHAnsi"/>
          <w:sz w:val="16"/>
          <w:szCs w:val="16"/>
        </w:rPr>
        <w:t>,</w:t>
      </w:r>
      <w:r w:rsidRPr="00875A0D">
        <w:rPr>
          <w:rFonts w:asciiTheme="majorHAnsi" w:hAnsiTheme="majorHAnsi"/>
          <w:sz w:val="16"/>
          <w:szCs w:val="16"/>
        </w:rPr>
        <w:t xml:space="preserve"> </w:t>
      </w:r>
      <w:r>
        <w:rPr>
          <w:rFonts w:asciiTheme="majorHAnsi" w:hAnsiTheme="majorHAnsi"/>
          <w:sz w:val="16"/>
          <w:szCs w:val="16"/>
        </w:rPr>
        <w:t>para.</w:t>
      </w:r>
      <w:r w:rsidRPr="00875A0D">
        <w:rPr>
          <w:rFonts w:asciiTheme="majorHAnsi" w:hAnsiTheme="majorHAnsi"/>
          <w:sz w:val="16"/>
          <w:szCs w:val="16"/>
        </w:rPr>
        <w:t xml:space="preserve"> 136.</w:t>
      </w:r>
    </w:p>
  </w:footnote>
  <w:footnote w:id="44">
    <w:p w14:paraId="04261D22" w14:textId="77777777" w:rsidR="00D02D3C" w:rsidRPr="00875A0D" w:rsidRDefault="00D02D3C" w:rsidP="00D02D3C">
      <w:pPr>
        <w:pStyle w:val="FootnoteText"/>
        <w:rPr>
          <w:rFonts w:asciiTheme="majorHAnsi" w:hAnsiTheme="majorHAnsi"/>
          <w:sz w:val="16"/>
          <w:szCs w:val="16"/>
        </w:rPr>
      </w:pPr>
      <w:r w:rsidRPr="00875A0D">
        <w:rPr>
          <w:rStyle w:val="FootnoteReference"/>
          <w:rFonts w:asciiTheme="majorHAnsi" w:hAnsiTheme="majorHAnsi"/>
          <w:sz w:val="16"/>
          <w:szCs w:val="16"/>
        </w:rPr>
        <w:footnoteRef/>
      </w:r>
      <w:r w:rsidRPr="00875A0D">
        <w:rPr>
          <w:rFonts w:asciiTheme="majorHAnsi" w:hAnsiTheme="majorHAnsi"/>
          <w:sz w:val="16"/>
          <w:szCs w:val="16"/>
        </w:rPr>
        <w:t xml:space="preserve"> </w:t>
      </w:r>
      <w:r>
        <w:rPr>
          <w:rFonts w:asciiTheme="majorHAnsi" w:hAnsiTheme="majorHAnsi"/>
          <w:sz w:val="16"/>
          <w:szCs w:val="16"/>
        </w:rPr>
        <w:t>I/A Court HR</w:t>
      </w:r>
      <w:r w:rsidRPr="00875A0D">
        <w:rPr>
          <w:rFonts w:asciiTheme="majorHAnsi" w:hAnsiTheme="majorHAnsi"/>
          <w:sz w:val="16"/>
          <w:szCs w:val="16"/>
        </w:rPr>
        <w:t xml:space="preserve">, </w:t>
      </w:r>
      <w:r>
        <w:rPr>
          <w:rFonts w:asciiTheme="majorHAnsi" w:hAnsiTheme="majorHAnsi"/>
          <w:sz w:val="16"/>
          <w:szCs w:val="16"/>
        </w:rPr>
        <w:t>Case of</w:t>
      </w:r>
      <w:r w:rsidRPr="00875A0D">
        <w:rPr>
          <w:rFonts w:asciiTheme="majorHAnsi" w:hAnsiTheme="majorHAnsi"/>
          <w:sz w:val="16"/>
          <w:szCs w:val="16"/>
        </w:rPr>
        <w:t xml:space="preserve"> Ramírez Escobar </w:t>
      </w:r>
      <w:r w:rsidRPr="00203A9B">
        <w:rPr>
          <w:rFonts w:asciiTheme="majorHAnsi" w:hAnsiTheme="majorHAnsi"/>
          <w:i/>
          <w:iCs/>
          <w:sz w:val="16"/>
          <w:szCs w:val="16"/>
        </w:rPr>
        <w:t>et al.</w:t>
      </w:r>
      <w:r>
        <w:rPr>
          <w:rFonts w:asciiTheme="majorHAnsi" w:hAnsiTheme="majorHAnsi"/>
          <w:sz w:val="16"/>
          <w:szCs w:val="16"/>
        </w:rPr>
        <w:t xml:space="preserve"> v</w:t>
      </w:r>
      <w:r w:rsidRPr="00875A0D">
        <w:rPr>
          <w:rFonts w:asciiTheme="majorHAnsi" w:hAnsiTheme="majorHAnsi"/>
          <w:sz w:val="16"/>
          <w:szCs w:val="16"/>
        </w:rPr>
        <w:t xml:space="preserve">. Guatemala. </w:t>
      </w:r>
      <w:proofErr w:type="gramStart"/>
      <w:r w:rsidRPr="00203A9B">
        <w:rPr>
          <w:rFonts w:asciiTheme="majorHAnsi" w:hAnsiTheme="majorHAnsi"/>
          <w:sz w:val="16"/>
          <w:szCs w:val="16"/>
        </w:rPr>
        <w:t>Merits, Reparations and Costs</w:t>
      </w:r>
      <w:r w:rsidRPr="00875A0D">
        <w:rPr>
          <w:rFonts w:asciiTheme="majorHAnsi" w:hAnsiTheme="majorHAnsi"/>
          <w:sz w:val="16"/>
          <w:szCs w:val="16"/>
        </w:rPr>
        <w:t>.</w:t>
      </w:r>
      <w:proofErr w:type="gramEnd"/>
      <w:r w:rsidRPr="00875A0D">
        <w:rPr>
          <w:rFonts w:asciiTheme="majorHAnsi" w:hAnsiTheme="majorHAnsi"/>
          <w:sz w:val="16"/>
          <w:szCs w:val="16"/>
        </w:rPr>
        <w:t xml:space="preserve"> </w:t>
      </w:r>
      <w:r w:rsidRPr="00203A9B">
        <w:rPr>
          <w:rFonts w:asciiTheme="majorHAnsi" w:hAnsiTheme="majorHAnsi"/>
          <w:sz w:val="16"/>
          <w:szCs w:val="16"/>
        </w:rPr>
        <w:t>Judgment of</w:t>
      </w:r>
      <w:r w:rsidRPr="00875A0D">
        <w:rPr>
          <w:rFonts w:asciiTheme="majorHAnsi" w:hAnsiTheme="majorHAnsi"/>
          <w:sz w:val="16"/>
          <w:szCs w:val="16"/>
        </w:rPr>
        <w:t xml:space="preserve"> </w:t>
      </w:r>
      <w:r>
        <w:rPr>
          <w:rFonts w:asciiTheme="majorHAnsi" w:hAnsiTheme="majorHAnsi"/>
          <w:sz w:val="16"/>
          <w:szCs w:val="16"/>
        </w:rPr>
        <w:t xml:space="preserve">March </w:t>
      </w:r>
      <w:r w:rsidRPr="00875A0D">
        <w:rPr>
          <w:rFonts w:asciiTheme="majorHAnsi" w:hAnsiTheme="majorHAnsi"/>
          <w:sz w:val="16"/>
          <w:szCs w:val="16"/>
        </w:rPr>
        <w:t>9</w:t>
      </w:r>
      <w:r>
        <w:rPr>
          <w:rFonts w:asciiTheme="majorHAnsi" w:hAnsiTheme="majorHAnsi"/>
          <w:sz w:val="16"/>
          <w:szCs w:val="16"/>
        </w:rPr>
        <w:t>,</w:t>
      </w:r>
      <w:r w:rsidRPr="00875A0D">
        <w:rPr>
          <w:rFonts w:asciiTheme="majorHAnsi" w:hAnsiTheme="majorHAnsi"/>
          <w:sz w:val="16"/>
          <w:szCs w:val="16"/>
        </w:rPr>
        <w:t xml:space="preserve"> 2018. </w:t>
      </w:r>
      <w:r w:rsidRPr="00203A9B">
        <w:rPr>
          <w:rFonts w:asciiTheme="majorHAnsi" w:hAnsiTheme="majorHAnsi"/>
          <w:sz w:val="16"/>
          <w:szCs w:val="16"/>
        </w:rPr>
        <w:t>Series C</w:t>
      </w:r>
      <w:r w:rsidRPr="00875A0D">
        <w:rPr>
          <w:rFonts w:asciiTheme="majorHAnsi" w:hAnsiTheme="majorHAnsi"/>
          <w:sz w:val="16"/>
          <w:szCs w:val="16"/>
        </w:rPr>
        <w:t xml:space="preserve"> No. 351, </w:t>
      </w:r>
      <w:r>
        <w:rPr>
          <w:rFonts w:asciiTheme="majorHAnsi" w:hAnsiTheme="majorHAnsi"/>
          <w:sz w:val="16"/>
          <w:szCs w:val="16"/>
        </w:rPr>
        <w:t>paras.</w:t>
      </w:r>
      <w:r w:rsidRPr="00875A0D">
        <w:rPr>
          <w:rFonts w:asciiTheme="majorHAnsi" w:hAnsiTheme="majorHAnsi"/>
          <w:sz w:val="16"/>
          <w:szCs w:val="16"/>
        </w:rPr>
        <w:t xml:space="preserve"> 251-252.</w:t>
      </w:r>
    </w:p>
  </w:footnote>
  <w:footnote w:id="45">
    <w:p w14:paraId="45384E9C" w14:textId="77777777" w:rsidR="00D02D3C" w:rsidRPr="00875A0D" w:rsidRDefault="00D02D3C" w:rsidP="00D02D3C">
      <w:pPr>
        <w:pStyle w:val="FootnoteText"/>
        <w:spacing w:after="120"/>
        <w:jc w:val="both"/>
        <w:rPr>
          <w:rFonts w:asciiTheme="majorHAnsi" w:hAnsiTheme="majorHAnsi"/>
          <w:sz w:val="16"/>
          <w:szCs w:val="16"/>
        </w:rPr>
      </w:pPr>
      <w:r w:rsidRPr="00875A0D">
        <w:rPr>
          <w:rStyle w:val="FootnoteReference"/>
          <w:rFonts w:asciiTheme="majorHAnsi" w:hAnsiTheme="majorHAnsi"/>
          <w:sz w:val="16"/>
          <w:szCs w:val="16"/>
        </w:rPr>
        <w:footnoteRef/>
      </w:r>
      <w:r w:rsidRPr="00875A0D">
        <w:rPr>
          <w:rFonts w:asciiTheme="majorHAnsi" w:hAnsiTheme="majorHAnsi" w:cs="Arial"/>
          <w:sz w:val="16"/>
          <w:szCs w:val="16"/>
        </w:rPr>
        <w:t xml:space="preserve"> </w:t>
      </w:r>
      <w:proofErr w:type="gramStart"/>
      <w:r w:rsidRPr="00875A0D">
        <w:rPr>
          <w:rFonts w:asciiTheme="majorHAnsi" w:hAnsiTheme="majorHAnsi" w:cs="Arial"/>
          <w:sz w:val="16"/>
          <w:szCs w:val="16"/>
        </w:rPr>
        <w:t>Co</w:t>
      </w:r>
      <w:r>
        <w:rPr>
          <w:rFonts w:asciiTheme="majorHAnsi" w:hAnsiTheme="majorHAnsi" w:cs="Arial"/>
          <w:sz w:val="16"/>
          <w:szCs w:val="16"/>
        </w:rPr>
        <w:t>uncil of State</w:t>
      </w:r>
      <w:r w:rsidRPr="00875A0D">
        <w:rPr>
          <w:rFonts w:asciiTheme="majorHAnsi" w:hAnsiTheme="majorHAnsi" w:cs="Arial"/>
          <w:sz w:val="16"/>
          <w:szCs w:val="16"/>
        </w:rPr>
        <w:t xml:space="preserve">, </w:t>
      </w:r>
      <w:r>
        <w:rPr>
          <w:rFonts w:asciiTheme="majorHAnsi" w:hAnsiTheme="majorHAnsi" w:cs="Arial"/>
          <w:sz w:val="16"/>
          <w:szCs w:val="16"/>
        </w:rPr>
        <w:t xml:space="preserve">Second Section, case </w:t>
      </w:r>
      <w:r w:rsidRPr="00875A0D">
        <w:rPr>
          <w:rFonts w:asciiTheme="majorHAnsi" w:hAnsiTheme="majorHAnsi" w:cs="Arial"/>
          <w:sz w:val="16"/>
          <w:szCs w:val="16"/>
        </w:rPr>
        <w:t xml:space="preserve">76001-23-31-000-1998-1834-01(4972-01), </w:t>
      </w:r>
      <w:r w:rsidRPr="00203A9B">
        <w:rPr>
          <w:rFonts w:asciiTheme="majorHAnsi" w:hAnsiTheme="majorHAnsi" w:cs="Arial"/>
          <w:sz w:val="16"/>
          <w:szCs w:val="16"/>
        </w:rPr>
        <w:t>Judgment of</w:t>
      </w:r>
      <w:r w:rsidRPr="00875A0D">
        <w:rPr>
          <w:rFonts w:asciiTheme="majorHAnsi" w:hAnsiTheme="majorHAnsi" w:cs="Arial"/>
          <w:sz w:val="16"/>
          <w:szCs w:val="16"/>
        </w:rPr>
        <w:t xml:space="preserve"> </w:t>
      </w:r>
      <w:r>
        <w:rPr>
          <w:rFonts w:asciiTheme="majorHAnsi" w:hAnsiTheme="majorHAnsi" w:cs="Arial"/>
          <w:sz w:val="16"/>
          <w:szCs w:val="16"/>
        </w:rPr>
        <w:t xml:space="preserve">March </w:t>
      </w:r>
      <w:r w:rsidRPr="00875A0D">
        <w:rPr>
          <w:rFonts w:asciiTheme="majorHAnsi" w:hAnsiTheme="majorHAnsi" w:cs="Arial"/>
          <w:sz w:val="16"/>
          <w:szCs w:val="16"/>
        </w:rPr>
        <w:t>13</w:t>
      </w:r>
      <w:r>
        <w:rPr>
          <w:rFonts w:asciiTheme="majorHAnsi" w:hAnsiTheme="majorHAnsi" w:cs="Arial"/>
          <w:sz w:val="16"/>
          <w:szCs w:val="16"/>
        </w:rPr>
        <w:t>,</w:t>
      </w:r>
      <w:r w:rsidRPr="00875A0D">
        <w:rPr>
          <w:rFonts w:asciiTheme="majorHAnsi" w:hAnsiTheme="majorHAnsi" w:cs="Arial"/>
          <w:sz w:val="16"/>
          <w:szCs w:val="16"/>
        </w:rPr>
        <w:t xml:space="preserve"> 2003.</w:t>
      </w:r>
      <w:proofErr w:type="gramEnd"/>
      <w:r w:rsidRPr="00875A0D">
        <w:rPr>
          <w:rFonts w:asciiTheme="majorHAnsi" w:hAnsiTheme="majorHAnsi" w:cs="Arial"/>
          <w:sz w:val="16"/>
          <w:szCs w:val="16"/>
        </w:rPr>
        <w:t xml:space="preserve"> </w:t>
      </w:r>
      <w:r>
        <w:rPr>
          <w:rFonts w:asciiTheme="majorHAnsi" w:hAnsiTheme="majorHAnsi"/>
          <w:sz w:val="16"/>
          <w:szCs w:val="16"/>
        </w:rPr>
        <w:t xml:space="preserve">According to the Colombian Constitutional Court, as of this decision, </w:t>
      </w:r>
      <w:r w:rsidRPr="00875A0D">
        <w:rPr>
          <w:rFonts w:asciiTheme="majorHAnsi" w:hAnsiTheme="majorHAnsi" w:cs="Garamond"/>
          <w:sz w:val="16"/>
          <w:szCs w:val="16"/>
        </w:rPr>
        <w:t>“</w:t>
      </w:r>
      <w:r>
        <w:rPr>
          <w:rFonts w:asciiTheme="majorHAnsi" w:hAnsiTheme="majorHAnsi" w:cs="Garamond"/>
          <w:sz w:val="16"/>
          <w:szCs w:val="16"/>
        </w:rPr>
        <w:t xml:space="preserve">this has been the position of the Council of State and based on </w:t>
      </w:r>
      <w:proofErr w:type="spellStart"/>
      <w:r>
        <w:rPr>
          <w:rFonts w:asciiTheme="majorHAnsi" w:hAnsiTheme="majorHAnsi" w:cs="Garamond"/>
          <w:sz w:val="16"/>
          <w:szCs w:val="16"/>
        </w:rPr>
        <w:t>it</w:t>
      </w:r>
      <w:proofErr w:type="spellEnd"/>
      <w:r>
        <w:rPr>
          <w:rFonts w:asciiTheme="majorHAnsi" w:hAnsiTheme="majorHAnsi" w:cs="Garamond"/>
          <w:sz w:val="16"/>
          <w:szCs w:val="16"/>
        </w:rPr>
        <w:t xml:space="preserve"> administrative acts of such nature have not been annulled when the action for nullity and reestablishment of the right has been used.” </w:t>
      </w:r>
      <w:r>
        <w:rPr>
          <w:rFonts w:asciiTheme="majorHAnsi" w:hAnsiTheme="majorHAnsi" w:cs="Arial"/>
          <w:sz w:val="16"/>
          <w:szCs w:val="16"/>
        </w:rPr>
        <w:t xml:space="preserve">See Constitutional Court of </w:t>
      </w:r>
      <w:r w:rsidRPr="00875A0D">
        <w:rPr>
          <w:rFonts w:asciiTheme="majorHAnsi" w:hAnsiTheme="majorHAnsi"/>
          <w:sz w:val="16"/>
          <w:szCs w:val="16"/>
        </w:rPr>
        <w:t xml:space="preserve">Colombia, </w:t>
      </w:r>
      <w:r>
        <w:rPr>
          <w:rFonts w:asciiTheme="majorHAnsi" w:hAnsiTheme="majorHAnsi"/>
          <w:sz w:val="16"/>
          <w:szCs w:val="16"/>
        </w:rPr>
        <w:t xml:space="preserve">Judgment </w:t>
      </w:r>
      <w:r w:rsidRPr="00875A0D">
        <w:rPr>
          <w:rFonts w:asciiTheme="majorHAnsi" w:hAnsiTheme="majorHAnsi"/>
          <w:sz w:val="16"/>
          <w:szCs w:val="16"/>
        </w:rPr>
        <w:t xml:space="preserve">SU-917 </w:t>
      </w:r>
      <w:r>
        <w:rPr>
          <w:rFonts w:asciiTheme="majorHAnsi" w:hAnsiTheme="majorHAnsi"/>
          <w:sz w:val="16"/>
          <w:szCs w:val="16"/>
        </w:rPr>
        <w:t xml:space="preserve">of </w:t>
      </w:r>
      <w:r w:rsidRPr="00875A0D">
        <w:rPr>
          <w:rFonts w:asciiTheme="majorHAnsi" w:hAnsiTheme="majorHAnsi"/>
          <w:sz w:val="16"/>
          <w:szCs w:val="16"/>
        </w:rPr>
        <w:t xml:space="preserve">2010.  </w:t>
      </w:r>
    </w:p>
  </w:footnote>
  <w:footnote w:id="46">
    <w:p w14:paraId="1C2C856D" w14:textId="77777777" w:rsidR="00D02D3C" w:rsidRPr="000A566E" w:rsidRDefault="00D02D3C" w:rsidP="00D02D3C">
      <w:pPr>
        <w:pStyle w:val="FootnoteText"/>
        <w:rPr>
          <w:rFonts w:asciiTheme="majorHAnsi" w:hAnsiTheme="majorHAnsi"/>
          <w:b/>
          <w:sz w:val="16"/>
          <w:szCs w:val="16"/>
        </w:rPr>
      </w:pPr>
      <w:r w:rsidRPr="000A566E">
        <w:rPr>
          <w:rStyle w:val="FootnoteReference"/>
          <w:rFonts w:asciiTheme="majorHAnsi" w:hAnsiTheme="majorHAnsi"/>
          <w:b/>
          <w:sz w:val="16"/>
          <w:szCs w:val="16"/>
        </w:rPr>
        <w:footnoteRef/>
      </w:r>
      <w:r w:rsidRPr="000A566E">
        <w:rPr>
          <w:rFonts w:asciiTheme="majorHAnsi" w:hAnsiTheme="majorHAnsi"/>
          <w:b/>
          <w:sz w:val="16"/>
          <w:szCs w:val="16"/>
        </w:rPr>
        <w:t xml:space="preserve"> </w:t>
      </w:r>
      <w:proofErr w:type="gramStart"/>
      <w:r w:rsidRPr="000A566E">
        <w:rPr>
          <w:rStyle w:val="Strong"/>
          <w:rFonts w:asciiTheme="majorHAnsi" w:hAnsiTheme="majorHAnsi"/>
          <w:b w:val="0"/>
          <w:sz w:val="16"/>
          <w:szCs w:val="16"/>
        </w:rPr>
        <w:t xml:space="preserve">I/A Court HR. Case of San Miguel Sosa </w:t>
      </w:r>
      <w:r w:rsidRPr="000A566E">
        <w:rPr>
          <w:rStyle w:val="Strong"/>
          <w:rFonts w:asciiTheme="majorHAnsi" w:hAnsiTheme="majorHAnsi"/>
          <w:b w:val="0"/>
          <w:i/>
          <w:iCs/>
          <w:sz w:val="16"/>
          <w:szCs w:val="16"/>
        </w:rPr>
        <w:t>et al</w:t>
      </w:r>
      <w:r w:rsidRPr="000A566E">
        <w:rPr>
          <w:rStyle w:val="Strong"/>
          <w:rFonts w:asciiTheme="majorHAnsi" w:hAnsiTheme="majorHAnsi"/>
          <w:b w:val="0"/>
          <w:sz w:val="16"/>
          <w:szCs w:val="16"/>
        </w:rPr>
        <w:t>. v. Venezuela.</w:t>
      </w:r>
      <w:proofErr w:type="gramEnd"/>
      <w:r w:rsidRPr="000A566E">
        <w:rPr>
          <w:rStyle w:val="Strong"/>
          <w:rFonts w:asciiTheme="majorHAnsi" w:hAnsiTheme="majorHAnsi"/>
          <w:b w:val="0"/>
          <w:sz w:val="16"/>
          <w:szCs w:val="16"/>
        </w:rPr>
        <w:t xml:space="preserve"> </w:t>
      </w:r>
      <w:proofErr w:type="gramStart"/>
      <w:r w:rsidRPr="000A566E">
        <w:rPr>
          <w:rStyle w:val="Strong"/>
          <w:rFonts w:asciiTheme="majorHAnsi" w:hAnsiTheme="majorHAnsi"/>
          <w:b w:val="0"/>
          <w:sz w:val="16"/>
          <w:szCs w:val="16"/>
        </w:rPr>
        <w:t>Merits, Reparations and Costs.</w:t>
      </w:r>
      <w:proofErr w:type="gramEnd"/>
      <w:r w:rsidRPr="000A566E">
        <w:rPr>
          <w:rStyle w:val="Strong"/>
          <w:rFonts w:asciiTheme="majorHAnsi" w:hAnsiTheme="majorHAnsi"/>
          <w:b w:val="0"/>
          <w:sz w:val="16"/>
          <w:szCs w:val="16"/>
        </w:rPr>
        <w:t xml:space="preserve"> Judgment of February 8, 2018. Series C No. 348, para. 191.</w:t>
      </w:r>
    </w:p>
  </w:footnote>
  <w:footnote w:id="47">
    <w:p w14:paraId="73075666" w14:textId="77777777" w:rsidR="00D02D3C" w:rsidRPr="000A566E" w:rsidRDefault="00D02D3C" w:rsidP="00D02D3C">
      <w:pPr>
        <w:pStyle w:val="FootnoteText"/>
        <w:spacing w:after="120"/>
        <w:jc w:val="both"/>
        <w:rPr>
          <w:rFonts w:asciiTheme="majorHAnsi" w:hAnsiTheme="majorHAnsi"/>
          <w:color w:val="auto"/>
          <w:sz w:val="16"/>
          <w:szCs w:val="16"/>
        </w:rPr>
      </w:pPr>
      <w:r w:rsidRPr="000A566E">
        <w:rPr>
          <w:rStyle w:val="FootnoteReference"/>
          <w:rFonts w:asciiTheme="majorHAnsi" w:hAnsiTheme="majorHAnsi"/>
          <w:color w:val="auto"/>
          <w:sz w:val="16"/>
          <w:szCs w:val="16"/>
        </w:rPr>
        <w:footnoteRef/>
      </w:r>
      <w:r w:rsidRPr="000A566E">
        <w:rPr>
          <w:rFonts w:asciiTheme="majorHAnsi" w:hAnsiTheme="majorHAnsi" w:cs="Arial"/>
          <w:color w:val="auto"/>
          <w:sz w:val="16"/>
          <w:szCs w:val="16"/>
        </w:rPr>
        <w:t xml:space="preserve"> </w:t>
      </w:r>
      <w:proofErr w:type="gramStart"/>
      <w:r w:rsidRPr="000A566E">
        <w:rPr>
          <w:rFonts w:asciiTheme="majorHAnsi" w:hAnsiTheme="majorHAnsi" w:cs="Arial"/>
          <w:color w:val="auto"/>
          <w:sz w:val="16"/>
          <w:szCs w:val="16"/>
        </w:rPr>
        <w:t xml:space="preserve">IACHR, Report No. 111/10, Case 12,539, Merits, Sebastián Claus </w:t>
      </w:r>
      <w:proofErr w:type="spellStart"/>
      <w:r w:rsidRPr="000A566E">
        <w:rPr>
          <w:rFonts w:asciiTheme="majorHAnsi" w:hAnsiTheme="majorHAnsi" w:cs="Arial"/>
          <w:color w:val="auto"/>
          <w:sz w:val="16"/>
          <w:szCs w:val="16"/>
        </w:rPr>
        <w:t>Furlan</w:t>
      </w:r>
      <w:proofErr w:type="spellEnd"/>
      <w:r w:rsidRPr="000A566E">
        <w:rPr>
          <w:rFonts w:asciiTheme="majorHAnsi" w:hAnsiTheme="majorHAnsi" w:cs="Arial"/>
          <w:color w:val="auto"/>
          <w:sz w:val="16"/>
          <w:szCs w:val="16"/>
        </w:rPr>
        <w:t xml:space="preserve"> and family, Argentina, October 21, 2010, para.</w:t>
      </w:r>
      <w:proofErr w:type="gramEnd"/>
      <w:r w:rsidRPr="000A566E">
        <w:rPr>
          <w:rFonts w:asciiTheme="majorHAnsi" w:hAnsiTheme="majorHAnsi" w:cs="Arial"/>
          <w:color w:val="auto"/>
          <w:sz w:val="16"/>
          <w:szCs w:val="16"/>
        </w:rPr>
        <w:t xml:space="preserve"> 100. I/A Court HR, </w:t>
      </w:r>
      <w:r w:rsidRPr="000A566E">
        <w:rPr>
          <w:rFonts w:asciiTheme="majorHAnsi" w:hAnsiTheme="majorHAnsi" w:cs="Arial"/>
          <w:color w:val="auto"/>
          <w:sz w:val="16"/>
          <w:szCs w:val="16"/>
          <w:shd w:val="clear" w:color="auto" w:fill="FFFFFF"/>
        </w:rPr>
        <w:t xml:space="preserve">Case of the Santo Domingo Massacre v. Colombia. </w:t>
      </w:r>
      <w:proofErr w:type="gramStart"/>
      <w:r w:rsidRPr="000A566E">
        <w:rPr>
          <w:rFonts w:asciiTheme="majorHAnsi" w:hAnsiTheme="majorHAnsi" w:cs="Arial"/>
          <w:color w:val="auto"/>
          <w:sz w:val="16"/>
          <w:szCs w:val="16"/>
          <w:shd w:val="clear" w:color="auto" w:fill="FFFFFF"/>
        </w:rPr>
        <w:t>Preliminary Objections, Merits and Reparations.</w:t>
      </w:r>
      <w:proofErr w:type="gramEnd"/>
      <w:r w:rsidRPr="000A566E">
        <w:rPr>
          <w:rFonts w:asciiTheme="majorHAnsi" w:hAnsiTheme="majorHAnsi" w:cs="Arial"/>
          <w:color w:val="auto"/>
          <w:sz w:val="16"/>
          <w:szCs w:val="16"/>
          <w:shd w:val="clear" w:color="auto" w:fill="FFFFFF"/>
        </w:rPr>
        <w:t xml:space="preserve"> Judgment of November 30, 2012. Series C No. 259,</w:t>
      </w:r>
      <w:r w:rsidRPr="000A566E">
        <w:rPr>
          <w:rFonts w:asciiTheme="majorHAnsi" w:hAnsiTheme="majorHAnsi" w:cs="Arial"/>
          <w:color w:val="auto"/>
          <w:sz w:val="16"/>
          <w:szCs w:val="16"/>
        </w:rPr>
        <w:t xml:space="preserve"> para. 164.</w:t>
      </w:r>
    </w:p>
  </w:footnote>
  <w:footnote w:id="48">
    <w:p w14:paraId="7B8A82E8" w14:textId="77777777" w:rsidR="00D02D3C" w:rsidRPr="000A566E" w:rsidRDefault="00D02D3C" w:rsidP="00D02D3C">
      <w:pPr>
        <w:pStyle w:val="FootnoteText"/>
        <w:spacing w:after="120"/>
        <w:jc w:val="both"/>
        <w:rPr>
          <w:rFonts w:asciiTheme="majorHAnsi" w:hAnsiTheme="majorHAnsi"/>
          <w:sz w:val="16"/>
          <w:szCs w:val="16"/>
        </w:rPr>
      </w:pPr>
      <w:r w:rsidRPr="000A566E">
        <w:rPr>
          <w:rStyle w:val="FootnoteReference"/>
          <w:rFonts w:asciiTheme="majorHAnsi" w:hAnsiTheme="majorHAnsi"/>
          <w:sz w:val="16"/>
          <w:szCs w:val="16"/>
        </w:rPr>
        <w:footnoteRef/>
      </w:r>
      <w:r w:rsidRPr="000A566E">
        <w:rPr>
          <w:rFonts w:asciiTheme="majorHAnsi" w:hAnsiTheme="majorHAnsi"/>
          <w:sz w:val="16"/>
          <w:szCs w:val="16"/>
        </w:rPr>
        <w:t xml:space="preserve"> </w:t>
      </w:r>
      <w:proofErr w:type="gramStart"/>
      <w:r w:rsidRPr="000A566E">
        <w:rPr>
          <w:rFonts w:asciiTheme="majorHAnsi" w:hAnsiTheme="majorHAnsi"/>
          <w:sz w:val="16"/>
          <w:szCs w:val="16"/>
        </w:rPr>
        <w:t xml:space="preserve">I/A Court HR. </w:t>
      </w:r>
      <w:r w:rsidRPr="000A566E">
        <w:rPr>
          <w:rFonts w:asciiTheme="majorHAnsi" w:hAnsiTheme="majorHAnsi"/>
          <w:iCs/>
          <w:sz w:val="16"/>
          <w:szCs w:val="16"/>
        </w:rPr>
        <w:t xml:space="preserve">Case of </w:t>
      </w:r>
      <w:proofErr w:type="spellStart"/>
      <w:r w:rsidRPr="000A566E">
        <w:rPr>
          <w:rFonts w:asciiTheme="majorHAnsi" w:hAnsiTheme="majorHAnsi"/>
          <w:iCs/>
          <w:sz w:val="16"/>
          <w:szCs w:val="16"/>
        </w:rPr>
        <w:t>García</w:t>
      </w:r>
      <w:proofErr w:type="spellEnd"/>
      <w:r w:rsidRPr="000A566E">
        <w:rPr>
          <w:rFonts w:asciiTheme="majorHAnsi" w:hAnsiTheme="majorHAnsi"/>
          <w:iCs/>
          <w:sz w:val="16"/>
          <w:szCs w:val="16"/>
        </w:rPr>
        <w:t xml:space="preserve"> </w:t>
      </w:r>
      <w:proofErr w:type="spellStart"/>
      <w:r w:rsidRPr="000A566E">
        <w:rPr>
          <w:rFonts w:asciiTheme="majorHAnsi" w:hAnsiTheme="majorHAnsi"/>
          <w:iCs/>
          <w:sz w:val="16"/>
          <w:szCs w:val="16"/>
        </w:rPr>
        <w:t>Asto</w:t>
      </w:r>
      <w:proofErr w:type="spellEnd"/>
      <w:r w:rsidRPr="000A566E">
        <w:rPr>
          <w:rFonts w:asciiTheme="majorHAnsi" w:hAnsiTheme="majorHAnsi"/>
          <w:iCs/>
          <w:sz w:val="16"/>
          <w:szCs w:val="16"/>
        </w:rPr>
        <w:t xml:space="preserve"> and Ramírez Rojas v. </w:t>
      </w:r>
      <w:r w:rsidRPr="000A566E">
        <w:rPr>
          <w:rFonts w:asciiTheme="majorHAnsi" w:hAnsiTheme="majorHAnsi"/>
          <w:sz w:val="16"/>
          <w:szCs w:val="16"/>
        </w:rPr>
        <w:t>Peru.</w:t>
      </w:r>
      <w:proofErr w:type="gramEnd"/>
      <w:r w:rsidRPr="000A566E">
        <w:rPr>
          <w:rFonts w:asciiTheme="majorHAnsi" w:hAnsiTheme="majorHAnsi"/>
          <w:sz w:val="16"/>
          <w:szCs w:val="16"/>
        </w:rPr>
        <w:t xml:space="preserve"> Judgment of November 25, 2005. Series C No. 137, para. </w:t>
      </w:r>
      <w:proofErr w:type="gramStart"/>
      <w:r w:rsidRPr="000A566E">
        <w:rPr>
          <w:rFonts w:asciiTheme="majorHAnsi" w:hAnsiTheme="majorHAnsi"/>
          <w:sz w:val="16"/>
          <w:szCs w:val="16"/>
        </w:rPr>
        <w:t xml:space="preserve">166; </w:t>
      </w:r>
      <w:r w:rsidRPr="000A566E">
        <w:rPr>
          <w:rFonts w:asciiTheme="majorHAnsi" w:hAnsiTheme="majorHAnsi"/>
          <w:iCs/>
          <w:sz w:val="16"/>
          <w:szCs w:val="16"/>
        </w:rPr>
        <w:t xml:space="preserve">Case of Gómez Palomino v. </w:t>
      </w:r>
      <w:r w:rsidRPr="000A566E">
        <w:rPr>
          <w:rFonts w:asciiTheme="majorHAnsi" w:hAnsiTheme="majorHAnsi"/>
          <w:sz w:val="16"/>
          <w:szCs w:val="16"/>
        </w:rPr>
        <w:t>Peru.</w:t>
      </w:r>
      <w:proofErr w:type="gramEnd"/>
      <w:r w:rsidRPr="000A566E">
        <w:rPr>
          <w:rFonts w:asciiTheme="majorHAnsi" w:hAnsiTheme="majorHAnsi"/>
          <w:sz w:val="16"/>
          <w:szCs w:val="16"/>
        </w:rPr>
        <w:t xml:space="preserve"> Judgment of November 22, 2005. Series C No. 136, para. </w:t>
      </w:r>
      <w:proofErr w:type="gramStart"/>
      <w:r w:rsidRPr="000A566E">
        <w:rPr>
          <w:rFonts w:asciiTheme="majorHAnsi" w:hAnsiTheme="majorHAnsi"/>
          <w:sz w:val="16"/>
          <w:szCs w:val="16"/>
        </w:rPr>
        <w:t xml:space="preserve">85; </w:t>
      </w:r>
      <w:r w:rsidRPr="000A566E">
        <w:rPr>
          <w:rFonts w:asciiTheme="majorHAnsi" w:hAnsiTheme="majorHAnsi"/>
          <w:iCs/>
          <w:sz w:val="16"/>
          <w:szCs w:val="16"/>
        </w:rPr>
        <w:t xml:space="preserve">Case of the </w:t>
      </w:r>
      <w:proofErr w:type="spellStart"/>
      <w:r w:rsidRPr="000A566E">
        <w:rPr>
          <w:rFonts w:asciiTheme="majorHAnsi" w:hAnsiTheme="majorHAnsi"/>
          <w:iCs/>
          <w:sz w:val="16"/>
          <w:szCs w:val="16"/>
        </w:rPr>
        <w:t>Moiwana</w:t>
      </w:r>
      <w:proofErr w:type="spellEnd"/>
      <w:r w:rsidRPr="000A566E">
        <w:rPr>
          <w:rFonts w:asciiTheme="majorHAnsi" w:hAnsiTheme="majorHAnsi"/>
          <w:iCs/>
          <w:sz w:val="16"/>
          <w:szCs w:val="16"/>
        </w:rPr>
        <w:t xml:space="preserve"> Community v. Suriname</w:t>
      </w:r>
      <w:r w:rsidRPr="000A566E">
        <w:rPr>
          <w:rFonts w:asciiTheme="majorHAnsi" w:hAnsiTheme="majorHAnsi"/>
          <w:sz w:val="16"/>
          <w:szCs w:val="16"/>
        </w:rPr>
        <w:t>.</w:t>
      </w:r>
      <w:proofErr w:type="gramEnd"/>
      <w:r w:rsidRPr="000A566E">
        <w:rPr>
          <w:rFonts w:asciiTheme="majorHAnsi" w:hAnsiTheme="majorHAnsi"/>
          <w:sz w:val="16"/>
          <w:szCs w:val="16"/>
        </w:rPr>
        <w:t xml:space="preserve"> Judgment of June 15, 2005. Series C No. 124, para. 160.  </w:t>
      </w:r>
    </w:p>
  </w:footnote>
  <w:footnote w:id="49">
    <w:p w14:paraId="0BCD083A" w14:textId="77777777" w:rsidR="00D02D3C" w:rsidRPr="00875A0D" w:rsidRDefault="00D02D3C" w:rsidP="00D02D3C">
      <w:pPr>
        <w:pStyle w:val="FootnoteText"/>
        <w:spacing w:after="120"/>
        <w:jc w:val="both"/>
        <w:rPr>
          <w:rFonts w:asciiTheme="majorHAnsi" w:hAnsiTheme="majorHAnsi"/>
          <w:sz w:val="16"/>
          <w:szCs w:val="16"/>
        </w:rPr>
      </w:pPr>
      <w:r w:rsidRPr="000A566E">
        <w:rPr>
          <w:rStyle w:val="FootnoteReference"/>
          <w:rFonts w:asciiTheme="majorHAnsi" w:hAnsiTheme="majorHAnsi"/>
          <w:sz w:val="16"/>
          <w:szCs w:val="16"/>
        </w:rPr>
        <w:footnoteRef/>
      </w:r>
      <w:r w:rsidRPr="000A566E">
        <w:rPr>
          <w:rFonts w:asciiTheme="majorHAnsi" w:hAnsiTheme="majorHAnsi"/>
          <w:sz w:val="16"/>
          <w:szCs w:val="16"/>
        </w:rPr>
        <w:t xml:space="preserve"> </w:t>
      </w:r>
      <w:proofErr w:type="gramStart"/>
      <w:r w:rsidRPr="000A566E">
        <w:rPr>
          <w:rFonts w:asciiTheme="majorHAnsi" w:hAnsiTheme="majorHAnsi"/>
          <w:sz w:val="16"/>
          <w:szCs w:val="16"/>
        </w:rPr>
        <w:t xml:space="preserve">I/A Court HR. </w:t>
      </w:r>
      <w:r w:rsidRPr="000A566E">
        <w:rPr>
          <w:rFonts w:asciiTheme="majorHAnsi" w:hAnsiTheme="majorHAnsi"/>
          <w:iCs/>
          <w:sz w:val="16"/>
          <w:szCs w:val="16"/>
        </w:rPr>
        <w:t xml:space="preserve">Case of Ricardo </w:t>
      </w:r>
      <w:proofErr w:type="spellStart"/>
      <w:r w:rsidRPr="000A566E">
        <w:rPr>
          <w:rFonts w:asciiTheme="majorHAnsi" w:hAnsiTheme="majorHAnsi"/>
          <w:iCs/>
          <w:sz w:val="16"/>
          <w:szCs w:val="16"/>
        </w:rPr>
        <w:t>Canese</w:t>
      </w:r>
      <w:proofErr w:type="spellEnd"/>
      <w:r w:rsidRPr="000A566E">
        <w:rPr>
          <w:rFonts w:asciiTheme="majorHAnsi" w:hAnsiTheme="majorHAnsi"/>
          <w:iCs/>
          <w:sz w:val="16"/>
          <w:szCs w:val="16"/>
        </w:rPr>
        <w:t xml:space="preserve"> v. Paraguay</w:t>
      </w:r>
      <w:r w:rsidRPr="000A566E">
        <w:rPr>
          <w:rFonts w:asciiTheme="majorHAnsi" w:hAnsiTheme="majorHAnsi"/>
          <w:sz w:val="16"/>
          <w:szCs w:val="16"/>
        </w:rPr>
        <w:t>.</w:t>
      </w:r>
      <w:proofErr w:type="gramEnd"/>
      <w:r w:rsidRPr="000A566E">
        <w:rPr>
          <w:rFonts w:asciiTheme="majorHAnsi" w:hAnsiTheme="majorHAnsi"/>
          <w:sz w:val="16"/>
          <w:szCs w:val="16"/>
        </w:rPr>
        <w:t xml:space="preserve"> Judgment of August 31, 2004. Series C No. 111</w:t>
      </w:r>
      <w:proofErr w:type="gramStart"/>
      <w:r w:rsidRPr="000A566E">
        <w:rPr>
          <w:rFonts w:asciiTheme="majorHAnsi" w:hAnsiTheme="majorHAnsi"/>
          <w:sz w:val="16"/>
          <w:szCs w:val="16"/>
        </w:rPr>
        <w:t>,</w:t>
      </w:r>
      <w:proofErr w:type="gramEnd"/>
      <w:r w:rsidRPr="000A566E">
        <w:rPr>
          <w:rFonts w:asciiTheme="majorHAnsi" w:hAnsiTheme="majorHAnsi"/>
          <w:sz w:val="16"/>
          <w:szCs w:val="16"/>
        </w:rPr>
        <w:br/>
        <w:t>para. 142.</w:t>
      </w:r>
      <w:r w:rsidRPr="00875A0D">
        <w:rPr>
          <w:rFonts w:asciiTheme="majorHAnsi" w:hAnsiTheme="majorHAnsi"/>
          <w:sz w:val="16"/>
          <w:szCs w:val="16"/>
        </w:rPr>
        <w:t xml:space="preserve">  </w:t>
      </w:r>
    </w:p>
  </w:footnote>
  <w:footnote w:id="50">
    <w:p w14:paraId="53C15BFB" w14:textId="77777777" w:rsidR="00D02D3C" w:rsidRPr="00875A0D" w:rsidRDefault="00D02D3C" w:rsidP="00D02D3C">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hAnsiTheme="majorHAnsi"/>
          <w:sz w:val="16"/>
          <w:szCs w:val="16"/>
        </w:rPr>
      </w:pPr>
      <w:r w:rsidRPr="00875A0D">
        <w:rPr>
          <w:rStyle w:val="FootnoteReference"/>
          <w:rFonts w:asciiTheme="majorHAnsi" w:hAnsiTheme="majorHAnsi"/>
          <w:sz w:val="16"/>
          <w:szCs w:val="16"/>
        </w:rPr>
        <w:footnoteRef/>
      </w:r>
      <w:r w:rsidRPr="00875A0D">
        <w:rPr>
          <w:rFonts w:asciiTheme="majorHAnsi" w:hAnsiTheme="majorHAnsi"/>
          <w:sz w:val="16"/>
          <w:szCs w:val="16"/>
        </w:rPr>
        <w:t xml:space="preserve"> </w:t>
      </w:r>
      <w:r>
        <w:rPr>
          <w:rFonts w:asciiTheme="majorHAnsi" w:hAnsiTheme="majorHAnsi"/>
          <w:sz w:val="16"/>
          <w:szCs w:val="16"/>
        </w:rPr>
        <w:t xml:space="preserve">Article </w:t>
      </w:r>
      <w:r w:rsidRPr="00875A0D">
        <w:rPr>
          <w:rFonts w:asciiTheme="majorHAnsi" w:hAnsiTheme="majorHAnsi"/>
          <w:sz w:val="16"/>
          <w:szCs w:val="16"/>
        </w:rPr>
        <w:t xml:space="preserve">23 </w:t>
      </w:r>
      <w:r>
        <w:rPr>
          <w:rFonts w:asciiTheme="majorHAnsi" w:hAnsiTheme="majorHAnsi"/>
          <w:sz w:val="16"/>
          <w:szCs w:val="16"/>
        </w:rPr>
        <w:t>of the American Convention establishes, at the relevant part</w:t>
      </w:r>
      <w:r w:rsidRPr="00875A0D">
        <w:rPr>
          <w:rFonts w:asciiTheme="majorHAnsi" w:hAnsiTheme="majorHAnsi"/>
          <w:sz w:val="16"/>
          <w:szCs w:val="16"/>
        </w:rPr>
        <w:t xml:space="preserve">: </w:t>
      </w:r>
      <w:r>
        <w:rPr>
          <w:rFonts w:asciiTheme="majorHAnsi" w:hAnsiTheme="majorHAnsi"/>
          <w:sz w:val="16"/>
          <w:szCs w:val="16"/>
        </w:rPr>
        <w:t>“</w:t>
      </w:r>
      <w:r w:rsidRPr="00875A0D">
        <w:rPr>
          <w:rFonts w:asciiTheme="majorHAnsi" w:hAnsiTheme="majorHAnsi"/>
          <w:sz w:val="16"/>
          <w:szCs w:val="16"/>
        </w:rPr>
        <w:t xml:space="preserve">1. </w:t>
      </w:r>
      <w:proofErr w:type="gramStart"/>
      <w:r>
        <w:rPr>
          <w:rFonts w:asciiTheme="majorHAnsi" w:hAnsiTheme="majorHAnsi"/>
          <w:sz w:val="16"/>
          <w:szCs w:val="16"/>
        </w:rPr>
        <w:t>Every</w:t>
      </w:r>
      <w:proofErr w:type="gramEnd"/>
      <w:r>
        <w:rPr>
          <w:rFonts w:asciiTheme="majorHAnsi" w:hAnsiTheme="majorHAnsi"/>
          <w:sz w:val="16"/>
          <w:szCs w:val="16"/>
        </w:rPr>
        <w:t xml:space="preserve"> citizen shall enjoy the following rights and opportunities</w:t>
      </w:r>
      <w:r w:rsidRPr="00875A0D">
        <w:rPr>
          <w:rFonts w:asciiTheme="majorHAnsi" w:eastAsia="Times New Roman" w:hAnsiTheme="majorHAnsi"/>
          <w:sz w:val="16"/>
          <w:szCs w:val="16"/>
          <w:lang w:eastAsia="es-ES"/>
        </w:rPr>
        <w:t xml:space="preserve">: … </w:t>
      </w:r>
      <w:r w:rsidRPr="00875A0D">
        <w:rPr>
          <w:rFonts w:asciiTheme="majorHAnsi" w:hAnsiTheme="majorHAnsi"/>
          <w:sz w:val="16"/>
          <w:szCs w:val="16"/>
        </w:rPr>
        <w:t xml:space="preserve">c. </w:t>
      </w:r>
      <w:r>
        <w:rPr>
          <w:rFonts w:asciiTheme="majorHAnsi" w:hAnsiTheme="majorHAnsi"/>
          <w:sz w:val="16"/>
          <w:szCs w:val="16"/>
        </w:rPr>
        <w:t>to have access, under general conditions of equality, to the public service of his country</w:t>
      </w:r>
      <w:r w:rsidRPr="00875A0D">
        <w:rPr>
          <w:rFonts w:asciiTheme="majorHAnsi" w:eastAsia="Times New Roman" w:hAnsiTheme="majorHAnsi"/>
          <w:sz w:val="16"/>
          <w:szCs w:val="16"/>
        </w:rPr>
        <w:t xml:space="preserve">. </w:t>
      </w:r>
      <w:r w:rsidRPr="00875A0D">
        <w:rPr>
          <w:rFonts w:asciiTheme="majorHAnsi" w:hAnsiTheme="majorHAnsi"/>
          <w:sz w:val="16"/>
          <w:szCs w:val="16"/>
        </w:rPr>
        <w:t xml:space="preserve">2. </w:t>
      </w:r>
      <w:r w:rsidRPr="00D532BD">
        <w:rPr>
          <w:rFonts w:asciiTheme="majorHAnsi" w:hAnsiTheme="majorHAnsi"/>
          <w:sz w:val="16"/>
          <w:szCs w:val="16"/>
        </w:rPr>
        <w:t>The law may regulate the exercise of the rights and opportunities referred to in the preceding paragraph only on the basis of age, nationality, residence, language, education, civil and mental capacity, or sentencing by a competent court in criminal proceedings</w:t>
      </w:r>
      <w:r w:rsidRPr="00875A0D">
        <w:rPr>
          <w:rFonts w:asciiTheme="majorHAnsi" w:eastAsia="Times New Roman" w:hAnsiTheme="majorHAnsi"/>
          <w:sz w:val="16"/>
          <w:szCs w:val="16"/>
        </w:rPr>
        <w:t>.</w:t>
      </w:r>
      <w:r>
        <w:rPr>
          <w:rFonts w:asciiTheme="majorHAnsi" w:eastAsia="Times New Roman" w:hAnsiTheme="majorHAnsi"/>
          <w:sz w:val="16"/>
          <w:szCs w:val="16"/>
        </w:rPr>
        <w:t>”</w:t>
      </w:r>
    </w:p>
  </w:footnote>
  <w:footnote w:id="51">
    <w:p w14:paraId="3BF28DE4" w14:textId="77777777" w:rsidR="00D02D3C" w:rsidRPr="00875A0D" w:rsidRDefault="00D02D3C" w:rsidP="00D02D3C">
      <w:pPr>
        <w:jc w:val="both"/>
        <w:rPr>
          <w:rFonts w:asciiTheme="majorHAnsi" w:eastAsia="Times New Roman" w:hAnsiTheme="majorHAnsi"/>
          <w:sz w:val="16"/>
          <w:szCs w:val="16"/>
        </w:rPr>
      </w:pPr>
      <w:r w:rsidRPr="00875A0D">
        <w:rPr>
          <w:rStyle w:val="FootnoteReference"/>
          <w:rFonts w:asciiTheme="majorHAnsi" w:hAnsiTheme="majorHAnsi"/>
          <w:sz w:val="16"/>
          <w:szCs w:val="16"/>
        </w:rPr>
        <w:footnoteRef/>
      </w:r>
      <w:r w:rsidRPr="00875A0D">
        <w:rPr>
          <w:rFonts w:asciiTheme="majorHAnsi" w:hAnsiTheme="majorHAnsi"/>
          <w:sz w:val="16"/>
          <w:szCs w:val="16"/>
        </w:rPr>
        <w:t xml:space="preserve"> </w:t>
      </w:r>
      <w:proofErr w:type="gramStart"/>
      <w:r>
        <w:rPr>
          <w:rFonts w:asciiTheme="majorHAnsi" w:eastAsia="Times New Roman" w:hAnsiTheme="majorHAnsi"/>
          <w:bCs/>
          <w:sz w:val="16"/>
          <w:szCs w:val="16"/>
          <w:shd w:val="clear" w:color="auto" w:fill="FFFFFF"/>
        </w:rPr>
        <w:t>I/A Court HR</w:t>
      </w:r>
      <w:r w:rsidRPr="00875A0D">
        <w:rPr>
          <w:rFonts w:asciiTheme="majorHAnsi" w:eastAsia="Times New Roman" w:hAnsiTheme="majorHAnsi"/>
          <w:bCs/>
          <w:sz w:val="16"/>
          <w:szCs w:val="16"/>
          <w:shd w:val="clear" w:color="auto" w:fill="FFFFFF"/>
        </w:rPr>
        <w:t xml:space="preserve">. </w:t>
      </w:r>
      <w:r>
        <w:rPr>
          <w:rFonts w:asciiTheme="majorHAnsi" w:eastAsia="Times New Roman" w:hAnsiTheme="majorHAnsi"/>
          <w:bCs/>
          <w:sz w:val="16"/>
          <w:szCs w:val="16"/>
          <w:shd w:val="clear" w:color="auto" w:fill="FFFFFF"/>
        </w:rPr>
        <w:t>Case of</w:t>
      </w:r>
      <w:r w:rsidRPr="00875A0D">
        <w:rPr>
          <w:rFonts w:asciiTheme="majorHAnsi" w:eastAsia="Times New Roman" w:hAnsiTheme="majorHAnsi"/>
          <w:bCs/>
          <w:sz w:val="16"/>
          <w:szCs w:val="16"/>
          <w:shd w:val="clear" w:color="auto" w:fill="FFFFFF"/>
        </w:rPr>
        <w:t xml:space="preserve"> López Lone </w:t>
      </w:r>
      <w:r w:rsidRPr="00203A9B">
        <w:rPr>
          <w:rFonts w:asciiTheme="majorHAnsi" w:eastAsia="Times New Roman" w:hAnsiTheme="majorHAnsi"/>
          <w:bCs/>
          <w:i/>
          <w:iCs/>
          <w:sz w:val="16"/>
          <w:szCs w:val="16"/>
          <w:shd w:val="clear" w:color="auto" w:fill="FFFFFF"/>
        </w:rPr>
        <w:t>et al.</w:t>
      </w:r>
      <w:r>
        <w:rPr>
          <w:rFonts w:asciiTheme="majorHAnsi" w:eastAsia="Times New Roman" w:hAnsiTheme="majorHAnsi"/>
          <w:bCs/>
          <w:sz w:val="16"/>
          <w:szCs w:val="16"/>
          <w:shd w:val="clear" w:color="auto" w:fill="FFFFFF"/>
        </w:rPr>
        <w:t xml:space="preserve"> v</w:t>
      </w:r>
      <w:r w:rsidRPr="00875A0D">
        <w:rPr>
          <w:rFonts w:asciiTheme="majorHAnsi" w:eastAsia="Times New Roman" w:hAnsiTheme="majorHAnsi"/>
          <w:bCs/>
          <w:sz w:val="16"/>
          <w:szCs w:val="16"/>
          <w:shd w:val="clear" w:color="auto" w:fill="FFFFFF"/>
        </w:rPr>
        <w:t>. Honduras.</w:t>
      </w:r>
      <w:proofErr w:type="gramEnd"/>
      <w:r w:rsidRPr="00875A0D">
        <w:rPr>
          <w:rFonts w:asciiTheme="majorHAnsi" w:eastAsia="Times New Roman" w:hAnsiTheme="majorHAnsi"/>
          <w:bCs/>
          <w:sz w:val="16"/>
          <w:szCs w:val="16"/>
          <w:shd w:val="clear" w:color="auto" w:fill="FFFFFF"/>
        </w:rPr>
        <w:t xml:space="preserve"> </w:t>
      </w:r>
      <w:proofErr w:type="gramStart"/>
      <w:r w:rsidRPr="00D02E8B">
        <w:rPr>
          <w:rFonts w:asciiTheme="majorHAnsi" w:eastAsia="Times New Roman" w:hAnsiTheme="majorHAnsi"/>
          <w:bCs/>
          <w:sz w:val="16"/>
          <w:szCs w:val="16"/>
          <w:shd w:val="clear" w:color="auto" w:fill="FFFFFF"/>
        </w:rPr>
        <w:t>Preliminary Objection</w:t>
      </w:r>
      <w:r w:rsidRPr="00875A0D">
        <w:rPr>
          <w:rFonts w:asciiTheme="majorHAnsi" w:eastAsia="Times New Roman" w:hAnsiTheme="majorHAnsi"/>
          <w:bCs/>
          <w:sz w:val="16"/>
          <w:szCs w:val="16"/>
          <w:shd w:val="clear" w:color="auto" w:fill="FFFFFF"/>
        </w:rPr>
        <w:t xml:space="preserve">, </w:t>
      </w:r>
      <w:r w:rsidRPr="00203A9B">
        <w:rPr>
          <w:rFonts w:asciiTheme="majorHAnsi" w:eastAsia="Times New Roman" w:hAnsiTheme="majorHAnsi"/>
          <w:bCs/>
          <w:sz w:val="16"/>
          <w:szCs w:val="16"/>
          <w:shd w:val="clear" w:color="auto" w:fill="FFFFFF"/>
        </w:rPr>
        <w:t>Merits, Reparations and Costs</w:t>
      </w:r>
      <w:r w:rsidRPr="00875A0D">
        <w:rPr>
          <w:rFonts w:asciiTheme="majorHAnsi" w:eastAsia="Times New Roman" w:hAnsiTheme="majorHAnsi"/>
          <w:bCs/>
          <w:sz w:val="16"/>
          <w:szCs w:val="16"/>
          <w:shd w:val="clear" w:color="auto" w:fill="FFFFFF"/>
        </w:rPr>
        <w:t>.</w:t>
      </w:r>
      <w:proofErr w:type="gramEnd"/>
      <w:r w:rsidRPr="00875A0D">
        <w:rPr>
          <w:rFonts w:asciiTheme="majorHAnsi" w:eastAsia="Times New Roman" w:hAnsiTheme="majorHAnsi"/>
          <w:bCs/>
          <w:sz w:val="16"/>
          <w:szCs w:val="16"/>
          <w:shd w:val="clear" w:color="auto" w:fill="FFFFFF"/>
        </w:rPr>
        <w:t xml:space="preserve"> </w:t>
      </w:r>
      <w:proofErr w:type="gramStart"/>
      <w:r w:rsidRPr="00203A9B">
        <w:rPr>
          <w:rFonts w:asciiTheme="majorHAnsi" w:eastAsia="Times New Roman" w:hAnsiTheme="majorHAnsi"/>
          <w:bCs/>
          <w:sz w:val="16"/>
          <w:szCs w:val="16"/>
          <w:shd w:val="clear" w:color="auto" w:fill="FFFFFF"/>
        </w:rPr>
        <w:t>Judgment of</w:t>
      </w:r>
      <w:r w:rsidRPr="00875A0D">
        <w:rPr>
          <w:rFonts w:asciiTheme="majorHAnsi" w:eastAsia="Times New Roman" w:hAnsiTheme="majorHAnsi"/>
          <w:bCs/>
          <w:sz w:val="16"/>
          <w:szCs w:val="16"/>
          <w:shd w:val="clear" w:color="auto" w:fill="FFFFFF"/>
        </w:rPr>
        <w:t xml:space="preserve"> </w:t>
      </w:r>
      <w:r>
        <w:rPr>
          <w:rFonts w:asciiTheme="majorHAnsi" w:eastAsia="Times New Roman" w:hAnsiTheme="majorHAnsi"/>
          <w:bCs/>
          <w:sz w:val="16"/>
          <w:szCs w:val="16"/>
          <w:shd w:val="clear" w:color="auto" w:fill="FFFFFF"/>
        </w:rPr>
        <w:t xml:space="preserve">October </w:t>
      </w:r>
      <w:r w:rsidRPr="00875A0D">
        <w:rPr>
          <w:rFonts w:asciiTheme="majorHAnsi" w:eastAsia="Times New Roman" w:hAnsiTheme="majorHAnsi"/>
          <w:bCs/>
          <w:sz w:val="16"/>
          <w:szCs w:val="16"/>
          <w:shd w:val="clear" w:color="auto" w:fill="FFFFFF"/>
        </w:rPr>
        <w:t>5</w:t>
      </w:r>
      <w:r>
        <w:rPr>
          <w:rFonts w:asciiTheme="majorHAnsi" w:eastAsia="Times New Roman" w:hAnsiTheme="majorHAnsi"/>
          <w:bCs/>
          <w:sz w:val="16"/>
          <w:szCs w:val="16"/>
          <w:shd w:val="clear" w:color="auto" w:fill="FFFFFF"/>
        </w:rPr>
        <w:t>,</w:t>
      </w:r>
      <w:r w:rsidRPr="00875A0D">
        <w:rPr>
          <w:rFonts w:asciiTheme="majorHAnsi" w:eastAsia="Times New Roman" w:hAnsiTheme="majorHAnsi"/>
          <w:bCs/>
          <w:sz w:val="16"/>
          <w:szCs w:val="16"/>
          <w:shd w:val="clear" w:color="auto" w:fill="FFFFFF"/>
        </w:rPr>
        <w:t xml:space="preserve"> 2015</w:t>
      </w:r>
      <w:r>
        <w:rPr>
          <w:rFonts w:asciiTheme="majorHAnsi" w:eastAsia="Times New Roman" w:hAnsiTheme="majorHAnsi"/>
          <w:bCs/>
          <w:sz w:val="16"/>
          <w:szCs w:val="16"/>
          <w:shd w:val="clear" w:color="auto" w:fill="FFFFFF"/>
        </w:rPr>
        <w:t xml:space="preserve">, </w:t>
      </w:r>
      <w:r w:rsidRPr="00203A9B">
        <w:rPr>
          <w:rFonts w:asciiTheme="majorHAnsi" w:eastAsia="Times New Roman" w:hAnsiTheme="majorHAnsi"/>
          <w:bCs/>
          <w:sz w:val="16"/>
          <w:szCs w:val="16"/>
          <w:shd w:val="clear" w:color="auto" w:fill="FFFFFF"/>
        </w:rPr>
        <w:t>Series C</w:t>
      </w:r>
      <w:r w:rsidRPr="00875A0D">
        <w:rPr>
          <w:rFonts w:asciiTheme="majorHAnsi" w:eastAsia="Times New Roman" w:hAnsiTheme="majorHAnsi"/>
          <w:bCs/>
          <w:sz w:val="16"/>
          <w:szCs w:val="16"/>
          <w:shd w:val="clear" w:color="auto" w:fill="FFFFFF"/>
        </w:rPr>
        <w:t xml:space="preserve"> No. 302, </w:t>
      </w:r>
      <w:r>
        <w:rPr>
          <w:rFonts w:asciiTheme="majorHAnsi" w:eastAsia="Times New Roman" w:hAnsiTheme="majorHAnsi"/>
          <w:bCs/>
          <w:sz w:val="16"/>
          <w:szCs w:val="16"/>
          <w:shd w:val="clear" w:color="auto" w:fill="FFFFFF"/>
        </w:rPr>
        <w:t>para.</w:t>
      </w:r>
      <w:proofErr w:type="gramEnd"/>
      <w:r w:rsidRPr="00875A0D">
        <w:rPr>
          <w:rFonts w:asciiTheme="majorHAnsi" w:eastAsia="Times New Roman" w:hAnsiTheme="majorHAnsi"/>
          <w:bCs/>
          <w:sz w:val="16"/>
          <w:szCs w:val="16"/>
          <w:shd w:val="clear" w:color="auto" w:fill="FFFFFF"/>
        </w:rPr>
        <w:t xml:space="preserve"> 192.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FB512A" w14:textId="77777777" w:rsidR="00D02D3C" w:rsidRDefault="00D02D3C" w:rsidP="00B153E5">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2265BE88" w14:textId="77777777" w:rsidR="00D02D3C" w:rsidRDefault="00D02D3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3300AB" w14:textId="77777777" w:rsidR="00D02D3C" w:rsidRDefault="00D02D3C" w:rsidP="002C1641">
    <w:pPr>
      <w:pStyle w:val="Header"/>
      <w:tabs>
        <w:tab w:val="clear" w:pos="4320"/>
        <w:tab w:val="clear" w:pos="8640"/>
      </w:tabs>
      <w:jc w:val="center"/>
      <w:rPr>
        <w:sz w:val="22"/>
        <w:szCs w:val="22"/>
      </w:rPr>
    </w:pPr>
    <w:r>
      <w:rPr>
        <w:noProof/>
        <w:sz w:val="22"/>
        <w:szCs w:val="22"/>
        <w:lang w:val="es-UY" w:eastAsia="es-UY"/>
      </w:rPr>
      <w:drawing>
        <wp:inline distT="0" distB="0" distL="0" distR="0" wp14:anchorId="079BF086" wp14:editId="0466E820">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14:paraId="16AD6655" w14:textId="77777777" w:rsidR="00D02D3C" w:rsidRPr="00EC7D62" w:rsidRDefault="00397E46" w:rsidP="002C1641">
    <w:pPr>
      <w:pStyle w:val="Header"/>
      <w:tabs>
        <w:tab w:val="clear" w:pos="4320"/>
        <w:tab w:val="clear" w:pos="8640"/>
      </w:tabs>
      <w:jc w:val="center"/>
      <w:rPr>
        <w:sz w:val="22"/>
        <w:szCs w:val="22"/>
      </w:rPr>
    </w:pPr>
    <w:r>
      <w:rPr>
        <w:sz w:val="22"/>
        <w:szCs w:val="22"/>
      </w:rPr>
      <w:pict w14:anchorId="7AE3C3E0">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119333" w14:textId="77777777" w:rsidR="00D02D3C" w:rsidRDefault="00D02D3C" w:rsidP="00B153E5">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1448D4CF" w14:textId="77777777" w:rsidR="00D02D3C" w:rsidRDefault="00D02D3C">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BF9FD7" w14:textId="77777777" w:rsidR="00D02D3C" w:rsidRDefault="00D02D3C" w:rsidP="009D75D4">
    <w:pPr>
      <w:pStyle w:val="Header"/>
      <w:tabs>
        <w:tab w:val="clear" w:pos="4320"/>
        <w:tab w:val="clear" w:pos="8640"/>
      </w:tabs>
      <w:jc w:val="center"/>
      <w:rPr>
        <w:sz w:val="22"/>
        <w:szCs w:val="22"/>
      </w:rPr>
    </w:pPr>
    <w:r>
      <w:rPr>
        <w:noProof/>
        <w:sz w:val="22"/>
        <w:szCs w:val="22"/>
        <w:lang w:val="es-UY" w:eastAsia="es-UY"/>
      </w:rPr>
      <w:drawing>
        <wp:inline distT="0" distB="0" distL="0" distR="0" wp14:anchorId="0EDE67AE" wp14:editId="053C4911">
          <wp:extent cx="2209800" cy="117396"/>
          <wp:effectExtent l="0" t="0" r="0" b="0"/>
          <wp:docPr id="10" name="Picture 10"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14:paraId="4A63E9A0" w14:textId="77777777" w:rsidR="00D02D3C" w:rsidRPr="00EC7D62" w:rsidRDefault="00397E46" w:rsidP="009D75D4">
    <w:pPr>
      <w:pStyle w:val="Header"/>
      <w:tabs>
        <w:tab w:val="clear" w:pos="4320"/>
        <w:tab w:val="clear" w:pos="8640"/>
      </w:tabs>
      <w:jc w:val="center"/>
      <w:rPr>
        <w:sz w:val="22"/>
        <w:szCs w:val="22"/>
      </w:rPr>
    </w:pPr>
    <w:r>
      <w:rPr>
        <w:sz w:val="22"/>
        <w:szCs w:val="22"/>
      </w:rPr>
      <w:pict w14:anchorId="74CBD642">
        <v:rect id="_x0000_i1026" style="width:0;height:1.5pt" o:hralign="center" o:hrstd="t" o:hr="t" fillcolor="#a0a0a0" stroked="f"/>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2F3CFC" w14:textId="77777777" w:rsidR="00D02D3C" w:rsidRDefault="00D02D3C" w:rsidP="00D2487B">
    <w:pPr>
      <w:pStyle w:val="Header"/>
      <w:tabs>
        <w:tab w:val="clear" w:pos="4320"/>
        <w:tab w:val="clear" w:pos="8640"/>
      </w:tabs>
      <w:jc w:val="center"/>
      <w:rPr>
        <w:sz w:val="22"/>
        <w:szCs w:val="22"/>
      </w:rPr>
    </w:pPr>
    <w:r>
      <w:rPr>
        <w:noProof/>
        <w:sz w:val="22"/>
        <w:szCs w:val="22"/>
        <w:lang w:val="es-UY" w:eastAsia="es-UY"/>
      </w:rPr>
      <w:drawing>
        <wp:inline distT="0" distB="0" distL="0" distR="0" wp14:anchorId="4AE78DF3" wp14:editId="303D7361">
          <wp:extent cx="2209800" cy="117396"/>
          <wp:effectExtent l="0" t="0" r="0" b="0"/>
          <wp:docPr id="9" name="Picture 9"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14:paraId="2A43589B" w14:textId="77777777" w:rsidR="00D02D3C" w:rsidRPr="00EC7D62" w:rsidRDefault="00397E46" w:rsidP="00D2487B">
    <w:pPr>
      <w:pStyle w:val="Header"/>
      <w:tabs>
        <w:tab w:val="clear" w:pos="4320"/>
        <w:tab w:val="clear" w:pos="8640"/>
      </w:tabs>
      <w:jc w:val="center"/>
      <w:rPr>
        <w:sz w:val="22"/>
        <w:szCs w:val="22"/>
      </w:rPr>
    </w:pPr>
    <w:r>
      <w:rPr>
        <w:sz w:val="22"/>
        <w:szCs w:val="22"/>
      </w:rPr>
      <w:pict w14:anchorId="40800A62">
        <v:rect id="_x0000_i1027" style="width:0;height:1.5pt" o:hralign="center" o:hrstd="t" o:hr="t" fillcolor="#a0a0a0"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A090328C"/>
    <w:lvl w:ilvl="0">
      <w:start w:val="1"/>
      <w:numFmt w:val="bullet"/>
      <w:pStyle w:val="NoSpacing"/>
      <w:lvlText w:val=""/>
      <w:lvlJc w:val="left"/>
      <w:pPr>
        <w:tabs>
          <w:tab w:val="num" w:pos="0"/>
        </w:tabs>
      </w:pPr>
      <w:rPr>
        <w:rFonts w:ascii="Symbol" w:hAnsi="Symbol" w:hint="default"/>
      </w:rPr>
    </w:lvl>
    <w:lvl w:ilvl="1">
      <w:start w:val="1"/>
      <w:numFmt w:val="bullet"/>
      <w:pStyle w:val="LightShading1"/>
      <w:lvlText w:val=""/>
      <w:lvlJc w:val="left"/>
      <w:pPr>
        <w:tabs>
          <w:tab w:val="num" w:pos="720"/>
        </w:tabs>
        <w:ind w:left="1080" w:hanging="360"/>
      </w:pPr>
      <w:rPr>
        <w:rFonts w:ascii="Symbol" w:hAnsi="Symbol" w:hint="default"/>
      </w:rPr>
    </w:lvl>
    <w:lvl w:ilvl="2">
      <w:start w:val="1"/>
      <w:numFmt w:val="bullet"/>
      <w:pStyle w:val="LightList1"/>
      <w:lvlText w:val="o"/>
      <w:lvlJc w:val="left"/>
      <w:pPr>
        <w:tabs>
          <w:tab w:val="num" w:pos="1440"/>
        </w:tabs>
        <w:ind w:left="1800" w:hanging="360"/>
      </w:pPr>
      <w:rPr>
        <w:rFonts w:ascii="Courier New" w:hAnsi="Courier New" w:hint="default"/>
      </w:rPr>
    </w:lvl>
    <w:lvl w:ilvl="3">
      <w:start w:val="1"/>
      <w:numFmt w:val="bullet"/>
      <w:pStyle w:val="LightGrid1"/>
      <w:lvlText w:val=""/>
      <w:lvlJc w:val="left"/>
      <w:pPr>
        <w:tabs>
          <w:tab w:val="num" w:pos="2160"/>
        </w:tabs>
        <w:ind w:left="2520" w:hanging="360"/>
      </w:pPr>
      <w:rPr>
        <w:rFonts w:ascii="Wingdings" w:hAnsi="Wingdings" w:hint="default"/>
      </w:rPr>
    </w:lvl>
    <w:lvl w:ilvl="4">
      <w:start w:val="1"/>
      <w:numFmt w:val="bullet"/>
      <w:pStyle w:val="MediumShading11"/>
      <w:lvlText w:val=""/>
      <w:lvlJc w:val="left"/>
      <w:pPr>
        <w:tabs>
          <w:tab w:val="num" w:pos="2880"/>
        </w:tabs>
        <w:ind w:left="3240" w:hanging="360"/>
      </w:pPr>
      <w:rPr>
        <w:rFonts w:ascii="Wingdings" w:hAnsi="Wingdings" w:hint="default"/>
      </w:rPr>
    </w:lvl>
    <w:lvl w:ilvl="5">
      <w:start w:val="1"/>
      <w:numFmt w:val="bullet"/>
      <w:pStyle w:val="MediumShading21"/>
      <w:lvlText w:val=""/>
      <w:lvlJc w:val="left"/>
      <w:pPr>
        <w:tabs>
          <w:tab w:val="num" w:pos="3600"/>
        </w:tabs>
        <w:ind w:left="3960" w:hanging="360"/>
      </w:pPr>
      <w:rPr>
        <w:rFonts w:ascii="Symbol" w:hAnsi="Symbol" w:hint="default"/>
      </w:rPr>
    </w:lvl>
    <w:lvl w:ilvl="6">
      <w:start w:val="1"/>
      <w:numFmt w:val="bullet"/>
      <w:pStyle w:val="MediumList11"/>
      <w:lvlText w:val="o"/>
      <w:lvlJc w:val="left"/>
      <w:pPr>
        <w:tabs>
          <w:tab w:val="num" w:pos="4320"/>
        </w:tabs>
        <w:ind w:left="4680" w:hanging="360"/>
      </w:pPr>
      <w:rPr>
        <w:rFonts w:ascii="Courier New" w:hAnsi="Courier New" w:hint="default"/>
      </w:rPr>
    </w:lvl>
    <w:lvl w:ilvl="7">
      <w:start w:val="1"/>
      <w:numFmt w:val="bullet"/>
      <w:pStyle w:val="MediumList21"/>
      <w:lvlText w:val=""/>
      <w:lvlJc w:val="left"/>
      <w:pPr>
        <w:tabs>
          <w:tab w:val="num" w:pos="5040"/>
        </w:tabs>
        <w:ind w:left="5400" w:hanging="360"/>
      </w:pPr>
      <w:rPr>
        <w:rFonts w:ascii="Wingdings" w:hAnsi="Wingdings" w:hint="default"/>
      </w:rPr>
    </w:lvl>
    <w:lvl w:ilvl="8">
      <w:start w:val="1"/>
      <w:numFmt w:val="bullet"/>
      <w:pStyle w:val="Estilo5"/>
      <w:lvlText w:val=""/>
      <w:lvlJc w:val="left"/>
      <w:pPr>
        <w:tabs>
          <w:tab w:val="num" w:pos="5760"/>
        </w:tabs>
        <w:ind w:left="6120" w:hanging="360"/>
      </w:pPr>
      <w:rPr>
        <w:rFonts w:ascii="Wingdings" w:hAnsi="Wingdings" w:hint="default"/>
      </w:rPr>
    </w:lvl>
  </w:abstractNum>
  <w:abstractNum w:abstractNumId="1">
    <w:nsid w:val="017C29CB"/>
    <w:multiLevelType w:val="multilevel"/>
    <w:tmpl w:val="4CBC4D1C"/>
    <w:lvl w:ilvl="0">
      <w:start w:val="1"/>
      <w:numFmt w:val="decimal"/>
      <w:lvlText w:val="%1."/>
      <w:lvlJc w:val="left"/>
      <w:pPr>
        <w:ind w:left="1080" w:hanging="360"/>
      </w:pPr>
      <w:rPr>
        <w:rFonts w:hint="default"/>
        <w:i w:val="0"/>
        <w:lang w:val="es-UY"/>
      </w:rPr>
    </w:lvl>
    <w:lvl w:ilvl="1">
      <w:start w:val="1"/>
      <w:numFmt w:val="decimal"/>
      <w:isLgl/>
      <w:lvlText w:val="%1.%2"/>
      <w:lvlJc w:val="left"/>
      <w:pPr>
        <w:ind w:left="1080" w:hanging="360"/>
      </w:pPr>
      <w:rPr>
        <w:rFonts w:hint="default"/>
        <w:i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
    <w:nsid w:val="02AD4BB1"/>
    <w:multiLevelType w:val="multilevel"/>
    <w:tmpl w:val="3C5C251C"/>
    <w:lvl w:ilvl="0">
      <w:start w:val="1"/>
      <w:numFmt w:val="decimal"/>
      <w:lvlText w:val="%1."/>
      <w:lvlJc w:val="left"/>
      <w:pPr>
        <w:ind w:left="1080" w:hanging="360"/>
      </w:pPr>
      <w:rPr>
        <w:rFonts w:hint="default"/>
        <w:lang w:val="es-UY"/>
      </w:rPr>
    </w:lvl>
    <w:lvl w:ilvl="1">
      <w:start w:val="1"/>
      <w:numFmt w:val="decimal"/>
      <w:isLgl/>
      <w:lvlText w:val="%1.%2"/>
      <w:lvlJc w:val="left"/>
      <w:pPr>
        <w:ind w:left="1080" w:hanging="360"/>
      </w:pPr>
      <w:rPr>
        <w:rFonts w:hint="default"/>
        <w:i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
    <w:nsid w:val="05996D6D"/>
    <w:multiLevelType w:val="multilevel"/>
    <w:tmpl w:val="37C4B254"/>
    <w:styleLink w:val="List511"/>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
    <w:nsid w:val="0A24295F"/>
    <w:multiLevelType w:val="hybridMultilevel"/>
    <w:tmpl w:val="3B60649A"/>
    <w:lvl w:ilvl="0" w:tplc="EF88D450">
      <w:start w:val="1"/>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
    <w:nsid w:val="0E0C22D1"/>
    <w:multiLevelType w:val="multilevel"/>
    <w:tmpl w:val="C8D88BBA"/>
    <w:styleLink w:val="List41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nsid w:val="1214479D"/>
    <w:multiLevelType w:val="hybridMultilevel"/>
    <w:tmpl w:val="0F3A8BBC"/>
    <w:lvl w:ilvl="0" w:tplc="205244F2">
      <w:start w:val="1"/>
      <w:numFmt w:val="upperLetter"/>
      <w:pStyle w:val="Heading2"/>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1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2">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5">
    <w:nsid w:val="1F7A4C80"/>
    <w:multiLevelType w:val="multilevel"/>
    <w:tmpl w:val="3886B7F0"/>
    <w:styleLink w:val="List31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8">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nsid w:val="2D5856E2"/>
    <w:multiLevelType w:val="multilevel"/>
    <w:tmpl w:val="CA84D204"/>
    <w:styleLink w:val="List511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5">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nsid w:val="3C430424"/>
    <w:multiLevelType w:val="hybridMultilevel"/>
    <w:tmpl w:val="28EC4CF0"/>
    <w:lvl w:ilvl="0" w:tplc="16B68ACC">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nsid w:val="42DF19D7"/>
    <w:multiLevelType w:val="multilevel"/>
    <w:tmpl w:val="E7265BB0"/>
    <w:styleLink w:val="List3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nsid w:val="444006B9"/>
    <w:multiLevelType w:val="multilevel"/>
    <w:tmpl w:val="1090D1D4"/>
    <w:styleLink w:val="List21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nsid w:val="450210F6"/>
    <w:multiLevelType w:val="hybridMultilevel"/>
    <w:tmpl w:val="EE605FD6"/>
    <w:lvl w:ilvl="0" w:tplc="6974F566">
      <w:start w:val="1"/>
      <w:numFmt w:val="upp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1">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nsid w:val="50521DA1"/>
    <w:multiLevelType w:val="multilevel"/>
    <w:tmpl w:val="06207D7E"/>
    <w:styleLink w:val="List41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nsid w:val="54533009"/>
    <w:multiLevelType w:val="multilevel"/>
    <w:tmpl w:val="E592B904"/>
    <w:styleLink w:val="List211"/>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nsid w:val="5A6F18B1"/>
    <w:multiLevelType w:val="hybridMultilevel"/>
    <w:tmpl w:val="4F6EB80A"/>
    <w:lvl w:ilvl="0" w:tplc="5FA84D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8">
    <w:nsid w:val="5BF62682"/>
    <w:multiLevelType w:val="multilevel"/>
    <w:tmpl w:val="44B09150"/>
    <w:styleLink w:val="List5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nsid w:val="5D7D4B9D"/>
    <w:multiLevelType w:val="hybridMultilevel"/>
    <w:tmpl w:val="D2AA775E"/>
    <w:lvl w:ilvl="0" w:tplc="9E0CAF0C">
      <w:start w:val="1"/>
      <w:numFmt w:val="decimal"/>
      <w:lvlText w:val="%1."/>
      <w:lvlJc w:val="left"/>
      <w:pPr>
        <w:ind w:left="1440" w:hanging="360"/>
      </w:pPr>
      <w:rPr>
        <w:rFonts w:ascii="Cambria" w:hAnsi="Cambria" w:hint="default"/>
        <w:b w:val="0"/>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5FEE074E"/>
    <w:multiLevelType w:val="hybridMultilevel"/>
    <w:tmpl w:val="80D4C4E6"/>
    <w:lvl w:ilvl="0" w:tplc="5EA65946">
      <w:start w:val="1"/>
      <w:numFmt w:val="decimal"/>
      <w:pStyle w:val="Heading3"/>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3">
    <w:nsid w:val="66A101BB"/>
    <w:multiLevelType w:val="hybridMultilevel"/>
    <w:tmpl w:val="279AC5B0"/>
    <w:lvl w:ilvl="0" w:tplc="CB3E82CC">
      <w:start w:val="1"/>
      <w:numFmt w:val="upperRoman"/>
      <w:lvlText w:val="%1."/>
      <w:lvlJc w:val="left"/>
      <w:pPr>
        <w:tabs>
          <w:tab w:val="num" w:pos="1440"/>
        </w:tabs>
        <w:ind w:left="1440" w:hanging="720"/>
      </w:pPr>
      <w:rPr>
        <w:rFonts w:cs="Times New Roman" w:hint="default"/>
        <w:b/>
      </w:rPr>
    </w:lvl>
    <w:lvl w:ilvl="1" w:tplc="A8DA3D38">
      <w:start w:val="1"/>
      <w:numFmt w:val="decimal"/>
      <w:lvlText w:val="%2."/>
      <w:lvlJc w:val="left"/>
      <w:pPr>
        <w:tabs>
          <w:tab w:val="num" w:pos="1800"/>
        </w:tabs>
        <w:ind w:left="1800" w:hanging="360"/>
      </w:pPr>
      <w:rPr>
        <w:rFonts w:cs="Times New Roman" w:hint="default"/>
        <w:b/>
        <w:color w:val="auto"/>
      </w:rPr>
    </w:lvl>
    <w:lvl w:ilvl="2" w:tplc="881EAA16">
      <w:start w:val="1"/>
      <w:numFmt w:val="lowerLetter"/>
      <w:lvlText w:val="%3)"/>
      <w:lvlJc w:val="left"/>
      <w:pPr>
        <w:tabs>
          <w:tab w:val="num" w:pos="2700"/>
        </w:tabs>
        <w:ind w:left="2700" w:hanging="360"/>
      </w:pPr>
      <w:rPr>
        <w:rFonts w:cs="Times New Roman" w:hint="default"/>
      </w:rPr>
    </w:lvl>
    <w:lvl w:ilvl="3" w:tplc="B87E3F4A">
      <w:start w:val="2"/>
      <w:numFmt w:val="upperLetter"/>
      <w:lvlText w:val="%4."/>
      <w:lvlJc w:val="left"/>
      <w:pPr>
        <w:tabs>
          <w:tab w:val="num" w:pos="3240"/>
        </w:tabs>
        <w:ind w:left="3240" w:hanging="360"/>
      </w:pPr>
      <w:rPr>
        <w:rFonts w:cs="Times New Roman" w:hint="default"/>
      </w:rPr>
    </w:lvl>
    <w:lvl w:ilvl="4" w:tplc="817A8DEA">
      <w:start w:val="5"/>
      <w:numFmt w:val="bullet"/>
      <w:lvlText w:val="-"/>
      <w:lvlJc w:val="left"/>
      <w:pPr>
        <w:ind w:left="3960" w:hanging="360"/>
      </w:pPr>
      <w:rPr>
        <w:rFonts w:ascii="Cambria" w:eastAsia="Arial Unicode MS" w:hAnsi="Cambria" w:cs="Times New Roman" w:hint="default"/>
      </w:rPr>
    </w:lvl>
    <w:lvl w:ilvl="5" w:tplc="4E58E810">
      <w:start w:val="2"/>
      <w:numFmt w:val="lowerLetter"/>
      <w:lvlText w:val="%6."/>
      <w:lvlJc w:val="left"/>
      <w:pPr>
        <w:ind w:left="4860" w:hanging="360"/>
      </w:pPr>
      <w:rPr>
        <w:rFonts w:hint="default"/>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54">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5">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nsid w:val="70786ED7"/>
    <w:multiLevelType w:val="hybridMultilevel"/>
    <w:tmpl w:val="4D1EC52E"/>
    <w:lvl w:ilvl="0" w:tplc="F808E086">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nsid w:val="7CE64D32"/>
    <w:multiLevelType w:val="hybridMultilevel"/>
    <w:tmpl w:val="9F8AF72C"/>
    <w:lvl w:ilvl="0" w:tplc="B09255D8">
      <w:start w:val="1"/>
      <w:numFmt w:val="decimal"/>
      <w:lvlText w:val="%1."/>
      <w:lvlJc w:val="left"/>
      <w:pPr>
        <w:tabs>
          <w:tab w:val="num" w:pos="0"/>
        </w:tabs>
      </w:pPr>
      <w:rPr>
        <w:rFonts w:ascii="Verdana" w:eastAsia="Times New Roman" w:hAnsi="Verdana" w:cs="Times New Roman" w:hint="default"/>
        <w:b w:val="0"/>
        <w:i w:val="0"/>
        <w:strike w:val="0"/>
        <w:color w:val="auto"/>
        <w:sz w:val="20"/>
      </w:rPr>
    </w:lvl>
    <w:lvl w:ilvl="1" w:tplc="3AAA13E2">
      <w:start w:val="1"/>
      <w:numFmt w:val="decimal"/>
      <w:lvlText w:val="%2."/>
      <w:lvlJc w:val="left"/>
      <w:pPr>
        <w:tabs>
          <w:tab w:val="num" w:pos="0"/>
        </w:tabs>
      </w:pPr>
      <w:rPr>
        <w:rFonts w:ascii="Verdana" w:eastAsia="Times New Roman" w:hAnsi="Verdana" w:cs="Times New Roman" w:hint="default"/>
        <w:b/>
        <w:i w:val="0"/>
        <w:strike w:val="0"/>
        <w:color w:val="auto"/>
        <w:sz w:val="20"/>
      </w:rPr>
    </w:lvl>
    <w:lvl w:ilvl="2" w:tplc="0409001B">
      <w:start w:val="1"/>
      <w:numFmt w:val="lowerRoman"/>
      <w:pStyle w:val="Estilo7"/>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4">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7"/>
  </w:num>
  <w:num w:numId="2">
    <w:abstractNumId w:val="9"/>
  </w:num>
  <w:num w:numId="3">
    <w:abstractNumId w:val="59"/>
  </w:num>
  <w:num w:numId="4">
    <w:abstractNumId w:val="24"/>
  </w:num>
  <w:num w:numId="5">
    <w:abstractNumId w:val="52"/>
  </w:num>
  <w:num w:numId="6">
    <w:abstractNumId w:val="29"/>
  </w:num>
  <w:num w:numId="7">
    <w:abstractNumId w:val="10"/>
  </w:num>
  <w:num w:numId="8">
    <w:abstractNumId w:val="22"/>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9">
    <w:abstractNumId w:val="20"/>
  </w:num>
  <w:num w:numId="10">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1">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2">
    <w:abstractNumId w:val="1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3">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45"/>
  </w:num>
  <w:num w:numId="15">
    <w:abstractNumId w:val="3"/>
  </w:num>
  <w:num w:numId="16">
    <w:abstractNumId w:val="40"/>
  </w:num>
  <w:num w:numId="17">
    <w:abstractNumId w:val="41"/>
  </w:num>
  <w:num w:numId="18">
    <w:abstractNumId w:val="47"/>
  </w:num>
  <w:num w:numId="19">
    <w:abstractNumId w:val="4"/>
  </w:num>
  <w:num w:numId="20">
    <w:abstractNumId w:val="6"/>
  </w:num>
  <w:num w:numId="21">
    <w:abstractNumId w:val="11"/>
  </w:num>
  <w:num w:numId="22">
    <w:abstractNumId w:val="12"/>
  </w:num>
  <w:num w:numId="23">
    <w:abstractNumId w:val="13"/>
  </w:num>
  <w:num w:numId="24">
    <w:abstractNumId w:val="14"/>
  </w:num>
  <w:num w:numId="25">
    <w:abstractNumId w:val="15"/>
  </w:num>
  <w:num w:numId="26">
    <w:abstractNumId w:val="16"/>
  </w:num>
  <w:num w:numId="27">
    <w:abstractNumId w:val="17"/>
  </w:num>
  <w:num w:numId="28">
    <w:abstractNumId w:val="18"/>
  </w:num>
  <w:num w:numId="29">
    <w:abstractNumId w:val="19"/>
  </w:num>
  <w:num w:numId="30">
    <w:abstractNumId w:val="21"/>
  </w:num>
  <w:num w:numId="31">
    <w:abstractNumId w:val="22"/>
  </w:num>
  <w:num w:numId="32">
    <w:abstractNumId w:val="25"/>
  </w:num>
  <w:num w:numId="33">
    <w:abstractNumId w:val="26"/>
  </w:num>
  <w:num w:numId="34">
    <w:abstractNumId w:val="27"/>
  </w:num>
  <w:num w:numId="35">
    <w:abstractNumId w:val="28"/>
  </w:num>
  <w:num w:numId="36">
    <w:abstractNumId w:val="30"/>
  </w:num>
  <w:num w:numId="37">
    <w:abstractNumId w:val="32"/>
  </w:num>
  <w:num w:numId="38">
    <w:abstractNumId w:val="33"/>
  </w:num>
  <w:num w:numId="39">
    <w:abstractNumId w:val="34"/>
  </w:num>
  <w:num w:numId="40">
    <w:abstractNumId w:val="35"/>
  </w:num>
  <w:num w:numId="41">
    <w:abstractNumId w:val="37"/>
  </w:num>
  <w:num w:numId="42">
    <w:abstractNumId w:val="38"/>
  </w:num>
  <w:num w:numId="43">
    <w:abstractNumId w:val="39"/>
  </w:num>
  <w:num w:numId="44">
    <w:abstractNumId w:val="42"/>
  </w:num>
  <w:num w:numId="45">
    <w:abstractNumId w:val="43"/>
  </w:num>
  <w:num w:numId="46">
    <w:abstractNumId w:val="51"/>
  </w:num>
  <w:num w:numId="47">
    <w:abstractNumId w:val="54"/>
  </w:num>
  <w:num w:numId="48">
    <w:abstractNumId w:val="55"/>
  </w:num>
  <w:num w:numId="49">
    <w:abstractNumId w:val="57"/>
  </w:num>
  <w:num w:numId="50">
    <w:abstractNumId w:val="58"/>
  </w:num>
  <w:num w:numId="51">
    <w:abstractNumId w:val="60"/>
  </w:num>
  <w:num w:numId="52">
    <w:abstractNumId w:val="61"/>
  </w:num>
  <w:num w:numId="53">
    <w:abstractNumId w:val="62"/>
  </w:num>
  <w:num w:numId="54">
    <w:abstractNumId w:val="64"/>
  </w:num>
  <w:num w:numId="55">
    <w:abstractNumId w:val="65"/>
  </w:num>
  <w:num w:numId="56">
    <w:abstractNumId w:val="23"/>
  </w:num>
  <w:num w:numId="57">
    <w:abstractNumId w:val="44"/>
  </w:num>
  <w:num w:numId="58">
    <w:abstractNumId w:val="56"/>
  </w:num>
  <w:num w:numId="59">
    <w:abstractNumId w:val="48"/>
  </w:num>
  <w:num w:numId="60">
    <w:abstractNumId w:val="49"/>
  </w:num>
  <w:num w:numId="61">
    <w:abstractNumId w:val="8"/>
  </w:num>
  <w:num w:numId="62">
    <w:abstractNumId w:val="50"/>
  </w:num>
  <w:num w:numId="63">
    <w:abstractNumId w:val="5"/>
  </w:num>
  <w:num w:numId="64">
    <w:abstractNumId w:val="46"/>
  </w:num>
  <w:num w:numId="65">
    <w:abstractNumId w:val="2"/>
  </w:num>
  <w:num w:numId="66">
    <w:abstractNumId w:val="53"/>
  </w:num>
  <w:num w:numId="67">
    <w:abstractNumId w:val="0"/>
  </w:num>
  <w:num w:numId="68">
    <w:abstractNumId w:val="63"/>
  </w:num>
  <w:num w:numId="69">
    <w:abstractNumId w:val="31"/>
  </w:num>
  <w:num w:numId="70">
    <w:abstractNumId w:val="36"/>
  </w:num>
  <w:num w:numId="71">
    <w:abstractNumId w:val="1"/>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D5C"/>
    <w:rsid w:val="0000036F"/>
    <w:rsid w:val="00000CDA"/>
    <w:rsid w:val="00001526"/>
    <w:rsid w:val="0000174B"/>
    <w:rsid w:val="00002B9A"/>
    <w:rsid w:val="00002EA4"/>
    <w:rsid w:val="000046AF"/>
    <w:rsid w:val="000066FF"/>
    <w:rsid w:val="000070D7"/>
    <w:rsid w:val="00007D91"/>
    <w:rsid w:val="00007EE0"/>
    <w:rsid w:val="00011004"/>
    <w:rsid w:val="000111A8"/>
    <w:rsid w:val="00011CC1"/>
    <w:rsid w:val="00012590"/>
    <w:rsid w:val="0001317A"/>
    <w:rsid w:val="0001461C"/>
    <w:rsid w:val="00015870"/>
    <w:rsid w:val="00015FE0"/>
    <w:rsid w:val="00017867"/>
    <w:rsid w:val="0001788C"/>
    <w:rsid w:val="000229E4"/>
    <w:rsid w:val="00023656"/>
    <w:rsid w:val="000273BA"/>
    <w:rsid w:val="00035512"/>
    <w:rsid w:val="00036279"/>
    <w:rsid w:val="00036A8A"/>
    <w:rsid w:val="000376CB"/>
    <w:rsid w:val="00037DCB"/>
    <w:rsid w:val="000403DA"/>
    <w:rsid w:val="00040C3A"/>
    <w:rsid w:val="00040D7A"/>
    <w:rsid w:val="00045121"/>
    <w:rsid w:val="0004548D"/>
    <w:rsid w:val="000459DE"/>
    <w:rsid w:val="000529C9"/>
    <w:rsid w:val="00055F8C"/>
    <w:rsid w:val="000573E5"/>
    <w:rsid w:val="00060F25"/>
    <w:rsid w:val="000617AA"/>
    <w:rsid w:val="000626E1"/>
    <w:rsid w:val="00062C3F"/>
    <w:rsid w:val="000639C0"/>
    <w:rsid w:val="00064EC9"/>
    <w:rsid w:val="000657C8"/>
    <w:rsid w:val="000674CE"/>
    <w:rsid w:val="00067D39"/>
    <w:rsid w:val="00070CD3"/>
    <w:rsid w:val="00070F3A"/>
    <w:rsid w:val="000716C5"/>
    <w:rsid w:val="0007284A"/>
    <w:rsid w:val="00073554"/>
    <w:rsid w:val="00073C85"/>
    <w:rsid w:val="000758C9"/>
    <w:rsid w:val="00075E23"/>
    <w:rsid w:val="000767A3"/>
    <w:rsid w:val="0008035F"/>
    <w:rsid w:val="000809D2"/>
    <w:rsid w:val="00081D23"/>
    <w:rsid w:val="0008260D"/>
    <w:rsid w:val="00082F50"/>
    <w:rsid w:val="00083B72"/>
    <w:rsid w:val="000851B8"/>
    <w:rsid w:val="00085A24"/>
    <w:rsid w:val="00086910"/>
    <w:rsid w:val="00092F32"/>
    <w:rsid w:val="0009344A"/>
    <w:rsid w:val="00093C3B"/>
    <w:rsid w:val="000A13DB"/>
    <w:rsid w:val="000A1483"/>
    <w:rsid w:val="000A2A86"/>
    <w:rsid w:val="000A566E"/>
    <w:rsid w:val="000A575F"/>
    <w:rsid w:val="000B0215"/>
    <w:rsid w:val="000B3B9F"/>
    <w:rsid w:val="000B58AE"/>
    <w:rsid w:val="000B5E7C"/>
    <w:rsid w:val="000B6CD6"/>
    <w:rsid w:val="000C0623"/>
    <w:rsid w:val="000C1031"/>
    <w:rsid w:val="000C10C2"/>
    <w:rsid w:val="000C13C7"/>
    <w:rsid w:val="000C14E7"/>
    <w:rsid w:val="000C3341"/>
    <w:rsid w:val="000C457F"/>
    <w:rsid w:val="000C46D8"/>
    <w:rsid w:val="000C520B"/>
    <w:rsid w:val="000C6729"/>
    <w:rsid w:val="000D10DB"/>
    <w:rsid w:val="000D5687"/>
    <w:rsid w:val="000D5878"/>
    <w:rsid w:val="000D5CAB"/>
    <w:rsid w:val="000D62C2"/>
    <w:rsid w:val="000D71B3"/>
    <w:rsid w:val="000E2254"/>
    <w:rsid w:val="000E3B22"/>
    <w:rsid w:val="000E505B"/>
    <w:rsid w:val="000F1749"/>
    <w:rsid w:val="000F3E54"/>
    <w:rsid w:val="000F5A0A"/>
    <w:rsid w:val="00101650"/>
    <w:rsid w:val="00104042"/>
    <w:rsid w:val="0010545A"/>
    <w:rsid w:val="00105D7F"/>
    <w:rsid w:val="00106B3A"/>
    <w:rsid w:val="00107821"/>
    <w:rsid w:val="0011250D"/>
    <w:rsid w:val="00112F92"/>
    <w:rsid w:val="00114926"/>
    <w:rsid w:val="00116E84"/>
    <w:rsid w:val="001201BC"/>
    <w:rsid w:val="00120200"/>
    <w:rsid w:val="00122852"/>
    <w:rsid w:val="00124463"/>
    <w:rsid w:val="00125250"/>
    <w:rsid w:val="00125E5D"/>
    <w:rsid w:val="0012613F"/>
    <w:rsid w:val="00127470"/>
    <w:rsid w:val="00130C17"/>
    <w:rsid w:val="0013104F"/>
    <w:rsid w:val="00131EC8"/>
    <w:rsid w:val="001326EC"/>
    <w:rsid w:val="00133E3A"/>
    <w:rsid w:val="00134F90"/>
    <w:rsid w:val="00135E8D"/>
    <w:rsid w:val="001361E3"/>
    <w:rsid w:val="00137BCF"/>
    <w:rsid w:val="00137EBA"/>
    <w:rsid w:val="00141D1E"/>
    <w:rsid w:val="00142CB6"/>
    <w:rsid w:val="00145EDC"/>
    <w:rsid w:val="00146C6A"/>
    <w:rsid w:val="00150010"/>
    <w:rsid w:val="001520A3"/>
    <w:rsid w:val="001546B8"/>
    <w:rsid w:val="00160838"/>
    <w:rsid w:val="001628A0"/>
    <w:rsid w:val="00163478"/>
    <w:rsid w:val="00163B4E"/>
    <w:rsid w:val="00163CA8"/>
    <w:rsid w:val="00167408"/>
    <w:rsid w:val="00167980"/>
    <w:rsid w:val="00167A34"/>
    <w:rsid w:val="001728CD"/>
    <w:rsid w:val="001756DC"/>
    <w:rsid w:val="00176493"/>
    <w:rsid w:val="001801CE"/>
    <w:rsid w:val="00180361"/>
    <w:rsid w:val="0018037F"/>
    <w:rsid w:val="0018064B"/>
    <w:rsid w:val="0018094D"/>
    <w:rsid w:val="00181DED"/>
    <w:rsid w:val="00182A7F"/>
    <w:rsid w:val="00184860"/>
    <w:rsid w:val="001855B7"/>
    <w:rsid w:val="00185C4A"/>
    <w:rsid w:val="00190D5D"/>
    <w:rsid w:val="00194AF2"/>
    <w:rsid w:val="0019584E"/>
    <w:rsid w:val="00197228"/>
    <w:rsid w:val="00197719"/>
    <w:rsid w:val="001A0135"/>
    <w:rsid w:val="001A01B7"/>
    <w:rsid w:val="001A041A"/>
    <w:rsid w:val="001A1DFF"/>
    <w:rsid w:val="001A4157"/>
    <w:rsid w:val="001A41A5"/>
    <w:rsid w:val="001A5F27"/>
    <w:rsid w:val="001A7870"/>
    <w:rsid w:val="001B0A4A"/>
    <w:rsid w:val="001B262E"/>
    <w:rsid w:val="001B5A01"/>
    <w:rsid w:val="001B74CD"/>
    <w:rsid w:val="001B787F"/>
    <w:rsid w:val="001B7B77"/>
    <w:rsid w:val="001B7CBA"/>
    <w:rsid w:val="001C1A67"/>
    <w:rsid w:val="001C1B41"/>
    <w:rsid w:val="001C25E6"/>
    <w:rsid w:val="001C4171"/>
    <w:rsid w:val="001C5B62"/>
    <w:rsid w:val="001C60A9"/>
    <w:rsid w:val="001C7B9A"/>
    <w:rsid w:val="001C7FD9"/>
    <w:rsid w:val="001D0B5A"/>
    <w:rsid w:val="001D4052"/>
    <w:rsid w:val="001D5851"/>
    <w:rsid w:val="001D6EBF"/>
    <w:rsid w:val="001D7898"/>
    <w:rsid w:val="001E0829"/>
    <w:rsid w:val="001E09C8"/>
    <w:rsid w:val="001E7AB3"/>
    <w:rsid w:val="001F1159"/>
    <w:rsid w:val="001F1A46"/>
    <w:rsid w:val="001F6330"/>
    <w:rsid w:val="001F7E88"/>
    <w:rsid w:val="0020112D"/>
    <w:rsid w:val="00201717"/>
    <w:rsid w:val="0020293E"/>
    <w:rsid w:val="00205472"/>
    <w:rsid w:val="00210E0E"/>
    <w:rsid w:val="00211506"/>
    <w:rsid w:val="00211E5C"/>
    <w:rsid w:val="00212CF6"/>
    <w:rsid w:val="00212F84"/>
    <w:rsid w:val="00215E62"/>
    <w:rsid w:val="0021717D"/>
    <w:rsid w:val="0022046C"/>
    <w:rsid w:val="002252A3"/>
    <w:rsid w:val="002260AD"/>
    <w:rsid w:val="00226869"/>
    <w:rsid w:val="00231EC9"/>
    <w:rsid w:val="002342C4"/>
    <w:rsid w:val="0023632B"/>
    <w:rsid w:val="00236B7C"/>
    <w:rsid w:val="00237847"/>
    <w:rsid w:val="00240741"/>
    <w:rsid w:val="0024183F"/>
    <w:rsid w:val="00241A26"/>
    <w:rsid w:val="00243172"/>
    <w:rsid w:val="00244CCA"/>
    <w:rsid w:val="00247403"/>
    <w:rsid w:val="00247542"/>
    <w:rsid w:val="00247F74"/>
    <w:rsid w:val="00255CAB"/>
    <w:rsid w:val="002563D9"/>
    <w:rsid w:val="00256418"/>
    <w:rsid w:val="00257893"/>
    <w:rsid w:val="00257926"/>
    <w:rsid w:val="0026323E"/>
    <w:rsid w:val="00266092"/>
    <w:rsid w:val="00266210"/>
    <w:rsid w:val="00266657"/>
    <w:rsid w:val="00266B61"/>
    <w:rsid w:val="0026712A"/>
    <w:rsid w:val="002704DB"/>
    <w:rsid w:val="00272317"/>
    <w:rsid w:val="0027276A"/>
    <w:rsid w:val="00274F3A"/>
    <w:rsid w:val="00275A7E"/>
    <w:rsid w:val="00277B11"/>
    <w:rsid w:val="00277D62"/>
    <w:rsid w:val="00283AC7"/>
    <w:rsid w:val="002843D7"/>
    <w:rsid w:val="00293EE4"/>
    <w:rsid w:val="002A0101"/>
    <w:rsid w:val="002A0440"/>
    <w:rsid w:val="002A1095"/>
    <w:rsid w:val="002A7A2B"/>
    <w:rsid w:val="002B04E9"/>
    <w:rsid w:val="002B0810"/>
    <w:rsid w:val="002B2D53"/>
    <w:rsid w:val="002B31A3"/>
    <w:rsid w:val="002B31EC"/>
    <w:rsid w:val="002B6FCE"/>
    <w:rsid w:val="002C0D1C"/>
    <w:rsid w:val="002C1125"/>
    <w:rsid w:val="002C1641"/>
    <w:rsid w:val="002C2A1D"/>
    <w:rsid w:val="002C40E3"/>
    <w:rsid w:val="002D065C"/>
    <w:rsid w:val="002D0CE2"/>
    <w:rsid w:val="002D0EF7"/>
    <w:rsid w:val="002D10FC"/>
    <w:rsid w:val="002D4DBE"/>
    <w:rsid w:val="002D6E35"/>
    <w:rsid w:val="002D7EA2"/>
    <w:rsid w:val="002E15DF"/>
    <w:rsid w:val="002E16DB"/>
    <w:rsid w:val="002E187C"/>
    <w:rsid w:val="002E1980"/>
    <w:rsid w:val="002E1AB8"/>
    <w:rsid w:val="002E29FF"/>
    <w:rsid w:val="002E3D90"/>
    <w:rsid w:val="002E52DC"/>
    <w:rsid w:val="002E6D6D"/>
    <w:rsid w:val="002E6E57"/>
    <w:rsid w:val="002E7993"/>
    <w:rsid w:val="002F0A62"/>
    <w:rsid w:val="002F170B"/>
    <w:rsid w:val="002F2DAC"/>
    <w:rsid w:val="002F2DF7"/>
    <w:rsid w:val="002F4DA8"/>
    <w:rsid w:val="002F60FC"/>
    <w:rsid w:val="002F6A2F"/>
    <w:rsid w:val="00300226"/>
    <w:rsid w:val="00301075"/>
    <w:rsid w:val="003012BD"/>
    <w:rsid w:val="00302733"/>
    <w:rsid w:val="00305D1B"/>
    <w:rsid w:val="003072E5"/>
    <w:rsid w:val="003108F7"/>
    <w:rsid w:val="00311A4F"/>
    <w:rsid w:val="00314078"/>
    <w:rsid w:val="00316CFD"/>
    <w:rsid w:val="00317131"/>
    <w:rsid w:val="003223D2"/>
    <w:rsid w:val="00322450"/>
    <w:rsid w:val="003246B5"/>
    <w:rsid w:val="00324AF4"/>
    <w:rsid w:val="00325CA7"/>
    <w:rsid w:val="00327F7F"/>
    <w:rsid w:val="00330587"/>
    <w:rsid w:val="0033169F"/>
    <w:rsid w:val="0033223E"/>
    <w:rsid w:val="003329DF"/>
    <w:rsid w:val="00332DB9"/>
    <w:rsid w:val="003333C4"/>
    <w:rsid w:val="00333D65"/>
    <w:rsid w:val="003377C9"/>
    <w:rsid w:val="003414AC"/>
    <w:rsid w:val="00341C3C"/>
    <w:rsid w:val="00342AAB"/>
    <w:rsid w:val="00343123"/>
    <w:rsid w:val="00343DBF"/>
    <w:rsid w:val="00346430"/>
    <w:rsid w:val="00350471"/>
    <w:rsid w:val="0035077F"/>
    <w:rsid w:val="00351290"/>
    <w:rsid w:val="00356185"/>
    <w:rsid w:val="00360380"/>
    <w:rsid w:val="00360C79"/>
    <w:rsid w:val="00362D13"/>
    <w:rsid w:val="003636BF"/>
    <w:rsid w:val="0036399E"/>
    <w:rsid w:val="0036423A"/>
    <w:rsid w:val="00371F0F"/>
    <w:rsid w:val="00373C59"/>
    <w:rsid w:val="00375A4D"/>
    <w:rsid w:val="00376E67"/>
    <w:rsid w:val="0037751A"/>
    <w:rsid w:val="003812EE"/>
    <w:rsid w:val="00384D1E"/>
    <w:rsid w:val="00386CF0"/>
    <w:rsid w:val="00386DD5"/>
    <w:rsid w:val="00387334"/>
    <w:rsid w:val="003912E3"/>
    <w:rsid w:val="00391DBB"/>
    <w:rsid w:val="00395FE7"/>
    <w:rsid w:val="00397E46"/>
    <w:rsid w:val="003A0342"/>
    <w:rsid w:val="003A11DA"/>
    <w:rsid w:val="003A155B"/>
    <w:rsid w:val="003A2EB6"/>
    <w:rsid w:val="003A38AB"/>
    <w:rsid w:val="003A5BF2"/>
    <w:rsid w:val="003A77A5"/>
    <w:rsid w:val="003A7909"/>
    <w:rsid w:val="003A7BD8"/>
    <w:rsid w:val="003B1B8C"/>
    <w:rsid w:val="003B1DA0"/>
    <w:rsid w:val="003B4738"/>
    <w:rsid w:val="003B6F7A"/>
    <w:rsid w:val="003C037E"/>
    <w:rsid w:val="003C19CB"/>
    <w:rsid w:val="003C312E"/>
    <w:rsid w:val="003C32BC"/>
    <w:rsid w:val="003C350D"/>
    <w:rsid w:val="003C3D99"/>
    <w:rsid w:val="003C471A"/>
    <w:rsid w:val="003D1970"/>
    <w:rsid w:val="003D4B7E"/>
    <w:rsid w:val="003D66D2"/>
    <w:rsid w:val="003E0DBE"/>
    <w:rsid w:val="003E0F78"/>
    <w:rsid w:val="003E1D30"/>
    <w:rsid w:val="003E2F90"/>
    <w:rsid w:val="003E4A5B"/>
    <w:rsid w:val="003E4E83"/>
    <w:rsid w:val="003E59F7"/>
    <w:rsid w:val="003E781A"/>
    <w:rsid w:val="003F1249"/>
    <w:rsid w:val="003F1BBF"/>
    <w:rsid w:val="003F2BA3"/>
    <w:rsid w:val="003F3434"/>
    <w:rsid w:val="003F6E34"/>
    <w:rsid w:val="00401786"/>
    <w:rsid w:val="0040286E"/>
    <w:rsid w:val="00402FBF"/>
    <w:rsid w:val="00407287"/>
    <w:rsid w:val="004072C3"/>
    <w:rsid w:val="00407ED8"/>
    <w:rsid w:val="00410F67"/>
    <w:rsid w:val="0041212D"/>
    <w:rsid w:val="004129DC"/>
    <w:rsid w:val="00413490"/>
    <w:rsid w:val="00414A2C"/>
    <w:rsid w:val="00415B82"/>
    <w:rsid w:val="00415E4D"/>
    <w:rsid w:val="004165C2"/>
    <w:rsid w:val="00416EC2"/>
    <w:rsid w:val="00424B64"/>
    <w:rsid w:val="00426201"/>
    <w:rsid w:val="00430102"/>
    <w:rsid w:val="00431CD3"/>
    <w:rsid w:val="00431E86"/>
    <w:rsid w:val="004322AF"/>
    <w:rsid w:val="004346DD"/>
    <w:rsid w:val="00440B9D"/>
    <w:rsid w:val="004424BE"/>
    <w:rsid w:val="00442F7F"/>
    <w:rsid w:val="00443602"/>
    <w:rsid w:val="004443C5"/>
    <w:rsid w:val="00446936"/>
    <w:rsid w:val="0044799A"/>
    <w:rsid w:val="00447E32"/>
    <w:rsid w:val="00450A4A"/>
    <w:rsid w:val="00450C78"/>
    <w:rsid w:val="00451130"/>
    <w:rsid w:val="00451228"/>
    <w:rsid w:val="00454A7E"/>
    <w:rsid w:val="00456AF1"/>
    <w:rsid w:val="0046006A"/>
    <w:rsid w:val="0046422F"/>
    <w:rsid w:val="004666FB"/>
    <w:rsid w:val="00466BEA"/>
    <w:rsid w:val="00467B7E"/>
    <w:rsid w:val="004711BA"/>
    <w:rsid w:val="004714F5"/>
    <w:rsid w:val="00474663"/>
    <w:rsid w:val="0047475E"/>
    <w:rsid w:val="0047797F"/>
    <w:rsid w:val="00480852"/>
    <w:rsid w:val="0048707E"/>
    <w:rsid w:val="00487DB4"/>
    <w:rsid w:val="00490620"/>
    <w:rsid w:val="004913FA"/>
    <w:rsid w:val="00493F80"/>
    <w:rsid w:val="0049419D"/>
    <w:rsid w:val="00494E73"/>
    <w:rsid w:val="00496DCD"/>
    <w:rsid w:val="004A30C8"/>
    <w:rsid w:val="004A4395"/>
    <w:rsid w:val="004A447B"/>
    <w:rsid w:val="004A4BDB"/>
    <w:rsid w:val="004A5676"/>
    <w:rsid w:val="004A57F1"/>
    <w:rsid w:val="004A58F7"/>
    <w:rsid w:val="004B1165"/>
    <w:rsid w:val="004B2492"/>
    <w:rsid w:val="004B2762"/>
    <w:rsid w:val="004B7198"/>
    <w:rsid w:val="004B74C0"/>
    <w:rsid w:val="004B7EB6"/>
    <w:rsid w:val="004C00F0"/>
    <w:rsid w:val="004C1A2F"/>
    <w:rsid w:val="004C23CE"/>
    <w:rsid w:val="004C3DF4"/>
    <w:rsid w:val="004C4B62"/>
    <w:rsid w:val="004C5033"/>
    <w:rsid w:val="004C6BA0"/>
    <w:rsid w:val="004C7242"/>
    <w:rsid w:val="004C78C5"/>
    <w:rsid w:val="004D06AB"/>
    <w:rsid w:val="004D1CCB"/>
    <w:rsid w:val="004D3FC7"/>
    <w:rsid w:val="004D54BB"/>
    <w:rsid w:val="004D6025"/>
    <w:rsid w:val="004D70E8"/>
    <w:rsid w:val="004D72BC"/>
    <w:rsid w:val="004D7F12"/>
    <w:rsid w:val="004E0DB6"/>
    <w:rsid w:val="004E26AB"/>
    <w:rsid w:val="004E426E"/>
    <w:rsid w:val="004E4EBA"/>
    <w:rsid w:val="004E5AFF"/>
    <w:rsid w:val="004E68D9"/>
    <w:rsid w:val="004E79DF"/>
    <w:rsid w:val="004E7C3C"/>
    <w:rsid w:val="004E7E16"/>
    <w:rsid w:val="004F0815"/>
    <w:rsid w:val="004F1260"/>
    <w:rsid w:val="004F2227"/>
    <w:rsid w:val="004F2319"/>
    <w:rsid w:val="004F2C01"/>
    <w:rsid w:val="004F69C1"/>
    <w:rsid w:val="004F732D"/>
    <w:rsid w:val="00501399"/>
    <w:rsid w:val="00501AE8"/>
    <w:rsid w:val="00502771"/>
    <w:rsid w:val="00506B91"/>
    <w:rsid w:val="00507BC4"/>
    <w:rsid w:val="00511283"/>
    <w:rsid w:val="00511EAE"/>
    <w:rsid w:val="005128E4"/>
    <w:rsid w:val="00513788"/>
    <w:rsid w:val="0052291B"/>
    <w:rsid w:val="005230B4"/>
    <w:rsid w:val="0052380C"/>
    <w:rsid w:val="00525560"/>
    <w:rsid w:val="00527501"/>
    <w:rsid w:val="00527E44"/>
    <w:rsid w:val="005318EB"/>
    <w:rsid w:val="00534674"/>
    <w:rsid w:val="00534F0C"/>
    <w:rsid w:val="00534FC9"/>
    <w:rsid w:val="005352B3"/>
    <w:rsid w:val="005357A6"/>
    <w:rsid w:val="0053690B"/>
    <w:rsid w:val="005371A9"/>
    <w:rsid w:val="00537E48"/>
    <w:rsid w:val="00540653"/>
    <w:rsid w:val="00541DA8"/>
    <w:rsid w:val="0054202F"/>
    <w:rsid w:val="00543B67"/>
    <w:rsid w:val="00543F0A"/>
    <w:rsid w:val="005444E0"/>
    <w:rsid w:val="00544C49"/>
    <w:rsid w:val="005464F4"/>
    <w:rsid w:val="00552814"/>
    <w:rsid w:val="00552912"/>
    <w:rsid w:val="005531FD"/>
    <w:rsid w:val="0055420D"/>
    <w:rsid w:val="00557FC3"/>
    <w:rsid w:val="00560CFF"/>
    <w:rsid w:val="005621CD"/>
    <w:rsid w:val="00564985"/>
    <w:rsid w:val="00564AF6"/>
    <w:rsid w:val="00566B25"/>
    <w:rsid w:val="005672B3"/>
    <w:rsid w:val="0057020E"/>
    <w:rsid w:val="0057115B"/>
    <w:rsid w:val="005732FD"/>
    <w:rsid w:val="0057402A"/>
    <w:rsid w:val="005759C9"/>
    <w:rsid w:val="00575A1D"/>
    <w:rsid w:val="00575C09"/>
    <w:rsid w:val="00575F0E"/>
    <w:rsid w:val="0057608F"/>
    <w:rsid w:val="005771D0"/>
    <w:rsid w:val="00577A40"/>
    <w:rsid w:val="00580D2D"/>
    <w:rsid w:val="0058391F"/>
    <w:rsid w:val="00585245"/>
    <w:rsid w:val="00585246"/>
    <w:rsid w:val="00586466"/>
    <w:rsid w:val="00586FD9"/>
    <w:rsid w:val="0059191A"/>
    <w:rsid w:val="005921FF"/>
    <w:rsid w:val="00594F9A"/>
    <w:rsid w:val="005978EC"/>
    <w:rsid w:val="005A1D12"/>
    <w:rsid w:val="005A29A0"/>
    <w:rsid w:val="005A3A4B"/>
    <w:rsid w:val="005A46DB"/>
    <w:rsid w:val="005A4ABB"/>
    <w:rsid w:val="005A5E45"/>
    <w:rsid w:val="005A6D0E"/>
    <w:rsid w:val="005A7E4D"/>
    <w:rsid w:val="005B0FD2"/>
    <w:rsid w:val="005B222D"/>
    <w:rsid w:val="005B3872"/>
    <w:rsid w:val="005B41D2"/>
    <w:rsid w:val="005B4B69"/>
    <w:rsid w:val="005B52B0"/>
    <w:rsid w:val="005B6806"/>
    <w:rsid w:val="005B74C2"/>
    <w:rsid w:val="005C00F9"/>
    <w:rsid w:val="005C2516"/>
    <w:rsid w:val="005C2F5F"/>
    <w:rsid w:val="005C4225"/>
    <w:rsid w:val="005C711D"/>
    <w:rsid w:val="005C78D5"/>
    <w:rsid w:val="005D0D67"/>
    <w:rsid w:val="005D23CC"/>
    <w:rsid w:val="005D3E3A"/>
    <w:rsid w:val="005D4ADE"/>
    <w:rsid w:val="005D7575"/>
    <w:rsid w:val="005E00A7"/>
    <w:rsid w:val="005E00D1"/>
    <w:rsid w:val="005E6FCC"/>
    <w:rsid w:val="005F018F"/>
    <w:rsid w:val="005F0489"/>
    <w:rsid w:val="005F0F33"/>
    <w:rsid w:val="005F1E54"/>
    <w:rsid w:val="005F2556"/>
    <w:rsid w:val="005F3C64"/>
    <w:rsid w:val="005F4125"/>
    <w:rsid w:val="005F46A5"/>
    <w:rsid w:val="00600DEB"/>
    <w:rsid w:val="00601699"/>
    <w:rsid w:val="00602C07"/>
    <w:rsid w:val="006032F4"/>
    <w:rsid w:val="006079BE"/>
    <w:rsid w:val="00611A4C"/>
    <w:rsid w:val="00613027"/>
    <w:rsid w:val="006132D5"/>
    <w:rsid w:val="00614011"/>
    <w:rsid w:val="00614BB4"/>
    <w:rsid w:val="00620623"/>
    <w:rsid w:val="00623C9A"/>
    <w:rsid w:val="00624BFD"/>
    <w:rsid w:val="006271B7"/>
    <w:rsid w:val="00627C9F"/>
    <w:rsid w:val="00630947"/>
    <w:rsid w:val="00630EEB"/>
    <w:rsid w:val="006311DA"/>
    <w:rsid w:val="006311E9"/>
    <w:rsid w:val="00632354"/>
    <w:rsid w:val="006331E5"/>
    <w:rsid w:val="00633F8B"/>
    <w:rsid w:val="00635C3B"/>
    <w:rsid w:val="0064201C"/>
    <w:rsid w:val="00642810"/>
    <w:rsid w:val="00642A99"/>
    <w:rsid w:val="00643DDE"/>
    <w:rsid w:val="0064487D"/>
    <w:rsid w:val="00645507"/>
    <w:rsid w:val="006456CB"/>
    <w:rsid w:val="0064748E"/>
    <w:rsid w:val="00652333"/>
    <w:rsid w:val="0065323D"/>
    <w:rsid w:val="0065409B"/>
    <w:rsid w:val="0065502B"/>
    <w:rsid w:val="006565CC"/>
    <w:rsid w:val="0065787D"/>
    <w:rsid w:val="0066148F"/>
    <w:rsid w:val="0066345B"/>
    <w:rsid w:val="00666F24"/>
    <w:rsid w:val="0066742B"/>
    <w:rsid w:val="00667A27"/>
    <w:rsid w:val="006723E7"/>
    <w:rsid w:val="00672692"/>
    <w:rsid w:val="006726B8"/>
    <w:rsid w:val="0067349E"/>
    <w:rsid w:val="0067349F"/>
    <w:rsid w:val="00675A3A"/>
    <w:rsid w:val="00675EA8"/>
    <w:rsid w:val="0068009E"/>
    <w:rsid w:val="006804E0"/>
    <w:rsid w:val="00684287"/>
    <w:rsid w:val="0068574F"/>
    <w:rsid w:val="006861AC"/>
    <w:rsid w:val="0069233A"/>
    <w:rsid w:val="006933C2"/>
    <w:rsid w:val="00694281"/>
    <w:rsid w:val="0069436E"/>
    <w:rsid w:val="00694906"/>
    <w:rsid w:val="00694D97"/>
    <w:rsid w:val="0069673C"/>
    <w:rsid w:val="00696772"/>
    <w:rsid w:val="00697677"/>
    <w:rsid w:val="00697871"/>
    <w:rsid w:val="006A0071"/>
    <w:rsid w:val="006A0508"/>
    <w:rsid w:val="006A07EC"/>
    <w:rsid w:val="006A093B"/>
    <w:rsid w:val="006A101E"/>
    <w:rsid w:val="006A17D2"/>
    <w:rsid w:val="006A6B3D"/>
    <w:rsid w:val="006A73E6"/>
    <w:rsid w:val="006B0CD7"/>
    <w:rsid w:val="006B2497"/>
    <w:rsid w:val="006B2D5C"/>
    <w:rsid w:val="006B7460"/>
    <w:rsid w:val="006B7A9F"/>
    <w:rsid w:val="006C342F"/>
    <w:rsid w:val="006C3D97"/>
    <w:rsid w:val="006C3DE4"/>
    <w:rsid w:val="006C4EB1"/>
    <w:rsid w:val="006C58E3"/>
    <w:rsid w:val="006C64B3"/>
    <w:rsid w:val="006C6C64"/>
    <w:rsid w:val="006C6FB4"/>
    <w:rsid w:val="006C72CB"/>
    <w:rsid w:val="006D11E2"/>
    <w:rsid w:val="006D2703"/>
    <w:rsid w:val="006D28F4"/>
    <w:rsid w:val="006D2994"/>
    <w:rsid w:val="006D3359"/>
    <w:rsid w:val="006D559D"/>
    <w:rsid w:val="006D6028"/>
    <w:rsid w:val="006D75AF"/>
    <w:rsid w:val="006D7BA4"/>
    <w:rsid w:val="006E0166"/>
    <w:rsid w:val="006E1071"/>
    <w:rsid w:val="006E28BE"/>
    <w:rsid w:val="006E2F4A"/>
    <w:rsid w:val="006E7B34"/>
    <w:rsid w:val="006F111E"/>
    <w:rsid w:val="006F4886"/>
    <w:rsid w:val="006F4B2D"/>
    <w:rsid w:val="006F4DDC"/>
    <w:rsid w:val="006F555C"/>
    <w:rsid w:val="006F5FC1"/>
    <w:rsid w:val="006F63D7"/>
    <w:rsid w:val="006F7568"/>
    <w:rsid w:val="00701B24"/>
    <w:rsid w:val="00701D0C"/>
    <w:rsid w:val="00702C06"/>
    <w:rsid w:val="00703440"/>
    <w:rsid w:val="00703F9F"/>
    <w:rsid w:val="00704869"/>
    <w:rsid w:val="0070697D"/>
    <w:rsid w:val="00710696"/>
    <w:rsid w:val="00714731"/>
    <w:rsid w:val="00714D31"/>
    <w:rsid w:val="00717EBD"/>
    <w:rsid w:val="007243E8"/>
    <w:rsid w:val="00725002"/>
    <w:rsid w:val="00726B86"/>
    <w:rsid w:val="007271EA"/>
    <w:rsid w:val="00727FA0"/>
    <w:rsid w:val="00742183"/>
    <w:rsid w:val="00742521"/>
    <w:rsid w:val="00744B57"/>
    <w:rsid w:val="007451A8"/>
    <w:rsid w:val="00745899"/>
    <w:rsid w:val="00747D1E"/>
    <w:rsid w:val="00753CA5"/>
    <w:rsid w:val="00754DD9"/>
    <w:rsid w:val="0075664B"/>
    <w:rsid w:val="0075698F"/>
    <w:rsid w:val="00757E1C"/>
    <w:rsid w:val="0076010E"/>
    <w:rsid w:val="007607C4"/>
    <w:rsid w:val="00760CF6"/>
    <w:rsid w:val="00760EC5"/>
    <w:rsid w:val="0076204E"/>
    <w:rsid w:val="0076215C"/>
    <w:rsid w:val="00762F23"/>
    <w:rsid w:val="00763F3A"/>
    <w:rsid w:val="00765100"/>
    <w:rsid w:val="00765A30"/>
    <w:rsid w:val="0076643F"/>
    <w:rsid w:val="00767A96"/>
    <w:rsid w:val="00770B00"/>
    <w:rsid w:val="007736C8"/>
    <w:rsid w:val="00773EE5"/>
    <w:rsid w:val="00775AA0"/>
    <w:rsid w:val="00777626"/>
    <w:rsid w:val="00783D25"/>
    <w:rsid w:val="007856EC"/>
    <w:rsid w:val="00785C75"/>
    <w:rsid w:val="00787282"/>
    <w:rsid w:val="00790A6D"/>
    <w:rsid w:val="00790C1D"/>
    <w:rsid w:val="007A127A"/>
    <w:rsid w:val="007A12FD"/>
    <w:rsid w:val="007A187B"/>
    <w:rsid w:val="007A2EE8"/>
    <w:rsid w:val="007A2F70"/>
    <w:rsid w:val="007A3B50"/>
    <w:rsid w:val="007A4F32"/>
    <w:rsid w:val="007A6B58"/>
    <w:rsid w:val="007B255E"/>
    <w:rsid w:val="007B3D8E"/>
    <w:rsid w:val="007B3F2A"/>
    <w:rsid w:val="007B46B9"/>
    <w:rsid w:val="007B715D"/>
    <w:rsid w:val="007C039A"/>
    <w:rsid w:val="007C2E5A"/>
    <w:rsid w:val="007C3334"/>
    <w:rsid w:val="007C366F"/>
    <w:rsid w:val="007C386F"/>
    <w:rsid w:val="007C52BB"/>
    <w:rsid w:val="007C5714"/>
    <w:rsid w:val="007C59FF"/>
    <w:rsid w:val="007C7220"/>
    <w:rsid w:val="007D08F9"/>
    <w:rsid w:val="007D0BE7"/>
    <w:rsid w:val="007D159E"/>
    <w:rsid w:val="007D1F60"/>
    <w:rsid w:val="007D2B98"/>
    <w:rsid w:val="007D3E61"/>
    <w:rsid w:val="007D4066"/>
    <w:rsid w:val="007D554A"/>
    <w:rsid w:val="007D6C4A"/>
    <w:rsid w:val="007D742C"/>
    <w:rsid w:val="007E2282"/>
    <w:rsid w:val="007E286B"/>
    <w:rsid w:val="007E2E79"/>
    <w:rsid w:val="007E7607"/>
    <w:rsid w:val="007E7F43"/>
    <w:rsid w:val="007F006B"/>
    <w:rsid w:val="007F0167"/>
    <w:rsid w:val="007F2983"/>
    <w:rsid w:val="007F3EAA"/>
    <w:rsid w:val="007F74D0"/>
    <w:rsid w:val="00803F1C"/>
    <w:rsid w:val="00805465"/>
    <w:rsid w:val="0080600E"/>
    <w:rsid w:val="0081298A"/>
    <w:rsid w:val="0081439B"/>
    <w:rsid w:val="0081673C"/>
    <w:rsid w:val="00816F7A"/>
    <w:rsid w:val="00817612"/>
    <w:rsid w:val="00817FDF"/>
    <w:rsid w:val="00823A61"/>
    <w:rsid w:val="00823B4A"/>
    <w:rsid w:val="00824FF3"/>
    <w:rsid w:val="008259A9"/>
    <w:rsid w:val="00825DBE"/>
    <w:rsid w:val="00827587"/>
    <w:rsid w:val="008277B2"/>
    <w:rsid w:val="00830C84"/>
    <w:rsid w:val="0083120A"/>
    <w:rsid w:val="00832893"/>
    <w:rsid w:val="00834554"/>
    <w:rsid w:val="008345AC"/>
    <w:rsid w:val="00834DF6"/>
    <w:rsid w:val="00836790"/>
    <w:rsid w:val="00836EAE"/>
    <w:rsid w:val="00837C45"/>
    <w:rsid w:val="0084026A"/>
    <w:rsid w:val="0084090E"/>
    <w:rsid w:val="00841D87"/>
    <w:rsid w:val="00843DD1"/>
    <w:rsid w:val="00844765"/>
    <w:rsid w:val="00845BF0"/>
    <w:rsid w:val="008509EC"/>
    <w:rsid w:val="00851EF7"/>
    <w:rsid w:val="008521E9"/>
    <w:rsid w:val="00853419"/>
    <w:rsid w:val="00855311"/>
    <w:rsid w:val="00856A7B"/>
    <w:rsid w:val="00860759"/>
    <w:rsid w:val="00860B60"/>
    <w:rsid w:val="00861947"/>
    <w:rsid w:val="00861DDB"/>
    <w:rsid w:val="00861EAC"/>
    <w:rsid w:val="00862B0E"/>
    <w:rsid w:val="00863454"/>
    <w:rsid w:val="008651BF"/>
    <w:rsid w:val="00872362"/>
    <w:rsid w:val="00872760"/>
    <w:rsid w:val="00872A2A"/>
    <w:rsid w:val="0087619E"/>
    <w:rsid w:val="00876BC8"/>
    <w:rsid w:val="0087728F"/>
    <w:rsid w:val="00880C04"/>
    <w:rsid w:val="00880C29"/>
    <w:rsid w:val="00881DAD"/>
    <w:rsid w:val="00882CC5"/>
    <w:rsid w:val="00884A95"/>
    <w:rsid w:val="00884CCE"/>
    <w:rsid w:val="0088540B"/>
    <w:rsid w:val="0088781C"/>
    <w:rsid w:val="00890E8B"/>
    <w:rsid w:val="00891EBB"/>
    <w:rsid w:val="0089520B"/>
    <w:rsid w:val="00897E12"/>
    <w:rsid w:val="008A6D99"/>
    <w:rsid w:val="008A7173"/>
    <w:rsid w:val="008B0494"/>
    <w:rsid w:val="008B3FD8"/>
    <w:rsid w:val="008C056F"/>
    <w:rsid w:val="008C26DF"/>
    <w:rsid w:val="008C27BB"/>
    <w:rsid w:val="008C4C96"/>
    <w:rsid w:val="008C4D2A"/>
    <w:rsid w:val="008C5539"/>
    <w:rsid w:val="008D032A"/>
    <w:rsid w:val="008D097D"/>
    <w:rsid w:val="008D21CC"/>
    <w:rsid w:val="008D3880"/>
    <w:rsid w:val="008D43BA"/>
    <w:rsid w:val="008D5086"/>
    <w:rsid w:val="008D6EDA"/>
    <w:rsid w:val="008D7C72"/>
    <w:rsid w:val="008E3473"/>
    <w:rsid w:val="008E3759"/>
    <w:rsid w:val="008F001F"/>
    <w:rsid w:val="008F1CB8"/>
    <w:rsid w:val="008F376C"/>
    <w:rsid w:val="008F4432"/>
    <w:rsid w:val="008F63E3"/>
    <w:rsid w:val="009002D7"/>
    <w:rsid w:val="0090124F"/>
    <w:rsid w:val="00901776"/>
    <w:rsid w:val="009041DC"/>
    <w:rsid w:val="00905A5A"/>
    <w:rsid w:val="00905C58"/>
    <w:rsid w:val="00907250"/>
    <w:rsid w:val="0090783D"/>
    <w:rsid w:val="00907D45"/>
    <w:rsid w:val="009104B4"/>
    <w:rsid w:val="009108D2"/>
    <w:rsid w:val="009108D4"/>
    <w:rsid w:val="00912B48"/>
    <w:rsid w:val="00912BC1"/>
    <w:rsid w:val="00913AE3"/>
    <w:rsid w:val="00915175"/>
    <w:rsid w:val="00916D57"/>
    <w:rsid w:val="00916F3F"/>
    <w:rsid w:val="009174A2"/>
    <w:rsid w:val="00917987"/>
    <w:rsid w:val="0092152A"/>
    <w:rsid w:val="00921EEB"/>
    <w:rsid w:val="00923170"/>
    <w:rsid w:val="009251BE"/>
    <w:rsid w:val="00925C26"/>
    <w:rsid w:val="00925FCD"/>
    <w:rsid w:val="00927558"/>
    <w:rsid w:val="0092776E"/>
    <w:rsid w:val="00927CDA"/>
    <w:rsid w:val="00930330"/>
    <w:rsid w:val="00931686"/>
    <w:rsid w:val="0093441A"/>
    <w:rsid w:val="00940901"/>
    <w:rsid w:val="00942E1C"/>
    <w:rsid w:val="009438F9"/>
    <w:rsid w:val="0094442A"/>
    <w:rsid w:val="00944BA5"/>
    <w:rsid w:val="00945E2C"/>
    <w:rsid w:val="009469DB"/>
    <w:rsid w:val="00950447"/>
    <w:rsid w:val="00951135"/>
    <w:rsid w:val="00954BF7"/>
    <w:rsid w:val="0095595B"/>
    <w:rsid w:val="009559BB"/>
    <w:rsid w:val="00955BBE"/>
    <w:rsid w:val="00957B33"/>
    <w:rsid w:val="00957B35"/>
    <w:rsid w:val="00961A46"/>
    <w:rsid w:val="009622B1"/>
    <w:rsid w:val="009646B7"/>
    <w:rsid w:val="009652F2"/>
    <w:rsid w:val="00965804"/>
    <w:rsid w:val="0096706E"/>
    <w:rsid w:val="00971A4D"/>
    <w:rsid w:val="00971F46"/>
    <w:rsid w:val="00973C42"/>
    <w:rsid w:val="00975011"/>
    <w:rsid w:val="00976FB0"/>
    <w:rsid w:val="00977F3D"/>
    <w:rsid w:val="0098032E"/>
    <w:rsid w:val="009805E2"/>
    <w:rsid w:val="00981E9E"/>
    <w:rsid w:val="00981FBA"/>
    <w:rsid w:val="00982815"/>
    <w:rsid w:val="00984E9F"/>
    <w:rsid w:val="009858AC"/>
    <w:rsid w:val="00985AD9"/>
    <w:rsid w:val="0098665D"/>
    <w:rsid w:val="00986C06"/>
    <w:rsid w:val="00986D78"/>
    <w:rsid w:val="00986D7B"/>
    <w:rsid w:val="009870C7"/>
    <w:rsid w:val="00990464"/>
    <w:rsid w:val="00991078"/>
    <w:rsid w:val="009917CF"/>
    <w:rsid w:val="00992C63"/>
    <w:rsid w:val="0099362E"/>
    <w:rsid w:val="00994ADA"/>
    <w:rsid w:val="0099506A"/>
    <w:rsid w:val="0099750E"/>
    <w:rsid w:val="009A147B"/>
    <w:rsid w:val="009A1B75"/>
    <w:rsid w:val="009A2284"/>
    <w:rsid w:val="009A2AAC"/>
    <w:rsid w:val="009A512C"/>
    <w:rsid w:val="009A517D"/>
    <w:rsid w:val="009B381B"/>
    <w:rsid w:val="009B4A2D"/>
    <w:rsid w:val="009B7DA6"/>
    <w:rsid w:val="009C0215"/>
    <w:rsid w:val="009C1738"/>
    <w:rsid w:val="009C348E"/>
    <w:rsid w:val="009C3CDC"/>
    <w:rsid w:val="009C4790"/>
    <w:rsid w:val="009D02AE"/>
    <w:rsid w:val="009D1032"/>
    <w:rsid w:val="009D3FB7"/>
    <w:rsid w:val="009D4468"/>
    <w:rsid w:val="009D6ABB"/>
    <w:rsid w:val="009D75D4"/>
    <w:rsid w:val="009D7611"/>
    <w:rsid w:val="009E53DE"/>
    <w:rsid w:val="009E581C"/>
    <w:rsid w:val="009E63AD"/>
    <w:rsid w:val="009F0CE0"/>
    <w:rsid w:val="009F1380"/>
    <w:rsid w:val="009F1561"/>
    <w:rsid w:val="009F251D"/>
    <w:rsid w:val="009F2703"/>
    <w:rsid w:val="009F3116"/>
    <w:rsid w:val="009F3B9A"/>
    <w:rsid w:val="009F3BBE"/>
    <w:rsid w:val="009F6118"/>
    <w:rsid w:val="009F67D6"/>
    <w:rsid w:val="009F704D"/>
    <w:rsid w:val="009F7AE1"/>
    <w:rsid w:val="00A00F0D"/>
    <w:rsid w:val="00A01F89"/>
    <w:rsid w:val="00A034D7"/>
    <w:rsid w:val="00A0554C"/>
    <w:rsid w:val="00A06088"/>
    <w:rsid w:val="00A067C2"/>
    <w:rsid w:val="00A15516"/>
    <w:rsid w:val="00A16208"/>
    <w:rsid w:val="00A20626"/>
    <w:rsid w:val="00A213EB"/>
    <w:rsid w:val="00A23EB9"/>
    <w:rsid w:val="00A25D9A"/>
    <w:rsid w:val="00A2600A"/>
    <w:rsid w:val="00A2718A"/>
    <w:rsid w:val="00A3194A"/>
    <w:rsid w:val="00A32741"/>
    <w:rsid w:val="00A33897"/>
    <w:rsid w:val="00A348B7"/>
    <w:rsid w:val="00A34F3A"/>
    <w:rsid w:val="00A379B3"/>
    <w:rsid w:val="00A40DEE"/>
    <w:rsid w:val="00A4241A"/>
    <w:rsid w:val="00A43346"/>
    <w:rsid w:val="00A43458"/>
    <w:rsid w:val="00A437E5"/>
    <w:rsid w:val="00A43BED"/>
    <w:rsid w:val="00A45036"/>
    <w:rsid w:val="00A50101"/>
    <w:rsid w:val="00A506F6"/>
    <w:rsid w:val="00A528D1"/>
    <w:rsid w:val="00A57B15"/>
    <w:rsid w:val="00A6364D"/>
    <w:rsid w:val="00A63CD2"/>
    <w:rsid w:val="00A64078"/>
    <w:rsid w:val="00A666FF"/>
    <w:rsid w:val="00A66BE5"/>
    <w:rsid w:val="00A66C7A"/>
    <w:rsid w:val="00A67A03"/>
    <w:rsid w:val="00A7161B"/>
    <w:rsid w:val="00A827F7"/>
    <w:rsid w:val="00A83C80"/>
    <w:rsid w:val="00A84F6A"/>
    <w:rsid w:val="00A85EC6"/>
    <w:rsid w:val="00A904E3"/>
    <w:rsid w:val="00A90D6E"/>
    <w:rsid w:val="00A910E9"/>
    <w:rsid w:val="00A93721"/>
    <w:rsid w:val="00A93ACD"/>
    <w:rsid w:val="00A93B50"/>
    <w:rsid w:val="00A93FF0"/>
    <w:rsid w:val="00A971AA"/>
    <w:rsid w:val="00AA0E10"/>
    <w:rsid w:val="00AA1498"/>
    <w:rsid w:val="00AA1D69"/>
    <w:rsid w:val="00AA6294"/>
    <w:rsid w:val="00AA70AC"/>
    <w:rsid w:val="00AB29EC"/>
    <w:rsid w:val="00AC266D"/>
    <w:rsid w:val="00AC44DF"/>
    <w:rsid w:val="00AD2A24"/>
    <w:rsid w:val="00AD37C1"/>
    <w:rsid w:val="00AD665A"/>
    <w:rsid w:val="00AE05BA"/>
    <w:rsid w:val="00AE0616"/>
    <w:rsid w:val="00AE08F1"/>
    <w:rsid w:val="00AE25BF"/>
    <w:rsid w:val="00AE2EF0"/>
    <w:rsid w:val="00AE4555"/>
    <w:rsid w:val="00AE4DBA"/>
    <w:rsid w:val="00AE5F80"/>
    <w:rsid w:val="00AE66EC"/>
    <w:rsid w:val="00AE6F91"/>
    <w:rsid w:val="00AF09FD"/>
    <w:rsid w:val="00AF19E2"/>
    <w:rsid w:val="00AF3510"/>
    <w:rsid w:val="00AF5571"/>
    <w:rsid w:val="00AF699D"/>
    <w:rsid w:val="00B04575"/>
    <w:rsid w:val="00B049BC"/>
    <w:rsid w:val="00B05F13"/>
    <w:rsid w:val="00B05F9A"/>
    <w:rsid w:val="00B10900"/>
    <w:rsid w:val="00B12DE9"/>
    <w:rsid w:val="00B151BB"/>
    <w:rsid w:val="00B151D4"/>
    <w:rsid w:val="00B153E5"/>
    <w:rsid w:val="00B15EF9"/>
    <w:rsid w:val="00B161D3"/>
    <w:rsid w:val="00B167E9"/>
    <w:rsid w:val="00B22EA1"/>
    <w:rsid w:val="00B23BCD"/>
    <w:rsid w:val="00B24031"/>
    <w:rsid w:val="00B25BD0"/>
    <w:rsid w:val="00B25F69"/>
    <w:rsid w:val="00B3033B"/>
    <w:rsid w:val="00B308E4"/>
    <w:rsid w:val="00B314DB"/>
    <w:rsid w:val="00B31E5A"/>
    <w:rsid w:val="00B31EBE"/>
    <w:rsid w:val="00B32ABC"/>
    <w:rsid w:val="00B34EE2"/>
    <w:rsid w:val="00B34F9D"/>
    <w:rsid w:val="00B35110"/>
    <w:rsid w:val="00B35F5A"/>
    <w:rsid w:val="00B368FA"/>
    <w:rsid w:val="00B3718B"/>
    <w:rsid w:val="00B40012"/>
    <w:rsid w:val="00B40015"/>
    <w:rsid w:val="00B404B8"/>
    <w:rsid w:val="00B40E61"/>
    <w:rsid w:val="00B4213B"/>
    <w:rsid w:val="00B425B7"/>
    <w:rsid w:val="00B4632A"/>
    <w:rsid w:val="00B52AD3"/>
    <w:rsid w:val="00B54BC8"/>
    <w:rsid w:val="00B57C48"/>
    <w:rsid w:val="00B6037C"/>
    <w:rsid w:val="00B66A63"/>
    <w:rsid w:val="00B67D4D"/>
    <w:rsid w:val="00B721D8"/>
    <w:rsid w:val="00B72C96"/>
    <w:rsid w:val="00B74520"/>
    <w:rsid w:val="00B80E53"/>
    <w:rsid w:val="00B84613"/>
    <w:rsid w:val="00B85120"/>
    <w:rsid w:val="00B865BB"/>
    <w:rsid w:val="00B90A5E"/>
    <w:rsid w:val="00B91137"/>
    <w:rsid w:val="00B91585"/>
    <w:rsid w:val="00B92E8F"/>
    <w:rsid w:val="00B946DF"/>
    <w:rsid w:val="00B969C5"/>
    <w:rsid w:val="00B97215"/>
    <w:rsid w:val="00B97779"/>
    <w:rsid w:val="00B979F9"/>
    <w:rsid w:val="00BA1984"/>
    <w:rsid w:val="00BA1E27"/>
    <w:rsid w:val="00BA1E78"/>
    <w:rsid w:val="00BA276C"/>
    <w:rsid w:val="00BA2C65"/>
    <w:rsid w:val="00BA4062"/>
    <w:rsid w:val="00BA4CCE"/>
    <w:rsid w:val="00BA4FEC"/>
    <w:rsid w:val="00BA6DE6"/>
    <w:rsid w:val="00BA7077"/>
    <w:rsid w:val="00BB0B7C"/>
    <w:rsid w:val="00BB110C"/>
    <w:rsid w:val="00BB2F55"/>
    <w:rsid w:val="00BB306F"/>
    <w:rsid w:val="00BB41ED"/>
    <w:rsid w:val="00BC0FC0"/>
    <w:rsid w:val="00BC2958"/>
    <w:rsid w:val="00BC2F55"/>
    <w:rsid w:val="00BC3F78"/>
    <w:rsid w:val="00BC4068"/>
    <w:rsid w:val="00BC4E81"/>
    <w:rsid w:val="00BC5683"/>
    <w:rsid w:val="00BC5B97"/>
    <w:rsid w:val="00BC5E9D"/>
    <w:rsid w:val="00BD232B"/>
    <w:rsid w:val="00BD38A6"/>
    <w:rsid w:val="00BD46AE"/>
    <w:rsid w:val="00BD46D6"/>
    <w:rsid w:val="00BD4B89"/>
    <w:rsid w:val="00BE2A3B"/>
    <w:rsid w:val="00BE5002"/>
    <w:rsid w:val="00BE5982"/>
    <w:rsid w:val="00BE5BC0"/>
    <w:rsid w:val="00BE6684"/>
    <w:rsid w:val="00BE75A0"/>
    <w:rsid w:val="00BF12AC"/>
    <w:rsid w:val="00BF39DB"/>
    <w:rsid w:val="00BF71A5"/>
    <w:rsid w:val="00BF779E"/>
    <w:rsid w:val="00C03BE7"/>
    <w:rsid w:val="00C0549F"/>
    <w:rsid w:val="00C06B89"/>
    <w:rsid w:val="00C11FDB"/>
    <w:rsid w:val="00C12094"/>
    <w:rsid w:val="00C13666"/>
    <w:rsid w:val="00C14F55"/>
    <w:rsid w:val="00C17423"/>
    <w:rsid w:val="00C1798F"/>
    <w:rsid w:val="00C20F83"/>
    <w:rsid w:val="00C21153"/>
    <w:rsid w:val="00C21762"/>
    <w:rsid w:val="00C22FC1"/>
    <w:rsid w:val="00C24543"/>
    <w:rsid w:val="00C2558E"/>
    <w:rsid w:val="00C25679"/>
    <w:rsid w:val="00C256A2"/>
    <w:rsid w:val="00C26299"/>
    <w:rsid w:val="00C275EB"/>
    <w:rsid w:val="00C279CC"/>
    <w:rsid w:val="00C332C6"/>
    <w:rsid w:val="00C342E1"/>
    <w:rsid w:val="00C3492D"/>
    <w:rsid w:val="00C35DA2"/>
    <w:rsid w:val="00C36AEB"/>
    <w:rsid w:val="00C408FF"/>
    <w:rsid w:val="00C40A00"/>
    <w:rsid w:val="00C40D61"/>
    <w:rsid w:val="00C40EF2"/>
    <w:rsid w:val="00C414FD"/>
    <w:rsid w:val="00C41B2E"/>
    <w:rsid w:val="00C4614B"/>
    <w:rsid w:val="00C47657"/>
    <w:rsid w:val="00C50268"/>
    <w:rsid w:val="00C50574"/>
    <w:rsid w:val="00C55560"/>
    <w:rsid w:val="00C566B2"/>
    <w:rsid w:val="00C56A06"/>
    <w:rsid w:val="00C61058"/>
    <w:rsid w:val="00C61678"/>
    <w:rsid w:val="00C62BC0"/>
    <w:rsid w:val="00C648C1"/>
    <w:rsid w:val="00C64DDA"/>
    <w:rsid w:val="00C66B72"/>
    <w:rsid w:val="00C700A3"/>
    <w:rsid w:val="00C720C6"/>
    <w:rsid w:val="00C7256B"/>
    <w:rsid w:val="00C7427B"/>
    <w:rsid w:val="00C7620D"/>
    <w:rsid w:val="00C81DB0"/>
    <w:rsid w:val="00C8427D"/>
    <w:rsid w:val="00C85BBF"/>
    <w:rsid w:val="00C86BDA"/>
    <w:rsid w:val="00C86D4F"/>
    <w:rsid w:val="00C86F55"/>
    <w:rsid w:val="00C8764B"/>
    <w:rsid w:val="00C876C6"/>
    <w:rsid w:val="00C905CB"/>
    <w:rsid w:val="00C918F9"/>
    <w:rsid w:val="00C91BEE"/>
    <w:rsid w:val="00C950EE"/>
    <w:rsid w:val="00C9567A"/>
    <w:rsid w:val="00CA0338"/>
    <w:rsid w:val="00CA1A5C"/>
    <w:rsid w:val="00CA1AF9"/>
    <w:rsid w:val="00CA234A"/>
    <w:rsid w:val="00CA382A"/>
    <w:rsid w:val="00CA439F"/>
    <w:rsid w:val="00CA51C0"/>
    <w:rsid w:val="00CA5BB9"/>
    <w:rsid w:val="00CB128A"/>
    <w:rsid w:val="00CB2660"/>
    <w:rsid w:val="00CB5C27"/>
    <w:rsid w:val="00CB7AA4"/>
    <w:rsid w:val="00CB7E91"/>
    <w:rsid w:val="00CC15E8"/>
    <w:rsid w:val="00CC1BE7"/>
    <w:rsid w:val="00CC1C38"/>
    <w:rsid w:val="00CC2D20"/>
    <w:rsid w:val="00CC3873"/>
    <w:rsid w:val="00CC3EA5"/>
    <w:rsid w:val="00CC4CD1"/>
    <w:rsid w:val="00CC4D57"/>
    <w:rsid w:val="00CC5E90"/>
    <w:rsid w:val="00CD046C"/>
    <w:rsid w:val="00CD1ABD"/>
    <w:rsid w:val="00CD29AE"/>
    <w:rsid w:val="00CD2FB6"/>
    <w:rsid w:val="00CD31B5"/>
    <w:rsid w:val="00CD343B"/>
    <w:rsid w:val="00CD5416"/>
    <w:rsid w:val="00CE0EC0"/>
    <w:rsid w:val="00CE18B1"/>
    <w:rsid w:val="00CE5199"/>
    <w:rsid w:val="00CE53DA"/>
    <w:rsid w:val="00CE66D5"/>
    <w:rsid w:val="00CE689C"/>
    <w:rsid w:val="00CF2481"/>
    <w:rsid w:val="00CF2757"/>
    <w:rsid w:val="00CF6E5F"/>
    <w:rsid w:val="00D02530"/>
    <w:rsid w:val="00D02D3C"/>
    <w:rsid w:val="00D0710E"/>
    <w:rsid w:val="00D07A72"/>
    <w:rsid w:val="00D07BD5"/>
    <w:rsid w:val="00D12008"/>
    <w:rsid w:val="00D12EA0"/>
    <w:rsid w:val="00D16925"/>
    <w:rsid w:val="00D20D79"/>
    <w:rsid w:val="00D21822"/>
    <w:rsid w:val="00D2375D"/>
    <w:rsid w:val="00D2487B"/>
    <w:rsid w:val="00D24F21"/>
    <w:rsid w:val="00D2693F"/>
    <w:rsid w:val="00D27430"/>
    <w:rsid w:val="00D31382"/>
    <w:rsid w:val="00D31CBD"/>
    <w:rsid w:val="00D31ECB"/>
    <w:rsid w:val="00D34786"/>
    <w:rsid w:val="00D35C43"/>
    <w:rsid w:val="00D3616E"/>
    <w:rsid w:val="00D36D8C"/>
    <w:rsid w:val="00D3765C"/>
    <w:rsid w:val="00D40A1E"/>
    <w:rsid w:val="00D433BE"/>
    <w:rsid w:val="00D4431A"/>
    <w:rsid w:val="00D45242"/>
    <w:rsid w:val="00D50A64"/>
    <w:rsid w:val="00D52917"/>
    <w:rsid w:val="00D54A19"/>
    <w:rsid w:val="00D54E20"/>
    <w:rsid w:val="00D54FA5"/>
    <w:rsid w:val="00D565C5"/>
    <w:rsid w:val="00D60E85"/>
    <w:rsid w:val="00D611AC"/>
    <w:rsid w:val="00D6181D"/>
    <w:rsid w:val="00D62872"/>
    <w:rsid w:val="00D62A03"/>
    <w:rsid w:val="00D62F8C"/>
    <w:rsid w:val="00D64170"/>
    <w:rsid w:val="00D7021F"/>
    <w:rsid w:val="00D7053E"/>
    <w:rsid w:val="00D712D3"/>
    <w:rsid w:val="00D71422"/>
    <w:rsid w:val="00D7145E"/>
    <w:rsid w:val="00D723E0"/>
    <w:rsid w:val="00D73405"/>
    <w:rsid w:val="00D73542"/>
    <w:rsid w:val="00D7362D"/>
    <w:rsid w:val="00D7558D"/>
    <w:rsid w:val="00D76627"/>
    <w:rsid w:val="00D76D2E"/>
    <w:rsid w:val="00D80547"/>
    <w:rsid w:val="00D81D92"/>
    <w:rsid w:val="00D81E50"/>
    <w:rsid w:val="00D81EAA"/>
    <w:rsid w:val="00D828C7"/>
    <w:rsid w:val="00D82ED1"/>
    <w:rsid w:val="00D8518D"/>
    <w:rsid w:val="00D86D63"/>
    <w:rsid w:val="00D92DB0"/>
    <w:rsid w:val="00D93446"/>
    <w:rsid w:val="00D93B9F"/>
    <w:rsid w:val="00D960BE"/>
    <w:rsid w:val="00D97B2D"/>
    <w:rsid w:val="00DA0626"/>
    <w:rsid w:val="00DA1B48"/>
    <w:rsid w:val="00DA3DB1"/>
    <w:rsid w:val="00DA65C5"/>
    <w:rsid w:val="00DA70D0"/>
    <w:rsid w:val="00DA7B5F"/>
    <w:rsid w:val="00DB043B"/>
    <w:rsid w:val="00DB1E3E"/>
    <w:rsid w:val="00DB268A"/>
    <w:rsid w:val="00DB2AB8"/>
    <w:rsid w:val="00DB38C0"/>
    <w:rsid w:val="00DB4265"/>
    <w:rsid w:val="00DB47A7"/>
    <w:rsid w:val="00DB52A8"/>
    <w:rsid w:val="00DB55C5"/>
    <w:rsid w:val="00DB65B3"/>
    <w:rsid w:val="00DC0434"/>
    <w:rsid w:val="00DC0945"/>
    <w:rsid w:val="00DC2EDC"/>
    <w:rsid w:val="00DC2FAC"/>
    <w:rsid w:val="00DC3543"/>
    <w:rsid w:val="00DC587B"/>
    <w:rsid w:val="00DC64CD"/>
    <w:rsid w:val="00DC75D7"/>
    <w:rsid w:val="00DD0F93"/>
    <w:rsid w:val="00DD1B08"/>
    <w:rsid w:val="00DD25D1"/>
    <w:rsid w:val="00DD757E"/>
    <w:rsid w:val="00DE08BA"/>
    <w:rsid w:val="00DE2AD3"/>
    <w:rsid w:val="00DE2B82"/>
    <w:rsid w:val="00DE3B1B"/>
    <w:rsid w:val="00DE4A12"/>
    <w:rsid w:val="00DE4AA5"/>
    <w:rsid w:val="00DE6716"/>
    <w:rsid w:val="00DF0D91"/>
    <w:rsid w:val="00DF25AA"/>
    <w:rsid w:val="00DF37A5"/>
    <w:rsid w:val="00DF428E"/>
    <w:rsid w:val="00DF4CE9"/>
    <w:rsid w:val="00DF5264"/>
    <w:rsid w:val="00DF5727"/>
    <w:rsid w:val="00DF5C0B"/>
    <w:rsid w:val="00DF610B"/>
    <w:rsid w:val="00DF7B34"/>
    <w:rsid w:val="00E0126C"/>
    <w:rsid w:val="00E029A1"/>
    <w:rsid w:val="00E06931"/>
    <w:rsid w:val="00E12155"/>
    <w:rsid w:val="00E12C6E"/>
    <w:rsid w:val="00E14CE9"/>
    <w:rsid w:val="00E15E1C"/>
    <w:rsid w:val="00E17288"/>
    <w:rsid w:val="00E21A63"/>
    <w:rsid w:val="00E228D7"/>
    <w:rsid w:val="00E2421F"/>
    <w:rsid w:val="00E252C5"/>
    <w:rsid w:val="00E30D9F"/>
    <w:rsid w:val="00E31ACF"/>
    <w:rsid w:val="00E31D4D"/>
    <w:rsid w:val="00E31DB8"/>
    <w:rsid w:val="00E33C05"/>
    <w:rsid w:val="00E34EAF"/>
    <w:rsid w:val="00E36918"/>
    <w:rsid w:val="00E36962"/>
    <w:rsid w:val="00E369B7"/>
    <w:rsid w:val="00E41256"/>
    <w:rsid w:val="00E43157"/>
    <w:rsid w:val="00E43387"/>
    <w:rsid w:val="00E43988"/>
    <w:rsid w:val="00E47EBF"/>
    <w:rsid w:val="00E528DE"/>
    <w:rsid w:val="00E533FF"/>
    <w:rsid w:val="00E568E1"/>
    <w:rsid w:val="00E574D9"/>
    <w:rsid w:val="00E57E85"/>
    <w:rsid w:val="00E61090"/>
    <w:rsid w:val="00E615C6"/>
    <w:rsid w:val="00E61FB8"/>
    <w:rsid w:val="00E64A6D"/>
    <w:rsid w:val="00E64B00"/>
    <w:rsid w:val="00E65038"/>
    <w:rsid w:val="00E65F22"/>
    <w:rsid w:val="00E70778"/>
    <w:rsid w:val="00E709B3"/>
    <w:rsid w:val="00E72DE7"/>
    <w:rsid w:val="00E76C03"/>
    <w:rsid w:val="00E82DFC"/>
    <w:rsid w:val="00E8411C"/>
    <w:rsid w:val="00E85770"/>
    <w:rsid w:val="00E87892"/>
    <w:rsid w:val="00E8789F"/>
    <w:rsid w:val="00E9066D"/>
    <w:rsid w:val="00E95266"/>
    <w:rsid w:val="00E957CA"/>
    <w:rsid w:val="00E959C2"/>
    <w:rsid w:val="00E97B71"/>
    <w:rsid w:val="00EA0E02"/>
    <w:rsid w:val="00EA0E08"/>
    <w:rsid w:val="00EA18F4"/>
    <w:rsid w:val="00EA25E7"/>
    <w:rsid w:val="00EA77BE"/>
    <w:rsid w:val="00EB2A53"/>
    <w:rsid w:val="00EB454D"/>
    <w:rsid w:val="00EB749D"/>
    <w:rsid w:val="00EB7F9D"/>
    <w:rsid w:val="00EC0BC4"/>
    <w:rsid w:val="00EC0CC1"/>
    <w:rsid w:val="00EC0F61"/>
    <w:rsid w:val="00EC10ED"/>
    <w:rsid w:val="00EC1497"/>
    <w:rsid w:val="00EC16A8"/>
    <w:rsid w:val="00EC2C13"/>
    <w:rsid w:val="00EC3CB3"/>
    <w:rsid w:val="00EC4078"/>
    <w:rsid w:val="00EC631B"/>
    <w:rsid w:val="00ED1C48"/>
    <w:rsid w:val="00ED1E80"/>
    <w:rsid w:val="00ED209B"/>
    <w:rsid w:val="00ED43C0"/>
    <w:rsid w:val="00EE3522"/>
    <w:rsid w:val="00EE3810"/>
    <w:rsid w:val="00EE483D"/>
    <w:rsid w:val="00EE4878"/>
    <w:rsid w:val="00EE7C66"/>
    <w:rsid w:val="00EF3127"/>
    <w:rsid w:val="00EF319F"/>
    <w:rsid w:val="00EF4223"/>
    <w:rsid w:val="00EF502F"/>
    <w:rsid w:val="00EF5E9E"/>
    <w:rsid w:val="00EF619B"/>
    <w:rsid w:val="00EF70A1"/>
    <w:rsid w:val="00EF70A3"/>
    <w:rsid w:val="00EF78AB"/>
    <w:rsid w:val="00F00B55"/>
    <w:rsid w:val="00F06566"/>
    <w:rsid w:val="00F1109F"/>
    <w:rsid w:val="00F1380F"/>
    <w:rsid w:val="00F14979"/>
    <w:rsid w:val="00F14F0E"/>
    <w:rsid w:val="00F17368"/>
    <w:rsid w:val="00F206E5"/>
    <w:rsid w:val="00F20C08"/>
    <w:rsid w:val="00F24C29"/>
    <w:rsid w:val="00F253CC"/>
    <w:rsid w:val="00F275D0"/>
    <w:rsid w:val="00F30C72"/>
    <w:rsid w:val="00F32BB3"/>
    <w:rsid w:val="00F33691"/>
    <w:rsid w:val="00F3520E"/>
    <w:rsid w:val="00F35224"/>
    <w:rsid w:val="00F4240B"/>
    <w:rsid w:val="00F434C9"/>
    <w:rsid w:val="00F547C0"/>
    <w:rsid w:val="00F5622A"/>
    <w:rsid w:val="00F5629D"/>
    <w:rsid w:val="00F56A1A"/>
    <w:rsid w:val="00F56BA5"/>
    <w:rsid w:val="00F63945"/>
    <w:rsid w:val="00F63C54"/>
    <w:rsid w:val="00F644E6"/>
    <w:rsid w:val="00F64EFC"/>
    <w:rsid w:val="00F65A27"/>
    <w:rsid w:val="00F7052E"/>
    <w:rsid w:val="00F73DD8"/>
    <w:rsid w:val="00F743AC"/>
    <w:rsid w:val="00F743B9"/>
    <w:rsid w:val="00F76887"/>
    <w:rsid w:val="00F77C5B"/>
    <w:rsid w:val="00F8086A"/>
    <w:rsid w:val="00F80C68"/>
    <w:rsid w:val="00F86166"/>
    <w:rsid w:val="00F874C1"/>
    <w:rsid w:val="00F9293D"/>
    <w:rsid w:val="00F93C47"/>
    <w:rsid w:val="00F944EB"/>
    <w:rsid w:val="00F95399"/>
    <w:rsid w:val="00F963B4"/>
    <w:rsid w:val="00F9653B"/>
    <w:rsid w:val="00F97CD6"/>
    <w:rsid w:val="00FA0474"/>
    <w:rsid w:val="00FA5F16"/>
    <w:rsid w:val="00FA66B5"/>
    <w:rsid w:val="00FA76BF"/>
    <w:rsid w:val="00FB03BF"/>
    <w:rsid w:val="00FB3063"/>
    <w:rsid w:val="00FB4CC0"/>
    <w:rsid w:val="00FB57E5"/>
    <w:rsid w:val="00FB62CF"/>
    <w:rsid w:val="00FB7A62"/>
    <w:rsid w:val="00FC31DE"/>
    <w:rsid w:val="00FC3B1C"/>
    <w:rsid w:val="00FC3EB4"/>
    <w:rsid w:val="00FC6C58"/>
    <w:rsid w:val="00FC7EA1"/>
    <w:rsid w:val="00FD01B6"/>
    <w:rsid w:val="00FD39AF"/>
    <w:rsid w:val="00FD4C0A"/>
    <w:rsid w:val="00FD5313"/>
    <w:rsid w:val="00FD5E8D"/>
    <w:rsid w:val="00FE0331"/>
    <w:rsid w:val="00FE141F"/>
    <w:rsid w:val="00FE1E16"/>
    <w:rsid w:val="00FE2C08"/>
    <w:rsid w:val="00FE6B45"/>
    <w:rsid w:val="00FE768E"/>
    <w:rsid w:val="00FF084A"/>
    <w:rsid w:val="00FF2B74"/>
    <w:rsid w:val="00FF2F46"/>
    <w:rsid w:val="00FF3ECA"/>
    <w:rsid w:val="00FF48C5"/>
    <w:rsid w:val="00FF5851"/>
    <w:rsid w:val="00FF79D5"/>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67FE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0"/>
    <w:lsdException w:name="toc 5" w:uiPriority="0"/>
    <w:lsdException w:name="toc 6" w:uiPriority="39"/>
    <w:lsdException w:name="toc 7" w:uiPriority="39"/>
    <w:lsdException w:name="toc 8" w:uiPriority="39"/>
    <w:lsdException w:name="toc 9" w:uiPriority="39"/>
    <w:lsdException w:name="footnote text" w:qFormat="1"/>
    <w:lsdException w:name="annotation text" w:uiPriority="0"/>
    <w:lsdException w:name="header" w:uiPriority="0"/>
    <w:lsdException w:name="caption" w:uiPriority="35" w:qFormat="1"/>
    <w:lsdException w:name="footnote reference" w:uiPriority="0" w:qFormat="1"/>
    <w:lsdException w:name="annotation reference" w:uiPriority="0"/>
    <w:lsdException w:name="page number" w:uiPriority="0"/>
    <w:lsdException w:name="List 2" w:uiPriority="0"/>
    <w:lsdException w:name="Lis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71"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9D75D4"/>
    <w:pPr>
      <w:keepNext/>
      <w:keepLines/>
      <w:numPr>
        <w:numId w:val="58"/>
      </w:numPr>
      <w:ind w:firstLine="0"/>
      <w:outlineLvl w:val="0"/>
    </w:pPr>
    <w:rPr>
      <w:rFonts w:asciiTheme="majorHAnsi" w:eastAsiaTheme="majorEastAsia" w:hAnsiTheme="majorHAnsi" w:cstheme="majorBidi"/>
      <w:b/>
      <w:bCs/>
      <w:sz w:val="20"/>
      <w:szCs w:val="20"/>
      <w:lang w:val="es-ES_tradnl"/>
    </w:rPr>
  </w:style>
  <w:style w:type="paragraph" w:styleId="Heading2">
    <w:name w:val="heading 2"/>
    <w:basedOn w:val="Normal"/>
    <w:next w:val="Normal"/>
    <w:link w:val="Heading2Char"/>
    <w:unhideWhenUsed/>
    <w:qFormat/>
    <w:rsid w:val="009D75D4"/>
    <w:pPr>
      <w:keepNext/>
      <w:numPr>
        <w:numId w:val="61"/>
      </w:numPr>
      <w:pBdr>
        <w:top w:val="none" w:sz="0" w:space="0" w:color="auto"/>
        <w:left w:val="none" w:sz="0" w:space="0" w:color="auto"/>
        <w:bottom w:val="none" w:sz="0" w:space="0" w:color="auto"/>
        <w:right w:val="none" w:sz="0" w:space="0" w:color="auto"/>
        <w:between w:val="none" w:sz="0" w:space="0" w:color="auto"/>
        <w:bar w:val="none" w:sz="0" w:color="auto"/>
      </w:pBdr>
      <w:ind w:left="1440" w:hanging="720"/>
      <w:outlineLvl w:val="1"/>
    </w:pPr>
    <w:rPr>
      <w:rFonts w:asciiTheme="majorHAnsi" w:eastAsiaTheme="majorEastAsia" w:hAnsiTheme="majorHAnsi" w:cstheme="majorBidi"/>
      <w:b/>
      <w:sz w:val="20"/>
      <w:szCs w:val="20"/>
      <w:lang w:val="es-ES_tradnl"/>
    </w:rPr>
  </w:style>
  <w:style w:type="paragraph" w:styleId="Heading3">
    <w:name w:val="heading 3"/>
    <w:basedOn w:val="Normal"/>
    <w:next w:val="Normal"/>
    <w:link w:val="Heading3Char"/>
    <w:unhideWhenUsed/>
    <w:qFormat/>
    <w:rsid w:val="009D75D4"/>
    <w:pPr>
      <w:keepNext/>
      <w:numPr>
        <w:numId w:val="62"/>
      </w:numPr>
      <w:pBdr>
        <w:top w:val="none" w:sz="0" w:space="0" w:color="auto"/>
        <w:left w:val="none" w:sz="0" w:space="0" w:color="auto"/>
        <w:bottom w:val="none" w:sz="0" w:space="0" w:color="auto"/>
        <w:right w:val="none" w:sz="0" w:space="0" w:color="auto"/>
        <w:between w:val="none" w:sz="0" w:space="0" w:color="auto"/>
        <w:bar w:val="none" w:sz="0" w:color="auto"/>
      </w:pBdr>
      <w:ind w:left="1440" w:hanging="720"/>
      <w:outlineLvl w:val="2"/>
    </w:pPr>
    <w:rPr>
      <w:rFonts w:asciiTheme="majorHAnsi" w:eastAsiaTheme="majorEastAsia" w:hAnsiTheme="majorHAnsi" w:cstheme="majorBidi"/>
      <w:b/>
      <w:sz w:val="20"/>
      <w:szCs w:val="20"/>
      <w:lang w:val="es-VE"/>
    </w:rPr>
  </w:style>
  <w:style w:type="paragraph" w:styleId="Heading4">
    <w:name w:val="heading 4"/>
    <w:basedOn w:val="Normal"/>
    <w:next w:val="Normal"/>
    <w:link w:val="Heading4Char"/>
    <w:qFormat/>
    <w:rsid w:val="00D02D3C"/>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3"/>
    </w:pPr>
    <w:rPr>
      <w:rFonts w:ascii="Arial" w:eastAsia="Times New Roman" w:hAnsi="Arial"/>
      <w:b/>
      <w:szCs w:val="20"/>
      <w:bdr w:val="none" w:sz="0" w:space="0" w:color="auto"/>
    </w:rPr>
  </w:style>
  <w:style w:type="paragraph" w:styleId="Heading5">
    <w:name w:val="heading 5"/>
    <w:basedOn w:val="Normal"/>
    <w:next w:val="Normal"/>
    <w:link w:val="Heading5Char"/>
    <w:qFormat/>
    <w:rsid w:val="00D02D3C"/>
    <w:pPr>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4"/>
    </w:pPr>
    <w:rPr>
      <w:rFonts w:eastAsia="Times New Roman"/>
      <w:sz w:val="22"/>
      <w:szCs w:val="20"/>
      <w:bdr w:val="none" w:sz="0" w:space="0" w:color="auto"/>
    </w:rPr>
  </w:style>
  <w:style w:type="paragraph" w:styleId="Heading6">
    <w:name w:val="heading 6"/>
    <w:basedOn w:val="Normal"/>
    <w:next w:val="Normal"/>
    <w:link w:val="Heading6Char"/>
    <w:uiPriority w:val="9"/>
    <w:qFormat/>
    <w:rsid w:val="00D02D3C"/>
    <w:pPr>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5"/>
    </w:pPr>
    <w:rPr>
      <w:rFonts w:eastAsia="Times New Roman"/>
      <w:i/>
      <w:sz w:val="22"/>
      <w:szCs w:val="20"/>
      <w:bdr w:val="none" w:sz="0" w:space="0" w:color="auto"/>
    </w:rPr>
  </w:style>
  <w:style w:type="paragraph" w:styleId="Heading7">
    <w:name w:val="heading 7"/>
    <w:basedOn w:val="Normal"/>
    <w:next w:val="Normal"/>
    <w:link w:val="Heading7Char"/>
    <w:qFormat/>
    <w:rsid w:val="00D02D3C"/>
    <w:pPr>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6"/>
    </w:pPr>
    <w:rPr>
      <w:rFonts w:ascii="Arial" w:eastAsia="Times New Roman" w:hAnsi="Arial"/>
      <w:sz w:val="20"/>
      <w:szCs w:val="20"/>
      <w:bdr w:val="none" w:sz="0" w:space="0" w:color="auto"/>
    </w:rPr>
  </w:style>
  <w:style w:type="paragraph" w:styleId="Heading8">
    <w:name w:val="heading 8"/>
    <w:basedOn w:val="Normal"/>
    <w:next w:val="Normal"/>
    <w:link w:val="Heading8Char"/>
    <w:qFormat/>
    <w:rsid w:val="00D02D3C"/>
    <w:pPr>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7"/>
    </w:pPr>
    <w:rPr>
      <w:rFonts w:ascii="Arial" w:eastAsia="Times New Roman" w:hAnsi="Arial"/>
      <w:i/>
      <w:sz w:val="20"/>
      <w:szCs w:val="20"/>
      <w:bdr w:val="none" w:sz="0" w:space="0" w:color="auto"/>
    </w:rPr>
  </w:style>
  <w:style w:type="paragraph" w:styleId="Heading9">
    <w:name w:val="heading 9"/>
    <w:basedOn w:val="Normal"/>
    <w:next w:val="Normal"/>
    <w:link w:val="Heading9Char"/>
    <w:qFormat/>
    <w:rsid w:val="00D02D3C"/>
    <w:pPr>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8"/>
    </w:pPr>
    <w:rPr>
      <w:rFonts w:ascii="Arial" w:eastAsia="Times New Roman" w:hAnsi="Arial"/>
      <w:b/>
      <w:i/>
      <w:sz w:val="18"/>
      <w:szCs w:val="20"/>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link w:val="BodyTextIndentChar"/>
    <w:pPr>
      <w:ind w:left="2160" w:hanging="720"/>
    </w:pPr>
    <w:rPr>
      <w:rFonts w:eastAsia="Times New Roman"/>
      <w:color w:val="000000"/>
      <w:sz w:val="24"/>
      <w:szCs w:val="24"/>
      <w:u w:color="000000"/>
      <w:lang w:val="es-ES_tradnl"/>
    </w:rPr>
  </w:style>
  <w:style w:type="paragraph" w:styleId="ListParagraph">
    <w:name w:val="List Paragraph"/>
    <w:aliases w:val="Párrafo de lista1,List Paragraph1,Colorful List - Accent 11,List Paragraph11,List Paragraph2"/>
    <w:link w:val="ListParagraphChar"/>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6"/>
      </w:numPr>
    </w:pPr>
  </w:style>
  <w:style w:type="numbering" w:customStyle="1" w:styleId="Estiloimportado1">
    <w:name w:val="Estilo importado 1"/>
  </w:style>
  <w:style w:type="numbering" w:customStyle="1" w:styleId="List1">
    <w:name w:val="List 1"/>
    <w:basedOn w:val="Estiloimportado2"/>
  </w:style>
  <w:style w:type="numbering" w:customStyle="1" w:styleId="Estiloimportado2">
    <w:name w:val="Estilo importado 2"/>
  </w:style>
  <w:style w:type="numbering" w:customStyle="1" w:styleId="List210">
    <w:name w:val="List 21"/>
    <w:basedOn w:val="Estiloimportado3"/>
    <w:pPr>
      <w:numPr>
        <w:numId w:val="57"/>
      </w:numPr>
    </w:pPr>
  </w:style>
  <w:style w:type="numbering" w:customStyle="1" w:styleId="Estiloimportado3">
    <w:name w:val="Estilo importado 3"/>
  </w:style>
  <w:style w:type="numbering" w:customStyle="1" w:styleId="List31">
    <w:name w:val="List 31"/>
    <w:basedOn w:val="Estiloimportado4"/>
    <w:pPr>
      <w:numPr>
        <w:numId w:val="56"/>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
    <w:name w:val="List 51"/>
    <w:basedOn w:val="Estiloimportado6"/>
    <w:pPr>
      <w:numPr>
        <w:numId w:val="59"/>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7"/>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41"/>
      </w:numPr>
    </w:pPr>
  </w:style>
  <w:style w:type="numbering" w:customStyle="1" w:styleId="Estiloimportado13">
    <w:name w:val="Estilo importado 13"/>
  </w:style>
  <w:style w:type="numbering" w:customStyle="1" w:styleId="List13">
    <w:name w:val="List 13"/>
    <w:basedOn w:val="Estiloimportado14"/>
    <w:pPr>
      <w:numPr>
        <w:numId w:val="47"/>
      </w:numPr>
    </w:pPr>
  </w:style>
  <w:style w:type="numbering" w:customStyle="1" w:styleId="Estiloimportado14">
    <w:name w:val="Estilo importado 14"/>
  </w:style>
  <w:style w:type="numbering" w:customStyle="1" w:styleId="List14">
    <w:name w:val="List 14"/>
    <w:basedOn w:val="Estiloimportado15"/>
    <w:pPr>
      <w:numPr>
        <w:numId w:val="22"/>
      </w:numPr>
    </w:pPr>
  </w:style>
  <w:style w:type="numbering" w:customStyle="1" w:styleId="Estiloimportado15">
    <w:name w:val="Estilo importado 15"/>
  </w:style>
  <w:style w:type="numbering" w:customStyle="1" w:styleId="List15">
    <w:name w:val="List 15"/>
    <w:basedOn w:val="Estiloimportado16"/>
    <w:pPr>
      <w:numPr>
        <w:numId w:val="21"/>
      </w:numPr>
    </w:pPr>
  </w:style>
  <w:style w:type="numbering" w:customStyle="1" w:styleId="Estiloimportado16">
    <w:name w:val="Estilo importado 16"/>
  </w:style>
  <w:style w:type="numbering" w:customStyle="1" w:styleId="List16">
    <w:name w:val="List 16"/>
    <w:basedOn w:val="Estiloimportado16"/>
  </w:style>
  <w:style w:type="numbering" w:customStyle="1" w:styleId="List17">
    <w:name w:val="List 17"/>
    <w:basedOn w:val="Estiloimportado17"/>
    <w:pPr>
      <w:numPr>
        <w:numId w:val="30"/>
      </w:numPr>
    </w:pPr>
  </w:style>
  <w:style w:type="numbering" w:customStyle="1" w:styleId="Estiloimportado17">
    <w:name w:val="Estilo importado 17"/>
  </w:style>
  <w:style w:type="numbering" w:customStyle="1" w:styleId="List18">
    <w:name w:val="List 18"/>
    <w:basedOn w:val="Estiloimportado18"/>
    <w:pPr>
      <w:numPr>
        <w:numId w:val="32"/>
      </w:numPr>
    </w:pPr>
  </w:style>
  <w:style w:type="numbering" w:customStyle="1" w:styleId="Estiloimportado18">
    <w:name w:val="Estilo importado 18"/>
  </w:style>
  <w:style w:type="numbering" w:customStyle="1" w:styleId="List19">
    <w:name w:val="List 19"/>
    <w:basedOn w:val="Estiloimportado10"/>
    <w:pPr>
      <w:numPr>
        <w:numId w:val="24"/>
      </w:numPr>
    </w:pPr>
  </w:style>
  <w:style w:type="numbering" w:customStyle="1" w:styleId="List20">
    <w:name w:val="List 20"/>
    <w:basedOn w:val="Estiloimportado12"/>
    <w:pPr>
      <w:numPr>
        <w:numId w:val="48"/>
      </w:numPr>
    </w:pPr>
  </w:style>
  <w:style w:type="numbering" w:customStyle="1" w:styleId="List21">
    <w:name w:val="List 21"/>
    <w:basedOn w:val="Estiloimportado19"/>
    <w:pPr>
      <w:numPr>
        <w:numId w:val="43"/>
      </w:numPr>
    </w:pPr>
  </w:style>
  <w:style w:type="numbering" w:customStyle="1" w:styleId="Estiloimportado19">
    <w:name w:val="Estilo importado 19"/>
  </w:style>
  <w:style w:type="numbering" w:customStyle="1" w:styleId="List22">
    <w:name w:val="List 22"/>
    <w:basedOn w:val="Estiloimportado19"/>
    <w:pPr>
      <w:numPr>
        <w:numId w:val="33"/>
      </w:numPr>
    </w:pPr>
  </w:style>
  <w:style w:type="numbering" w:customStyle="1" w:styleId="List23">
    <w:name w:val="List 23"/>
    <w:basedOn w:val="Estiloimportado19"/>
    <w:pPr>
      <w:numPr>
        <w:numId w:val="23"/>
      </w:numPr>
    </w:pPr>
  </w:style>
  <w:style w:type="numbering" w:customStyle="1" w:styleId="List24">
    <w:name w:val="List 24"/>
    <w:basedOn w:val="Estiloimportado20"/>
    <w:pPr>
      <w:numPr>
        <w:numId w:val="18"/>
      </w:numPr>
    </w:pPr>
  </w:style>
  <w:style w:type="numbering" w:customStyle="1" w:styleId="Estiloimportado20">
    <w:name w:val="Estilo importado 20"/>
  </w:style>
  <w:style w:type="numbering" w:customStyle="1" w:styleId="List25">
    <w:name w:val="List 25"/>
    <w:basedOn w:val="Estiloimportado21"/>
    <w:pPr>
      <w:numPr>
        <w:numId w:val="20"/>
      </w:numPr>
    </w:pPr>
  </w:style>
  <w:style w:type="numbering" w:customStyle="1" w:styleId="Estiloimportado21">
    <w:name w:val="Estilo importado 21"/>
  </w:style>
  <w:style w:type="numbering" w:customStyle="1" w:styleId="List26">
    <w:name w:val="List 26"/>
    <w:basedOn w:val="Estiloimportado22"/>
    <w:pPr>
      <w:numPr>
        <w:numId w:val="54"/>
      </w:numPr>
    </w:pPr>
  </w:style>
  <w:style w:type="numbering" w:customStyle="1" w:styleId="Estiloimportado22">
    <w:name w:val="Estilo importado 22"/>
  </w:style>
  <w:style w:type="numbering" w:customStyle="1" w:styleId="List27">
    <w:name w:val="List 27"/>
    <w:basedOn w:val="Estiloimportado23"/>
    <w:pPr>
      <w:numPr>
        <w:numId w:val="46"/>
      </w:numPr>
    </w:pPr>
  </w:style>
  <w:style w:type="numbering" w:customStyle="1" w:styleId="Estiloimportado23">
    <w:name w:val="Estilo importado 23"/>
  </w:style>
  <w:style w:type="numbering" w:customStyle="1" w:styleId="List28">
    <w:name w:val="List 28"/>
    <w:basedOn w:val="Estiloimportado24"/>
    <w:pPr>
      <w:numPr>
        <w:numId w:val="35"/>
      </w:numPr>
    </w:pPr>
  </w:style>
  <w:style w:type="numbering" w:customStyle="1" w:styleId="Estiloimportado24">
    <w:name w:val="Estilo importado 24"/>
  </w:style>
  <w:style w:type="numbering" w:customStyle="1" w:styleId="List29">
    <w:name w:val="List 29"/>
    <w:basedOn w:val="Estiloimportado25"/>
    <w:pPr>
      <w:numPr>
        <w:numId w:val="39"/>
      </w:numPr>
    </w:pPr>
  </w:style>
  <w:style w:type="numbering" w:customStyle="1" w:styleId="Estiloimportado25">
    <w:name w:val="Estilo importado 25"/>
  </w:style>
  <w:style w:type="numbering" w:customStyle="1" w:styleId="List30">
    <w:name w:val="List 30"/>
    <w:basedOn w:val="Estiloimportado26"/>
    <w:pPr>
      <w:numPr>
        <w:numId w:val="37"/>
      </w:numPr>
    </w:pPr>
  </w:style>
  <w:style w:type="numbering" w:customStyle="1" w:styleId="Estiloimportado26">
    <w:name w:val="Estilo importado 26"/>
  </w:style>
  <w:style w:type="numbering" w:customStyle="1" w:styleId="List310">
    <w:name w:val="List 31"/>
    <w:basedOn w:val="Estiloimportado27"/>
    <w:pPr>
      <w:numPr>
        <w:numId w:val="50"/>
      </w:numPr>
    </w:pPr>
  </w:style>
  <w:style w:type="numbering" w:customStyle="1" w:styleId="Estiloimportado27">
    <w:name w:val="Estilo importado 27"/>
  </w:style>
  <w:style w:type="numbering" w:customStyle="1" w:styleId="List32">
    <w:name w:val="List 32"/>
    <w:basedOn w:val="Estiloimportado28"/>
    <w:pPr>
      <w:numPr>
        <w:numId w:val="53"/>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uiPriority w:val="99"/>
    <w:qFormat/>
    <w:rPr>
      <w:rFonts w:ascii="Calibri" w:eastAsia="Calibri" w:hAnsi="Calibri" w:cs="Calibri"/>
      <w:color w:val="000000"/>
      <w:u w:color="000000"/>
      <w:lang w:val="en-US"/>
    </w:rPr>
  </w:style>
  <w:style w:type="numbering" w:customStyle="1" w:styleId="List33">
    <w:name w:val="List 33"/>
    <w:basedOn w:val="Estiloimportado29"/>
  </w:style>
  <w:style w:type="numbering" w:customStyle="1" w:styleId="Estiloimportado29">
    <w:name w:val="Estilo importado 29"/>
  </w:style>
  <w:style w:type="numbering" w:customStyle="1" w:styleId="List34">
    <w:name w:val="List 34"/>
    <w:basedOn w:val="Estiloimportado30"/>
    <w:pPr>
      <w:numPr>
        <w:numId w:val="16"/>
      </w:numPr>
    </w:pPr>
  </w:style>
  <w:style w:type="numbering" w:customStyle="1" w:styleId="Estiloimportado30">
    <w:name w:val="Estilo importado 30"/>
  </w:style>
  <w:style w:type="numbering" w:customStyle="1" w:styleId="List35">
    <w:name w:val="List 35"/>
    <w:basedOn w:val="Estiloimportado31"/>
    <w:pPr>
      <w:numPr>
        <w:numId w:val="9"/>
      </w:numPr>
    </w:pPr>
  </w:style>
  <w:style w:type="numbering" w:customStyle="1" w:styleId="Estiloimportado31">
    <w:name w:val="Estilo importado 31"/>
  </w:style>
  <w:style w:type="numbering" w:customStyle="1" w:styleId="List36">
    <w:name w:val="List 36"/>
    <w:basedOn w:val="Estiloimportado32"/>
    <w:pPr>
      <w:numPr>
        <w:numId w:val="19"/>
      </w:numPr>
    </w:pPr>
  </w:style>
  <w:style w:type="numbering" w:customStyle="1" w:styleId="Estiloimportado32">
    <w:name w:val="Estilo importado 32"/>
  </w:style>
  <w:style w:type="numbering" w:customStyle="1" w:styleId="List37">
    <w:name w:val="List 37"/>
    <w:basedOn w:val="Estiloimportado33"/>
    <w:pPr>
      <w:numPr>
        <w:numId w:val="52"/>
      </w:numPr>
    </w:pPr>
  </w:style>
  <w:style w:type="numbering" w:customStyle="1" w:styleId="Estiloimportado33">
    <w:name w:val="Estilo importado 33"/>
  </w:style>
  <w:style w:type="numbering" w:customStyle="1" w:styleId="List38">
    <w:name w:val="List 38"/>
    <w:basedOn w:val="Estiloimportado34"/>
  </w:style>
  <w:style w:type="numbering" w:customStyle="1" w:styleId="Estiloimportado34">
    <w:name w:val="Estilo importado 34"/>
  </w:style>
  <w:style w:type="numbering" w:customStyle="1" w:styleId="List39">
    <w:name w:val="List 39"/>
    <w:basedOn w:val="Estiloimportado35"/>
    <w:pPr>
      <w:numPr>
        <w:numId w:val="51"/>
      </w:numPr>
    </w:pPr>
  </w:style>
  <w:style w:type="numbering" w:customStyle="1" w:styleId="Estiloimportado35">
    <w:name w:val="Estilo importado 35"/>
  </w:style>
  <w:style w:type="numbering" w:customStyle="1" w:styleId="List40">
    <w:name w:val="List 40"/>
    <w:basedOn w:val="Estiloimportado36"/>
    <w:pPr>
      <w:numPr>
        <w:numId w:val="26"/>
      </w:numPr>
    </w:pPr>
  </w:style>
  <w:style w:type="numbering" w:customStyle="1" w:styleId="Estiloimportado36">
    <w:name w:val="Estilo importado 36"/>
  </w:style>
  <w:style w:type="numbering" w:customStyle="1" w:styleId="List410">
    <w:name w:val="List 41"/>
    <w:basedOn w:val="Estiloimportado37"/>
    <w:pPr>
      <w:numPr>
        <w:numId w:val="49"/>
      </w:numPr>
    </w:pPr>
  </w:style>
  <w:style w:type="numbering" w:customStyle="1" w:styleId="Estiloimportado37">
    <w:name w:val="Estilo importado 37"/>
  </w:style>
  <w:style w:type="numbering" w:customStyle="1" w:styleId="List42">
    <w:name w:val="List 42"/>
    <w:basedOn w:val="Estiloimportado12"/>
    <w:pPr>
      <w:numPr>
        <w:numId w:val="17"/>
      </w:numPr>
    </w:pPr>
  </w:style>
  <w:style w:type="numbering" w:customStyle="1" w:styleId="List43">
    <w:name w:val="List 43"/>
    <w:basedOn w:val="Estiloimportado38"/>
    <w:pPr>
      <w:numPr>
        <w:numId w:val="28"/>
      </w:numPr>
    </w:pPr>
  </w:style>
  <w:style w:type="numbering" w:customStyle="1" w:styleId="Estiloimportado38">
    <w:name w:val="Estilo importado 38"/>
  </w:style>
  <w:style w:type="numbering" w:customStyle="1" w:styleId="List44">
    <w:name w:val="List 44"/>
    <w:basedOn w:val="Estiloimportado39"/>
  </w:style>
  <w:style w:type="numbering" w:customStyle="1" w:styleId="Estiloimportado39">
    <w:name w:val="Estilo importado 39"/>
  </w:style>
  <w:style w:type="numbering" w:customStyle="1" w:styleId="List45">
    <w:name w:val="List 45"/>
    <w:basedOn w:val="Estiloimportado40"/>
  </w:style>
  <w:style w:type="numbering" w:customStyle="1" w:styleId="Estiloimportado40">
    <w:name w:val="Estilo importado 40"/>
  </w:style>
  <w:style w:type="numbering" w:customStyle="1" w:styleId="List46">
    <w:name w:val="List 46"/>
    <w:basedOn w:val="Estiloimportado41"/>
    <w:pPr>
      <w:numPr>
        <w:numId w:val="29"/>
      </w:numPr>
    </w:pPr>
  </w:style>
  <w:style w:type="numbering" w:customStyle="1" w:styleId="Estiloimportado41">
    <w:name w:val="Estilo importado 41"/>
  </w:style>
  <w:style w:type="numbering" w:customStyle="1" w:styleId="List47">
    <w:name w:val="List 47"/>
    <w:basedOn w:val="Estiloimportado42"/>
    <w:pPr>
      <w:numPr>
        <w:numId w:val="34"/>
      </w:numPr>
    </w:pPr>
  </w:style>
  <w:style w:type="numbering" w:customStyle="1" w:styleId="Estiloimportado42">
    <w:name w:val="Estilo importado 42"/>
  </w:style>
  <w:style w:type="numbering" w:customStyle="1" w:styleId="List48">
    <w:name w:val="List 48"/>
    <w:basedOn w:val="Estiloimportado43"/>
    <w:pPr>
      <w:numPr>
        <w:numId w:val="55"/>
      </w:numPr>
    </w:pPr>
  </w:style>
  <w:style w:type="numbering" w:customStyle="1" w:styleId="Estiloimportado43">
    <w:name w:val="Estilo importado 43"/>
  </w:style>
  <w:style w:type="numbering" w:customStyle="1" w:styleId="List49">
    <w:name w:val="List 49"/>
    <w:basedOn w:val="Estiloimportado44"/>
    <w:pPr>
      <w:numPr>
        <w:numId w:val="44"/>
      </w:numPr>
    </w:pPr>
  </w:style>
  <w:style w:type="numbering" w:customStyle="1" w:styleId="Estiloimportado44">
    <w:name w:val="Estilo importado 44"/>
  </w:style>
  <w:style w:type="numbering" w:customStyle="1" w:styleId="List50">
    <w:name w:val="List 50"/>
    <w:basedOn w:val="Estiloimportado45"/>
    <w:pPr>
      <w:numPr>
        <w:numId w:val="42"/>
      </w:numPr>
    </w:pPr>
  </w:style>
  <w:style w:type="numbering" w:customStyle="1" w:styleId="Estiloimportado45">
    <w:name w:val="Estilo importado 45"/>
  </w:style>
  <w:style w:type="numbering" w:customStyle="1" w:styleId="List510">
    <w:name w:val="List 51"/>
    <w:basedOn w:val="Estiloimportado46"/>
  </w:style>
  <w:style w:type="numbering" w:customStyle="1" w:styleId="Estiloimportado46">
    <w:name w:val="Estilo importado 46"/>
  </w:style>
  <w:style w:type="numbering" w:customStyle="1" w:styleId="List52">
    <w:name w:val="List 52"/>
    <w:basedOn w:val="Estiloimportado1"/>
  </w:style>
  <w:style w:type="paragraph" w:styleId="BalloonText">
    <w:name w:val="Balloon Text"/>
    <w:basedOn w:val="Normal"/>
    <w:link w:val="BalloonTextChar"/>
    <w:semiHidden/>
    <w:unhideWhenUsed/>
    <w:rsid w:val="009B381B"/>
    <w:rPr>
      <w:rFonts w:ascii="Tahoma" w:hAnsi="Tahoma" w:cs="Tahoma"/>
      <w:sz w:val="16"/>
      <w:szCs w:val="16"/>
    </w:rPr>
  </w:style>
  <w:style w:type="character" w:customStyle="1" w:styleId="BalloonTextChar">
    <w:name w:val="Balloon Text Char"/>
    <w:basedOn w:val="DefaultParagraphFont"/>
    <w:link w:val="BalloonText"/>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9D75D4"/>
    <w:rPr>
      <w:rFonts w:asciiTheme="majorHAnsi" w:eastAsiaTheme="majorEastAsia" w:hAnsiTheme="majorHAnsi" w:cstheme="majorBidi"/>
      <w:b/>
      <w:bCs/>
      <w:lang w:val="es-ES_tradnl"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qFormat/>
    <w:rsid w:val="00A666FF"/>
    <w:pPr>
      <w:tabs>
        <w:tab w:val="left" w:pos="1440"/>
        <w:tab w:val="right" w:leader="dot" w:pos="9350"/>
      </w:tabs>
      <w:spacing w:after="100"/>
      <w:ind w:left="1440" w:hanging="720"/>
    </w:pPr>
  </w:style>
  <w:style w:type="paragraph" w:styleId="TOC1">
    <w:name w:val="toc 1"/>
    <w:basedOn w:val="Normal"/>
    <w:next w:val="Normal"/>
    <w:autoRedefine/>
    <w:uiPriority w:val="39"/>
    <w:unhideWhenUsed/>
    <w:qFormat/>
    <w:rsid w:val="005C4225"/>
    <w:pPr>
      <w:spacing w:after="100"/>
    </w:pPr>
    <w:rPr>
      <w:rFonts w:asciiTheme="minorHAnsi" w:hAnsiTheme="minorHAnsi"/>
      <w:sz w:val="22"/>
    </w:rPr>
  </w:style>
  <w:style w:type="paragraph" w:styleId="TOC3">
    <w:name w:val="toc 3"/>
    <w:basedOn w:val="Normal"/>
    <w:next w:val="Normal"/>
    <w:autoRedefine/>
    <w:uiPriority w:val="39"/>
    <w:unhideWhenUsed/>
    <w:qFormat/>
    <w:rsid w:val="005C4225"/>
    <w:pPr>
      <w:tabs>
        <w:tab w:val="left" w:pos="880"/>
        <w:tab w:val="right" w:leader="dot" w:pos="9350"/>
      </w:tabs>
      <w:spacing w:after="100"/>
      <w:ind w:left="2160" w:hanging="720"/>
    </w:pPr>
  </w:style>
  <w:style w:type="paragraph" w:styleId="TOC4">
    <w:name w:val="toc 4"/>
    <w:basedOn w:val="Normal"/>
    <w:next w:val="Normal"/>
    <w:autoRedefine/>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aliases w:val="Body Text Char Car Car Car Car Car Car Car Car Car Car Car Car Car,Body Text Char Car Car Car Car Car Car Car Car Car Car Car Car"/>
    <w:basedOn w:val="Normal"/>
    <w:link w:val="BodyTextChar"/>
    <w:unhideWhenUsed/>
    <w:rsid w:val="00036A8A"/>
    <w:pPr>
      <w:spacing w:after="120"/>
    </w:pPr>
  </w:style>
  <w:style w:type="character" w:customStyle="1" w:styleId="BodyTextChar">
    <w:name w:val="Body Text Char"/>
    <w:aliases w:val="Body Text Char Car Car Car Car Car Car Car Car Car Car Car Car Car Char1,Body Text Char Car Car Car Car Car Car Car Car Car Car Car Car Char1"/>
    <w:basedOn w:val="DefaultParagraphFont"/>
    <w:link w:val="BodyText"/>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1,4_G,16 Point,Superscript 6 Point,Footnote symbol,Footnote,Texto nota al pie,Footnote Reference Cha"/>
    <w:link w:val="FootnotesrefssChar1Char"/>
    <w:qFormat/>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uiPriority w:val="99"/>
    <w:qFormat/>
    <w:locked/>
    <w:rsid w:val="00036A8A"/>
    <w:rPr>
      <w:rFonts w:ascii="Calibri" w:eastAsia="Calibri" w:hAnsi="Calibri" w:cs="Calibri"/>
      <w:color w:val="000000"/>
      <w:u w:color="000000"/>
      <w:lang w:val="en-US"/>
    </w:rPr>
  </w:style>
  <w:style w:type="character" w:customStyle="1" w:styleId="Heading2Char">
    <w:name w:val="Heading 2 Char"/>
    <w:basedOn w:val="DefaultParagraphFont"/>
    <w:link w:val="Heading2"/>
    <w:rsid w:val="009D75D4"/>
    <w:rPr>
      <w:rFonts w:asciiTheme="majorHAnsi" w:eastAsiaTheme="majorEastAsia" w:hAnsiTheme="majorHAnsi" w:cstheme="majorBidi"/>
      <w:b/>
      <w:lang w:val="es-ES_tradnl" w:eastAsia="en-US"/>
    </w:rPr>
  </w:style>
  <w:style w:type="character" w:customStyle="1" w:styleId="Heading3Char">
    <w:name w:val="Heading 3 Char"/>
    <w:basedOn w:val="DefaultParagraphFont"/>
    <w:link w:val="Heading3"/>
    <w:rsid w:val="009D75D4"/>
    <w:rPr>
      <w:rFonts w:asciiTheme="majorHAnsi" w:eastAsiaTheme="majorEastAsia" w:hAnsiTheme="majorHAnsi" w:cstheme="majorBidi"/>
      <w:b/>
      <w:lang w:val="es-VE" w:eastAsia="en-US"/>
    </w:rPr>
  </w:style>
  <w:style w:type="paragraph" w:customStyle="1" w:styleId="FootnotesrefssChar1Char">
    <w:name w:val="Footnotes refss Char1 Char"/>
    <w:aliases w:val="Texto de nota al pie Char1 Char,Appel note de bas de page Char1 Char,Footnote number Char1 Char,referencia nota al pie Char1 Char,BVI fnr Char1 Char,f Char1 Char,4_G Char1 Char,16 Point Char1 Char"/>
    <w:basedOn w:val="Normal"/>
    <w:link w:val="FootnoteReference"/>
    <w:qFormat/>
    <w:rsid w:val="00105D7F"/>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character" w:customStyle="1" w:styleId="ListParagraphChar">
    <w:name w:val="List Paragraph Char"/>
    <w:aliases w:val="Párrafo de lista1 Char,List Paragraph1 Char,Colorful List - Accent 11 Char,List Paragraph11 Char,List Paragraph2 Char"/>
    <w:link w:val="ListParagraph"/>
    <w:uiPriority w:val="34"/>
    <w:locked/>
    <w:rsid w:val="00105D7F"/>
    <w:rPr>
      <w:rFonts w:ascii="Cambria" w:eastAsia="Cambria" w:hAnsi="Cambria" w:cs="Cambria"/>
      <w:color w:val="000000"/>
      <w:sz w:val="24"/>
      <w:szCs w:val="24"/>
      <w:u w:color="000000"/>
      <w:lang w:val="en-US"/>
    </w:rPr>
  </w:style>
  <w:style w:type="character" w:customStyle="1" w:styleId="BodyTextIndentChar">
    <w:name w:val="Body Text Indent Char"/>
    <w:basedOn w:val="DefaultParagraphFont"/>
    <w:link w:val="BodyTextIndent"/>
    <w:rsid w:val="00105D7F"/>
    <w:rPr>
      <w:rFonts w:eastAsia="Times New Roman"/>
      <w:color w:val="000000"/>
      <w:sz w:val="24"/>
      <w:szCs w:val="24"/>
      <w:u w:color="000000"/>
      <w:lang w:val="es-ES_tradnl"/>
    </w:rPr>
  </w:style>
  <w:style w:type="paragraph" w:styleId="TOCHeading">
    <w:name w:val="TOC Heading"/>
    <w:basedOn w:val="Heading1"/>
    <w:next w:val="Normal"/>
    <w:uiPriority w:val="39"/>
    <w:semiHidden/>
    <w:unhideWhenUsed/>
    <w:qFormat/>
    <w:rsid w:val="00F63C54"/>
    <w:pPr>
      <w:numPr>
        <w:numId w:val="0"/>
      </w:numPr>
      <w:pBdr>
        <w:top w:val="none" w:sz="0" w:space="0" w:color="auto"/>
        <w:left w:val="none" w:sz="0" w:space="0" w:color="auto"/>
        <w:bottom w:val="none" w:sz="0" w:space="0" w:color="auto"/>
        <w:right w:val="none" w:sz="0" w:space="0" w:color="auto"/>
        <w:between w:val="none" w:sz="0" w:space="0" w:color="auto"/>
        <w:bar w:val="none" w:sz="0" w:color="auto"/>
      </w:pBdr>
      <w:spacing w:before="480" w:line="276" w:lineRule="auto"/>
      <w:outlineLvl w:val="9"/>
    </w:pPr>
    <w:rPr>
      <w:color w:val="365F91" w:themeColor="accent1" w:themeShade="BF"/>
      <w:sz w:val="28"/>
      <w:szCs w:val="28"/>
      <w:bdr w:val="none" w:sz="0" w:space="0" w:color="auto"/>
      <w:lang w:val="en-US" w:eastAsia="ja-JP"/>
    </w:rPr>
  </w:style>
  <w:style w:type="paragraph" w:customStyle="1" w:styleId="BVIfnrCar1CarCarCarCar">
    <w:name w:val="BVI fnr Car1 Car Car Car Car"/>
    <w:aliases w:val="ftref Car Car Car Car Car Car Car Car Car Car,BVI fnr Char Car Car Car Car Car Car Car Car Car Car Car,BVI fnr Char Car Car Car Car Car Car Car Car Car Car Car Car Car"/>
    <w:basedOn w:val="Normal"/>
    <w:rsid w:val="00D02D3C"/>
    <w:pPr>
      <w:pBdr>
        <w:top w:val="none" w:sz="0" w:space="0" w:color="auto"/>
        <w:left w:val="none" w:sz="0" w:space="0" w:color="auto"/>
        <w:bottom w:val="none" w:sz="0" w:space="0" w:color="auto"/>
        <w:right w:val="none" w:sz="0" w:space="0" w:color="auto"/>
        <w:between w:val="none" w:sz="0" w:space="0" w:color="auto"/>
        <w:bar w:val="none" w:sz="0" w:color="auto"/>
      </w:pBdr>
      <w:spacing w:before="200" w:after="160" w:line="240" w:lineRule="exact"/>
    </w:pPr>
    <w:rPr>
      <w:rFonts w:ascii="Verdana" w:hAnsi="Verdana"/>
      <w:sz w:val="22"/>
      <w:szCs w:val="20"/>
      <w:vertAlign w:val="superscript"/>
      <w:lang w:val="es-ES" w:eastAsia="es-ES"/>
    </w:rPr>
  </w:style>
  <w:style w:type="character" w:customStyle="1" w:styleId="Heading4Char">
    <w:name w:val="Heading 4 Char"/>
    <w:basedOn w:val="DefaultParagraphFont"/>
    <w:link w:val="Heading4"/>
    <w:rsid w:val="00D02D3C"/>
    <w:rPr>
      <w:rFonts w:ascii="Arial" w:eastAsia="Times New Roman" w:hAnsi="Arial"/>
      <w:b/>
      <w:sz w:val="24"/>
      <w:bdr w:val="none" w:sz="0" w:space="0" w:color="auto"/>
      <w:lang w:val="en-US" w:eastAsia="en-US"/>
    </w:rPr>
  </w:style>
  <w:style w:type="character" w:customStyle="1" w:styleId="Heading5Char">
    <w:name w:val="Heading 5 Char"/>
    <w:basedOn w:val="DefaultParagraphFont"/>
    <w:link w:val="Heading5"/>
    <w:rsid w:val="00D02D3C"/>
    <w:rPr>
      <w:rFonts w:eastAsia="Times New Roman"/>
      <w:sz w:val="22"/>
      <w:bdr w:val="none" w:sz="0" w:space="0" w:color="auto"/>
      <w:lang w:val="en-US" w:eastAsia="en-US"/>
    </w:rPr>
  </w:style>
  <w:style w:type="character" w:customStyle="1" w:styleId="Heading6Char">
    <w:name w:val="Heading 6 Char"/>
    <w:basedOn w:val="DefaultParagraphFont"/>
    <w:link w:val="Heading6"/>
    <w:uiPriority w:val="9"/>
    <w:rsid w:val="00D02D3C"/>
    <w:rPr>
      <w:rFonts w:eastAsia="Times New Roman"/>
      <w:i/>
      <w:sz w:val="22"/>
      <w:bdr w:val="none" w:sz="0" w:space="0" w:color="auto"/>
      <w:lang w:val="en-US" w:eastAsia="en-US"/>
    </w:rPr>
  </w:style>
  <w:style w:type="character" w:customStyle="1" w:styleId="Heading7Char">
    <w:name w:val="Heading 7 Char"/>
    <w:basedOn w:val="DefaultParagraphFont"/>
    <w:link w:val="Heading7"/>
    <w:rsid w:val="00D02D3C"/>
    <w:rPr>
      <w:rFonts w:ascii="Arial" w:eastAsia="Times New Roman" w:hAnsi="Arial"/>
      <w:bdr w:val="none" w:sz="0" w:space="0" w:color="auto"/>
      <w:lang w:val="en-US" w:eastAsia="en-US"/>
    </w:rPr>
  </w:style>
  <w:style w:type="character" w:customStyle="1" w:styleId="Heading8Char">
    <w:name w:val="Heading 8 Char"/>
    <w:basedOn w:val="DefaultParagraphFont"/>
    <w:link w:val="Heading8"/>
    <w:rsid w:val="00D02D3C"/>
    <w:rPr>
      <w:rFonts w:ascii="Arial" w:eastAsia="Times New Roman" w:hAnsi="Arial"/>
      <w:i/>
      <w:bdr w:val="none" w:sz="0" w:space="0" w:color="auto"/>
      <w:lang w:val="en-US" w:eastAsia="en-US"/>
    </w:rPr>
  </w:style>
  <w:style w:type="character" w:customStyle="1" w:styleId="Heading9Char">
    <w:name w:val="Heading 9 Char"/>
    <w:basedOn w:val="DefaultParagraphFont"/>
    <w:link w:val="Heading9"/>
    <w:rsid w:val="00D02D3C"/>
    <w:rPr>
      <w:rFonts w:ascii="Arial" w:eastAsia="Times New Roman" w:hAnsi="Arial"/>
      <w:b/>
      <w:i/>
      <w:sz w:val="18"/>
      <w:bdr w:val="none" w:sz="0" w:space="0" w:color="auto"/>
      <w:lang w:val="en-US" w:eastAsia="en-US"/>
    </w:rPr>
  </w:style>
  <w:style w:type="numbering" w:customStyle="1" w:styleId="List211">
    <w:name w:val="List 211"/>
    <w:basedOn w:val="Estiloimportado3"/>
    <w:rsid w:val="00D02D3C"/>
    <w:pPr>
      <w:numPr>
        <w:numId w:val="14"/>
      </w:numPr>
    </w:pPr>
  </w:style>
  <w:style w:type="numbering" w:customStyle="1" w:styleId="List311">
    <w:name w:val="List 311"/>
    <w:basedOn w:val="Estiloimportado4"/>
    <w:rsid w:val="00D02D3C"/>
    <w:pPr>
      <w:numPr>
        <w:numId w:val="38"/>
      </w:numPr>
    </w:pPr>
  </w:style>
  <w:style w:type="numbering" w:customStyle="1" w:styleId="List411">
    <w:name w:val="List 411"/>
    <w:basedOn w:val="Estiloimportado5"/>
    <w:rsid w:val="00D02D3C"/>
    <w:pPr>
      <w:numPr>
        <w:numId w:val="1"/>
      </w:numPr>
    </w:pPr>
  </w:style>
  <w:style w:type="numbering" w:customStyle="1" w:styleId="List511">
    <w:name w:val="List 511"/>
    <w:basedOn w:val="Estiloimportado6"/>
    <w:rsid w:val="00D02D3C"/>
    <w:pPr>
      <w:numPr>
        <w:numId w:val="15"/>
      </w:numPr>
    </w:pPr>
  </w:style>
  <w:style w:type="numbering" w:customStyle="1" w:styleId="List2111">
    <w:name w:val="List 2111"/>
    <w:basedOn w:val="Estiloimportado19"/>
    <w:rsid w:val="00D02D3C"/>
    <w:pPr>
      <w:numPr>
        <w:numId w:val="40"/>
      </w:numPr>
    </w:pPr>
  </w:style>
  <w:style w:type="numbering" w:customStyle="1" w:styleId="List3111">
    <w:name w:val="List 3111"/>
    <w:basedOn w:val="Estiloimportado27"/>
    <w:rsid w:val="00D02D3C"/>
    <w:pPr>
      <w:numPr>
        <w:numId w:val="25"/>
      </w:numPr>
    </w:pPr>
  </w:style>
  <w:style w:type="numbering" w:customStyle="1" w:styleId="List4111">
    <w:name w:val="List 4111"/>
    <w:basedOn w:val="Estiloimportado37"/>
    <w:rsid w:val="00D02D3C"/>
    <w:pPr>
      <w:numPr>
        <w:numId w:val="45"/>
      </w:numPr>
    </w:pPr>
  </w:style>
  <w:style w:type="numbering" w:customStyle="1" w:styleId="List5111">
    <w:name w:val="List 5111"/>
    <w:basedOn w:val="Estiloimportado46"/>
    <w:rsid w:val="00D02D3C"/>
    <w:pPr>
      <w:numPr>
        <w:numId w:val="31"/>
      </w:numPr>
    </w:pPr>
  </w:style>
  <w:style w:type="numbering" w:customStyle="1" w:styleId="NoList1">
    <w:name w:val="No List1"/>
    <w:next w:val="NoList"/>
    <w:semiHidden/>
    <w:unhideWhenUsed/>
    <w:rsid w:val="00D02D3C"/>
  </w:style>
  <w:style w:type="character" w:customStyle="1" w:styleId="Style">
    <w:name w:val="Style"/>
    <w:rsid w:val="00D02D3C"/>
    <w:rPr>
      <w:rFonts w:ascii="Times New Roman" w:hAnsi="Times New Roman"/>
      <w:sz w:val="22"/>
      <w:vertAlign w:val="superscript"/>
    </w:rPr>
  </w:style>
  <w:style w:type="paragraph" w:customStyle="1" w:styleId="Style1">
    <w:name w:val="Style1"/>
    <w:basedOn w:val="FootnoteText"/>
    <w:autoRedefine/>
    <w:rsid w:val="00D02D3C"/>
    <w:pPr>
      <w:pBdr>
        <w:top w:val="none" w:sz="0" w:space="0" w:color="auto"/>
        <w:left w:val="none" w:sz="0" w:space="0" w:color="auto"/>
        <w:bottom w:val="none" w:sz="0" w:space="0" w:color="auto"/>
        <w:right w:val="none" w:sz="0" w:space="0" w:color="auto"/>
        <w:between w:val="none" w:sz="0" w:space="0" w:color="auto"/>
        <w:bar w:val="none" w:sz="0" w:color="auto"/>
      </w:pBdr>
      <w:spacing w:after="120"/>
      <w:jc w:val="both"/>
    </w:pPr>
    <w:rPr>
      <w:rFonts w:ascii="Univers" w:eastAsia="Times New Roman" w:hAnsi="Univers" w:cs="Times New Roman"/>
      <w:color w:val="auto"/>
      <w:sz w:val="16"/>
      <w:szCs w:val="16"/>
      <w:bdr w:val="none" w:sz="0" w:space="0" w:color="auto"/>
      <w:lang w:val="es-PY" w:eastAsia="en-US"/>
    </w:rPr>
  </w:style>
  <w:style w:type="paragraph" w:customStyle="1" w:styleId="Style10">
    <w:name w:val="Style 1"/>
    <w:basedOn w:val="Normal"/>
    <w:uiPriority w:val="99"/>
    <w:rsid w:val="00D02D3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396" w:line="408" w:lineRule="atLeast"/>
      <w:jc w:val="both"/>
    </w:pPr>
    <w:rPr>
      <w:rFonts w:eastAsia="Times New Roman"/>
      <w:bdr w:val="none" w:sz="0" w:space="0" w:color="auto"/>
    </w:rPr>
  </w:style>
  <w:style w:type="paragraph" w:customStyle="1" w:styleId="Style4">
    <w:name w:val="Style 4"/>
    <w:basedOn w:val="Normal"/>
    <w:rsid w:val="00D02D3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408" w:lineRule="atLeast"/>
      <w:jc w:val="both"/>
    </w:pPr>
    <w:rPr>
      <w:rFonts w:eastAsia="Times New Roman"/>
      <w:bdr w:val="none" w:sz="0" w:space="0" w:color="auto"/>
    </w:rPr>
  </w:style>
  <w:style w:type="paragraph" w:customStyle="1" w:styleId="Style31">
    <w:name w:val="Style 31"/>
    <w:basedOn w:val="Normal"/>
    <w:rsid w:val="00D02D3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3204" w:line="1116" w:lineRule="exact"/>
      <w:jc w:val="center"/>
    </w:pPr>
    <w:rPr>
      <w:rFonts w:eastAsia="Times New Roman"/>
      <w:bdr w:val="none" w:sz="0" w:space="0" w:color="auto"/>
    </w:rPr>
  </w:style>
  <w:style w:type="paragraph" w:customStyle="1" w:styleId="Style36">
    <w:name w:val="Style 36"/>
    <w:basedOn w:val="Normal"/>
    <w:rsid w:val="00D02D3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360" w:line="384" w:lineRule="atLeast"/>
      <w:ind w:right="72"/>
      <w:jc w:val="both"/>
    </w:pPr>
    <w:rPr>
      <w:rFonts w:eastAsia="Times New Roman"/>
      <w:bdr w:val="none" w:sz="0" w:space="0" w:color="auto"/>
    </w:rPr>
  </w:style>
  <w:style w:type="paragraph" w:customStyle="1" w:styleId="Style11">
    <w:name w:val="Style 11"/>
    <w:basedOn w:val="Normal"/>
    <w:rsid w:val="00D02D3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360" w:line="360" w:lineRule="auto"/>
      <w:jc w:val="both"/>
    </w:pPr>
    <w:rPr>
      <w:rFonts w:eastAsia="Times New Roman"/>
      <w:bdr w:val="none" w:sz="0" w:space="0" w:color="auto"/>
    </w:rPr>
  </w:style>
  <w:style w:type="paragraph" w:customStyle="1" w:styleId="Style14">
    <w:name w:val="Style 14"/>
    <w:basedOn w:val="Normal"/>
    <w:rsid w:val="00D02D3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360" w:line="384" w:lineRule="atLeast"/>
      <w:ind w:left="504" w:right="72" w:hanging="504"/>
      <w:jc w:val="both"/>
    </w:pPr>
    <w:rPr>
      <w:rFonts w:eastAsia="Times New Roman"/>
      <w:bdr w:val="none" w:sz="0" w:space="0" w:color="auto"/>
    </w:rPr>
  </w:style>
  <w:style w:type="paragraph" w:customStyle="1" w:styleId="Style27">
    <w:name w:val="Style 27"/>
    <w:basedOn w:val="Normal"/>
    <w:rsid w:val="00D02D3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396" w:line="360" w:lineRule="auto"/>
      <w:ind w:left="360" w:hanging="360"/>
      <w:jc w:val="both"/>
    </w:pPr>
    <w:rPr>
      <w:rFonts w:eastAsia="Times New Roman"/>
      <w:bdr w:val="none" w:sz="0" w:space="0" w:color="auto"/>
    </w:rPr>
  </w:style>
  <w:style w:type="paragraph" w:customStyle="1" w:styleId="Style16">
    <w:name w:val="Style 16"/>
    <w:basedOn w:val="Normal"/>
    <w:rsid w:val="00D02D3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360" w:hanging="360"/>
      <w:jc w:val="both"/>
    </w:pPr>
    <w:rPr>
      <w:rFonts w:eastAsia="Times New Roman"/>
      <w:bdr w:val="none" w:sz="0" w:space="0" w:color="auto"/>
    </w:rPr>
  </w:style>
  <w:style w:type="paragraph" w:customStyle="1" w:styleId="Style17">
    <w:name w:val="Style 17"/>
    <w:basedOn w:val="Normal"/>
    <w:rsid w:val="00D02D3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bdr w:val="none" w:sz="0" w:space="0" w:color="auto"/>
    </w:rPr>
  </w:style>
  <w:style w:type="paragraph" w:customStyle="1" w:styleId="Style19">
    <w:name w:val="Style 19"/>
    <w:basedOn w:val="Normal"/>
    <w:rsid w:val="00D02D3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360" w:lineRule="auto"/>
      <w:ind w:left="504" w:right="72" w:hanging="504"/>
      <w:jc w:val="both"/>
    </w:pPr>
    <w:rPr>
      <w:rFonts w:eastAsia="Times New Roman"/>
      <w:bdr w:val="none" w:sz="0" w:space="0" w:color="auto"/>
    </w:rPr>
  </w:style>
  <w:style w:type="paragraph" w:customStyle="1" w:styleId="Style21">
    <w:name w:val="Style 21"/>
    <w:basedOn w:val="Normal"/>
    <w:rsid w:val="00D02D3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16"/>
      <w:ind w:right="864"/>
      <w:jc w:val="both"/>
    </w:pPr>
    <w:rPr>
      <w:rFonts w:eastAsia="Times New Roman"/>
      <w:bdr w:val="none" w:sz="0" w:space="0" w:color="auto"/>
    </w:rPr>
  </w:style>
  <w:style w:type="paragraph" w:customStyle="1" w:styleId="Style22">
    <w:name w:val="Style 22"/>
    <w:basedOn w:val="Normal"/>
    <w:rsid w:val="00D02D3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16"/>
      <w:ind w:right="864"/>
    </w:pPr>
    <w:rPr>
      <w:rFonts w:eastAsia="Times New Roman"/>
      <w:bdr w:val="none" w:sz="0" w:space="0" w:color="auto"/>
    </w:rPr>
  </w:style>
  <w:style w:type="paragraph" w:customStyle="1" w:styleId="Style24">
    <w:name w:val="Style 24"/>
    <w:basedOn w:val="Normal"/>
    <w:rsid w:val="00D02D3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360" w:line="360" w:lineRule="auto"/>
      <w:ind w:left="504" w:right="72" w:hanging="504"/>
      <w:jc w:val="both"/>
    </w:pPr>
    <w:rPr>
      <w:rFonts w:eastAsia="Times New Roman"/>
      <w:bdr w:val="none" w:sz="0" w:space="0" w:color="auto"/>
    </w:rPr>
  </w:style>
  <w:style w:type="paragraph" w:styleId="DocumentMap">
    <w:name w:val="Document Map"/>
    <w:basedOn w:val="Normal"/>
    <w:link w:val="DocumentMapChar"/>
    <w:semiHidden/>
    <w:rsid w:val="00D02D3C"/>
    <w:pPr>
      <w:pBdr>
        <w:top w:val="none" w:sz="0" w:space="0" w:color="auto"/>
        <w:left w:val="none" w:sz="0" w:space="0" w:color="auto"/>
        <w:bottom w:val="none" w:sz="0" w:space="0" w:color="auto"/>
        <w:right w:val="none" w:sz="0" w:space="0" w:color="auto"/>
        <w:between w:val="none" w:sz="0" w:space="0" w:color="auto"/>
        <w:bar w:val="none" w:sz="0" w:color="auto"/>
      </w:pBdr>
      <w:shd w:val="clear" w:color="auto" w:fill="000080"/>
    </w:pPr>
    <w:rPr>
      <w:rFonts w:ascii="Tahoma" w:eastAsia="Times New Roman" w:hAnsi="Tahoma" w:cs="Tahoma"/>
      <w:sz w:val="20"/>
      <w:szCs w:val="20"/>
      <w:bdr w:val="none" w:sz="0" w:space="0" w:color="auto"/>
    </w:rPr>
  </w:style>
  <w:style w:type="character" w:customStyle="1" w:styleId="DocumentMapChar">
    <w:name w:val="Document Map Char"/>
    <w:basedOn w:val="DefaultParagraphFont"/>
    <w:link w:val="DocumentMap"/>
    <w:semiHidden/>
    <w:rsid w:val="00D02D3C"/>
    <w:rPr>
      <w:rFonts w:ascii="Tahoma" w:eastAsia="Times New Roman" w:hAnsi="Tahoma" w:cs="Tahoma"/>
      <w:bdr w:val="none" w:sz="0" w:space="0" w:color="auto"/>
      <w:shd w:val="clear" w:color="auto" w:fill="000080"/>
      <w:lang w:val="en-US" w:eastAsia="en-US"/>
    </w:rPr>
  </w:style>
  <w:style w:type="paragraph" w:customStyle="1" w:styleId="Style6">
    <w:name w:val="Style 6"/>
    <w:basedOn w:val="Normal"/>
    <w:rsid w:val="00D02D3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52"/>
      <w:jc w:val="both"/>
    </w:pPr>
    <w:rPr>
      <w:rFonts w:eastAsia="Times New Roman"/>
      <w:bdr w:val="none" w:sz="0" w:space="0" w:color="auto"/>
    </w:rPr>
  </w:style>
  <w:style w:type="paragraph" w:customStyle="1" w:styleId="Style29">
    <w:name w:val="Style 29"/>
    <w:basedOn w:val="Normal"/>
    <w:rsid w:val="00D02D3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52"/>
      <w:ind w:right="72"/>
      <w:jc w:val="both"/>
    </w:pPr>
    <w:rPr>
      <w:rFonts w:eastAsia="Times New Roman"/>
      <w:bdr w:val="none" w:sz="0" w:space="0" w:color="auto"/>
    </w:rPr>
  </w:style>
  <w:style w:type="paragraph" w:customStyle="1" w:styleId="Style28">
    <w:name w:val="Style 28"/>
    <w:basedOn w:val="Normal"/>
    <w:rsid w:val="00D02D3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52"/>
      <w:ind w:left="72"/>
      <w:jc w:val="both"/>
    </w:pPr>
    <w:rPr>
      <w:rFonts w:eastAsia="Times New Roman"/>
      <w:bdr w:val="none" w:sz="0" w:space="0" w:color="auto"/>
    </w:rPr>
  </w:style>
  <w:style w:type="paragraph" w:customStyle="1" w:styleId="Style26">
    <w:name w:val="Style 26"/>
    <w:basedOn w:val="Normal"/>
    <w:rsid w:val="00D02D3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center"/>
    </w:pPr>
    <w:rPr>
      <w:rFonts w:eastAsia="Times New Roman"/>
      <w:bdr w:val="none" w:sz="0" w:space="0" w:color="auto"/>
    </w:rPr>
  </w:style>
  <w:style w:type="paragraph" w:customStyle="1" w:styleId="Style100">
    <w:name w:val="Style 10"/>
    <w:basedOn w:val="Normal"/>
    <w:rsid w:val="00D02D3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720"/>
      <w:jc w:val="both"/>
    </w:pPr>
    <w:rPr>
      <w:rFonts w:eastAsia="Times New Roman"/>
      <w:bdr w:val="none" w:sz="0" w:space="0" w:color="auto"/>
    </w:rPr>
  </w:style>
  <w:style w:type="paragraph" w:customStyle="1" w:styleId="Style12">
    <w:name w:val="Style 12"/>
    <w:basedOn w:val="Normal"/>
    <w:rsid w:val="00D02D3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center"/>
    </w:pPr>
    <w:rPr>
      <w:rFonts w:eastAsia="Times New Roman"/>
      <w:bdr w:val="none" w:sz="0" w:space="0" w:color="auto"/>
    </w:rPr>
  </w:style>
  <w:style w:type="paragraph" w:customStyle="1" w:styleId="Style13">
    <w:name w:val="Style 13"/>
    <w:basedOn w:val="Normal"/>
    <w:rsid w:val="00D02D3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right="72" w:firstLine="72"/>
      <w:jc w:val="both"/>
    </w:pPr>
    <w:rPr>
      <w:rFonts w:eastAsia="Times New Roman"/>
      <w:bdr w:val="none" w:sz="0" w:space="0" w:color="auto"/>
    </w:rPr>
  </w:style>
  <w:style w:type="paragraph" w:customStyle="1" w:styleId="Style2">
    <w:name w:val="Style 2"/>
    <w:basedOn w:val="Normal"/>
    <w:rsid w:val="00D02D3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bdr w:val="none" w:sz="0" w:space="0" w:color="auto"/>
    </w:rPr>
  </w:style>
  <w:style w:type="paragraph" w:customStyle="1" w:styleId="Style15">
    <w:name w:val="Style 15"/>
    <w:basedOn w:val="Normal"/>
    <w:rsid w:val="00D02D3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648" w:right="72"/>
    </w:pPr>
    <w:rPr>
      <w:rFonts w:eastAsia="Times New Roman"/>
      <w:bdr w:val="none" w:sz="0" w:space="0" w:color="auto"/>
    </w:rPr>
  </w:style>
  <w:style w:type="paragraph" w:customStyle="1" w:styleId="Style25">
    <w:name w:val="Style 25"/>
    <w:basedOn w:val="Normal"/>
    <w:rsid w:val="00D02D3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pPr>
    <w:rPr>
      <w:rFonts w:eastAsia="Times New Roman"/>
      <w:bdr w:val="none" w:sz="0" w:space="0" w:color="auto"/>
    </w:rPr>
  </w:style>
  <w:style w:type="paragraph" w:customStyle="1" w:styleId="Style18">
    <w:name w:val="Style 18"/>
    <w:basedOn w:val="Normal"/>
    <w:rsid w:val="00D02D3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bdr w:val="none" w:sz="0" w:space="0" w:color="auto"/>
    </w:rPr>
  </w:style>
  <w:style w:type="paragraph" w:customStyle="1" w:styleId="Style20">
    <w:name w:val="Style 20"/>
    <w:basedOn w:val="Normal"/>
    <w:rsid w:val="00D02D3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72"/>
    </w:pPr>
    <w:rPr>
      <w:rFonts w:eastAsia="Times New Roman"/>
      <w:bdr w:val="none" w:sz="0" w:space="0" w:color="auto"/>
    </w:rPr>
  </w:style>
  <w:style w:type="table" w:styleId="TableGrid">
    <w:name w:val="Table Grid"/>
    <w:basedOn w:val="TableNormal"/>
    <w:rsid w:val="00D02D3C"/>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aliases w:val="Normal (Web) Char1,Normal (Web) Char Char,Normal (Web) Char1 Char,Normal (Web) Char Char Char"/>
    <w:basedOn w:val="Normal"/>
    <w:uiPriority w:val="99"/>
    <w:rsid w:val="00D02D3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styleId="Strong">
    <w:name w:val="Strong"/>
    <w:uiPriority w:val="22"/>
    <w:qFormat/>
    <w:rsid w:val="00D02D3C"/>
    <w:rPr>
      <w:b/>
      <w:bCs/>
    </w:rPr>
  </w:style>
  <w:style w:type="character" w:customStyle="1" w:styleId="Heading1CharCharCharCharCharChar">
    <w:name w:val="Heading 1 Char Char Char Char Char Char"/>
    <w:rsid w:val="00D02D3C"/>
    <w:rPr>
      <w:rFonts w:ascii="Univers" w:hAnsi="Univers" w:cs="Arial"/>
      <w:kern w:val="36"/>
      <w:sz w:val="22"/>
      <w:szCs w:val="22"/>
      <w:lang w:val="en-US" w:eastAsia="en-US" w:bidi="ar-SA"/>
    </w:rPr>
  </w:style>
  <w:style w:type="paragraph" w:styleId="BodyTextIndent2">
    <w:name w:val="Body Text Indent 2"/>
    <w:basedOn w:val="Normal"/>
    <w:link w:val="BodyTextIndent2Char"/>
    <w:rsid w:val="00D02D3C"/>
    <w:pPr>
      <w:pBdr>
        <w:top w:val="none" w:sz="0" w:space="0" w:color="auto"/>
        <w:left w:val="none" w:sz="0" w:space="0" w:color="auto"/>
        <w:bottom w:val="none" w:sz="0" w:space="0" w:color="auto"/>
        <w:right w:val="none" w:sz="0" w:space="0" w:color="auto"/>
        <w:between w:val="none" w:sz="0" w:space="0" w:color="auto"/>
        <w:bar w:val="none" w:sz="0" w:color="auto"/>
      </w:pBdr>
      <w:spacing w:after="120" w:line="480" w:lineRule="auto"/>
      <w:ind w:left="360"/>
    </w:pPr>
    <w:rPr>
      <w:rFonts w:eastAsia="Times New Roman"/>
      <w:sz w:val="20"/>
      <w:szCs w:val="20"/>
      <w:bdr w:val="none" w:sz="0" w:space="0" w:color="auto"/>
    </w:rPr>
  </w:style>
  <w:style w:type="character" w:customStyle="1" w:styleId="BodyTextIndent2Char">
    <w:name w:val="Body Text Indent 2 Char"/>
    <w:basedOn w:val="DefaultParagraphFont"/>
    <w:link w:val="BodyTextIndent2"/>
    <w:rsid w:val="00D02D3C"/>
    <w:rPr>
      <w:rFonts w:eastAsia="Times New Roman"/>
      <w:bdr w:val="none" w:sz="0" w:space="0" w:color="auto"/>
      <w:lang w:val="en-US" w:eastAsia="en-US"/>
    </w:rPr>
  </w:style>
  <w:style w:type="paragraph" w:customStyle="1" w:styleId="Default">
    <w:name w:val="Default"/>
    <w:link w:val="DefaultChar"/>
    <w:rsid w:val="00D02D3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character" w:customStyle="1" w:styleId="ju-005fpara--char">
    <w:name w:val="ju-005fpara--char"/>
    <w:basedOn w:val="DefaultParagraphFont"/>
    <w:rsid w:val="00D02D3C"/>
  </w:style>
  <w:style w:type="paragraph" w:customStyle="1" w:styleId="Sinespaciado">
    <w:name w:val="Sin espaciado"/>
    <w:qFormat/>
    <w:rsid w:val="00D02D3C"/>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2"/>
      <w:szCs w:val="22"/>
      <w:bdr w:val="none" w:sz="0" w:space="0" w:color="auto"/>
      <w:lang w:eastAsia="en-US"/>
    </w:rPr>
  </w:style>
  <w:style w:type="character" w:customStyle="1" w:styleId="normal--char">
    <w:name w:val="normal--char"/>
    <w:basedOn w:val="DefaultParagraphFont"/>
    <w:rsid w:val="00D02D3C"/>
  </w:style>
  <w:style w:type="paragraph" w:styleId="Title">
    <w:name w:val="Title"/>
    <w:basedOn w:val="Normal"/>
    <w:link w:val="TitleChar"/>
    <w:qFormat/>
    <w:rsid w:val="00D02D3C"/>
    <w:pPr>
      <w:pBdr>
        <w:top w:val="none" w:sz="0" w:space="0" w:color="auto"/>
        <w:left w:val="none" w:sz="0" w:space="0" w:color="auto"/>
        <w:bottom w:val="none" w:sz="0" w:space="0" w:color="auto"/>
        <w:right w:val="none" w:sz="0" w:space="0" w:color="auto"/>
        <w:between w:val="none" w:sz="0" w:space="0" w:color="auto"/>
        <w:bar w:val="none" w:sz="0" w:color="auto"/>
      </w:pBdr>
      <w:jc w:val="center"/>
    </w:pPr>
    <w:rPr>
      <w:rFonts w:ascii="Univers" w:eastAsia="Times New Roman" w:hAnsi="Univers"/>
      <w:b/>
      <w:sz w:val="22"/>
      <w:szCs w:val="20"/>
      <w:bdr w:val="none" w:sz="0" w:space="0" w:color="auto"/>
      <w:lang w:val="es-ES"/>
    </w:rPr>
  </w:style>
  <w:style w:type="character" w:customStyle="1" w:styleId="TitleChar">
    <w:name w:val="Title Char"/>
    <w:basedOn w:val="DefaultParagraphFont"/>
    <w:link w:val="Title"/>
    <w:rsid w:val="00D02D3C"/>
    <w:rPr>
      <w:rFonts w:ascii="Univers" w:eastAsia="Times New Roman" w:hAnsi="Univers"/>
      <w:b/>
      <w:sz w:val="22"/>
      <w:bdr w:val="none" w:sz="0" w:space="0" w:color="auto"/>
      <w:lang w:eastAsia="en-US"/>
    </w:rPr>
  </w:style>
  <w:style w:type="character" w:customStyle="1" w:styleId="antetitulo1">
    <w:name w:val="antetitulo1"/>
    <w:rsid w:val="00D02D3C"/>
    <w:rPr>
      <w:rFonts w:ascii="Verdana" w:hAnsi="Verdana"/>
      <w:b w:val="0"/>
      <w:bCs w:val="0"/>
      <w:strike w:val="0"/>
      <w:dstrike w:val="0"/>
      <w:color w:val="CC0000"/>
      <w:sz w:val="15"/>
      <w:szCs w:val="15"/>
      <w:u w:val="none"/>
      <w:effect w:val="none"/>
    </w:rPr>
  </w:style>
  <w:style w:type="character" w:customStyle="1" w:styleId="ju-005fcase-0020char--char">
    <w:name w:val="ju-005fcase-0020char--char"/>
    <w:basedOn w:val="DefaultParagraphFont"/>
    <w:rsid w:val="00D02D3C"/>
  </w:style>
  <w:style w:type="paragraph" w:customStyle="1" w:styleId="Blockquote">
    <w:name w:val="Blockquote"/>
    <w:basedOn w:val="Normal"/>
    <w:rsid w:val="00D02D3C"/>
    <w:pPr>
      <w:pBdr>
        <w:top w:val="none" w:sz="0" w:space="0" w:color="auto"/>
        <w:left w:val="none" w:sz="0" w:space="0" w:color="auto"/>
        <w:bottom w:val="none" w:sz="0" w:space="0" w:color="auto"/>
        <w:right w:val="none" w:sz="0" w:space="0" w:color="auto"/>
        <w:between w:val="none" w:sz="0" w:space="0" w:color="auto"/>
        <w:bar w:val="none" w:sz="0" w:color="auto"/>
      </w:pBdr>
      <w:spacing w:before="100" w:after="100"/>
      <w:ind w:left="360" w:right="360"/>
    </w:pPr>
    <w:rPr>
      <w:rFonts w:eastAsia="Times New Roman"/>
      <w:snapToGrid w:val="0"/>
      <w:szCs w:val="20"/>
      <w:bdr w:val="none" w:sz="0" w:space="0" w:color="auto"/>
    </w:rPr>
  </w:style>
  <w:style w:type="paragraph" w:styleId="TOC5">
    <w:name w:val="toc 5"/>
    <w:basedOn w:val="Normal"/>
    <w:next w:val="Normal"/>
    <w:autoRedefine/>
    <w:semiHidden/>
    <w:rsid w:val="00D02D3C"/>
    <w:pPr>
      <w:pBdr>
        <w:top w:val="none" w:sz="0" w:space="0" w:color="auto"/>
        <w:left w:val="none" w:sz="0" w:space="0" w:color="auto"/>
        <w:bottom w:val="none" w:sz="0" w:space="0" w:color="auto"/>
        <w:right w:val="none" w:sz="0" w:space="0" w:color="auto"/>
        <w:between w:val="none" w:sz="0" w:space="0" w:color="auto"/>
        <w:bar w:val="none" w:sz="0" w:color="auto"/>
      </w:pBdr>
      <w:ind w:left="800"/>
    </w:pPr>
    <w:rPr>
      <w:rFonts w:eastAsia="Times New Roman"/>
      <w:sz w:val="20"/>
      <w:szCs w:val="20"/>
      <w:bdr w:val="none" w:sz="0" w:space="0" w:color="auto"/>
    </w:rPr>
  </w:style>
  <w:style w:type="character" w:customStyle="1" w:styleId="TextonotapieCar1">
    <w:name w:val="Texto nota pie Car1"/>
    <w:aliases w:val="ft Car,FA Fu Car,Footnote Text Char Char Char Char Char Car,Footnote Text Char Char Char Char Car,Footnote reference Car,Texto nota pie Car Car,Footnote Text Char Char Char Car,texto de nota al pie Car,FA Fußnotentext Car"/>
    <w:semiHidden/>
    <w:locked/>
    <w:rsid w:val="00D02D3C"/>
    <w:rPr>
      <w:rFonts w:cs="Times New Roman"/>
      <w:lang w:val="es-ES_tradnl" w:eastAsia="en-US" w:bidi="ar-SA"/>
    </w:rPr>
  </w:style>
  <w:style w:type="paragraph" w:customStyle="1" w:styleId="Car">
    <w:name w:val="Car"/>
    <w:basedOn w:val="Normal"/>
    <w:rsid w:val="00D02D3C"/>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rFonts w:eastAsia="Times New Roman"/>
      <w:noProof/>
      <w:color w:val="000000"/>
      <w:sz w:val="20"/>
      <w:szCs w:val="20"/>
      <w:bdr w:val="none" w:sz="0" w:space="0" w:color="auto"/>
      <w:lang w:val="es-CO" w:eastAsia="es-ES"/>
    </w:rPr>
  </w:style>
  <w:style w:type="paragraph" w:customStyle="1" w:styleId="Prrafonumerado">
    <w:name w:val="Párrafo numerado"/>
    <w:basedOn w:val="Normal"/>
    <w:autoRedefine/>
    <w:rsid w:val="00D02D3C"/>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ind w:left="720" w:right="760"/>
      <w:jc w:val="both"/>
    </w:pPr>
    <w:rPr>
      <w:rFonts w:ascii="Univers" w:eastAsia="Times New Roman" w:hAnsi="Univers"/>
      <w:sz w:val="18"/>
      <w:szCs w:val="18"/>
      <w:bdr w:val="none" w:sz="0" w:space="0" w:color="auto"/>
      <w:lang w:val="es-CO" w:eastAsia="es-ES"/>
    </w:rPr>
  </w:style>
  <w:style w:type="paragraph" w:styleId="BodyText3">
    <w:name w:val="Body Text 3"/>
    <w:basedOn w:val="Normal"/>
    <w:link w:val="BodyText3Char"/>
    <w:rsid w:val="00D02D3C"/>
    <w:pPr>
      <w:pBdr>
        <w:top w:val="none" w:sz="0" w:space="0" w:color="auto"/>
        <w:left w:val="none" w:sz="0" w:space="0" w:color="auto"/>
        <w:bottom w:val="none" w:sz="0" w:space="0" w:color="auto"/>
        <w:right w:val="none" w:sz="0" w:space="0" w:color="auto"/>
        <w:between w:val="none" w:sz="0" w:space="0" w:color="auto"/>
        <w:bar w:val="none" w:sz="0" w:color="auto"/>
      </w:pBdr>
      <w:spacing w:after="120"/>
    </w:pPr>
    <w:rPr>
      <w:rFonts w:eastAsia="Times New Roman"/>
      <w:sz w:val="16"/>
      <w:szCs w:val="16"/>
      <w:bdr w:val="none" w:sz="0" w:space="0" w:color="auto"/>
    </w:rPr>
  </w:style>
  <w:style w:type="character" w:customStyle="1" w:styleId="BodyText3Char">
    <w:name w:val="Body Text 3 Char"/>
    <w:basedOn w:val="DefaultParagraphFont"/>
    <w:link w:val="BodyText3"/>
    <w:rsid w:val="00D02D3C"/>
    <w:rPr>
      <w:rFonts w:eastAsia="Times New Roman"/>
      <w:sz w:val="16"/>
      <w:szCs w:val="16"/>
      <w:bdr w:val="none" w:sz="0" w:space="0" w:color="auto"/>
      <w:lang w:val="en-US" w:eastAsia="en-US"/>
    </w:rPr>
  </w:style>
  <w:style w:type="paragraph" w:styleId="BodyTextIndent3">
    <w:name w:val="Body Text Indent 3"/>
    <w:basedOn w:val="Normal"/>
    <w:link w:val="BodyTextIndent3Char"/>
    <w:rsid w:val="00D02D3C"/>
    <w:pPr>
      <w:pBdr>
        <w:top w:val="none" w:sz="0" w:space="0" w:color="auto"/>
        <w:left w:val="none" w:sz="0" w:space="0" w:color="auto"/>
        <w:bottom w:val="none" w:sz="0" w:space="0" w:color="auto"/>
        <w:right w:val="none" w:sz="0" w:space="0" w:color="auto"/>
        <w:between w:val="none" w:sz="0" w:space="0" w:color="auto"/>
        <w:bar w:val="none" w:sz="0" w:color="auto"/>
      </w:pBdr>
      <w:spacing w:after="120"/>
      <w:ind w:left="360"/>
    </w:pPr>
    <w:rPr>
      <w:rFonts w:eastAsia="Times New Roman"/>
      <w:sz w:val="16"/>
      <w:szCs w:val="16"/>
      <w:bdr w:val="none" w:sz="0" w:space="0" w:color="auto"/>
    </w:rPr>
  </w:style>
  <w:style w:type="character" w:customStyle="1" w:styleId="BodyTextIndent3Char">
    <w:name w:val="Body Text Indent 3 Char"/>
    <w:basedOn w:val="DefaultParagraphFont"/>
    <w:link w:val="BodyTextIndent3"/>
    <w:rsid w:val="00D02D3C"/>
    <w:rPr>
      <w:rFonts w:eastAsia="Times New Roman"/>
      <w:sz w:val="16"/>
      <w:szCs w:val="16"/>
      <w:bdr w:val="none" w:sz="0" w:space="0" w:color="auto"/>
      <w:lang w:val="en-US" w:eastAsia="en-US"/>
    </w:rPr>
  </w:style>
  <w:style w:type="character" w:customStyle="1" w:styleId="FootnoteCharacters">
    <w:name w:val="Footnote Characters"/>
    <w:rsid w:val="00D02D3C"/>
    <w:rPr>
      <w:vertAlign w:val="superscript"/>
    </w:rPr>
  </w:style>
  <w:style w:type="character" w:customStyle="1" w:styleId="WW-FootnoteCharacters">
    <w:name w:val="WW-Footnote Characters"/>
    <w:rsid w:val="00D02D3C"/>
    <w:rPr>
      <w:rFonts w:ascii="Universal" w:hAnsi="Universal"/>
      <w:sz w:val="16"/>
      <w:vertAlign w:val="superscript"/>
    </w:rPr>
  </w:style>
  <w:style w:type="character" w:customStyle="1" w:styleId="textonavy1">
    <w:name w:val="texto_navy1"/>
    <w:rsid w:val="00D02D3C"/>
    <w:rPr>
      <w:color w:val="000080"/>
    </w:rPr>
  </w:style>
  <w:style w:type="paragraph" w:customStyle="1" w:styleId="Style3">
    <w:name w:val="Style 3"/>
    <w:basedOn w:val="Normal"/>
    <w:uiPriority w:val="99"/>
    <w:rsid w:val="00D02D3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360" w:lineRule="auto"/>
      <w:jc w:val="both"/>
    </w:pPr>
    <w:rPr>
      <w:rFonts w:eastAsia="Times New Roman"/>
      <w:bdr w:val="none" w:sz="0" w:space="0" w:color="auto"/>
    </w:rPr>
  </w:style>
  <w:style w:type="paragraph" w:customStyle="1" w:styleId="Style5">
    <w:name w:val="Style 5"/>
    <w:basedOn w:val="Normal"/>
    <w:rsid w:val="00D02D3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52" w:line="360" w:lineRule="auto"/>
      <w:jc w:val="both"/>
    </w:pPr>
    <w:rPr>
      <w:rFonts w:eastAsia="Times New Roman"/>
      <w:bdr w:val="none" w:sz="0" w:space="0" w:color="auto"/>
    </w:rPr>
  </w:style>
  <w:style w:type="paragraph" w:customStyle="1" w:styleId="Style7">
    <w:name w:val="Style 7"/>
    <w:basedOn w:val="Normal"/>
    <w:rsid w:val="00D02D3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360" w:line="360" w:lineRule="auto"/>
      <w:ind w:right="72"/>
      <w:jc w:val="both"/>
    </w:pPr>
    <w:rPr>
      <w:rFonts w:eastAsia="Times New Roman"/>
      <w:bdr w:val="none" w:sz="0" w:space="0" w:color="auto"/>
    </w:rPr>
  </w:style>
  <w:style w:type="character" w:styleId="Emphasis">
    <w:name w:val="Emphasis"/>
    <w:uiPriority w:val="20"/>
    <w:qFormat/>
    <w:rsid w:val="00D02D3C"/>
    <w:rPr>
      <w:i/>
      <w:iCs/>
    </w:rPr>
  </w:style>
  <w:style w:type="character" w:styleId="CommentReference">
    <w:name w:val="annotation reference"/>
    <w:semiHidden/>
    <w:rsid w:val="00D02D3C"/>
    <w:rPr>
      <w:sz w:val="16"/>
      <w:szCs w:val="16"/>
    </w:rPr>
  </w:style>
  <w:style w:type="paragraph" w:styleId="CommentText">
    <w:name w:val="annotation text"/>
    <w:basedOn w:val="Normal"/>
    <w:link w:val="CommentTextChar"/>
    <w:rsid w:val="00D02D3C"/>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0"/>
      <w:szCs w:val="20"/>
      <w:bdr w:val="none" w:sz="0" w:space="0" w:color="auto"/>
    </w:rPr>
  </w:style>
  <w:style w:type="character" w:customStyle="1" w:styleId="CommentTextChar">
    <w:name w:val="Comment Text Char"/>
    <w:basedOn w:val="DefaultParagraphFont"/>
    <w:link w:val="CommentText"/>
    <w:rsid w:val="00D02D3C"/>
    <w:rPr>
      <w:rFonts w:eastAsia="Times New Roman"/>
      <w:bdr w:val="none" w:sz="0" w:space="0" w:color="auto"/>
      <w:lang w:val="en-US" w:eastAsia="en-US"/>
    </w:rPr>
  </w:style>
  <w:style w:type="character" w:customStyle="1" w:styleId="st1">
    <w:name w:val="st1"/>
    <w:basedOn w:val="DefaultParagraphFont"/>
    <w:rsid w:val="00D02D3C"/>
  </w:style>
  <w:style w:type="paragraph" w:styleId="BodyText2">
    <w:name w:val="Body Text 2"/>
    <w:basedOn w:val="Normal"/>
    <w:link w:val="BodyText2Char"/>
    <w:unhideWhenUsed/>
    <w:rsid w:val="00D02D3C"/>
    <w:pPr>
      <w:spacing w:after="120" w:line="480" w:lineRule="auto"/>
    </w:pPr>
  </w:style>
  <w:style w:type="character" w:customStyle="1" w:styleId="BodyText2Char">
    <w:name w:val="Body Text 2 Char"/>
    <w:basedOn w:val="DefaultParagraphFont"/>
    <w:link w:val="BodyText2"/>
    <w:rsid w:val="00D02D3C"/>
    <w:rPr>
      <w:sz w:val="24"/>
      <w:szCs w:val="24"/>
      <w:lang w:val="en-US" w:eastAsia="en-US"/>
    </w:rPr>
  </w:style>
  <w:style w:type="paragraph" w:styleId="PlainText">
    <w:name w:val="Plain Text"/>
    <w:basedOn w:val="Normal"/>
    <w:link w:val="PlainTextChar"/>
    <w:uiPriority w:val="99"/>
    <w:unhideWhenUsed/>
    <w:rsid w:val="00D02D3C"/>
    <w:rPr>
      <w:rFonts w:ascii="Consolas" w:hAnsi="Consolas" w:cs="Consolas"/>
      <w:sz w:val="21"/>
      <w:szCs w:val="21"/>
    </w:rPr>
  </w:style>
  <w:style w:type="character" w:customStyle="1" w:styleId="PlainTextChar">
    <w:name w:val="Plain Text Char"/>
    <w:basedOn w:val="DefaultParagraphFont"/>
    <w:link w:val="PlainText"/>
    <w:uiPriority w:val="99"/>
    <w:rsid w:val="00D02D3C"/>
    <w:rPr>
      <w:rFonts w:ascii="Consolas" w:hAnsi="Consolas" w:cs="Consolas"/>
      <w:sz w:val="21"/>
      <w:szCs w:val="21"/>
      <w:lang w:val="en-US" w:eastAsia="en-US"/>
    </w:rPr>
  </w:style>
  <w:style w:type="character" w:customStyle="1" w:styleId="BodyTextChar1">
    <w:name w:val="Body Text Char1"/>
    <w:aliases w:val="Body Text Char Char,Body Text Char Car Car Car Car Car Car Car Car Car Car Car Car Car Char,Body Text Char Car Car Car Car Car Car Car Car Car Car Car Car Char"/>
    <w:semiHidden/>
    <w:locked/>
    <w:rsid w:val="00D02D3C"/>
    <w:rPr>
      <w:rFonts w:ascii="Univers" w:eastAsia="Batang" w:hAnsi="Univers"/>
      <w:spacing w:val="-2"/>
      <w:sz w:val="22"/>
      <w:lang w:val="es-ES_tradnl" w:eastAsia="en-US" w:bidi="ar-SA"/>
    </w:rPr>
  </w:style>
  <w:style w:type="character" w:customStyle="1" w:styleId="FootnoteTextChar2">
    <w:name w:val="Footnote Text Char2"/>
    <w:aliases w:val="Footnote Text Char Char Char Char Char Char2,Footnote Text Char Char Char Char Char11,Footnote reference Char2,FA Fu Char2,Footnote Text Char Char Char Char11,Footnote Text Cha Char2,FA Fußnotentext Char2,FA Fuﬂnotentext Char2,f Cha"/>
    <w:semiHidden/>
    <w:locked/>
    <w:rsid w:val="00D02D3C"/>
    <w:rPr>
      <w:rFonts w:ascii="Univers" w:hAnsi="Univers" w:cs="Times New Roman"/>
      <w:lang w:val="es-ES_tradnl" w:eastAsia="x-none"/>
    </w:rPr>
  </w:style>
  <w:style w:type="paragraph" w:styleId="Subtitle">
    <w:name w:val="Subtitle"/>
    <w:basedOn w:val="Normal"/>
    <w:link w:val="SubtitleChar"/>
    <w:qFormat/>
    <w:rsid w:val="00D02D3C"/>
    <w:pPr>
      <w:pBdr>
        <w:top w:val="none" w:sz="0" w:space="0" w:color="auto"/>
        <w:left w:val="none" w:sz="0" w:space="0" w:color="auto"/>
        <w:bottom w:val="none" w:sz="0" w:space="0" w:color="auto"/>
        <w:right w:val="none" w:sz="0" w:space="0" w:color="auto"/>
        <w:between w:val="none" w:sz="0" w:space="0" w:color="auto"/>
        <w:bar w:val="none" w:sz="0" w:color="auto"/>
      </w:pBdr>
      <w:spacing w:after="60"/>
      <w:jc w:val="center"/>
      <w:outlineLvl w:val="1"/>
    </w:pPr>
    <w:rPr>
      <w:rFonts w:ascii="Arial" w:eastAsia="Batang" w:hAnsi="Arial" w:cs="Arial"/>
      <w:bdr w:val="none" w:sz="0" w:space="0" w:color="auto"/>
      <w:lang w:val="es-ES_tradnl"/>
    </w:rPr>
  </w:style>
  <w:style w:type="character" w:customStyle="1" w:styleId="SubtitleChar">
    <w:name w:val="Subtitle Char"/>
    <w:basedOn w:val="DefaultParagraphFont"/>
    <w:link w:val="Subtitle"/>
    <w:rsid w:val="00D02D3C"/>
    <w:rPr>
      <w:rFonts w:ascii="Arial" w:eastAsia="Batang" w:hAnsi="Arial" w:cs="Arial"/>
      <w:sz w:val="24"/>
      <w:szCs w:val="24"/>
      <w:bdr w:val="none" w:sz="0" w:space="0" w:color="auto"/>
      <w:lang w:val="es-ES_tradnl" w:eastAsia="en-US"/>
    </w:rPr>
  </w:style>
  <w:style w:type="paragraph" w:styleId="List2">
    <w:name w:val="List 2"/>
    <w:basedOn w:val="Normal"/>
    <w:rsid w:val="00D02D3C"/>
    <w:pPr>
      <w:pBdr>
        <w:top w:val="none" w:sz="0" w:space="0" w:color="auto"/>
        <w:left w:val="none" w:sz="0" w:space="0" w:color="auto"/>
        <w:bottom w:val="none" w:sz="0" w:space="0" w:color="auto"/>
        <w:right w:val="none" w:sz="0" w:space="0" w:color="auto"/>
        <w:between w:val="none" w:sz="0" w:space="0" w:color="auto"/>
        <w:bar w:val="none" w:sz="0" w:color="auto"/>
      </w:pBdr>
      <w:ind w:left="720" w:hanging="360"/>
    </w:pPr>
    <w:rPr>
      <w:rFonts w:ascii="Univers" w:eastAsia="Batang" w:hAnsi="Univers"/>
      <w:sz w:val="22"/>
      <w:szCs w:val="20"/>
      <w:bdr w:val="none" w:sz="0" w:space="0" w:color="auto"/>
      <w:lang w:val="es-ES_tradnl"/>
    </w:rPr>
  </w:style>
  <w:style w:type="character" w:customStyle="1" w:styleId="NormalWebChar">
    <w:name w:val="Normal (Web) Char"/>
    <w:aliases w:val="Normal (Web) Char1 Char1,Normal (Web) Char Char Char1,Normal (Web) Char1 Char Char,Normal (Web) Char Char Char Char"/>
    <w:rsid w:val="00D02D3C"/>
    <w:rPr>
      <w:sz w:val="24"/>
      <w:lang w:val="en-US" w:eastAsia="en-US"/>
    </w:rPr>
  </w:style>
  <w:style w:type="paragraph" w:styleId="BlockText">
    <w:name w:val="Block Text"/>
    <w:basedOn w:val="Normal"/>
    <w:rsid w:val="00D02D3C"/>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pPr>
    <w:rPr>
      <w:rFonts w:ascii="Univers" w:eastAsia="Batang" w:hAnsi="Univers"/>
      <w:sz w:val="18"/>
      <w:szCs w:val="20"/>
      <w:bdr w:val="none" w:sz="0" w:space="0" w:color="auto"/>
      <w:lang w:val="es-ES_tradnl"/>
    </w:rPr>
  </w:style>
  <w:style w:type="paragraph" w:styleId="List3">
    <w:name w:val="List 3"/>
    <w:basedOn w:val="Normal"/>
    <w:rsid w:val="00D02D3C"/>
    <w:pPr>
      <w:pBdr>
        <w:top w:val="none" w:sz="0" w:space="0" w:color="auto"/>
        <w:left w:val="none" w:sz="0" w:space="0" w:color="auto"/>
        <w:bottom w:val="none" w:sz="0" w:space="0" w:color="auto"/>
        <w:right w:val="none" w:sz="0" w:space="0" w:color="auto"/>
        <w:between w:val="none" w:sz="0" w:space="0" w:color="auto"/>
        <w:bar w:val="none" w:sz="0" w:color="auto"/>
      </w:pBdr>
      <w:ind w:left="1080" w:hanging="360"/>
    </w:pPr>
    <w:rPr>
      <w:rFonts w:ascii="Univers" w:eastAsia="Batang" w:hAnsi="Univers"/>
      <w:sz w:val="22"/>
      <w:szCs w:val="20"/>
      <w:bdr w:val="none" w:sz="0" w:space="0" w:color="auto"/>
      <w:lang w:val="es-ES_tradnl"/>
    </w:rPr>
  </w:style>
  <w:style w:type="paragraph" w:customStyle="1" w:styleId="Sangradetindependiente">
    <w:name w:val="SangrÌa de t. independiente"/>
    <w:basedOn w:val="Normal"/>
    <w:rsid w:val="00D02D3C"/>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360" w:lineRule="atLeast"/>
    </w:pPr>
    <w:rPr>
      <w:rFonts w:ascii="Garamond" w:eastAsia="Batang" w:hAnsi="Garamond"/>
      <w:szCs w:val="20"/>
      <w:bdr w:val="none" w:sz="0" w:space="0" w:color="auto"/>
      <w:lang w:val="es-ES_tradnl" w:eastAsia="ar-SA"/>
    </w:rPr>
  </w:style>
  <w:style w:type="character" w:styleId="FollowedHyperlink">
    <w:name w:val="FollowedHyperlink"/>
    <w:rsid w:val="00D02D3C"/>
    <w:rPr>
      <w:rFonts w:cs="Times New Roman"/>
      <w:color w:val="800080"/>
      <w:u w:val="single"/>
    </w:rPr>
  </w:style>
  <w:style w:type="character" w:customStyle="1" w:styleId="ifinal011">
    <w:name w:val="ifinal011"/>
    <w:rsid w:val="00D02D3C"/>
    <w:rPr>
      <w:rFonts w:ascii="Verdana" w:hAnsi="Verdana"/>
      <w:color w:val="003399"/>
      <w:sz w:val="12"/>
    </w:rPr>
  </w:style>
  <w:style w:type="paragraph" w:customStyle="1" w:styleId="PlaceholderText1">
    <w:name w:val="Placeholder Text1"/>
    <w:basedOn w:val="Normal"/>
    <w:rsid w:val="00D02D3C"/>
    <w:pPr>
      <w:keepNext/>
      <w:pBdr>
        <w:top w:val="none" w:sz="0" w:space="0" w:color="auto"/>
        <w:left w:val="none" w:sz="0" w:space="0" w:color="auto"/>
        <w:bottom w:val="none" w:sz="0" w:space="0" w:color="auto"/>
        <w:right w:val="none" w:sz="0" w:space="0" w:color="auto"/>
        <w:between w:val="none" w:sz="0" w:space="0" w:color="auto"/>
        <w:bar w:val="none" w:sz="0" w:color="auto"/>
      </w:pBdr>
      <w:tabs>
        <w:tab w:val="num" w:pos="0"/>
      </w:tabs>
      <w:outlineLvl w:val="0"/>
    </w:pPr>
    <w:rPr>
      <w:rFonts w:ascii="Verdana" w:eastAsia="MS Gothic" w:hAnsi="Verdana"/>
      <w:sz w:val="20"/>
      <w:bdr w:val="none" w:sz="0" w:space="0" w:color="auto"/>
      <w:lang w:val="es-ES_tradnl"/>
    </w:rPr>
  </w:style>
  <w:style w:type="paragraph" w:styleId="NoSpacing">
    <w:name w:val="No Spacing"/>
    <w:basedOn w:val="Normal"/>
    <w:uiPriority w:val="1"/>
    <w:qFormat/>
    <w:rsid w:val="00D02D3C"/>
    <w:pPr>
      <w:keepNext/>
      <w:numPr>
        <w:numId w:val="67"/>
      </w:numPr>
      <w:pBdr>
        <w:top w:val="none" w:sz="0" w:space="0" w:color="auto"/>
        <w:left w:val="none" w:sz="0" w:space="0" w:color="auto"/>
        <w:bottom w:val="none" w:sz="0" w:space="0" w:color="auto"/>
        <w:right w:val="none" w:sz="0" w:space="0" w:color="auto"/>
        <w:between w:val="none" w:sz="0" w:space="0" w:color="auto"/>
        <w:bar w:val="none" w:sz="0" w:color="auto"/>
      </w:pBdr>
      <w:tabs>
        <w:tab w:val="clear" w:pos="0"/>
        <w:tab w:val="num" w:pos="720"/>
      </w:tabs>
      <w:ind w:left="1080" w:hanging="360"/>
      <w:outlineLvl w:val="1"/>
    </w:pPr>
    <w:rPr>
      <w:rFonts w:ascii="Verdana" w:eastAsia="MS Gothic" w:hAnsi="Verdana"/>
      <w:sz w:val="20"/>
      <w:bdr w:val="none" w:sz="0" w:space="0" w:color="auto"/>
      <w:lang w:val="es-ES_tradnl"/>
    </w:rPr>
  </w:style>
  <w:style w:type="paragraph" w:customStyle="1" w:styleId="LightShading1">
    <w:name w:val="Light Shading1"/>
    <w:basedOn w:val="Normal"/>
    <w:rsid w:val="00D02D3C"/>
    <w:pPr>
      <w:keepNext/>
      <w:numPr>
        <w:ilvl w:val="1"/>
        <w:numId w:val="67"/>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1440"/>
      </w:tabs>
      <w:ind w:left="1800"/>
      <w:outlineLvl w:val="2"/>
    </w:pPr>
    <w:rPr>
      <w:rFonts w:ascii="Verdana" w:eastAsia="MS Gothic" w:hAnsi="Verdana"/>
      <w:sz w:val="20"/>
      <w:bdr w:val="none" w:sz="0" w:space="0" w:color="auto"/>
      <w:lang w:val="es-ES_tradnl"/>
    </w:rPr>
  </w:style>
  <w:style w:type="paragraph" w:customStyle="1" w:styleId="LightList1">
    <w:name w:val="Light List1"/>
    <w:basedOn w:val="Normal"/>
    <w:rsid w:val="00D02D3C"/>
    <w:pPr>
      <w:keepNext/>
      <w:numPr>
        <w:ilvl w:val="2"/>
        <w:numId w:val="67"/>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 w:val="num" w:pos="2160"/>
      </w:tabs>
      <w:ind w:left="2520"/>
      <w:outlineLvl w:val="3"/>
    </w:pPr>
    <w:rPr>
      <w:rFonts w:ascii="Verdana" w:eastAsia="MS Gothic" w:hAnsi="Verdana"/>
      <w:sz w:val="20"/>
      <w:bdr w:val="none" w:sz="0" w:space="0" w:color="auto"/>
      <w:lang w:val="es-ES_tradnl"/>
    </w:rPr>
  </w:style>
  <w:style w:type="paragraph" w:customStyle="1" w:styleId="LightGrid1">
    <w:name w:val="Light Grid1"/>
    <w:basedOn w:val="Normal"/>
    <w:rsid w:val="00D02D3C"/>
    <w:pPr>
      <w:keepNext/>
      <w:numPr>
        <w:ilvl w:val="3"/>
        <w:numId w:val="67"/>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 w:val="num" w:pos="2880"/>
      </w:tabs>
      <w:ind w:left="3240"/>
      <w:outlineLvl w:val="4"/>
    </w:pPr>
    <w:rPr>
      <w:rFonts w:ascii="Verdana" w:eastAsia="MS Gothic" w:hAnsi="Verdana"/>
      <w:sz w:val="20"/>
      <w:bdr w:val="none" w:sz="0" w:space="0" w:color="auto"/>
      <w:lang w:val="es-ES_tradnl"/>
    </w:rPr>
  </w:style>
  <w:style w:type="paragraph" w:customStyle="1" w:styleId="MediumShading11">
    <w:name w:val="Medium Shading 11"/>
    <w:basedOn w:val="Normal"/>
    <w:rsid w:val="00D02D3C"/>
    <w:pPr>
      <w:keepNext/>
      <w:numPr>
        <w:ilvl w:val="4"/>
        <w:numId w:val="67"/>
      </w:numPr>
      <w:pBdr>
        <w:top w:val="none" w:sz="0" w:space="0" w:color="auto"/>
        <w:left w:val="none" w:sz="0" w:space="0" w:color="auto"/>
        <w:bottom w:val="none" w:sz="0" w:space="0" w:color="auto"/>
        <w:right w:val="none" w:sz="0" w:space="0" w:color="auto"/>
        <w:between w:val="none" w:sz="0" w:space="0" w:color="auto"/>
        <w:bar w:val="none" w:sz="0" w:color="auto"/>
      </w:pBdr>
      <w:tabs>
        <w:tab w:val="clear" w:pos="2880"/>
        <w:tab w:val="num" w:pos="3600"/>
      </w:tabs>
      <w:ind w:left="3960"/>
      <w:outlineLvl w:val="5"/>
    </w:pPr>
    <w:rPr>
      <w:rFonts w:ascii="Verdana" w:eastAsia="MS Gothic" w:hAnsi="Verdana"/>
      <w:sz w:val="20"/>
      <w:bdr w:val="none" w:sz="0" w:space="0" w:color="auto"/>
      <w:lang w:val="es-ES_tradnl"/>
    </w:rPr>
  </w:style>
  <w:style w:type="paragraph" w:customStyle="1" w:styleId="MediumShading21">
    <w:name w:val="Medium Shading 21"/>
    <w:basedOn w:val="Normal"/>
    <w:rsid w:val="00D02D3C"/>
    <w:pPr>
      <w:keepNext/>
      <w:numPr>
        <w:ilvl w:val="5"/>
        <w:numId w:val="67"/>
      </w:numPr>
      <w:pBdr>
        <w:top w:val="none" w:sz="0" w:space="0" w:color="auto"/>
        <w:left w:val="none" w:sz="0" w:space="0" w:color="auto"/>
        <w:bottom w:val="none" w:sz="0" w:space="0" w:color="auto"/>
        <w:right w:val="none" w:sz="0" w:space="0" w:color="auto"/>
        <w:between w:val="none" w:sz="0" w:space="0" w:color="auto"/>
        <w:bar w:val="none" w:sz="0" w:color="auto"/>
      </w:pBdr>
      <w:tabs>
        <w:tab w:val="clear" w:pos="3600"/>
        <w:tab w:val="num" w:pos="4320"/>
      </w:tabs>
      <w:ind w:left="4680"/>
      <w:outlineLvl w:val="6"/>
    </w:pPr>
    <w:rPr>
      <w:rFonts w:ascii="Verdana" w:eastAsia="MS Gothic" w:hAnsi="Verdana"/>
      <w:sz w:val="20"/>
      <w:bdr w:val="none" w:sz="0" w:space="0" w:color="auto"/>
      <w:lang w:val="es-ES_tradnl"/>
    </w:rPr>
  </w:style>
  <w:style w:type="paragraph" w:customStyle="1" w:styleId="MediumList11">
    <w:name w:val="Medium List 11"/>
    <w:basedOn w:val="Normal"/>
    <w:rsid w:val="00D02D3C"/>
    <w:pPr>
      <w:keepNext/>
      <w:numPr>
        <w:ilvl w:val="6"/>
        <w:numId w:val="67"/>
      </w:numPr>
      <w:pBdr>
        <w:top w:val="none" w:sz="0" w:space="0" w:color="auto"/>
        <w:left w:val="none" w:sz="0" w:space="0" w:color="auto"/>
        <w:bottom w:val="none" w:sz="0" w:space="0" w:color="auto"/>
        <w:right w:val="none" w:sz="0" w:space="0" w:color="auto"/>
        <w:between w:val="none" w:sz="0" w:space="0" w:color="auto"/>
        <w:bar w:val="none" w:sz="0" w:color="auto"/>
      </w:pBdr>
      <w:tabs>
        <w:tab w:val="clear" w:pos="4320"/>
        <w:tab w:val="num" w:pos="5040"/>
      </w:tabs>
      <w:ind w:left="5400"/>
      <w:outlineLvl w:val="7"/>
    </w:pPr>
    <w:rPr>
      <w:rFonts w:ascii="Verdana" w:eastAsia="MS Gothic" w:hAnsi="Verdana"/>
      <w:sz w:val="20"/>
      <w:bdr w:val="none" w:sz="0" w:space="0" w:color="auto"/>
      <w:lang w:val="es-ES_tradnl"/>
    </w:rPr>
  </w:style>
  <w:style w:type="paragraph" w:customStyle="1" w:styleId="MediumList21">
    <w:name w:val="Medium List 21"/>
    <w:basedOn w:val="Normal"/>
    <w:rsid w:val="00D02D3C"/>
    <w:pPr>
      <w:keepNext/>
      <w:numPr>
        <w:ilvl w:val="7"/>
        <w:numId w:val="67"/>
      </w:numPr>
      <w:pBdr>
        <w:top w:val="none" w:sz="0" w:space="0" w:color="auto"/>
        <w:left w:val="none" w:sz="0" w:space="0" w:color="auto"/>
        <w:bottom w:val="none" w:sz="0" w:space="0" w:color="auto"/>
        <w:right w:val="none" w:sz="0" w:space="0" w:color="auto"/>
        <w:between w:val="none" w:sz="0" w:space="0" w:color="auto"/>
        <w:bar w:val="none" w:sz="0" w:color="auto"/>
      </w:pBdr>
      <w:tabs>
        <w:tab w:val="clear" w:pos="5040"/>
        <w:tab w:val="num" w:pos="5760"/>
      </w:tabs>
      <w:ind w:left="6120"/>
      <w:outlineLvl w:val="8"/>
    </w:pPr>
    <w:rPr>
      <w:rFonts w:ascii="Verdana" w:eastAsia="MS Gothic" w:hAnsi="Verdana"/>
      <w:sz w:val="20"/>
      <w:bdr w:val="none" w:sz="0" w:space="0" w:color="auto"/>
      <w:lang w:val="es-ES_tradnl"/>
    </w:rPr>
  </w:style>
  <w:style w:type="paragraph" w:customStyle="1" w:styleId="Estilo5">
    <w:name w:val="Estilo5"/>
    <w:basedOn w:val="Heading1"/>
    <w:next w:val="Normal"/>
    <w:rsid w:val="00D02D3C"/>
    <w:pPr>
      <w:keepLines w:val="0"/>
      <w:numPr>
        <w:ilvl w:val="8"/>
        <w:numId w:val="67"/>
      </w:numPr>
      <w:pBdr>
        <w:top w:val="none" w:sz="0" w:space="0" w:color="auto"/>
        <w:left w:val="none" w:sz="0" w:space="0" w:color="auto"/>
        <w:bottom w:val="none" w:sz="0" w:space="0" w:color="auto"/>
        <w:right w:val="none" w:sz="0" w:space="0" w:color="auto"/>
        <w:between w:val="none" w:sz="0" w:space="0" w:color="auto"/>
        <w:bar w:val="none" w:sz="0" w:color="auto"/>
      </w:pBdr>
      <w:tabs>
        <w:tab w:val="clear" w:pos="5760"/>
      </w:tabs>
      <w:spacing w:before="240" w:after="60"/>
      <w:ind w:left="0" w:firstLine="0"/>
      <w:jc w:val="both"/>
    </w:pPr>
    <w:rPr>
      <w:rFonts w:ascii="Verdana" w:eastAsia="Batang" w:hAnsi="Verdana" w:cs="Arial"/>
      <w:b w:val="0"/>
      <w:kern w:val="32"/>
      <w:szCs w:val="24"/>
      <w:bdr w:val="none" w:sz="0" w:space="0" w:color="auto"/>
      <w:lang w:val="en-US"/>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locked/>
    <w:rsid w:val="00D02D3C"/>
    <w:rPr>
      <w:rFonts w:ascii="Univers" w:eastAsia="Batang" w:hAnsi="Univers"/>
      <w:lang w:val="es-CO" w:eastAsia="en-US" w:bidi="ar-SA"/>
    </w:rPr>
  </w:style>
  <w:style w:type="character" w:customStyle="1" w:styleId="apple-converted-space">
    <w:name w:val="apple-converted-space"/>
    <w:rsid w:val="00D02D3C"/>
    <w:rPr>
      <w:rFonts w:cs="Times New Roman"/>
    </w:rPr>
  </w:style>
  <w:style w:type="paragraph" w:customStyle="1" w:styleId="Estilo7">
    <w:name w:val="Estilo7"/>
    <w:basedOn w:val="Normal"/>
    <w:rsid w:val="00D02D3C"/>
    <w:pPr>
      <w:numPr>
        <w:ilvl w:val="2"/>
        <w:numId w:val="68"/>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851"/>
      </w:tabs>
      <w:spacing w:before="120" w:after="120"/>
      <w:jc w:val="both"/>
    </w:pPr>
    <w:rPr>
      <w:rFonts w:ascii="Verdana" w:eastAsia="Batang" w:hAnsi="Verdana"/>
      <w:b/>
      <w:i/>
      <w:sz w:val="20"/>
      <w:szCs w:val="20"/>
      <w:bdr w:val="none" w:sz="0" w:space="0" w:color="auto"/>
      <w:lang w:val="es-ES_tradnl" w:eastAsia="es-MX"/>
    </w:rPr>
  </w:style>
  <w:style w:type="character" w:customStyle="1" w:styleId="skypepnhprintcontainer">
    <w:name w:val="skype_pnh_print_container"/>
    <w:rsid w:val="00D02D3C"/>
    <w:rPr>
      <w:rFonts w:cs="Times New Roman"/>
    </w:rPr>
  </w:style>
  <w:style w:type="character" w:customStyle="1" w:styleId="skypepnhcontainer">
    <w:name w:val="skype_pnh_container"/>
    <w:rsid w:val="00D02D3C"/>
    <w:rPr>
      <w:rFonts w:cs="Times New Roman"/>
    </w:rPr>
  </w:style>
  <w:style w:type="character" w:customStyle="1" w:styleId="s6b621b36">
    <w:name w:val="s6b621b36"/>
    <w:rsid w:val="00D02D3C"/>
    <w:rPr>
      <w:rFonts w:cs="Times New Roman"/>
    </w:rPr>
  </w:style>
  <w:style w:type="character" w:customStyle="1" w:styleId="tituloarticulo1">
    <w:name w:val="titulo_articulo1"/>
    <w:rsid w:val="00D02D3C"/>
    <w:rPr>
      <w:rFonts w:ascii="Arial" w:hAnsi="Arial"/>
      <w:b/>
      <w:sz w:val="36"/>
    </w:rPr>
  </w:style>
  <w:style w:type="paragraph" w:styleId="CommentSubject">
    <w:name w:val="annotation subject"/>
    <w:basedOn w:val="CommentText"/>
    <w:next w:val="CommentText"/>
    <w:link w:val="CommentSubjectChar"/>
    <w:semiHidden/>
    <w:rsid w:val="00D02D3C"/>
    <w:rPr>
      <w:rFonts w:ascii="Univers" w:eastAsia="Batang" w:hAnsi="Univers"/>
      <w:sz w:val="22"/>
      <w:lang w:val="es-ES_tradnl"/>
    </w:rPr>
  </w:style>
  <w:style w:type="character" w:customStyle="1" w:styleId="CommentSubjectChar">
    <w:name w:val="Comment Subject Char"/>
    <w:basedOn w:val="CommentTextChar"/>
    <w:link w:val="CommentSubject"/>
    <w:semiHidden/>
    <w:rsid w:val="00D02D3C"/>
    <w:rPr>
      <w:rFonts w:ascii="Univers" w:eastAsia="Batang" w:hAnsi="Univers"/>
      <w:sz w:val="22"/>
      <w:bdr w:val="none" w:sz="0" w:space="0" w:color="auto"/>
      <w:lang w:val="es-ES_tradnl" w:eastAsia="en-US"/>
    </w:rPr>
  </w:style>
  <w:style w:type="character" w:customStyle="1" w:styleId="ListParagraphChar1">
    <w:name w:val="List Paragraph Char1"/>
    <w:aliases w:val="Footnote Char2"/>
    <w:locked/>
    <w:rsid w:val="00D02D3C"/>
    <w:rPr>
      <w:rFonts w:ascii="Verdana" w:hAnsi="Verdana"/>
      <w:lang w:val="es-ES_tradnl" w:eastAsia="x-none"/>
    </w:rPr>
  </w:style>
  <w:style w:type="paragraph" w:styleId="Revision">
    <w:name w:val="Revision"/>
    <w:hidden/>
    <w:uiPriority w:val="71"/>
    <w:rsid w:val="00D02D3C"/>
    <w:pPr>
      <w:pBdr>
        <w:top w:val="none" w:sz="0" w:space="0" w:color="auto"/>
        <w:left w:val="none" w:sz="0" w:space="0" w:color="auto"/>
        <w:bottom w:val="none" w:sz="0" w:space="0" w:color="auto"/>
        <w:right w:val="none" w:sz="0" w:space="0" w:color="auto"/>
        <w:between w:val="none" w:sz="0" w:space="0" w:color="auto"/>
        <w:bar w:val="none" w:sz="0" w:color="auto"/>
      </w:pBdr>
    </w:pPr>
    <w:rPr>
      <w:rFonts w:ascii="Univers" w:eastAsia="Batang" w:hAnsi="Univers"/>
      <w:sz w:val="22"/>
      <w:bdr w:val="none" w:sz="0" w:space="0" w:color="auto"/>
      <w:lang w:val="es-ES_tradnl" w:eastAsia="en-US"/>
    </w:rPr>
  </w:style>
  <w:style w:type="character" w:customStyle="1" w:styleId="apple-style-span">
    <w:name w:val="apple-style-span"/>
    <w:rsid w:val="00D02D3C"/>
  </w:style>
  <w:style w:type="character" w:customStyle="1" w:styleId="DefaultChar">
    <w:name w:val="Default Char"/>
    <w:link w:val="Default"/>
    <w:rsid w:val="00D02D3C"/>
    <w:rPr>
      <w:rFonts w:eastAsia="Times New Roman"/>
      <w:color w:val="000000"/>
      <w:sz w:val="24"/>
      <w:szCs w:val="24"/>
      <w:bdr w:val="none" w:sz="0" w:space="0" w:color="auto"/>
      <w:lang w:val="en-US" w:eastAsia="en-US"/>
    </w:rPr>
  </w:style>
  <w:style w:type="paragraph" w:customStyle="1" w:styleId="ColorfulList-Accent12">
    <w:name w:val="Colorful List - Accent 12"/>
    <w:link w:val="ColorfulList-Accent1Char"/>
    <w:uiPriority w:val="34"/>
    <w:qFormat/>
    <w:rsid w:val="00D02D3C"/>
    <w:pPr>
      <w:ind w:left="720"/>
    </w:pPr>
    <w:rPr>
      <w:rFonts w:ascii="Cambria" w:eastAsia="Cambria" w:hAnsi="Cambria" w:cs="Cambria"/>
      <w:color w:val="000000"/>
      <w:sz w:val="24"/>
      <w:szCs w:val="24"/>
      <w:u w:color="000000"/>
      <w:lang w:val="en-US"/>
    </w:rPr>
  </w:style>
  <w:style w:type="character" w:customStyle="1" w:styleId="ColorfulList-Accent1Char">
    <w:name w:val="Colorful List - Accent 1 Char"/>
    <w:link w:val="ColorfulList-Accent12"/>
    <w:uiPriority w:val="34"/>
    <w:locked/>
    <w:rsid w:val="00D02D3C"/>
    <w:rPr>
      <w:rFonts w:ascii="Cambria" w:eastAsia="Cambria" w:hAnsi="Cambria" w:cs="Cambria"/>
      <w:color w:val="000000"/>
      <w:sz w:val="24"/>
      <w:szCs w:val="24"/>
      <w:u w:color="000000"/>
      <w:lang w:val="en-US"/>
    </w:rPr>
  </w:style>
  <w:style w:type="paragraph" w:customStyle="1" w:styleId="footnote">
    <w:name w:val="footnote"/>
    <w:basedOn w:val="NormalWeb"/>
    <w:rsid w:val="00D02D3C"/>
  </w:style>
  <w:style w:type="character" w:styleId="PlaceholderText">
    <w:name w:val="Placeholder Text"/>
    <w:basedOn w:val="DefaultParagraphFont"/>
    <w:uiPriority w:val="99"/>
    <w:semiHidden/>
    <w:rsid w:val="00D02D3C"/>
    <w:rPr>
      <w:color w:val="808080"/>
    </w:rPr>
  </w:style>
  <w:style w:type="character" w:customStyle="1" w:styleId="sb8d990e2">
    <w:name w:val="sb8d990e2"/>
    <w:basedOn w:val="DefaultParagraphFont"/>
    <w:rsid w:val="00D02D3C"/>
  </w:style>
  <w:style w:type="paragraph" w:styleId="HTMLPreformatted">
    <w:name w:val="HTML Preformatted"/>
    <w:basedOn w:val="Normal"/>
    <w:link w:val="HTMLPreformattedChar"/>
    <w:uiPriority w:val="99"/>
    <w:unhideWhenUsed/>
    <w:rsid w:val="00D02D3C"/>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bdr w:val="none" w:sz="0" w:space="0" w:color="auto"/>
    </w:rPr>
  </w:style>
  <w:style w:type="character" w:customStyle="1" w:styleId="HTMLPreformattedChar">
    <w:name w:val="HTML Preformatted Char"/>
    <w:basedOn w:val="DefaultParagraphFont"/>
    <w:link w:val="HTMLPreformatted"/>
    <w:uiPriority w:val="99"/>
    <w:rsid w:val="00D02D3C"/>
    <w:rPr>
      <w:rFonts w:ascii="Courier New" w:eastAsia="Times New Roman" w:hAnsi="Courier New" w:cs="Courier New"/>
      <w:bdr w:val="none" w:sz="0" w:space="0" w:color="auto"/>
      <w:lang w:val="en-US" w:eastAsia="en-US"/>
    </w:rPr>
  </w:style>
  <w:style w:type="paragraph" w:styleId="EndnoteText">
    <w:name w:val="endnote text"/>
    <w:basedOn w:val="Normal"/>
    <w:link w:val="EndnoteTextChar"/>
    <w:uiPriority w:val="99"/>
    <w:semiHidden/>
    <w:unhideWhenUsed/>
    <w:rsid w:val="00D02D3C"/>
    <w:rPr>
      <w:sz w:val="20"/>
      <w:szCs w:val="20"/>
    </w:rPr>
  </w:style>
  <w:style w:type="character" w:customStyle="1" w:styleId="EndnoteTextChar">
    <w:name w:val="Endnote Text Char"/>
    <w:basedOn w:val="DefaultParagraphFont"/>
    <w:link w:val="EndnoteText"/>
    <w:uiPriority w:val="99"/>
    <w:semiHidden/>
    <w:rsid w:val="00D02D3C"/>
    <w:rPr>
      <w:lang w:val="en-US" w:eastAsia="en-US"/>
    </w:rPr>
  </w:style>
  <w:style w:type="character" w:styleId="EndnoteReference">
    <w:name w:val="endnote reference"/>
    <w:basedOn w:val="DefaultParagraphFont"/>
    <w:uiPriority w:val="99"/>
    <w:semiHidden/>
    <w:unhideWhenUsed/>
    <w:rsid w:val="00D02D3C"/>
    <w:rPr>
      <w:vertAlign w:val="superscript"/>
    </w:rPr>
  </w:style>
  <w:style w:type="table" w:styleId="MediumGrid1">
    <w:name w:val="Medium Grid 1"/>
    <w:basedOn w:val="TableNormal"/>
    <w:uiPriority w:val="67"/>
    <w:rsid w:val="00D02D3C"/>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LightGrid">
    <w:name w:val="Light Grid"/>
    <w:basedOn w:val="TableNormal"/>
    <w:uiPriority w:val="62"/>
    <w:rsid w:val="00D02D3C"/>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Grid2">
    <w:name w:val="Light Grid2"/>
    <w:basedOn w:val="TableNormal"/>
    <w:next w:val="LightGrid"/>
    <w:uiPriority w:val="62"/>
    <w:rsid w:val="00D02D3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MS Gothic"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MS Gothic"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MS Gothic" w:hAnsi="Cambria" w:cs="Times New Roman"/>
        <w:b/>
        <w:bCs/>
      </w:rPr>
    </w:tblStylePr>
    <w:tblStylePr w:type="lastCol">
      <w:rPr>
        <w:rFonts w:ascii="Cambria" w:eastAsia="MS Gothic"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character" w:customStyle="1" w:styleId="BodyTextIndentChar1">
    <w:name w:val="Body Text Indent Char1"/>
    <w:locked/>
    <w:rsid w:val="00D02D3C"/>
    <w:rPr>
      <w:rFonts w:eastAsia="Times New Roman"/>
      <w:color w:val="000000"/>
      <w:sz w:val="24"/>
      <w:szCs w:val="24"/>
      <w:u w:color="000000"/>
      <w:lang w:val="es-ES_tradnl"/>
    </w:rPr>
  </w:style>
  <w:style w:type="paragraph" w:customStyle="1" w:styleId="1">
    <w:name w:val="1"/>
    <w:basedOn w:val="Normal"/>
    <w:rsid w:val="00D02D3C"/>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rFonts w:asciiTheme="minorHAnsi" w:eastAsiaTheme="minorHAnsi" w:hAnsiTheme="minorHAnsi" w:cstheme="minorBidi"/>
      <w:bdr w:val="none" w:sz="0" w:space="0" w:color="auto"/>
      <w:vertAlign w:val="superscript"/>
    </w:rPr>
  </w:style>
  <w:style w:type="paragraph" w:customStyle="1" w:styleId="section1">
    <w:name w:val="section1"/>
    <w:basedOn w:val="Normal"/>
    <w:rsid w:val="00D02D3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uiPriority w:val="99"/>
    <w:qFormat/>
    <w:rsid w:val="00D02D3C"/>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asciiTheme="minorHAnsi" w:eastAsiaTheme="minorHAnsi" w:hAnsiTheme="minorHAnsi" w:cstheme="minorBidi"/>
      <w:sz w:val="22"/>
      <w:szCs w:val="22"/>
      <w:bdr w:val="none" w:sz="0" w:space="0" w:color="auto"/>
      <w:vertAlign w:val="superscript"/>
      <w:lang w:val="es-CR"/>
    </w:rPr>
  </w:style>
  <w:style w:type="character" w:customStyle="1" w:styleId="FootnoteAnchor">
    <w:name w:val="Footnote Anchor"/>
    <w:rsid w:val="00D02D3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0"/>
    <w:lsdException w:name="toc 5" w:uiPriority="0"/>
    <w:lsdException w:name="toc 6" w:uiPriority="39"/>
    <w:lsdException w:name="toc 7" w:uiPriority="39"/>
    <w:lsdException w:name="toc 8" w:uiPriority="39"/>
    <w:lsdException w:name="toc 9" w:uiPriority="39"/>
    <w:lsdException w:name="footnote text" w:qFormat="1"/>
    <w:lsdException w:name="annotation text" w:uiPriority="0"/>
    <w:lsdException w:name="header" w:uiPriority="0"/>
    <w:lsdException w:name="caption" w:uiPriority="35" w:qFormat="1"/>
    <w:lsdException w:name="footnote reference" w:uiPriority="0" w:qFormat="1"/>
    <w:lsdException w:name="annotation reference" w:uiPriority="0"/>
    <w:lsdException w:name="page number" w:uiPriority="0"/>
    <w:lsdException w:name="List 2" w:uiPriority="0"/>
    <w:lsdException w:name="Lis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71"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9D75D4"/>
    <w:pPr>
      <w:keepNext/>
      <w:keepLines/>
      <w:numPr>
        <w:numId w:val="58"/>
      </w:numPr>
      <w:ind w:firstLine="0"/>
      <w:outlineLvl w:val="0"/>
    </w:pPr>
    <w:rPr>
      <w:rFonts w:asciiTheme="majorHAnsi" w:eastAsiaTheme="majorEastAsia" w:hAnsiTheme="majorHAnsi" w:cstheme="majorBidi"/>
      <w:b/>
      <w:bCs/>
      <w:sz w:val="20"/>
      <w:szCs w:val="20"/>
      <w:lang w:val="es-ES_tradnl"/>
    </w:rPr>
  </w:style>
  <w:style w:type="paragraph" w:styleId="Heading2">
    <w:name w:val="heading 2"/>
    <w:basedOn w:val="Normal"/>
    <w:next w:val="Normal"/>
    <w:link w:val="Heading2Char"/>
    <w:unhideWhenUsed/>
    <w:qFormat/>
    <w:rsid w:val="009D75D4"/>
    <w:pPr>
      <w:keepNext/>
      <w:numPr>
        <w:numId w:val="61"/>
      </w:numPr>
      <w:pBdr>
        <w:top w:val="none" w:sz="0" w:space="0" w:color="auto"/>
        <w:left w:val="none" w:sz="0" w:space="0" w:color="auto"/>
        <w:bottom w:val="none" w:sz="0" w:space="0" w:color="auto"/>
        <w:right w:val="none" w:sz="0" w:space="0" w:color="auto"/>
        <w:between w:val="none" w:sz="0" w:space="0" w:color="auto"/>
        <w:bar w:val="none" w:sz="0" w:color="auto"/>
      </w:pBdr>
      <w:ind w:left="1440" w:hanging="720"/>
      <w:outlineLvl w:val="1"/>
    </w:pPr>
    <w:rPr>
      <w:rFonts w:asciiTheme="majorHAnsi" w:eastAsiaTheme="majorEastAsia" w:hAnsiTheme="majorHAnsi" w:cstheme="majorBidi"/>
      <w:b/>
      <w:sz w:val="20"/>
      <w:szCs w:val="20"/>
      <w:lang w:val="es-ES_tradnl"/>
    </w:rPr>
  </w:style>
  <w:style w:type="paragraph" w:styleId="Heading3">
    <w:name w:val="heading 3"/>
    <w:basedOn w:val="Normal"/>
    <w:next w:val="Normal"/>
    <w:link w:val="Heading3Char"/>
    <w:unhideWhenUsed/>
    <w:qFormat/>
    <w:rsid w:val="009D75D4"/>
    <w:pPr>
      <w:keepNext/>
      <w:numPr>
        <w:numId w:val="62"/>
      </w:numPr>
      <w:pBdr>
        <w:top w:val="none" w:sz="0" w:space="0" w:color="auto"/>
        <w:left w:val="none" w:sz="0" w:space="0" w:color="auto"/>
        <w:bottom w:val="none" w:sz="0" w:space="0" w:color="auto"/>
        <w:right w:val="none" w:sz="0" w:space="0" w:color="auto"/>
        <w:between w:val="none" w:sz="0" w:space="0" w:color="auto"/>
        <w:bar w:val="none" w:sz="0" w:color="auto"/>
      </w:pBdr>
      <w:ind w:left="1440" w:hanging="720"/>
      <w:outlineLvl w:val="2"/>
    </w:pPr>
    <w:rPr>
      <w:rFonts w:asciiTheme="majorHAnsi" w:eastAsiaTheme="majorEastAsia" w:hAnsiTheme="majorHAnsi" w:cstheme="majorBidi"/>
      <w:b/>
      <w:sz w:val="20"/>
      <w:szCs w:val="20"/>
      <w:lang w:val="es-VE"/>
    </w:rPr>
  </w:style>
  <w:style w:type="paragraph" w:styleId="Heading4">
    <w:name w:val="heading 4"/>
    <w:basedOn w:val="Normal"/>
    <w:next w:val="Normal"/>
    <w:link w:val="Heading4Char"/>
    <w:qFormat/>
    <w:rsid w:val="00D02D3C"/>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3"/>
    </w:pPr>
    <w:rPr>
      <w:rFonts w:ascii="Arial" w:eastAsia="Times New Roman" w:hAnsi="Arial"/>
      <w:b/>
      <w:szCs w:val="20"/>
      <w:bdr w:val="none" w:sz="0" w:space="0" w:color="auto"/>
    </w:rPr>
  </w:style>
  <w:style w:type="paragraph" w:styleId="Heading5">
    <w:name w:val="heading 5"/>
    <w:basedOn w:val="Normal"/>
    <w:next w:val="Normal"/>
    <w:link w:val="Heading5Char"/>
    <w:qFormat/>
    <w:rsid w:val="00D02D3C"/>
    <w:pPr>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4"/>
    </w:pPr>
    <w:rPr>
      <w:rFonts w:eastAsia="Times New Roman"/>
      <w:sz w:val="22"/>
      <w:szCs w:val="20"/>
      <w:bdr w:val="none" w:sz="0" w:space="0" w:color="auto"/>
    </w:rPr>
  </w:style>
  <w:style w:type="paragraph" w:styleId="Heading6">
    <w:name w:val="heading 6"/>
    <w:basedOn w:val="Normal"/>
    <w:next w:val="Normal"/>
    <w:link w:val="Heading6Char"/>
    <w:uiPriority w:val="9"/>
    <w:qFormat/>
    <w:rsid w:val="00D02D3C"/>
    <w:pPr>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5"/>
    </w:pPr>
    <w:rPr>
      <w:rFonts w:eastAsia="Times New Roman"/>
      <w:i/>
      <w:sz w:val="22"/>
      <w:szCs w:val="20"/>
      <w:bdr w:val="none" w:sz="0" w:space="0" w:color="auto"/>
    </w:rPr>
  </w:style>
  <w:style w:type="paragraph" w:styleId="Heading7">
    <w:name w:val="heading 7"/>
    <w:basedOn w:val="Normal"/>
    <w:next w:val="Normal"/>
    <w:link w:val="Heading7Char"/>
    <w:qFormat/>
    <w:rsid w:val="00D02D3C"/>
    <w:pPr>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6"/>
    </w:pPr>
    <w:rPr>
      <w:rFonts w:ascii="Arial" w:eastAsia="Times New Roman" w:hAnsi="Arial"/>
      <w:sz w:val="20"/>
      <w:szCs w:val="20"/>
      <w:bdr w:val="none" w:sz="0" w:space="0" w:color="auto"/>
    </w:rPr>
  </w:style>
  <w:style w:type="paragraph" w:styleId="Heading8">
    <w:name w:val="heading 8"/>
    <w:basedOn w:val="Normal"/>
    <w:next w:val="Normal"/>
    <w:link w:val="Heading8Char"/>
    <w:qFormat/>
    <w:rsid w:val="00D02D3C"/>
    <w:pPr>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7"/>
    </w:pPr>
    <w:rPr>
      <w:rFonts w:ascii="Arial" w:eastAsia="Times New Roman" w:hAnsi="Arial"/>
      <w:i/>
      <w:sz w:val="20"/>
      <w:szCs w:val="20"/>
      <w:bdr w:val="none" w:sz="0" w:space="0" w:color="auto"/>
    </w:rPr>
  </w:style>
  <w:style w:type="paragraph" w:styleId="Heading9">
    <w:name w:val="heading 9"/>
    <w:basedOn w:val="Normal"/>
    <w:next w:val="Normal"/>
    <w:link w:val="Heading9Char"/>
    <w:qFormat/>
    <w:rsid w:val="00D02D3C"/>
    <w:pPr>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8"/>
    </w:pPr>
    <w:rPr>
      <w:rFonts w:ascii="Arial" w:eastAsia="Times New Roman" w:hAnsi="Arial"/>
      <w:b/>
      <w:i/>
      <w:sz w:val="18"/>
      <w:szCs w:val="20"/>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link w:val="BodyTextIndentChar"/>
    <w:pPr>
      <w:ind w:left="2160" w:hanging="720"/>
    </w:pPr>
    <w:rPr>
      <w:rFonts w:eastAsia="Times New Roman"/>
      <w:color w:val="000000"/>
      <w:sz w:val="24"/>
      <w:szCs w:val="24"/>
      <w:u w:color="000000"/>
      <w:lang w:val="es-ES_tradnl"/>
    </w:rPr>
  </w:style>
  <w:style w:type="paragraph" w:styleId="ListParagraph">
    <w:name w:val="List Paragraph"/>
    <w:aliases w:val="Párrafo de lista1,List Paragraph1,Colorful List - Accent 11,List Paragraph11,List Paragraph2"/>
    <w:link w:val="ListParagraphChar"/>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6"/>
      </w:numPr>
    </w:pPr>
  </w:style>
  <w:style w:type="numbering" w:customStyle="1" w:styleId="Estiloimportado1">
    <w:name w:val="Estilo importado 1"/>
  </w:style>
  <w:style w:type="numbering" w:customStyle="1" w:styleId="List1">
    <w:name w:val="List 1"/>
    <w:basedOn w:val="Estiloimportado2"/>
  </w:style>
  <w:style w:type="numbering" w:customStyle="1" w:styleId="Estiloimportado2">
    <w:name w:val="Estilo importado 2"/>
  </w:style>
  <w:style w:type="numbering" w:customStyle="1" w:styleId="List210">
    <w:name w:val="List 21"/>
    <w:basedOn w:val="Estiloimportado3"/>
    <w:pPr>
      <w:numPr>
        <w:numId w:val="57"/>
      </w:numPr>
    </w:pPr>
  </w:style>
  <w:style w:type="numbering" w:customStyle="1" w:styleId="Estiloimportado3">
    <w:name w:val="Estilo importado 3"/>
  </w:style>
  <w:style w:type="numbering" w:customStyle="1" w:styleId="List31">
    <w:name w:val="List 31"/>
    <w:basedOn w:val="Estiloimportado4"/>
    <w:pPr>
      <w:numPr>
        <w:numId w:val="56"/>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
    <w:name w:val="List 51"/>
    <w:basedOn w:val="Estiloimportado6"/>
    <w:pPr>
      <w:numPr>
        <w:numId w:val="59"/>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7"/>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41"/>
      </w:numPr>
    </w:pPr>
  </w:style>
  <w:style w:type="numbering" w:customStyle="1" w:styleId="Estiloimportado13">
    <w:name w:val="Estilo importado 13"/>
  </w:style>
  <w:style w:type="numbering" w:customStyle="1" w:styleId="List13">
    <w:name w:val="List 13"/>
    <w:basedOn w:val="Estiloimportado14"/>
    <w:pPr>
      <w:numPr>
        <w:numId w:val="47"/>
      </w:numPr>
    </w:pPr>
  </w:style>
  <w:style w:type="numbering" w:customStyle="1" w:styleId="Estiloimportado14">
    <w:name w:val="Estilo importado 14"/>
  </w:style>
  <w:style w:type="numbering" w:customStyle="1" w:styleId="List14">
    <w:name w:val="List 14"/>
    <w:basedOn w:val="Estiloimportado15"/>
    <w:pPr>
      <w:numPr>
        <w:numId w:val="22"/>
      </w:numPr>
    </w:pPr>
  </w:style>
  <w:style w:type="numbering" w:customStyle="1" w:styleId="Estiloimportado15">
    <w:name w:val="Estilo importado 15"/>
  </w:style>
  <w:style w:type="numbering" w:customStyle="1" w:styleId="List15">
    <w:name w:val="List 15"/>
    <w:basedOn w:val="Estiloimportado16"/>
    <w:pPr>
      <w:numPr>
        <w:numId w:val="21"/>
      </w:numPr>
    </w:pPr>
  </w:style>
  <w:style w:type="numbering" w:customStyle="1" w:styleId="Estiloimportado16">
    <w:name w:val="Estilo importado 16"/>
  </w:style>
  <w:style w:type="numbering" w:customStyle="1" w:styleId="List16">
    <w:name w:val="List 16"/>
    <w:basedOn w:val="Estiloimportado16"/>
  </w:style>
  <w:style w:type="numbering" w:customStyle="1" w:styleId="List17">
    <w:name w:val="List 17"/>
    <w:basedOn w:val="Estiloimportado17"/>
    <w:pPr>
      <w:numPr>
        <w:numId w:val="30"/>
      </w:numPr>
    </w:pPr>
  </w:style>
  <w:style w:type="numbering" w:customStyle="1" w:styleId="Estiloimportado17">
    <w:name w:val="Estilo importado 17"/>
  </w:style>
  <w:style w:type="numbering" w:customStyle="1" w:styleId="List18">
    <w:name w:val="List 18"/>
    <w:basedOn w:val="Estiloimportado18"/>
    <w:pPr>
      <w:numPr>
        <w:numId w:val="32"/>
      </w:numPr>
    </w:pPr>
  </w:style>
  <w:style w:type="numbering" w:customStyle="1" w:styleId="Estiloimportado18">
    <w:name w:val="Estilo importado 18"/>
  </w:style>
  <w:style w:type="numbering" w:customStyle="1" w:styleId="List19">
    <w:name w:val="List 19"/>
    <w:basedOn w:val="Estiloimportado10"/>
    <w:pPr>
      <w:numPr>
        <w:numId w:val="24"/>
      </w:numPr>
    </w:pPr>
  </w:style>
  <w:style w:type="numbering" w:customStyle="1" w:styleId="List20">
    <w:name w:val="List 20"/>
    <w:basedOn w:val="Estiloimportado12"/>
    <w:pPr>
      <w:numPr>
        <w:numId w:val="48"/>
      </w:numPr>
    </w:pPr>
  </w:style>
  <w:style w:type="numbering" w:customStyle="1" w:styleId="List21">
    <w:name w:val="List 21"/>
    <w:basedOn w:val="Estiloimportado19"/>
    <w:pPr>
      <w:numPr>
        <w:numId w:val="43"/>
      </w:numPr>
    </w:pPr>
  </w:style>
  <w:style w:type="numbering" w:customStyle="1" w:styleId="Estiloimportado19">
    <w:name w:val="Estilo importado 19"/>
  </w:style>
  <w:style w:type="numbering" w:customStyle="1" w:styleId="List22">
    <w:name w:val="List 22"/>
    <w:basedOn w:val="Estiloimportado19"/>
    <w:pPr>
      <w:numPr>
        <w:numId w:val="33"/>
      </w:numPr>
    </w:pPr>
  </w:style>
  <w:style w:type="numbering" w:customStyle="1" w:styleId="List23">
    <w:name w:val="List 23"/>
    <w:basedOn w:val="Estiloimportado19"/>
    <w:pPr>
      <w:numPr>
        <w:numId w:val="23"/>
      </w:numPr>
    </w:pPr>
  </w:style>
  <w:style w:type="numbering" w:customStyle="1" w:styleId="List24">
    <w:name w:val="List 24"/>
    <w:basedOn w:val="Estiloimportado20"/>
    <w:pPr>
      <w:numPr>
        <w:numId w:val="18"/>
      </w:numPr>
    </w:pPr>
  </w:style>
  <w:style w:type="numbering" w:customStyle="1" w:styleId="Estiloimportado20">
    <w:name w:val="Estilo importado 20"/>
  </w:style>
  <w:style w:type="numbering" w:customStyle="1" w:styleId="List25">
    <w:name w:val="List 25"/>
    <w:basedOn w:val="Estiloimportado21"/>
    <w:pPr>
      <w:numPr>
        <w:numId w:val="20"/>
      </w:numPr>
    </w:pPr>
  </w:style>
  <w:style w:type="numbering" w:customStyle="1" w:styleId="Estiloimportado21">
    <w:name w:val="Estilo importado 21"/>
  </w:style>
  <w:style w:type="numbering" w:customStyle="1" w:styleId="List26">
    <w:name w:val="List 26"/>
    <w:basedOn w:val="Estiloimportado22"/>
    <w:pPr>
      <w:numPr>
        <w:numId w:val="54"/>
      </w:numPr>
    </w:pPr>
  </w:style>
  <w:style w:type="numbering" w:customStyle="1" w:styleId="Estiloimportado22">
    <w:name w:val="Estilo importado 22"/>
  </w:style>
  <w:style w:type="numbering" w:customStyle="1" w:styleId="List27">
    <w:name w:val="List 27"/>
    <w:basedOn w:val="Estiloimportado23"/>
    <w:pPr>
      <w:numPr>
        <w:numId w:val="46"/>
      </w:numPr>
    </w:pPr>
  </w:style>
  <w:style w:type="numbering" w:customStyle="1" w:styleId="Estiloimportado23">
    <w:name w:val="Estilo importado 23"/>
  </w:style>
  <w:style w:type="numbering" w:customStyle="1" w:styleId="List28">
    <w:name w:val="List 28"/>
    <w:basedOn w:val="Estiloimportado24"/>
    <w:pPr>
      <w:numPr>
        <w:numId w:val="35"/>
      </w:numPr>
    </w:pPr>
  </w:style>
  <w:style w:type="numbering" w:customStyle="1" w:styleId="Estiloimportado24">
    <w:name w:val="Estilo importado 24"/>
  </w:style>
  <w:style w:type="numbering" w:customStyle="1" w:styleId="List29">
    <w:name w:val="List 29"/>
    <w:basedOn w:val="Estiloimportado25"/>
    <w:pPr>
      <w:numPr>
        <w:numId w:val="39"/>
      </w:numPr>
    </w:pPr>
  </w:style>
  <w:style w:type="numbering" w:customStyle="1" w:styleId="Estiloimportado25">
    <w:name w:val="Estilo importado 25"/>
  </w:style>
  <w:style w:type="numbering" w:customStyle="1" w:styleId="List30">
    <w:name w:val="List 30"/>
    <w:basedOn w:val="Estiloimportado26"/>
    <w:pPr>
      <w:numPr>
        <w:numId w:val="37"/>
      </w:numPr>
    </w:pPr>
  </w:style>
  <w:style w:type="numbering" w:customStyle="1" w:styleId="Estiloimportado26">
    <w:name w:val="Estilo importado 26"/>
  </w:style>
  <w:style w:type="numbering" w:customStyle="1" w:styleId="List310">
    <w:name w:val="List 31"/>
    <w:basedOn w:val="Estiloimportado27"/>
    <w:pPr>
      <w:numPr>
        <w:numId w:val="50"/>
      </w:numPr>
    </w:pPr>
  </w:style>
  <w:style w:type="numbering" w:customStyle="1" w:styleId="Estiloimportado27">
    <w:name w:val="Estilo importado 27"/>
  </w:style>
  <w:style w:type="numbering" w:customStyle="1" w:styleId="List32">
    <w:name w:val="List 32"/>
    <w:basedOn w:val="Estiloimportado28"/>
    <w:pPr>
      <w:numPr>
        <w:numId w:val="53"/>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uiPriority w:val="99"/>
    <w:qFormat/>
    <w:rPr>
      <w:rFonts w:ascii="Calibri" w:eastAsia="Calibri" w:hAnsi="Calibri" w:cs="Calibri"/>
      <w:color w:val="000000"/>
      <w:u w:color="000000"/>
      <w:lang w:val="en-US"/>
    </w:rPr>
  </w:style>
  <w:style w:type="numbering" w:customStyle="1" w:styleId="List33">
    <w:name w:val="List 33"/>
    <w:basedOn w:val="Estiloimportado29"/>
  </w:style>
  <w:style w:type="numbering" w:customStyle="1" w:styleId="Estiloimportado29">
    <w:name w:val="Estilo importado 29"/>
  </w:style>
  <w:style w:type="numbering" w:customStyle="1" w:styleId="List34">
    <w:name w:val="List 34"/>
    <w:basedOn w:val="Estiloimportado30"/>
    <w:pPr>
      <w:numPr>
        <w:numId w:val="16"/>
      </w:numPr>
    </w:pPr>
  </w:style>
  <w:style w:type="numbering" w:customStyle="1" w:styleId="Estiloimportado30">
    <w:name w:val="Estilo importado 30"/>
  </w:style>
  <w:style w:type="numbering" w:customStyle="1" w:styleId="List35">
    <w:name w:val="List 35"/>
    <w:basedOn w:val="Estiloimportado31"/>
    <w:pPr>
      <w:numPr>
        <w:numId w:val="9"/>
      </w:numPr>
    </w:pPr>
  </w:style>
  <w:style w:type="numbering" w:customStyle="1" w:styleId="Estiloimportado31">
    <w:name w:val="Estilo importado 31"/>
  </w:style>
  <w:style w:type="numbering" w:customStyle="1" w:styleId="List36">
    <w:name w:val="List 36"/>
    <w:basedOn w:val="Estiloimportado32"/>
    <w:pPr>
      <w:numPr>
        <w:numId w:val="19"/>
      </w:numPr>
    </w:pPr>
  </w:style>
  <w:style w:type="numbering" w:customStyle="1" w:styleId="Estiloimportado32">
    <w:name w:val="Estilo importado 32"/>
  </w:style>
  <w:style w:type="numbering" w:customStyle="1" w:styleId="List37">
    <w:name w:val="List 37"/>
    <w:basedOn w:val="Estiloimportado33"/>
    <w:pPr>
      <w:numPr>
        <w:numId w:val="52"/>
      </w:numPr>
    </w:pPr>
  </w:style>
  <w:style w:type="numbering" w:customStyle="1" w:styleId="Estiloimportado33">
    <w:name w:val="Estilo importado 33"/>
  </w:style>
  <w:style w:type="numbering" w:customStyle="1" w:styleId="List38">
    <w:name w:val="List 38"/>
    <w:basedOn w:val="Estiloimportado34"/>
  </w:style>
  <w:style w:type="numbering" w:customStyle="1" w:styleId="Estiloimportado34">
    <w:name w:val="Estilo importado 34"/>
  </w:style>
  <w:style w:type="numbering" w:customStyle="1" w:styleId="List39">
    <w:name w:val="List 39"/>
    <w:basedOn w:val="Estiloimportado35"/>
    <w:pPr>
      <w:numPr>
        <w:numId w:val="51"/>
      </w:numPr>
    </w:pPr>
  </w:style>
  <w:style w:type="numbering" w:customStyle="1" w:styleId="Estiloimportado35">
    <w:name w:val="Estilo importado 35"/>
  </w:style>
  <w:style w:type="numbering" w:customStyle="1" w:styleId="List40">
    <w:name w:val="List 40"/>
    <w:basedOn w:val="Estiloimportado36"/>
    <w:pPr>
      <w:numPr>
        <w:numId w:val="26"/>
      </w:numPr>
    </w:pPr>
  </w:style>
  <w:style w:type="numbering" w:customStyle="1" w:styleId="Estiloimportado36">
    <w:name w:val="Estilo importado 36"/>
  </w:style>
  <w:style w:type="numbering" w:customStyle="1" w:styleId="List410">
    <w:name w:val="List 41"/>
    <w:basedOn w:val="Estiloimportado37"/>
    <w:pPr>
      <w:numPr>
        <w:numId w:val="49"/>
      </w:numPr>
    </w:pPr>
  </w:style>
  <w:style w:type="numbering" w:customStyle="1" w:styleId="Estiloimportado37">
    <w:name w:val="Estilo importado 37"/>
  </w:style>
  <w:style w:type="numbering" w:customStyle="1" w:styleId="List42">
    <w:name w:val="List 42"/>
    <w:basedOn w:val="Estiloimportado12"/>
    <w:pPr>
      <w:numPr>
        <w:numId w:val="17"/>
      </w:numPr>
    </w:pPr>
  </w:style>
  <w:style w:type="numbering" w:customStyle="1" w:styleId="List43">
    <w:name w:val="List 43"/>
    <w:basedOn w:val="Estiloimportado38"/>
    <w:pPr>
      <w:numPr>
        <w:numId w:val="28"/>
      </w:numPr>
    </w:pPr>
  </w:style>
  <w:style w:type="numbering" w:customStyle="1" w:styleId="Estiloimportado38">
    <w:name w:val="Estilo importado 38"/>
  </w:style>
  <w:style w:type="numbering" w:customStyle="1" w:styleId="List44">
    <w:name w:val="List 44"/>
    <w:basedOn w:val="Estiloimportado39"/>
  </w:style>
  <w:style w:type="numbering" w:customStyle="1" w:styleId="Estiloimportado39">
    <w:name w:val="Estilo importado 39"/>
  </w:style>
  <w:style w:type="numbering" w:customStyle="1" w:styleId="List45">
    <w:name w:val="List 45"/>
    <w:basedOn w:val="Estiloimportado40"/>
  </w:style>
  <w:style w:type="numbering" w:customStyle="1" w:styleId="Estiloimportado40">
    <w:name w:val="Estilo importado 40"/>
  </w:style>
  <w:style w:type="numbering" w:customStyle="1" w:styleId="List46">
    <w:name w:val="List 46"/>
    <w:basedOn w:val="Estiloimportado41"/>
    <w:pPr>
      <w:numPr>
        <w:numId w:val="29"/>
      </w:numPr>
    </w:pPr>
  </w:style>
  <w:style w:type="numbering" w:customStyle="1" w:styleId="Estiloimportado41">
    <w:name w:val="Estilo importado 41"/>
  </w:style>
  <w:style w:type="numbering" w:customStyle="1" w:styleId="List47">
    <w:name w:val="List 47"/>
    <w:basedOn w:val="Estiloimportado42"/>
    <w:pPr>
      <w:numPr>
        <w:numId w:val="34"/>
      </w:numPr>
    </w:pPr>
  </w:style>
  <w:style w:type="numbering" w:customStyle="1" w:styleId="Estiloimportado42">
    <w:name w:val="Estilo importado 42"/>
  </w:style>
  <w:style w:type="numbering" w:customStyle="1" w:styleId="List48">
    <w:name w:val="List 48"/>
    <w:basedOn w:val="Estiloimportado43"/>
    <w:pPr>
      <w:numPr>
        <w:numId w:val="55"/>
      </w:numPr>
    </w:pPr>
  </w:style>
  <w:style w:type="numbering" w:customStyle="1" w:styleId="Estiloimportado43">
    <w:name w:val="Estilo importado 43"/>
  </w:style>
  <w:style w:type="numbering" w:customStyle="1" w:styleId="List49">
    <w:name w:val="List 49"/>
    <w:basedOn w:val="Estiloimportado44"/>
    <w:pPr>
      <w:numPr>
        <w:numId w:val="44"/>
      </w:numPr>
    </w:pPr>
  </w:style>
  <w:style w:type="numbering" w:customStyle="1" w:styleId="Estiloimportado44">
    <w:name w:val="Estilo importado 44"/>
  </w:style>
  <w:style w:type="numbering" w:customStyle="1" w:styleId="List50">
    <w:name w:val="List 50"/>
    <w:basedOn w:val="Estiloimportado45"/>
    <w:pPr>
      <w:numPr>
        <w:numId w:val="42"/>
      </w:numPr>
    </w:pPr>
  </w:style>
  <w:style w:type="numbering" w:customStyle="1" w:styleId="Estiloimportado45">
    <w:name w:val="Estilo importado 45"/>
  </w:style>
  <w:style w:type="numbering" w:customStyle="1" w:styleId="List510">
    <w:name w:val="List 51"/>
    <w:basedOn w:val="Estiloimportado46"/>
  </w:style>
  <w:style w:type="numbering" w:customStyle="1" w:styleId="Estiloimportado46">
    <w:name w:val="Estilo importado 46"/>
  </w:style>
  <w:style w:type="numbering" w:customStyle="1" w:styleId="List52">
    <w:name w:val="List 52"/>
    <w:basedOn w:val="Estiloimportado1"/>
  </w:style>
  <w:style w:type="paragraph" w:styleId="BalloonText">
    <w:name w:val="Balloon Text"/>
    <w:basedOn w:val="Normal"/>
    <w:link w:val="BalloonTextChar"/>
    <w:semiHidden/>
    <w:unhideWhenUsed/>
    <w:rsid w:val="009B381B"/>
    <w:rPr>
      <w:rFonts w:ascii="Tahoma" w:hAnsi="Tahoma" w:cs="Tahoma"/>
      <w:sz w:val="16"/>
      <w:szCs w:val="16"/>
    </w:rPr>
  </w:style>
  <w:style w:type="character" w:customStyle="1" w:styleId="BalloonTextChar">
    <w:name w:val="Balloon Text Char"/>
    <w:basedOn w:val="DefaultParagraphFont"/>
    <w:link w:val="BalloonText"/>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9D75D4"/>
    <w:rPr>
      <w:rFonts w:asciiTheme="majorHAnsi" w:eastAsiaTheme="majorEastAsia" w:hAnsiTheme="majorHAnsi" w:cstheme="majorBidi"/>
      <w:b/>
      <w:bCs/>
      <w:lang w:val="es-ES_tradnl"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qFormat/>
    <w:rsid w:val="00A666FF"/>
    <w:pPr>
      <w:tabs>
        <w:tab w:val="left" w:pos="1440"/>
        <w:tab w:val="right" w:leader="dot" w:pos="9350"/>
      </w:tabs>
      <w:spacing w:after="100"/>
      <w:ind w:left="1440" w:hanging="720"/>
    </w:pPr>
  </w:style>
  <w:style w:type="paragraph" w:styleId="TOC1">
    <w:name w:val="toc 1"/>
    <w:basedOn w:val="Normal"/>
    <w:next w:val="Normal"/>
    <w:autoRedefine/>
    <w:uiPriority w:val="39"/>
    <w:unhideWhenUsed/>
    <w:qFormat/>
    <w:rsid w:val="005C4225"/>
    <w:pPr>
      <w:spacing w:after="100"/>
    </w:pPr>
    <w:rPr>
      <w:rFonts w:asciiTheme="minorHAnsi" w:hAnsiTheme="minorHAnsi"/>
      <w:sz w:val="22"/>
    </w:rPr>
  </w:style>
  <w:style w:type="paragraph" w:styleId="TOC3">
    <w:name w:val="toc 3"/>
    <w:basedOn w:val="Normal"/>
    <w:next w:val="Normal"/>
    <w:autoRedefine/>
    <w:uiPriority w:val="39"/>
    <w:unhideWhenUsed/>
    <w:qFormat/>
    <w:rsid w:val="005C4225"/>
    <w:pPr>
      <w:tabs>
        <w:tab w:val="left" w:pos="880"/>
        <w:tab w:val="right" w:leader="dot" w:pos="9350"/>
      </w:tabs>
      <w:spacing w:after="100"/>
      <w:ind w:left="2160" w:hanging="720"/>
    </w:pPr>
  </w:style>
  <w:style w:type="paragraph" w:styleId="TOC4">
    <w:name w:val="toc 4"/>
    <w:basedOn w:val="Normal"/>
    <w:next w:val="Normal"/>
    <w:autoRedefine/>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aliases w:val="Body Text Char Car Car Car Car Car Car Car Car Car Car Car Car Car,Body Text Char Car Car Car Car Car Car Car Car Car Car Car Car"/>
    <w:basedOn w:val="Normal"/>
    <w:link w:val="BodyTextChar"/>
    <w:unhideWhenUsed/>
    <w:rsid w:val="00036A8A"/>
    <w:pPr>
      <w:spacing w:after="120"/>
    </w:pPr>
  </w:style>
  <w:style w:type="character" w:customStyle="1" w:styleId="BodyTextChar">
    <w:name w:val="Body Text Char"/>
    <w:aliases w:val="Body Text Char Car Car Car Car Car Car Car Car Car Car Car Car Car Char1,Body Text Char Car Car Car Car Car Car Car Car Car Car Car Car Char1"/>
    <w:basedOn w:val="DefaultParagraphFont"/>
    <w:link w:val="BodyText"/>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1,4_G,16 Point,Superscript 6 Point,Footnote symbol,Footnote,Texto nota al pie,Footnote Reference Cha"/>
    <w:link w:val="FootnotesrefssChar1Char"/>
    <w:qFormat/>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uiPriority w:val="99"/>
    <w:qFormat/>
    <w:locked/>
    <w:rsid w:val="00036A8A"/>
    <w:rPr>
      <w:rFonts w:ascii="Calibri" w:eastAsia="Calibri" w:hAnsi="Calibri" w:cs="Calibri"/>
      <w:color w:val="000000"/>
      <w:u w:color="000000"/>
      <w:lang w:val="en-US"/>
    </w:rPr>
  </w:style>
  <w:style w:type="character" w:customStyle="1" w:styleId="Heading2Char">
    <w:name w:val="Heading 2 Char"/>
    <w:basedOn w:val="DefaultParagraphFont"/>
    <w:link w:val="Heading2"/>
    <w:rsid w:val="009D75D4"/>
    <w:rPr>
      <w:rFonts w:asciiTheme="majorHAnsi" w:eastAsiaTheme="majorEastAsia" w:hAnsiTheme="majorHAnsi" w:cstheme="majorBidi"/>
      <w:b/>
      <w:lang w:val="es-ES_tradnl" w:eastAsia="en-US"/>
    </w:rPr>
  </w:style>
  <w:style w:type="character" w:customStyle="1" w:styleId="Heading3Char">
    <w:name w:val="Heading 3 Char"/>
    <w:basedOn w:val="DefaultParagraphFont"/>
    <w:link w:val="Heading3"/>
    <w:rsid w:val="009D75D4"/>
    <w:rPr>
      <w:rFonts w:asciiTheme="majorHAnsi" w:eastAsiaTheme="majorEastAsia" w:hAnsiTheme="majorHAnsi" w:cstheme="majorBidi"/>
      <w:b/>
      <w:lang w:val="es-VE" w:eastAsia="en-US"/>
    </w:rPr>
  </w:style>
  <w:style w:type="paragraph" w:customStyle="1" w:styleId="FootnotesrefssChar1Char">
    <w:name w:val="Footnotes refss Char1 Char"/>
    <w:aliases w:val="Texto de nota al pie Char1 Char,Appel note de bas de page Char1 Char,Footnote number Char1 Char,referencia nota al pie Char1 Char,BVI fnr Char1 Char,f Char1 Char,4_G Char1 Char,16 Point Char1 Char"/>
    <w:basedOn w:val="Normal"/>
    <w:link w:val="FootnoteReference"/>
    <w:qFormat/>
    <w:rsid w:val="00105D7F"/>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character" w:customStyle="1" w:styleId="ListParagraphChar">
    <w:name w:val="List Paragraph Char"/>
    <w:aliases w:val="Párrafo de lista1 Char,List Paragraph1 Char,Colorful List - Accent 11 Char,List Paragraph11 Char,List Paragraph2 Char"/>
    <w:link w:val="ListParagraph"/>
    <w:uiPriority w:val="34"/>
    <w:locked/>
    <w:rsid w:val="00105D7F"/>
    <w:rPr>
      <w:rFonts w:ascii="Cambria" w:eastAsia="Cambria" w:hAnsi="Cambria" w:cs="Cambria"/>
      <w:color w:val="000000"/>
      <w:sz w:val="24"/>
      <w:szCs w:val="24"/>
      <w:u w:color="000000"/>
      <w:lang w:val="en-US"/>
    </w:rPr>
  </w:style>
  <w:style w:type="character" w:customStyle="1" w:styleId="BodyTextIndentChar">
    <w:name w:val="Body Text Indent Char"/>
    <w:basedOn w:val="DefaultParagraphFont"/>
    <w:link w:val="BodyTextIndent"/>
    <w:rsid w:val="00105D7F"/>
    <w:rPr>
      <w:rFonts w:eastAsia="Times New Roman"/>
      <w:color w:val="000000"/>
      <w:sz w:val="24"/>
      <w:szCs w:val="24"/>
      <w:u w:color="000000"/>
      <w:lang w:val="es-ES_tradnl"/>
    </w:rPr>
  </w:style>
  <w:style w:type="paragraph" w:styleId="TOCHeading">
    <w:name w:val="TOC Heading"/>
    <w:basedOn w:val="Heading1"/>
    <w:next w:val="Normal"/>
    <w:uiPriority w:val="39"/>
    <w:semiHidden/>
    <w:unhideWhenUsed/>
    <w:qFormat/>
    <w:rsid w:val="00F63C54"/>
    <w:pPr>
      <w:numPr>
        <w:numId w:val="0"/>
      </w:numPr>
      <w:pBdr>
        <w:top w:val="none" w:sz="0" w:space="0" w:color="auto"/>
        <w:left w:val="none" w:sz="0" w:space="0" w:color="auto"/>
        <w:bottom w:val="none" w:sz="0" w:space="0" w:color="auto"/>
        <w:right w:val="none" w:sz="0" w:space="0" w:color="auto"/>
        <w:between w:val="none" w:sz="0" w:space="0" w:color="auto"/>
        <w:bar w:val="none" w:sz="0" w:color="auto"/>
      </w:pBdr>
      <w:spacing w:before="480" w:line="276" w:lineRule="auto"/>
      <w:outlineLvl w:val="9"/>
    </w:pPr>
    <w:rPr>
      <w:color w:val="365F91" w:themeColor="accent1" w:themeShade="BF"/>
      <w:sz w:val="28"/>
      <w:szCs w:val="28"/>
      <w:bdr w:val="none" w:sz="0" w:space="0" w:color="auto"/>
      <w:lang w:val="en-US" w:eastAsia="ja-JP"/>
    </w:rPr>
  </w:style>
  <w:style w:type="paragraph" w:customStyle="1" w:styleId="BVIfnrCar1CarCarCarCar">
    <w:name w:val="BVI fnr Car1 Car Car Car Car"/>
    <w:aliases w:val="ftref Car Car Car Car Car Car Car Car Car Car,BVI fnr Char Car Car Car Car Car Car Car Car Car Car Car,BVI fnr Char Car Car Car Car Car Car Car Car Car Car Car Car Car"/>
    <w:basedOn w:val="Normal"/>
    <w:rsid w:val="00D02D3C"/>
    <w:pPr>
      <w:pBdr>
        <w:top w:val="none" w:sz="0" w:space="0" w:color="auto"/>
        <w:left w:val="none" w:sz="0" w:space="0" w:color="auto"/>
        <w:bottom w:val="none" w:sz="0" w:space="0" w:color="auto"/>
        <w:right w:val="none" w:sz="0" w:space="0" w:color="auto"/>
        <w:between w:val="none" w:sz="0" w:space="0" w:color="auto"/>
        <w:bar w:val="none" w:sz="0" w:color="auto"/>
      </w:pBdr>
      <w:spacing w:before="200" w:after="160" w:line="240" w:lineRule="exact"/>
    </w:pPr>
    <w:rPr>
      <w:rFonts w:ascii="Verdana" w:hAnsi="Verdana"/>
      <w:sz w:val="22"/>
      <w:szCs w:val="20"/>
      <w:vertAlign w:val="superscript"/>
      <w:lang w:val="es-ES" w:eastAsia="es-ES"/>
    </w:rPr>
  </w:style>
  <w:style w:type="character" w:customStyle="1" w:styleId="Heading4Char">
    <w:name w:val="Heading 4 Char"/>
    <w:basedOn w:val="DefaultParagraphFont"/>
    <w:link w:val="Heading4"/>
    <w:rsid w:val="00D02D3C"/>
    <w:rPr>
      <w:rFonts w:ascii="Arial" w:eastAsia="Times New Roman" w:hAnsi="Arial"/>
      <w:b/>
      <w:sz w:val="24"/>
      <w:bdr w:val="none" w:sz="0" w:space="0" w:color="auto"/>
      <w:lang w:val="en-US" w:eastAsia="en-US"/>
    </w:rPr>
  </w:style>
  <w:style w:type="character" w:customStyle="1" w:styleId="Heading5Char">
    <w:name w:val="Heading 5 Char"/>
    <w:basedOn w:val="DefaultParagraphFont"/>
    <w:link w:val="Heading5"/>
    <w:rsid w:val="00D02D3C"/>
    <w:rPr>
      <w:rFonts w:eastAsia="Times New Roman"/>
      <w:sz w:val="22"/>
      <w:bdr w:val="none" w:sz="0" w:space="0" w:color="auto"/>
      <w:lang w:val="en-US" w:eastAsia="en-US"/>
    </w:rPr>
  </w:style>
  <w:style w:type="character" w:customStyle="1" w:styleId="Heading6Char">
    <w:name w:val="Heading 6 Char"/>
    <w:basedOn w:val="DefaultParagraphFont"/>
    <w:link w:val="Heading6"/>
    <w:uiPriority w:val="9"/>
    <w:rsid w:val="00D02D3C"/>
    <w:rPr>
      <w:rFonts w:eastAsia="Times New Roman"/>
      <w:i/>
      <w:sz w:val="22"/>
      <w:bdr w:val="none" w:sz="0" w:space="0" w:color="auto"/>
      <w:lang w:val="en-US" w:eastAsia="en-US"/>
    </w:rPr>
  </w:style>
  <w:style w:type="character" w:customStyle="1" w:styleId="Heading7Char">
    <w:name w:val="Heading 7 Char"/>
    <w:basedOn w:val="DefaultParagraphFont"/>
    <w:link w:val="Heading7"/>
    <w:rsid w:val="00D02D3C"/>
    <w:rPr>
      <w:rFonts w:ascii="Arial" w:eastAsia="Times New Roman" w:hAnsi="Arial"/>
      <w:bdr w:val="none" w:sz="0" w:space="0" w:color="auto"/>
      <w:lang w:val="en-US" w:eastAsia="en-US"/>
    </w:rPr>
  </w:style>
  <w:style w:type="character" w:customStyle="1" w:styleId="Heading8Char">
    <w:name w:val="Heading 8 Char"/>
    <w:basedOn w:val="DefaultParagraphFont"/>
    <w:link w:val="Heading8"/>
    <w:rsid w:val="00D02D3C"/>
    <w:rPr>
      <w:rFonts w:ascii="Arial" w:eastAsia="Times New Roman" w:hAnsi="Arial"/>
      <w:i/>
      <w:bdr w:val="none" w:sz="0" w:space="0" w:color="auto"/>
      <w:lang w:val="en-US" w:eastAsia="en-US"/>
    </w:rPr>
  </w:style>
  <w:style w:type="character" w:customStyle="1" w:styleId="Heading9Char">
    <w:name w:val="Heading 9 Char"/>
    <w:basedOn w:val="DefaultParagraphFont"/>
    <w:link w:val="Heading9"/>
    <w:rsid w:val="00D02D3C"/>
    <w:rPr>
      <w:rFonts w:ascii="Arial" w:eastAsia="Times New Roman" w:hAnsi="Arial"/>
      <w:b/>
      <w:i/>
      <w:sz w:val="18"/>
      <w:bdr w:val="none" w:sz="0" w:space="0" w:color="auto"/>
      <w:lang w:val="en-US" w:eastAsia="en-US"/>
    </w:rPr>
  </w:style>
  <w:style w:type="numbering" w:customStyle="1" w:styleId="List211">
    <w:name w:val="List 211"/>
    <w:basedOn w:val="Estiloimportado3"/>
    <w:rsid w:val="00D02D3C"/>
    <w:pPr>
      <w:numPr>
        <w:numId w:val="14"/>
      </w:numPr>
    </w:pPr>
  </w:style>
  <w:style w:type="numbering" w:customStyle="1" w:styleId="List311">
    <w:name w:val="List 311"/>
    <w:basedOn w:val="Estiloimportado4"/>
    <w:rsid w:val="00D02D3C"/>
    <w:pPr>
      <w:numPr>
        <w:numId w:val="38"/>
      </w:numPr>
    </w:pPr>
  </w:style>
  <w:style w:type="numbering" w:customStyle="1" w:styleId="List411">
    <w:name w:val="List 411"/>
    <w:basedOn w:val="Estiloimportado5"/>
    <w:rsid w:val="00D02D3C"/>
    <w:pPr>
      <w:numPr>
        <w:numId w:val="1"/>
      </w:numPr>
    </w:pPr>
  </w:style>
  <w:style w:type="numbering" w:customStyle="1" w:styleId="List511">
    <w:name w:val="List 511"/>
    <w:basedOn w:val="Estiloimportado6"/>
    <w:rsid w:val="00D02D3C"/>
    <w:pPr>
      <w:numPr>
        <w:numId w:val="15"/>
      </w:numPr>
    </w:pPr>
  </w:style>
  <w:style w:type="numbering" w:customStyle="1" w:styleId="List2111">
    <w:name w:val="List 2111"/>
    <w:basedOn w:val="Estiloimportado19"/>
    <w:rsid w:val="00D02D3C"/>
    <w:pPr>
      <w:numPr>
        <w:numId w:val="40"/>
      </w:numPr>
    </w:pPr>
  </w:style>
  <w:style w:type="numbering" w:customStyle="1" w:styleId="List3111">
    <w:name w:val="List 3111"/>
    <w:basedOn w:val="Estiloimportado27"/>
    <w:rsid w:val="00D02D3C"/>
    <w:pPr>
      <w:numPr>
        <w:numId w:val="25"/>
      </w:numPr>
    </w:pPr>
  </w:style>
  <w:style w:type="numbering" w:customStyle="1" w:styleId="List4111">
    <w:name w:val="List 4111"/>
    <w:basedOn w:val="Estiloimportado37"/>
    <w:rsid w:val="00D02D3C"/>
    <w:pPr>
      <w:numPr>
        <w:numId w:val="45"/>
      </w:numPr>
    </w:pPr>
  </w:style>
  <w:style w:type="numbering" w:customStyle="1" w:styleId="List5111">
    <w:name w:val="List 5111"/>
    <w:basedOn w:val="Estiloimportado46"/>
    <w:rsid w:val="00D02D3C"/>
    <w:pPr>
      <w:numPr>
        <w:numId w:val="31"/>
      </w:numPr>
    </w:pPr>
  </w:style>
  <w:style w:type="numbering" w:customStyle="1" w:styleId="NoList1">
    <w:name w:val="No List1"/>
    <w:next w:val="NoList"/>
    <w:semiHidden/>
    <w:unhideWhenUsed/>
    <w:rsid w:val="00D02D3C"/>
  </w:style>
  <w:style w:type="character" w:customStyle="1" w:styleId="Style">
    <w:name w:val="Style"/>
    <w:rsid w:val="00D02D3C"/>
    <w:rPr>
      <w:rFonts w:ascii="Times New Roman" w:hAnsi="Times New Roman"/>
      <w:sz w:val="22"/>
      <w:vertAlign w:val="superscript"/>
    </w:rPr>
  </w:style>
  <w:style w:type="paragraph" w:customStyle="1" w:styleId="Style1">
    <w:name w:val="Style1"/>
    <w:basedOn w:val="FootnoteText"/>
    <w:autoRedefine/>
    <w:rsid w:val="00D02D3C"/>
    <w:pPr>
      <w:pBdr>
        <w:top w:val="none" w:sz="0" w:space="0" w:color="auto"/>
        <w:left w:val="none" w:sz="0" w:space="0" w:color="auto"/>
        <w:bottom w:val="none" w:sz="0" w:space="0" w:color="auto"/>
        <w:right w:val="none" w:sz="0" w:space="0" w:color="auto"/>
        <w:between w:val="none" w:sz="0" w:space="0" w:color="auto"/>
        <w:bar w:val="none" w:sz="0" w:color="auto"/>
      </w:pBdr>
      <w:spacing w:after="120"/>
      <w:jc w:val="both"/>
    </w:pPr>
    <w:rPr>
      <w:rFonts w:ascii="Univers" w:eastAsia="Times New Roman" w:hAnsi="Univers" w:cs="Times New Roman"/>
      <w:color w:val="auto"/>
      <w:sz w:val="16"/>
      <w:szCs w:val="16"/>
      <w:bdr w:val="none" w:sz="0" w:space="0" w:color="auto"/>
      <w:lang w:val="es-PY" w:eastAsia="en-US"/>
    </w:rPr>
  </w:style>
  <w:style w:type="paragraph" w:customStyle="1" w:styleId="Style10">
    <w:name w:val="Style 1"/>
    <w:basedOn w:val="Normal"/>
    <w:uiPriority w:val="99"/>
    <w:rsid w:val="00D02D3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396" w:line="408" w:lineRule="atLeast"/>
      <w:jc w:val="both"/>
    </w:pPr>
    <w:rPr>
      <w:rFonts w:eastAsia="Times New Roman"/>
      <w:bdr w:val="none" w:sz="0" w:space="0" w:color="auto"/>
    </w:rPr>
  </w:style>
  <w:style w:type="paragraph" w:customStyle="1" w:styleId="Style4">
    <w:name w:val="Style 4"/>
    <w:basedOn w:val="Normal"/>
    <w:rsid w:val="00D02D3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408" w:lineRule="atLeast"/>
      <w:jc w:val="both"/>
    </w:pPr>
    <w:rPr>
      <w:rFonts w:eastAsia="Times New Roman"/>
      <w:bdr w:val="none" w:sz="0" w:space="0" w:color="auto"/>
    </w:rPr>
  </w:style>
  <w:style w:type="paragraph" w:customStyle="1" w:styleId="Style31">
    <w:name w:val="Style 31"/>
    <w:basedOn w:val="Normal"/>
    <w:rsid w:val="00D02D3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3204" w:line="1116" w:lineRule="exact"/>
      <w:jc w:val="center"/>
    </w:pPr>
    <w:rPr>
      <w:rFonts w:eastAsia="Times New Roman"/>
      <w:bdr w:val="none" w:sz="0" w:space="0" w:color="auto"/>
    </w:rPr>
  </w:style>
  <w:style w:type="paragraph" w:customStyle="1" w:styleId="Style36">
    <w:name w:val="Style 36"/>
    <w:basedOn w:val="Normal"/>
    <w:rsid w:val="00D02D3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360" w:line="384" w:lineRule="atLeast"/>
      <w:ind w:right="72"/>
      <w:jc w:val="both"/>
    </w:pPr>
    <w:rPr>
      <w:rFonts w:eastAsia="Times New Roman"/>
      <w:bdr w:val="none" w:sz="0" w:space="0" w:color="auto"/>
    </w:rPr>
  </w:style>
  <w:style w:type="paragraph" w:customStyle="1" w:styleId="Style11">
    <w:name w:val="Style 11"/>
    <w:basedOn w:val="Normal"/>
    <w:rsid w:val="00D02D3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360" w:line="360" w:lineRule="auto"/>
      <w:jc w:val="both"/>
    </w:pPr>
    <w:rPr>
      <w:rFonts w:eastAsia="Times New Roman"/>
      <w:bdr w:val="none" w:sz="0" w:space="0" w:color="auto"/>
    </w:rPr>
  </w:style>
  <w:style w:type="paragraph" w:customStyle="1" w:styleId="Style14">
    <w:name w:val="Style 14"/>
    <w:basedOn w:val="Normal"/>
    <w:rsid w:val="00D02D3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360" w:line="384" w:lineRule="atLeast"/>
      <w:ind w:left="504" w:right="72" w:hanging="504"/>
      <w:jc w:val="both"/>
    </w:pPr>
    <w:rPr>
      <w:rFonts w:eastAsia="Times New Roman"/>
      <w:bdr w:val="none" w:sz="0" w:space="0" w:color="auto"/>
    </w:rPr>
  </w:style>
  <w:style w:type="paragraph" w:customStyle="1" w:styleId="Style27">
    <w:name w:val="Style 27"/>
    <w:basedOn w:val="Normal"/>
    <w:rsid w:val="00D02D3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396" w:line="360" w:lineRule="auto"/>
      <w:ind w:left="360" w:hanging="360"/>
      <w:jc w:val="both"/>
    </w:pPr>
    <w:rPr>
      <w:rFonts w:eastAsia="Times New Roman"/>
      <w:bdr w:val="none" w:sz="0" w:space="0" w:color="auto"/>
    </w:rPr>
  </w:style>
  <w:style w:type="paragraph" w:customStyle="1" w:styleId="Style16">
    <w:name w:val="Style 16"/>
    <w:basedOn w:val="Normal"/>
    <w:rsid w:val="00D02D3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360" w:hanging="360"/>
      <w:jc w:val="both"/>
    </w:pPr>
    <w:rPr>
      <w:rFonts w:eastAsia="Times New Roman"/>
      <w:bdr w:val="none" w:sz="0" w:space="0" w:color="auto"/>
    </w:rPr>
  </w:style>
  <w:style w:type="paragraph" w:customStyle="1" w:styleId="Style17">
    <w:name w:val="Style 17"/>
    <w:basedOn w:val="Normal"/>
    <w:rsid w:val="00D02D3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bdr w:val="none" w:sz="0" w:space="0" w:color="auto"/>
    </w:rPr>
  </w:style>
  <w:style w:type="paragraph" w:customStyle="1" w:styleId="Style19">
    <w:name w:val="Style 19"/>
    <w:basedOn w:val="Normal"/>
    <w:rsid w:val="00D02D3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360" w:lineRule="auto"/>
      <w:ind w:left="504" w:right="72" w:hanging="504"/>
      <w:jc w:val="both"/>
    </w:pPr>
    <w:rPr>
      <w:rFonts w:eastAsia="Times New Roman"/>
      <w:bdr w:val="none" w:sz="0" w:space="0" w:color="auto"/>
    </w:rPr>
  </w:style>
  <w:style w:type="paragraph" w:customStyle="1" w:styleId="Style21">
    <w:name w:val="Style 21"/>
    <w:basedOn w:val="Normal"/>
    <w:rsid w:val="00D02D3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16"/>
      <w:ind w:right="864"/>
      <w:jc w:val="both"/>
    </w:pPr>
    <w:rPr>
      <w:rFonts w:eastAsia="Times New Roman"/>
      <w:bdr w:val="none" w:sz="0" w:space="0" w:color="auto"/>
    </w:rPr>
  </w:style>
  <w:style w:type="paragraph" w:customStyle="1" w:styleId="Style22">
    <w:name w:val="Style 22"/>
    <w:basedOn w:val="Normal"/>
    <w:rsid w:val="00D02D3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16"/>
      <w:ind w:right="864"/>
    </w:pPr>
    <w:rPr>
      <w:rFonts w:eastAsia="Times New Roman"/>
      <w:bdr w:val="none" w:sz="0" w:space="0" w:color="auto"/>
    </w:rPr>
  </w:style>
  <w:style w:type="paragraph" w:customStyle="1" w:styleId="Style24">
    <w:name w:val="Style 24"/>
    <w:basedOn w:val="Normal"/>
    <w:rsid w:val="00D02D3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360" w:line="360" w:lineRule="auto"/>
      <w:ind w:left="504" w:right="72" w:hanging="504"/>
      <w:jc w:val="both"/>
    </w:pPr>
    <w:rPr>
      <w:rFonts w:eastAsia="Times New Roman"/>
      <w:bdr w:val="none" w:sz="0" w:space="0" w:color="auto"/>
    </w:rPr>
  </w:style>
  <w:style w:type="paragraph" w:styleId="DocumentMap">
    <w:name w:val="Document Map"/>
    <w:basedOn w:val="Normal"/>
    <w:link w:val="DocumentMapChar"/>
    <w:semiHidden/>
    <w:rsid w:val="00D02D3C"/>
    <w:pPr>
      <w:pBdr>
        <w:top w:val="none" w:sz="0" w:space="0" w:color="auto"/>
        <w:left w:val="none" w:sz="0" w:space="0" w:color="auto"/>
        <w:bottom w:val="none" w:sz="0" w:space="0" w:color="auto"/>
        <w:right w:val="none" w:sz="0" w:space="0" w:color="auto"/>
        <w:between w:val="none" w:sz="0" w:space="0" w:color="auto"/>
        <w:bar w:val="none" w:sz="0" w:color="auto"/>
      </w:pBdr>
      <w:shd w:val="clear" w:color="auto" w:fill="000080"/>
    </w:pPr>
    <w:rPr>
      <w:rFonts w:ascii="Tahoma" w:eastAsia="Times New Roman" w:hAnsi="Tahoma" w:cs="Tahoma"/>
      <w:sz w:val="20"/>
      <w:szCs w:val="20"/>
      <w:bdr w:val="none" w:sz="0" w:space="0" w:color="auto"/>
    </w:rPr>
  </w:style>
  <w:style w:type="character" w:customStyle="1" w:styleId="DocumentMapChar">
    <w:name w:val="Document Map Char"/>
    <w:basedOn w:val="DefaultParagraphFont"/>
    <w:link w:val="DocumentMap"/>
    <w:semiHidden/>
    <w:rsid w:val="00D02D3C"/>
    <w:rPr>
      <w:rFonts w:ascii="Tahoma" w:eastAsia="Times New Roman" w:hAnsi="Tahoma" w:cs="Tahoma"/>
      <w:bdr w:val="none" w:sz="0" w:space="0" w:color="auto"/>
      <w:shd w:val="clear" w:color="auto" w:fill="000080"/>
      <w:lang w:val="en-US" w:eastAsia="en-US"/>
    </w:rPr>
  </w:style>
  <w:style w:type="paragraph" w:customStyle="1" w:styleId="Style6">
    <w:name w:val="Style 6"/>
    <w:basedOn w:val="Normal"/>
    <w:rsid w:val="00D02D3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52"/>
      <w:jc w:val="both"/>
    </w:pPr>
    <w:rPr>
      <w:rFonts w:eastAsia="Times New Roman"/>
      <w:bdr w:val="none" w:sz="0" w:space="0" w:color="auto"/>
    </w:rPr>
  </w:style>
  <w:style w:type="paragraph" w:customStyle="1" w:styleId="Style29">
    <w:name w:val="Style 29"/>
    <w:basedOn w:val="Normal"/>
    <w:rsid w:val="00D02D3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52"/>
      <w:ind w:right="72"/>
      <w:jc w:val="both"/>
    </w:pPr>
    <w:rPr>
      <w:rFonts w:eastAsia="Times New Roman"/>
      <w:bdr w:val="none" w:sz="0" w:space="0" w:color="auto"/>
    </w:rPr>
  </w:style>
  <w:style w:type="paragraph" w:customStyle="1" w:styleId="Style28">
    <w:name w:val="Style 28"/>
    <w:basedOn w:val="Normal"/>
    <w:rsid w:val="00D02D3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52"/>
      <w:ind w:left="72"/>
      <w:jc w:val="both"/>
    </w:pPr>
    <w:rPr>
      <w:rFonts w:eastAsia="Times New Roman"/>
      <w:bdr w:val="none" w:sz="0" w:space="0" w:color="auto"/>
    </w:rPr>
  </w:style>
  <w:style w:type="paragraph" w:customStyle="1" w:styleId="Style26">
    <w:name w:val="Style 26"/>
    <w:basedOn w:val="Normal"/>
    <w:rsid w:val="00D02D3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center"/>
    </w:pPr>
    <w:rPr>
      <w:rFonts w:eastAsia="Times New Roman"/>
      <w:bdr w:val="none" w:sz="0" w:space="0" w:color="auto"/>
    </w:rPr>
  </w:style>
  <w:style w:type="paragraph" w:customStyle="1" w:styleId="Style100">
    <w:name w:val="Style 10"/>
    <w:basedOn w:val="Normal"/>
    <w:rsid w:val="00D02D3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720"/>
      <w:jc w:val="both"/>
    </w:pPr>
    <w:rPr>
      <w:rFonts w:eastAsia="Times New Roman"/>
      <w:bdr w:val="none" w:sz="0" w:space="0" w:color="auto"/>
    </w:rPr>
  </w:style>
  <w:style w:type="paragraph" w:customStyle="1" w:styleId="Style12">
    <w:name w:val="Style 12"/>
    <w:basedOn w:val="Normal"/>
    <w:rsid w:val="00D02D3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center"/>
    </w:pPr>
    <w:rPr>
      <w:rFonts w:eastAsia="Times New Roman"/>
      <w:bdr w:val="none" w:sz="0" w:space="0" w:color="auto"/>
    </w:rPr>
  </w:style>
  <w:style w:type="paragraph" w:customStyle="1" w:styleId="Style13">
    <w:name w:val="Style 13"/>
    <w:basedOn w:val="Normal"/>
    <w:rsid w:val="00D02D3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right="72" w:firstLine="72"/>
      <w:jc w:val="both"/>
    </w:pPr>
    <w:rPr>
      <w:rFonts w:eastAsia="Times New Roman"/>
      <w:bdr w:val="none" w:sz="0" w:space="0" w:color="auto"/>
    </w:rPr>
  </w:style>
  <w:style w:type="paragraph" w:customStyle="1" w:styleId="Style2">
    <w:name w:val="Style 2"/>
    <w:basedOn w:val="Normal"/>
    <w:rsid w:val="00D02D3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bdr w:val="none" w:sz="0" w:space="0" w:color="auto"/>
    </w:rPr>
  </w:style>
  <w:style w:type="paragraph" w:customStyle="1" w:styleId="Style15">
    <w:name w:val="Style 15"/>
    <w:basedOn w:val="Normal"/>
    <w:rsid w:val="00D02D3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648" w:right="72"/>
    </w:pPr>
    <w:rPr>
      <w:rFonts w:eastAsia="Times New Roman"/>
      <w:bdr w:val="none" w:sz="0" w:space="0" w:color="auto"/>
    </w:rPr>
  </w:style>
  <w:style w:type="paragraph" w:customStyle="1" w:styleId="Style25">
    <w:name w:val="Style 25"/>
    <w:basedOn w:val="Normal"/>
    <w:rsid w:val="00D02D3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pPr>
    <w:rPr>
      <w:rFonts w:eastAsia="Times New Roman"/>
      <w:bdr w:val="none" w:sz="0" w:space="0" w:color="auto"/>
    </w:rPr>
  </w:style>
  <w:style w:type="paragraph" w:customStyle="1" w:styleId="Style18">
    <w:name w:val="Style 18"/>
    <w:basedOn w:val="Normal"/>
    <w:rsid w:val="00D02D3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bdr w:val="none" w:sz="0" w:space="0" w:color="auto"/>
    </w:rPr>
  </w:style>
  <w:style w:type="paragraph" w:customStyle="1" w:styleId="Style20">
    <w:name w:val="Style 20"/>
    <w:basedOn w:val="Normal"/>
    <w:rsid w:val="00D02D3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72"/>
    </w:pPr>
    <w:rPr>
      <w:rFonts w:eastAsia="Times New Roman"/>
      <w:bdr w:val="none" w:sz="0" w:space="0" w:color="auto"/>
    </w:rPr>
  </w:style>
  <w:style w:type="table" w:styleId="TableGrid">
    <w:name w:val="Table Grid"/>
    <w:basedOn w:val="TableNormal"/>
    <w:rsid w:val="00D02D3C"/>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aliases w:val="Normal (Web) Char1,Normal (Web) Char Char,Normal (Web) Char1 Char,Normal (Web) Char Char Char"/>
    <w:basedOn w:val="Normal"/>
    <w:uiPriority w:val="99"/>
    <w:rsid w:val="00D02D3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styleId="Strong">
    <w:name w:val="Strong"/>
    <w:uiPriority w:val="22"/>
    <w:qFormat/>
    <w:rsid w:val="00D02D3C"/>
    <w:rPr>
      <w:b/>
      <w:bCs/>
    </w:rPr>
  </w:style>
  <w:style w:type="character" w:customStyle="1" w:styleId="Heading1CharCharCharCharCharChar">
    <w:name w:val="Heading 1 Char Char Char Char Char Char"/>
    <w:rsid w:val="00D02D3C"/>
    <w:rPr>
      <w:rFonts w:ascii="Univers" w:hAnsi="Univers" w:cs="Arial"/>
      <w:kern w:val="36"/>
      <w:sz w:val="22"/>
      <w:szCs w:val="22"/>
      <w:lang w:val="en-US" w:eastAsia="en-US" w:bidi="ar-SA"/>
    </w:rPr>
  </w:style>
  <w:style w:type="paragraph" w:styleId="BodyTextIndent2">
    <w:name w:val="Body Text Indent 2"/>
    <w:basedOn w:val="Normal"/>
    <w:link w:val="BodyTextIndent2Char"/>
    <w:rsid w:val="00D02D3C"/>
    <w:pPr>
      <w:pBdr>
        <w:top w:val="none" w:sz="0" w:space="0" w:color="auto"/>
        <w:left w:val="none" w:sz="0" w:space="0" w:color="auto"/>
        <w:bottom w:val="none" w:sz="0" w:space="0" w:color="auto"/>
        <w:right w:val="none" w:sz="0" w:space="0" w:color="auto"/>
        <w:between w:val="none" w:sz="0" w:space="0" w:color="auto"/>
        <w:bar w:val="none" w:sz="0" w:color="auto"/>
      </w:pBdr>
      <w:spacing w:after="120" w:line="480" w:lineRule="auto"/>
      <w:ind w:left="360"/>
    </w:pPr>
    <w:rPr>
      <w:rFonts w:eastAsia="Times New Roman"/>
      <w:sz w:val="20"/>
      <w:szCs w:val="20"/>
      <w:bdr w:val="none" w:sz="0" w:space="0" w:color="auto"/>
    </w:rPr>
  </w:style>
  <w:style w:type="character" w:customStyle="1" w:styleId="BodyTextIndent2Char">
    <w:name w:val="Body Text Indent 2 Char"/>
    <w:basedOn w:val="DefaultParagraphFont"/>
    <w:link w:val="BodyTextIndent2"/>
    <w:rsid w:val="00D02D3C"/>
    <w:rPr>
      <w:rFonts w:eastAsia="Times New Roman"/>
      <w:bdr w:val="none" w:sz="0" w:space="0" w:color="auto"/>
      <w:lang w:val="en-US" w:eastAsia="en-US"/>
    </w:rPr>
  </w:style>
  <w:style w:type="paragraph" w:customStyle="1" w:styleId="Default">
    <w:name w:val="Default"/>
    <w:link w:val="DefaultChar"/>
    <w:rsid w:val="00D02D3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character" w:customStyle="1" w:styleId="ju-005fpara--char">
    <w:name w:val="ju-005fpara--char"/>
    <w:basedOn w:val="DefaultParagraphFont"/>
    <w:rsid w:val="00D02D3C"/>
  </w:style>
  <w:style w:type="paragraph" w:customStyle="1" w:styleId="Sinespaciado">
    <w:name w:val="Sin espaciado"/>
    <w:qFormat/>
    <w:rsid w:val="00D02D3C"/>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2"/>
      <w:szCs w:val="22"/>
      <w:bdr w:val="none" w:sz="0" w:space="0" w:color="auto"/>
      <w:lang w:eastAsia="en-US"/>
    </w:rPr>
  </w:style>
  <w:style w:type="character" w:customStyle="1" w:styleId="normal--char">
    <w:name w:val="normal--char"/>
    <w:basedOn w:val="DefaultParagraphFont"/>
    <w:rsid w:val="00D02D3C"/>
  </w:style>
  <w:style w:type="paragraph" w:styleId="Title">
    <w:name w:val="Title"/>
    <w:basedOn w:val="Normal"/>
    <w:link w:val="TitleChar"/>
    <w:qFormat/>
    <w:rsid w:val="00D02D3C"/>
    <w:pPr>
      <w:pBdr>
        <w:top w:val="none" w:sz="0" w:space="0" w:color="auto"/>
        <w:left w:val="none" w:sz="0" w:space="0" w:color="auto"/>
        <w:bottom w:val="none" w:sz="0" w:space="0" w:color="auto"/>
        <w:right w:val="none" w:sz="0" w:space="0" w:color="auto"/>
        <w:between w:val="none" w:sz="0" w:space="0" w:color="auto"/>
        <w:bar w:val="none" w:sz="0" w:color="auto"/>
      </w:pBdr>
      <w:jc w:val="center"/>
    </w:pPr>
    <w:rPr>
      <w:rFonts w:ascii="Univers" w:eastAsia="Times New Roman" w:hAnsi="Univers"/>
      <w:b/>
      <w:sz w:val="22"/>
      <w:szCs w:val="20"/>
      <w:bdr w:val="none" w:sz="0" w:space="0" w:color="auto"/>
      <w:lang w:val="es-ES"/>
    </w:rPr>
  </w:style>
  <w:style w:type="character" w:customStyle="1" w:styleId="TitleChar">
    <w:name w:val="Title Char"/>
    <w:basedOn w:val="DefaultParagraphFont"/>
    <w:link w:val="Title"/>
    <w:rsid w:val="00D02D3C"/>
    <w:rPr>
      <w:rFonts w:ascii="Univers" w:eastAsia="Times New Roman" w:hAnsi="Univers"/>
      <w:b/>
      <w:sz w:val="22"/>
      <w:bdr w:val="none" w:sz="0" w:space="0" w:color="auto"/>
      <w:lang w:eastAsia="en-US"/>
    </w:rPr>
  </w:style>
  <w:style w:type="character" w:customStyle="1" w:styleId="antetitulo1">
    <w:name w:val="antetitulo1"/>
    <w:rsid w:val="00D02D3C"/>
    <w:rPr>
      <w:rFonts w:ascii="Verdana" w:hAnsi="Verdana"/>
      <w:b w:val="0"/>
      <w:bCs w:val="0"/>
      <w:strike w:val="0"/>
      <w:dstrike w:val="0"/>
      <w:color w:val="CC0000"/>
      <w:sz w:val="15"/>
      <w:szCs w:val="15"/>
      <w:u w:val="none"/>
      <w:effect w:val="none"/>
    </w:rPr>
  </w:style>
  <w:style w:type="character" w:customStyle="1" w:styleId="ju-005fcase-0020char--char">
    <w:name w:val="ju-005fcase-0020char--char"/>
    <w:basedOn w:val="DefaultParagraphFont"/>
    <w:rsid w:val="00D02D3C"/>
  </w:style>
  <w:style w:type="paragraph" w:customStyle="1" w:styleId="Blockquote">
    <w:name w:val="Blockquote"/>
    <w:basedOn w:val="Normal"/>
    <w:rsid w:val="00D02D3C"/>
    <w:pPr>
      <w:pBdr>
        <w:top w:val="none" w:sz="0" w:space="0" w:color="auto"/>
        <w:left w:val="none" w:sz="0" w:space="0" w:color="auto"/>
        <w:bottom w:val="none" w:sz="0" w:space="0" w:color="auto"/>
        <w:right w:val="none" w:sz="0" w:space="0" w:color="auto"/>
        <w:between w:val="none" w:sz="0" w:space="0" w:color="auto"/>
        <w:bar w:val="none" w:sz="0" w:color="auto"/>
      </w:pBdr>
      <w:spacing w:before="100" w:after="100"/>
      <w:ind w:left="360" w:right="360"/>
    </w:pPr>
    <w:rPr>
      <w:rFonts w:eastAsia="Times New Roman"/>
      <w:snapToGrid w:val="0"/>
      <w:szCs w:val="20"/>
      <w:bdr w:val="none" w:sz="0" w:space="0" w:color="auto"/>
    </w:rPr>
  </w:style>
  <w:style w:type="paragraph" w:styleId="TOC5">
    <w:name w:val="toc 5"/>
    <w:basedOn w:val="Normal"/>
    <w:next w:val="Normal"/>
    <w:autoRedefine/>
    <w:semiHidden/>
    <w:rsid w:val="00D02D3C"/>
    <w:pPr>
      <w:pBdr>
        <w:top w:val="none" w:sz="0" w:space="0" w:color="auto"/>
        <w:left w:val="none" w:sz="0" w:space="0" w:color="auto"/>
        <w:bottom w:val="none" w:sz="0" w:space="0" w:color="auto"/>
        <w:right w:val="none" w:sz="0" w:space="0" w:color="auto"/>
        <w:between w:val="none" w:sz="0" w:space="0" w:color="auto"/>
        <w:bar w:val="none" w:sz="0" w:color="auto"/>
      </w:pBdr>
      <w:ind w:left="800"/>
    </w:pPr>
    <w:rPr>
      <w:rFonts w:eastAsia="Times New Roman"/>
      <w:sz w:val="20"/>
      <w:szCs w:val="20"/>
      <w:bdr w:val="none" w:sz="0" w:space="0" w:color="auto"/>
    </w:rPr>
  </w:style>
  <w:style w:type="character" w:customStyle="1" w:styleId="TextonotapieCar1">
    <w:name w:val="Texto nota pie Car1"/>
    <w:aliases w:val="ft Car,FA Fu Car,Footnote Text Char Char Char Char Char Car,Footnote Text Char Char Char Char Car,Footnote reference Car,Texto nota pie Car Car,Footnote Text Char Char Char Car,texto de nota al pie Car,FA Fußnotentext Car"/>
    <w:semiHidden/>
    <w:locked/>
    <w:rsid w:val="00D02D3C"/>
    <w:rPr>
      <w:rFonts w:cs="Times New Roman"/>
      <w:lang w:val="es-ES_tradnl" w:eastAsia="en-US" w:bidi="ar-SA"/>
    </w:rPr>
  </w:style>
  <w:style w:type="paragraph" w:customStyle="1" w:styleId="Car">
    <w:name w:val="Car"/>
    <w:basedOn w:val="Normal"/>
    <w:rsid w:val="00D02D3C"/>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rFonts w:eastAsia="Times New Roman"/>
      <w:noProof/>
      <w:color w:val="000000"/>
      <w:sz w:val="20"/>
      <w:szCs w:val="20"/>
      <w:bdr w:val="none" w:sz="0" w:space="0" w:color="auto"/>
      <w:lang w:val="es-CO" w:eastAsia="es-ES"/>
    </w:rPr>
  </w:style>
  <w:style w:type="paragraph" w:customStyle="1" w:styleId="Prrafonumerado">
    <w:name w:val="Párrafo numerado"/>
    <w:basedOn w:val="Normal"/>
    <w:autoRedefine/>
    <w:rsid w:val="00D02D3C"/>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ind w:left="720" w:right="760"/>
      <w:jc w:val="both"/>
    </w:pPr>
    <w:rPr>
      <w:rFonts w:ascii="Univers" w:eastAsia="Times New Roman" w:hAnsi="Univers"/>
      <w:sz w:val="18"/>
      <w:szCs w:val="18"/>
      <w:bdr w:val="none" w:sz="0" w:space="0" w:color="auto"/>
      <w:lang w:val="es-CO" w:eastAsia="es-ES"/>
    </w:rPr>
  </w:style>
  <w:style w:type="paragraph" w:styleId="BodyText3">
    <w:name w:val="Body Text 3"/>
    <w:basedOn w:val="Normal"/>
    <w:link w:val="BodyText3Char"/>
    <w:rsid w:val="00D02D3C"/>
    <w:pPr>
      <w:pBdr>
        <w:top w:val="none" w:sz="0" w:space="0" w:color="auto"/>
        <w:left w:val="none" w:sz="0" w:space="0" w:color="auto"/>
        <w:bottom w:val="none" w:sz="0" w:space="0" w:color="auto"/>
        <w:right w:val="none" w:sz="0" w:space="0" w:color="auto"/>
        <w:between w:val="none" w:sz="0" w:space="0" w:color="auto"/>
        <w:bar w:val="none" w:sz="0" w:color="auto"/>
      </w:pBdr>
      <w:spacing w:after="120"/>
    </w:pPr>
    <w:rPr>
      <w:rFonts w:eastAsia="Times New Roman"/>
      <w:sz w:val="16"/>
      <w:szCs w:val="16"/>
      <w:bdr w:val="none" w:sz="0" w:space="0" w:color="auto"/>
    </w:rPr>
  </w:style>
  <w:style w:type="character" w:customStyle="1" w:styleId="BodyText3Char">
    <w:name w:val="Body Text 3 Char"/>
    <w:basedOn w:val="DefaultParagraphFont"/>
    <w:link w:val="BodyText3"/>
    <w:rsid w:val="00D02D3C"/>
    <w:rPr>
      <w:rFonts w:eastAsia="Times New Roman"/>
      <w:sz w:val="16"/>
      <w:szCs w:val="16"/>
      <w:bdr w:val="none" w:sz="0" w:space="0" w:color="auto"/>
      <w:lang w:val="en-US" w:eastAsia="en-US"/>
    </w:rPr>
  </w:style>
  <w:style w:type="paragraph" w:styleId="BodyTextIndent3">
    <w:name w:val="Body Text Indent 3"/>
    <w:basedOn w:val="Normal"/>
    <w:link w:val="BodyTextIndent3Char"/>
    <w:rsid w:val="00D02D3C"/>
    <w:pPr>
      <w:pBdr>
        <w:top w:val="none" w:sz="0" w:space="0" w:color="auto"/>
        <w:left w:val="none" w:sz="0" w:space="0" w:color="auto"/>
        <w:bottom w:val="none" w:sz="0" w:space="0" w:color="auto"/>
        <w:right w:val="none" w:sz="0" w:space="0" w:color="auto"/>
        <w:between w:val="none" w:sz="0" w:space="0" w:color="auto"/>
        <w:bar w:val="none" w:sz="0" w:color="auto"/>
      </w:pBdr>
      <w:spacing w:after="120"/>
      <w:ind w:left="360"/>
    </w:pPr>
    <w:rPr>
      <w:rFonts w:eastAsia="Times New Roman"/>
      <w:sz w:val="16"/>
      <w:szCs w:val="16"/>
      <w:bdr w:val="none" w:sz="0" w:space="0" w:color="auto"/>
    </w:rPr>
  </w:style>
  <w:style w:type="character" w:customStyle="1" w:styleId="BodyTextIndent3Char">
    <w:name w:val="Body Text Indent 3 Char"/>
    <w:basedOn w:val="DefaultParagraphFont"/>
    <w:link w:val="BodyTextIndent3"/>
    <w:rsid w:val="00D02D3C"/>
    <w:rPr>
      <w:rFonts w:eastAsia="Times New Roman"/>
      <w:sz w:val="16"/>
      <w:szCs w:val="16"/>
      <w:bdr w:val="none" w:sz="0" w:space="0" w:color="auto"/>
      <w:lang w:val="en-US" w:eastAsia="en-US"/>
    </w:rPr>
  </w:style>
  <w:style w:type="character" w:customStyle="1" w:styleId="FootnoteCharacters">
    <w:name w:val="Footnote Characters"/>
    <w:rsid w:val="00D02D3C"/>
    <w:rPr>
      <w:vertAlign w:val="superscript"/>
    </w:rPr>
  </w:style>
  <w:style w:type="character" w:customStyle="1" w:styleId="WW-FootnoteCharacters">
    <w:name w:val="WW-Footnote Characters"/>
    <w:rsid w:val="00D02D3C"/>
    <w:rPr>
      <w:rFonts w:ascii="Universal" w:hAnsi="Universal"/>
      <w:sz w:val="16"/>
      <w:vertAlign w:val="superscript"/>
    </w:rPr>
  </w:style>
  <w:style w:type="character" w:customStyle="1" w:styleId="textonavy1">
    <w:name w:val="texto_navy1"/>
    <w:rsid w:val="00D02D3C"/>
    <w:rPr>
      <w:color w:val="000080"/>
    </w:rPr>
  </w:style>
  <w:style w:type="paragraph" w:customStyle="1" w:styleId="Style3">
    <w:name w:val="Style 3"/>
    <w:basedOn w:val="Normal"/>
    <w:uiPriority w:val="99"/>
    <w:rsid w:val="00D02D3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360" w:lineRule="auto"/>
      <w:jc w:val="both"/>
    </w:pPr>
    <w:rPr>
      <w:rFonts w:eastAsia="Times New Roman"/>
      <w:bdr w:val="none" w:sz="0" w:space="0" w:color="auto"/>
    </w:rPr>
  </w:style>
  <w:style w:type="paragraph" w:customStyle="1" w:styleId="Style5">
    <w:name w:val="Style 5"/>
    <w:basedOn w:val="Normal"/>
    <w:rsid w:val="00D02D3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52" w:line="360" w:lineRule="auto"/>
      <w:jc w:val="both"/>
    </w:pPr>
    <w:rPr>
      <w:rFonts w:eastAsia="Times New Roman"/>
      <w:bdr w:val="none" w:sz="0" w:space="0" w:color="auto"/>
    </w:rPr>
  </w:style>
  <w:style w:type="paragraph" w:customStyle="1" w:styleId="Style7">
    <w:name w:val="Style 7"/>
    <w:basedOn w:val="Normal"/>
    <w:rsid w:val="00D02D3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360" w:line="360" w:lineRule="auto"/>
      <w:ind w:right="72"/>
      <w:jc w:val="both"/>
    </w:pPr>
    <w:rPr>
      <w:rFonts w:eastAsia="Times New Roman"/>
      <w:bdr w:val="none" w:sz="0" w:space="0" w:color="auto"/>
    </w:rPr>
  </w:style>
  <w:style w:type="character" w:styleId="Emphasis">
    <w:name w:val="Emphasis"/>
    <w:uiPriority w:val="20"/>
    <w:qFormat/>
    <w:rsid w:val="00D02D3C"/>
    <w:rPr>
      <w:i/>
      <w:iCs/>
    </w:rPr>
  </w:style>
  <w:style w:type="character" w:styleId="CommentReference">
    <w:name w:val="annotation reference"/>
    <w:semiHidden/>
    <w:rsid w:val="00D02D3C"/>
    <w:rPr>
      <w:sz w:val="16"/>
      <w:szCs w:val="16"/>
    </w:rPr>
  </w:style>
  <w:style w:type="paragraph" w:styleId="CommentText">
    <w:name w:val="annotation text"/>
    <w:basedOn w:val="Normal"/>
    <w:link w:val="CommentTextChar"/>
    <w:rsid w:val="00D02D3C"/>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0"/>
      <w:szCs w:val="20"/>
      <w:bdr w:val="none" w:sz="0" w:space="0" w:color="auto"/>
    </w:rPr>
  </w:style>
  <w:style w:type="character" w:customStyle="1" w:styleId="CommentTextChar">
    <w:name w:val="Comment Text Char"/>
    <w:basedOn w:val="DefaultParagraphFont"/>
    <w:link w:val="CommentText"/>
    <w:rsid w:val="00D02D3C"/>
    <w:rPr>
      <w:rFonts w:eastAsia="Times New Roman"/>
      <w:bdr w:val="none" w:sz="0" w:space="0" w:color="auto"/>
      <w:lang w:val="en-US" w:eastAsia="en-US"/>
    </w:rPr>
  </w:style>
  <w:style w:type="character" w:customStyle="1" w:styleId="st1">
    <w:name w:val="st1"/>
    <w:basedOn w:val="DefaultParagraphFont"/>
    <w:rsid w:val="00D02D3C"/>
  </w:style>
  <w:style w:type="paragraph" w:styleId="BodyText2">
    <w:name w:val="Body Text 2"/>
    <w:basedOn w:val="Normal"/>
    <w:link w:val="BodyText2Char"/>
    <w:unhideWhenUsed/>
    <w:rsid w:val="00D02D3C"/>
    <w:pPr>
      <w:spacing w:after="120" w:line="480" w:lineRule="auto"/>
    </w:pPr>
  </w:style>
  <w:style w:type="character" w:customStyle="1" w:styleId="BodyText2Char">
    <w:name w:val="Body Text 2 Char"/>
    <w:basedOn w:val="DefaultParagraphFont"/>
    <w:link w:val="BodyText2"/>
    <w:rsid w:val="00D02D3C"/>
    <w:rPr>
      <w:sz w:val="24"/>
      <w:szCs w:val="24"/>
      <w:lang w:val="en-US" w:eastAsia="en-US"/>
    </w:rPr>
  </w:style>
  <w:style w:type="paragraph" w:styleId="PlainText">
    <w:name w:val="Plain Text"/>
    <w:basedOn w:val="Normal"/>
    <w:link w:val="PlainTextChar"/>
    <w:uiPriority w:val="99"/>
    <w:unhideWhenUsed/>
    <w:rsid w:val="00D02D3C"/>
    <w:rPr>
      <w:rFonts w:ascii="Consolas" w:hAnsi="Consolas" w:cs="Consolas"/>
      <w:sz w:val="21"/>
      <w:szCs w:val="21"/>
    </w:rPr>
  </w:style>
  <w:style w:type="character" w:customStyle="1" w:styleId="PlainTextChar">
    <w:name w:val="Plain Text Char"/>
    <w:basedOn w:val="DefaultParagraphFont"/>
    <w:link w:val="PlainText"/>
    <w:uiPriority w:val="99"/>
    <w:rsid w:val="00D02D3C"/>
    <w:rPr>
      <w:rFonts w:ascii="Consolas" w:hAnsi="Consolas" w:cs="Consolas"/>
      <w:sz w:val="21"/>
      <w:szCs w:val="21"/>
      <w:lang w:val="en-US" w:eastAsia="en-US"/>
    </w:rPr>
  </w:style>
  <w:style w:type="character" w:customStyle="1" w:styleId="BodyTextChar1">
    <w:name w:val="Body Text Char1"/>
    <w:aliases w:val="Body Text Char Char,Body Text Char Car Car Car Car Car Car Car Car Car Car Car Car Car Char,Body Text Char Car Car Car Car Car Car Car Car Car Car Car Car Char"/>
    <w:semiHidden/>
    <w:locked/>
    <w:rsid w:val="00D02D3C"/>
    <w:rPr>
      <w:rFonts w:ascii="Univers" w:eastAsia="Batang" w:hAnsi="Univers"/>
      <w:spacing w:val="-2"/>
      <w:sz w:val="22"/>
      <w:lang w:val="es-ES_tradnl" w:eastAsia="en-US" w:bidi="ar-SA"/>
    </w:rPr>
  </w:style>
  <w:style w:type="character" w:customStyle="1" w:styleId="FootnoteTextChar2">
    <w:name w:val="Footnote Text Char2"/>
    <w:aliases w:val="Footnote Text Char Char Char Char Char Char2,Footnote Text Char Char Char Char Char11,Footnote reference Char2,FA Fu Char2,Footnote Text Char Char Char Char11,Footnote Text Cha Char2,FA Fußnotentext Char2,FA Fuﬂnotentext Char2,f Cha"/>
    <w:semiHidden/>
    <w:locked/>
    <w:rsid w:val="00D02D3C"/>
    <w:rPr>
      <w:rFonts w:ascii="Univers" w:hAnsi="Univers" w:cs="Times New Roman"/>
      <w:lang w:val="es-ES_tradnl" w:eastAsia="x-none"/>
    </w:rPr>
  </w:style>
  <w:style w:type="paragraph" w:styleId="Subtitle">
    <w:name w:val="Subtitle"/>
    <w:basedOn w:val="Normal"/>
    <w:link w:val="SubtitleChar"/>
    <w:qFormat/>
    <w:rsid w:val="00D02D3C"/>
    <w:pPr>
      <w:pBdr>
        <w:top w:val="none" w:sz="0" w:space="0" w:color="auto"/>
        <w:left w:val="none" w:sz="0" w:space="0" w:color="auto"/>
        <w:bottom w:val="none" w:sz="0" w:space="0" w:color="auto"/>
        <w:right w:val="none" w:sz="0" w:space="0" w:color="auto"/>
        <w:between w:val="none" w:sz="0" w:space="0" w:color="auto"/>
        <w:bar w:val="none" w:sz="0" w:color="auto"/>
      </w:pBdr>
      <w:spacing w:after="60"/>
      <w:jc w:val="center"/>
      <w:outlineLvl w:val="1"/>
    </w:pPr>
    <w:rPr>
      <w:rFonts w:ascii="Arial" w:eastAsia="Batang" w:hAnsi="Arial" w:cs="Arial"/>
      <w:bdr w:val="none" w:sz="0" w:space="0" w:color="auto"/>
      <w:lang w:val="es-ES_tradnl"/>
    </w:rPr>
  </w:style>
  <w:style w:type="character" w:customStyle="1" w:styleId="SubtitleChar">
    <w:name w:val="Subtitle Char"/>
    <w:basedOn w:val="DefaultParagraphFont"/>
    <w:link w:val="Subtitle"/>
    <w:rsid w:val="00D02D3C"/>
    <w:rPr>
      <w:rFonts w:ascii="Arial" w:eastAsia="Batang" w:hAnsi="Arial" w:cs="Arial"/>
      <w:sz w:val="24"/>
      <w:szCs w:val="24"/>
      <w:bdr w:val="none" w:sz="0" w:space="0" w:color="auto"/>
      <w:lang w:val="es-ES_tradnl" w:eastAsia="en-US"/>
    </w:rPr>
  </w:style>
  <w:style w:type="paragraph" w:styleId="List2">
    <w:name w:val="List 2"/>
    <w:basedOn w:val="Normal"/>
    <w:rsid w:val="00D02D3C"/>
    <w:pPr>
      <w:pBdr>
        <w:top w:val="none" w:sz="0" w:space="0" w:color="auto"/>
        <w:left w:val="none" w:sz="0" w:space="0" w:color="auto"/>
        <w:bottom w:val="none" w:sz="0" w:space="0" w:color="auto"/>
        <w:right w:val="none" w:sz="0" w:space="0" w:color="auto"/>
        <w:between w:val="none" w:sz="0" w:space="0" w:color="auto"/>
        <w:bar w:val="none" w:sz="0" w:color="auto"/>
      </w:pBdr>
      <w:ind w:left="720" w:hanging="360"/>
    </w:pPr>
    <w:rPr>
      <w:rFonts w:ascii="Univers" w:eastAsia="Batang" w:hAnsi="Univers"/>
      <w:sz w:val="22"/>
      <w:szCs w:val="20"/>
      <w:bdr w:val="none" w:sz="0" w:space="0" w:color="auto"/>
      <w:lang w:val="es-ES_tradnl"/>
    </w:rPr>
  </w:style>
  <w:style w:type="character" w:customStyle="1" w:styleId="NormalWebChar">
    <w:name w:val="Normal (Web) Char"/>
    <w:aliases w:val="Normal (Web) Char1 Char1,Normal (Web) Char Char Char1,Normal (Web) Char1 Char Char,Normal (Web) Char Char Char Char"/>
    <w:rsid w:val="00D02D3C"/>
    <w:rPr>
      <w:sz w:val="24"/>
      <w:lang w:val="en-US" w:eastAsia="en-US"/>
    </w:rPr>
  </w:style>
  <w:style w:type="paragraph" w:styleId="BlockText">
    <w:name w:val="Block Text"/>
    <w:basedOn w:val="Normal"/>
    <w:rsid w:val="00D02D3C"/>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pPr>
    <w:rPr>
      <w:rFonts w:ascii="Univers" w:eastAsia="Batang" w:hAnsi="Univers"/>
      <w:sz w:val="18"/>
      <w:szCs w:val="20"/>
      <w:bdr w:val="none" w:sz="0" w:space="0" w:color="auto"/>
      <w:lang w:val="es-ES_tradnl"/>
    </w:rPr>
  </w:style>
  <w:style w:type="paragraph" w:styleId="List3">
    <w:name w:val="List 3"/>
    <w:basedOn w:val="Normal"/>
    <w:rsid w:val="00D02D3C"/>
    <w:pPr>
      <w:pBdr>
        <w:top w:val="none" w:sz="0" w:space="0" w:color="auto"/>
        <w:left w:val="none" w:sz="0" w:space="0" w:color="auto"/>
        <w:bottom w:val="none" w:sz="0" w:space="0" w:color="auto"/>
        <w:right w:val="none" w:sz="0" w:space="0" w:color="auto"/>
        <w:between w:val="none" w:sz="0" w:space="0" w:color="auto"/>
        <w:bar w:val="none" w:sz="0" w:color="auto"/>
      </w:pBdr>
      <w:ind w:left="1080" w:hanging="360"/>
    </w:pPr>
    <w:rPr>
      <w:rFonts w:ascii="Univers" w:eastAsia="Batang" w:hAnsi="Univers"/>
      <w:sz w:val="22"/>
      <w:szCs w:val="20"/>
      <w:bdr w:val="none" w:sz="0" w:space="0" w:color="auto"/>
      <w:lang w:val="es-ES_tradnl"/>
    </w:rPr>
  </w:style>
  <w:style w:type="paragraph" w:customStyle="1" w:styleId="Sangradetindependiente">
    <w:name w:val="SangrÌa de t. independiente"/>
    <w:basedOn w:val="Normal"/>
    <w:rsid w:val="00D02D3C"/>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360" w:lineRule="atLeast"/>
    </w:pPr>
    <w:rPr>
      <w:rFonts w:ascii="Garamond" w:eastAsia="Batang" w:hAnsi="Garamond"/>
      <w:szCs w:val="20"/>
      <w:bdr w:val="none" w:sz="0" w:space="0" w:color="auto"/>
      <w:lang w:val="es-ES_tradnl" w:eastAsia="ar-SA"/>
    </w:rPr>
  </w:style>
  <w:style w:type="character" w:styleId="FollowedHyperlink">
    <w:name w:val="FollowedHyperlink"/>
    <w:rsid w:val="00D02D3C"/>
    <w:rPr>
      <w:rFonts w:cs="Times New Roman"/>
      <w:color w:val="800080"/>
      <w:u w:val="single"/>
    </w:rPr>
  </w:style>
  <w:style w:type="character" w:customStyle="1" w:styleId="ifinal011">
    <w:name w:val="ifinal011"/>
    <w:rsid w:val="00D02D3C"/>
    <w:rPr>
      <w:rFonts w:ascii="Verdana" w:hAnsi="Verdana"/>
      <w:color w:val="003399"/>
      <w:sz w:val="12"/>
    </w:rPr>
  </w:style>
  <w:style w:type="paragraph" w:customStyle="1" w:styleId="PlaceholderText1">
    <w:name w:val="Placeholder Text1"/>
    <w:basedOn w:val="Normal"/>
    <w:rsid w:val="00D02D3C"/>
    <w:pPr>
      <w:keepNext/>
      <w:pBdr>
        <w:top w:val="none" w:sz="0" w:space="0" w:color="auto"/>
        <w:left w:val="none" w:sz="0" w:space="0" w:color="auto"/>
        <w:bottom w:val="none" w:sz="0" w:space="0" w:color="auto"/>
        <w:right w:val="none" w:sz="0" w:space="0" w:color="auto"/>
        <w:between w:val="none" w:sz="0" w:space="0" w:color="auto"/>
        <w:bar w:val="none" w:sz="0" w:color="auto"/>
      </w:pBdr>
      <w:tabs>
        <w:tab w:val="num" w:pos="0"/>
      </w:tabs>
      <w:outlineLvl w:val="0"/>
    </w:pPr>
    <w:rPr>
      <w:rFonts w:ascii="Verdana" w:eastAsia="MS Gothic" w:hAnsi="Verdana"/>
      <w:sz w:val="20"/>
      <w:bdr w:val="none" w:sz="0" w:space="0" w:color="auto"/>
      <w:lang w:val="es-ES_tradnl"/>
    </w:rPr>
  </w:style>
  <w:style w:type="paragraph" w:styleId="NoSpacing">
    <w:name w:val="No Spacing"/>
    <w:basedOn w:val="Normal"/>
    <w:uiPriority w:val="1"/>
    <w:qFormat/>
    <w:rsid w:val="00D02D3C"/>
    <w:pPr>
      <w:keepNext/>
      <w:numPr>
        <w:numId w:val="67"/>
      </w:numPr>
      <w:pBdr>
        <w:top w:val="none" w:sz="0" w:space="0" w:color="auto"/>
        <w:left w:val="none" w:sz="0" w:space="0" w:color="auto"/>
        <w:bottom w:val="none" w:sz="0" w:space="0" w:color="auto"/>
        <w:right w:val="none" w:sz="0" w:space="0" w:color="auto"/>
        <w:between w:val="none" w:sz="0" w:space="0" w:color="auto"/>
        <w:bar w:val="none" w:sz="0" w:color="auto"/>
      </w:pBdr>
      <w:tabs>
        <w:tab w:val="clear" w:pos="0"/>
        <w:tab w:val="num" w:pos="720"/>
      </w:tabs>
      <w:ind w:left="1080" w:hanging="360"/>
      <w:outlineLvl w:val="1"/>
    </w:pPr>
    <w:rPr>
      <w:rFonts w:ascii="Verdana" w:eastAsia="MS Gothic" w:hAnsi="Verdana"/>
      <w:sz w:val="20"/>
      <w:bdr w:val="none" w:sz="0" w:space="0" w:color="auto"/>
      <w:lang w:val="es-ES_tradnl"/>
    </w:rPr>
  </w:style>
  <w:style w:type="paragraph" w:customStyle="1" w:styleId="LightShading1">
    <w:name w:val="Light Shading1"/>
    <w:basedOn w:val="Normal"/>
    <w:rsid w:val="00D02D3C"/>
    <w:pPr>
      <w:keepNext/>
      <w:numPr>
        <w:ilvl w:val="1"/>
        <w:numId w:val="67"/>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1440"/>
      </w:tabs>
      <w:ind w:left="1800"/>
      <w:outlineLvl w:val="2"/>
    </w:pPr>
    <w:rPr>
      <w:rFonts w:ascii="Verdana" w:eastAsia="MS Gothic" w:hAnsi="Verdana"/>
      <w:sz w:val="20"/>
      <w:bdr w:val="none" w:sz="0" w:space="0" w:color="auto"/>
      <w:lang w:val="es-ES_tradnl"/>
    </w:rPr>
  </w:style>
  <w:style w:type="paragraph" w:customStyle="1" w:styleId="LightList1">
    <w:name w:val="Light List1"/>
    <w:basedOn w:val="Normal"/>
    <w:rsid w:val="00D02D3C"/>
    <w:pPr>
      <w:keepNext/>
      <w:numPr>
        <w:ilvl w:val="2"/>
        <w:numId w:val="67"/>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 w:val="num" w:pos="2160"/>
      </w:tabs>
      <w:ind w:left="2520"/>
      <w:outlineLvl w:val="3"/>
    </w:pPr>
    <w:rPr>
      <w:rFonts w:ascii="Verdana" w:eastAsia="MS Gothic" w:hAnsi="Verdana"/>
      <w:sz w:val="20"/>
      <w:bdr w:val="none" w:sz="0" w:space="0" w:color="auto"/>
      <w:lang w:val="es-ES_tradnl"/>
    </w:rPr>
  </w:style>
  <w:style w:type="paragraph" w:customStyle="1" w:styleId="LightGrid1">
    <w:name w:val="Light Grid1"/>
    <w:basedOn w:val="Normal"/>
    <w:rsid w:val="00D02D3C"/>
    <w:pPr>
      <w:keepNext/>
      <w:numPr>
        <w:ilvl w:val="3"/>
        <w:numId w:val="67"/>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 w:val="num" w:pos="2880"/>
      </w:tabs>
      <w:ind w:left="3240"/>
      <w:outlineLvl w:val="4"/>
    </w:pPr>
    <w:rPr>
      <w:rFonts w:ascii="Verdana" w:eastAsia="MS Gothic" w:hAnsi="Verdana"/>
      <w:sz w:val="20"/>
      <w:bdr w:val="none" w:sz="0" w:space="0" w:color="auto"/>
      <w:lang w:val="es-ES_tradnl"/>
    </w:rPr>
  </w:style>
  <w:style w:type="paragraph" w:customStyle="1" w:styleId="MediumShading11">
    <w:name w:val="Medium Shading 11"/>
    <w:basedOn w:val="Normal"/>
    <w:rsid w:val="00D02D3C"/>
    <w:pPr>
      <w:keepNext/>
      <w:numPr>
        <w:ilvl w:val="4"/>
        <w:numId w:val="67"/>
      </w:numPr>
      <w:pBdr>
        <w:top w:val="none" w:sz="0" w:space="0" w:color="auto"/>
        <w:left w:val="none" w:sz="0" w:space="0" w:color="auto"/>
        <w:bottom w:val="none" w:sz="0" w:space="0" w:color="auto"/>
        <w:right w:val="none" w:sz="0" w:space="0" w:color="auto"/>
        <w:between w:val="none" w:sz="0" w:space="0" w:color="auto"/>
        <w:bar w:val="none" w:sz="0" w:color="auto"/>
      </w:pBdr>
      <w:tabs>
        <w:tab w:val="clear" w:pos="2880"/>
        <w:tab w:val="num" w:pos="3600"/>
      </w:tabs>
      <w:ind w:left="3960"/>
      <w:outlineLvl w:val="5"/>
    </w:pPr>
    <w:rPr>
      <w:rFonts w:ascii="Verdana" w:eastAsia="MS Gothic" w:hAnsi="Verdana"/>
      <w:sz w:val="20"/>
      <w:bdr w:val="none" w:sz="0" w:space="0" w:color="auto"/>
      <w:lang w:val="es-ES_tradnl"/>
    </w:rPr>
  </w:style>
  <w:style w:type="paragraph" w:customStyle="1" w:styleId="MediumShading21">
    <w:name w:val="Medium Shading 21"/>
    <w:basedOn w:val="Normal"/>
    <w:rsid w:val="00D02D3C"/>
    <w:pPr>
      <w:keepNext/>
      <w:numPr>
        <w:ilvl w:val="5"/>
        <w:numId w:val="67"/>
      </w:numPr>
      <w:pBdr>
        <w:top w:val="none" w:sz="0" w:space="0" w:color="auto"/>
        <w:left w:val="none" w:sz="0" w:space="0" w:color="auto"/>
        <w:bottom w:val="none" w:sz="0" w:space="0" w:color="auto"/>
        <w:right w:val="none" w:sz="0" w:space="0" w:color="auto"/>
        <w:between w:val="none" w:sz="0" w:space="0" w:color="auto"/>
        <w:bar w:val="none" w:sz="0" w:color="auto"/>
      </w:pBdr>
      <w:tabs>
        <w:tab w:val="clear" w:pos="3600"/>
        <w:tab w:val="num" w:pos="4320"/>
      </w:tabs>
      <w:ind w:left="4680"/>
      <w:outlineLvl w:val="6"/>
    </w:pPr>
    <w:rPr>
      <w:rFonts w:ascii="Verdana" w:eastAsia="MS Gothic" w:hAnsi="Verdana"/>
      <w:sz w:val="20"/>
      <w:bdr w:val="none" w:sz="0" w:space="0" w:color="auto"/>
      <w:lang w:val="es-ES_tradnl"/>
    </w:rPr>
  </w:style>
  <w:style w:type="paragraph" w:customStyle="1" w:styleId="MediumList11">
    <w:name w:val="Medium List 11"/>
    <w:basedOn w:val="Normal"/>
    <w:rsid w:val="00D02D3C"/>
    <w:pPr>
      <w:keepNext/>
      <w:numPr>
        <w:ilvl w:val="6"/>
        <w:numId w:val="67"/>
      </w:numPr>
      <w:pBdr>
        <w:top w:val="none" w:sz="0" w:space="0" w:color="auto"/>
        <w:left w:val="none" w:sz="0" w:space="0" w:color="auto"/>
        <w:bottom w:val="none" w:sz="0" w:space="0" w:color="auto"/>
        <w:right w:val="none" w:sz="0" w:space="0" w:color="auto"/>
        <w:between w:val="none" w:sz="0" w:space="0" w:color="auto"/>
        <w:bar w:val="none" w:sz="0" w:color="auto"/>
      </w:pBdr>
      <w:tabs>
        <w:tab w:val="clear" w:pos="4320"/>
        <w:tab w:val="num" w:pos="5040"/>
      </w:tabs>
      <w:ind w:left="5400"/>
      <w:outlineLvl w:val="7"/>
    </w:pPr>
    <w:rPr>
      <w:rFonts w:ascii="Verdana" w:eastAsia="MS Gothic" w:hAnsi="Verdana"/>
      <w:sz w:val="20"/>
      <w:bdr w:val="none" w:sz="0" w:space="0" w:color="auto"/>
      <w:lang w:val="es-ES_tradnl"/>
    </w:rPr>
  </w:style>
  <w:style w:type="paragraph" w:customStyle="1" w:styleId="MediumList21">
    <w:name w:val="Medium List 21"/>
    <w:basedOn w:val="Normal"/>
    <w:rsid w:val="00D02D3C"/>
    <w:pPr>
      <w:keepNext/>
      <w:numPr>
        <w:ilvl w:val="7"/>
        <w:numId w:val="67"/>
      </w:numPr>
      <w:pBdr>
        <w:top w:val="none" w:sz="0" w:space="0" w:color="auto"/>
        <w:left w:val="none" w:sz="0" w:space="0" w:color="auto"/>
        <w:bottom w:val="none" w:sz="0" w:space="0" w:color="auto"/>
        <w:right w:val="none" w:sz="0" w:space="0" w:color="auto"/>
        <w:between w:val="none" w:sz="0" w:space="0" w:color="auto"/>
        <w:bar w:val="none" w:sz="0" w:color="auto"/>
      </w:pBdr>
      <w:tabs>
        <w:tab w:val="clear" w:pos="5040"/>
        <w:tab w:val="num" w:pos="5760"/>
      </w:tabs>
      <w:ind w:left="6120"/>
      <w:outlineLvl w:val="8"/>
    </w:pPr>
    <w:rPr>
      <w:rFonts w:ascii="Verdana" w:eastAsia="MS Gothic" w:hAnsi="Verdana"/>
      <w:sz w:val="20"/>
      <w:bdr w:val="none" w:sz="0" w:space="0" w:color="auto"/>
      <w:lang w:val="es-ES_tradnl"/>
    </w:rPr>
  </w:style>
  <w:style w:type="paragraph" w:customStyle="1" w:styleId="Estilo5">
    <w:name w:val="Estilo5"/>
    <w:basedOn w:val="Heading1"/>
    <w:next w:val="Normal"/>
    <w:rsid w:val="00D02D3C"/>
    <w:pPr>
      <w:keepLines w:val="0"/>
      <w:numPr>
        <w:ilvl w:val="8"/>
        <w:numId w:val="67"/>
      </w:numPr>
      <w:pBdr>
        <w:top w:val="none" w:sz="0" w:space="0" w:color="auto"/>
        <w:left w:val="none" w:sz="0" w:space="0" w:color="auto"/>
        <w:bottom w:val="none" w:sz="0" w:space="0" w:color="auto"/>
        <w:right w:val="none" w:sz="0" w:space="0" w:color="auto"/>
        <w:between w:val="none" w:sz="0" w:space="0" w:color="auto"/>
        <w:bar w:val="none" w:sz="0" w:color="auto"/>
      </w:pBdr>
      <w:tabs>
        <w:tab w:val="clear" w:pos="5760"/>
      </w:tabs>
      <w:spacing w:before="240" w:after="60"/>
      <w:ind w:left="0" w:firstLine="0"/>
      <w:jc w:val="both"/>
    </w:pPr>
    <w:rPr>
      <w:rFonts w:ascii="Verdana" w:eastAsia="Batang" w:hAnsi="Verdana" w:cs="Arial"/>
      <w:b w:val="0"/>
      <w:kern w:val="32"/>
      <w:szCs w:val="24"/>
      <w:bdr w:val="none" w:sz="0" w:space="0" w:color="auto"/>
      <w:lang w:val="en-US"/>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locked/>
    <w:rsid w:val="00D02D3C"/>
    <w:rPr>
      <w:rFonts w:ascii="Univers" w:eastAsia="Batang" w:hAnsi="Univers"/>
      <w:lang w:val="es-CO" w:eastAsia="en-US" w:bidi="ar-SA"/>
    </w:rPr>
  </w:style>
  <w:style w:type="character" w:customStyle="1" w:styleId="apple-converted-space">
    <w:name w:val="apple-converted-space"/>
    <w:rsid w:val="00D02D3C"/>
    <w:rPr>
      <w:rFonts w:cs="Times New Roman"/>
    </w:rPr>
  </w:style>
  <w:style w:type="paragraph" w:customStyle="1" w:styleId="Estilo7">
    <w:name w:val="Estilo7"/>
    <w:basedOn w:val="Normal"/>
    <w:rsid w:val="00D02D3C"/>
    <w:pPr>
      <w:numPr>
        <w:ilvl w:val="2"/>
        <w:numId w:val="68"/>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851"/>
      </w:tabs>
      <w:spacing w:before="120" w:after="120"/>
      <w:jc w:val="both"/>
    </w:pPr>
    <w:rPr>
      <w:rFonts w:ascii="Verdana" w:eastAsia="Batang" w:hAnsi="Verdana"/>
      <w:b/>
      <w:i/>
      <w:sz w:val="20"/>
      <w:szCs w:val="20"/>
      <w:bdr w:val="none" w:sz="0" w:space="0" w:color="auto"/>
      <w:lang w:val="es-ES_tradnl" w:eastAsia="es-MX"/>
    </w:rPr>
  </w:style>
  <w:style w:type="character" w:customStyle="1" w:styleId="skypepnhprintcontainer">
    <w:name w:val="skype_pnh_print_container"/>
    <w:rsid w:val="00D02D3C"/>
    <w:rPr>
      <w:rFonts w:cs="Times New Roman"/>
    </w:rPr>
  </w:style>
  <w:style w:type="character" w:customStyle="1" w:styleId="skypepnhcontainer">
    <w:name w:val="skype_pnh_container"/>
    <w:rsid w:val="00D02D3C"/>
    <w:rPr>
      <w:rFonts w:cs="Times New Roman"/>
    </w:rPr>
  </w:style>
  <w:style w:type="character" w:customStyle="1" w:styleId="s6b621b36">
    <w:name w:val="s6b621b36"/>
    <w:rsid w:val="00D02D3C"/>
    <w:rPr>
      <w:rFonts w:cs="Times New Roman"/>
    </w:rPr>
  </w:style>
  <w:style w:type="character" w:customStyle="1" w:styleId="tituloarticulo1">
    <w:name w:val="titulo_articulo1"/>
    <w:rsid w:val="00D02D3C"/>
    <w:rPr>
      <w:rFonts w:ascii="Arial" w:hAnsi="Arial"/>
      <w:b/>
      <w:sz w:val="36"/>
    </w:rPr>
  </w:style>
  <w:style w:type="paragraph" w:styleId="CommentSubject">
    <w:name w:val="annotation subject"/>
    <w:basedOn w:val="CommentText"/>
    <w:next w:val="CommentText"/>
    <w:link w:val="CommentSubjectChar"/>
    <w:semiHidden/>
    <w:rsid w:val="00D02D3C"/>
    <w:rPr>
      <w:rFonts w:ascii="Univers" w:eastAsia="Batang" w:hAnsi="Univers"/>
      <w:sz w:val="22"/>
      <w:lang w:val="es-ES_tradnl"/>
    </w:rPr>
  </w:style>
  <w:style w:type="character" w:customStyle="1" w:styleId="CommentSubjectChar">
    <w:name w:val="Comment Subject Char"/>
    <w:basedOn w:val="CommentTextChar"/>
    <w:link w:val="CommentSubject"/>
    <w:semiHidden/>
    <w:rsid w:val="00D02D3C"/>
    <w:rPr>
      <w:rFonts w:ascii="Univers" w:eastAsia="Batang" w:hAnsi="Univers"/>
      <w:sz w:val="22"/>
      <w:bdr w:val="none" w:sz="0" w:space="0" w:color="auto"/>
      <w:lang w:val="es-ES_tradnl" w:eastAsia="en-US"/>
    </w:rPr>
  </w:style>
  <w:style w:type="character" w:customStyle="1" w:styleId="ListParagraphChar1">
    <w:name w:val="List Paragraph Char1"/>
    <w:aliases w:val="Footnote Char2"/>
    <w:locked/>
    <w:rsid w:val="00D02D3C"/>
    <w:rPr>
      <w:rFonts w:ascii="Verdana" w:hAnsi="Verdana"/>
      <w:lang w:val="es-ES_tradnl" w:eastAsia="x-none"/>
    </w:rPr>
  </w:style>
  <w:style w:type="paragraph" w:styleId="Revision">
    <w:name w:val="Revision"/>
    <w:hidden/>
    <w:uiPriority w:val="71"/>
    <w:rsid w:val="00D02D3C"/>
    <w:pPr>
      <w:pBdr>
        <w:top w:val="none" w:sz="0" w:space="0" w:color="auto"/>
        <w:left w:val="none" w:sz="0" w:space="0" w:color="auto"/>
        <w:bottom w:val="none" w:sz="0" w:space="0" w:color="auto"/>
        <w:right w:val="none" w:sz="0" w:space="0" w:color="auto"/>
        <w:between w:val="none" w:sz="0" w:space="0" w:color="auto"/>
        <w:bar w:val="none" w:sz="0" w:color="auto"/>
      </w:pBdr>
    </w:pPr>
    <w:rPr>
      <w:rFonts w:ascii="Univers" w:eastAsia="Batang" w:hAnsi="Univers"/>
      <w:sz w:val="22"/>
      <w:bdr w:val="none" w:sz="0" w:space="0" w:color="auto"/>
      <w:lang w:val="es-ES_tradnl" w:eastAsia="en-US"/>
    </w:rPr>
  </w:style>
  <w:style w:type="character" w:customStyle="1" w:styleId="apple-style-span">
    <w:name w:val="apple-style-span"/>
    <w:rsid w:val="00D02D3C"/>
  </w:style>
  <w:style w:type="character" w:customStyle="1" w:styleId="DefaultChar">
    <w:name w:val="Default Char"/>
    <w:link w:val="Default"/>
    <w:rsid w:val="00D02D3C"/>
    <w:rPr>
      <w:rFonts w:eastAsia="Times New Roman"/>
      <w:color w:val="000000"/>
      <w:sz w:val="24"/>
      <w:szCs w:val="24"/>
      <w:bdr w:val="none" w:sz="0" w:space="0" w:color="auto"/>
      <w:lang w:val="en-US" w:eastAsia="en-US"/>
    </w:rPr>
  </w:style>
  <w:style w:type="paragraph" w:customStyle="1" w:styleId="ColorfulList-Accent12">
    <w:name w:val="Colorful List - Accent 12"/>
    <w:link w:val="ColorfulList-Accent1Char"/>
    <w:uiPriority w:val="34"/>
    <w:qFormat/>
    <w:rsid w:val="00D02D3C"/>
    <w:pPr>
      <w:ind w:left="720"/>
    </w:pPr>
    <w:rPr>
      <w:rFonts w:ascii="Cambria" w:eastAsia="Cambria" w:hAnsi="Cambria" w:cs="Cambria"/>
      <w:color w:val="000000"/>
      <w:sz w:val="24"/>
      <w:szCs w:val="24"/>
      <w:u w:color="000000"/>
      <w:lang w:val="en-US"/>
    </w:rPr>
  </w:style>
  <w:style w:type="character" w:customStyle="1" w:styleId="ColorfulList-Accent1Char">
    <w:name w:val="Colorful List - Accent 1 Char"/>
    <w:link w:val="ColorfulList-Accent12"/>
    <w:uiPriority w:val="34"/>
    <w:locked/>
    <w:rsid w:val="00D02D3C"/>
    <w:rPr>
      <w:rFonts w:ascii="Cambria" w:eastAsia="Cambria" w:hAnsi="Cambria" w:cs="Cambria"/>
      <w:color w:val="000000"/>
      <w:sz w:val="24"/>
      <w:szCs w:val="24"/>
      <w:u w:color="000000"/>
      <w:lang w:val="en-US"/>
    </w:rPr>
  </w:style>
  <w:style w:type="paragraph" w:customStyle="1" w:styleId="footnote">
    <w:name w:val="footnote"/>
    <w:basedOn w:val="NormalWeb"/>
    <w:rsid w:val="00D02D3C"/>
  </w:style>
  <w:style w:type="character" w:styleId="PlaceholderText">
    <w:name w:val="Placeholder Text"/>
    <w:basedOn w:val="DefaultParagraphFont"/>
    <w:uiPriority w:val="99"/>
    <w:semiHidden/>
    <w:rsid w:val="00D02D3C"/>
    <w:rPr>
      <w:color w:val="808080"/>
    </w:rPr>
  </w:style>
  <w:style w:type="character" w:customStyle="1" w:styleId="sb8d990e2">
    <w:name w:val="sb8d990e2"/>
    <w:basedOn w:val="DefaultParagraphFont"/>
    <w:rsid w:val="00D02D3C"/>
  </w:style>
  <w:style w:type="paragraph" w:styleId="HTMLPreformatted">
    <w:name w:val="HTML Preformatted"/>
    <w:basedOn w:val="Normal"/>
    <w:link w:val="HTMLPreformattedChar"/>
    <w:uiPriority w:val="99"/>
    <w:unhideWhenUsed/>
    <w:rsid w:val="00D02D3C"/>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bdr w:val="none" w:sz="0" w:space="0" w:color="auto"/>
    </w:rPr>
  </w:style>
  <w:style w:type="character" w:customStyle="1" w:styleId="HTMLPreformattedChar">
    <w:name w:val="HTML Preformatted Char"/>
    <w:basedOn w:val="DefaultParagraphFont"/>
    <w:link w:val="HTMLPreformatted"/>
    <w:uiPriority w:val="99"/>
    <w:rsid w:val="00D02D3C"/>
    <w:rPr>
      <w:rFonts w:ascii="Courier New" w:eastAsia="Times New Roman" w:hAnsi="Courier New" w:cs="Courier New"/>
      <w:bdr w:val="none" w:sz="0" w:space="0" w:color="auto"/>
      <w:lang w:val="en-US" w:eastAsia="en-US"/>
    </w:rPr>
  </w:style>
  <w:style w:type="paragraph" w:styleId="EndnoteText">
    <w:name w:val="endnote text"/>
    <w:basedOn w:val="Normal"/>
    <w:link w:val="EndnoteTextChar"/>
    <w:uiPriority w:val="99"/>
    <w:semiHidden/>
    <w:unhideWhenUsed/>
    <w:rsid w:val="00D02D3C"/>
    <w:rPr>
      <w:sz w:val="20"/>
      <w:szCs w:val="20"/>
    </w:rPr>
  </w:style>
  <w:style w:type="character" w:customStyle="1" w:styleId="EndnoteTextChar">
    <w:name w:val="Endnote Text Char"/>
    <w:basedOn w:val="DefaultParagraphFont"/>
    <w:link w:val="EndnoteText"/>
    <w:uiPriority w:val="99"/>
    <w:semiHidden/>
    <w:rsid w:val="00D02D3C"/>
    <w:rPr>
      <w:lang w:val="en-US" w:eastAsia="en-US"/>
    </w:rPr>
  </w:style>
  <w:style w:type="character" w:styleId="EndnoteReference">
    <w:name w:val="endnote reference"/>
    <w:basedOn w:val="DefaultParagraphFont"/>
    <w:uiPriority w:val="99"/>
    <w:semiHidden/>
    <w:unhideWhenUsed/>
    <w:rsid w:val="00D02D3C"/>
    <w:rPr>
      <w:vertAlign w:val="superscript"/>
    </w:rPr>
  </w:style>
  <w:style w:type="table" w:styleId="MediumGrid1">
    <w:name w:val="Medium Grid 1"/>
    <w:basedOn w:val="TableNormal"/>
    <w:uiPriority w:val="67"/>
    <w:rsid w:val="00D02D3C"/>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LightGrid">
    <w:name w:val="Light Grid"/>
    <w:basedOn w:val="TableNormal"/>
    <w:uiPriority w:val="62"/>
    <w:rsid w:val="00D02D3C"/>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Grid2">
    <w:name w:val="Light Grid2"/>
    <w:basedOn w:val="TableNormal"/>
    <w:next w:val="LightGrid"/>
    <w:uiPriority w:val="62"/>
    <w:rsid w:val="00D02D3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MS Gothic"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MS Gothic"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MS Gothic" w:hAnsi="Cambria" w:cs="Times New Roman"/>
        <w:b/>
        <w:bCs/>
      </w:rPr>
    </w:tblStylePr>
    <w:tblStylePr w:type="lastCol">
      <w:rPr>
        <w:rFonts w:ascii="Cambria" w:eastAsia="MS Gothic"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character" w:customStyle="1" w:styleId="BodyTextIndentChar1">
    <w:name w:val="Body Text Indent Char1"/>
    <w:locked/>
    <w:rsid w:val="00D02D3C"/>
    <w:rPr>
      <w:rFonts w:eastAsia="Times New Roman"/>
      <w:color w:val="000000"/>
      <w:sz w:val="24"/>
      <w:szCs w:val="24"/>
      <w:u w:color="000000"/>
      <w:lang w:val="es-ES_tradnl"/>
    </w:rPr>
  </w:style>
  <w:style w:type="paragraph" w:customStyle="1" w:styleId="1">
    <w:name w:val="1"/>
    <w:basedOn w:val="Normal"/>
    <w:rsid w:val="00D02D3C"/>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rFonts w:asciiTheme="minorHAnsi" w:eastAsiaTheme="minorHAnsi" w:hAnsiTheme="minorHAnsi" w:cstheme="minorBidi"/>
      <w:bdr w:val="none" w:sz="0" w:space="0" w:color="auto"/>
      <w:vertAlign w:val="superscript"/>
    </w:rPr>
  </w:style>
  <w:style w:type="paragraph" w:customStyle="1" w:styleId="section1">
    <w:name w:val="section1"/>
    <w:basedOn w:val="Normal"/>
    <w:rsid w:val="00D02D3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uiPriority w:val="99"/>
    <w:qFormat/>
    <w:rsid w:val="00D02D3C"/>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asciiTheme="minorHAnsi" w:eastAsiaTheme="minorHAnsi" w:hAnsiTheme="minorHAnsi" w:cstheme="minorBidi"/>
      <w:sz w:val="22"/>
      <w:szCs w:val="22"/>
      <w:bdr w:val="none" w:sz="0" w:space="0" w:color="auto"/>
      <w:vertAlign w:val="superscript"/>
      <w:lang w:val="es-CR"/>
    </w:rPr>
  </w:style>
  <w:style w:type="character" w:customStyle="1" w:styleId="FootnoteAnchor">
    <w:name w:val="Footnote Anchor"/>
    <w:rsid w:val="00D02D3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image" Target="media/image20.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image" Target="media/image10.jpeg"/><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joomla.corteidh.or.cr:8080/joomla/es/casos-contenciosos/38-jurisprudencia/738-corte-idh-caso-claude-reyes-y-otros-vs-chile-fondo-reparaciones-y-costas-sentencia-de-19-de-septiembre-de-2006-serie-c-no-151" TargetMode="External"/><Relationship Id="rId3" Type="http://schemas.openxmlformats.org/officeDocument/2006/relationships/hyperlink" Target="http://joomla.corteidh.or.cr:8080/joomla/es/casos-contenciosos/38-jurisprudencia/1450-corte-idh-caso-lopez-mendoza-vs-venezuela-fondo-reparaciones-y-costas-sentencia-de-1-de-septiembre-de-2011-serie-c-no-233" TargetMode="External"/><Relationship Id="rId7" Type="http://schemas.openxmlformats.org/officeDocument/2006/relationships/hyperlink" Target="http://joomla.corteidh.or.cr:8080/joomla/es/casos-contenciosos/38-jurisprudencia/1505-corte-idh-caso-barbani-duarte-y-otros-vs-uruguay-fondo-reparaciones-y-costas-sentencia-de-13-de-octubre-de-2011-serie-c-no-234" TargetMode="External"/><Relationship Id="rId2" Type="http://schemas.openxmlformats.org/officeDocument/2006/relationships/hyperlink" Target="http://joomla.corteidh.or.cr:8080/joomla/es/casos-contenciosos/38-jurisprudencia/475-corte-idh-caso-del-tribunal-constitucional-vs-peru-fondo-reparaciones-y-costas-sentencia-de-31-de-enero-de-2001-serie-c-no-71" TargetMode="External"/><Relationship Id="rId1" Type="http://schemas.openxmlformats.org/officeDocument/2006/relationships/hyperlink" Target="http://joomla.corteidh.or.cr:8080/joomla/es/casos-contenciosos/38-jurisprudencia/476-corte-idh-caso-baena-ricardo-y-otros-vs-panama-fondo-reparaciones-y-costas-sentencia-de-2-de-febrero-de-2001-serie-c-no-72" TargetMode="External"/><Relationship Id="rId6" Type="http://schemas.openxmlformats.org/officeDocument/2006/relationships/hyperlink" Target="http://joomla.corteidh.or.cr:8080/joomla/es/casos-contenciosos/38-jurisprudencia/1450-corte-idh-caso-lopez-mendoza-vs-venezuela-fondo-reparaciones-y-costas-sentencia-de-1-de-septiembre-de-2011-serie-c-no-233" TargetMode="External"/><Relationship Id="rId5" Type="http://schemas.openxmlformats.org/officeDocument/2006/relationships/hyperlink" Target="http://joomla.corteidh.or.cr:8080/joomla/es/casos-contenciosos/38-jurisprudencia/475-corte-idh-caso-del-tribunal-constitucional-vs-peru-fondo-reparaciones-y-costas-sentencia-de-31-de-enero-de-2001-serie-c-no-71" TargetMode="External"/><Relationship Id="rId4" Type="http://schemas.openxmlformats.org/officeDocument/2006/relationships/hyperlink" Target="http://joomla.corteidh.or.cr:8080/joomla/es/casos-contenciosos/38-jurisprudencia/476-corte-idh-caso-baena-ricardo-y-otros-vs-panama-fondo-reparaciones-y-costas-sentencia-de-2-de-febrero-de-2001-serie-c-no-72" TargetMode="External"/><Relationship Id="rId9" Type="http://schemas.openxmlformats.org/officeDocument/2006/relationships/hyperlink" Target="http://joomla.corteidh.or.cr:8080/joomla/es/casos-contenciosos/38-jurisprudencia/1505-corte-idh-caso-barbani-duarte-y-otros-vs-uruguay-fondo-reparaciones-y-costas-sentencia-de-13-de-octubre-de-2011-serie-c-no-234"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_rels/header5.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492F5F-FFC5-4297-BCF3-1CA269894A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1156</TotalTime>
  <Pages>18</Pages>
  <Words>7783</Words>
  <Characters>42809</Characters>
  <Application>Microsoft Office Word</Application>
  <DocSecurity>0</DocSecurity>
  <Lines>356</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IACHR</dc:creator>
  <cp:lastModifiedBy>Fontana, Maria Eva</cp:lastModifiedBy>
  <cp:revision>1313</cp:revision>
  <cp:lastPrinted>2014-06-04T21:22:00Z</cp:lastPrinted>
  <dcterms:created xsi:type="dcterms:W3CDTF">2018-08-08T13:44:00Z</dcterms:created>
  <dcterms:modified xsi:type="dcterms:W3CDTF">2019-10-01T20:07:00Z</dcterms:modified>
</cp:coreProperties>
</file>