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C986E" w14:textId="77777777" w:rsidR="00040C3A" w:rsidRPr="00B26051" w:rsidRDefault="006311DA" w:rsidP="00627C9F">
      <w:pPr>
        <w:jc w:val="both"/>
        <w:rPr>
          <w:rFonts w:asciiTheme="majorHAnsi" w:hAnsiTheme="majorHAnsi" w:cs="Univers"/>
          <w:b/>
          <w:bCs/>
          <w:sz w:val="22"/>
          <w:szCs w:val="22"/>
        </w:rPr>
      </w:pPr>
      <w:r w:rsidRPr="00B26051">
        <w:rPr>
          <w:rFonts w:asciiTheme="majorHAnsi" w:hAnsiTheme="majorHAnsi"/>
          <w:noProof/>
          <w:sz w:val="22"/>
          <w:szCs w:val="22"/>
          <w:lang w:val="es-UY" w:eastAsia="es-UY"/>
        </w:rPr>
        <mc:AlternateContent>
          <mc:Choice Requires="wps">
            <w:drawing>
              <wp:anchor distT="0" distB="0" distL="114300" distR="114300" simplePos="0" relativeHeight="251661311" behindDoc="0" locked="0" layoutInCell="1" allowOverlap="1" wp14:anchorId="05ECB326" wp14:editId="64A16B8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4BA000"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B26051">
        <w:rPr>
          <w:rFonts w:asciiTheme="majorHAnsi" w:hAnsiTheme="majorHAnsi"/>
          <w:noProof/>
          <w:sz w:val="22"/>
          <w:szCs w:val="22"/>
          <w:lang w:val="es-UY" w:eastAsia="es-UY"/>
        </w:rPr>
        <mc:AlternateContent>
          <mc:Choice Requires="wps">
            <w:drawing>
              <wp:anchor distT="0" distB="0" distL="114300" distR="114300" simplePos="0" relativeHeight="251673600" behindDoc="0" locked="0" layoutInCell="1" allowOverlap="1" wp14:anchorId="1FA71920" wp14:editId="687B967F">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F5BF4D" w14:textId="77777777" w:rsidR="00E966C2" w:rsidRDefault="00E966C2">
                            <w:r>
                              <w:rPr>
                                <w:noProof/>
                                <w:lang w:val="es-UY" w:eastAsia="es-UY"/>
                              </w:rPr>
                              <w:drawing>
                                <wp:inline distT="0" distB="0" distL="0" distR="0" wp14:anchorId="0F444CE9" wp14:editId="4A47382C">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FA71920"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F5BF4D" w14:textId="77777777" w:rsidR="00E966C2" w:rsidRDefault="00E966C2">
                      <w:r>
                        <w:rPr>
                          <w:noProof/>
                        </w:rPr>
                        <w:drawing>
                          <wp:inline distT="0" distB="0" distL="0" distR="0" wp14:anchorId="0F444CE9" wp14:editId="4A47382C">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4107E4A" w14:textId="77777777" w:rsidR="00040C3A" w:rsidRPr="00B26051" w:rsidRDefault="00040C3A" w:rsidP="00040C3A">
      <w:pPr>
        <w:tabs>
          <w:tab w:val="center" w:pos="5400"/>
        </w:tabs>
        <w:suppressAutoHyphens/>
        <w:jc w:val="both"/>
        <w:rPr>
          <w:rFonts w:asciiTheme="majorHAnsi" w:hAnsiTheme="majorHAnsi"/>
          <w:sz w:val="22"/>
          <w:szCs w:val="22"/>
        </w:rPr>
      </w:pPr>
    </w:p>
    <w:p w14:paraId="77C9BDE9" w14:textId="77777777" w:rsidR="00040C3A" w:rsidRPr="00B26051" w:rsidRDefault="00040C3A" w:rsidP="00040C3A">
      <w:pPr>
        <w:tabs>
          <w:tab w:val="center" w:pos="5400"/>
        </w:tabs>
        <w:suppressAutoHyphens/>
        <w:jc w:val="both"/>
        <w:rPr>
          <w:rFonts w:asciiTheme="majorHAnsi" w:hAnsiTheme="majorHAnsi"/>
          <w:sz w:val="22"/>
          <w:szCs w:val="22"/>
        </w:rPr>
      </w:pPr>
    </w:p>
    <w:p w14:paraId="11879C77" w14:textId="77777777" w:rsidR="005128E4" w:rsidRPr="00B26051" w:rsidRDefault="005128E4" w:rsidP="00040C3A">
      <w:pPr>
        <w:tabs>
          <w:tab w:val="center" w:pos="5400"/>
        </w:tabs>
        <w:suppressAutoHyphens/>
        <w:rPr>
          <w:rFonts w:asciiTheme="majorHAnsi" w:hAnsiTheme="majorHAnsi"/>
          <w:sz w:val="22"/>
          <w:szCs w:val="22"/>
        </w:rPr>
      </w:pPr>
    </w:p>
    <w:p w14:paraId="1A8A4EC9" w14:textId="77777777" w:rsidR="005128E4" w:rsidRPr="00B26051" w:rsidRDefault="005128E4" w:rsidP="00040C3A">
      <w:pPr>
        <w:tabs>
          <w:tab w:val="center" w:pos="5400"/>
        </w:tabs>
        <w:suppressAutoHyphens/>
        <w:rPr>
          <w:rFonts w:asciiTheme="majorHAnsi" w:hAnsiTheme="majorHAnsi"/>
          <w:sz w:val="22"/>
          <w:szCs w:val="22"/>
        </w:rPr>
      </w:pPr>
    </w:p>
    <w:p w14:paraId="46FD286C" w14:textId="77777777" w:rsidR="005128E4" w:rsidRPr="00B26051" w:rsidRDefault="005128E4" w:rsidP="00040C3A">
      <w:pPr>
        <w:tabs>
          <w:tab w:val="center" w:pos="5400"/>
        </w:tabs>
        <w:suppressAutoHyphens/>
        <w:rPr>
          <w:rFonts w:asciiTheme="majorHAnsi" w:hAnsiTheme="majorHAnsi"/>
          <w:sz w:val="22"/>
          <w:szCs w:val="22"/>
        </w:rPr>
      </w:pPr>
    </w:p>
    <w:p w14:paraId="790481EF" w14:textId="77777777" w:rsidR="00040C3A" w:rsidRPr="00B26051" w:rsidRDefault="00040C3A" w:rsidP="005128E4">
      <w:pPr>
        <w:tabs>
          <w:tab w:val="center" w:pos="5400"/>
        </w:tabs>
        <w:suppressAutoHyphens/>
        <w:jc w:val="center"/>
        <w:rPr>
          <w:rFonts w:asciiTheme="majorHAnsi" w:hAnsiTheme="majorHAnsi"/>
          <w:sz w:val="22"/>
          <w:szCs w:val="22"/>
        </w:rPr>
      </w:pPr>
    </w:p>
    <w:p w14:paraId="3CF9B1B3" w14:textId="77777777" w:rsidR="00040C3A" w:rsidRPr="00B26051" w:rsidRDefault="00040C3A" w:rsidP="005128E4">
      <w:pPr>
        <w:tabs>
          <w:tab w:val="center" w:pos="5400"/>
        </w:tabs>
        <w:suppressAutoHyphens/>
        <w:jc w:val="center"/>
        <w:rPr>
          <w:rFonts w:asciiTheme="majorHAnsi" w:hAnsiTheme="majorHAnsi"/>
          <w:sz w:val="22"/>
          <w:szCs w:val="22"/>
        </w:rPr>
      </w:pPr>
    </w:p>
    <w:p w14:paraId="5222EDE1" w14:textId="77777777" w:rsidR="005B52B0" w:rsidRPr="00B26051" w:rsidRDefault="005B52B0" w:rsidP="005128E4">
      <w:pPr>
        <w:tabs>
          <w:tab w:val="center" w:pos="5400"/>
        </w:tabs>
        <w:suppressAutoHyphens/>
        <w:jc w:val="center"/>
        <w:rPr>
          <w:rFonts w:asciiTheme="majorHAnsi" w:hAnsiTheme="majorHAnsi"/>
          <w:sz w:val="22"/>
          <w:szCs w:val="22"/>
        </w:rPr>
      </w:pPr>
    </w:p>
    <w:p w14:paraId="210CA004" w14:textId="77777777" w:rsidR="005B52B0" w:rsidRPr="00B26051" w:rsidRDefault="005B52B0" w:rsidP="005128E4">
      <w:pPr>
        <w:tabs>
          <w:tab w:val="center" w:pos="5400"/>
        </w:tabs>
        <w:suppressAutoHyphens/>
        <w:jc w:val="center"/>
        <w:rPr>
          <w:rFonts w:asciiTheme="majorHAnsi" w:hAnsiTheme="majorHAnsi"/>
          <w:sz w:val="22"/>
          <w:szCs w:val="22"/>
        </w:rPr>
      </w:pPr>
    </w:p>
    <w:p w14:paraId="7C6373AB" w14:textId="77777777" w:rsidR="005B52B0" w:rsidRPr="00B26051" w:rsidRDefault="005B52B0" w:rsidP="005128E4">
      <w:pPr>
        <w:tabs>
          <w:tab w:val="center" w:pos="5400"/>
        </w:tabs>
        <w:suppressAutoHyphens/>
        <w:jc w:val="center"/>
        <w:rPr>
          <w:rFonts w:asciiTheme="majorHAnsi" w:hAnsiTheme="majorHAnsi"/>
          <w:sz w:val="22"/>
          <w:szCs w:val="22"/>
        </w:rPr>
      </w:pPr>
    </w:p>
    <w:p w14:paraId="0E596C7F" w14:textId="77777777" w:rsidR="00040C3A" w:rsidRPr="00B26051" w:rsidRDefault="00040C3A" w:rsidP="00040C3A">
      <w:pPr>
        <w:tabs>
          <w:tab w:val="center" w:pos="5400"/>
        </w:tabs>
        <w:suppressAutoHyphens/>
        <w:jc w:val="center"/>
        <w:rPr>
          <w:rFonts w:asciiTheme="majorHAnsi" w:hAnsiTheme="majorHAnsi"/>
          <w:sz w:val="22"/>
          <w:szCs w:val="22"/>
        </w:rPr>
      </w:pPr>
    </w:p>
    <w:p w14:paraId="17A403E7" w14:textId="77777777" w:rsidR="00040C3A" w:rsidRPr="00B26051" w:rsidRDefault="00040C3A" w:rsidP="00040C3A">
      <w:pPr>
        <w:tabs>
          <w:tab w:val="center" w:pos="5400"/>
        </w:tabs>
        <w:suppressAutoHyphens/>
        <w:jc w:val="center"/>
        <w:rPr>
          <w:rFonts w:asciiTheme="majorHAnsi" w:hAnsiTheme="majorHAnsi"/>
          <w:sz w:val="22"/>
          <w:szCs w:val="22"/>
        </w:rPr>
      </w:pPr>
    </w:p>
    <w:p w14:paraId="0A367E80" w14:textId="77777777" w:rsidR="00040C3A" w:rsidRPr="00B26051" w:rsidRDefault="00040C3A" w:rsidP="00040C3A">
      <w:pPr>
        <w:tabs>
          <w:tab w:val="center" w:pos="5400"/>
        </w:tabs>
        <w:suppressAutoHyphens/>
        <w:jc w:val="center"/>
        <w:rPr>
          <w:rFonts w:asciiTheme="majorHAnsi" w:hAnsiTheme="majorHAnsi"/>
          <w:sz w:val="22"/>
          <w:szCs w:val="22"/>
        </w:rPr>
      </w:pPr>
    </w:p>
    <w:p w14:paraId="679FB636" w14:textId="77777777" w:rsidR="00040C3A" w:rsidRPr="00B26051" w:rsidRDefault="00E533FF" w:rsidP="00040C3A">
      <w:pPr>
        <w:tabs>
          <w:tab w:val="center" w:pos="5400"/>
        </w:tabs>
        <w:suppressAutoHyphens/>
        <w:jc w:val="center"/>
        <w:rPr>
          <w:rFonts w:asciiTheme="majorHAnsi" w:hAnsiTheme="majorHAnsi"/>
          <w:sz w:val="22"/>
          <w:szCs w:val="22"/>
        </w:rPr>
      </w:pPr>
      <w:r w:rsidRPr="00B26051">
        <w:rPr>
          <w:rFonts w:asciiTheme="majorHAnsi" w:hAnsiTheme="majorHAnsi"/>
          <w:noProof/>
          <w:sz w:val="22"/>
          <w:szCs w:val="22"/>
          <w:lang w:val="es-UY" w:eastAsia="es-UY"/>
        </w:rPr>
        <mc:AlternateContent>
          <mc:Choice Requires="wps">
            <w:drawing>
              <wp:anchor distT="0" distB="0" distL="114300" distR="114300" simplePos="0" relativeHeight="251669504" behindDoc="0" locked="0" layoutInCell="1" allowOverlap="1" wp14:anchorId="684976FA" wp14:editId="656643C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486FE3" w14:textId="4D673069" w:rsidR="00E966C2" w:rsidRPr="004B7EB6" w:rsidRDefault="00E966C2"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118</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18</w:t>
                            </w:r>
                          </w:p>
                          <w:p w14:paraId="54F9521F" w14:textId="5FFD6A20" w:rsidR="00E966C2" w:rsidRPr="004B7EB6" w:rsidRDefault="00E966C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12.890</w:t>
                            </w:r>
                          </w:p>
                          <w:p w14:paraId="7BD0566F" w14:textId="705BC564" w:rsidR="00E966C2" w:rsidRPr="00BE64BA" w:rsidRDefault="00E966C2" w:rsidP="00185D58">
                            <w:pPr>
                              <w:spacing w:line="276" w:lineRule="auto"/>
                              <w:rPr>
                                <w:rFonts w:asciiTheme="majorHAnsi" w:hAnsiTheme="majorHAnsi" w:cs="Arial"/>
                                <w:color w:val="0D0D0D" w:themeColor="text1" w:themeTint="F2"/>
                                <w:szCs w:val="22"/>
                              </w:rPr>
                            </w:pPr>
                            <w:r w:rsidRPr="00BE64BA">
                              <w:rPr>
                                <w:rFonts w:asciiTheme="majorHAnsi" w:hAnsiTheme="majorHAnsi" w:cs="Arial"/>
                                <w:color w:val="0D0D0D" w:themeColor="text1" w:themeTint="F2"/>
                                <w:szCs w:val="22"/>
                              </w:rPr>
                              <w:t>MERITS</w:t>
                            </w:r>
                            <w:r>
                              <w:rPr>
                                <w:rFonts w:asciiTheme="majorHAnsi" w:hAnsiTheme="majorHAnsi" w:cs="Arial"/>
                                <w:color w:val="0D0D0D" w:themeColor="text1" w:themeTint="F2"/>
                                <w:szCs w:val="22"/>
                              </w:rPr>
                              <w:t xml:space="preserve"> REPORT</w:t>
                            </w:r>
                          </w:p>
                          <w:p w14:paraId="0290E51A" w14:textId="77777777" w:rsidR="00E966C2" w:rsidRPr="00BE64BA" w:rsidRDefault="00E966C2" w:rsidP="004B7EB6">
                            <w:pPr>
                              <w:spacing w:line="276" w:lineRule="auto"/>
                              <w:rPr>
                                <w:rFonts w:asciiTheme="majorHAnsi" w:hAnsiTheme="majorHAnsi" w:cs="Arial"/>
                                <w:color w:val="0D0D0D" w:themeColor="text1" w:themeTint="F2"/>
                                <w:szCs w:val="22"/>
                              </w:rPr>
                            </w:pPr>
                          </w:p>
                          <w:p w14:paraId="3DD8BD34" w14:textId="77777777" w:rsidR="00E966C2" w:rsidRPr="00BE64BA" w:rsidRDefault="00E966C2" w:rsidP="00185D58">
                            <w:pPr>
                              <w:spacing w:line="276" w:lineRule="auto"/>
                              <w:rPr>
                                <w:rFonts w:asciiTheme="majorHAnsi" w:hAnsiTheme="majorHAnsi" w:cs="Arial"/>
                                <w:color w:val="0D0D0D" w:themeColor="text1" w:themeTint="F2"/>
                                <w:szCs w:val="22"/>
                              </w:rPr>
                            </w:pPr>
                            <w:r w:rsidRPr="00BE64BA">
                              <w:rPr>
                                <w:rFonts w:asciiTheme="majorHAnsi" w:hAnsiTheme="majorHAnsi" w:cs="Arial"/>
                                <w:color w:val="0D0D0D" w:themeColor="text1" w:themeTint="F2"/>
                                <w:szCs w:val="22"/>
                              </w:rPr>
                              <w:t>JOSÉ GREGORIO MOTA ABARULLO AND OTHERS</w:t>
                            </w:r>
                          </w:p>
                          <w:p w14:paraId="3EDF499A" w14:textId="38B483F4" w:rsidR="00E966C2" w:rsidRPr="00BE64BA" w:rsidRDefault="00E966C2" w:rsidP="00185D58">
                            <w:pPr>
                              <w:spacing w:line="276" w:lineRule="auto"/>
                              <w:rPr>
                                <w:rFonts w:asciiTheme="majorHAnsi" w:hAnsiTheme="majorHAnsi" w:cs="Arial"/>
                                <w:color w:val="0D0D0D" w:themeColor="text1" w:themeTint="F2"/>
                                <w:szCs w:val="22"/>
                              </w:rPr>
                            </w:pPr>
                            <w:r w:rsidRPr="00BE64BA">
                              <w:rPr>
                                <w:rFonts w:asciiTheme="majorHAnsi" w:hAnsiTheme="majorHAnsi" w:cs="Arial"/>
                                <w:color w:val="0D0D0D" w:themeColor="text1" w:themeTint="F2"/>
                                <w:szCs w:val="22"/>
                              </w:rPr>
                              <w:t>(DEATHS AT THE SAN FÉLIX PRISON)</w:t>
                            </w:r>
                          </w:p>
                          <w:p w14:paraId="17175BB6" w14:textId="77777777" w:rsidR="00E966C2" w:rsidRPr="004B7EB6" w:rsidRDefault="00E966C2" w:rsidP="00185D58">
                            <w:pPr>
                              <w:spacing w:line="276" w:lineRule="auto"/>
                              <w:rPr>
                                <w:rFonts w:asciiTheme="majorHAnsi" w:hAnsiTheme="majorHAnsi"/>
                                <w:color w:val="0D0D0D" w:themeColor="text1" w:themeTint="F2"/>
                                <w:lang w:val="es-ES_tradnl"/>
                              </w:rPr>
                            </w:pPr>
                            <w:r w:rsidRPr="00185D58">
                              <w:rPr>
                                <w:rFonts w:asciiTheme="majorHAnsi" w:hAnsiTheme="majorHAnsi" w:cs="Arial"/>
                                <w:color w:val="0D0D0D" w:themeColor="text1" w:themeTint="F2"/>
                                <w:szCs w:val="22"/>
                                <w:lang w:val="es-ES_tradnl"/>
                              </w:rPr>
                              <w:t>VENEZUELA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4976FA"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B486FE3" w14:textId="4D673069" w:rsidR="00E966C2" w:rsidRPr="004B7EB6" w:rsidRDefault="00E966C2"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118</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18</w:t>
                      </w:r>
                    </w:p>
                    <w:p w14:paraId="54F9521F" w14:textId="5FFD6A20" w:rsidR="00E966C2" w:rsidRPr="004B7EB6" w:rsidRDefault="00E966C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12.890</w:t>
                      </w:r>
                    </w:p>
                    <w:p w14:paraId="7BD0566F" w14:textId="705BC564" w:rsidR="00E966C2" w:rsidRPr="00BE64BA" w:rsidRDefault="00E966C2" w:rsidP="00185D58">
                      <w:pPr>
                        <w:spacing w:line="276" w:lineRule="auto"/>
                        <w:rPr>
                          <w:rFonts w:asciiTheme="majorHAnsi" w:hAnsiTheme="majorHAnsi" w:cs="Arial"/>
                          <w:color w:val="0D0D0D" w:themeColor="text1" w:themeTint="F2"/>
                          <w:szCs w:val="22"/>
                        </w:rPr>
                      </w:pPr>
                      <w:r w:rsidRPr="00BE64BA">
                        <w:rPr>
                          <w:rFonts w:asciiTheme="majorHAnsi" w:hAnsiTheme="majorHAnsi" w:cs="Arial"/>
                          <w:color w:val="0D0D0D" w:themeColor="text1" w:themeTint="F2"/>
                          <w:szCs w:val="22"/>
                        </w:rPr>
                        <w:t>MERITS</w:t>
                      </w:r>
                      <w:r>
                        <w:rPr>
                          <w:rFonts w:asciiTheme="majorHAnsi" w:hAnsiTheme="majorHAnsi" w:cs="Arial"/>
                          <w:color w:val="0D0D0D" w:themeColor="text1" w:themeTint="F2"/>
                          <w:szCs w:val="22"/>
                        </w:rPr>
                        <w:t xml:space="preserve"> REPORT</w:t>
                      </w:r>
                    </w:p>
                    <w:p w14:paraId="0290E51A" w14:textId="77777777" w:rsidR="00E966C2" w:rsidRPr="00BE64BA" w:rsidRDefault="00E966C2" w:rsidP="004B7EB6">
                      <w:pPr>
                        <w:spacing w:line="276" w:lineRule="auto"/>
                        <w:rPr>
                          <w:rFonts w:asciiTheme="majorHAnsi" w:hAnsiTheme="majorHAnsi" w:cs="Arial"/>
                          <w:color w:val="0D0D0D" w:themeColor="text1" w:themeTint="F2"/>
                          <w:szCs w:val="22"/>
                        </w:rPr>
                      </w:pPr>
                    </w:p>
                    <w:p w14:paraId="3DD8BD34" w14:textId="77777777" w:rsidR="00E966C2" w:rsidRPr="00BE64BA" w:rsidRDefault="00E966C2" w:rsidP="00185D58">
                      <w:pPr>
                        <w:spacing w:line="276" w:lineRule="auto"/>
                        <w:rPr>
                          <w:rFonts w:asciiTheme="majorHAnsi" w:hAnsiTheme="majorHAnsi" w:cs="Arial"/>
                          <w:color w:val="0D0D0D" w:themeColor="text1" w:themeTint="F2"/>
                          <w:szCs w:val="22"/>
                        </w:rPr>
                      </w:pPr>
                      <w:r w:rsidRPr="00BE64BA">
                        <w:rPr>
                          <w:rFonts w:asciiTheme="majorHAnsi" w:hAnsiTheme="majorHAnsi" w:cs="Arial"/>
                          <w:color w:val="0D0D0D" w:themeColor="text1" w:themeTint="F2"/>
                          <w:szCs w:val="22"/>
                        </w:rPr>
                        <w:t>JOSÉ GREGORIO MOTA ABARULLO AND OTHERS</w:t>
                      </w:r>
                    </w:p>
                    <w:p w14:paraId="3EDF499A" w14:textId="38B483F4" w:rsidR="00E966C2" w:rsidRPr="00BE64BA" w:rsidRDefault="00E966C2" w:rsidP="00185D58">
                      <w:pPr>
                        <w:spacing w:line="276" w:lineRule="auto"/>
                        <w:rPr>
                          <w:rFonts w:asciiTheme="majorHAnsi" w:hAnsiTheme="majorHAnsi" w:cs="Arial"/>
                          <w:color w:val="0D0D0D" w:themeColor="text1" w:themeTint="F2"/>
                          <w:szCs w:val="22"/>
                        </w:rPr>
                      </w:pPr>
                      <w:r w:rsidRPr="00BE64BA">
                        <w:rPr>
                          <w:rFonts w:asciiTheme="majorHAnsi" w:hAnsiTheme="majorHAnsi" w:cs="Arial"/>
                          <w:color w:val="0D0D0D" w:themeColor="text1" w:themeTint="F2"/>
                          <w:szCs w:val="22"/>
                        </w:rPr>
                        <w:t>(DEATHS AT THE SAN FÉLIX PRISON)</w:t>
                      </w:r>
                    </w:p>
                    <w:p w14:paraId="17175BB6" w14:textId="77777777" w:rsidR="00E966C2" w:rsidRPr="004B7EB6" w:rsidRDefault="00E966C2" w:rsidP="00185D58">
                      <w:pPr>
                        <w:spacing w:line="276" w:lineRule="auto"/>
                        <w:rPr>
                          <w:rFonts w:asciiTheme="majorHAnsi" w:hAnsiTheme="majorHAnsi"/>
                          <w:color w:val="0D0D0D" w:themeColor="text1" w:themeTint="F2"/>
                          <w:lang w:val="es-ES_tradnl"/>
                        </w:rPr>
                      </w:pPr>
                      <w:r w:rsidRPr="00185D58">
                        <w:rPr>
                          <w:rFonts w:asciiTheme="majorHAnsi" w:hAnsiTheme="majorHAnsi" w:cs="Arial"/>
                          <w:color w:val="0D0D0D" w:themeColor="text1" w:themeTint="F2"/>
                          <w:szCs w:val="22"/>
                          <w:lang w:val="es-ES_tradnl"/>
                        </w:rPr>
                        <w:t>VENEZUELA</w:t>
                      </w:r>
                    </w:p>
                  </w:txbxContent>
                </v:textbox>
              </v:shape>
            </w:pict>
          </mc:Fallback>
        </mc:AlternateContent>
      </w:r>
      <w:r w:rsidR="004B7EB6" w:rsidRPr="00B26051">
        <w:rPr>
          <w:rFonts w:asciiTheme="majorHAnsi" w:hAnsiTheme="majorHAnsi"/>
          <w:noProof/>
          <w:sz w:val="22"/>
          <w:szCs w:val="22"/>
          <w:lang w:val="es-UY" w:eastAsia="es-UY"/>
        </w:rPr>
        <mc:AlternateContent>
          <mc:Choice Requires="wps">
            <w:drawing>
              <wp:anchor distT="0" distB="0" distL="114300" distR="114300" simplePos="0" relativeHeight="251671552" behindDoc="0" locked="0" layoutInCell="1" allowOverlap="1" wp14:anchorId="1F437699" wp14:editId="7A2999BB">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3BAB5E" w14:textId="77777777" w:rsidR="00E966C2" w:rsidRPr="004B7EB6" w:rsidRDefault="00E966C2"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169</w:t>
                            </w:r>
                          </w:p>
                          <w:p w14:paraId="2B2A0326" w14:textId="14112241" w:rsidR="00E966C2" w:rsidRPr="004B7EB6" w:rsidRDefault="00E966C2"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135</w:t>
                            </w:r>
                          </w:p>
                          <w:p w14:paraId="05C7A605" w14:textId="757559BE" w:rsidR="00E966C2" w:rsidRPr="004B7EB6" w:rsidRDefault="00E966C2" w:rsidP="002C1641">
                            <w:pPr>
                              <w:jc w:val="right"/>
                              <w:rPr>
                                <w:rFonts w:asciiTheme="minorHAnsi" w:hAnsiTheme="minorHAnsi"/>
                                <w:color w:val="FFFFFF" w:themeColor="background1"/>
                                <w:sz w:val="22"/>
                              </w:rPr>
                            </w:pPr>
                            <w:r>
                              <w:rPr>
                                <w:rFonts w:asciiTheme="minorHAnsi" w:hAnsiTheme="minorHAnsi"/>
                                <w:color w:val="FFFFFF" w:themeColor="background1"/>
                                <w:sz w:val="22"/>
                              </w:rPr>
                              <w:t>October</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5,</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2018</w:t>
                            </w:r>
                          </w:p>
                          <w:p w14:paraId="5738BFCB" w14:textId="6608A6EF" w:rsidR="00E966C2" w:rsidRPr="004B7EB6" w:rsidRDefault="00E966C2"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43769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2B3BAB5E" w14:textId="77777777" w:rsidR="00E966C2" w:rsidRPr="004B7EB6" w:rsidRDefault="00E966C2"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169</w:t>
                      </w:r>
                    </w:p>
                    <w:p w14:paraId="2B2A0326" w14:textId="14112241" w:rsidR="00E966C2" w:rsidRPr="004B7EB6" w:rsidRDefault="00E966C2"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135</w:t>
                      </w:r>
                    </w:p>
                    <w:p w14:paraId="05C7A605" w14:textId="757559BE" w:rsidR="00E966C2" w:rsidRPr="004B7EB6" w:rsidRDefault="00E966C2" w:rsidP="002C1641">
                      <w:pPr>
                        <w:jc w:val="right"/>
                        <w:rPr>
                          <w:rFonts w:asciiTheme="minorHAnsi" w:hAnsiTheme="minorHAnsi"/>
                          <w:color w:val="FFFFFF" w:themeColor="background1"/>
                          <w:sz w:val="22"/>
                        </w:rPr>
                      </w:pPr>
                      <w:r>
                        <w:rPr>
                          <w:rFonts w:asciiTheme="minorHAnsi" w:hAnsiTheme="minorHAnsi"/>
                          <w:color w:val="FFFFFF" w:themeColor="background1"/>
                          <w:sz w:val="22"/>
                        </w:rPr>
                        <w:t>October</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5,</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2018</w:t>
                      </w:r>
                    </w:p>
                    <w:p w14:paraId="5738BFCB" w14:textId="6608A6EF" w:rsidR="00E966C2" w:rsidRPr="004B7EB6" w:rsidRDefault="00E966C2"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751E1AEB" w14:textId="77777777" w:rsidR="00040C3A" w:rsidRPr="00B26051" w:rsidRDefault="00040C3A" w:rsidP="00040C3A">
      <w:pPr>
        <w:tabs>
          <w:tab w:val="center" w:pos="5400"/>
        </w:tabs>
        <w:suppressAutoHyphens/>
        <w:jc w:val="center"/>
        <w:rPr>
          <w:rFonts w:asciiTheme="majorHAnsi" w:hAnsiTheme="majorHAnsi"/>
          <w:sz w:val="22"/>
          <w:szCs w:val="22"/>
        </w:rPr>
      </w:pPr>
    </w:p>
    <w:p w14:paraId="1EFB9964" w14:textId="77777777" w:rsidR="00040C3A" w:rsidRPr="00B26051" w:rsidRDefault="00040C3A" w:rsidP="00040C3A">
      <w:pPr>
        <w:tabs>
          <w:tab w:val="center" w:pos="5400"/>
        </w:tabs>
        <w:suppressAutoHyphens/>
        <w:jc w:val="center"/>
        <w:rPr>
          <w:rFonts w:asciiTheme="majorHAnsi" w:hAnsiTheme="majorHAnsi" w:cs="Arial"/>
          <w:sz w:val="22"/>
          <w:szCs w:val="22"/>
        </w:rPr>
      </w:pPr>
    </w:p>
    <w:p w14:paraId="35385A16" w14:textId="77777777" w:rsidR="00040C3A" w:rsidRPr="00B26051" w:rsidRDefault="00040C3A" w:rsidP="00040C3A">
      <w:pPr>
        <w:tabs>
          <w:tab w:val="center" w:pos="5400"/>
        </w:tabs>
        <w:suppressAutoHyphens/>
        <w:jc w:val="center"/>
        <w:rPr>
          <w:rFonts w:asciiTheme="majorHAnsi" w:hAnsiTheme="majorHAnsi"/>
          <w:sz w:val="22"/>
          <w:szCs w:val="22"/>
        </w:rPr>
      </w:pPr>
    </w:p>
    <w:p w14:paraId="4DE4BFC7" w14:textId="77777777" w:rsidR="00040C3A" w:rsidRPr="00B26051" w:rsidRDefault="00040C3A" w:rsidP="00040C3A">
      <w:pPr>
        <w:tabs>
          <w:tab w:val="center" w:pos="5400"/>
        </w:tabs>
        <w:suppressAutoHyphens/>
        <w:jc w:val="center"/>
        <w:rPr>
          <w:rFonts w:asciiTheme="majorHAnsi" w:hAnsiTheme="majorHAnsi"/>
          <w:sz w:val="22"/>
          <w:szCs w:val="22"/>
        </w:rPr>
      </w:pPr>
    </w:p>
    <w:p w14:paraId="5B9E2190" w14:textId="77777777" w:rsidR="00040C3A" w:rsidRPr="00B26051" w:rsidRDefault="00040C3A" w:rsidP="00040C3A">
      <w:pPr>
        <w:tabs>
          <w:tab w:val="center" w:pos="5400"/>
        </w:tabs>
        <w:suppressAutoHyphens/>
        <w:jc w:val="center"/>
        <w:rPr>
          <w:rFonts w:asciiTheme="majorHAnsi" w:hAnsiTheme="majorHAnsi"/>
          <w:sz w:val="22"/>
          <w:szCs w:val="22"/>
        </w:rPr>
      </w:pPr>
    </w:p>
    <w:p w14:paraId="5C7A7D35" w14:textId="77777777" w:rsidR="00040C3A" w:rsidRPr="00B26051" w:rsidRDefault="00040C3A" w:rsidP="00040C3A">
      <w:pPr>
        <w:tabs>
          <w:tab w:val="center" w:pos="5400"/>
        </w:tabs>
        <w:suppressAutoHyphens/>
        <w:jc w:val="center"/>
        <w:rPr>
          <w:rFonts w:asciiTheme="majorHAnsi" w:hAnsiTheme="majorHAnsi"/>
          <w:sz w:val="22"/>
          <w:szCs w:val="22"/>
        </w:rPr>
      </w:pPr>
    </w:p>
    <w:p w14:paraId="622249AC" w14:textId="77777777" w:rsidR="005128E4" w:rsidRPr="00B26051" w:rsidRDefault="005128E4" w:rsidP="00040C3A">
      <w:pPr>
        <w:tabs>
          <w:tab w:val="center" w:pos="5400"/>
        </w:tabs>
        <w:suppressAutoHyphens/>
        <w:jc w:val="center"/>
        <w:rPr>
          <w:rFonts w:asciiTheme="majorHAnsi" w:hAnsiTheme="majorHAnsi"/>
          <w:sz w:val="22"/>
          <w:szCs w:val="22"/>
        </w:rPr>
      </w:pPr>
    </w:p>
    <w:p w14:paraId="58712925" w14:textId="77777777" w:rsidR="00040C3A" w:rsidRPr="00B26051" w:rsidRDefault="00040C3A" w:rsidP="00040C3A">
      <w:pPr>
        <w:tabs>
          <w:tab w:val="center" w:pos="5400"/>
        </w:tabs>
        <w:suppressAutoHyphens/>
        <w:jc w:val="center"/>
        <w:rPr>
          <w:rFonts w:asciiTheme="majorHAnsi" w:hAnsiTheme="majorHAnsi"/>
          <w:sz w:val="22"/>
          <w:szCs w:val="22"/>
        </w:rPr>
      </w:pPr>
    </w:p>
    <w:p w14:paraId="08444C3B" w14:textId="77777777" w:rsidR="005128E4" w:rsidRPr="00B26051" w:rsidRDefault="005128E4" w:rsidP="00040C3A">
      <w:pPr>
        <w:tabs>
          <w:tab w:val="center" w:pos="5400"/>
        </w:tabs>
        <w:suppressAutoHyphens/>
        <w:jc w:val="center"/>
        <w:rPr>
          <w:rFonts w:asciiTheme="majorHAnsi" w:hAnsiTheme="majorHAnsi"/>
          <w:sz w:val="22"/>
          <w:szCs w:val="22"/>
        </w:rPr>
      </w:pPr>
    </w:p>
    <w:p w14:paraId="3F2D3A77" w14:textId="77777777" w:rsidR="005128E4" w:rsidRPr="00B26051" w:rsidRDefault="005128E4" w:rsidP="00040C3A">
      <w:pPr>
        <w:tabs>
          <w:tab w:val="center" w:pos="5400"/>
        </w:tabs>
        <w:suppressAutoHyphens/>
        <w:jc w:val="center"/>
        <w:rPr>
          <w:rFonts w:asciiTheme="majorHAnsi" w:hAnsiTheme="majorHAnsi"/>
          <w:sz w:val="22"/>
          <w:szCs w:val="22"/>
        </w:rPr>
      </w:pPr>
    </w:p>
    <w:p w14:paraId="4528C890" w14:textId="77777777" w:rsidR="005128E4" w:rsidRPr="00B26051" w:rsidRDefault="005128E4" w:rsidP="00040C3A">
      <w:pPr>
        <w:tabs>
          <w:tab w:val="center" w:pos="5400"/>
        </w:tabs>
        <w:suppressAutoHyphens/>
        <w:jc w:val="center"/>
        <w:rPr>
          <w:rFonts w:asciiTheme="majorHAnsi" w:hAnsiTheme="majorHAnsi"/>
          <w:sz w:val="22"/>
          <w:szCs w:val="22"/>
        </w:rPr>
      </w:pPr>
    </w:p>
    <w:p w14:paraId="48A31447" w14:textId="77777777" w:rsidR="00040C3A" w:rsidRPr="00B26051" w:rsidRDefault="00040C3A" w:rsidP="00040C3A">
      <w:pPr>
        <w:tabs>
          <w:tab w:val="center" w:pos="5400"/>
        </w:tabs>
        <w:suppressAutoHyphens/>
        <w:jc w:val="center"/>
        <w:rPr>
          <w:rFonts w:asciiTheme="majorHAnsi" w:hAnsiTheme="majorHAnsi"/>
          <w:sz w:val="22"/>
          <w:szCs w:val="22"/>
        </w:rPr>
      </w:pPr>
    </w:p>
    <w:p w14:paraId="334DCB13" w14:textId="77777777" w:rsidR="00040C3A" w:rsidRPr="00B26051" w:rsidRDefault="00040C3A" w:rsidP="00040C3A">
      <w:pPr>
        <w:tabs>
          <w:tab w:val="center" w:pos="5400"/>
        </w:tabs>
        <w:suppressAutoHyphens/>
        <w:jc w:val="center"/>
        <w:rPr>
          <w:rFonts w:asciiTheme="majorHAnsi" w:hAnsiTheme="majorHAnsi"/>
          <w:sz w:val="22"/>
          <w:szCs w:val="22"/>
        </w:rPr>
      </w:pPr>
    </w:p>
    <w:p w14:paraId="4A74653A" w14:textId="77777777" w:rsidR="002C1641" w:rsidRPr="00B26051" w:rsidRDefault="002C1641" w:rsidP="00040C3A">
      <w:pPr>
        <w:tabs>
          <w:tab w:val="center" w:pos="5400"/>
        </w:tabs>
        <w:suppressAutoHyphens/>
        <w:jc w:val="center"/>
        <w:rPr>
          <w:rFonts w:asciiTheme="majorHAnsi" w:hAnsiTheme="majorHAnsi"/>
          <w:sz w:val="18"/>
          <w:szCs w:val="22"/>
        </w:rPr>
      </w:pPr>
    </w:p>
    <w:p w14:paraId="6E5C4D4A" w14:textId="77777777" w:rsidR="002C1641" w:rsidRPr="00B26051" w:rsidRDefault="002C1641" w:rsidP="00040C3A">
      <w:pPr>
        <w:tabs>
          <w:tab w:val="center" w:pos="5400"/>
        </w:tabs>
        <w:suppressAutoHyphens/>
        <w:jc w:val="center"/>
        <w:rPr>
          <w:rFonts w:asciiTheme="majorHAnsi" w:hAnsiTheme="majorHAnsi"/>
          <w:sz w:val="18"/>
          <w:szCs w:val="22"/>
        </w:rPr>
      </w:pPr>
    </w:p>
    <w:p w14:paraId="660E0D50" w14:textId="77777777" w:rsidR="002C1641" w:rsidRPr="00B26051" w:rsidRDefault="002C1641" w:rsidP="00040C3A">
      <w:pPr>
        <w:tabs>
          <w:tab w:val="center" w:pos="5400"/>
        </w:tabs>
        <w:suppressAutoHyphens/>
        <w:jc w:val="center"/>
        <w:rPr>
          <w:rFonts w:asciiTheme="majorHAnsi" w:hAnsiTheme="majorHAnsi"/>
          <w:sz w:val="18"/>
          <w:szCs w:val="22"/>
        </w:rPr>
      </w:pPr>
    </w:p>
    <w:p w14:paraId="44219299" w14:textId="77777777" w:rsidR="002C1641" w:rsidRPr="00B26051" w:rsidRDefault="002C1641" w:rsidP="00040C3A">
      <w:pPr>
        <w:tabs>
          <w:tab w:val="center" w:pos="5400"/>
        </w:tabs>
        <w:suppressAutoHyphens/>
        <w:jc w:val="center"/>
        <w:rPr>
          <w:rFonts w:asciiTheme="majorHAnsi" w:hAnsiTheme="majorHAnsi"/>
          <w:sz w:val="18"/>
          <w:szCs w:val="22"/>
        </w:rPr>
      </w:pPr>
    </w:p>
    <w:p w14:paraId="5701DDEF" w14:textId="77777777" w:rsidR="002C1641" w:rsidRPr="00B26051" w:rsidRDefault="002C1641" w:rsidP="00040C3A">
      <w:pPr>
        <w:tabs>
          <w:tab w:val="center" w:pos="5400"/>
        </w:tabs>
        <w:suppressAutoHyphens/>
        <w:jc w:val="center"/>
        <w:rPr>
          <w:rFonts w:asciiTheme="majorHAnsi" w:hAnsiTheme="majorHAnsi"/>
          <w:sz w:val="18"/>
          <w:szCs w:val="22"/>
        </w:rPr>
      </w:pPr>
    </w:p>
    <w:p w14:paraId="7DABF84E" w14:textId="77777777" w:rsidR="002C1641" w:rsidRPr="00B26051" w:rsidRDefault="002C1641" w:rsidP="00040C3A">
      <w:pPr>
        <w:tabs>
          <w:tab w:val="center" w:pos="5400"/>
        </w:tabs>
        <w:suppressAutoHyphens/>
        <w:jc w:val="center"/>
        <w:rPr>
          <w:rFonts w:asciiTheme="majorHAnsi" w:hAnsiTheme="majorHAnsi"/>
          <w:sz w:val="18"/>
          <w:szCs w:val="22"/>
        </w:rPr>
      </w:pPr>
    </w:p>
    <w:p w14:paraId="4961CA69" w14:textId="77777777" w:rsidR="002C1641" w:rsidRPr="00B26051" w:rsidRDefault="002C1641" w:rsidP="00040C3A">
      <w:pPr>
        <w:tabs>
          <w:tab w:val="center" w:pos="5400"/>
        </w:tabs>
        <w:suppressAutoHyphens/>
        <w:jc w:val="center"/>
        <w:rPr>
          <w:rFonts w:asciiTheme="majorHAnsi" w:hAnsiTheme="majorHAnsi"/>
          <w:sz w:val="18"/>
          <w:szCs w:val="22"/>
        </w:rPr>
      </w:pPr>
    </w:p>
    <w:p w14:paraId="479F0492" w14:textId="77777777" w:rsidR="002C1641" w:rsidRPr="00B26051" w:rsidRDefault="002C1641" w:rsidP="00040C3A">
      <w:pPr>
        <w:tabs>
          <w:tab w:val="center" w:pos="5400"/>
        </w:tabs>
        <w:suppressAutoHyphens/>
        <w:jc w:val="center"/>
        <w:rPr>
          <w:rFonts w:asciiTheme="majorHAnsi" w:hAnsiTheme="majorHAnsi"/>
          <w:sz w:val="18"/>
          <w:szCs w:val="22"/>
        </w:rPr>
      </w:pPr>
    </w:p>
    <w:p w14:paraId="3A7F3A7E" w14:textId="77777777" w:rsidR="002C1641" w:rsidRPr="00B26051" w:rsidRDefault="002C1641" w:rsidP="00040C3A">
      <w:pPr>
        <w:tabs>
          <w:tab w:val="center" w:pos="5400"/>
        </w:tabs>
        <w:suppressAutoHyphens/>
        <w:jc w:val="center"/>
        <w:rPr>
          <w:rFonts w:asciiTheme="majorHAnsi" w:hAnsiTheme="majorHAnsi"/>
          <w:sz w:val="18"/>
          <w:szCs w:val="22"/>
        </w:rPr>
      </w:pPr>
    </w:p>
    <w:p w14:paraId="3DF3CB5D" w14:textId="77777777" w:rsidR="002C1641" w:rsidRPr="00B26051" w:rsidRDefault="002C1641" w:rsidP="00040C3A">
      <w:pPr>
        <w:tabs>
          <w:tab w:val="center" w:pos="5400"/>
        </w:tabs>
        <w:suppressAutoHyphens/>
        <w:jc w:val="center"/>
        <w:rPr>
          <w:rFonts w:asciiTheme="majorHAnsi" w:hAnsiTheme="majorHAnsi"/>
          <w:sz w:val="18"/>
          <w:szCs w:val="22"/>
        </w:rPr>
      </w:pPr>
    </w:p>
    <w:p w14:paraId="4CCD9596" w14:textId="77777777" w:rsidR="002C1641" w:rsidRPr="00B26051" w:rsidRDefault="002C1641" w:rsidP="00040C3A">
      <w:pPr>
        <w:tabs>
          <w:tab w:val="center" w:pos="5400"/>
        </w:tabs>
        <w:suppressAutoHyphens/>
        <w:jc w:val="center"/>
        <w:rPr>
          <w:rFonts w:asciiTheme="majorHAnsi" w:hAnsiTheme="majorHAnsi"/>
          <w:sz w:val="18"/>
          <w:szCs w:val="22"/>
        </w:rPr>
      </w:pPr>
    </w:p>
    <w:p w14:paraId="05F07D6D" w14:textId="77777777" w:rsidR="002C1641" w:rsidRPr="00B26051" w:rsidRDefault="002C1641" w:rsidP="00040C3A">
      <w:pPr>
        <w:tabs>
          <w:tab w:val="center" w:pos="5400"/>
        </w:tabs>
        <w:suppressAutoHyphens/>
        <w:jc w:val="center"/>
        <w:rPr>
          <w:rFonts w:asciiTheme="majorHAnsi" w:hAnsiTheme="majorHAnsi"/>
          <w:sz w:val="18"/>
          <w:szCs w:val="22"/>
        </w:rPr>
      </w:pPr>
    </w:p>
    <w:p w14:paraId="76088195" w14:textId="77777777" w:rsidR="002C1641" w:rsidRPr="00B26051" w:rsidRDefault="003C32BC" w:rsidP="00040C3A">
      <w:pPr>
        <w:tabs>
          <w:tab w:val="center" w:pos="5400"/>
        </w:tabs>
        <w:suppressAutoHyphens/>
        <w:jc w:val="center"/>
        <w:rPr>
          <w:rFonts w:asciiTheme="majorHAnsi" w:hAnsiTheme="majorHAnsi"/>
          <w:sz w:val="18"/>
          <w:szCs w:val="22"/>
        </w:rPr>
      </w:pPr>
      <w:r w:rsidRPr="00B26051">
        <w:rPr>
          <w:rFonts w:asciiTheme="majorHAnsi" w:hAnsiTheme="majorHAnsi"/>
          <w:noProof/>
          <w:sz w:val="22"/>
          <w:szCs w:val="22"/>
          <w:lang w:val="es-UY" w:eastAsia="es-UY"/>
        </w:rPr>
        <mc:AlternateContent>
          <mc:Choice Requires="wps">
            <w:drawing>
              <wp:anchor distT="0" distB="0" distL="114300" distR="114300" simplePos="0" relativeHeight="251670528" behindDoc="0" locked="0" layoutInCell="1" allowOverlap="1" wp14:anchorId="28FB8615" wp14:editId="5453A3E0">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8D69F2" w14:textId="26A1CCA0" w:rsidR="00E966C2" w:rsidRPr="003C32BC" w:rsidRDefault="00E966C2"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Pr>
                                <w:rFonts w:asciiTheme="majorHAnsi" w:hAnsiTheme="majorHAnsi"/>
                                <w:color w:val="0D0D0D" w:themeColor="text1" w:themeTint="F2"/>
                                <w:sz w:val="18"/>
                                <w:szCs w:val="20"/>
                              </w:rPr>
                              <w:t>2137</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October 5</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2018</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169</w:t>
                            </w:r>
                            <w:r w:rsidRPr="003717EE">
                              <w:rPr>
                                <w:rFonts w:asciiTheme="majorHAnsi" w:hAnsiTheme="majorHAnsi" w:cs="Univers"/>
                                <w:color w:val="0D0D0D" w:themeColor="text1" w:themeTint="F2"/>
                                <w:sz w:val="18"/>
                                <w:szCs w:val="20"/>
                                <w:vertAlign w:val="superscript"/>
                              </w:rPr>
                              <w:t>th</w:t>
                            </w:r>
                            <w:r>
                              <w:rPr>
                                <w:rFonts w:asciiTheme="majorHAnsi" w:hAnsiTheme="majorHAnsi" w:cs="Univers"/>
                                <w:color w:val="0D0D0D" w:themeColor="text1" w:themeTint="F2"/>
                                <w:sz w:val="18"/>
                                <w:szCs w:val="20"/>
                              </w:rPr>
                              <w:t xml:space="preserve"> Extraordinary</w:t>
                            </w:r>
                            <w:r w:rsidRPr="003C32BC">
                              <w:rPr>
                                <w:rFonts w:asciiTheme="majorHAnsi" w:hAnsiTheme="majorHAnsi" w:cs="Univers"/>
                                <w:color w:val="0D0D0D" w:themeColor="text1" w:themeTint="F2"/>
                                <w:sz w:val="18"/>
                                <w:szCs w:val="20"/>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FB8615"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488D69F2" w14:textId="26A1CCA0" w:rsidR="00E966C2" w:rsidRPr="003C32BC" w:rsidRDefault="00E966C2"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Pr>
                          <w:rFonts w:asciiTheme="majorHAnsi" w:hAnsiTheme="majorHAnsi"/>
                          <w:color w:val="0D0D0D" w:themeColor="text1" w:themeTint="F2"/>
                          <w:sz w:val="18"/>
                          <w:szCs w:val="20"/>
                        </w:rPr>
                        <w:t>2137</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October 5</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2018</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169</w:t>
                      </w:r>
                      <w:r w:rsidRPr="003717EE">
                        <w:rPr>
                          <w:rFonts w:asciiTheme="majorHAnsi" w:hAnsiTheme="majorHAnsi" w:cs="Univers"/>
                          <w:color w:val="0D0D0D" w:themeColor="text1" w:themeTint="F2"/>
                          <w:sz w:val="18"/>
                          <w:szCs w:val="20"/>
                          <w:vertAlign w:val="superscript"/>
                        </w:rPr>
                        <w:t>th</w:t>
                      </w:r>
                      <w:r>
                        <w:rPr>
                          <w:rFonts w:asciiTheme="majorHAnsi" w:hAnsiTheme="majorHAnsi" w:cs="Univers"/>
                          <w:color w:val="0D0D0D" w:themeColor="text1" w:themeTint="F2"/>
                          <w:sz w:val="18"/>
                          <w:szCs w:val="20"/>
                        </w:rPr>
                        <w:t xml:space="preserve"> Extraordinary</w:t>
                      </w:r>
                      <w:r w:rsidRPr="003C32BC">
                        <w:rPr>
                          <w:rFonts w:asciiTheme="majorHAnsi" w:hAnsiTheme="majorHAnsi" w:cs="Univers"/>
                          <w:color w:val="0D0D0D" w:themeColor="text1" w:themeTint="F2"/>
                          <w:sz w:val="18"/>
                          <w:szCs w:val="20"/>
                        </w:rPr>
                        <w:t xml:space="preserve"> Period of Sessions</w:t>
                      </w:r>
                    </w:p>
                  </w:txbxContent>
                </v:textbox>
              </v:shape>
            </w:pict>
          </mc:Fallback>
        </mc:AlternateContent>
      </w:r>
    </w:p>
    <w:p w14:paraId="3F6019CE" w14:textId="77777777" w:rsidR="002C1641" w:rsidRPr="00B26051" w:rsidRDefault="002C1641" w:rsidP="00040C3A">
      <w:pPr>
        <w:tabs>
          <w:tab w:val="center" w:pos="5400"/>
        </w:tabs>
        <w:suppressAutoHyphens/>
        <w:jc w:val="center"/>
        <w:rPr>
          <w:rFonts w:asciiTheme="majorHAnsi" w:hAnsiTheme="majorHAnsi"/>
          <w:sz w:val="18"/>
          <w:szCs w:val="22"/>
        </w:rPr>
      </w:pPr>
    </w:p>
    <w:p w14:paraId="64CAC43B" w14:textId="77777777" w:rsidR="002C1641" w:rsidRPr="00B26051" w:rsidRDefault="002C1641" w:rsidP="00040C3A">
      <w:pPr>
        <w:tabs>
          <w:tab w:val="center" w:pos="5400"/>
        </w:tabs>
        <w:suppressAutoHyphens/>
        <w:jc w:val="center"/>
        <w:rPr>
          <w:rFonts w:asciiTheme="majorHAnsi" w:hAnsiTheme="majorHAnsi"/>
          <w:sz w:val="18"/>
          <w:szCs w:val="22"/>
        </w:rPr>
      </w:pPr>
    </w:p>
    <w:p w14:paraId="51D707D0" w14:textId="77777777" w:rsidR="002C1641" w:rsidRPr="00B26051" w:rsidRDefault="002C1641" w:rsidP="00040C3A">
      <w:pPr>
        <w:tabs>
          <w:tab w:val="center" w:pos="5400"/>
        </w:tabs>
        <w:suppressAutoHyphens/>
        <w:jc w:val="center"/>
        <w:rPr>
          <w:rFonts w:asciiTheme="majorHAnsi" w:hAnsiTheme="majorHAnsi"/>
          <w:sz w:val="18"/>
          <w:szCs w:val="22"/>
        </w:rPr>
      </w:pPr>
    </w:p>
    <w:p w14:paraId="4153A47C" w14:textId="77777777" w:rsidR="002C1641" w:rsidRPr="00B26051" w:rsidRDefault="002C1641" w:rsidP="00040C3A">
      <w:pPr>
        <w:tabs>
          <w:tab w:val="center" w:pos="5400"/>
        </w:tabs>
        <w:suppressAutoHyphens/>
        <w:jc w:val="center"/>
        <w:rPr>
          <w:rFonts w:asciiTheme="majorHAnsi" w:hAnsiTheme="majorHAnsi"/>
          <w:sz w:val="18"/>
          <w:szCs w:val="22"/>
        </w:rPr>
      </w:pPr>
    </w:p>
    <w:p w14:paraId="40D9EE6E" w14:textId="77777777" w:rsidR="002C1641" w:rsidRPr="00B26051" w:rsidRDefault="003C32BC" w:rsidP="00040C3A">
      <w:pPr>
        <w:tabs>
          <w:tab w:val="center" w:pos="5400"/>
        </w:tabs>
        <w:suppressAutoHyphens/>
        <w:jc w:val="center"/>
        <w:rPr>
          <w:rFonts w:asciiTheme="majorHAnsi" w:hAnsiTheme="majorHAnsi"/>
          <w:sz w:val="18"/>
          <w:szCs w:val="22"/>
        </w:rPr>
      </w:pPr>
      <w:r w:rsidRPr="00B26051">
        <w:rPr>
          <w:rFonts w:asciiTheme="majorHAnsi" w:hAnsiTheme="majorHAnsi"/>
          <w:noProof/>
          <w:sz w:val="18"/>
          <w:szCs w:val="22"/>
          <w:lang w:val="es-UY" w:eastAsia="es-UY"/>
        </w:rPr>
        <mc:AlternateContent>
          <mc:Choice Requires="wps">
            <w:drawing>
              <wp:anchor distT="0" distB="0" distL="114300" distR="114300" simplePos="0" relativeHeight="251683840" behindDoc="0" locked="0" layoutInCell="1" allowOverlap="1" wp14:anchorId="27C2B6D2" wp14:editId="73EC6616">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E768C" w14:textId="31CB2946" w:rsidR="00E966C2" w:rsidRPr="003C32BC" w:rsidRDefault="00E966C2"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Pr>
                                <w:rFonts w:asciiTheme="majorHAnsi" w:hAnsiTheme="majorHAnsi"/>
                                <w:color w:val="595959" w:themeColor="text1" w:themeTint="A6"/>
                                <w:sz w:val="18"/>
                              </w:rPr>
                              <w:t xml:space="preserve"> 118</w:t>
                            </w:r>
                            <w:r w:rsidRPr="000E15DA">
                              <w:rPr>
                                <w:rFonts w:asciiTheme="majorHAnsi" w:hAnsiTheme="majorHAnsi"/>
                                <w:color w:val="595959" w:themeColor="text1" w:themeTint="A6"/>
                                <w:sz w:val="18"/>
                              </w:rPr>
                              <w:t>/18. Case 12.890, Merits.</w:t>
                            </w:r>
                            <w:r w:rsidRPr="000E15DA">
                              <w:t xml:space="preserve"> </w:t>
                            </w:r>
                            <w:r w:rsidRPr="000E15DA">
                              <w:rPr>
                                <w:rFonts w:asciiTheme="majorHAnsi" w:hAnsiTheme="majorHAnsi"/>
                                <w:color w:val="595959" w:themeColor="text1" w:themeTint="A6"/>
                                <w:sz w:val="18"/>
                              </w:rPr>
                              <w:t xml:space="preserve">José Gregorio </w:t>
                            </w:r>
                            <w:proofErr w:type="spellStart"/>
                            <w:r w:rsidRPr="000E15DA">
                              <w:rPr>
                                <w:rFonts w:asciiTheme="majorHAnsi" w:hAnsiTheme="majorHAnsi"/>
                                <w:color w:val="595959" w:themeColor="text1" w:themeTint="A6"/>
                                <w:sz w:val="18"/>
                              </w:rPr>
                              <w:t>Mota</w:t>
                            </w:r>
                            <w:proofErr w:type="spellEnd"/>
                            <w:r w:rsidRPr="000E15DA">
                              <w:rPr>
                                <w:rFonts w:asciiTheme="majorHAnsi" w:hAnsiTheme="majorHAnsi"/>
                                <w:color w:val="595959" w:themeColor="text1" w:themeTint="A6"/>
                                <w:sz w:val="18"/>
                              </w:rPr>
                              <w:t xml:space="preserve"> </w:t>
                            </w:r>
                            <w:proofErr w:type="spellStart"/>
                            <w:r w:rsidRPr="000E15DA">
                              <w:rPr>
                                <w:rFonts w:asciiTheme="majorHAnsi" w:hAnsiTheme="majorHAnsi"/>
                                <w:color w:val="595959" w:themeColor="text1" w:themeTint="A6"/>
                                <w:sz w:val="18"/>
                              </w:rPr>
                              <w:t>Abarullo</w:t>
                            </w:r>
                            <w:proofErr w:type="spellEnd"/>
                            <w:r w:rsidRPr="000E15DA">
                              <w:rPr>
                                <w:rFonts w:asciiTheme="majorHAnsi" w:hAnsiTheme="majorHAnsi"/>
                                <w:color w:val="595959" w:themeColor="text1" w:themeTint="A6"/>
                                <w:sz w:val="18"/>
                              </w:rPr>
                              <w:t xml:space="preserve"> et al. </w:t>
                            </w:r>
                            <w:r w:rsidRPr="00BE64BA">
                              <w:rPr>
                                <w:rFonts w:asciiTheme="majorHAnsi" w:hAnsiTheme="majorHAnsi"/>
                                <w:color w:val="595959" w:themeColor="text1" w:themeTint="A6"/>
                                <w:sz w:val="18"/>
                              </w:rPr>
                              <w:t xml:space="preserve">(Deaths at the San Félix Prison). </w:t>
                            </w:r>
                            <w:r w:rsidRPr="00185D58">
                              <w:rPr>
                                <w:rFonts w:asciiTheme="majorHAnsi" w:hAnsiTheme="majorHAnsi"/>
                                <w:color w:val="595959" w:themeColor="text1" w:themeTint="A6"/>
                                <w:sz w:val="18"/>
                              </w:rPr>
                              <w:t>Venezuela</w:t>
                            </w:r>
                            <w:r w:rsidRPr="007607C4">
                              <w:rPr>
                                <w:rFonts w:asciiTheme="majorHAnsi" w:hAnsiTheme="majorHAnsi"/>
                                <w:color w:val="595959" w:themeColor="text1" w:themeTint="A6"/>
                                <w:sz w:val="18"/>
                              </w:rPr>
                              <w:t>.</w:t>
                            </w:r>
                            <w:r>
                              <w:rPr>
                                <w:rFonts w:asciiTheme="majorHAnsi" w:hAnsiTheme="majorHAnsi"/>
                                <w:color w:val="595959" w:themeColor="text1" w:themeTint="A6"/>
                                <w:sz w:val="18"/>
                              </w:rPr>
                              <w:t xml:space="preserve"> October 5, 2018</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C2B6D2"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7DBE768C" w14:textId="31CB2946" w:rsidR="00E966C2" w:rsidRPr="003C32BC" w:rsidRDefault="00E966C2"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Pr>
                          <w:rFonts w:asciiTheme="majorHAnsi" w:hAnsiTheme="majorHAnsi"/>
                          <w:color w:val="595959" w:themeColor="text1" w:themeTint="A6"/>
                          <w:sz w:val="18"/>
                        </w:rPr>
                        <w:t xml:space="preserve"> 118</w:t>
                      </w:r>
                      <w:r w:rsidRPr="000E15DA">
                        <w:rPr>
                          <w:rFonts w:asciiTheme="majorHAnsi" w:hAnsiTheme="majorHAnsi"/>
                          <w:color w:val="595959" w:themeColor="text1" w:themeTint="A6"/>
                          <w:sz w:val="18"/>
                        </w:rPr>
                        <w:t>/18. Case 12.890, Merits.</w:t>
                      </w:r>
                      <w:r w:rsidRPr="000E15DA">
                        <w:t xml:space="preserve"> </w:t>
                      </w:r>
                      <w:r w:rsidRPr="000E15DA">
                        <w:rPr>
                          <w:rFonts w:asciiTheme="majorHAnsi" w:hAnsiTheme="majorHAnsi"/>
                          <w:color w:val="595959" w:themeColor="text1" w:themeTint="A6"/>
                          <w:sz w:val="18"/>
                        </w:rPr>
                        <w:t xml:space="preserve">José Gregorio </w:t>
                      </w:r>
                      <w:proofErr w:type="spellStart"/>
                      <w:r w:rsidRPr="000E15DA">
                        <w:rPr>
                          <w:rFonts w:asciiTheme="majorHAnsi" w:hAnsiTheme="majorHAnsi"/>
                          <w:color w:val="595959" w:themeColor="text1" w:themeTint="A6"/>
                          <w:sz w:val="18"/>
                        </w:rPr>
                        <w:t>Mota</w:t>
                      </w:r>
                      <w:proofErr w:type="spellEnd"/>
                      <w:r w:rsidRPr="000E15DA">
                        <w:rPr>
                          <w:rFonts w:asciiTheme="majorHAnsi" w:hAnsiTheme="majorHAnsi"/>
                          <w:color w:val="595959" w:themeColor="text1" w:themeTint="A6"/>
                          <w:sz w:val="18"/>
                        </w:rPr>
                        <w:t xml:space="preserve"> </w:t>
                      </w:r>
                      <w:proofErr w:type="spellStart"/>
                      <w:r w:rsidRPr="000E15DA">
                        <w:rPr>
                          <w:rFonts w:asciiTheme="majorHAnsi" w:hAnsiTheme="majorHAnsi"/>
                          <w:color w:val="595959" w:themeColor="text1" w:themeTint="A6"/>
                          <w:sz w:val="18"/>
                        </w:rPr>
                        <w:t>Abarullo</w:t>
                      </w:r>
                      <w:proofErr w:type="spellEnd"/>
                      <w:r w:rsidRPr="000E15DA">
                        <w:rPr>
                          <w:rFonts w:asciiTheme="majorHAnsi" w:hAnsiTheme="majorHAnsi"/>
                          <w:color w:val="595959" w:themeColor="text1" w:themeTint="A6"/>
                          <w:sz w:val="18"/>
                        </w:rPr>
                        <w:t xml:space="preserve"> et al. </w:t>
                      </w:r>
                      <w:r w:rsidRPr="00BE64BA">
                        <w:rPr>
                          <w:rFonts w:asciiTheme="majorHAnsi" w:hAnsiTheme="majorHAnsi"/>
                          <w:color w:val="595959" w:themeColor="text1" w:themeTint="A6"/>
                          <w:sz w:val="18"/>
                        </w:rPr>
                        <w:t xml:space="preserve">(Deaths at the San Félix Prison). </w:t>
                      </w:r>
                      <w:r w:rsidRPr="00185D58">
                        <w:rPr>
                          <w:rFonts w:asciiTheme="majorHAnsi" w:hAnsiTheme="majorHAnsi"/>
                          <w:color w:val="595959" w:themeColor="text1" w:themeTint="A6"/>
                          <w:sz w:val="18"/>
                        </w:rPr>
                        <w:t>Venezuela</w:t>
                      </w:r>
                      <w:r w:rsidRPr="007607C4">
                        <w:rPr>
                          <w:rFonts w:asciiTheme="majorHAnsi" w:hAnsiTheme="majorHAnsi"/>
                          <w:color w:val="595959" w:themeColor="text1" w:themeTint="A6"/>
                          <w:sz w:val="18"/>
                        </w:rPr>
                        <w:t>.</w:t>
                      </w:r>
                      <w:r>
                        <w:rPr>
                          <w:rFonts w:asciiTheme="majorHAnsi" w:hAnsiTheme="majorHAnsi"/>
                          <w:color w:val="595959" w:themeColor="text1" w:themeTint="A6"/>
                          <w:sz w:val="18"/>
                        </w:rPr>
                        <w:t xml:space="preserve"> October 5, 2018</w:t>
                      </w:r>
                      <w:r w:rsidRPr="007607C4">
                        <w:rPr>
                          <w:rFonts w:asciiTheme="majorHAnsi" w:hAnsiTheme="majorHAnsi"/>
                          <w:color w:val="595959" w:themeColor="text1" w:themeTint="A6"/>
                          <w:sz w:val="18"/>
                        </w:rPr>
                        <w:t>.</w:t>
                      </w:r>
                    </w:p>
                  </w:txbxContent>
                </v:textbox>
              </v:shape>
            </w:pict>
          </mc:Fallback>
        </mc:AlternateContent>
      </w:r>
    </w:p>
    <w:p w14:paraId="039CD372" w14:textId="77777777" w:rsidR="002C1641" w:rsidRPr="00B26051" w:rsidRDefault="002C1641" w:rsidP="00040C3A">
      <w:pPr>
        <w:tabs>
          <w:tab w:val="center" w:pos="5400"/>
        </w:tabs>
        <w:suppressAutoHyphens/>
        <w:jc w:val="center"/>
        <w:rPr>
          <w:rFonts w:asciiTheme="majorHAnsi" w:hAnsiTheme="majorHAnsi"/>
          <w:sz w:val="18"/>
          <w:szCs w:val="22"/>
        </w:rPr>
      </w:pPr>
    </w:p>
    <w:p w14:paraId="32687BF4" w14:textId="77777777" w:rsidR="002C1641" w:rsidRPr="00B26051" w:rsidRDefault="002C1641" w:rsidP="00040C3A">
      <w:pPr>
        <w:tabs>
          <w:tab w:val="center" w:pos="5400"/>
        </w:tabs>
        <w:suppressAutoHyphens/>
        <w:jc w:val="center"/>
        <w:rPr>
          <w:rFonts w:asciiTheme="majorHAnsi" w:hAnsiTheme="majorHAnsi"/>
          <w:sz w:val="18"/>
          <w:szCs w:val="22"/>
        </w:rPr>
      </w:pPr>
    </w:p>
    <w:p w14:paraId="6D681AAD" w14:textId="77777777" w:rsidR="003C32BC" w:rsidRPr="00B26051" w:rsidRDefault="003C32BC" w:rsidP="003C32BC">
      <w:pPr>
        <w:tabs>
          <w:tab w:val="center" w:pos="5400"/>
        </w:tabs>
        <w:suppressAutoHyphens/>
        <w:jc w:val="center"/>
        <w:rPr>
          <w:rFonts w:asciiTheme="majorHAnsi" w:hAnsiTheme="majorHAnsi"/>
          <w:sz w:val="18"/>
          <w:szCs w:val="22"/>
        </w:rPr>
      </w:pPr>
    </w:p>
    <w:p w14:paraId="4DD45349" w14:textId="77777777" w:rsidR="003C32BC" w:rsidRPr="00B26051" w:rsidRDefault="006311DA" w:rsidP="003C32BC">
      <w:pPr>
        <w:tabs>
          <w:tab w:val="center" w:pos="5400"/>
        </w:tabs>
        <w:suppressAutoHyphens/>
        <w:jc w:val="center"/>
        <w:rPr>
          <w:rFonts w:asciiTheme="majorHAnsi" w:hAnsiTheme="majorHAnsi"/>
          <w:sz w:val="18"/>
          <w:szCs w:val="22"/>
        </w:rPr>
      </w:pPr>
      <w:r w:rsidRPr="00B26051">
        <w:rPr>
          <w:rFonts w:asciiTheme="majorHAnsi" w:hAnsiTheme="majorHAnsi"/>
          <w:noProof/>
          <w:sz w:val="22"/>
          <w:szCs w:val="22"/>
          <w:lang w:val="es-UY" w:eastAsia="es-UY"/>
        </w:rPr>
        <mc:AlternateContent>
          <mc:Choice Requires="wps">
            <w:drawing>
              <wp:anchor distT="0" distB="0" distL="114300" distR="114300" simplePos="0" relativeHeight="251686912" behindDoc="0" locked="0" layoutInCell="1" allowOverlap="1" wp14:anchorId="4F1544FD" wp14:editId="7E04866F">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5B56D" w14:textId="77777777" w:rsidR="00E966C2" w:rsidRPr="004B7EB6" w:rsidRDefault="00E966C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1544FD"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5FC5B56D" w14:textId="77777777" w:rsidR="00E966C2" w:rsidRPr="004B7EB6" w:rsidRDefault="00E966C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B26051">
        <w:rPr>
          <w:rFonts w:asciiTheme="majorHAnsi" w:hAnsiTheme="majorHAnsi"/>
          <w:noProof/>
          <w:sz w:val="22"/>
          <w:szCs w:val="22"/>
          <w:lang w:val="es-UY" w:eastAsia="es-UY"/>
        </w:rPr>
        <mc:AlternateContent>
          <mc:Choice Requires="wps">
            <w:drawing>
              <wp:anchor distT="0" distB="0" distL="114300" distR="114300" simplePos="0" relativeHeight="251684864" behindDoc="0" locked="0" layoutInCell="1" allowOverlap="1" wp14:anchorId="0EA63914" wp14:editId="19E86559">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762BA" w14:textId="77777777" w:rsidR="00E966C2" w:rsidRDefault="00E966C2">
                            <w:r>
                              <w:rPr>
                                <w:noProof/>
                                <w:lang w:val="es-UY" w:eastAsia="es-UY"/>
                              </w:rPr>
                              <w:drawing>
                                <wp:inline distT="0" distB="0" distL="0" distR="0" wp14:anchorId="2942CC4C" wp14:editId="02A4510F">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A63914"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7E3762BA" w14:textId="77777777" w:rsidR="00E966C2" w:rsidRDefault="00E966C2">
                      <w:r>
                        <w:rPr>
                          <w:noProof/>
                        </w:rPr>
                        <w:drawing>
                          <wp:inline distT="0" distB="0" distL="0" distR="0" wp14:anchorId="2942CC4C" wp14:editId="02A4510F">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658BFBD9" w14:textId="77777777" w:rsidR="007607C4" w:rsidRPr="00B26051" w:rsidRDefault="007607C4" w:rsidP="003C32BC">
      <w:pPr>
        <w:tabs>
          <w:tab w:val="center" w:pos="5400"/>
        </w:tabs>
        <w:suppressAutoHyphens/>
        <w:jc w:val="center"/>
        <w:rPr>
          <w:rFonts w:asciiTheme="majorHAnsi" w:hAnsiTheme="majorHAnsi"/>
          <w:sz w:val="18"/>
          <w:szCs w:val="22"/>
        </w:rPr>
        <w:sectPr w:rsidR="007607C4" w:rsidRPr="00B26051"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464995FD" w14:textId="46CCBEB0" w:rsidR="00185D58" w:rsidRPr="00B26051" w:rsidRDefault="00C82A7E" w:rsidP="00185D58">
      <w:pPr>
        <w:tabs>
          <w:tab w:val="center" w:pos="5400"/>
        </w:tabs>
        <w:suppressAutoHyphens/>
        <w:spacing w:line="276" w:lineRule="auto"/>
        <w:jc w:val="center"/>
        <w:rPr>
          <w:rFonts w:asciiTheme="majorHAnsi" w:hAnsiTheme="majorHAnsi"/>
          <w:b/>
          <w:sz w:val="18"/>
          <w:szCs w:val="20"/>
        </w:rPr>
      </w:pPr>
      <w:r w:rsidRPr="00B26051">
        <w:rPr>
          <w:rFonts w:asciiTheme="majorHAnsi" w:hAnsiTheme="majorHAnsi"/>
          <w:b/>
          <w:sz w:val="18"/>
          <w:szCs w:val="20"/>
        </w:rPr>
        <w:lastRenderedPageBreak/>
        <w:t>REPORT</w:t>
      </w:r>
      <w:r w:rsidR="00185D58" w:rsidRPr="00B26051">
        <w:rPr>
          <w:rFonts w:asciiTheme="majorHAnsi" w:hAnsiTheme="majorHAnsi"/>
          <w:b/>
          <w:sz w:val="18"/>
          <w:szCs w:val="20"/>
        </w:rPr>
        <w:t xml:space="preserve"> No. </w:t>
      </w:r>
      <w:r w:rsidR="009644F7">
        <w:rPr>
          <w:rFonts w:asciiTheme="majorHAnsi" w:hAnsiTheme="majorHAnsi"/>
          <w:b/>
          <w:sz w:val="18"/>
          <w:szCs w:val="20"/>
        </w:rPr>
        <w:t>118</w:t>
      </w:r>
      <w:r w:rsidR="00185D58" w:rsidRPr="00B26051">
        <w:rPr>
          <w:rFonts w:asciiTheme="majorHAnsi" w:hAnsiTheme="majorHAnsi"/>
          <w:b/>
          <w:sz w:val="18"/>
          <w:szCs w:val="20"/>
        </w:rPr>
        <w:t>/18</w:t>
      </w:r>
    </w:p>
    <w:p w14:paraId="100BE2CE" w14:textId="755D615E" w:rsidR="00185D58" w:rsidRPr="00B26051" w:rsidRDefault="00C82A7E" w:rsidP="00185D58">
      <w:pPr>
        <w:tabs>
          <w:tab w:val="center" w:pos="5400"/>
        </w:tabs>
        <w:suppressAutoHyphens/>
        <w:spacing w:line="276" w:lineRule="auto"/>
        <w:jc w:val="center"/>
        <w:rPr>
          <w:rFonts w:asciiTheme="majorHAnsi" w:hAnsiTheme="majorHAnsi"/>
          <w:b/>
          <w:sz w:val="18"/>
          <w:szCs w:val="20"/>
        </w:rPr>
      </w:pPr>
      <w:r w:rsidRPr="00B26051">
        <w:rPr>
          <w:rFonts w:asciiTheme="majorHAnsi" w:hAnsiTheme="majorHAnsi"/>
          <w:b/>
          <w:sz w:val="18"/>
          <w:szCs w:val="20"/>
        </w:rPr>
        <w:t>CASE</w:t>
      </w:r>
      <w:r w:rsidR="00185D58" w:rsidRPr="00B26051">
        <w:rPr>
          <w:rFonts w:asciiTheme="majorHAnsi" w:hAnsiTheme="majorHAnsi"/>
          <w:b/>
          <w:sz w:val="18"/>
          <w:szCs w:val="20"/>
        </w:rPr>
        <w:t xml:space="preserve"> 12.890</w:t>
      </w:r>
    </w:p>
    <w:p w14:paraId="3308AEC9" w14:textId="6EF57782" w:rsidR="00185D58" w:rsidRPr="00B26051" w:rsidRDefault="00C82A7E" w:rsidP="00185D58">
      <w:pPr>
        <w:tabs>
          <w:tab w:val="center" w:pos="5400"/>
        </w:tabs>
        <w:suppressAutoHyphens/>
        <w:spacing w:line="276" w:lineRule="auto"/>
        <w:jc w:val="center"/>
        <w:rPr>
          <w:rFonts w:asciiTheme="majorHAnsi" w:hAnsiTheme="majorHAnsi"/>
          <w:sz w:val="18"/>
          <w:szCs w:val="20"/>
        </w:rPr>
      </w:pPr>
      <w:r w:rsidRPr="00B26051">
        <w:rPr>
          <w:rFonts w:asciiTheme="majorHAnsi" w:hAnsiTheme="majorHAnsi"/>
          <w:sz w:val="18"/>
          <w:szCs w:val="20"/>
        </w:rPr>
        <w:t>MERITS</w:t>
      </w:r>
    </w:p>
    <w:p w14:paraId="6F262677" w14:textId="681D9327" w:rsidR="00185D58" w:rsidRPr="00B26051" w:rsidRDefault="00185D58" w:rsidP="00185D58">
      <w:pPr>
        <w:tabs>
          <w:tab w:val="center" w:pos="5400"/>
        </w:tabs>
        <w:suppressAutoHyphens/>
        <w:spacing w:line="276" w:lineRule="auto"/>
        <w:jc w:val="center"/>
        <w:rPr>
          <w:rFonts w:asciiTheme="majorHAnsi" w:hAnsiTheme="majorHAnsi"/>
          <w:sz w:val="18"/>
          <w:szCs w:val="20"/>
        </w:rPr>
      </w:pPr>
      <w:r w:rsidRPr="00B26051">
        <w:rPr>
          <w:rFonts w:asciiTheme="majorHAnsi" w:hAnsiTheme="majorHAnsi"/>
          <w:sz w:val="18"/>
          <w:szCs w:val="20"/>
        </w:rPr>
        <w:t xml:space="preserve">JOSÉ GREGORIO MOTA ABARULLO </w:t>
      </w:r>
      <w:r w:rsidR="00C82A7E" w:rsidRPr="00B26051">
        <w:rPr>
          <w:rFonts w:asciiTheme="majorHAnsi" w:hAnsiTheme="majorHAnsi"/>
          <w:sz w:val="18"/>
          <w:szCs w:val="20"/>
        </w:rPr>
        <w:t>AND OTHERS</w:t>
      </w:r>
    </w:p>
    <w:p w14:paraId="259E8E15" w14:textId="64EBBD38" w:rsidR="00185D58" w:rsidRPr="00B26051" w:rsidRDefault="00185D58" w:rsidP="00185D58">
      <w:pPr>
        <w:tabs>
          <w:tab w:val="center" w:pos="5400"/>
        </w:tabs>
        <w:suppressAutoHyphens/>
        <w:spacing w:line="276" w:lineRule="auto"/>
        <w:jc w:val="center"/>
        <w:rPr>
          <w:rFonts w:asciiTheme="majorHAnsi" w:hAnsiTheme="majorHAnsi"/>
          <w:sz w:val="18"/>
          <w:szCs w:val="20"/>
        </w:rPr>
      </w:pPr>
      <w:r w:rsidRPr="00B26051">
        <w:rPr>
          <w:rFonts w:asciiTheme="majorHAnsi" w:hAnsiTheme="majorHAnsi"/>
          <w:sz w:val="18"/>
          <w:szCs w:val="20"/>
        </w:rPr>
        <w:t>(</w:t>
      </w:r>
      <w:r w:rsidR="00CE049A" w:rsidRPr="00B26051">
        <w:rPr>
          <w:rFonts w:asciiTheme="majorHAnsi" w:hAnsiTheme="majorHAnsi"/>
          <w:sz w:val="18"/>
          <w:szCs w:val="20"/>
        </w:rPr>
        <w:t>DEATHS AT THE</w:t>
      </w:r>
      <w:r w:rsidRPr="00B26051">
        <w:rPr>
          <w:rFonts w:asciiTheme="majorHAnsi" w:hAnsiTheme="majorHAnsi"/>
          <w:sz w:val="18"/>
          <w:szCs w:val="20"/>
        </w:rPr>
        <w:t xml:space="preserve"> SAN FÉLIX</w:t>
      </w:r>
      <w:r w:rsidR="00C82A7E" w:rsidRPr="00B26051">
        <w:rPr>
          <w:rFonts w:asciiTheme="majorHAnsi" w:hAnsiTheme="majorHAnsi"/>
          <w:sz w:val="18"/>
          <w:szCs w:val="20"/>
        </w:rPr>
        <w:t xml:space="preserve"> PRISON</w:t>
      </w:r>
      <w:r w:rsidRPr="00B26051">
        <w:rPr>
          <w:rFonts w:asciiTheme="majorHAnsi" w:hAnsiTheme="majorHAnsi"/>
          <w:sz w:val="18"/>
          <w:szCs w:val="20"/>
        </w:rPr>
        <w:t>)</w:t>
      </w:r>
    </w:p>
    <w:p w14:paraId="4EBD7001" w14:textId="77777777" w:rsidR="00185D58" w:rsidRPr="00B26051" w:rsidRDefault="00185D58" w:rsidP="00185D58">
      <w:pPr>
        <w:tabs>
          <w:tab w:val="center" w:pos="5400"/>
        </w:tabs>
        <w:suppressAutoHyphens/>
        <w:spacing w:line="276" w:lineRule="auto"/>
        <w:jc w:val="center"/>
        <w:rPr>
          <w:rFonts w:asciiTheme="majorHAnsi" w:hAnsiTheme="majorHAnsi"/>
          <w:sz w:val="18"/>
          <w:szCs w:val="20"/>
        </w:rPr>
      </w:pPr>
      <w:r w:rsidRPr="00B26051">
        <w:rPr>
          <w:rFonts w:asciiTheme="majorHAnsi" w:hAnsiTheme="majorHAnsi"/>
          <w:sz w:val="18"/>
          <w:szCs w:val="20"/>
        </w:rPr>
        <w:t>VENEZUELA</w:t>
      </w:r>
    </w:p>
    <w:p w14:paraId="547EAEED" w14:textId="4AC53407" w:rsidR="00185D58" w:rsidRPr="00B26051" w:rsidRDefault="009644F7" w:rsidP="00185D58">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OCTOBER 5, 2018</w:t>
      </w:r>
    </w:p>
    <w:p w14:paraId="1B09AEC3" w14:textId="77777777" w:rsidR="00185D58" w:rsidRPr="00B26051" w:rsidRDefault="00185D58" w:rsidP="00185D58">
      <w:pPr>
        <w:pStyle w:val="ListParagraph"/>
        <w:suppressAutoHyphens/>
        <w:ind w:left="1440"/>
        <w:rPr>
          <w:rFonts w:asciiTheme="majorHAnsi" w:hAnsiTheme="majorHAnsi"/>
          <w:b/>
          <w:color w:val="auto"/>
          <w:sz w:val="20"/>
          <w:szCs w:val="20"/>
        </w:rPr>
      </w:pPr>
    </w:p>
    <w:p w14:paraId="5D82418F" w14:textId="13CE7EFA" w:rsidR="00185D58" w:rsidRPr="00B26051" w:rsidRDefault="00C82A7E" w:rsidP="007F4FA0">
      <w:pPr>
        <w:pStyle w:val="ListParagraph"/>
        <w:numPr>
          <w:ilvl w:val="0"/>
          <w:numId w:val="55"/>
        </w:numPr>
        <w:suppressAutoHyphens/>
        <w:ind w:left="1440" w:hanging="810"/>
        <w:rPr>
          <w:rFonts w:asciiTheme="majorHAnsi" w:hAnsiTheme="majorHAnsi"/>
          <w:b/>
          <w:color w:val="auto"/>
          <w:sz w:val="20"/>
          <w:szCs w:val="20"/>
        </w:rPr>
      </w:pPr>
      <w:r w:rsidRPr="00B26051">
        <w:rPr>
          <w:rFonts w:asciiTheme="majorHAnsi" w:hAnsiTheme="majorHAnsi"/>
          <w:b/>
          <w:color w:val="auto"/>
          <w:sz w:val="20"/>
          <w:szCs w:val="20"/>
        </w:rPr>
        <w:t>SUMMARY</w:t>
      </w:r>
    </w:p>
    <w:p w14:paraId="6919F92B" w14:textId="77777777" w:rsidR="00185D58" w:rsidRPr="00B26051" w:rsidRDefault="00185D58" w:rsidP="00185D58">
      <w:pPr>
        <w:suppressAutoHyphens/>
        <w:ind w:left="360"/>
        <w:rPr>
          <w:rFonts w:asciiTheme="majorHAnsi" w:hAnsiTheme="majorHAnsi"/>
          <w:b/>
          <w:sz w:val="20"/>
          <w:szCs w:val="20"/>
        </w:rPr>
      </w:pPr>
    </w:p>
    <w:p w14:paraId="2478C7E1" w14:textId="09BCFEB0" w:rsidR="00185D58" w:rsidRPr="00B26051" w:rsidRDefault="00D04460"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 xml:space="preserve">On October 12, 2007, the Inter-American Commission on Human Rights (hereinafter "the Inter-American Commission", "the Commission" or "the IACHR") received a petition </w:t>
      </w:r>
      <w:r w:rsidR="00671AF6" w:rsidRPr="00B26051">
        <w:rPr>
          <w:rFonts w:ascii="Cambria" w:hAnsi="Cambria"/>
          <w:sz w:val="20"/>
          <w:szCs w:val="20"/>
        </w:rPr>
        <w:t>filed</w:t>
      </w:r>
      <w:r w:rsidRPr="00B26051">
        <w:rPr>
          <w:rFonts w:ascii="Cambria" w:hAnsi="Cambria"/>
          <w:sz w:val="20"/>
          <w:szCs w:val="20"/>
        </w:rPr>
        <w:t xml:space="preserve"> by the </w:t>
      </w:r>
      <w:r w:rsidR="00671AF6" w:rsidRPr="00B26051">
        <w:rPr>
          <w:rFonts w:ascii="Cambria" w:hAnsi="Cambria"/>
          <w:i/>
          <w:sz w:val="20"/>
          <w:szCs w:val="20"/>
        </w:rPr>
        <w:t>Observatorio Venezolano de Prisiones</w:t>
      </w:r>
      <w:r w:rsidR="00671AF6" w:rsidRPr="00B26051">
        <w:rPr>
          <w:rFonts w:ascii="Cambria" w:hAnsi="Cambria"/>
          <w:sz w:val="20"/>
          <w:szCs w:val="20"/>
        </w:rPr>
        <w:t xml:space="preserve"> (hereinafter "the petitioners</w:t>
      </w:r>
      <w:r w:rsidRPr="00B26051">
        <w:rPr>
          <w:rFonts w:ascii="Cambria" w:hAnsi="Cambria"/>
          <w:sz w:val="20"/>
          <w:szCs w:val="20"/>
        </w:rPr>
        <w:t>")</w:t>
      </w:r>
      <w:r w:rsidRPr="00B26051">
        <w:rPr>
          <w:rStyle w:val="FootnoteReference"/>
          <w:rFonts w:asciiTheme="majorHAnsi" w:hAnsiTheme="majorHAnsi"/>
          <w:sz w:val="20"/>
          <w:szCs w:val="20"/>
        </w:rPr>
        <w:footnoteReference w:id="2"/>
      </w:r>
      <w:r w:rsidR="00671AF6" w:rsidRPr="00B26051">
        <w:rPr>
          <w:rFonts w:ascii="Cambria" w:hAnsi="Cambria"/>
          <w:sz w:val="20"/>
          <w:szCs w:val="20"/>
        </w:rPr>
        <w:t xml:space="preserve"> alleging</w:t>
      </w:r>
      <w:r w:rsidRPr="00B26051">
        <w:rPr>
          <w:rFonts w:ascii="Cambria" w:hAnsi="Cambria"/>
          <w:sz w:val="20"/>
          <w:szCs w:val="20"/>
        </w:rPr>
        <w:t xml:space="preserve"> the international responsibility of the </w:t>
      </w:r>
      <w:r w:rsidR="00B26051" w:rsidRPr="00B26051">
        <w:rPr>
          <w:rFonts w:ascii="Cambria" w:hAnsi="Cambria"/>
          <w:sz w:val="20"/>
          <w:szCs w:val="20"/>
        </w:rPr>
        <w:t>Bolivarian</w:t>
      </w:r>
      <w:r w:rsidRPr="00B26051">
        <w:rPr>
          <w:rFonts w:ascii="Cambria" w:hAnsi="Cambria"/>
          <w:sz w:val="20"/>
          <w:szCs w:val="20"/>
        </w:rPr>
        <w:t xml:space="preserve"> Repu</w:t>
      </w:r>
      <w:r w:rsidR="00671AF6" w:rsidRPr="00B26051">
        <w:rPr>
          <w:rFonts w:ascii="Cambria" w:hAnsi="Cambria"/>
          <w:sz w:val="20"/>
          <w:szCs w:val="20"/>
        </w:rPr>
        <w:t>blic of Venezuela (hereinafter “</w:t>
      </w:r>
      <w:r w:rsidRPr="00B26051">
        <w:rPr>
          <w:rFonts w:ascii="Cambria" w:hAnsi="Cambria"/>
          <w:sz w:val="20"/>
          <w:szCs w:val="20"/>
        </w:rPr>
        <w:t>the Venezuelan State",</w:t>
      </w:r>
      <w:r w:rsidR="00671AF6" w:rsidRPr="00B26051">
        <w:rPr>
          <w:rFonts w:ascii="Cambria" w:hAnsi="Cambria"/>
          <w:sz w:val="20"/>
          <w:szCs w:val="20"/>
        </w:rPr>
        <w:t xml:space="preserve"> "the State</w:t>
      </w:r>
      <w:r w:rsidRPr="00B26051">
        <w:rPr>
          <w:rFonts w:ascii="Cambria" w:hAnsi="Cambria"/>
          <w:sz w:val="20"/>
          <w:szCs w:val="20"/>
        </w:rPr>
        <w:t>"</w:t>
      </w:r>
      <w:r w:rsidR="00671AF6" w:rsidRPr="00B26051">
        <w:rPr>
          <w:rFonts w:ascii="Cambria" w:hAnsi="Cambria"/>
          <w:sz w:val="20"/>
          <w:szCs w:val="20"/>
        </w:rPr>
        <w:t xml:space="preserve"> </w:t>
      </w:r>
      <w:r w:rsidRPr="00B26051">
        <w:rPr>
          <w:rFonts w:ascii="Cambria" w:hAnsi="Cambria"/>
          <w:sz w:val="20"/>
          <w:szCs w:val="20"/>
        </w:rPr>
        <w:t>or</w:t>
      </w:r>
      <w:r w:rsidR="00671AF6" w:rsidRPr="00B26051">
        <w:rPr>
          <w:rFonts w:ascii="Cambria" w:hAnsi="Cambria"/>
          <w:sz w:val="20"/>
          <w:szCs w:val="20"/>
        </w:rPr>
        <w:t xml:space="preserve"> "Venezuela</w:t>
      </w:r>
      <w:r w:rsidRPr="00B26051">
        <w:rPr>
          <w:rFonts w:ascii="Cambria" w:hAnsi="Cambria"/>
          <w:sz w:val="20"/>
          <w:szCs w:val="20"/>
        </w:rPr>
        <w:t>") to the detriment of José Gregorio Mota Abarullo, Johan José Correa, Gabriel de Jesús Yáñez Sánchez, Rafael Antonio Parra Herrera and Cristián Arnaldo Molina Córdova.</w:t>
      </w:r>
    </w:p>
    <w:p w14:paraId="4898D3BC" w14:textId="77777777" w:rsidR="00185D58" w:rsidRPr="00B26051" w:rsidRDefault="00185D58" w:rsidP="00185D5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14:paraId="29FFBAB3" w14:textId="0D4E9779" w:rsidR="00185D58" w:rsidRPr="00B26051" w:rsidRDefault="00F06ED7"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The Commission adopted</w:t>
      </w:r>
      <w:r w:rsidR="00007889" w:rsidRPr="00B26051">
        <w:rPr>
          <w:rFonts w:ascii="Cambria" w:hAnsi="Cambria"/>
          <w:sz w:val="20"/>
          <w:szCs w:val="20"/>
        </w:rPr>
        <w:t xml:space="preserve"> Admissibility R</w:t>
      </w:r>
      <w:r w:rsidR="00C05F88" w:rsidRPr="00B26051">
        <w:rPr>
          <w:rFonts w:ascii="Cambria" w:hAnsi="Cambria"/>
          <w:sz w:val="20"/>
          <w:szCs w:val="20"/>
        </w:rPr>
        <w:t>eport No. 91/12 on November 8, 2012.</w:t>
      </w:r>
      <w:r w:rsidR="00C05F88" w:rsidRPr="00B26051">
        <w:rPr>
          <w:rStyle w:val="FootnoteReference"/>
          <w:rFonts w:ascii="Cambria" w:hAnsi="Cambria"/>
          <w:sz w:val="20"/>
          <w:szCs w:val="20"/>
        </w:rPr>
        <w:footnoteReference w:id="3"/>
      </w:r>
      <w:r w:rsidR="00C05F88" w:rsidRPr="00B26051">
        <w:rPr>
          <w:rFonts w:ascii="Cambria" w:hAnsi="Cambria"/>
          <w:sz w:val="20"/>
          <w:szCs w:val="20"/>
        </w:rPr>
        <w:t xml:space="preserve"> On November 20, 20</w:t>
      </w:r>
      <w:r w:rsidR="00007889" w:rsidRPr="00B26051">
        <w:rPr>
          <w:rFonts w:ascii="Cambria" w:hAnsi="Cambria"/>
          <w:sz w:val="20"/>
          <w:szCs w:val="20"/>
        </w:rPr>
        <w:t>12, the Commission notified this</w:t>
      </w:r>
      <w:r w:rsidR="00C05F88" w:rsidRPr="00B26051">
        <w:rPr>
          <w:rFonts w:ascii="Cambria" w:hAnsi="Cambria"/>
          <w:sz w:val="20"/>
          <w:szCs w:val="20"/>
        </w:rPr>
        <w:t xml:space="preserve"> report to the </w:t>
      </w:r>
      <w:r w:rsidR="00007889" w:rsidRPr="00B26051">
        <w:rPr>
          <w:rFonts w:ascii="Cambria" w:hAnsi="Cambria"/>
          <w:sz w:val="20"/>
          <w:szCs w:val="20"/>
        </w:rPr>
        <w:t>parties and placed itself at their</w:t>
      </w:r>
      <w:r w:rsidR="00C05F88" w:rsidRPr="00B26051">
        <w:rPr>
          <w:rFonts w:ascii="Cambria" w:hAnsi="Cambria"/>
          <w:sz w:val="20"/>
          <w:szCs w:val="20"/>
        </w:rPr>
        <w:t xml:space="preserve"> disposal in order to reach a friendly settlement. </w:t>
      </w:r>
      <w:r w:rsidR="00BE64BA" w:rsidRPr="00BE64BA">
        <w:rPr>
          <w:rFonts w:ascii="Cambria" w:hAnsi="Cambria"/>
          <w:sz w:val="20"/>
          <w:szCs w:val="20"/>
        </w:rPr>
        <w:t>The parties enjoyed the time periods provided for in the IACHR’s Rules of Procedure to present additional observations on the merits.</w:t>
      </w:r>
      <w:r w:rsidR="00BE64BA">
        <w:rPr>
          <w:rFonts w:ascii="Cambria" w:hAnsi="Cambria"/>
          <w:sz w:val="20"/>
          <w:szCs w:val="20"/>
        </w:rPr>
        <w:t xml:space="preserve"> </w:t>
      </w:r>
      <w:r w:rsidR="00C05F88" w:rsidRPr="00B26051">
        <w:rPr>
          <w:rFonts w:ascii="Cambria" w:hAnsi="Cambria"/>
          <w:sz w:val="20"/>
          <w:szCs w:val="20"/>
        </w:rPr>
        <w:t>The State did not present observations at the merits stage. All informati</w:t>
      </w:r>
      <w:r w:rsidR="004B710D" w:rsidRPr="00B26051">
        <w:rPr>
          <w:rFonts w:ascii="Cambria" w:hAnsi="Cambria"/>
          <w:sz w:val="20"/>
          <w:szCs w:val="20"/>
        </w:rPr>
        <w:t>on received was duly transmitted</w:t>
      </w:r>
      <w:r w:rsidR="00C05F88" w:rsidRPr="00B26051">
        <w:rPr>
          <w:rFonts w:ascii="Cambria" w:hAnsi="Cambria"/>
          <w:sz w:val="20"/>
          <w:szCs w:val="20"/>
        </w:rPr>
        <w:t xml:space="preserve"> between the parties.</w:t>
      </w:r>
    </w:p>
    <w:p w14:paraId="52AA31FA" w14:textId="77777777" w:rsidR="00185D58" w:rsidRPr="00B26051" w:rsidRDefault="00185D58" w:rsidP="00185D5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rPr>
      </w:pPr>
    </w:p>
    <w:p w14:paraId="664C3290" w14:textId="2D741D96" w:rsidR="00185D58" w:rsidRPr="00B26051" w:rsidRDefault="00C05F88"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The petitioner</w:t>
      </w:r>
      <w:r w:rsidR="0040234F" w:rsidRPr="00B26051">
        <w:rPr>
          <w:rFonts w:ascii="Cambria" w:hAnsi="Cambria"/>
          <w:sz w:val="20"/>
          <w:szCs w:val="20"/>
        </w:rPr>
        <w:t>s</w:t>
      </w:r>
      <w:r w:rsidRPr="00B26051">
        <w:rPr>
          <w:rFonts w:ascii="Cambria" w:hAnsi="Cambria"/>
          <w:sz w:val="20"/>
          <w:szCs w:val="20"/>
        </w:rPr>
        <w:t xml:space="preserve"> </w:t>
      </w:r>
      <w:r w:rsidR="0040234F" w:rsidRPr="00B26051">
        <w:rPr>
          <w:rFonts w:ascii="Cambria" w:hAnsi="Cambria"/>
          <w:sz w:val="20"/>
          <w:szCs w:val="20"/>
        </w:rPr>
        <w:t>argued</w:t>
      </w:r>
      <w:r w:rsidRPr="00B26051">
        <w:rPr>
          <w:rFonts w:ascii="Cambria" w:hAnsi="Cambria"/>
          <w:sz w:val="20"/>
          <w:szCs w:val="20"/>
        </w:rPr>
        <w:t xml:space="preserve"> that the alleged victi</w:t>
      </w:r>
      <w:r w:rsidR="0040234F" w:rsidRPr="00B26051">
        <w:rPr>
          <w:rFonts w:ascii="Cambria" w:hAnsi="Cambria"/>
          <w:sz w:val="20"/>
          <w:szCs w:val="20"/>
        </w:rPr>
        <w:t>ms, inmates in a juvenile detention center</w:t>
      </w:r>
      <w:r w:rsidRPr="00B26051">
        <w:rPr>
          <w:rFonts w:ascii="Cambria" w:hAnsi="Cambria"/>
          <w:sz w:val="20"/>
          <w:szCs w:val="20"/>
        </w:rPr>
        <w:t>, died on June 30, 2005</w:t>
      </w:r>
      <w:r w:rsidR="00F06ED7" w:rsidRPr="00B26051">
        <w:rPr>
          <w:rFonts w:ascii="Cambria" w:hAnsi="Cambria"/>
          <w:sz w:val="20"/>
          <w:szCs w:val="20"/>
        </w:rPr>
        <w:t>,</w:t>
      </w:r>
      <w:r w:rsidRPr="00B26051">
        <w:rPr>
          <w:rFonts w:ascii="Cambria" w:hAnsi="Cambria"/>
          <w:sz w:val="20"/>
          <w:szCs w:val="20"/>
        </w:rPr>
        <w:t xml:space="preserve"> in a fire inside their cell, attributable to the action</w:t>
      </w:r>
      <w:r w:rsidR="00521BB1" w:rsidRPr="00B26051">
        <w:rPr>
          <w:rFonts w:ascii="Cambria" w:hAnsi="Cambria"/>
          <w:sz w:val="20"/>
          <w:szCs w:val="20"/>
        </w:rPr>
        <w:t>s</w:t>
      </w:r>
      <w:r w:rsidRPr="00B26051">
        <w:rPr>
          <w:rFonts w:ascii="Cambria" w:hAnsi="Cambria"/>
          <w:sz w:val="20"/>
          <w:szCs w:val="20"/>
        </w:rPr>
        <w:t xml:space="preserve"> and omission of state authorities. </w:t>
      </w:r>
      <w:r w:rsidR="0040234F" w:rsidRPr="00B26051">
        <w:rPr>
          <w:rFonts w:ascii="Cambria" w:hAnsi="Cambria"/>
          <w:sz w:val="20"/>
          <w:szCs w:val="20"/>
        </w:rPr>
        <w:t>They</w:t>
      </w:r>
      <w:r w:rsidRPr="00B26051">
        <w:rPr>
          <w:rFonts w:ascii="Cambria" w:hAnsi="Cambria"/>
          <w:sz w:val="20"/>
          <w:szCs w:val="20"/>
        </w:rPr>
        <w:t xml:space="preserve"> also alleged </w:t>
      </w:r>
      <w:r w:rsidR="0040234F" w:rsidRPr="00B26051">
        <w:rPr>
          <w:rFonts w:ascii="Cambria" w:hAnsi="Cambria"/>
          <w:sz w:val="20"/>
          <w:szCs w:val="20"/>
        </w:rPr>
        <w:t>a</w:t>
      </w:r>
      <w:r w:rsidRPr="00B26051">
        <w:rPr>
          <w:rFonts w:ascii="Cambria" w:hAnsi="Cambria"/>
          <w:sz w:val="20"/>
          <w:szCs w:val="20"/>
        </w:rPr>
        <w:t xml:space="preserve"> lack of due diligence in the investigation and delay in </w:t>
      </w:r>
      <w:r w:rsidR="0040234F" w:rsidRPr="00B26051">
        <w:rPr>
          <w:rFonts w:ascii="Cambria" w:hAnsi="Cambria"/>
          <w:sz w:val="20"/>
          <w:szCs w:val="20"/>
        </w:rPr>
        <w:t>trying</w:t>
      </w:r>
      <w:r w:rsidRPr="00B26051">
        <w:rPr>
          <w:rFonts w:ascii="Cambria" w:hAnsi="Cambria"/>
          <w:sz w:val="20"/>
          <w:szCs w:val="20"/>
        </w:rPr>
        <w:t xml:space="preserve"> the case, as well as violations of the personal integrity of </w:t>
      </w:r>
      <w:r w:rsidR="00BE64BA">
        <w:rPr>
          <w:rFonts w:ascii="Cambria" w:hAnsi="Cambria"/>
          <w:sz w:val="20"/>
          <w:szCs w:val="20"/>
        </w:rPr>
        <w:t>their family members</w:t>
      </w:r>
      <w:r w:rsidRPr="00B26051">
        <w:rPr>
          <w:rFonts w:ascii="Cambria" w:hAnsi="Cambria"/>
          <w:sz w:val="20"/>
          <w:szCs w:val="20"/>
        </w:rPr>
        <w:t>.</w:t>
      </w:r>
    </w:p>
    <w:p w14:paraId="143CA9FD" w14:textId="77777777" w:rsidR="00185D58" w:rsidRPr="00B26051" w:rsidRDefault="00185D58" w:rsidP="00185D5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14:paraId="7652030F" w14:textId="246F5502" w:rsidR="00185D58" w:rsidRPr="00B26051" w:rsidRDefault="00C05F88"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The State did not present arguments at the merits stag</w:t>
      </w:r>
      <w:r w:rsidR="00521BB1" w:rsidRPr="00B26051">
        <w:rPr>
          <w:rFonts w:ascii="Cambria" w:hAnsi="Cambria"/>
          <w:sz w:val="20"/>
          <w:szCs w:val="20"/>
        </w:rPr>
        <w:t>e. However, it is clear from its position at</w:t>
      </w:r>
      <w:r w:rsidRPr="00B26051">
        <w:rPr>
          <w:rFonts w:ascii="Cambria" w:hAnsi="Cambria"/>
          <w:sz w:val="20"/>
          <w:szCs w:val="20"/>
        </w:rPr>
        <w:t xml:space="preserve"> the admissibility </w:t>
      </w:r>
      <w:r w:rsidR="00B26051" w:rsidRPr="00B26051">
        <w:rPr>
          <w:rFonts w:ascii="Cambria" w:hAnsi="Cambria"/>
          <w:sz w:val="20"/>
          <w:szCs w:val="20"/>
        </w:rPr>
        <w:t>stage that</w:t>
      </w:r>
      <w:r w:rsidR="00521BB1" w:rsidRPr="00B26051">
        <w:rPr>
          <w:rFonts w:ascii="Cambria" w:hAnsi="Cambria"/>
          <w:sz w:val="20"/>
          <w:szCs w:val="20"/>
        </w:rPr>
        <w:t xml:space="preserve"> it denies</w:t>
      </w:r>
      <w:r w:rsidRPr="00B26051">
        <w:rPr>
          <w:rFonts w:ascii="Cambria" w:hAnsi="Cambria"/>
          <w:sz w:val="20"/>
          <w:szCs w:val="20"/>
        </w:rPr>
        <w:t xml:space="preserve"> international responsibility for the deaths, </w:t>
      </w:r>
      <w:r w:rsidR="006D7265" w:rsidRPr="00B26051">
        <w:rPr>
          <w:rFonts w:ascii="Cambria" w:hAnsi="Cambria"/>
          <w:sz w:val="20"/>
          <w:szCs w:val="20"/>
        </w:rPr>
        <w:t>arguing that</w:t>
      </w:r>
      <w:r w:rsidR="00521BB1" w:rsidRPr="00B26051">
        <w:rPr>
          <w:rFonts w:ascii="Cambria" w:hAnsi="Cambria"/>
          <w:sz w:val="20"/>
          <w:szCs w:val="20"/>
        </w:rPr>
        <w:t xml:space="preserve"> it did not fail in its duty of </w:t>
      </w:r>
      <w:r w:rsidRPr="00B26051">
        <w:rPr>
          <w:rFonts w:ascii="Cambria" w:hAnsi="Cambria"/>
          <w:sz w:val="20"/>
          <w:szCs w:val="20"/>
        </w:rPr>
        <w:t xml:space="preserve">prevention. Regarding judicial guarantees and judicial protection, </w:t>
      </w:r>
      <w:r w:rsidR="00521BB1" w:rsidRPr="00B26051">
        <w:rPr>
          <w:rFonts w:ascii="Cambria" w:hAnsi="Cambria"/>
          <w:sz w:val="20"/>
          <w:szCs w:val="20"/>
        </w:rPr>
        <w:t>it</w:t>
      </w:r>
      <w:r w:rsidRPr="00B26051">
        <w:rPr>
          <w:rFonts w:ascii="Cambria" w:hAnsi="Cambria"/>
          <w:sz w:val="20"/>
          <w:szCs w:val="20"/>
        </w:rPr>
        <w:t xml:space="preserve"> argued that </w:t>
      </w:r>
      <w:r w:rsidR="00521BB1" w:rsidRPr="00B26051">
        <w:rPr>
          <w:rFonts w:ascii="Cambria" w:hAnsi="Cambria"/>
          <w:sz w:val="20"/>
          <w:szCs w:val="20"/>
        </w:rPr>
        <w:t>criminal proceedings are</w:t>
      </w:r>
      <w:r w:rsidRPr="00B26051">
        <w:rPr>
          <w:rFonts w:ascii="Cambria" w:hAnsi="Cambria"/>
          <w:sz w:val="20"/>
          <w:szCs w:val="20"/>
        </w:rPr>
        <w:t xml:space="preserve"> still ongoing.</w:t>
      </w:r>
    </w:p>
    <w:p w14:paraId="434C4079" w14:textId="77777777" w:rsidR="00185D58" w:rsidRPr="00B26051" w:rsidRDefault="00185D58" w:rsidP="00185D58">
      <w:pPr>
        <w:pStyle w:val="ListParagraph"/>
        <w:rPr>
          <w:color w:val="auto"/>
          <w:sz w:val="20"/>
          <w:szCs w:val="20"/>
        </w:rPr>
      </w:pPr>
    </w:p>
    <w:p w14:paraId="5F523CB2" w14:textId="79C71EFE" w:rsidR="00185D58" w:rsidRPr="00B26051" w:rsidRDefault="00E636E7"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 xml:space="preserve">Based on the findings of fact and law, the Inter-American Commission concluded that the State </w:t>
      </w:r>
      <w:r w:rsidR="00BE64BA">
        <w:rPr>
          <w:rFonts w:ascii="Cambria" w:hAnsi="Cambria"/>
          <w:sz w:val="20"/>
          <w:szCs w:val="20"/>
        </w:rPr>
        <w:t>is</w:t>
      </w:r>
      <w:r w:rsidRPr="00B26051">
        <w:rPr>
          <w:rFonts w:ascii="Cambria" w:hAnsi="Cambria"/>
          <w:sz w:val="20"/>
          <w:szCs w:val="20"/>
        </w:rPr>
        <w:t xml:space="preserve"> responsib</w:t>
      </w:r>
      <w:r w:rsidR="001532B8" w:rsidRPr="00B26051">
        <w:rPr>
          <w:rFonts w:ascii="Cambria" w:hAnsi="Cambria"/>
          <w:sz w:val="20"/>
          <w:szCs w:val="20"/>
        </w:rPr>
        <w:t xml:space="preserve">le for the violation of </w:t>
      </w:r>
      <w:r w:rsidR="009644F7" w:rsidRPr="00B26051">
        <w:rPr>
          <w:rFonts w:ascii="Cambria" w:hAnsi="Cambria"/>
          <w:sz w:val="20"/>
          <w:szCs w:val="20"/>
        </w:rPr>
        <w:t>Articles 4.1 (life), 5.1, 5.4, 5.5 and 5.6 (personal integrity), 8.1 (judicial guarantees) and 25.1 (judicial protection) of the American Convention on Human Rights, in relation to the obligations established in Article</w:t>
      </w:r>
      <w:r w:rsidR="009644F7">
        <w:rPr>
          <w:rFonts w:ascii="Cambria" w:hAnsi="Cambria"/>
          <w:sz w:val="20"/>
          <w:szCs w:val="20"/>
        </w:rPr>
        <w:t>s</w:t>
      </w:r>
      <w:r w:rsidR="009644F7" w:rsidRPr="00B26051">
        <w:rPr>
          <w:rFonts w:ascii="Cambria" w:hAnsi="Cambria"/>
          <w:sz w:val="20"/>
          <w:szCs w:val="20"/>
        </w:rPr>
        <w:t xml:space="preserve"> 1.1</w:t>
      </w:r>
      <w:r w:rsidR="009644F7">
        <w:rPr>
          <w:rFonts w:ascii="Cambria" w:hAnsi="Cambria"/>
          <w:sz w:val="20"/>
          <w:szCs w:val="20"/>
        </w:rPr>
        <w:t xml:space="preserve"> and 19</w:t>
      </w:r>
      <w:r w:rsidR="009644F7" w:rsidRPr="00B26051">
        <w:rPr>
          <w:rFonts w:ascii="Cambria" w:hAnsi="Cambria"/>
          <w:sz w:val="20"/>
          <w:szCs w:val="20"/>
        </w:rPr>
        <w:t xml:space="preserve"> of the same instrument</w:t>
      </w:r>
      <w:r w:rsidRPr="00B26051">
        <w:rPr>
          <w:rFonts w:ascii="Cambria" w:hAnsi="Cambria"/>
          <w:sz w:val="20"/>
          <w:szCs w:val="20"/>
        </w:rPr>
        <w:t xml:space="preserve">. The Commission </w:t>
      </w:r>
      <w:r w:rsidR="006D7265" w:rsidRPr="00B26051">
        <w:rPr>
          <w:rFonts w:ascii="Cambria" w:hAnsi="Cambria"/>
          <w:sz w:val="20"/>
          <w:szCs w:val="20"/>
        </w:rPr>
        <w:t>issued</w:t>
      </w:r>
      <w:r w:rsidRPr="00B26051">
        <w:rPr>
          <w:rFonts w:ascii="Cambria" w:hAnsi="Cambria"/>
          <w:sz w:val="20"/>
          <w:szCs w:val="20"/>
        </w:rPr>
        <w:t xml:space="preserve"> the respective recommendations.</w:t>
      </w:r>
    </w:p>
    <w:p w14:paraId="70EF513A" w14:textId="77777777" w:rsidR="00185D58" w:rsidRPr="00B26051" w:rsidRDefault="00185D58" w:rsidP="00E636E7">
      <w:pPr>
        <w:pStyle w:val="ListParagraph"/>
        <w:suppressAutoHyphens/>
        <w:ind w:left="1080"/>
        <w:rPr>
          <w:rFonts w:asciiTheme="majorHAnsi" w:hAnsiTheme="majorHAnsi"/>
          <w:b/>
          <w:color w:val="auto"/>
          <w:sz w:val="20"/>
          <w:szCs w:val="20"/>
        </w:rPr>
      </w:pPr>
    </w:p>
    <w:p w14:paraId="280C12BC" w14:textId="77176EFA" w:rsidR="00185D58" w:rsidRPr="00B26051" w:rsidRDefault="00BE64BA" w:rsidP="007F4FA0">
      <w:pPr>
        <w:pStyle w:val="ListParagraph"/>
        <w:numPr>
          <w:ilvl w:val="0"/>
          <w:numId w:val="55"/>
        </w:numPr>
        <w:suppressAutoHyphens/>
        <w:ind w:left="1440"/>
        <w:rPr>
          <w:rFonts w:asciiTheme="majorHAnsi" w:hAnsiTheme="majorHAnsi"/>
          <w:b/>
          <w:color w:val="auto"/>
          <w:sz w:val="20"/>
          <w:szCs w:val="20"/>
        </w:rPr>
      </w:pPr>
      <w:r>
        <w:rPr>
          <w:rFonts w:asciiTheme="majorHAnsi" w:hAnsiTheme="majorHAnsi"/>
          <w:b/>
          <w:color w:val="auto"/>
          <w:sz w:val="20"/>
          <w:szCs w:val="20"/>
        </w:rPr>
        <w:t>POSITIONS</w:t>
      </w:r>
      <w:r w:rsidR="00E636E7" w:rsidRPr="00B26051">
        <w:rPr>
          <w:rFonts w:asciiTheme="majorHAnsi" w:hAnsiTheme="majorHAnsi"/>
          <w:b/>
          <w:color w:val="auto"/>
          <w:sz w:val="20"/>
          <w:szCs w:val="20"/>
        </w:rPr>
        <w:t xml:space="preserve"> OF THE PARTIES</w:t>
      </w:r>
    </w:p>
    <w:p w14:paraId="72378917" w14:textId="77777777" w:rsidR="00185D58" w:rsidRPr="00B26051" w:rsidRDefault="00185D58" w:rsidP="00185D58">
      <w:pPr>
        <w:suppressAutoHyphens/>
        <w:rPr>
          <w:rFonts w:asciiTheme="majorHAnsi" w:hAnsiTheme="majorHAnsi"/>
          <w:sz w:val="20"/>
          <w:szCs w:val="20"/>
        </w:rPr>
      </w:pPr>
    </w:p>
    <w:p w14:paraId="57932C8B" w14:textId="590960F5" w:rsidR="00185D58" w:rsidRPr="00B26051" w:rsidRDefault="00BF6905" w:rsidP="007F4FA0">
      <w:pPr>
        <w:pStyle w:val="ListParagraph"/>
        <w:numPr>
          <w:ilvl w:val="0"/>
          <w:numId w:val="56"/>
        </w:numPr>
        <w:suppressAutoHyphens/>
        <w:ind w:hanging="720"/>
        <w:rPr>
          <w:rFonts w:asciiTheme="majorHAnsi" w:hAnsiTheme="majorHAnsi"/>
          <w:b/>
          <w:color w:val="auto"/>
          <w:sz w:val="20"/>
          <w:szCs w:val="20"/>
        </w:rPr>
      </w:pPr>
      <w:r w:rsidRPr="00B26051">
        <w:rPr>
          <w:rFonts w:asciiTheme="majorHAnsi" w:hAnsiTheme="majorHAnsi"/>
          <w:b/>
          <w:color w:val="auto"/>
          <w:sz w:val="20"/>
          <w:szCs w:val="20"/>
        </w:rPr>
        <w:t>P</w:t>
      </w:r>
      <w:r w:rsidR="00E636E7" w:rsidRPr="00B26051">
        <w:rPr>
          <w:rFonts w:asciiTheme="majorHAnsi" w:hAnsiTheme="majorHAnsi"/>
          <w:b/>
          <w:color w:val="auto"/>
          <w:sz w:val="20"/>
          <w:szCs w:val="20"/>
        </w:rPr>
        <w:t>ETITIONER</w:t>
      </w:r>
      <w:r w:rsidR="001532B8" w:rsidRPr="00B26051">
        <w:rPr>
          <w:rFonts w:asciiTheme="majorHAnsi" w:hAnsiTheme="majorHAnsi"/>
          <w:b/>
          <w:color w:val="auto"/>
          <w:sz w:val="20"/>
          <w:szCs w:val="20"/>
        </w:rPr>
        <w:t>S</w:t>
      </w:r>
    </w:p>
    <w:p w14:paraId="4420ADA2" w14:textId="77777777" w:rsidR="00185D58" w:rsidRPr="00B26051" w:rsidRDefault="00185D58" w:rsidP="00185D58">
      <w:pPr>
        <w:suppressAutoHyphens/>
        <w:rPr>
          <w:rFonts w:asciiTheme="majorHAnsi" w:hAnsiTheme="majorHAnsi"/>
          <w:sz w:val="20"/>
          <w:szCs w:val="20"/>
        </w:rPr>
      </w:pPr>
    </w:p>
    <w:p w14:paraId="34B1F13A" w14:textId="4AA8B896" w:rsidR="00185D58" w:rsidRPr="00B26051" w:rsidRDefault="001532B8"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T</w:t>
      </w:r>
      <w:r w:rsidR="006D7265" w:rsidRPr="00B26051">
        <w:rPr>
          <w:rFonts w:ascii="Cambria" w:hAnsi="Cambria"/>
          <w:sz w:val="20"/>
          <w:szCs w:val="20"/>
        </w:rPr>
        <w:t>he petitioners</w:t>
      </w:r>
      <w:r w:rsidR="00E636E7" w:rsidRPr="00B26051">
        <w:rPr>
          <w:rFonts w:ascii="Cambria" w:hAnsi="Cambria"/>
          <w:sz w:val="20"/>
          <w:szCs w:val="20"/>
        </w:rPr>
        <w:t xml:space="preserve"> alleged that José Gregorio Mota Abarullo, Gabriel de Jesús Yáñez Sánchez, Rafael Antonio Parra Herrera, Cristián Arnaldo Molina Córdova </w:t>
      </w:r>
      <w:r w:rsidR="00E636E7" w:rsidRPr="00B26051">
        <w:rPr>
          <w:rFonts w:asciiTheme="majorHAnsi" w:hAnsiTheme="majorHAnsi"/>
          <w:sz w:val="20"/>
          <w:szCs w:val="20"/>
        </w:rPr>
        <w:t xml:space="preserve">and Johan José Correa were </w:t>
      </w:r>
      <w:r w:rsidRPr="00B26051">
        <w:rPr>
          <w:rFonts w:asciiTheme="majorHAnsi" w:hAnsiTheme="majorHAnsi"/>
          <w:sz w:val="20"/>
          <w:szCs w:val="20"/>
        </w:rPr>
        <w:t>inmates</w:t>
      </w:r>
      <w:r w:rsidR="00E636E7" w:rsidRPr="00B26051">
        <w:rPr>
          <w:rFonts w:asciiTheme="majorHAnsi" w:hAnsiTheme="majorHAnsi"/>
          <w:sz w:val="20"/>
          <w:szCs w:val="20"/>
        </w:rPr>
        <w:t xml:space="preserve"> of the </w:t>
      </w:r>
      <w:r w:rsidR="0078125B" w:rsidRPr="00B26051">
        <w:rPr>
          <w:rFonts w:asciiTheme="majorHAnsi" w:hAnsiTheme="majorHAnsi"/>
          <w:sz w:val="20"/>
          <w:szCs w:val="20"/>
        </w:rPr>
        <w:t>“Monsignor Juan José Bernal” Diagnostic and Treatment Center, attached to the National Institute for</w:t>
      </w:r>
      <w:r w:rsidR="00BE64BA">
        <w:rPr>
          <w:rFonts w:asciiTheme="majorHAnsi" w:hAnsiTheme="majorHAnsi"/>
          <w:sz w:val="20"/>
          <w:szCs w:val="20"/>
        </w:rPr>
        <w:t xml:space="preserve"> Attention to</w:t>
      </w:r>
      <w:r w:rsidR="0078125B" w:rsidRPr="00B26051">
        <w:rPr>
          <w:rFonts w:asciiTheme="majorHAnsi" w:hAnsiTheme="majorHAnsi"/>
          <w:sz w:val="20"/>
          <w:szCs w:val="20"/>
        </w:rPr>
        <w:t xml:space="preserve"> Minors (INAM)</w:t>
      </w:r>
      <w:r w:rsidR="00E636E7" w:rsidRPr="00B26051">
        <w:rPr>
          <w:rFonts w:asciiTheme="majorHAnsi" w:hAnsiTheme="majorHAnsi"/>
          <w:sz w:val="20"/>
          <w:szCs w:val="20"/>
        </w:rPr>
        <w:t>, ("</w:t>
      </w:r>
      <w:r w:rsidR="00E636E7" w:rsidRPr="00B26051">
        <w:rPr>
          <w:rFonts w:ascii="Cambria" w:hAnsi="Cambria"/>
          <w:sz w:val="20"/>
          <w:szCs w:val="20"/>
        </w:rPr>
        <w:t xml:space="preserve">the center" or "INAM-San Félix"), </w:t>
      </w:r>
      <w:r w:rsidR="0078125B" w:rsidRPr="00B26051">
        <w:rPr>
          <w:rFonts w:ascii="Cambria" w:hAnsi="Cambria"/>
          <w:sz w:val="20"/>
          <w:szCs w:val="20"/>
        </w:rPr>
        <w:t>in the state of Bolívar. They</w:t>
      </w:r>
      <w:r w:rsidR="00E636E7" w:rsidRPr="00B26051">
        <w:rPr>
          <w:rFonts w:ascii="Cambria" w:hAnsi="Cambria"/>
          <w:sz w:val="20"/>
          <w:szCs w:val="20"/>
        </w:rPr>
        <w:t xml:space="preserve"> reported that on June 30, 2005, at approximately 4:30 p.m., there was a fire in cell No. 4, as a result of which </w:t>
      </w:r>
      <w:r w:rsidR="0078125B" w:rsidRPr="00B26051">
        <w:rPr>
          <w:rFonts w:ascii="Cambria" w:hAnsi="Cambria"/>
          <w:sz w:val="20"/>
          <w:szCs w:val="20"/>
        </w:rPr>
        <w:t>the five above-mentioned individuals died of burns and suffocation</w:t>
      </w:r>
      <w:r w:rsidR="00E636E7" w:rsidRPr="00B26051">
        <w:rPr>
          <w:rFonts w:ascii="Cambria" w:hAnsi="Cambria"/>
          <w:sz w:val="20"/>
          <w:szCs w:val="20"/>
        </w:rPr>
        <w:t>.</w:t>
      </w:r>
    </w:p>
    <w:p w14:paraId="297FFB97" w14:textId="77777777" w:rsidR="00185D58" w:rsidRPr="00B26051" w:rsidRDefault="00185D58" w:rsidP="00185D5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2DE38834" w14:textId="53751777" w:rsidR="00185D58" w:rsidRPr="00B26051" w:rsidRDefault="00AC6DC5"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lastRenderedPageBreak/>
        <w:t xml:space="preserve">They </w:t>
      </w:r>
      <w:r w:rsidR="00BE64BA">
        <w:rPr>
          <w:rFonts w:ascii="Cambria" w:hAnsi="Cambria"/>
          <w:sz w:val="20"/>
          <w:szCs w:val="20"/>
        </w:rPr>
        <w:t>alleged the responsibility of</w:t>
      </w:r>
      <w:r w:rsidRPr="00B26051">
        <w:rPr>
          <w:rFonts w:ascii="Cambria" w:hAnsi="Cambria"/>
          <w:sz w:val="20"/>
          <w:szCs w:val="20"/>
        </w:rPr>
        <w:t xml:space="preserve"> </w:t>
      </w:r>
      <w:r w:rsidR="00E636E7" w:rsidRPr="00B26051">
        <w:rPr>
          <w:rFonts w:ascii="Cambria" w:hAnsi="Cambria"/>
          <w:sz w:val="20"/>
          <w:szCs w:val="20"/>
        </w:rPr>
        <w:t xml:space="preserve">officials who worked in the prison on the day of the events </w:t>
      </w:r>
      <w:r w:rsidRPr="00B26051">
        <w:rPr>
          <w:rFonts w:ascii="Cambria" w:hAnsi="Cambria"/>
          <w:sz w:val="20"/>
          <w:szCs w:val="20"/>
        </w:rPr>
        <w:t xml:space="preserve">and </w:t>
      </w:r>
      <w:r w:rsidR="00E636E7" w:rsidRPr="00B26051">
        <w:rPr>
          <w:rFonts w:ascii="Cambria" w:hAnsi="Cambria"/>
          <w:sz w:val="20"/>
          <w:szCs w:val="20"/>
        </w:rPr>
        <w:t>who did no</w:t>
      </w:r>
      <w:r w:rsidRPr="00B26051">
        <w:rPr>
          <w:rFonts w:ascii="Cambria" w:hAnsi="Cambria"/>
          <w:sz w:val="20"/>
          <w:szCs w:val="20"/>
        </w:rPr>
        <w:t>t provide the keys to the cell i</w:t>
      </w:r>
      <w:r w:rsidR="00E636E7" w:rsidRPr="00B26051">
        <w:rPr>
          <w:rFonts w:ascii="Cambria" w:hAnsi="Cambria"/>
          <w:sz w:val="20"/>
          <w:szCs w:val="20"/>
        </w:rPr>
        <w:t>n time</w:t>
      </w:r>
      <w:r w:rsidRPr="00B26051">
        <w:rPr>
          <w:rFonts w:ascii="Cambria" w:hAnsi="Cambria"/>
          <w:sz w:val="20"/>
          <w:szCs w:val="20"/>
        </w:rPr>
        <w:t xml:space="preserve"> for these deaths. They</w:t>
      </w:r>
      <w:r w:rsidR="00E636E7" w:rsidRPr="00B26051">
        <w:rPr>
          <w:rFonts w:ascii="Cambria" w:hAnsi="Cambria"/>
          <w:sz w:val="20"/>
          <w:szCs w:val="20"/>
        </w:rPr>
        <w:t xml:space="preserve"> also alleged the responsibility of the fire department</w:t>
      </w:r>
      <w:r w:rsidR="00BE64BA">
        <w:rPr>
          <w:rFonts w:ascii="Cambria" w:hAnsi="Cambria"/>
          <w:sz w:val="20"/>
          <w:szCs w:val="20"/>
        </w:rPr>
        <w:t>, which</w:t>
      </w:r>
      <w:r w:rsidR="00E636E7" w:rsidRPr="00B26051">
        <w:rPr>
          <w:rFonts w:ascii="Cambria" w:hAnsi="Cambria"/>
          <w:sz w:val="20"/>
          <w:szCs w:val="20"/>
        </w:rPr>
        <w:t xml:space="preserve"> </w:t>
      </w:r>
      <w:r w:rsidR="006D7265" w:rsidRPr="00B26051">
        <w:rPr>
          <w:rFonts w:ascii="Cambria" w:hAnsi="Cambria"/>
          <w:sz w:val="20"/>
          <w:szCs w:val="20"/>
        </w:rPr>
        <w:t>arrived</w:t>
      </w:r>
      <w:r w:rsidR="00E636E7" w:rsidRPr="00B26051">
        <w:rPr>
          <w:rFonts w:ascii="Cambria" w:hAnsi="Cambria"/>
          <w:sz w:val="20"/>
          <w:szCs w:val="20"/>
        </w:rPr>
        <w:t xml:space="preserve"> without the necess</w:t>
      </w:r>
      <w:r w:rsidRPr="00B26051">
        <w:rPr>
          <w:rFonts w:ascii="Cambria" w:hAnsi="Cambria"/>
          <w:sz w:val="20"/>
          <w:szCs w:val="20"/>
        </w:rPr>
        <w:t>ary equipment to enter the area</w:t>
      </w:r>
      <w:r w:rsidR="00E636E7" w:rsidRPr="00B26051">
        <w:rPr>
          <w:rFonts w:ascii="Cambria" w:hAnsi="Cambria"/>
          <w:sz w:val="20"/>
          <w:szCs w:val="20"/>
        </w:rPr>
        <w:t xml:space="preserve"> an</w:t>
      </w:r>
      <w:r w:rsidRPr="00B26051">
        <w:rPr>
          <w:rFonts w:ascii="Cambria" w:hAnsi="Cambria"/>
          <w:sz w:val="20"/>
          <w:szCs w:val="20"/>
        </w:rPr>
        <w:t>d assist the alleged victims. They</w:t>
      </w:r>
      <w:r w:rsidR="00E636E7" w:rsidRPr="00B26051">
        <w:rPr>
          <w:rFonts w:ascii="Cambria" w:hAnsi="Cambria"/>
          <w:sz w:val="20"/>
          <w:szCs w:val="20"/>
        </w:rPr>
        <w:t xml:space="preserve"> also alleged that José Gregorio Mota had a chest wound </w:t>
      </w:r>
      <w:r w:rsidRPr="00B26051">
        <w:rPr>
          <w:rFonts w:ascii="Cambria" w:hAnsi="Cambria"/>
          <w:sz w:val="20"/>
          <w:szCs w:val="20"/>
        </w:rPr>
        <w:t>evidencing an</w:t>
      </w:r>
      <w:r w:rsidR="00E636E7" w:rsidRPr="00B26051">
        <w:rPr>
          <w:rFonts w:ascii="Cambria" w:hAnsi="Cambria"/>
          <w:sz w:val="20"/>
          <w:szCs w:val="20"/>
        </w:rPr>
        <w:t xml:space="preserve"> act of violence against him before the fire.</w:t>
      </w:r>
    </w:p>
    <w:p w14:paraId="0CECFD26" w14:textId="77777777" w:rsidR="00185D58" w:rsidRPr="00B26051" w:rsidRDefault="00185D58" w:rsidP="00185D58">
      <w:pPr>
        <w:pStyle w:val="ListParagraph"/>
        <w:rPr>
          <w:color w:val="auto"/>
          <w:sz w:val="20"/>
          <w:szCs w:val="20"/>
        </w:rPr>
      </w:pPr>
    </w:p>
    <w:p w14:paraId="7AB84E81" w14:textId="6E1DCA9B" w:rsidR="00185D58" w:rsidRPr="00B26051" w:rsidRDefault="009550ED"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They</w:t>
      </w:r>
      <w:r w:rsidR="00E636E7" w:rsidRPr="00B26051">
        <w:rPr>
          <w:rFonts w:ascii="Cambria" w:hAnsi="Cambria"/>
          <w:sz w:val="20"/>
          <w:szCs w:val="20"/>
        </w:rPr>
        <w:t xml:space="preserve"> indicated that the </w:t>
      </w:r>
      <w:r w:rsidR="006D7265" w:rsidRPr="00B26051">
        <w:rPr>
          <w:rFonts w:ascii="Cambria" w:hAnsi="Cambria"/>
          <w:sz w:val="20"/>
          <w:szCs w:val="20"/>
        </w:rPr>
        <w:t>events</w:t>
      </w:r>
      <w:r w:rsidR="00E636E7" w:rsidRPr="00B26051">
        <w:rPr>
          <w:rFonts w:ascii="Cambria" w:hAnsi="Cambria"/>
          <w:sz w:val="20"/>
          <w:szCs w:val="20"/>
        </w:rPr>
        <w:t xml:space="preserve"> of the case occurred in a generalized context of human rights violations in Venezuela and </w:t>
      </w:r>
      <w:r w:rsidR="006D7265" w:rsidRPr="00B26051">
        <w:rPr>
          <w:rFonts w:ascii="Cambria" w:hAnsi="Cambria"/>
          <w:sz w:val="20"/>
          <w:szCs w:val="20"/>
        </w:rPr>
        <w:t>of the State’s inability</w:t>
      </w:r>
      <w:r w:rsidR="00E636E7" w:rsidRPr="00B26051">
        <w:rPr>
          <w:rFonts w:ascii="Cambria" w:hAnsi="Cambria"/>
          <w:sz w:val="20"/>
          <w:szCs w:val="20"/>
        </w:rPr>
        <w:t xml:space="preserve"> to establish adequate policies </w:t>
      </w:r>
      <w:r w:rsidR="00BE64BA">
        <w:rPr>
          <w:rFonts w:ascii="Cambria" w:hAnsi="Cambria"/>
          <w:sz w:val="20"/>
          <w:szCs w:val="20"/>
        </w:rPr>
        <w:t>to</w:t>
      </w:r>
      <w:r w:rsidR="00E636E7" w:rsidRPr="00B26051">
        <w:rPr>
          <w:rFonts w:ascii="Cambria" w:hAnsi="Cambria"/>
          <w:sz w:val="20"/>
          <w:szCs w:val="20"/>
        </w:rPr>
        <w:t xml:space="preserve"> guarantee the rights </w:t>
      </w:r>
      <w:r w:rsidR="00BE64BA">
        <w:rPr>
          <w:rFonts w:ascii="Cambria" w:hAnsi="Cambria"/>
          <w:sz w:val="20"/>
          <w:szCs w:val="20"/>
        </w:rPr>
        <w:t xml:space="preserve">of </w:t>
      </w:r>
      <w:r w:rsidR="006D7265" w:rsidRPr="00B26051">
        <w:rPr>
          <w:rFonts w:ascii="Cambria" w:hAnsi="Cambria"/>
          <w:sz w:val="20"/>
          <w:szCs w:val="20"/>
        </w:rPr>
        <w:t>detainees</w:t>
      </w:r>
      <w:r w:rsidR="00E636E7" w:rsidRPr="00B26051">
        <w:rPr>
          <w:rFonts w:ascii="Cambria" w:hAnsi="Cambria"/>
          <w:sz w:val="20"/>
          <w:szCs w:val="20"/>
        </w:rPr>
        <w:t xml:space="preserve"> in detention centers, including </w:t>
      </w:r>
      <w:r w:rsidRPr="00B26051">
        <w:rPr>
          <w:rFonts w:ascii="Cambria" w:hAnsi="Cambria"/>
          <w:sz w:val="20"/>
          <w:szCs w:val="20"/>
        </w:rPr>
        <w:t>measures regarding “structure and emergency planning.”</w:t>
      </w:r>
    </w:p>
    <w:p w14:paraId="0BA89172" w14:textId="77777777" w:rsidR="00185D58" w:rsidRPr="00B26051" w:rsidRDefault="00185D58" w:rsidP="00185D58">
      <w:pPr>
        <w:pStyle w:val="ListParagraph"/>
        <w:rPr>
          <w:color w:val="auto"/>
          <w:sz w:val="20"/>
          <w:szCs w:val="20"/>
        </w:rPr>
      </w:pPr>
    </w:p>
    <w:p w14:paraId="5CE06927" w14:textId="4FFF7C08" w:rsidR="00185D58" w:rsidRPr="00B26051" w:rsidRDefault="009550ED"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They</w:t>
      </w:r>
      <w:r w:rsidR="00E636E7" w:rsidRPr="00B26051">
        <w:rPr>
          <w:rFonts w:ascii="Cambria" w:hAnsi="Cambria"/>
          <w:sz w:val="20"/>
          <w:szCs w:val="20"/>
        </w:rPr>
        <w:t xml:space="preserve"> alleged the violation of</w:t>
      </w:r>
      <w:r w:rsidR="00E636E7" w:rsidRPr="00B26051">
        <w:rPr>
          <w:rFonts w:ascii="Cambria" w:hAnsi="Cambria"/>
          <w:b/>
          <w:sz w:val="20"/>
          <w:szCs w:val="20"/>
        </w:rPr>
        <w:t xml:space="preserve"> the right to life</w:t>
      </w:r>
      <w:r w:rsidR="00E636E7" w:rsidRPr="00B26051">
        <w:rPr>
          <w:rFonts w:ascii="Cambria" w:hAnsi="Cambria"/>
          <w:sz w:val="20"/>
          <w:szCs w:val="20"/>
        </w:rPr>
        <w:t>, because the INAM officials that day failed to adopt the necessary measures to safeguard the lives of the deceased</w:t>
      </w:r>
      <w:r w:rsidR="00D96A9E" w:rsidRPr="00B26051">
        <w:rPr>
          <w:rFonts w:ascii="Cambria" w:hAnsi="Cambria"/>
          <w:sz w:val="20"/>
          <w:szCs w:val="20"/>
        </w:rPr>
        <w:t xml:space="preserve"> while</w:t>
      </w:r>
      <w:r w:rsidR="00E636E7" w:rsidRPr="00B26051">
        <w:rPr>
          <w:rFonts w:ascii="Cambria" w:hAnsi="Cambria"/>
          <w:sz w:val="20"/>
          <w:szCs w:val="20"/>
        </w:rPr>
        <w:t xml:space="preserve"> in state cust</w:t>
      </w:r>
      <w:r w:rsidR="00D96A9E" w:rsidRPr="00B26051">
        <w:rPr>
          <w:rFonts w:ascii="Cambria" w:hAnsi="Cambria"/>
          <w:sz w:val="20"/>
          <w:szCs w:val="20"/>
        </w:rPr>
        <w:t>ody. They</w:t>
      </w:r>
      <w:r w:rsidR="00E636E7" w:rsidRPr="00B26051">
        <w:rPr>
          <w:rFonts w:ascii="Cambria" w:hAnsi="Cambria"/>
          <w:sz w:val="20"/>
          <w:szCs w:val="20"/>
        </w:rPr>
        <w:t xml:space="preserve"> also alleged the violation of the </w:t>
      </w:r>
      <w:r w:rsidR="00E636E7" w:rsidRPr="00B26051">
        <w:rPr>
          <w:rFonts w:ascii="Cambria" w:hAnsi="Cambria"/>
          <w:b/>
          <w:sz w:val="20"/>
          <w:szCs w:val="20"/>
        </w:rPr>
        <w:t>right to personal integrity</w:t>
      </w:r>
      <w:r w:rsidR="00E636E7" w:rsidRPr="00B26051">
        <w:rPr>
          <w:rFonts w:ascii="Cambria" w:hAnsi="Cambria"/>
          <w:sz w:val="20"/>
          <w:szCs w:val="20"/>
        </w:rPr>
        <w:t>, in view of the suff</w:t>
      </w:r>
      <w:r w:rsidR="00D96A9E" w:rsidRPr="00B26051">
        <w:rPr>
          <w:rFonts w:ascii="Cambria" w:hAnsi="Cambria"/>
          <w:sz w:val="20"/>
          <w:szCs w:val="20"/>
        </w:rPr>
        <w:t>ering of the deceased before their</w:t>
      </w:r>
      <w:r w:rsidR="00E636E7" w:rsidRPr="00B26051">
        <w:rPr>
          <w:rFonts w:ascii="Cambria" w:hAnsi="Cambria"/>
          <w:sz w:val="20"/>
          <w:szCs w:val="20"/>
        </w:rPr>
        <w:t xml:space="preserve"> death</w:t>
      </w:r>
      <w:r w:rsidR="00D96A9E" w:rsidRPr="00B26051">
        <w:rPr>
          <w:rFonts w:ascii="Cambria" w:hAnsi="Cambria"/>
          <w:sz w:val="20"/>
          <w:szCs w:val="20"/>
        </w:rPr>
        <w:t>s</w:t>
      </w:r>
      <w:r w:rsidR="00E636E7" w:rsidRPr="00B26051">
        <w:rPr>
          <w:rFonts w:ascii="Cambria" w:hAnsi="Cambria"/>
          <w:sz w:val="20"/>
          <w:szCs w:val="20"/>
        </w:rPr>
        <w:t>.</w:t>
      </w:r>
    </w:p>
    <w:p w14:paraId="282ED37D" w14:textId="77777777" w:rsidR="00185D58" w:rsidRPr="00B26051" w:rsidRDefault="00185D58" w:rsidP="00185D58">
      <w:pPr>
        <w:pStyle w:val="ListParagraph"/>
        <w:rPr>
          <w:color w:val="auto"/>
          <w:sz w:val="20"/>
          <w:szCs w:val="20"/>
        </w:rPr>
      </w:pPr>
    </w:p>
    <w:p w14:paraId="27741F7B" w14:textId="1E6171F1" w:rsidR="00185D58" w:rsidRPr="00B26051" w:rsidRDefault="00B2118E"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They</w:t>
      </w:r>
      <w:r w:rsidR="00E636E7" w:rsidRPr="00B26051">
        <w:rPr>
          <w:rFonts w:ascii="Cambria" w:hAnsi="Cambria"/>
          <w:sz w:val="20"/>
          <w:szCs w:val="20"/>
        </w:rPr>
        <w:t xml:space="preserve"> indicated that despite the fact that on the day of the fire the alleged victims had reached </w:t>
      </w:r>
      <w:r w:rsidR="00BE64BA">
        <w:rPr>
          <w:rFonts w:ascii="Cambria" w:hAnsi="Cambria"/>
          <w:sz w:val="20"/>
          <w:szCs w:val="20"/>
        </w:rPr>
        <w:t>18 years of age</w:t>
      </w:r>
      <w:r w:rsidR="00E636E7" w:rsidRPr="00B26051">
        <w:rPr>
          <w:rFonts w:ascii="Cambria" w:hAnsi="Cambria"/>
          <w:sz w:val="20"/>
          <w:szCs w:val="20"/>
        </w:rPr>
        <w:t xml:space="preserve">, they must be considered "minors" under international law, </w:t>
      </w:r>
      <w:r w:rsidR="00BE64BA">
        <w:rPr>
          <w:rFonts w:ascii="Cambria" w:hAnsi="Cambria"/>
          <w:sz w:val="20"/>
          <w:szCs w:val="20"/>
        </w:rPr>
        <w:t>because they were</w:t>
      </w:r>
      <w:r w:rsidR="00E636E7" w:rsidRPr="00B26051">
        <w:rPr>
          <w:rFonts w:ascii="Cambria" w:hAnsi="Cambria"/>
          <w:sz w:val="20"/>
          <w:szCs w:val="20"/>
        </w:rPr>
        <w:t xml:space="preserve"> </w:t>
      </w:r>
      <w:r w:rsidRPr="00B26051">
        <w:rPr>
          <w:rFonts w:ascii="Cambria" w:hAnsi="Cambria"/>
          <w:sz w:val="20"/>
          <w:szCs w:val="20"/>
        </w:rPr>
        <w:t>tried</w:t>
      </w:r>
      <w:r w:rsidR="00E636E7" w:rsidRPr="00B26051">
        <w:rPr>
          <w:rFonts w:ascii="Cambria" w:hAnsi="Cambria"/>
          <w:sz w:val="20"/>
          <w:szCs w:val="20"/>
        </w:rPr>
        <w:t xml:space="preserve"> and sentenced under the Organic Law for the Protection of Children and the Adolescent</w:t>
      </w:r>
      <w:r w:rsidRPr="00B26051">
        <w:rPr>
          <w:rFonts w:ascii="Cambria" w:hAnsi="Cambria"/>
          <w:sz w:val="20"/>
          <w:szCs w:val="20"/>
        </w:rPr>
        <w:t>s</w:t>
      </w:r>
      <w:r w:rsidR="00E636E7" w:rsidRPr="00B26051">
        <w:rPr>
          <w:rFonts w:ascii="Cambria" w:hAnsi="Cambria"/>
          <w:sz w:val="20"/>
          <w:szCs w:val="20"/>
        </w:rPr>
        <w:t xml:space="preserve"> (LOPNA), and </w:t>
      </w:r>
      <w:r w:rsidR="00BE64BA">
        <w:rPr>
          <w:rFonts w:ascii="Cambria" w:hAnsi="Cambria"/>
          <w:sz w:val="20"/>
          <w:szCs w:val="20"/>
        </w:rPr>
        <w:t>because they were</w:t>
      </w:r>
      <w:r w:rsidR="00E636E7" w:rsidRPr="00B26051">
        <w:rPr>
          <w:rFonts w:ascii="Cambria" w:hAnsi="Cambria"/>
          <w:sz w:val="20"/>
          <w:szCs w:val="20"/>
        </w:rPr>
        <w:t xml:space="preserve"> deprived of </w:t>
      </w:r>
      <w:r w:rsidRPr="00B26051">
        <w:rPr>
          <w:rFonts w:ascii="Cambria" w:hAnsi="Cambria"/>
          <w:sz w:val="20"/>
          <w:szCs w:val="20"/>
        </w:rPr>
        <w:t xml:space="preserve">their </w:t>
      </w:r>
      <w:r w:rsidR="00E636E7" w:rsidRPr="00B26051">
        <w:rPr>
          <w:rFonts w:ascii="Cambria" w:hAnsi="Cambria"/>
          <w:sz w:val="20"/>
          <w:szCs w:val="20"/>
        </w:rPr>
        <w:t xml:space="preserve">liberty in a juvenile </w:t>
      </w:r>
      <w:r w:rsidRPr="00B26051">
        <w:rPr>
          <w:rFonts w:ascii="Cambria" w:hAnsi="Cambria"/>
          <w:sz w:val="20"/>
          <w:szCs w:val="20"/>
        </w:rPr>
        <w:t>detention center in accordance with this</w:t>
      </w:r>
      <w:r w:rsidR="00E636E7" w:rsidRPr="00B26051">
        <w:rPr>
          <w:rFonts w:ascii="Cambria" w:hAnsi="Cambria"/>
          <w:sz w:val="20"/>
          <w:szCs w:val="20"/>
        </w:rPr>
        <w:t xml:space="preserve"> law. Therefore, </w:t>
      </w:r>
      <w:r w:rsidRPr="00B26051">
        <w:rPr>
          <w:rFonts w:ascii="Cambria" w:hAnsi="Cambria"/>
          <w:sz w:val="20"/>
          <w:szCs w:val="20"/>
        </w:rPr>
        <w:t>they</w:t>
      </w:r>
      <w:r w:rsidR="00E636E7" w:rsidRPr="00B26051">
        <w:rPr>
          <w:rFonts w:ascii="Cambria" w:hAnsi="Cambria"/>
          <w:sz w:val="20"/>
          <w:szCs w:val="20"/>
        </w:rPr>
        <w:t xml:space="preserve"> alleged violations of </w:t>
      </w:r>
      <w:r w:rsidRPr="00B26051">
        <w:rPr>
          <w:rFonts w:ascii="Cambria" w:hAnsi="Cambria"/>
          <w:sz w:val="20"/>
          <w:szCs w:val="20"/>
        </w:rPr>
        <w:t xml:space="preserve">the </w:t>
      </w:r>
      <w:r w:rsidRPr="00B26051">
        <w:rPr>
          <w:rFonts w:ascii="Cambria" w:hAnsi="Cambria"/>
          <w:b/>
          <w:sz w:val="20"/>
          <w:szCs w:val="20"/>
        </w:rPr>
        <w:t>rights of the child</w:t>
      </w:r>
      <w:r w:rsidRPr="00B26051">
        <w:rPr>
          <w:rFonts w:ascii="Cambria" w:hAnsi="Cambria"/>
          <w:sz w:val="20"/>
          <w:szCs w:val="20"/>
        </w:rPr>
        <w:t xml:space="preserve">, </w:t>
      </w:r>
      <w:r w:rsidR="00E636E7" w:rsidRPr="00B26051">
        <w:rPr>
          <w:rFonts w:ascii="Cambria" w:hAnsi="Cambria"/>
          <w:sz w:val="20"/>
          <w:szCs w:val="20"/>
        </w:rPr>
        <w:t xml:space="preserve">taking into account the applicable international </w:t>
      </w:r>
      <w:r w:rsidR="00E636E7" w:rsidRPr="00B26051">
        <w:rPr>
          <w:rFonts w:ascii="Cambria" w:hAnsi="Cambria"/>
          <w:i/>
          <w:sz w:val="20"/>
          <w:szCs w:val="20"/>
        </w:rPr>
        <w:t>corpus juris</w:t>
      </w:r>
      <w:r w:rsidRPr="00B26051">
        <w:rPr>
          <w:rFonts w:ascii="Cambria" w:hAnsi="Cambria"/>
          <w:sz w:val="20"/>
          <w:szCs w:val="20"/>
        </w:rPr>
        <w:t>. They</w:t>
      </w:r>
      <w:r w:rsidR="00E636E7" w:rsidRPr="00B26051">
        <w:rPr>
          <w:rFonts w:ascii="Cambria" w:hAnsi="Cambria"/>
          <w:sz w:val="20"/>
          <w:szCs w:val="20"/>
        </w:rPr>
        <w:t xml:space="preserve"> also alleged the violation of the </w:t>
      </w:r>
      <w:r w:rsidR="00E636E7" w:rsidRPr="00B26051">
        <w:rPr>
          <w:rFonts w:ascii="Cambria" w:hAnsi="Cambria"/>
          <w:b/>
          <w:sz w:val="20"/>
          <w:szCs w:val="20"/>
        </w:rPr>
        <w:t>right to personal integrity</w:t>
      </w:r>
      <w:r w:rsidR="00E636E7" w:rsidRPr="00B26051">
        <w:rPr>
          <w:rFonts w:ascii="Cambria" w:hAnsi="Cambria"/>
          <w:sz w:val="20"/>
          <w:szCs w:val="20"/>
        </w:rPr>
        <w:t xml:space="preserve"> to the detriment of </w:t>
      </w:r>
      <w:r w:rsidRPr="00B26051">
        <w:rPr>
          <w:rFonts w:ascii="Cambria" w:hAnsi="Cambria"/>
          <w:sz w:val="20"/>
          <w:szCs w:val="20"/>
        </w:rPr>
        <w:t xml:space="preserve">the </w:t>
      </w:r>
      <w:r w:rsidR="00E636E7" w:rsidRPr="00B26051">
        <w:rPr>
          <w:rFonts w:ascii="Cambria" w:hAnsi="Cambria"/>
          <w:sz w:val="20"/>
          <w:szCs w:val="20"/>
        </w:rPr>
        <w:t>deceased</w:t>
      </w:r>
      <w:r w:rsidRPr="00B26051">
        <w:rPr>
          <w:rFonts w:ascii="Cambria" w:hAnsi="Cambria"/>
          <w:sz w:val="20"/>
          <w:szCs w:val="20"/>
        </w:rPr>
        <w:t>’s next-of-kin</w:t>
      </w:r>
      <w:r w:rsidR="00E636E7" w:rsidRPr="00B26051">
        <w:rPr>
          <w:rFonts w:ascii="Cambria" w:hAnsi="Cambria"/>
          <w:sz w:val="20"/>
          <w:szCs w:val="20"/>
        </w:rPr>
        <w:t>.</w:t>
      </w:r>
    </w:p>
    <w:p w14:paraId="2CE86696" w14:textId="77777777" w:rsidR="00185D58" w:rsidRPr="00B26051" w:rsidRDefault="00185D58" w:rsidP="00185D58">
      <w:pPr>
        <w:pStyle w:val="ListParagraph"/>
        <w:rPr>
          <w:color w:val="auto"/>
          <w:sz w:val="20"/>
          <w:szCs w:val="20"/>
        </w:rPr>
      </w:pPr>
    </w:p>
    <w:p w14:paraId="6AB4451B" w14:textId="39E7A1F9" w:rsidR="00185D58" w:rsidRPr="00B26051" w:rsidRDefault="00E636E7"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 xml:space="preserve">On the other hand, </w:t>
      </w:r>
      <w:r w:rsidR="00B1786E" w:rsidRPr="00B26051">
        <w:rPr>
          <w:rFonts w:ascii="Cambria" w:hAnsi="Cambria"/>
          <w:sz w:val="20"/>
          <w:szCs w:val="20"/>
        </w:rPr>
        <w:t>they</w:t>
      </w:r>
      <w:r w:rsidRPr="00B26051">
        <w:rPr>
          <w:rFonts w:ascii="Cambria" w:hAnsi="Cambria"/>
          <w:sz w:val="20"/>
          <w:szCs w:val="20"/>
        </w:rPr>
        <w:t xml:space="preserve"> </w:t>
      </w:r>
      <w:r w:rsidR="00B1786E" w:rsidRPr="00B26051">
        <w:rPr>
          <w:rFonts w:ascii="Cambria" w:hAnsi="Cambria"/>
          <w:sz w:val="20"/>
          <w:szCs w:val="20"/>
        </w:rPr>
        <w:t>alleged a</w:t>
      </w:r>
      <w:r w:rsidRPr="00B26051">
        <w:rPr>
          <w:rFonts w:ascii="Cambria" w:hAnsi="Cambria"/>
          <w:sz w:val="20"/>
          <w:szCs w:val="20"/>
        </w:rPr>
        <w:t xml:space="preserve"> violation of the </w:t>
      </w:r>
      <w:r w:rsidRPr="00B26051">
        <w:rPr>
          <w:rFonts w:ascii="Cambria" w:hAnsi="Cambria"/>
          <w:b/>
          <w:sz w:val="20"/>
          <w:szCs w:val="20"/>
        </w:rPr>
        <w:t>rights to judicial guarantees and judicial protection</w:t>
      </w:r>
      <w:r w:rsidRPr="00B26051">
        <w:rPr>
          <w:rFonts w:ascii="Cambria" w:hAnsi="Cambria"/>
          <w:sz w:val="20"/>
          <w:szCs w:val="20"/>
        </w:rPr>
        <w:t xml:space="preserve">, because although the investigation began on the same day </w:t>
      </w:r>
      <w:r w:rsidR="00B1786E" w:rsidRPr="00B26051">
        <w:rPr>
          <w:rFonts w:ascii="Cambria" w:hAnsi="Cambria"/>
          <w:sz w:val="20"/>
          <w:szCs w:val="20"/>
        </w:rPr>
        <w:t>as</w:t>
      </w:r>
      <w:r w:rsidRPr="00B26051">
        <w:rPr>
          <w:rFonts w:ascii="Cambria" w:hAnsi="Cambria"/>
          <w:sz w:val="20"/>
          <w:szCs w:val="20"/>
        </w:rPr>
        <w:t xml:space="preserve"> the events, the </w:t>
      </w:r>
      <w:r w:rsidR="00BE64BA">
        <w:rPr>
          <w:rFonts w:ascii="Cambria" w:hAnsi="Cambria"/>
          <w:sz w:val="20"/>
          <w:szCs w:val="20"/>
        </w:rPr>
        <w:t xml:space="preserve">“conclusive act” of the investigation </w:t>
      </w:r>
      <w:r w:rsidR="00B54BA0">
        <w:rPr>
          <w:rFonts w:ascii="Cambria" w:hAnsi="Cambria"/>
          <w:sz w:val="20"/>
          <w:szCs w:val="20"/>
        </w:rPr>
        <w:t xml:space="preserve">needed </w:t>
      </w:r>
      <w:r w:rsidR="00BE64BA">
        <w:rPr>
          <w:rFonts w:ascii="Cambria" w:hAnsi="Cambria"/>
          <w:sz w:val="20"/>
          <w:szCs w:val="20"/>
        </w:rPr>
        <w:t>to</w:t>
      </w:r>
      <w:r w:rsidRPr="00B26051">
        <w:rPr>
          <w:rFonts w:ascii="Cambria" w:hAnsi="Cambria"/>
          <w:sz w:val="20"/>
          <w:szCs w:val="20"/>
        </w:rPr>
        <w:t xml:space="preserve"> begin the trial</w:t>
      </w:r>
      <w:r w:rsidR="00B54BA0">
        <w:rPr>
          <w:rFonts w:ascii="Cambria" w:hAnsi="Cambria"/>
          <w:sz w:val="20"/>
          <w:szCs w:val="20"/>
        </w:rPr>
        <w:t xml:space="preserve"> stage</w:t>
      </w:r>
      <w:r w:rsidRPr="00B26051">
        <w:rPr>
          <w:rFonts w:ascii="Cambria" w:hAnsi="Cambria"/>
          <w:sz w:val="20"/>
          <w:szCs w:val="20"/>
        </w:rPr>
        <w:t xml:space="preserve"> </w:t>
      </w:r>
      <w:r w:rsidR="00B1786E" w:rsidRPr="00B26051">
        <w:rPr>
          <w:rFonts w:ascii="Cambria" w:hAnsi="Cambria"/>
          <w:sz w:val="20"/>
          <w:szCs w:val="20"/>
        </w:rPr>
        <w:t xml:space="preserve">was not </w:t>
      </w:r>
      <w:r w:rsidR="00BE64BA">
        <w:rPr>
          <w:rFonts w:ascii="Cambria" w:hAnsi="Cambria"/>
          <w:sz w:val="20"/>
          <w:szCs w:val="20"/>
        </w:rPr>
        <w:t>presented</w:t>
      </w:r>
      <w:r w:rsidR="00B1786E" w:rsidRPr="00B26051">
        <w:rPr>
          <w:rFonts w:ascii="Cambria" w:hAnsi="Cambria"/>
          <w:sz w:val="20"/>
          <w:szCs w:val="20"/>
        </w:rPr>
        <w:t xml:space="preserve"> </w:t>
      </w:r>
      <w:r w:rsidRPr="00B26051">
        <w:rPr>
          <w:rFonts w:ascii="Cambria" w:hAnsi="Cambria"/>
          <w:sz w:val="20"/>
          <w:szCs w:val="20"/>
        </w:rPr>
        <w:t xml:space="preserve">until 2008. </w:t>
      </w:r>
      <w:r w:rsidR="00B1786E" w:rsidRPr="00B26051">
        <w:rPr>
          <w:rFonts w:ascii="Cambria" w:hAnsi="Cambria"/>
          <w:sz w:val="20"/>
          <w:szCs w:val="20"/>
        </w:rPr>
        <w:t>Similarly, they alleged several</w:t>
      </w:r>
      <w:r w:rsidRPr="00B26051">
        <w:rPr>
          <w:rFonts w:ascii="Cambria" w:hAnsi="Cambria"/>
          <w:sz w:val="20"/>
          <w:szCs w:val="20"/>
        </w:rPr>
        <w:t xml:space="preserve"> violations o</w:t>
      </w:r>
      <w:r w:rsidR="00B1786E" w:rsidRPr="00B26051">
        <w:rPr>
          <w:rFonts w:ascii="Cambria" w:hAnsi="Cambria"/>
          <w:sz w:val="20"/>
          <w:szCs w:val="20"/>
        </w:rPr>
        <w:t xml:space="preserve">f the duty of due diligence having </w:t>
      </w:r>
      <w:r w:rsidRPr="00B26051">
        <w:rPr>
          <w:rFonts w:ascii="Cambria" w:hAnsi="Cambria"/>
          <w:sz w:val="20"/>
          <w:szCs w:val="20"/>
        </w:rPr>
        <w:t xml:space="preserve">serious implications </w:t>
      </w:r>
      <w:r w:rsidR="00B1786E" w:rsidRPr="00B26051">
        <w:rPr>
          <w:rFonts w:ascii="Cambria" w:hAnsi="Cambria"/>
          <w:sz w:val="20"/>
          <w:szCs w:val="20"/>
        </w:rPr>
        <w:t>for a possible</w:t>
      </w:r>
      <w:r w:rsidRPr="00B26051">
        <w:rPr>
          <w:rFonts w:ascii="Cambria" w:hAnsi="Cambria"/>
          <w:sz w:val="20"/>
          <w:szCs w:val="20"/>
        </w:rPr>
        <w:t xml:space="preserve"> clarification and sanction</w:t>
      </w:r>
      <w:r w:rsidR="00B1786E" w:rsidRPr="00B26051">
        <w:rPr>
          <w:rFonts w:ascii="Cambria" w:hAnsi="Cambria"/>
          <w:sz w:val="20"/>
          <w:szCs w:val="20"/>
        </w:rPr>
        <w:t>ing of the events. They</w:t>
      </w:r>
      <w:r w:rsidRPr="00B26051">
        <w:rPr>
          <w:rFonts w:ascii="Cambria" w:hAnsi="Cambria"/>
          <w:sz w:val="20"/>
          <w:szCs w:val="20"/>
        </w:rPr>
        <w:t xml:space="preserve"> also highlighted the dela</w:t>
      </w:r>
      <w:r w:rsidR="00B1786E" w:rsidRPr="00B26051">
        <w:rPr>
          <w:rFonts w:ascii="Cambria" w:hAnsi="Cambria"/>
          <w:sz w:val="20"/>
          <w:szCs w:val="20"/>
        </w:rPr>
        <w:t xml:space="preserve">ys caused by dozens of </w:t>
      </w:r>
      <w:r w:rsidR="00B26051" w:rsidRPr="00B26051">
        <w:rPr>
          <w:rFonts w:ascii="Cambria" w:hAnsi="Cambria"/>
          <w:sz w:val="20"/>
          <w:szCs w:val="20"/>
        </w:rPr>
        <w:t>adjournments</w:t>
      </w:r>
      <w:r w:rsidRPr="00B26051">
        <w:rPr>
          <w:rFonts w:ascii="Cambria" w:hAnsi="Cambria"/>
          <w:sz w:val="20"/>
          <w:szCs w:val="20"/>
        </w:rPr>
        <w:t xml:space="preserve"> of the preliminary hearing.</w:t>
      </w:r>
    </w:p>
    <w:p w14:paraId="20CC1AFD" w14:textId="77777777" w:rsidR="00185D58" w:rsidRPr="00B26051" w:rsidRDefault="00185D58" w:rsidP="00185D58">
      <w:pPr>
        <w:suppressAutoHyphens/>
        <w:rPr>
          <w:rFonts w:asciiTheme="majorHAnsi" w:hAnsiTheme="majorHAnsi"/>
          <w:sz w:val="20"/>
          <w:szCs w:val="20"/>
        </w:rPr>
      </w:pPr>
    </w:p>
    <w:p w14:paraId="51343141" w14:textId="3097C4C6" w:rsidR="00185D58" w:rsidRPr="00B26051" w:rsidRDefault="00BF6905" w:rsidP="007F4FA0">
      <w:pPr>
        <w:pStyle w:val="ListParagraph"/>
        <w:numPr>
          <w:ilvl w:val="0"/>
          <w:numId w:val="56"/>
        </w:numPr>
        <w:suppressAutoHyphens/>
        <w:rPr>
          <w:rFonts w:asciiTheme="majorHAnsi" w:hAnsiTheme="majorHAnsi"/>
          <w:b/>
          <w:color w:val="auto"/>
          <w:sz w:val="20"/>
          <w:szCs w:val="20"/>
        </w:rPr>
      </w:pPr>
      <w:r w:rsidRPr="00B26051">
        <w:rPr>
          <w:rFonts w:asciiTheme="majorHAnsi" w:hAnsiTheme="majorHAnsi"/>
          <w:b/>
          <w:color w:val="auto"/>
          <w:sz w:val="20"/>
          <w:szCs w:val="20"/>
        </w:rPr>
        <w:t>THE STATE</w:t>
      </w:r>
    </w:p>
    <w:p w14:paraId="5A52602E" w14:textId="77777777" w:rsidR="00185D58" w:rsidRPr="00B26051" w:rsidRDefault="00185D58" w:rsidP="00185D58">
      <w:pPr>
        <w:suppressAutoHyphens/>
        <w:rPr>
          <w:rFonts w:asciiTheme="majorHAnsi" w:hAnsiTheme="majorHAnsi"/>
          <w:sz w:val="20"/>
          <w:szCs w:val="20"/>
        </w:rPr>
      </w:pPr>
    </w:p>
    <w:p w14:paraId="2540AF30" w14:textId="6C0D2407" w:rsidR="00185D58" w:rsidRPr="00B26051" w:rsidRDefault="00BF6905"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 xml:space="preserve">The State did not present observations at the merits stage, </w:t>
      </w:r>
      <w:r w:rsidR="00A549AB" w:rsidRPr="00B26051">
        <w:rPr>
          <w:rFonts w:ascii="Cambria" w:hAnsi="Cambria"/>
          <w:sz w:val="20"/>
          <w:szCs w:val="20"/>
        </w:rPr>
        <w:t>and therefore this</w:t>
      </w:r>
      <w:r w:rsidRPr="00B26051">
        <w:rPr>
          <w:rFonts w:ascii="Cambria" w:hAnsi="Cambria"/>
          <w:sz w:val="20"/>
          <w:szCs w:val="20"/>
        </w:rPr>
        <w:t xml:space="preserve"> section is based on the arguments made during the admissibility stage that are related to the merits. In this </w:t>
      </w:r>
      <w:r w:rsidR="00A549AB" w:rsidRPr="00B26051">
        <w:rPr>
          <w:rFonts w:ascii="Cambria" w:hAnsi="Cambria"/>
          <w:sz w:val="20"/>
          <w:szCs w:val="20"/>
        </w:rPr>
        <w:t>sense, from its position at that</w:t>
      </w:r>
      <w:r w:rsidRPr="00B26051">
        <w:rPr>
          <w:rFonts w:ascii="Cambria" w:hAnsi="Cambria"/>
          <w:sz w:val="20"/>
          <w:szCs w:val="20"/>
        </w:rPr>
        <w:t xml:space="preserve"> stage it is clear that the State would deny its international responsibility </w:t>
      </w:r>
      <w:r w:rsidR="006D7265" w:rsidRPr="00B26051">
        <w:rPr>
          <w:rFonts w:ascii="Cambria" w:hAnsi="Cambria"/>
          <w:sz w:val="20"/>
          <w:szCs w:val="20"/>
        </w:rPr>
        <w:t>arguing that it</w:t>
      </w:r>
      <w:r w:rsidRPr="00B26051">
        <w:rPr>
          <w:rFonts w:ascii="Cambria" w:hAnsi="Cambria"/>
          <w:sz w:val="20"/>
          <w:szCs w:val="20"/>
        </w:rPr>
        <w:t xml:space="preserve"> did not fail in its duty of prevention</w:t>
      </w:r>
      <w:r w:rsidR="00A549AB" w:rsidRPr="00B26051">
        <w:rPr>
          <w:rFonts w:ascii="Cambria" w:hAnsi="Cambria"/>
          <w:sz w:val="20"/>
          <w:szCs w:val="20"/>
        </w:rPr>
        <w:t>.</w:t>
      </w:r>
    </w:p>
    <w:p w14:paraId="3D8D7C2F" w14:textId="77777777" w:rsidR="00185D58" w:rsidRPr="00B26051" w:rsidRDefault="00185D58" w:rsidP="00185D5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77E1F64E" w14:textId="7CCDE753" w:rsidR="00185D58" w:rsidRPr="00B26051" w:rsidRDefault="00A549AB"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The State argued</w:t>
      </w:r>
      <w:r w:rsidR="00BF6905" w:rsidRPr="00B26051">
        <w:rPr>
          <w:rFonts w:ascii="Cambria" w:hAnsi="Cambria"/>
          <w:sz w:val="20"/>
          <w:szCs w:val="20"/>
        </w:rPr>
        <w:t xml:space="preserve"> that it was not negligent in creating the circumstances that led to the death of the alleged victims. It a</w:t>
      </w:r>
      <w:r w:rsidRPr="00B26051">
        <w:rPr>
          <w:rFonts w:ascii="Cambria" w:hAnsi="Cambria"/>
          <w:sz w:val="20"/>
          <w:szCs w:val="20"/>
        </w:rPr>
        <w:t>rgued that "it can not be said</w:t>
      </w:r>
      <w:r w:rsidR="00BF6905" w:rsidRPr="00B26051">
        <w:rPr>
          <w:rFonts w:ascii="Cambria" w:hAnsi="Cambria"/>
          <w:sz w:val="20"/>
          <w:szCs w:val="20"/>
        </w:rPr>
        <w:t xml:space="preserve"> that the [State</w:t>
      </w:r>
      <w:r w:rsidRPr="00B26051">
        <w:rPr>
          <w:rFonts w:ascii="Cambria" w:hAnsi="Cambria"/>
          <w:sz w:val="20"/>
          <w:szCs w:val="20"/>
        </w:rPr>
        <w:t>] had</w:t>
      </w:r>
      <w:r w:rsidR="00BF6905" w:rsidRPr="00B26051">
        <w:rPr>
          <w:rFonts w:ascii="Cambria" w:hAnsi="Cambria"/>
          <w:sz w:val="20"/>
          <w:szCs w:val="20"/>
        </w:rPr>
        <w:t xml:space="preserve"> breached [the obligation to guarantee the right to life and personal integrity of persons deprived of liberty], based exclusively on a case that occurred in a given period, without examining the actions deplo</w:t>
      </w:r>
      <w:r w:rsidRPr="00B26051">
        <w:rPr>
          <w:rFonts w:ascii="Cambria" w:hAnsi="Cambria"/>
          <w:sz w:val="20"/>
          <w:szCs w:val="20"/>
        </w:rPr>
        <w:t>yed by the State to prevent it,</w:t>
      </w:r>
      <w:r w:rsidR="00BF6905" w:rsidRPr="00B26051">
        <w:rPr>
          <w:rFonts w:ascii="Cambria" w:hAnsi="Cambria"/>
          <w:sz w:val="20"/>
          <w:szCs w:val="20"/>
        </w:rPr>
        <w:t>"</w:t>
      </w:r>
      <w:r w:rsidRPr="00B26051">
        <w:rPr>
          <w:rFonts w:ascii="Cambria" w:hAnsi="Cambria"/>
          <w:sz w:val="20"/>
          <w:szCs w:val="20"/>
        </w:rPr>
        <w:t xml:space="preserve"> </w:t>
      </w:r>
      <w:r w:rsidR="00BF6905" w:rsidRPr="00B26051">
        <w:rPr>
          <w:rFonts w:ascii="Cambria" w:hAnsi="Cambria"/>
          <w:sz w:val="20"/>
          <w:szCs w:val="20"/>
        </w:rPr>
        <w:t>and that in fact</w:t>
      </w:r>
      <w:r w:rsidRPr="00B26051">
        <w:rPr>
          <w:rFonts w:ascii="Cambria" w:hAnsi="Cambria"/>
          <w:sz w:val="20"/>
          <w:szCs w:val="20"/>
        </w:rPr>
        <w:t xml:space="preserve"> "</w:t>
      </w:r>
      <w:r w:rsidR="00BF6905" w:rsidRPr="00B26051">
        <w:rPr>
          <w:rFonts w:ascii="Cambria" w:hAnsi="Cambria"/>
          <w:sz w:val="20"/>
          <w:szCs w:val="20"/>
        </w:rPr>
        <w:t xml:space="preserve">there is a </w:t>
      </w:r>
      <w:r w:rsidRPr="00B26051">
        <w:rPr>
          <w:rFonts w:ascii="Cambria" w:hAnsi="Cambria"/>
          <w:sz w:val="20"/>
          <w:szCs w:val="20"/>
        </w:rPr>
        <w:t>tangible</w:t>
      </w:r>
      <w:r w:rsidR="00BF6905" w:rsidRPr="00B26051">
        <w:rPr>
          <w:rFonts w:ascii="Cambria" w:hAnsi="Cambria"/>
          <w:sz w:val="20"/>
          <w:szCs w:val="20"/>
        </w:rPr>
        <w:t xml:space="preserve"> demonstration of the actions taken to prevent t</w:t>
      </w:r>
      <w:r w:rsidRPr="00B26051">
        <w:rPr>
          <w:rFonts w:ascii="Cambria" w:hAnsi="Cambria"/>
          <w:sz w:val="20"/>
          <w:szCs w:val="20"/>
        </w:rPr>
        <w:t>hese events from occurring." It</w:t>
      </w:r>
      <w:r w:rsidR="00BF6905" w:rsidRPr="00B26051">
        <w:rPr>
          <w:rFonts w:ascii="Cambria" w:hAnsi="Cambria"/>
          <w:sz w:val="20"/>
          <w:szCs w:val="20"/>
        </w:rPr>
        <w:t xml:space="preserve"> specified, with regard to the alleged widespread situation of violations </w:t>
      </w:r>
      <w:r w:rsidRPr="00B26051">
        <w:rPr>
          <w:rFonts w:ascii="Cambria" w:hAnsi="Cambria"/>
          <w:sz w:val="20"/>
          <w:szCs w:val="20"/>
        </w:rPr>
        <w:t>against</w:t>
      </w:r>
      <w:r w:rsidR="00BF6905" w:rsidRPr="00B26051">
        <w:rPr>
          <w:rFonts w:ascii="Cambria" w:hAnsi="Cambria"/>
          <w:sz w:val="20"/>
          <w:szCs w:val="20"/>
        </w:rPr>
        <w:t xml:space="preserve"> the prison population, that "the </w:t>
      </w:r>
      <w:r w:rsidR="00B54BA0">
        <w:rPr>
          <w:rFonts w:ascii="Cambria" w:hAnsi="Cambria"/>
          <w:sz w:val="20"/>
          <w:szCs w:val="20"/>
        </w:rPr>
        <w:t>duty to prevent</w:t>
      </w:r>
      <w:r w:rsidR="00BF6905" w:rsidRPr="00B26051">
        <w:rPr>
          <w:rFonts w:ascii="Cambria" w:hAnsi="Cambria"/>
          <w:sz w:val="20"/>
          <w:szCs w:val="20"/>
        </w:rPr>
        <w:t xml:space="preserve"> is [...] an obligation of means</w:t>
      </w:r>
      <w:r w:rsidR="000A32C0" w:rsidRPr="00B26051">
        <w:rPr>
          <w:rFonts w:ascii="Cambria" w:hAnsi="Cambria"/>
          <w:sz w:val="20"/>
          <w:szCs w:val="20"/>
        </w:rPr>
        <w:t xml:space="preserve"> or behavior and not of results.  It is </w:t>
      </w:r>
      <w:r w:rsidR="00BF6905" w:rsidRPr="00B26051">
        <w:rPr>
          <w:rFonts w:ascii="Cambria" w:hAnsi="Cambria"/>
          <w:sz w:val="20"/>
          <w:szCs w:val="20"/>
        </w:rPr>
        <w:t xml:space="preserve">not violated only by the production of a unsatisfactory result." The State cited a decrease in the rates of prison violence in 2008, in comparison </w:t>
      </w:r>
      <w:r w:rsidR="000A32C0" w:rsidRPr="00B26051">
        <w:rPr>
          <w:rFonts w:ascii="Cambria" w:hAnsi="Cambria"/>
          <w:sz w:val="20"/>
          <w:szCs w:val="20"/>
        </w:rPr>
        <w:t xml:space="preserve">with previous years, due, in its view, to </w:t>
      </w:r>
      <w:r w:rsidR="00BF6905" w:rsidRPr="00B26051">
        <w:rPr>
          <w:rFonts w:ascii="Cambria" w:hAnsi="Cambria"/>
          <w:sz w:val="20"/>
          <w:szCs w:val="20"/>
        </w:rPr>
        <w:t xml:space="preserve">"the effectiveness of humanization plans and strategies" </w:t>
      </w:r>
      <w:r w:rsidR="000A32C0" w:rsidRPr="00B26051">
        <w:rPr>
          <w:rFonts w:ascii="Cambria" w:hAnsi="Cambria"/>
          <w:sz w:val="20"/>
          <w:szCs w:val="20"/>
        </w:rPr>
        <w:t>in</w:t>
      </w:r>
      <w:r w:rsidR="00BF6905" w:rsidRPr="00B26051">
        <w:rPr>
          <w:rFonts w:ascii="Cambria" w:hAnsi="Cambria"/>
          <w:sz w:val="20"/>
          <w:szCs w:val="20"/>
        </w:rPr>
        <w:t xml:space="preserve"> prisons</w:t>
      </w:r>
      <w:r w:rsidR="00B57F92" w:rsidRPr="00B26051">
        <w:rPr>
          <w:rFonts w:ascii="Cambria" w:hAnsi="Cambria"/>
          <w:sz w:val="20"/>
          <w:szCs w:val="20"/>
        </w:rPr>
        <w:t>.</w:t>
      </w:r>
    </w:p>
    <w:p w14:paraId="32B3095F" w14:textId="77777777" w:rsidR="00185D58" w:rsidRPr="00B26051" w:rsidRDefault="00185D58" w:rsidP="00185D58">
      <w:pPr>
        <w:pStyle w:val="ListParagraph"/>
        <w:rPr>
          <w:color w:val="auto"/>
          <w:sz w:val="20"/>
          <w:szCs w:val="20"/>
        </w:rPr>
      </w:pPr>
    </w:p>
    <w:p w14:paraId="197B3EE1" w14:textId="6001D039" w:rsidR="00185D58" w:rsidRPr="00B26051" w:rsidRDefault="00BF6905"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 xml:space="preserve">The State also denied responsibility for violations of the rights to judicial guarantees and judicial protection, since </w:t>
      </w:r>
      <w:r w:rsidR="004D4A80" w:rsidRPr="00B26051">
        <w:rPr>
          <w:rFonts w:ascii="Cambria" w:hAnsi="Cambria"/>
          <w:sz w:val="20"/>
          <w:szCs w:val="20"/>
        </w:rPr>
        <w:t>an</w:t>
      </w:r>
      <w:r w:rsidRPr="00B26051">
        <w:rPr>
          <w:rFonts w:ascii="Cambria" w:hAnsi="Cambria"/>
          <w:sz w:val="20"/>
          <w:szCs w:val="20"/>
        </w:rPr>
        <w:t xml:space="preserve"> investigation </w:t>
      </w:r>
      <w:r w:rsidR="004D4A80" w:rsidRPr="00B26051">
        <w:rPr>
          <w:rFonts w:ascii="Cambria" w:hAnsi="Cambria"/>
          <w:sz w:val="20"/>
          <w:szCs w:val="20"/>
        </w:rPr>
        <w:t>into the events</w:t>
      </w:r>
      <w:r w:rsidRPr="00B26051">
        <w:rPr>
          <w:rFonts w:ascii="Cambria" w:hAnsi="Cambria"/>
          <w:sz w:val="20"/>
          <w:szCs w:val="20"/>
        </w:rPr>
        <w:t xml:space="preserve"> was still under the jurisdiction of the Public </w:t>
      </w:r>
      <w:r w:rsidR="004D4A80" w:rsidRPr="00B26051">
        <w:rPr>
          <w:rFonts w:ascii="Cambria" w:hAnsi="Cambria"/>
          <w:sz w:val="20"/>
          <w:szCs w:val="20"/>
        </w:rPr>
        <w:t>Prosecutor. It</w:t>
      </w:r>
      <w:r w:rsidRPr="00B26051">
        <w:rPr>
          <w:rFonts w:ascii="Cambria" w:hAnsi="Cambria"/>
          <w:sz w:val="20"/>
          <w:szCs w:val="20"/>
        </w:rPr>
        <w:t xml:space="preserve"> argued that it is not for the IACHR "to </w:t>
      </w:r>
      <w:r w:rsidR="004D4A80" w:rsidRPr="00B26051">
        <w:rPr>
          <w:rFonts w:ascii="Cambria" w:hAnsi="Cambria"/>
          <w:sz w:val="20"/>
          <w:szCs w:val="20"/>
        </w:rPr>
        <w:t>consider the</w:t>
      </w:r>
      <w:r w:rsidRPr="00B26051">
        <w:rPr>
          <w:rFonts w:ascii="Cambria" w:hAnsi="Cambria"/>
          <w:sz w:val="20"/>
          <w:szCs w:val="20"/>
        </w:rPr>
        <w:t xml:space="preserve"> guilt and participation of individuals in </w:t>
      </w:r>
      <w:r w:rsidR="006D7265" w:rsidRPr="00B26051">
        <w:rPr>
          <w:rFonts w:ascii="Cambria" w:hAnsi="Cambria"/>
          <w:sz w:val="20"/>
          <w:szCs w:val="20"/>
        </w:rPr>
        <w:t>punishable offenses</w:t>
      </w:r>
      <w:r w:rsidRPr="00B26051">
        <w:rPr>
          <w:rFonts w:ascii="Cambria" w:hAnsi="Cambria"/>
          <w:sz w:val="20"/>
          <w:szCs w:val="20"/>
        </w:rPr>
        <w:t xml:space="preserve">, </w:t>
      </w:r>
      <w:r w:rsidR="004D4A80" w:rsidRPr="00B26051">
        <w:rPr>
          <w:rFonts w:ascii="Cambria" w:hAnsi="Cambria"/>
          <w:sz w:val="20"/>
          <w:szCs w:val="20"/>
        </w:rPr>
        <w:t>still more</w:t>
      </w:r>
      <w:r w:rsidRPr="00B26051">
        <w:rPr>
          <w:rFonts w:ascii="Cambria" w:hAnsi="Cambria"/>
          <w:sz w:val="20"/>
          <w:szCs w:val="20"/>
        </w:rPr>
        <w:t xml:space="preserve"> when the participation of State officials in the terrible death</w:t>
      </w:r>
      <w:r w:rsidR="004D4A80" w:rsidRPr="00B26051">
        <w:rPr>
          <w:rFonts w:ascii="Cambria" w:hAnsi="Cambria"/>
          <w:sz w:val="20"/>
          <w:szCs w:val="20"/>
        </w:rPr>
        <w:t>s</w:t>
      </w:r>
      <w:r w:rsidRPr="00B26051">
        <w:rPr>
          <w:rFonts w:ascii="Cambria" w:hAnsi="Cambria"/>
          <w:sz w:val="20"/>
          <w:szCs w:val="20"/>
        </w:rPr>
        <w:t xml:space="preserve"> of these citizens has not been established</w:t>
      </w:r>
      <w:r w:rsidR="006D7265" w:rsidRPr="00B26051">
        <w:rPr>
          <w:rFonts w:ascii="Cambria" w:hAnsi="Cambria"/>
          <w:sz w:val="20"/>
          <w:szCs w:val="20"/>
        </w:rPr>
        <w:t>.</w:t>
      </w:r>
      <w:r w:rsidRPr="00B26051">
        <w:rPr>
          <w:rFonts w:ascii="Cambria" w:hAnsi="Cambria"/>
          <w:sz w:val="20"/>
          <w:szCs w:val="20"/>
        </w:rPr>
        <w:t>"</w:t>
      </w:r>
    </w:p>
    <w:p w14:paraId="28280E83" w14:textId="77777777" w:rsidR="00185D58" w:rsidRPr="00B26051" w:rsidRDefault="00185D58" w:rsidP="00185D58">
      <w:pPr>
        <w:pStyle w:val="ListParagraph"/>
        <w:rPr>
          <w:color w:val="auto"/>
          <w:sz w:val="20"/>
          <w:szCs w:val="20"/>
        </w:rPr>
      </w:pPr>
    </w:p>
    <w:p w14:paraId="23C18A17" w14:textId="7100F134" w:rsidR="00185D58" w:rsidRPr="00B26051" w:rsidRDefault="00B37228"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It</w:t>
      </w:r>
      <w:r w:rsidR="00DF55FF" w:rsidRPr="00B26051">
        <w:rPr>
          <w:rFonts w:ascii="Cambria" w:hAnsi="Cambria"/>
          <w:sz w:val="20"/>
          <w:szCs w:val="20"/>
        </w:rPr>
        <w:t xml:space="preserve"> reported that on September 29, 2009, the Public Prosecutor's Office filed an indictment against Nerio Romero Martínez, José Luis Chirinos and </w:t>
      </w:r>
      <w:r w:rsidR="00B54BA0">
        <w:rPr>
          <w:rFonts w:ascii="Cambria" w:hAnsi="Cambria"/>
          <w:sz w:val="20"/>
          <w:szCs w:val="20"/>
        </w:rPr>
        <w:t>Francisco Gómez Corrales—</w:t>
      </w:r>
      <w:r w:rsidRPr="00B26051">
        <w:rPr>
          <w:rFonts w:ascii="Cambria" w:hAnsi="Cambria"/>
          <w:sz w:val="20"/>
          <w:szCs w:val="20"/>
        </w:rPr>
        <w:t>individuals in charge of</w:t>
      </w:r>
      <w:r w:rsidR="00DF55FF" w:rsidRPr="00B26051">
        <w:rPr>
          <w:rFonts w:ascii="Cambria" w:hAnsi="Cambria"/>
          <w:sz w:val="20"/>
          <w:szCs w:val="20"/>
        </w:rPr>
        <w:t xml:space="preserve"> </w:t>
      </w:r>
      <w:r w:rsidR="00B54BA0">
        <w:rPr>
          <w:rFonts w:ascii="Cambria" w:hAnsi="Cambria"/>
          <w:sz w:val="20"/>
          <w:szCs w:val="20"/>
        </w:rPr>
        <w:lastRenderedPageBreak/>
        <w:t>the Center on the day of the events—</w:t>
      </w:r>
      <w:r w:rsidR="00DF55FF" w:rsidRPr="00B26051">
        <w:rPr>
          <w:rFonts w:ascii="Cambria" w:hAnsi="Cambria"/>
          <w:sz w:val="20"/>
          <w:szCs w:val="20"/>
        </w:rPr>
        <w:t xml:space="preserve">for the alleged commission of </w:t>
      </w:r>
      <w:r w:rsidRPr="00B26051">
        <w:rPr>
          <w:rFonts w:ascii="Cambria" w:hAnsi="Cambria"/>
          <w:sz w:val="20"/>
          <w:szCs w:val="20"/>
        </w:rPr>
        <w:t>culpable homicide. It</w:t>
      </w:r>
      <w:r w:rsidR="00DF55FF" w:rsidRPr="00B26051">
        <w:rPr>
          <w:rFonts w:ascii="Cambria" w:hAnsi="Cambria"/>
          <w:sz w:val="20"/>
          <w:szCs w:val="20"/>
        </w:rPr>
        <w:t xml:space="preserve"> alleged that this </w:t>
      </w:r>
      <w:r w:rsidR="006D7265" w:rsidRPr="00B26051">
        <w:rPr>
          <w:rFonts w:ascii="Cambria" w:hAnsi="Cambria"/>
          <w:sz w:val="20"/>
          <w:szCs w:val="20"/>
        </w:rPr>
        <w:t xml:space="preserve">shows </w:t>
      </w:r>
      <w:r w:rsidR="00DF55FF" w:rsidRPr="00B26051">
        <w:rPr>
          <w:rFonts w:ascii="Cambria" w:hAnsi="Cambria"/>
          <w:sz w:val="20"/>
          <w:szCs w:val="20"/>
        </w:rPr>
        <w:t xml:space="preserve">the State </w:t>
      </w:r>
      <w:r w:rsidRPr="00B26051">
        <w:rPr>
          <w:rFonts w:ascii="Cambria" w:hAnsi="Cambria"/>
          <w:sz w:val="20"/>
          <w:szCs w:val="20"/>
        </w:rPr>
        <w:t>does not</w:t>
      </w:r>
      <w:r w:rsidR="00086EF9" w:rsidRPr="00B26051">
        <w:rPr>
          <w:rFonts w:ascii="Cambria" w:hAnsi="Cambria"/>
          <w:sz w:val="20"/>
          <w:szCs w:val="20"/>
        </w:rPr>
        <w:t xml:space="preserve"> intend</w:t>
      </w:r>
      <w:r w:rsidR="00DF55FF" w:rsidRPr="00B26051">
        <w:rPr>
          <w:rFonts w:ascii="Cambria" w:hAnsi="Cambria"/>
          <w:sz w:val="20"/>
          <w:szCs w:val="20"/>
        </w:rPr>
        <w:t xml:space="preserve"> to "stop guaranteeing the </w:t>
      </w:r>
      <w:r w:rsidRPr="00B26051">
        <w:rPr>
          <w:rFonts w:ascii="Cambria" w:hAnsi="Cambria"/>
          <w:sz w:val="20"/>
          <w:szCs w:val="20"/>
        </w:rPr>
        <w:t>remedies</w:t>
      </w:r>
      <w:r w:rsidR="00DF55FF" w:rsidRPr="00B26051">
        <w:rPr>
          <w:rFonts w:ascii="Cambria" w:hAnsi="Cambria"/>
          <w:sz w:val="20"/>
          <w:szCs w:val="20"/>
        </w:rPr>
        <w:t xml:space="preserve"> owed to the victims."</w:t>
      </w:r>
    </w:p>
    <w:p w14:paraId="52DB474E" w14:textId="77777777" w:rsidR="00185D58" w:rsidRPr="00B26051" w:rsidRDefault="00185D58" w:rsidP="00185D58">
      <w:pPr>
        <w:pStyle w:val="ListParagraph"/>
        <w:rPr>
          <w:color w:val="auto"/>
          <w:sz w:val="20"/>
          <w:szCs w:val="20"/>
        </w:rPr>
      </w:pPr>
    </w:p>
    <w:p w14:paraId="414B68F5" w14:textId="543C3C07" w:rsidR="00185D58" w:rsidRPr="00B26051" w:rsidRDefault="00DF55FF"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 xml:space="preserve">Regarding the alleged violations of the Convention on the Rights of the Child and other </w:t>
      </w:r>
      <w:r w:rsidR="00692457" w:rsidRPr="00B26051">
        <w:rPr>
          <w:rFonts w:ascii="Cambria" w:hAnsi="Cambria"/>
          <w:sz w:val="20"/>
          <w:szCs w:val="20"/>
        </w:rPr>
        <w:t xml:space="preserve">United Nations </w:t>
      </w:r>
      <w:r w:rsidRPr="00B26051">
        <w:rPr>
          <w:rFonts w:ascii="Cambria" w:hAnsi="Cambria"/>
          <w:sz w:val="20"/>
          <w:szCs w:val="20"/>
        </w:rPr>
        <w:t>instruments, it alleged that the IACHR lac</w:t>
      </w:r>
      <w:r w:rsidR="00692457" w:rsidRPr="00B26051">
        <w:rPr>
          <w:rFonts w:ascii="Cambria" w:hAnsi="Cambria"/>
          <w:sz w:val="20"/>
          <w:szCs w:val="20"/>
        </w:rPr>
        <w:t>ks competence in this regard. It</w:t>
      </w:r>
      <w:r w:rsidRPr="00B26051">
        <w:rPr>
          <w:rFonts w:ascii="Cambria" w:hAnsi="Cambria"/>
          <w:sz w:val="20"/>
          <w:szCs w:val="20"/>
        </w:rPr>
        <w:t xml:space="preserve"> indicated that although the victims had not been transferred to an adult prison, </w:t>
      </w:r>
      <w:r w:rsidR="00692457" w:rsidRPr="00B26051">
        <w:rPr>
          <w:rFonts w:ascii="Cambria" w:hAnsi="Cambria"/>
          <w:sz w:val="20"/>
          <w:szCs w:val="20"/>
        </w:rPr>
        <w:t>this did not imply that they were not aged</w:t>
      </w:r>
      <w:r w:rsidRPr="00B26051">
        <w:rPr>
          <w:rFonts w:ascii="Cambria" w:hAnsi="Cambria"/>
          <w:sz w:val="20"/>
          <w:szCs w:val="20"/>
        </w:rPr>
        <w:t xml:space="preserve"> 18 years old at the time of the events, so they </w:t>
      </w:r>
      <w:r w:rsidR="00B26051" w:rsidRPr="00B26051">
        <w:rPr>
          <w:rFonts w:ascii="Cambria" w:hAnsi="Cambria"/>
          <w:sz w:val="20"/>
          <w:szCs w:val="20"/>
        </w:rPr>
        <w:t>cannot</w:t>
      </w:r>
      <w:r w:rsidRPr="00B26051">
        <w:rPr>
          <w:rFonts w:ascii="Cambria" w:hAnsi="Cambria"/>
          <w:sz w:val="20"/>
          <w:szCs w:val="20"/>
        </w:rPr>
        <w:t xml:space="preserve"> be considered children for the purposes of this case.</w:t>
      </w:r>
    </w:p>
    <w:p w14:paraId="05064EE2" w14:textId="77777777" w:rsidR="00185D58" w:rsidRPr="00B26051" w:rsidRDefault="00185D58" w:rsidP="00185D58">
      <w:pPr>
        <w:rPr>
          <w:sz w:val="20"/>
          <w:szCs w:val="20"/>
        </w:rPr>
      </w:pPr>
    </w:p>
    <w:p w14:paraId="5E0CD957" w14:textId="77F7545C" w:rsidR="00185D58" w:rsidRPr="00B26051" w:rsidRDefault="00DF55FF" w:rsidP="007F4FA0">
      <w:pPr>
        <w:pStyle w:val="ListParagraph"/>
        <w:numPr>
          <w:ilvl w:val="0"/>
          <w:numId w:val="55"/>
        </w:numPr>
        <w:suppressAutoHyphens/>
        <w:ind w:left="1440"/>
        <w:rPr>
          <w:rFonts w:asciiTheme="majorHAnsi" w:hAnsiTheme="majorHAnsi"/>
          <w:b/>
          <w:color w:val="auto"/>
          <w:sz w:val="20"/>
          <w:szCs w:val="20"/>
        </w:rPr>
      </w:pPr>
      <w:r w:rsidRPr="00B26051">
        <w:rPr>
          <w:rFonts w:asciiTheme="majorHAnsi" w:hAnsiTheme="majorHAnsi"/>
          <w:b/>
          <w:color w:val="auto"/>
          <w:sz w:val="20"/>
          <w:szCs w:val="20"/>
        </w:rPr>
        <w:t>DETERMINATIONS OF FACT</w:t>
      </w:r>
    </w:p>
    <w:p w14:paraId="2DFAC303" w14:textId="77777777" w:rsidR="00185D58" w:rsidRPr="00B26051" w:rsidRDefault="00185D58" w:rsidP="00185D58">
      <w:pPr>
        <w:rPr>
          <w:rFonts w:asciiTheme="majorHAnsi" w:hAnsiTheme="majorHAnsi"/>
          <w:b/>
          <w:sz w:val="20"/>
          <w:szCs w:val="20"/>
        </w:rPr>
      </w:pPr>
    </w:p>
    <w:p w14:paraId="08180CDB" w14:textId="3E1F4726" w:rsidR="00185D58" w:rsidRPr="00B26051" w:rsidRDefault="00DF55FF" w:rsidP="007F4FA0">
      <w:pPr>
        <w:pStyle w:val="ListParagraph"/>
        <w:numPr>
          <w:ilvl w:val="0"/>
          <w:numId w:val="58"/>
        </w:numPr>
        <w:ind w:left="1440" w:hanging="720"/>
        <w:jc w:val="both"/>
        <w:rPr>
          <w:rFonts w:asciiTheme="majorHAnsi" w:hAnsiTheme="majorHAnsi"/>
          <w:b/>
          <w:color w:val="auto"/>
          <w:sz w:val="20"/>
          <w:szCs w:val="20"/>
        </w:rPr>
      </w:pPr>
      <w:r w:rsidRPr="00B26051">
        <w:rPr>
          <w:rFonts w:asciiTheme="majorHAnsi" w:hAnsiTheme="majorHAnsi"/>
          <w:b/>
          <w:color w:val="auto"/>
          <w:sz w:val="20"/>
          <w:szCs w:val="20"/>
        </w:rPr>
        <w:t>The Alleged Victims and their Next-of-Kin</w:t>
      </w:r>
    </w:p>
    <w:p w14:paraId="1DB1DAF8" w14:textId="77777777" w:rsidR="00185D58" w:rsidRPr="00B26051" w:rsidRDefault="00185D58" w:rsidP="00185D58">
      <w:pPr>
        <w:jc w:val="both"/>
        <w:rPr>
          <w:rFonts w:asciiTheme="majorHAnsi" w:hAnsiTheme="majorHAnsi"/>
          <w:b/>
          <w:sz w:val="20"/>
          <w:szCs w:val="20"/>
        </w:rPr>
      </w:pPr>
    </w:p>
    <w:p w14:paraId="4B2A126B" w14:textId="4C324E21" w:rsidR="00185D58" w:rsidRPr="00B26051" w:rsidRDefault="006A03BC" w:rsidP="007F4FA0">
      <w:pPr>
        <w:pStyle w:val="ListParagraph"/>
        <w:numPr>
          <w:ilvl w:val="0"/>
          <w:numId w:val="57"/>
        </w:numPr>
        <w:ind w:left="0" w:firstLine="634"/>
        <w:jc w:val="both"/>
        <w:rPr>
          <w:rFonts w:asciiTheme="majorHAnsi" w:hAnsiTheme="majorHAnsi"/>
          <w:color w:val="auto"/>
          <w:sz w:val="20"/>
          <w:szCs w:val="20"/>
        </w:rPr>
      </w:pPr>
      <w:r w:rsidRPr="00B26051">
        <w:rPr>
          <w:color w:val="auto"/>
          <w:sz w:val="20"/>
          <w:szCs w:val="20"/>
        </w:rPr>
        <w:t xml:space="preserve">On June 30, 2005, the five </w:t>
      </w:r>
      <w:r w:rsidR="006D7265" w:rsidRPr="00B26051">
        <w:rPr>
          <w:color w:val="auto"/>
          <w:sz w:val="20"/>
          <w:szCs w:val="20"/>
        </w:rPr>
        <w:t>deceased allege</w:t>
      </w:r>
      <w:r w:rsidR="00B54BA0">
        <w:rPr>
          <w:color w:val="auto"/>
          <w:sz w:val="20"/>
          <w:szCs w:val="20"/>
        </w:rPr>
        <w:t>d</w:t>
      </w:r>
      <w:r w:rsidRPr="00B26051">
        <w:rPr>
          <w:color w:val="auto"/>
          <w:sz w:val="20"/>
          <w:szCs w:val="20"/>
        </w:rPr>
        <w:t xml:space="preserve"> victims were inmates of </w:t>
      </w:r>
      <w:r w:rsidR="0066772E" w:rsidRPr="00B26051">
        <w:rPr>
          <w:color w:val="auto"/>
          <w:sz w:val="20"/>
          <w:szCs w:val="20"/>
        </w:rPr>
        <w:t xml:space="preserve">the </w:t>
      </w:r>
      <w:r w:rsidRPr="00B26051">
        <w:rPr>
          <w:color w:val="auto"/>
          <w:sz w:val="20"/>
          <w:szCs w:val="20"/>
        </w:rPr>
        <w:t>INAM-San Félix</w:t>
      </w:r>
      <w:r w:rsidR="006D7265" w:rsidRPr="00B26051">
        <w:rPr>
          <w:color w:val="auto"/>
          <w:sz w:val="20"/>
          <w:szCs w:val="20"/>
        </w:rPr>
        <w:t xml:space="preserve"> prison</w:t>
      </w:r>
      <w:r w:rsidRPr="00B26051">
        <w:rPr>
          <w:color w:val="auto"/>
          <w:sz w:val="20"/>
          <w:szCs w:val="20"/>
        </w:rPr>
        <w:t xml:space="preserve">, </w:t>
      </w:r>
      <w:r w:rsidR="006D7265" w:rsidRPr="00B26051">
        <w:rPr>
          <w:color w:val="auto"/>
          <w:sz w:val="20"/>
          <w:szCs w:val="20"/>
        </w:rPr>
        <w:t>in Bolívar state</w:t>
      </w:r>
      <w:r w:rsidRPr="00B26051">
        <w:rPr>
          <w:color w:val="auto"/>
          <w:sz w:val="20"/>
          <w:szCs w:val="20"/>
        </w:rPr>
        <w:t>. Rafael Antonio Parra Herrera was born on December 2, 1986</w:t>
      </w:r>
      <w:r w:rsidR="0066772E" w:rsidRPr="00B26051">
        <w:rPr>
          <w:color w:val="auto"/>
          <w:sz w:val="20"/>
          <w:szCs w:val="20"/>
        </w:rPr>
        <w:t>,</w:t>
      </w:r>
      <w:r w:rsidRPr="00B26051">
        <w:rPr>
          <w:color w:val="auto"/>
          <w:sz w:val="20"/>
          <w:szCs w:val="20"/>
        </w:rPr>
        <w:t xml:space="preserve"> and was 18 years old.</w:t>
      </w:r>
      <w:r w:rsidRPr="00B26051">
        <w:rPr>
          <w:rStyle w:val="FootnoteReference"/>
          <w:color w:val="auto"/>
          <w:sz w:val="20"/>
          <w:szCs w:val="20"/>
        </w:rPr>
        <w:footnoteReference w:id="4"/>
      </w:r>
      <w:r w:rsidRPr="00B26051">
        <w:rPr>
          <w:color w:val="auto"/>
          <w:sz w:val="20"/>
          <w:szCs w:val="20"/>
        </w:rPr>
        <w:t xml:space="preserve"> Christian Arnaldo Molina Córdova was born on April 17, 1987</w:t>
      </w:r>
      <w:r w:rsidR="0066772E" w:rsidRPr="00B26051">
        <w:rPr>
          <w:color w:val="auto"/>
          <w:sz w:val="20"/>
          <w:szCs w:val="20"/>
        </w:rPr>
        <w:t>,</w:t>
      </w:r>
      <w:r w:rsidRPr="00B26051">
        <w:rPr>
          <w:color w:val="auto"/>
          <w:sz w:val="20"/>
          <w:szCs w:val="20"/>
        </w:rPr>
        <w:t xml:space="preserve"> and was 18 years old.</w:t>
      </w:r>
      <w:r w:rsidRPr="00B26051">
        <w:rPr>
          <w:rStyle w:val="FootnoteReference"/>
          <w:color w:val="auto"/>
          <w:sz w:val="20"/>
          <w:szCs w:val="20"/>
        </w:rPr>
        <w:footnoteReference w:id="5"/>
      </w:r>
      <w:r w:rsidRPr="00B26051">
        <w:rPr>
          <w:color w:val="auto"/>
          <w:sz w:val="20"/>
          <w:szCs w:val="20"/>
        </w:rPr>
        <w:t xml:space="preserve"> Johan </w:t>
      </w:r>
      <w:r w:rsidR="006D7265" w:rsidRPr="00B26051">
        <w:rPr>
          <w:color w:val="auto"/>
          <w:sz w:val="20"/>
          <w:szCs w:val="20"/>
        </w:rPr>
        <w:t>José</w:t>
      </w:r>
      <w:r w:rsidRPr="00B26051">
        <w:rPr>
          <w:color w:val="auto"/>
          <w:sz w:val="20"/>
          <w:szCs w:val="20"/>
        </w:rPr>
        <w:t xml:space="preserve"> Correa was born on January 29, 1987</w:t>
      </w:r>
      <w:r w:rsidR="0066772E" w:rsidRPr="00B26051">
        <w:rPr>
          <w:color w:val="auto"/>
          <w:sz w:val="20"/>
          <w:szCs w:val="20"/>
        </w:rPr>
        <w:t>,</w:t>
      </w:r>
      <w:r w:rsidRPr="00B26051">
        <w:rPr>
          <w:color w:val="auto"/>
          <w:sz w:val="20"/>
          <w:szCs w:val="20"/>
        </w:rPr>
        <w:t xml:space="preserve"> and was 18 years old.</w:t>
      </w:r>
      <w:r w:rsidRPr="00B26051">
        <w:rPr>
          <w:rStyle w:val="FootnoteReference"/>
          <w:color w:val="auto"/>
          <w:sz w:val="20"/>
          <w:szCs w:val="20"/>
        </w:rPr>
        <w:t xml:space="preserve"> </w:t>
      </w:r>
      <w:r w:rsidRPr="00B26051">
        <w:rPr>
          <w:rStyle w:val="FootnoteReference"/>
          <w:color w:val="auto"/>
          <w:sz w:val="20"/>
          <w:szCs w:val="20"/>
        </w:rPr>
        <w:footnoteReference w:id="6"/>
      </w:r>
      <w:r w:rsidRPr="00B26051">
        <w:rPr>
          <w:color w:val="auto"/>
          <w:sz w:val="20"/>
          <w:szCs w:val="20"/>
        </w:rPr>
        <w:t xml:space="preserve"> Gabriel de Jesús Yáñez Sánchez was born on April 11, 1987</w:t>
      </w:r>
      <w:r w:rsidR="0066772E" w:rsidRPr="00B26051">
        <w:rPr>
          <w:color w:val="auto"/>
          <w:sz w:val="20"/>
          <w:szCs w:val="20"/>
        </w:rPr>
        <w:t>,</w:t>
      </w:r>
      <w:r w:rsidRPr="00B26051">
        <w:rPr>
          <w:color w:val="auto"/>
          <w:sz w:val="20"/>
          <w:szCs w:val="20"/>
        </w:rPr>
        <w:t xml:space="preserve"> and was 18 years old.</w:t>
      </w:r>
      <w:r w:rsidRPr="00B26051">
        <w:rPr>
          <w:rStyle w:val="FootnoteReference"/>
          <w:color w:val="auto"/>
          <w:sz w:val="20"/>
          <w:szCs w:val="20"/>
        </w:rPr>
        <w:t xml:space="preserve"> </w:t>
      </w:r>
      <w:r w:rsidRPr="00B26051">
        <w:rPr>
          <w:rStyle w:val="FootnoteReference"/>
          <w:color w:val="auto"/>
          <w:sz w:val="20"/>
          <w:szCs w:val="20"/>
        </w:rPr>
        <w:footnoteReference w:id="7"/>
      </w:r>
      <w:r w:rsidRPr="00B26051">
        <w:rPr>
          <w:color w:val="auto"/>
          <w:sz w:val="20"/>
          <w:szCs w:val="20"/>
        </w:rPr>
        <w:t xml:space="preserve"> José Gregorio Mota Abarullo was born on June 26, 1985</w:t>
      </w:r>
      <w:r w:rsidR="0066772E" w:rsidRPr="00B26051">
        <w:rPr>
          <w:color w:val="auto"/>
          <w:sz w:val="20"/>
          <w:szCs w:val="20"/>
        </w:rPr>
        <w:t>,</w:t>
      </w:r>
      <w:r w:rsidRPr="00B26051">
        <w:rPr>
          <w:color w:val="auto"/>
          <w:sz w:val="20"/>
          <w:szCs w:val="20"/>
        </w:rPr>
        <w:t xml:space="preserve"> and was 20 years old.</w:t>
      </w:r>
      <w:r w:rsidRPr="00B26051">
        <w:rPr>
          <w:rStyle w:val="FootnoteReference"/>
          <w:color w:val="auto"/>
          <w:sz w:val="20"/>
          <w:szCs w:val="20"/>
        </w:rPr>
        <w:footnoteReference w:id="8"/>
      </w:r>
    </w:p>
    <w:p w14:paraId="281160CC" w14:textId="77777777" w:rsidR="00185D58" w:rsidRPr="00B26051" w:rsidRDefault="00185D58" w:rsidP="00185D58">
      <w:pPr>
        <w:jc w:val="both"/>
        <w:rPr>
          <w:rFonts w:asciiTheme="majorHAnsi" w:hAnsiTheme="majorHAnsi"/>
          <w:sz w:val="20"/>
          <w:szCs w:val="20"/>
        </w:rPr>
      </w:pPr>
    </w:p>
    <w:p w14:paraId="3DBB485A" w14:textId="7AE89E9E" w:rsidR="00185D58" w:rsidRPr="00B26051" w:rsidRDefault="00CB76CA" w:rsidP="007F4FA0">
      <w:pPr>
        <w:pStyle w:val="ListParagraph"/>
        <w:numPr>
          <w:ilvl w:val="0"/>
          <w:numId w:val="57"/>
        </w:numPr>
        <w:ind w:left="0" w:firstLine="634"/>
        <w:jc w:val="both"/>
        <w:rPr>
          <w:rFonts w:asciiTheme="majorHAnsi" w:hAnsiTheme="majorHAnsi"/>
          <w:color w:val="auto"/>
          <w:sz w:val="20"/>
          <w:szCs w:val="20"/>
        </w:rPr>
      </w:pPr>
      <w:r w:rsidRPr="00B26051">
        <w:rPr>
          <w:color w:val="auto"/>
          <w:sz w:val="20"/>
          <w:szCs w:val="20"/>
        </w:rPr>
        <w:t xml:space="preserve">The death certificates indicate that Rafael Parra Herrera, Gabriel Yáñez Sánchez and José Gregorio Mota Abarullo died as a result of </w:t>
      </w:r>
      <w:r w:rsidR="00DF66A9" w:rsidRPr="00B26051">
        <w:rPr>
          <w:color w:val="auto"/>
          <w:sz w:val="20"/>
          <w:szCs w:val="20"/>
        </w:rPr>
        <w:t>"</w:t>
      </w:r>
      <w:r w:rsidRPr="00B26051">
        <w:rPr>
          <w:color w:val="auto"/>
          <w:sz w:val="20"/>
          <w:szCs w:val="20"/>
        </w:rPr>
        <w:t>asphyxia</w:t>
      </w:r>
      <w:r w:rsidR="00DF66A9" w:rsidRPr="00B26051">
        <w:rPr>
          <w:color w:val="auto"/>
          <w:sz w:val="20"/>
          <w:szCs w:val="20"/>
        </w:rPr>
        <w:t xml:space="preserve"> by suffocation</w:t>
      </w:r>
      <w:r w:rsidRPr="00B26051">
        <w:rPr>
          <w:color w:val="auto"/>
          <w:sz w:val="20"/>
          <w:szCs w:val="20"/>
        </w:rPr>
        <w:t>" and "third degree burns"</w:t>
      </w:r>
      <w:r w:rsidRPr="00B26051">
        <w:rPr>
          <w:rStyle w:val="FootnoteReference"/>
          <w:color w:val="auto"/>
          <w:sz w:val="20"/>
          <w:szCs w:val="20"/>
        </w:rPr>
        <w:footnoteReference w:id="9"/>
      </w:r>
      <w:r w:rsidRPr="00B26051">
        <w:rPr>
          <w:color w:val="auto"/>
          <w:sz w:val="20"/>
          <w:szCs w:val="20"/>
        </w:rPr>
        <w:t>; that Christian Molina Cordova died of "</w:t>
      </w:r>
      <w:r w:rsidR="00DF66A9" w:rsidRPr="00B26051">
        <w:rPr>
          <w:color w:val="auto"/>
          <w:sz w:val="20"/>
          <w:szCs w:val="20"/>
        </w:rPr>
        <w:t xml:space="preserve"> asphyxia by suffocation </w:t>
      </w:r>
      <w:r w:rsidRPr="00B26051">
        <w:rPr>
          <w:color w:val="auto"/>
          <w:sz w:val="20"/>
          <w:szCs w:val="20"/>
        </w:rPr>
        <w:t>" and "third degree burns to over 65% of the body surface"</w:t>
      </w:r>
      <w:r w:rsidRPr="00B26051">
        <w:rPr>
          <w:rStyle w:val="FootnoteReference"/>
          <w:color w:val="auto"/>
          <w:sz w:val="20"/>
          <w:szCs w:val="20"/>
        </w:rPr>
        <w:footnoteReference w:id="10"/>
      </w:r>
      <w:r w:rsidRPr="00B26051">
        <w:rPr>
          <w:color w:val="auto"/>
          <w:sz w:val="20"/>
          <w:szCs w:val="20"/>
        </w:rPr>
        <w:t>; and that Johan Correa died of "thi</w:t>
      </w:r>
      <w:r w:rsidR="00DF66A9" w:rsidRPr="00B26051">
        <w:rPr>
          <w:color w:val="auto"/>
          <w:sz w:val="20"/>
          <w:szCs w:val="20"/>
        </w:rPr>
        <w:t>rd degree burns to</w:t>
      </w:r>
      <w:r w:rsidRPr="00B26051">
        <w:rPr>
          <w:color w:val="auto"/>
          <w:sz w:val="20"/>
          <w:szCs w:val="20"/>
        </w:rPr>
        <w:t xml:space="preserve"> 90% </w:t>
      </w:r>
      <w:r w:rsidR="00DF66A9" w:rsidRPr="00B26051">
        <w:rPr>
          <w:color w:val="auto"/>
          <w:sz w:val="20"/>
          <w:szCs w:val="20"/>
        </w:rPr>
        <w:t xml:space="preserve">of the </w:t>
      </w:r>
      <w:r w:rsidRPr="00B26051">
        <w:rPr>
          <w:color w:val="auto"/>
          <w:sz w:val="20"/>
          <w:szCs w:val="20"/>
        </w:rPr>
        <w:t>body surface"</w:t>
      </w:r>
      <w:r w:rsidRPr="00B26051">
        <w:rPr>
          <w:rStyle w:val="FootnoteReference"/>
          <w:color w:val="auto"/>
          <w:sz w:val="20"/>
          <w:szCs w:val="20"/>
        </w:rPr>
        <w:footnoteReference w:id="11"/>
      </w:r>
      <w:r w:rsidRPr="00B26051">
        <w:rPr>
          <w:color w:val="auto"/>
          <w:sz w:val="20"/>
          <w:szCs w:val="20"/>
        </w:rPr>
        <w:t>. There are also exhumation records of four of the five deceased,</w:t>
      </w:r>
      <w:r w:rsidRPr="00B26051">
        <w:rPr>
          <w:rStyle w:val="FootnoteReference"/>
          <w:color w:val="auto"/>
          <w:sz w:val="20"/>
          <w:szCs w:val="20"/>
        </w:rPr>
        <w:footnoteReference w:id="12"/>
      </w:r>
      <w:r w:rsidRPr="00B26051">
        <w:rPr>
          <w:color w:val="auto"/>
          <w:sz w:val="20"/>
          <w:szCs w:val="20"/>
        </w:rPr>
        <w:t xml:space="preserve"> although only the result of the exhumation and autopsy of José Gregorio Mota was provided, </w:t>
      </w:r>
      <w:r w:rsidR="00B54BA0">
        <w:rPr>
          <w:color w:val="auto"/>
          <w:sz w:val="20"/>
          <w:szCs w:val="20"/>
        </w:rPr>
        <w:t>which states</w:t>
      </w:r>
      <w:r w:rsidRPr="00B26051">
        <w:rPr>
          <w:color w:val="auto"/>
          <w:sz w:val="20"/>
          <w:szCs w:val="20"/>
        </w:rPr>
        <w:t xml:space="preserve">: "No traumatic injuries </w:t>
      </w:r>
      <w:r w:rsidR="00DF66A9" w:rsidRPr="00B26051">
        <w:rPr>
          <w:color w:val="auto"/>
          <w:sz w:val="20"/>
          <w:szCs w:val="20"/>
        </w:rPr>
        <w:t>present</w:t>
      </w:r>
      <w:r w:rsidRPr="00B26051">
        <w:rPr>
          <w:color w:val="auto"/>
          <w:sz w:val="20"/>
          <w:szCs w:val="20"/>
        </w:rPr>
        <w:t>, pending the results of toxicological and microanalysis</w:t>
      </w:r>
      <w:r w:rsidR="00DF66A9" w:rsidRPr="00B26051">
        <w:rPr>
          <w:color w:val="auto"/>
          <w:sz w:val="20"/>
          <w:szCs w:val="20"/>
        </w:rPr>
        <w:t xml:space="preserve"> studies</w:t>
      </w:r>
      <w:r w:rsidRPr="00B26051">
        <w:rPr>
          <w:color w:val="auto"/>
          <w:sz w:val="20"/>
          <w:szCs w:val="20"/>
        </w:rPr>
        <w:t xml:space="preserve">", and "Cause of death: </w:t>
      </w:r>
      <w:r w:rsidR="00DF66A9" w:rsidRPr="00B26051">
        <w:rPr>
          <w:color w:val="auto"/>
          <w:sz w:val="20"/>
          <w:szCs w:val="20"/>
        </w:rPr>
        <w:t>Undetermined</w:t>
      </w:r>
      <w:r w:rsidRPr="00B26051">
        <w:rPr>
          <w:color w:val="auto"/>
          <w:sz w:val="20"/>
          <w:szCs w:val="20"/>
        </w:rPr>
        <w:t>, with absence of</w:t>
      </w:r>
      <w:r w:rsidR="00DF66A9" w:rsidRPr="00B26051">
        <w:rPr>
          <w:color w:val="auto"/>
          <w:sz w:val="20"/>
          <w:szCs w:val="20"/>
        </w:rPr>
        <w:t xml:space="preserve"> viscera and without injuries to</w:t>
      </w:r>
      <w:r w:rsidRPr="00B26051">
        <w:rPr>
          <w:color w:val="auto"/>
          <w:sz w:val="20"/>
          <w:szCs w:val="20"/>
        </w:rPr>
        <w:t xml:space="preserve"> soft or bony parts"</w:t>
      </w:r>
      <w:r w:rsidR="00DF66A9" w:rsidRPr="00B26051">
        <w:rPr>
          <w:color w:val="auto"/>
          <w:sz w:val="20"/>
          <w:szCs w:val="20"/>
        </w:rPr>
        <w:t>.</w:t>
      </w:r>
      <w:r w:rsidRPr="00B26051">
        <w:rPr>
          <w:rStyle w:val="FootnoteReference"/>
          <w:color w:val="auto"/>
          <w:sz w:val="20"/>
          <w:szCs w:val="20"/>
        </w:rPr>
        <w:footnoteReference w:id="13"/>
      </w:r>
    </w:p>
    <w:p w14:paraId="54D38128" w14:textId="77777777" w:rsidR="00185D58" w:rsidRPr="00B26051" w:rsidRDefault="00185D58" w:rsidP="00185D58">
      <w:pPr>
        <w:pStyle w:val="ListParagraph"/>
        <w:rPr>
          <w:rFonts w:asciiTheme="majorHAnsi" w:hAnsiTheme="majorHAnsi"/>
          <w:color w:val="auto"/>
          <w:sz w:val="20"/>
          <w:szCs w:val="20"/>
        </w:rPr>
      </w:pPr>
    </w:p>
    <w:p w14:paraId="510EBAEA" w14:textId="4DD6470E" w:rsidR="00185D58" w:rsidRPr="00B26051" w:rsidRDefault="00975DAA" w:rsidP="007F4FA0">
      <w:pPr>
        <w:pStyle w:val="ListParagraph"/>
        <w:numPr>
          <w:ilvl w:val="0"/>
          <w:numId w:val="57"/>
        </w:numPr>
        <w:ind w:left="0" w:firstLine="634"/>
        <w:jc w:val="both"/>
        <w:rPr>
          <w:rFonts w:asciiTheme="majorHAnsi" w:hAnsiTheme="majorHAnsi"/>
          <w:color w:val="auto"/>
          <w:sz w:val="20"/>
          <w:szCs w:val="20"/>
        </w:rPr>
      </w:pPr>
      <w:r w:rsidRPr="00B26051">
        <w:rPr>
          <w:color w:val="auto"/>
          <w:sz w:val="20"/>
          <w:szCs w:val="20"/>
        </w:rPr>
        <w:t xml:space="preserve">The petitioners identified </w:t>
      </w:r>
      <w:r w:rsidR="00B54BA0" w:rsidRPr="00B26051">
        <w:rPr>
          <w:color w:val="auto"/>
          <w:sz w:val="20"/>
          <w:szCs w:val="20"/>
        </w:rPr>
        <w:t>as relatives of the alleged victims</w:t>
      </w:r>
      <w:r w:rsidR="00B54BA0">
        <w:rPr>
          <w:color w:val="auto"/>
          <w:sz w:val="20"/>
          <w:szCs w:val="20"/>
        </w:rPr>
        <w:t>:</w:t>
      </w:r>
      <w:r w:rsidR="00B54BA0" w:rsidRPr="00B26051">
        <w:rPr>
          <w:color w:val="auto"/>
          <w:sz w:val="20"/>
          <w:szCs w:val="20"/>
        </w:rPr>
        <w:t xml:space="preserve"> </w:t>
      </w:r>
      <w:r w:rsidRPr="00B26051">
        <w:rPr>
          <w:color w:val="auto"/>
          <w:sz w:val="20"/>
          <w:szCs w:val="20"/>
        </w:rPr>
        <w:t>Nelys Margarita Correa and Belkys Josefina Correa Ríos (with respect</w:t>
      </w:r>
      <w:r w:rsidR="00925CEC" w:rsidRPr="00B26051">
        <w:rPr>
          <w:color w:val="auto"/>
          <w:sz w:val="20"/>
          <w:szCs w:val="20"/>
        </w:rPr>
        <w:t xml:space="preserve"> to Johan José Correa); Elvia de</w:t>
      </w:r>
      <w:r w:rsidRPr="00B26051">
        <w:rPr>
          <w:color w:val="auto"/>
          <w:sz w:val="20"/>
          <w:szCs w:val="20"/>
        </w:rPr>
        <w:t xml:space="preserve"> Jesús Abarullo de Mota, Félix Enríquez Mota and Osmely Angelina Mota Abarullo (regarding José Gregorio Mota Abarullo); Luis José Yáñez and Maritza del Valle Sánchez Ávila (regarding Gabriel de Jesús Yáñez Sánchez); Miryam Josefina Herrera Sánchez and Jesús Juvenal Herrera Sánchez (regarding Rafael Antonio Parra Herrera); and María Cristina Córdova de Molina and Hugo Arnaldo Molina (regarding Christian Arnaldo Molina Córdova)</w:t>
      </w:r>
      <w:r w:rsidR="00185D58" w:rsidRPr="00B26051">
        <w:rPr>
          <w:rStyle w:val="FootnoteReference"/>
          <w:color w:val="auto"/>
          <w:sz w:val="20"/>
          <w:szCs w:val="20"/>
        </w:rPr>
        <w:footnoteReference w:id="14"/>
      </w:r>
      <w:r w:rsidR="00185D58" w:rsidRPr="00B26051">
        <w:rPr>
          <w:color w:val="auto"/>
          <w:sz w:val="20"/>
          <w:szCs w:val="20"/>
        </w:rPr>
        <w:t>.</w:t>
      </w:r>
    </w:p>
    <w:p w14:paraId="3D25859D" w14:textId="77777777" w:rsidR="00185D58" w:rsidRPr="00B26051" w:rsidRDefault="00185D58" w:rsidP="00185D58">
      <w:pPr>
        <w:jc w:val="both"/>
        <w:rPr>
          <w:rFonts w:asciiTheme="majorHAnsi" w:hAnsiTheme="majorHAnsi"/>
          <w:b/>
          <w:sz w:val="20"/>
          <w:szCs w:val="20"/>
        </w:rPr>
      </w:pPr>
    </w:p>
    <w:p w14:paraId="6383B35F" w14:textId="1F655337" w:rsidR="00185D58" w:rsidRPr="00B26051" w:rsidRDefault="00975DAA" w:rsidP="007F4FA0">
      <w:pPr>
        <w:pStyle w:val="ListParagraph"/>
        <w:numPr>
          <w:ilvl w:val="0"/>
          <w:numId w:val="58"/>
        </w:numPr>
        <w:ind w:left="1440" w:hanging="720"/>
        <w:jc w:val="both"/>
        <w:rPr>
          <w:rFonts w:asciiTheme="majorHAnsi" w:hAnsiTheme="majorHAnsi"/>
          <w:b/>
          <w:color w:val="auto"/>
          <w:sz w:val="20"/>
          <w:szCs w:val="20"/>
        </w:rPr>
      </w:pPr>
      <w:r w:rsidRPr="00B26051">
        <w:rPr>
          <w:rFonts w:asciiTheme="majorHAnsi" w:hAnsiTheme="majorHAnsi"/>
          <w:b/>
          <w:color w:val="auto"/>
          <w:sz w:val="20"/>
          <w:szCs w:val="20"/>
        </w:rPr>
        <w:t>Context and Background</w:t>
      </w:r>
    </w:p>
    <w:p w14:paraId="4E852D76" w14:textId="77777777" w:rsidR="00185D58" w:rsidRPr="00B26051" w:rsidRDefault="00185D58" w:rsidP="00185D58">
      <w:pPr>
        <w:jc w:val="both"/>
        <w:rPr>
          <w:rFonts w:asciiTheme="majorHAnsi" w:hAnsiTheme="majorHAnsi"/>
          <w:b/>
          <w:sz w:val="20"/>
          <w:szCs w:val="20"/>
        </w:rPr>
      </w:pPr>
    </w:p>
    <w:p w14:paraId="662DDB8F" w14:textId="5BE347E3" w:rsidR="00185D58" w:rsidRPr="00B26051" w:rsidRDefault="00B54BA0" w:rsidP="007F4FA0">
      <w:pPr>
        <w:pStyle w:val="ListParagraph"/>
        <w:numPr>
          <w:ilvl w:val="0"/>
          <w:numId w:val="65"/>
        </w:numPr>
        <w:ind w:firstLine="0"/>
        <w:jc w:val="both"/>
        <w:rPr>
          <w:rFonts w:asciiTheme="majorHAnsi" w:hAnsiTheme="majorHAnsi"/>
          <w:b/>
          <w:color w:val="auto"/>
          <w:sz w:val="20"/>
          <w:szCs w:val="20"/>
        </w:rPr>
      </w:pPr>
      <w:r>
        <w:rPr>
          <w:rFonts w:asciiTheme="majorHAnsi" w:hAnsiTheme="majorHAnsi"/>
          <w:b/>
          <w:color w:val="auto"/>
          <w:sz w:val="20"/>
          <w:szCs w:val="20"/>
        </w:rPr>
        <w:t xml:space="preserve">Structural </w:t>
      </w:r>
      <w:r w:rsidR="00975DAA" w:rsidRPr="00B26051">
        <w:rPr>
          <w:rFonts w:asciiTheme="majorHAnsi" w:hAnsiTheme="majorHAnsi"/>
          <w:b/>
          <w:color w:val="auto"/>
          <w:sz w:val="20"/>
          <w:szCs w:val="20"/>
        </w:rPr>
        <w:t xml:space="preserve">Problems </w:t>
      </w:r>
      <w:r>
        <w:rPr>
          <w:rFonts w:asciiTheme="majorHAnsi" w:hAnsiTheme="majorHAnsi"/>
          <w:b/>
          <w:color w:val="auto"/>
          <w:sz w:val="20"/>
          <w:szCs w:val="20"/>
        </w:rPr>
        <w:t>in the Prison</w:t>
      </w:r>
    </w:p>
    <w:p w14:paraId="084CF909" w14:textId="77777777" w:rsidR="00185D58" w:rsidRPr="00B26051" w:rsidRDefault="00185D58" w:rsidP="00185D58">
      <w:pPr>
        <w:jc w:val="both"/>
        <w:rPr>
          <w:rFonts w:asciiTheme="majorHAnsi" w:hAnsiTheme="majorHAnsi"/>
          <w:sz w:val="20"/>
          <w:szCs w:val="20"/>
        </w:rPr>
      </w:pPr>
    </w:p>
    <w:p w14:paraId="0BFA79F5" w14:textId="70E91BE2" w:rsidR="00185D58" w:rsidRPr="00B26051" w:rsidRDefault="00975DAA"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 xml:space="preserve">The </w:t>
      </w:r>
      <w:r w:rsidR="009E7BED" w:rsidRPr="00B26051">
        <w:rPr>
          <w:rFonts w:asciiTheme="majorHAnsi" w:hAnsiTheme="majorHAnsi"/>
          <w:color w:val="auto"/>
          <w:sz w:val="20"/>
          <w:szCs w:val="20"/>
        </w:rPr>
        <w:t xml:space="preserve">case </w:t>
      </w:r>
      <w:r w:rsidRPr="00B26051">
        <w:rPr>
          <w:rFonts w:asciiTheme="majorHAnsi" w:hAnsiTheme="majorHAnsi"/>
          <w:color w:val="auto"/>
          <w:sz w:val="20"/>
          <w:szCs w:val="20"/>
        </w:rPr>
        <w:t xml:space="preserve">file contains information </w:t>
      </w:r>
      <w:r w:rsidR="009E7BED" w:rsidRPr="00B26051">
        <w:rPr>
          <w:rFonts w:asciiTheme="majorHAnsi" w:hAnsiTheme="majorHAnsi"/>
          <w:color w:val="auto"/>
          <w:sz w:val="20"/>
          <w:szCs w:val="20"/>
        </w:rPr>
        <w:t>highlighting</w:t>
      </w:r>
      <w:r w:rsidRPr="00B26051">
        <w:rPr>
          <w:rFonts w:asciiTheme="majorHAnsi" w:hAnsiTheme="majorHAnsi"/>
          <w:color w:val="auto"/>
          <w:sz w:val="20"/>
          <w:szCs w:val="20"/>
        </w:rPr>
        <w:t xml:space="preserve"> a series of structural problems in the operation of </w:t>
      </w:r>
      <w:r w:rsidR="009E7BED" w:rsidRPr="00B26051">
        <w:rPr>
          <w:rFonts w:asciiTheme="majorHAnsi" w:hAnsiTheme="majorHAnsi"/>
          <w:color w:val="auto"/>
          <w:sz w:val="20"/>
          <w:szCs w:val="20"/>
        </w:rPr>
        <w:t xml:space="preserve">the </w:t>
      </w:r>
      <w:r w:rsidRPr="00B26051">
        <w:rPr>
          <w:rFonts w:asciiTheme="majorHAnsi" w:hAnsiTheme="majorHAnsi"/>
          <w:color w:val="auto"/>
          <w:sz w:val="20"/>
          <w:szCs w:val="20"/>
        </w:rPr>
        <w:t xml:space="preserve">INAM-San Félix </w:t>
      </w:r>
      <w:r w:rsidR="009E7BED" w:rsidRPr="00B26051">
        <w:rPr>
          <w:rFonts w:asciiTheme="majorHAnsi" w:hAnsiTheme="majorHAnsi"/>
          <w:color w:val="auto"/>
          <w:sz w:val="20"/>
          <w:szCs w:val="20"/>
        </w:rPr>
        <w:t xml:space="preserve">prison </w:t>
      </w:r>
      <w:r w:rsidRPr="00B26051">
        <w:rPr>
          <w:rFonts w:asciiTheme="majorHAnsi" w:hAnsiTheme="majorHAnsi"/>
          <w:color w:val="auto"/>
          <w:sz w:val="20"/>
          <w:szCs w:val="20"/>
        </w:rPr>
        <w:t xml:space="preserve">at the time of the events, such as the lack of sufficient custodial staff, overcrowding and the lack of facilities and </w:t>
      </w:r>
      <w:r w:rsidR="009E7BED" w:rsidRPr="00B26051">
        <w:rPr>
          <w:rFonts w:asciiTheme="majorHAnsi" w:hAnsiTheme="majorHAnsi"/>
          <w:color w:val="auto"/>
          <w:sz w:val="20"/>
          <w:szCs w:val="20"/>
        </w:rPr>
        <w:t>adequate security measures.</w:t>
      </w:r>
    </w:p>
    <w:p w14:paraId="23255B83" w14:textId="77777777" w:rsidR="00185D58" w:rsidRPr="00B26051" w:rsidRDefault="00185D58" w:rsidP="00185D58">
      <w:pPr>
        <w:pStyle w:val="ListParagraph"/>
        <w:ind w:left="634"/>
        <w:jc w:val="both"/>
        <w:rPr>
          <w:rFonts w:asciiTheme="majorHAnsi" w:hAnsiTheme="majorHAnsi"/>
          <w:color w:val="auto"/>
          <w:sz w:val="20"/>
          <w:szCs w:val="20"/>
        </w:rPr>
      </w:pPr>
    </w:p>
    <w:p w14:paraId="6B346A35" w14:textId="5BB00C0C" w:rsidR="00185D58" w:rsidRPr="00B26051" w:rsidRDefault="00975DAA"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 xml:space="preserve">Thus, months before the fire, the former </w:t>
      </w:r>
      <w:r w:rsidR="00755321" w:rsidRPr="00B26051">
        <w:rPr>
          <w:rFonts w:asciiTheme="majorHAnsi" w:hAnsiTheme="majorHAnsi"/>
          <w:color w:val="auto"/>
          <w:sz w:val="20"/>
          <w:szCs w:val="20"/>
        </w:rPr>
        <w:t>Warden</w:t>
      </w:r>
      <w:r w:rsidRPr="00B26051">
        <w:rPr>
          <w:rFonts w:asciiTheme="majorHAnsi" w:hAnsiTheme="majorHAnsi"/>
          <w:color w:val="auto"/>
          <w:sz w:val="20"/>
          <w:szCs w:val="20"/>
        </w:rPr>
        <w:t xml:space="preserve"> indicated the following: "even though we have made an effort to give comprehensive care, however [overcrowding] has caused limitations due to the </w:t>
      </w:r>
      <w:r w:rsidRPr="00B26051">
        <w:rPr>
          <w:rFonts w:asciiTheme="majorHAnsi" w:hAnsiTheme="majorHAnsi"/>
          <w:color w:val="auto"/>
          <w:sz w:val="20"/>
          <w:szCs w:val="20"/>
        </w:rPr>
        <w:lastRenderedPageBreak/>
        <w:t>low staffing level</w:t>
      </w:r>
      <w:r w:rsidR="00F92E76" w:rsidRPr="00B26051">
        <w:rPr>
          <w:rFonts w:asciiTheme="majorHAnsi" w:hAnsiTheme="majorHAnsi"/>
          <w:color w:val="auto"/>
          <w:sz w:val="20"/>
          <w:szCs w:val="20"/>
        </w:rPr>
        <w:t>s</w:t>
      </w:r>
      <w:r w:rsidRPr="00B26051">
        <w:rPr>
          <w:rFonts w:asciiTheme="majorHAnsi" w:hAnsiTheme="majorHAnsi"/>
          <w:color w:val="auto"/>
          <w:sz w:val="20"/>
          <w:szCs w:val="20"/>
        </w:rPr>
        <w:t xml:space="preserve"> and </w:t>
      </w:r>
      <w:r w:rsidR="00F92E76" w:rsidRPr="00B26051">
        <w:rPr>
          <w:rFonts w:asciiTheme="majorHAnsi" w:hAnsiTheme="majorHAnsi"/>
          <w:color w:val="auto"/>
          <w:sz w:val="20"/>
          <w:szCs w:val="20"/>
        </w:rPr>
        <w:t>inadequate</w:t>
      </w:r>
      <w:r w:rsidRPr="00B26051">
        <w:rPr>
          <w:rFonts w:asciiTheme="majorHAnsi" w:hAnsiTheme="majorHAnsi"/>
          <w:color w:val="auto"/>
          <w:sz w:val="20"/>
          <w:szCs w:val="20"/>
        </w:rPr>
        <w:t xml:space="preserve"> infrastructure to serve this population."</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15"/>
      </w:r>
      <w:r w:rsidRPr="00B26051">
        <w:rPr>
          <w:rFonts w:asciiTheme="majorHAnsi" w:hAnsiTheme="majorHAnsi"/>
          <w:color w:val="auto"/>
          <w:sz w:val="20"/>
          <w:szCs w:val="20"/>
        </w:rPr>
        <w:t xml:space="preserve"> In the year before the events, the </w:t>
      </w:r>
      <w:r w:rsidR="006409F6" w:rsidRPr="00B26051">
        <w:rPr>
          <w:rFonts w:asciiTheme="majorHAnsi" w:hAnsiTheme="majorHAnsi"/>
          <w:color w:val="auto"/>
          <w:sz w:val="20"/>
          <w:szCs w:val="20"/>
        </w:rPr>
        <w:t>wardens</w:t>
      </w:r>
      <w:r w:rsidRPr="00B26051">
        <w:rPr>
          <w:rFonts w:asciiTheme="majorHAnsi" w:hAnsiTheme="majorHAnsi"/>
          <w:color w:val="auto"/>
          <w:sz w:val="20"/>
          <w:szCs w:val="20"/>
        </w:rPr>
        <w:t xml:space="preserve"> of the center expressed their concern about "the continu</w:t>
      </w:r>
      <w:r w:rsidR="006409F6" w:rsidRPr="00B26051">
        <w:rPr>
          <w:rFonts w:asciiTheme="majorHAnsi" w:hAnsiTheme="majorHAnsi"/>
          <w:color w:val="auto"/>
          <w:sz w:val="20"/>
          <w:szCs w:val="20"/>
        </w:rPr>
        <w:t>o</w:t>
      </w:r>
      <w:r w:rsidR="006D7265" w:rsidRPr="00B26051">
        <w:rPr>
          <w:rFonts w:asciiTheme="majorHAnsi" w:hAnsiTheme="majorHAnsi"/>
          <w:color w:val="auto"/>
          <w:sz w:val="20"/>
          <w:szCs w:val="20"/>
        </w:rPr>
        <w:t>us absences of the (Male) Police Agent</w:t>
      </w:r>
      <w:r w:rsidRPr="00B26051">
        <w:rPr>
          <w:rFonts w:asciiTheme="majorHAnsi" w:hAnsiTheme="majorHAnsi"/>
          <w:color w:val="auto"/>
          <w:sz w:val="20"/>
          <w:szCs w:val="20"/>
        </w:rPr>
        <w:t xml:space="preserve"> </w:t>
      </w:r>
      <w:r w:rsidR="006D7265" w:rsidRPr="00B26051">
        <w:rPr>
          <w:rFonts w:asciiTheme="majorHAnsi" w:hAnsiTheme="majorHAnsi"/>
          <w:color w:val="auto"/>
          <w:sz w:val="20"/>
          <w:szCs w:val="20"/>
        </w:rPr>
        <w:t>during</w:t>
      </w:r>
      <w:r w:rsidRPr="00B26051">
        <w:rPr>
          <w:rFonts w:asciiTheme="majorHAnsi" w:hAnsiTheme="majorHAnsi"/>
          <w:color w:val="auto"/>
          <w:sz w:val="20"/>
          <w:szCs w:val="20"/>
        </w:rPr>
        <w:t xml:space="preserve"> weekends and </w:t>
      </w:r>
      <w:r w:rsidR="006D7265" w:rsidRPr="00B26051">
        <w:rPr>
          <w:rFonts w:asciiTheme="majorHAnsi" w:hAnsiTheme="majorHAnsi"/>
          <w:color w:val="auto"/>
          <w:sz w:val="20"/>
          <w:szCs w:val="20"/>
        </w:rPr>
        <w:t>also</w:t>
      </w:r>
      <w:r w:rsidRPr="00B26051">
        <w:rPr>
          <w:rFonts w:asciiTheme="majorHAnsi" w:hAnsiTheme="majorHAnsi"/>
          <w:color w:val="auto"/>
          <w:sz w:val="20"/>
          <w:szCs w:val="20"/>
        </w:rPr>
        <w:t xml:space="preserve"> on weekdays."</w:t>
      </w:r>
      <w:r w:rsidR="00185D58" w:rsidRPr="00B26051">
        <w:rPr>
          <w:rStyle w:val="FootnoteReference"/>
          <w:rFonts w:asciiTheme="majorHAnsi" w:hAnsiTheme="majorHAnsi"/>
          <w:color w:val="auto"/>
          <w:sz w:val="20"/>
          <w:szCs w:val="20"/>
        </w:rPr>
        <w:footnoteReference w:id="16"/>
      </w:r>
    </w:p>
    <w:p w14:paraId="4479C2A0" w14:textId="77777777" w:rsidR="00195705" w:rsidRPr="00B26051" w:rsidRDefault="00195705" w:rsidP="00185D58">
      <w:pPr>
        <w:jc w:val="both"/>
        <w:rPr>
          <w:rFonts w:asciiTheme="majorHAnsi" w:hAnsiTheme="majorHAnsi"/>
          <w:sz w:val="20"/>
          <w:szCs w:val="20"/>
        </w:rPr>
      </w:pPr>
    </w:p>
    <w:p w14:paraId="00149643" w14:textId="0E967601" w:rsidR="00185D58" w:rsidRPr="00B26051" w:rsidRDefault="00F91E5E"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 xml:space="preserve">In a post-event statement, the former </w:t>
      </w:r>
      <w:r w:rsidR="00195705" w:rsidRPr="00B26051">
        <w:rPr>
          <w:rFonts w:asciiTheme="majorHAnsi" w:hAnsiTheme="majorHAnsi"/>
          <w:color w:val="auto"/>
          <w:sz w:val="20"/>
          <w:szCs w:val="20"/>
        </w:rPr>
        <w:t>Warden</w:t>
      </w:r>
      <w:r w:rsidRPr="00B26051">
        <w:rPr>
          <w:rFonts w:asciiTheme="majorHAnsi" w:hAnsiTheme="majorHAnsi"/>
          <w:color w:val="auto"/>
          <w:sz w:val="20"/>
          <w:szCs w:val="20"/>
        </w:rPr>
        <w:t xml:space="preserve"> acknowledged that the center "does not have the infrastructure to maintain a population of fifty to </w:t>
      </w:r>
      <w:r w:rsidR="00763B2F" w:rsidRPr="00B26051">
        <w:rPr>
          <w:rFonts w:asciiTheme="majorHAnsi" w:hAnsiTheme="majorHAnsi"/>
          <w:color w:val="auto"/>
          <w:sz w:val="20"/>
          <w:szCs w:val="20"/>
        </w:rPr>
        <w:t>seventy adolescents and despite</w:t>
      </w:r>
      <w:r w:rsidRPr="00B26051">
        <w:rPr>
          <w:rFonts w:asciiTheme="majorHAnsi" w:hAnsiTheme="majorHAnsi"/>
          <w:color w:val="auto"/>
          <w:sz w:val="20"/>
          <w:szCs w:val="20"/>
        </w:rPr>
        <w:t xml:space="preserve"> [LOPNA] </w:t>
      </w:r>
      <w:r w:rsidR="00B26051" w:rsidRPr="00B26051">
        <w:rPr>
          <w:rFonts w:asciiTheme="majorHAnsi" w:hAnsiTheme="majorHAnsi"/>
          <w:color w:val="auto"/>
          <w:sz w:val="20"/>
          <w:szCs w:val="20"/>
        </w:rPr>
        <w:t>entering</w:t>
      </w:r>
      <w:r w:rsidRPr="00B26051">
        <w:rPr>
          <w:rFonts w:asciiTheme="majorHAnsi" w:hAnsiTheme="majorHAnsi"/>
          <w:color w:val="auto"/>
          <w:sz w:val="20"/>
          <w:szCs w:val="20"/>
        </w:rPr>
        <w:t xml:space="preserve"> into force</w:t>
      </w:r>
      <w:r w:rsidR="00195705" w:rsidRPr="00B26051">
        <w:rPr>
          <w:rFonts w:asciiTheme="majorHAnsi" w:hAnsiTheme="majorHAnsi"/>
          <w:color w:val="auto"/>
          <w:sz w:val="20"/>
          <w:szCs w:val="20"/>
        </w:rPr>
        <w:t xml:space="preserve"> five years ago</w:t>
      </w:r>
      <w:r w:rsidRPr="00B26051">
        <w:rPr>
          <w:rFonts w:asciiTheme="majorHAnsi" w:hAnsiTheme="majorHAnsi"/>
          <w:color w:val="auto"/>
          <w:sz w:val="20"/>
          <w:szCs w:val="20"/>
        </w:rPr>
        <w:t xml:space="preserve">, </w:t>
      </w:r>
      <w:r w:rsidR="006D7265" w:rsidRPr="00B26051">
        <w:rPr>
          <w:rFonts w:asciiTheme="majorHAnsi" w:hAnsiTheme="majorHAnsi"/>
          <w:color w:val="auto"/>
          <w:sz w:val="20"/>
          <w:szCs w:val="20"/>
        </w:rPr>
        <w:t>this center lacks the conditions to function; also</w:t>
      </w:r>
      <w:r w:rsidRPr="00B26051">
        <w:rPr>
          <w:rFonts w:asciiTheme="majorHAnsi" w:hAnsiTheme="majorHAnsi"/>
          <w:color w:val="auto"/>
          <w:sz w:val="20"/>
          <w:szCs w:val="20"/>
        </w:rPr>
        <w:t xml:space="preserve"> </w:t>
      </w:r>
      <w:r w:rsidR="00195705" w:rsidRPr="00B26051">
        <w:rPr>
          <w:rFonts w:asciiTheme="majorHAnsi" w:hAnsiTheme="majorHAnsi"/>
          <w:color w:val="auto"/>
          <w:sz w:val="20"/>
          <w:szCs w:val="20"/>
        </w:rPr>
        <w:t xml:space="preserve">on </w:t>
      </w:r>
      <w:r w:rsidRPr="00B26051">
        <w:rPr>
          <w:rFonts w:asciiTheme="majorHAnsi" w:hAnsiTheme="majorHAnsi"/>
          <w:color w:val="auto"/>
          <w:sz w:val="20"/>
          <w:szCs w:val="20"/>
        </w:rPr>
        <w:t xml:space="preserve">that day </w:t>
      </w:r>
      <w:r w:rsidR="006D7265" w:rsidRPr="00B26051">
        <w:rPr>
          <w:rFonts w:asciiTheme="majorHAnsi" w:hAnsiTheme="majorHAnsi"/>
          <w:color w:val="auto"/>
          <w:sz w:val="20"/>
          <w:szCs w:val="20"/>
        </w:rPr>
        <w:t xml:space="preserve">as at other times, </w:t>
      </w:r>
      <w:r w:rsidRPr="00B26051">
        <w:rPr>
          <w:rFonts w:asciiTheme="majorHAnsi" w:hAnsiTheme="majorHAnsi"/>
          <w:color w:val="auto"/>
          <w:sz w:val="20"/>
          <w:szCs w:val="20"/>
        </w:rPr>
        <w:t>the</w:t>
      </w:r>
      <w:r w:rsidR="00195705" w:rsidRPr="00B26051">
        <w:rPr>
          <w:rFonts w:asciiTheme="majorHAnsi" w:hAnsiTheme="majorHAnsi"/>
          <w:color w:val="auto"/>
          <w:sz w:val="20"/>
          <w:szCs w:val="20"/>
        </w:rPr>
        <w:t xml:space="preserve">re was </w:t>
      </w:r>
      <w:r w:rsidR="006D7265" w:rsidRPr="00B26051">
        <w:rPr>
          <w:rFonts w:asciiTheme="majorHAnsi" w:hAnsiTheme="majorHAnsi"/>
          <w:color w:val="auto"/>
          <w:sz w:val="20"/>
          <w:szCs w:val="20"/>
        </w:rPr>
        <w:t>no</w:t>
      </w:r>
      <w:r w:rsidR="00763B2F" w:rsidRPr="00B26051">
        <w:rPr>
          <w:rFonts w:asciiTheme="majorHAnsi" w:hAnsiTheme="majorHAnsi"/>
          <w:color w:val="auto"/>
          <w:sz w:val="20"/>
          <w:szCs w:val="20"/>
        </w:rPr>
        <w:t xml:space="preserve"> </w:t>
      </w:r>
      <w:r w:rsidR="006D7265" w:rsidRPr="00B26051">
        <w:rPr>
          <w:rFonts w:asciiTheme="majorHAnsi" w:hAnsiTheme="majorHAnsi"/>
          <w:color w:val="auto"/>
          <w:sz w:val="20"/>
          <w:szCs w:val="20"/>
        </w:rPr>
        <w:t>police support,</w:t>
      </w:r>
      <w:r w:rsidRPr="00B26051">
        <w:rPr>
          <w:rFonts w:asciiTheme="majorHAnsi" w:hAnsiTheme="majorHAnsi"/>
          <w:color w:val="auto"/>
          <w:sz w:val="20"/>
          <w:szCs w:val="20"/>
        </w:rPr>
        <w:t xml:space="preserve"> </w:t>
      </w:r>
      <w:r w:rsidR="006D7265" w:rsidRPr="00B26051">
        <w:rPr>
          <w:rFonts w:asciiTheme="majorHAnsi" w:hAnsiTheme="majorHAnsi"/>
          <w:color w:val="auto"/>
          <w:sz w:val="20"/>
          <w:szCs w:val="20"/>
        </w:rPr>
        <w:t>no security at</w:t>
      </w:r>
      <w:r w:rsidRPr="00B26051">
        <w:rPr>
          <w:rFonts w:asciiTheme="majorHAnsi" w:hAnsiTheme="majorHAnsi"/>
          <w:color w:val="auto"/>
          <w:sz w:val="20"/>
          <w:szCs w:val="20"/>
        </w:rPr>
        <w:t xml:space="preserve"> the center and </w:t>
      </w:r>
      <w:r w:rsidR="00195705" w:rsidRPr="00B26051">
        <w:rPr>
          <w:rFonts w:asciiTheme="majorHAnsi" w:hAnsiTheme="majorHAnsi"/>
          <w:color w:val="auto"/>
          <w:sz w:val="20"/>
          <w:szCs w:val="20"/>
        </w:rPr>
        <w:t>few</w:t>
      </w:r>
      <w:r w:rsidR="006D7265" w:rsidRPr="00B26051">
        <w:rPr>
          <w:rFonts w:asciiTheme="majorHAnsi" w:hAnsiTheme="majorHAnsi"/>
          <w:color w:val="auto"/>
          <w:sz w:val="20"/>
          <w:szCs w:val="20"/>
        </w:rPr>
        <w:t xml:space="preserve"> personnel</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footnoteReference w:id="17"/>
      </w:r>
      <w:r w:rsidRPr="00B26051">
        <w:rPr>
          <w:rFonts w:asciiTheme="majorHAnsi" w:hAnsiTheme="majorHAnsi"/>
          <w:color w:val="auto"/>
          <w:sz w:val="20"/>
          <w:szCs w:val="20"/>
        </w:rPr>
        <w:t>. He also st</w:t>
      </w:r>
      <w:r w:rsidR="006D7265" w:rsidRPr="00B26051">
        <w:rPr>
          <w:rFonts w:asciiTheme="majorHAnsi" w:hAnsiTheme="majorHAnsi"/>
          <w:color w:val="auto"/>
          <w:sz w:val="20"/>
          <w:szCs w:val="20"/>
        </w:rPr>
        <w:t>ated that having only two guides</w:t>
      </w:r>
      <w:r w:rsidRPr="00B26051">
        <w:rPr>
          <w:rFonts w:asciiTheme="majorHAnsi" w:hAnsiTheme="majorHAnsi"/>
          <w:color w:val="auto"/>
          <w:sz w:val="20"/>
          <w:szCs w:val="20"/>
        </w:rPr>
        <w:t xml:space="preserve"> per shift was usual, despite the high population of the center.</w:t>
      </w:r>
      <w:r w:rsidRPr="00B26051">
        <w:rPr>
          <w:rStyle w:val="FootnoteReference"/>
          <w:rFonts w:asciiTheme="majorHAnsi" w:hAnsiTheme="majorHAnsi"/>
          <w:color w:val="auto"/>
          <w:sz w:val="20"/>
          <w:szCs w:val="20"/>
        </w:rPr>
        <w:footnoteReference w:id="18"/>
      </w:r>
    </w:p>
    <w:p w14:paraId="30D5288F" w14:textId="77777777" w:rsidR="00185D58" w:rsidRPr="00B26051" w:rsidRDefault="00185D58" w:rsidP="00185D58"/>
    <w:p w14:paraId="7C81D3D5" w14:textId="168A5800" w:rsidR="00185D58" w:rsidRPr="00B26051" w:rsidRDefault="00F91E5E"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Regarding overcrowding, although the center had c</w:t>
      </w:r>
      <w:r w:rsidR="00967FAB" w:rsidRPr="00B26051">
        <w:rPr>
          <w:rFonts w:asciiTheme="majorHAnsi" w:hAnsiTheme="majorHAnsi"/>
          <w:color w:val="auto"/>
          <w:sz w:val="20"/>
          <w:szCs w:val="20"/>
        </w:rPr>
        <w:t>apacity to house 30 youths</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footnoteReference w:id="19"/>
      </w:r>
      <w:r w:rsidRPr="00B26051">
        <w:rPr>
          <w:rFonts w:asciiTheme="majorHAnsi" w:hAnsiTheme="majorHAnsi"/>
          <w:color w:val="auto"/>
          <w:sz w:val="20"/>
          <w:szCs w:val="20"/>
        </w:rPr>
        <w:t xml:space="preserve"> throughout 2004 and 2005</w:t>
      </w:r>
      <w:r w:rsidR="00967FAB" w:rsidRPr="00B26051">
        <w:rPr>
          <w:rFonts w:asciiTheme="majorHAnsi" w:hAnsiTheme="majorHAnsi"/>
          <w:color w:val="auto"/>
          <w:sz w:val="20"/>
          <w:szCs w:val="20"/>
        </w:rPr>
        <w:t>,</w:t>
      </w:r>
      <w:r w:rsidRPr="00B26051">
        <w:rPr>
          <w:rFonts w:asciiTheme="majorHAnsi" w:hAnsiTheme="majorHAnsi"/>
          <w:color w:val="auto"/>
          <w:sz w:val="20"/>
          <w:szCs w:val="20"/>
        </w:rPr>
        <w:t xml:space="preserve"> a population </w:t>
      </w:r>
      <w:r w:rsidR="00763B2F" w:rsidRPr="00B26051">
        <w:rPr>
          <w:rFonts w:asciiTheme="majorHAnsi" w:hAnsiTheme="majorHAnsi"/>
          <w:color w:val="auto"/>
          <w:sz w:val="20"/>
          <w:szCs w:val="20"/>
        </w:rPr>
        <w:t>averaging</w:t>
      </w:r>
      <w:r w:rsidR="00967FAB" w:rsidRPr="00B26051">
        <w:rPr>
          <w:rFonts w:asciiTheme="majorHAnsi" w:hAnsiTheme="majorHAnsi"/>
          <w:color w:val="auto"/>
          <w:sz w:val="20"/>
          <w:szCs w:val="20"/>
        </w:rPr>
        <w:t xml:space="preserve"> 75 to 90 youths</w:t>
      </w:r>
      <w:r w:rsidR="00763B2F" w:rsidRPr="00B26051">
        <w:rPr>
          <w:rFonts w:asciiTheme="majorHAnsi" w:hAnsiTheme="majorHAnsi"/>
          <w:color w:val="auto"/>
          <w:sz w:val="20"/>
          <w:szCs w:val="20"/>
        </w:rPr>
        <w:t xml:space="preserve"> was report</w:t>
      </w:r>
      <w:r w:rsidR="00967FAB" w:rsidRPr="00B26051">
        <w:rPr>
          <w:rFonts w:asciiTheme="majorHAnsi" w:hAnsiTheme="majorHAnsi"/>
          <w:color w:val="auto"/>
          <w:sz w:val="20"/>
          <w:szCs w:val="20"/>
        </w:rPr>
        <w:t>e</w:t>
      </w:r>
      <w:r w:rsidR="00763B2F" w:rsidRPr="00B26051">
        <w:rPr>
          <w:rFonts w:asciiTheme="majorHAnsi" w:hAnsiTheme="majorHAnsi"/>
          <w:color w:val="auto"/>
          <w:sz w:val="20"/>
          <w:szCs w:val="20"/>
        </w:rPr>
        <w:t>d</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footnoteReference w:id="20"/>
      </w:r>
      <w:r w:rsidRPr="00B26051">
        <w:rPr>
          <w:rFonts w:asciiTheme="majorHAnsi" w:hAnsiTheme="majorHAnsi"/>
          <w:color w:val="auto"/>
          <w:sz w:val="20"/>
          <w:szCs w:val="20"/>
        </w:rPr>
        <w:t xml:space="preserve"> and on one occasion up to 105 inmates.</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21"/>
      </w:r>
      <w:r w:rsidRPr="00B26051">
        <w:rPr>
          <w:rFonts w:asciiTheme="majorHAnsi" w:hAnsiTheme="majorHAnsi"/>
          <w:color w:val="auto"/>
          <w:sz w:val="20"/>
          <w:szCs w:val="20"/>
        </w:rPr>
        <w:t xml:space="preserve"> </w:t>
      </w:r>
      <w:r w:rsidR="00763B2F" w:rsidRPr="00B26051">
        <w:rPr>
          <w:rFonts w:asciiTheme="majorHAnsi" w:hAnsiTheme="majorHAnsi"/>
          <w:color w:val="auto"/>
          <w:sz w:val="20"/>
          <w:szCs w:val="20"/>
        </w:rPr>
        <w:t xml:space="preserve">At </w:t>
      </w:r>
      <w:r w:rsidRPr="00B26051">
        <w:rPr>
          <w:rFonts w:asciiTheme="majorHAnsi" w:hAnsiTheme="majorHAnsi"/>
          <w:color w:val="auto"/>
          <w:sz w:val="20"/>
          <w:szCs w:val="20"/>
        </w:rPr>
        <w:t>the date of the fire, the center hous</w:t>
      </w:r>
      <w:r w:rsidR="00967FAB" w:rsidRPr="00B26051">
        <w:rPr>
          <w:rFonts w:asciiTheme="majorHAnsi" w:hAnsiTheme="majorHAnsi"/>
          <w:color w:val="auto"/>
          <w:sz w:val="20"/>
          <w:szCs w:val="20"/>
        </w:rPr>
        <w:t>ed approximately 50 youths</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footnoteReference w:id="22"/>
      </w:r>
      <w:r w:rsidRPr="00B26051">
        <w:rPr>
          <w:rFonts w:asciiTheme="majorHAnsi" w:hAnsiTheme="majorHAnsi"/>
          <w:color w:val="auto"/>
          <w:sz w:val="20"/>
          <w:szCs w:val="20"/>
        </w:rPr>
        <w:t xml:space="preserve"> It should be noted that </w:t>
      </w:r>
      <w:r w:rsidR="00763B2F" w:rsidRPr="00B26051">
        <w:rPr>
          <w:rFonts w:asciiTheme="majorHAnsi" w:hAnsiTheme="majorHAnsi"/>
          <w:color w:val="auto"/>
          <w:sz w:val="20"/>
          <w:szCs w:val="20"/>
        </w:rPr>
        <w:t>the alleged</w:t>
      </w:r>
      <w:r w:rsidRPr="00B26051">
        <w:rPr>
          <w:rFonts w:asciiTheme="majorHAnsi" w:hAnsiTheme="majorHAnsi"/>
          <w:color w:val="auto"/>
          <w:sz w:val="20"/>
          <w:szCs w:val="20"/>
        </w:rPr>
        <w:t xml:space="preserve"> victims</w:t>
      </w:r>
      <w:r w:rsidR="00763B2F" w:rsidRPr="00B26051">
        <w:rPr>
          <w:rFonts w:asciiTheme="majorHAnsi" w:hAnsiTheme="majorHAnsi"/>
          <w:color w:val="auto"/>
          <w:sz w:val="20"/>
          <w:szCs w:val="20"/>
        </w:rPr>
        <w:t>’ cell</w:t>
      </w:r>
      <w:r w:rsidRPr="00B26051">
        <w:rPr>
          <w:rFonts w:asciiTheme="majorHAnsi" w:hAnsiTheme="majorHAnsi"/>
          <w:color w:val="auto"/>
          <w:sz w:val="20"/>
          <w:szCs w:val="20"/>
        </w:rPr>
        <w:t xml:space="preserve"> had four concrete beds,</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23"/>
      </w:r>
      <w:r w:rsidRPr="00B26051">
        <w:rPr>
          <w:rFonts w:asciiTheme="majorHAnsi" w:hAnsiTheme="majorHAnsi"/>
          <w:color w:val="auto"/>
          <w:sz w:val="20"/>
          <w:szCs w:val="20"/>
        </w:rPr>
        <w:t xml:space="preserve"> but on the day of the events it housed seven yo</w:t>
      </w:r>
      <w:r w:rsidR="00967FAB" w:rsidRPr="00B26051">
        <w:rPr>
          <w:rFonts w:asciiTheme="majorHAnsi" w:hAnsiTheme="majorHAnsi"/>
          <w:color w:val="auto"/>
          <w:sz w:val="20"/>
          <w:szCs w:val="20"/>
        </w:rPr>
        <w:t>uths</w:t>
      </w:r>
      <w:r w:rsidRPr="00B26051">
        <w:rPr>
          <w:rFonts w:asciiTheme="majorHAnsi" w:hAnsiTheme="majorHAnsi"/>
          <w:color w:val="auto"/>
          <w:sz w:val="20"/>
          <w:szCs w:val="20"/>
        </w:rPr>
        <w:t xml:space="preserve">, two of whom were released minutes before the fire. The </w:t>
      </w:r>
      <w:r w:rsidR="00763B2F" w:rsidRPr="00B26051">
        <w:rPr>
          <w:rFonts w:asciiTheme="majorHAnsi" w:hAnsiTheme="majorHAnsi"/>
          <w:color w:val="auto"/>
          <w:sz w:val="20"/>
          <w:szCs w:val="20"/>
        </w:rPr>
        <w:t>Warden</w:t>
      </w:r>
      <w:r w:rsidRPr="00B26051">
        <w:rPr>
          <w:rFonts w:asciiTheme="majorHAnsi" w:hAnsiTheme="majorHAnsi"/>
          <w:color w:val="auto"/>
          <w:sz w:val="20"/>
          <w:szCs w:val="20"/>
        </w:rPr>
        <w:t xml:space="preserve"> acknowledged months before that th</w:t>
      </w:r>
      <w:r w:rsidR="00763B2F" w:rsidRPr="00B26051">
        <w:rPr>
          <w:rFonts w:asciiTheme="majorHAnsi" w:hAnsiTheme="majorHAnsi"/>
          <w:color w:val="auto"/>
          <w:sz w:val="20"/>
          <w:szCs w:val="20"/>
        </w:rPr>
        <w:t>e situation of overcrowding "could</w:t>
      </w:r>
      <w:r w:rsidRPr="00B26051">
        <w:rPr>
          <w:rFonts w:asciiTheme="majorHAnsi" w:hAnsiTheme="majorHAnsi"/>
          <w:color w:val="auto"/>
          <w:sz w:val="20"/>
          <w:szCs w:val="20"/>
        </w:rPr>
        <w:t xml:space="preserve"> endanger the physical integrity of the [young inmates]."</w:t>
      </w:r>
      <w:r w:rsidRPr="00B26051">
        <w:rPr>
          <w:rStyle w:val="FootnoteReference"/>
          <w:rFonts w:asciiTheme="majorHAnsi" w:hAnsiTheme="majorHAnsi"/>
          <w:color w:val="auto"/>
          <w:sz w:val="20"/>
          <w:szCs w:val="20"/>
        </w:rPr>
        <w:footnoteReference w:id="24"/>
      </w:r>
      <w:r w:rsidRPr="00B26051">
        <w:rPr>
          <w:rFonts w:asciiTheme="majorHAnsi" w:hAnsiTheme="majorHAnsi"/>
          <w:color w:val="auto"/>
          <w:sz w:val="20"/>
          <w:szCs w:val="20"/>
        </w:rPr>
        <w:t xml:space="preserve"> </w:t>
      </w:r>
      <w:r w:rsidR="00763B2F" w:rsidRPr="00B26051">
        <w:rPr>
          <w:rFonts w:asciiTheme="majorHAnsi" w:hAnsiTheme="majorHAnsi"/>
          <w:color w:val="auto"/>
          <w:sz w:val="20"/>
          <w:szCs w:val="20"/>
        </w:rPr>
        <w:t xml:space="preserve">The </w:t>
      </w:r>
      <w:r w:rsidR="00967FAB" w:rsidRPr="00B26051">
        <w:rPr>
          <w:rFonts w:asciiTheme="majorHAnsi" w:hAnsiTheme="majorHAnsi"/>
          <w:color w:val="auto"/>
          <w:sz w:val="20"/>
          <w:szCs w:val="20"/>
        </w:rPr>
        <w:t>case file</w:t>
      </w:r>
      <w:r w:rsidRPr="00B26051">
        <w:rPr>
          <w:rFonts w:asciiTheme="majorHAnsi" w:hAnsiTheme="majorHAnsi"/>
          <w:color w:val="auto"/>
          <w:sz w:val="20"/>
          <w:szCs w:val="20"/>
        </w:rPr>
        <w:t xml:space="preserve"> </w:t>
      </w:r>
      <w:r w:rsidR="00763B2F" w:rsidRPr="00B26051">
        <w:rPr>
          <w:rFonts w:asciiTheme="majorHAnsi" w:hAnsiTheme="majorHAnsi"/>
          <w:color w:val="auto"/>
          <w:sz w:val="20"/>
          <w:szCs w:val="20"/>
        </w:rPr>
        <w:t xml:space="preserve">also shows </w:t>
      </w:r>
      <w:r w:rsidRPr="00B26051">
        <w:rPr>
          <w:rFonts w:asciiTheme="majorHAnsi" w:hAnsiTheme="majorHAnsi"/>
          <w:color w:val="auto"/>
          <w:sz w:val="20"/>
          <w:szCs w:val="20"/>
        </w:rPr>
        <w:t xml:space="preserve">that </w:t>
      </w:r>
      <w:r w:rsidR="00DD7050">
        <w:rPr>
          <w:rFonts w:asciiTheme="majorHAnsi" w:hAnsiTheme="majorHAnsi"/>
          <w:color w:val="auto"/>
          <w:sz w:val="20"/>
          <w:szCs w:val="20"/>
        </w:rPr>
        <w:t>in the center only “</w:t>
      </w:r>
      <w:r w:rsidRPr="00B26051">
        <w:rPr>
          <w:rFonts w:asciiTheme="majorHAnsi" w:hAnsiTheme="majorHAnsi"/>
          <w:color w:val="auto"/>
          <w:sz w:val="20"/>
          <w:szCs w:val="20"/>
        </w:rPr>
        <w:t xml:space="preserve">those who reached the age of majority were separated </w:t>
      </w:r>
      <w:r w:rsidR="00DD7050">
        <w:rPr>
          <w:rFonts w:asciiTheme="majorHAnsi" w:hAnsiTheme="majorHAnsi"/>
          <w:color w:val="auto"/>
          <w:sz w:val="20"/>
          <w:szCs w:val="20"/>
        </w:rPr>
        <w:t>[from other inmates]</w:t>
      </w:r>
      <w:r w:rsidRPr="00B26051">
        <w:rPr>
          <w:rFonts w:asciiTheme="majorHAnsi" w:hAnsiTheme="majorHAnsi"/>
          <w:color w:val="auto"/>
          <w:sz w:val="20"/>
          <w:szCs w:val="20"/>
        </w:rPr>
        <w:t xml:space="preserve">, but not those </w:t>
      </w:r>
      <w:r w:rsidR="00DD7050">
        <w:rPr>
          <w:rFonts w:asciiTheme="majorHAnsi" w:hAnsiTheme="majorHAnsi"/>
          <w:color w:val="auto"/>
          <w:sz w:val="20"/>
          <w:szCs w:val="20"/>
        </w:rPr>
        <w:t>in pretrial detention and those sentenced</w:t>
      </w:r>
      <w:r w:rsidR="00763B2F" w:rsidRPr="00B26051">
        <w:rPr>
          <w:rFonts w:asciiTheme="majorHAnsi" w:hAnsiTheme="majorHAnsi"/>
          <w:color w:val="auto"/>
          <w:sz w:val="20"/>
          <w:szCs w:val="20"/>
        </w:rPr>
        <w:t>,</w:t>
      </w:r>
      <w:r w:rsidRPr="00B26051">
        <w:rPr>
          <w:rFonts w:asciiTheme="majorHAnsi" w:hAnsiTheme="majorHAnsi"/>
          <w:color w:val="auto"/>
          <w:sz w:val="20"/>
          <w:szCs w:val="20"/>
        </w:rPr>
        <w:t>"</w:t>
      </w:r>
      <w:r w:rsidR="00763B2F" w:rsidRPr="00B26051">
        <w:rPr>
          <w:rFonts w:asciiTheme="majorHAnsi" w:hAnsiTheme="majorHAnsi"/>
          <w:color w:val="auto"/>
          <w:sz w:val="20"/>
          <w:szCs w:val="20"/>
        </w:rPr>
        <w:t xml:space="preserve"> because such separation “</w:t>
      </w:r>
      <w:r w:rsidRPr="00B26051">
        <w:rPr>
          <w:rFonts w:asciiTheme="majorHAnsi" w:hAnsiTheme="majorHAnsi"/>
          <w:color w:val="auto"/>
          <w:sz w:val="20"/>
          <w:szCs w:val="20"/>
        </w:rPr>
        <w:t>was not foreseen in the design [of the establishment].</w:t>
      </w:r>
      <w:r w:rsidR="00DD7050">
        <w:rPr>
          <w:rFonts w:asciiTheme="majorHAnsi" w:hAnsiTheme="majorHAnsi"/>
          <w:color w:val="auto"/>
          <w:sz w:val="20"/>
          <w:szCs w:val="20"/>
        </w:rPr>
        <w:t>“</w:t>
      </w:r>
      <w:r w:rsidRPr="00B26051">
        <w:rPr>
          <w:rStyle w:val="FootnoteReference"/>
          <w:rFonts w:asciiTheme="majorHAnsi" w:hAnsiTheme="majorHAnsi"/>
          <w:color w:val="auto"/>
          <w:sz w:val="20"/>
          <w:szCs w:val="20"/>
        </w:rPr>
        <w:footnoteReference w:id="25"/>
      </w:r>
    </w:p>
    <w:p w14:paraId="1BA890B6" w14:textId="77777777" w:rsidR="00185D58" w:rsidRPr="00B26051" w:rsidRDefault="00185D58" w:rsidP="00185D58">
      <w:pPr>
        <w:pStyle w:val="ListParagraph"/>
        <w:rPr>
          <w:rFonts w:asciiTheme="majorHAnsi" w:hAnsiTheme="majorHAnsi"/>
          <w:color w:val="auto"/>
          <w:sz w:val="20"/>
          <w:szCs w:val="20"/>
          <w:highlight w:val="yellow"/>
        </w:rPr>
      </w:pPr>
    </w:p>
    <w:p w14:paraId="2CC4532F" w14:textId="7538BE04" w:rsidR="00185D58" w:rsidRPr="00B26051" w:rsidRDefault="0071744F"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The lack of effective control on</w:t>
      </w:r>
      <w:r w:rsidR="004A0AFC" w:rsidRPr="00B26051">
        <w:rPr>
          <w:rFonts w:asciiTheme="majorHAnsi" w:hAnsiTheme="majorHAnsi"/>
          <w:color w:val="auto"/>
          <w:sz w:val="20"/>
          <w:szCs w:val="20"/>
        </w:rPr>
        <w:t xml:space="preserve"> the entry of </w:t>
      </w:r>
      <w:r w:rsidR="00967FAB" w:rsidRPr="00B26051">
        <w:rPr>
          <w:rFonts w:asciiTheme="majorHAnsi" w:hAnsiTheme="majorHAnsi"/>
          <w:color w:val="auto"/>
          <w:sz w:val="20"/>
          <w:szCs w:val="20"/>
        </w:rPr>
        <w:t>unauthorized items</w:t>
      </w:r>
      <w:r w:rsidR="004A0AFC" w:rsidRPr="00B26051">
        <w:rPr>
          <w:rFonts w:asciiTheme="majorHAnsi" w:hAnsiTheme="majorHAnsi"/>
          <w:color w:val="auto"/>
          <w:sz w:val="20"/>
          <w:szCs w:val="20"/>
        </w:rPr>
        <w:t xml:space="preserve"> into the center is also docume</w:t>
      </w:r>
      <w:r w:rsidRPr="00B26051">
        <w:rPr>
          <w:rFonts w:asciiTheme="majorHAnsi" w:hAnsiTheme="majorHAnsi"/>
          <w:color w:val="auto"/>
          <w:sz w:val="20"/>
          <w:szCs w:val="20"/>
        </w:rPr>
        <w:t>nted. In 2004, the then</w:t>
      </w:r>
      <w:r w:rsidR="00DD7050">
        <w:rPr>
          <w:rFonts w:asciiTheme="majorHAnsi" w:hAnsiTheme="majorHAnsi"/>
          <w:color w:val="auto"/>
          <w:sz w:val="20"/>
          <w:szCs w:val="20"/>
        </w:rPr>
        <w:t>-</w:t>
      </w:r>
      <w:r w:rsidRPr="00B26051">
        <w:rPr>
          <w:rFonts w:asciiTheme="majorHAnsi" w:hAnsiTheme="majorHAnsi"/>
          <w:color w:val="auto"/>
          <w:sz w:val="20"/>
          <w:szCs w:val="20"/>
        </w:rPr>
        <w:t>Warden</w:t>
      </w:r>
      <w:r w:rsidR="004A0AFC" w:rsidRPr="00B26051">
        <w:rPr>
          <w:rFonts w:asciiTheme="majorHAnsi" w:hAnsiTheme="majorHAnsi"/>
          <w:color w:val="auto"/>
          <w:sz w:val="20"/>
          <w:szCs w:val="20"/>
        </w:rPr>
        <w:t xml:space="preserve"> requested the assignment of a </w:t>
      </w:r>
      <w:r w:rsidRPr="00B26051">
        <w:rPr>
          <w:rFonts w:asciiTheme="majorHAnsi" w:hAnsiTheme="majorHAnsi"/>
          <w:color w:val="auto"/>
          <w:sz w:val="20"/>
          <w:szCs w:val="20"/>
        </w:rPr>
        <w:t>(female) police</w:t>
      </w:r>
      <w:r w:rsidR="004A0AFC" w:rsidRPr="00B26051">
        <w:rPr>
          <w:rFonts w:asciiTheme="majorHAnsi" w:hAnsiTheme="majorHAnsi"/>
          <w:color w:val="auto"/>
          <w:sz w:val="20"/>
          <w:szCs w:val="20"/>
        </w:rPr>
        <w:t xml:space="preserve"> </w:t>
      </w:r>
      <w:r w:rsidR="00967FAB" w:rsidRPr="00B26051">
        <w:rPr>
          <w:rFonts w:asciiTheme="majorHAnsi" w:hAnsiTheme="majorHAnsi"/>
          <w:color w:val="auto"/>
          <w:sz w:val="20"/>
          <w:szCs w:val="20"/>
        </w:rPr>
        <w:t xml:space="preserve">officer </w:t>
      </w:r>
      <w:r w:rsidR="004A0AFC" w:rsidRPr="00B26051">
        <w:rPr>
          <w:rFonts w:asciiTheme="majorHAnsi" w:hAnsiTheme="majorHAnsi"/>
          <w:color w:val="auto"/>
          <w:sz w:val="20"/>
          <w:szCs w:val="20"/>
        </w:rPr>
        <w:t>to the center to carry out searches of the mothers who entered the center during visiting hours.</w:t>
      </w:r>
      <w:r w:rsidR="00605330" w:rsidRPr="00B26051">
        <w:rPr>
          <w:rStyle w:val="FootnoteReference"/>
          <w:rFonts w:asciiTheme="majorHAnsi" w:hAnsiTheme="majorHAnsi"/>
          <w:color w:val="auto"/>
          <w:sz w:val="20"/>
          <w:szCs w:val="20"/>
        </w:rPr>
        <w:footnoteReference w:id="26"/>
      </w:r>
      <w:r w:rsidR="004A0AFC" w:rsidRPr="00B26051">
        <w:rPr>
          <w:rFonts w:asciiTheme="majorHAnsi" w:hAnsiTheme="majorHAnsi"/>
          <w:color w:val="auto"/>
          <w:sz w:val="20"/>
          <w:szCs w:val="20"/>
        </w:rPr>
        <w:t xml:space="preserve"> It is clear from the </w:t>
      </w:r>
      <w:r w:rsidR="00967FAB" w:rsidRPr="00B26051">
        <w:rPr>
          <w:rFonts w:asciiTheme="majorHAnsi" w:hAnsiTheme="majorHAnsi"/>
          <w:color w:val="auto"/>
          <w:sz w:val="20"/>
          <w:szCs w:val="20"/>
        </w:rPr>
        <w:t xml:space="preserve">case </w:t>
      </w:r>
      <w:r w:rsidR="004A0AFC" w:rsidRPr="00B26051">
        <w:rPr>
          <w:rFonts w:asciiTheme="majorHAnsi" w:hAnsiTheme="majorHAnsi"/>
          <w:color w:val="auto"/>
          <w:sz w:val="20"/>
          <w:szCs w:val="20"/>
        </w:rPr>
        <w:t>file that th</w:t>
      </w:r>
      <w:r w:rsidR="00967FAB" w:rsidRPr="00B26051">
        <w:rPr>
          <w:rFonts w:asciiTheme="majorHAnsi" w:hAnsiTheme="majorHAnsi"/>
          <w:color w:val="auto"/>
          <w:sz w:val="20"/>
          <w:szCs w:val="20"/>
        </w:rPr>
        <w:t>is request was not satisfied</w:t>
      </w:r>
      <w:r w:rsidR="004A0AFC" w:rsidRPr="00B26051">
        <w:rPr>
          <w:rFonts w:asciiTheme="majorHAnsi" w:hAnsiTheme="majorHAnsi"/>
          <w:color w:val="auto"/>
          <w:sz w:val="20"/>
          <w:szCs w:val="20"/>
        </w:rPr>
        <w:t xml:space="preserve">, as security recommendations </w:t>
      </w:r>
      <w:r w:rsidR="00967FAB" w:rsidRPr="00B26051">
        <w:rPr>
          <w:rFonts w:asciiTheme="majorHAnsi" w:hAnsiTheme="majorHAnsi"/>
          <w:color w:val="auto"/>
          <w:sz w:val="20"/>
          <w:szCs w:val="20"/>
        </w:rPr>
        <w:t xml:space="preserve">issued by the National Guard after </w:t>
      </w:r>
      <w:r w:rsidR="004A0AFC" w:rsidRPr="00B26051">
        <w:rPr>
          <w:rFonts w:asciiTheme="majorHAnsi" w:hAnsiTheme="majorHAnsi"/>
          <w:color w:val="auto"/>
          <w:sz w:val="20"/>
          <w:szCs w:val="20"/>
        </w:rPr>
        <w:t>the fire</w:t>
      </w:r>
      <w:r w:rsidR="00967FAB" w:rsidRPr="00B26051">
        <w:rPr>
          <w:rFonts w:asciiTheme="majorHAnsi" w:hAnsiTheme="majorHAnsi"/>
          <w:color w:val="auto"/>
          <w:sz w:val="20"/>
          <w:szCs w:val="20"/>
        </w:rPr>
        <w:t xml:space="preserve"> insist on the need for such </w:t>
      </w:r>
      <w:r w:rsidR="00B26051" w:rsidRPr="00B26051">
        <w:rPr>
          <w:rFonts w:asciiTheme="majorHAnsi" w:hAnsiTheme="majorHAnsi"/>
          <w:color w:val="auto"/>
          <w:sz w:val="20"/>
          <w:szCs w:val="20"/>
        </w:rPr>
        <w:t>controls</w:t>
      </w:r>
      <w:r w:rsidR="004A0AFC" w:rsidRPr="00B26051">
        <w:rPr>
          <w:rFonts w:asciiTheme="majorHAnsi" w:hAnsiTheme="majorHAnsi"/>
          <w:color w:val="auto"/>
          <w:sz w:val="20"/>
          <w:szCs w:val="20"/>
        </w:rPr>
        <w:t>.</w:t>
      </w:r>
      <w:r w:rsidR="00605330" w:rsidRPr="00B26051">
        <w:rPr>
          <w:rStyle w:val="FootnoteReference"/>
          <w:rFonts w:asciiTheme="majorHAnsi" w:hAnsiTheme="majorHAnsi"/>
          <w:color w:val="auto"/>
          <w:sz w:val="20"/>
          <w:szCs w:val="20"/>
        </w:rPr>
        <w:t xml:space="preserve"> </w:t>
      </w:r>
      <w:r w:rsidR="00605330" w:rsidRPr="00B26051">
        <w:rPr>
          <w:rStyle w:val="FootnoteReference"/>
          <w:rFonts w:asciiTheme="majorHAnsi" w:hAnsiTheme="majorHAnsi"/>
          <w:color w:val="auto"/>
          <w:sz w:val="20"/>
          <w:szCs w:val="20"/>
        </w:rPr>
        <w:footnoteReference w:id="27"/>
      </w:r>
      <w:r w:rsidR="004A0AFC" w:rsidRPr="00B26051">
        <w:rPr>
          <w:rFonts w:asciiTheme="majorHAnsi" w:hAnsiTheme="majorHAnsi"/>
          <w:color w:val="auto"/>
          <w:sz w:val="20"/>
          <w:szCs w:val="20"/>
        </w:rPr>
        <w:t xml:space="preserve"> Center staff also reported that inmates' families </w:t>
      </w:r>
      <w:r w:rsidR="00DD7050">
        <w:rPr>
          <w:rFonts w:asciiTheme="majorHAnsi" w:hAnsiTheme="majorHAnsi"/>
          <w:color w:val="auto"/>
          <w:sz w:val="20"/>
          <w:szCs w:val="20"/>
        </w:rPr>
        <w:t>brought them</w:t>
      </w:r>
      <w:r w:rsidR="004A0AFC" w:rsidRPr="00B26051">
        <w:rPr>
          <w:rFonts w:asciiTheme="majorHAnsi" w:hAnsiTheme="majorHAnsi"/>
          <w:color w:val="auto"/>
          <w:sz w:val="20"/>
          <w:szCs w:val="20"/>
        </w:rPr>
        <w:t>, for example, lighters and cigarettes.</w:t>
      </w:r>
      <w:r w:rsidR="00605330" w:rsidRPr="00B26051">
        <w:rPr>
          <w:rStyle w:val="FootnoteReference"/>
          <w:rFonts w:asciiTheme="majorHAnsi" w:hAnsiTheme="majorHAnsi"/>
          <w:color w:val="auto"/>
          <w:sz w:val="20"/>
          <w:szCs w:val="20"/>
        </w:rPr>
        <w:footnoteReference w:id="28"/>
      </w:r>
    </w:p>
    <w:p w14:paraId="02B80D57" w14:textId="77777777" w:rsidR="00185D58" w:rsidRPr="00B26051" w:rsidRDefault="00185D58" w:rsidP="00185D58">
      <w:pPr>
        <w:pStyle w:val="ListParagraph"/>
        <w:rPr>
          <w:rFonts w:asciiTheme="majorHAnsi" w:hAnsiTheme="majorHAnsi"/>
          <w:color w:val="auto"/>
          <w:sz w:val="20"/>
          <w:szCs w:val="20"/>
        </w:rPr>
      </w:pPr>
    </w:p>
    <w:p w14:paraId="69E47F38" w14:textId="1C77F1F4" w:rsidR="00185D58" w:rsidRPr="00B26051" w:rsidRDefault="00605330"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 xml:space="preserve">Regarding </w:t>
      </w:r>
      <w:r w:rsidR="002659B9" w:rsidRPr="00B26051">
        <w:rPr>
          <w:rFonts w:asciiTheme="majorHAnsi" w:hAnsiTheme="majorHAnsi"/>
          <w:color w:val="auto"/>
          <w:sz w:val="20"/>
          <w:szCs w:val="20"/>
        </w:rPr>
        <w:t xml:space="preserve">the </w:t>
      </w:r>
      <w:r w:rsidRPr="00B26051">
        <w:rPr>
          <w:rFonts w:asciiTheme="majorHAnsi" w:hAnsiTheme="majorHAnsi"/>
          <w:color w:val="auto"/>
          <w:sz w:val="20"/>
          <w:szCs w:val="20"/>
        </w:rPr>
        <w:t>infrastructure, the facilities did not have sufficient electricity and lighting services.</w:t>
      </w:r>
      <w:r w:rsidRPr="00B26051">
        <w:rPr>
          <w:rStyle w:val="FootnoteReference"/>
          <w:rFonts w:asciiTheme="majorHAnsi" w:hAnsiTheme="majorHAnsi"/>
          <w:color w:val="auto"/>
          <w:sz w:val="20"/>
          <w:szCs w:val="20"/>
        </w:rPr>
        <w:footnoteReference w:id="29"/>
      </w:r>
      <w:r w:rsidRPr="00B26051">
        <w:rPr>
          <w:rFonts w:asciiTheme="majorHAnsi" w:hAnsiTheme="majorHAnsi"/>
          <w:color w:val="auto"/>
          <w:sz w:val="20"/>
          <w:szCs w:val="20"/>
        </w:rPr>
        <w:t xml:space="preserve"> The expert </w:t>
      </w:r>
      <w:r w:rsidR="002659B9" w:rsidRPr="00B26051">
        <w:rPr>
          <w:rFonts w:asciiTheme="majorHAnsi" w:hAnsiTheme="majorHAnsi"/>
          <w:color w:val="auto"/>
          <w:sz w:val="20"/>
          <w:szCs w:val="20"/>
        </w:rPr>
        <w:t xml:space="preserve">witness’ </w:t>
      </w:r>
      <w:r w:rsidRPr="00B26051">
        <w:rPr>
          <w:rFonts w:asciiTheme="majorHAnsi" w:hAnsiTheme="majorHAnsi"/>
          <w:color w:val="auto"/>
          <w:sz w:val="20"/>
          <w:szCs w:val="20"/>
        </w:rPr>
        <w:t>opinion carr</w:t>
      </w:r>
      <w:r w:rsidR="002659B9" w:rsidRPr="00B26051">
        <w:rPr>
          <w:rFonts w:asciiTheme="majorHAnsi" w:hAnsiTheme="majorHAnsi"/>
          <w:color w:val="auto"/>
          <w:sz w:val="20"/>
          <w:szCs w:val="20"/>
        </w:rPr>
        <w:t>ied out by the CICPC after the events</w:t>
      </w:r>
      <w:r w:rsidRPr="00B26051">
        <w:rPr>
          <w:rFonts w:asciiTheme="majorHAnsi" w:hAnsiTheme="majorHAnsi"/>
          <w:color w:val="auto"/>
          <w:sz w:val="20"/>
          <w:szCs w:val="20"/>
        </w:rPr>
        <w:t xml:space="preserve"> concluded that "the building does not have detection systems or fire alarms in any of the areas. It was noted that cell no. 4 did not have </w:t>
      </w:r>
      <w:r w:rsidR="002659B9" w:rsidRPr="00B26051">
        <w:rPr>
          <w:rFonts w:asciiTheme="majorHAnsi" w:hAnsiTheme="majorHAnsi"/>
          <w:color w:val="auto"/>
          <w:sz w:val="20"/>
          <w:szCs w:val="20"/>
        </w:rPr>
        <w:t>an internal electricity supply. The lighting in this and other dormitories</w:t>
      </w:r>
      <w:r w:rsidRPr="00B26051">
        <w:rPr>
          <w:rFonts w:asciiTheme="majorHAnsi" w:hAnsiTheme="majorHAnsi"/>
          <w:color w:val="auto"/>
          <w:sz w:val="20"/>
          <w:szCs w:val="20"/>
        </w:rPr>
        <w:t xml:space="preserve"> is </w:t>
      </w:r>
      <w:r w:rsidR="00AC1063" w:rsidRPr="00B26051">
        <w:rPr>
          <w:rFonts w:asciiTheme="majorHAnsi" w:hAnsiTheme="majorHAnsi"/>
          <w:color w:val="auto"/>
          <w:sz w:val="20"/>
          <w:szCs w:val="20"/>
        </w:rPr>
        <w:t xml:space="preserve">provided </w:t>
      </w:r>
      <w:r w:rsidRPr="00B26051">
        <w:rPr>
          <w:rFonts w:asciiTheme="majorHAnsi" w:hAnsiTheme="majorHAnsi"/>
          <w:color w:val="auto"/>
          <w:sz w:val="20"/>
          <w:szCs w:val="20"/>
        </w:rPr>
        <w:t xml:space="preserve">only </w:t>
      </w:r>
      <w:r w:rsidR="001F0D4E" w:rsidRPr="00B26051">
        <w:rPr>
          <w:rFonts w:asciiTheme="majorHAnsi" w:hAnsiTheme="majorHAnsi"/>
          <w:color w:val="auto"/>
          <w:sz w:val="20"/>
          <w:szCs w:val="20"/>
        </w:rPr>
        <w:t>by</w:t>
      </w:r>
      <w:r w:rsidRPr="00B26051">
        <w:rPr>
          <w:rFonts w:asciiTheme="majorHAnsi" w:hAnsiTheme="majorHAnsi"/>
          <w:color w:val="auto"/>
          <w:sz w:val="20"/>
          <w:szCs w:val="20"/>
        </w:rPr>
        <w:t xml:space="preserve"> lamps </w:t>
      </w:r>
      <w:r w:rsidR="001F0D4E" w:rsidRPr="00B26051">
        <w:rPr>
          <w:rFonts w:asciiTheme="majorHAnsi" w:hAnsiTheme="majorHAnsi"/>
          <w:color w:val="auto"/>
          <w:sz w:val="20"/>
          <w:szCs w:val="20"/>
        </w:rPr>
        <w:t>located</w:t>
      </w:r>
      <w:r w:rsidRPr="00B26051">
        <w:rPr>
          <w:rFonts w:asciiTheme="majorHAnsi" w:hAnsiTheme="majorHAnsi"/>
          <w:color w:val="auto"/>
          <w:sz w:val="20"/>
          <w:szCs w:val="20"/>
        </w:rPr>
        <w:t xml:space="preserve"> in the corridors."</w:t>
      </w:r>
      <w:r w:rsidRPr="00B26051">
        <w:rPr>
          <w:rStyle w:val="FootnoteReference"/>
          <w:rFonts w:asciiTheme="majorHAnsi" w:hAnsiTheme="majorHAnsi"/>
          <w:color w:val="auto"/>
          <w:sz w:val="20"/>
          <w:szCs w:val="20"/>
        </w:rPr>
        <w:footnoteReference w:id="30"/>
      </w:r>
      <w:r w:rsidRPr="00B26051">
        <w:rPr>
          <w:rFonts w:asciiTheme="majorHAnsi" w:hAnsiTheme="majorHAnsi"/>
          <w:color w:val="auto"/>
          <w:sz w:val="20"/>
          <w:szCs w:val="20"/>
        </w:rPr>
        <w:t xml:space="preserve"> The</w:t>
      </w:r>
      <w:r w:rsidR="002659B9" w:rsidRPr="00B26051">
        <w:rPr>
          <w:rFonts w:asciiTheme="majorHAnsi" w:hAnsiTheme="majorHAnsi"/>
          <w:color w:val="auto"/>
          <w:sz w:val="20"/>
          <w:szCs w:val="20"/>
        </w:rPr>
        <w:t>re was</w:t>
      </w:r>
      <w:r w:rsidRPr="00B26051">
        <w:rPr>
          <w:rFonts w:asciiTheme="majorHAnsi" w:hAnsiTheme="majorHAnsi"/>
          <w:color w:val="auto"/>
          <w:sz w:val="20"/>
          <w:szCs w:val="20"/>
        </w:rPr>
        <w:t xml:space="preserve"> also information that "the young inmates improvised wiring to have electricity inside </w:t>
      </w:r>
      <w:r w:rsidRPr="00B26051">
        <w:rPr>
          <w:rFonts w:asciiTheme="majorHAnsi" w:hAnsiTheme="majorHAnsi"/>
          <w:color w:val="auto"/>
          <w:sz w:val="20"/>
          <w:szCs w:val="20"/>
        </w:rPr>
        <w:lastRenderedPageBreak/>
        <w:t xml:space="preserve">the cell, but after the fire </w:t>
      </w:r>
      <w:r w:rsidR="00AC1063" w:rsidRPr="00B26051">
        <w:rPr>
          <w:rFonts w:asciiTheme="majorHAnsi" w:hAnsiTheme="majorHAnsi"/>
          <w:color w:val="auto"/>
          <w:sz w:val="20"/>
          <w:szCs w:val="20"/>
        </w:rPr>
        <w:t>it was removed</w:t>
      </w:r>
      <w:r w:rsidR="00DD7050">
        <w:rPr>
          <w:rFonts w:asciiTheme="majorHAnsi" w:hAnsiTheme="majorHAnsi"/>
          <w:color w:val="auto"/>
          <w:sz w:val="20"/>
          <w:szCs w:val="20"/>
        </w:rPr>
        <w:t>.</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footnoteReference w:id="31"/>
      </w:r>
      <w:r w:rsidR="002659B9" w:rsidRPr="00B26051">
        <w:rPr>
          <w:rFonts w:asciiTheme="majorHAnsi" w:hAnsiTheme="majorHAnsi"/>
          <w:color w:val="auto"/>
          <w:sz w:val="20"/>
          <w:szCs w:val="20"/>
        </w:rPr>
        <w:t xml:space="preserve"> In this sense</w:t>
      </w:r>
      <w:r w:rsidRPr="00B26051">
        <w:rPr>
          <w:rFonts w:asciiTheme="majorHAnsi" w:hAnsiTheme="majorHAnsi"/>
          <w:color w:val="auto"/>
          <w:sz w:val="20"/>
          <w:szCs w:val="20"/>
        </w:rPr>
        <w:t>, weeks after the fire, the National Guard recommended the "revision and exhaustive repa</w:t>
      </w:r>
      <w:r w:rsidR="00DD7050">
        <w:rPr>
          <w:rFonts w:asciiTheme="majorHAnsi" w:hAnsiTheme="majorHAnsi"/>
          <w:color w:val="auto"/>
          <w:sz w:val="20"/>
          <w:szCs w:val="20"/>
        </w:rPr>
        <w:t>ir of electrical installations."</w:t>
      </w:r>
      <w:r w:rsidRPr="00B26051">
        <w:rPr>
          <w:rStyle w:val="FootnoteReference"/>
          <w:rFonts w:asciiTheme="majorHAnsi" w:hAnsiTheme="majorHAnsi"/>
          <w:color w:val="auto"/>
          <w:sz w:val="20"/>
          <w:szCs w:val="20"/>
        </w:rPr>
        <w:footnoteReference w:id="32"/>
      </w:r>
      <w:r w:rsidRPr="00B26051">
        <w:rPr>
          <w:rFonts w:asciiTheme="majorHAnsi" w:hAnsiTheme="majorHAnsi"/>
          <w:color w:val="auto"/>
          <w:sz w:val="20"/>
          <w:szCs w:val="20"/>
        </w:rPr>
        <w:t xml:space="preserve"> The absence of a system of fire </w:t>
      </w:r>
      <w:r w:rsidR="002659B9" w:rsidRPr="00B26051">
        <w:rPr>
          <w:rFonts w:asciiTheme="majorHAnsi" w:hAnsiTheme="majorHAnsi"/>
          <w:color w:val="auto"/>
          <w:sz w:val="20"/>
          <w:szCs w:val="20"/>
        </w:rPr>
        <w:t>alarms and extinguishers</w:t>
      </w:r>
      <w:r w:rsidRPr="00B26051">
        <w:rPr>
          <w:rStyle w:val="FootnoteReference"/>
          <w:rFonts w:asciiTheme="majorHAnsi" w:hAnsiTheme="majorHAnsi"/>
          <w:color w:val="auto"/>
          <w:sz w:val="20"/>
          <w:szCs w:val="20"/>
        </w:rPr>
        <w:footnoteReference w:id="33"/>
      </w:r>
      <w:r w:rsidRPr="00B26051">
        <w:rPr>
          <w:rFonts w:asciiTheme="majorHAnsi" w:hAnsiTheme="majorHAnsi"/>
          <w:color w:val="auto"/>
          <w:sz w:val="20"/>
          <w:szCs w:val="20"/>
        </w:rPr>
        <w:t xml:space="preserve"> was also addressed by the National Guard, </w:t>
      </w:r>
      <w:r w:rsidR="002659B9" w:rsidRPr="00B26051">
        <w:rPr>
          <w:rFonts w:asciiTheme="majorHAnsi" w:hAnsiTheme="majorHAnsi"/>
          <w:color w:val="auto"/>
          <w:sz w:val="20"/>
          <w:szCs w:val="20"/>
        </w:rPr>
        <w:t>recommending the</w:t>
      </w:r>
      <w:r w:rsidRPr="00B26051">
        <w:rPr>
          <w:rFonts w:asciiTheme="majorHAnsi" w:hAnsiTheme="majorHAnsi"/>
          <w:color w:val="auto"/>
          <w:sz w:val="20"/>
          <w:szCs w:val="20"/>
        </w:rPr>
        <w:t xml:space="preserve"> "placement of fire extinguishers in the corridors and </w:t>
      </w:r>
      <w:r w:rsidR="002659B9" w:rsidRPr="00B26051">
        <w:rPr>
          <w:rFonts w:asciiTheme="majorHAnsi" w:hAnsiTheme="majorHAnsi"/>
          <w:color w:val="auto"/>
          <w:sz w:val="20"/>
          <w:szCs w:val="20"/>
        </w:rPr>
        <w:t xml:space="preserve">areas </w:t>
      </w:r>
      <w:r w:rsidRPr="00B26051">
        <w:rPr>
          <w:rFonts w:asciiTheme="majorHAnsi" w:hAnsiTheme="majorHAnsi"/>
          <w:color w:val="auto"/>
          <w:sz w:val="20"/>
          <w:szCs w:val="20"/>
        </w:rPr>
        <w:t xml:space="preserve">of the center, </w:t>
      </w:r>
      <w:r w:rsidR="002659B9" w:rsidRPr="00B26051">
        <w:rPr>
          <w:rFonts w:asciiTheme="majorHAnsi" w:hAnsiTheme="majorHAnsi"/>
          <w:color w:val="auto"/>
          <w:sz w:val="20"/>
          <w:szCs w:val="20"/>
        </w:rPr>
        <w:t>to</w:t>
      </w:r>
      <w:r w:rsidRPr="00B26051">
        <w:rPr>
          <w:rFonts w:asciiTheme="majorHAnsi" w:hAnsiTheme="majorHAnsi"/>
          <w:color w:val="auto"/>
          <w:sz w:val="20"/>
          <w:szCs w:val="20"/>
        </w:rPr>
        <w:t xml:space="preserve"> guaran</w:t>
      </w:r>
      <w:r w:rsidR="00AC1063" w:rsidRPr="00B26051">
        <w:rPr>
          <w:rFonts w:asciiTheme="majorHAnsi" w:hAnsiTheme="majorHAnsi"/>
          <w:color w:val="auto"/>
          <w:sz w:val="20"/>
          <w:szCs w:val="20"/>
        </w:rPr>
        <w:t>tee an immediate response to a</w:t>
      </w:r>
      <w:r w:rsidRPr="00B26051">
        <w:rPr>
          <w:rFonts w:asciiTheme="majorHAnsi" w:hAnsiTheme="majorHAnsi"/>
          <w:color w:val="auto"/>
          <w:sz w:val="20"/>
          <w:szCs w:val="20"/>
        </w:rPr>
        <w:t xml:space="preserve"> fire."</w:t>
      </w:r>
      <w:r w:rsidRPr="00B26051">
        <w:rPr>
          <w:rStyle w:val="FootnoteReference"/>
          <w:rFonts w:asciiTheme="majorHAnsi" w:hAnsiTheme="majorHAnsi"/>
          <w:color w:val="auto"/>
          <w:sz w:val="20"/>
          <w:szCs w:val="20"/>
        </w:rPr>
        <w:footnoteReference w:id="34"/>
      </w:r>
    </w:p>
    <w:p w14:paraId="7DF18586" w14:textId="77777777" w:rsidR="00185D58" w:rsidRPr="00B26051" w:rsidRDefault="00185D58" w:rsidP="00185D58">
      <w:pPr>
        <w:pStyle w:val="ListParagraph"/>
        <w:rPr>
          <w:rFonts w:asciiTheme="majorHAnsi" w:hAnsiTheme="majorHAnsi"/>
          <w:color w:val="auto"/>
          <w:sz w:val="20"/>
          <w:szCs w:val="20"/>
        </w:rPr>
      </w:pPr>
    </w:p>
    <w:p w14:paraId="359C5207" w14:textId="00C28F0E" w:rsidR="00185D58" w:rsidRPr="00B26051" w:rsidRDefault="00BF02F9"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 xml:space="preserve">Finally, the IACHR notes that </w:t>
      </w:r>
      <w:r w:rsidR="00DD7050">
        <w:rPr>
          <w:rFonts w:asciiTheme="majorHAnsi" w:hAnsiTheme="majorHAnsi"/>
          <w:color w:val="auto"/>
          <w:sz w:val="20"/>
          <w:szCs w:val="20"/>
        </w:rPr>
        <w:t>at</w:t>
      </w:r>
      <w:r w:rsidRPr="00B26051">
        <w:rPr>
          <w:rFonts w:asciiTheme="majorHAnsi" w:hAnsiTheme="majorHAnsi"/>
          <w:color w:val="auto"/>
          <w:sz w:val="20"/>
          <w:szCs w:val="20"/>
        </w:rPr>
        <w:t xml:space="preserve"> the time of the events, </w:t>
      </w:r>
      <w:r w:rsidR="003F3C22" w:rsidRPr="00B26051">
        <w:rPr>
          <w:rFonts w:asciiTheme="majorHAnsi" w:hAnsiTheme="majorHAnsi"/>
          <w:color w:val="auto"/>
          <w:sz w:val="20"/>
          <w:szCs w:val="20"/>
        </w:rPr>
        <w:t>the</w:t>
      </w:r>
      <w:r w:rsidRPr="00B26051">
        <w:rPr>
          <w:rFonts w:asciiTheme="majorHAnsi" w:hAnsiTheme="majorHAnsi"/>
          <w:color w:val="auto"/>
          <w:sz w:val="20"/>
          <w:szCs w:val="20"/>
        </w:rPr>
        <w:t xml:space="preserve"> INAM-San Félix</w:t>
      </w:r>
      <w:r w:rsidR="003F3C22" w:rsidRPr="00B26051">
        <w:rPr>
          <w:rFonts w:asciiTheme="majorHAnsi" w:hAnsiTheme="majorHAnsi"/>
          <w:color w:val="auto"/>
          <w:sz w:val="20"/>
          <w:szCs w:val="20"/>
        </w:rPr>
        <w:t xml:space="preserve"> prison educational programs had been</w:t>
      </w:r>
      <w:r w:rsidRPr="00B26051">
        <w:rPr>
          <w:rFonts w:asciiTheme="majorHAnsi" w:hAnsiTheme="majorHAnsi"/>
          <w:color w:val="auto"/>
          <w:sz w:val="20"/>
          <w:szCs w:val="20"/>
        </w:rPr>
        <w:t xml:space="preserve"> suspended due to lack of material</w:t>
      </w:r>
      <w:r w:rsidR="003F3C22" w:rsidRPr="00B26051">
        <w:rPr>
          <w:rFonts w:asciiTheme="majorHAnsi" w:hAnsiTheme="majorHAnsi"/>
          <w:color w:val="auto"/>
          <w:sz w:val="20"/>
          <w:szCs w:val="20"/>
        </w:rPr>
        <w:t>s</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footnoteReference w:id="35"/>
      </w:r>
      <w:r w:rsidRPr="00B26051">
        <w:rPr>
          <w:rFonts w:asciiTheme="majorHAnsi" w:hAnsiTheme="majorHAnsi"/>
          <w:color w:val="auto"/>
          <w:sz w:val="20"/>
          <w:szCs w:val="20"/>
        </w:rPr>
        <w:t xml:space="preserve"> In the months prior to the fire, </w:t>
      </w:r>
      <w:r w:rsidR="003F3C22" w:rsidRPr="00B26051">
        <w:rPr>
          <w:rFonts w:asciiTheme="majorHAnsi" w:hAnsiTheme="majorHAnsi"/>
          <w:color w:val="auto"/>
          <w:sz w:val="20"/>
          <w:szCs w:val="20"/>
        </w:rPr>
        <w:t xml:space="preserve">there had been warnings of the failure to deliver the </w:t>
      </w:r>
      <w:r w:rsidR="00B26051" w:rsidRPr="00B26051">
        <w:rPr>
          <w:rFonts w:asciiTheme="majorHAnsi" w:hAnsiTheme="majorHAnsi"/>
          <w:color w:val="auto"/>
          <w:sz w:val="20"/>
          <w:szCs w:val="20"/>
        </w:rPr>
        <w:t>institution’s</w:t>
      </w:r>
      <w:r w:rsidR="003F3C22" w:rsidRPr="00B26051">
        <w:rPr>
          <w:rFonts w:asciiTheme="majorHAnsi" w:hAnsiTheme="majorHAnsi"/>
          <w:color w:val="auto"/>
          <w:sz w:val="20"/>
          <w:szCs w:val="20"/>
        </w:rPr>
        <w:t xml:space="preserve"> rules to the inmates</w:t>
      </w:r>
      <w:r w:rsidRPr="00B26051">
        <w:rPr>
          <w:rFonts w:asciiTheme="majorHAnsi" w:hAnsiTheme="majorHAnsi"/>
          <w:color w:val="auto"/>
          <w:sz w:val="20"/>
          <w:szCs w:val="20"/>
        </w:rPr>
        <w:t>, as well as the failure to comply with their individual plans.</w:t>
      </w:r>
      <w:r w:rsidRPr="00B26051">
        <w:rPr>
          <w:rStyle w:val="FootnoteReference"/>
          <w:rFonts w:asciiTheme="majorHAnsi" w:hAnsiTheme="majorHAnsi"/>
          <w:color w:val="auto"/>
          <w:sz w:val="20"/>
          <w:szCs w:val="20"/>
        </w:rPr>
        <w:footnoteReference w:id="36"/>
      </w:r>
      <w:r w:rsidRPr="00B26051">
        <w:rPr>
          <w:rFonts w:asciiTheme="majorHAnsi" w:hAnsiTheme="majorHAnsi"/>
          <w:color w:val="auto"/>
          <w:sz w:val="20"/>
          <w:szCs w:val="20"/>
        </w:rPr>
        <w:t xml:space="preserve"> The President of the INAM "warned that the facilities of the agency, its precarious conditions, in addition to th</w:t>
      </w:r>
      <w:r w:rsidR="008627DC" w:rsidRPr="00B26051">
        <w:rPr>
          <w:rFonts w:asciiTheme="majorHAnsi" w:hAnsiTheme="majorHAnsi"/>
          <w:color w:val="auto"/>
          <w:sz w:val="20"/>
          <w:szCs w:val="20"/>
        </w:rPr>
        <w:t>e lack of resources do</w:t>
      </w:r>
      <w:r w:rsidRPr="00B26051">
        <w:rPr>
          <w:rFonts w:asciiTheme="majorHAnsi" w:hAnsiTheme="majorHAnsi"/>
          <w:color w:val="auto"/>
          <w:sz w:val="20"/>
          <w:szCs w:val="20"/>
        </w:rPr>
        <w:t xml:space="preserve"> not allow the reeducation of young </w:t>
      </w:r>
      <w:r w:rsidR="008627DC" w:rsidRPr="00B26051">
        <w:rPr>
          <w:rFonts w:asciiTheme="majorHAnsi" w:hAnsiTheme="majorHAnsi"/>
          <w:color w:val="auto"/>
          <w:sz w:val="20"/>
          <w:szCs w:val="20"/>
        </w:rPr>
        <w:t>offenders</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footnoteReference w:id="37"/>
      </w:r>
      <w:r w:rsidRPr="00B26051">
        <w:rPr>
          <w:rFonts w:asciiTheme="majorHAnsi" w:hAnsiTheme="majorHAnsi"/>
          <w:color w:val="auto"/>
          <w:sz w:val="20"/>
          <w:szCs w:val="20"/>
        </w:rPr>
        <w:t xml:space="preserve"> One month after the fire, the National Council for the Rights of Ch</w:t>
      </w:r>
      <w:r w:rsidR="008627DC" w:rsidRPr="00B26051">
        <w:rPr>
          <w:rFonts w:asciiTheme="majorHAnsi" w:hAnsiTheme="majorHAnsi"/>
          <w:color w:val="auto"/>
          <w:sz w:val="20"/>
          <w:szCs w:val="20"/>
        </w:rPr>
        <w:t>ildren and Adolescents pointed out</w:t>
      </w:r>
      <w:r w:rsidRPr="00B26051">
        <w:rPr>
          <w:rFonts w:asciiTheme="majorHAnsi" w:hAnsiTheme="majorHAnsi"/>
          <w:color w:val="auto"/>
          <w:sz w:val="20"/>
          <w:szCs w:val="20"/>
        </w:rPr>
        <w:t xml:space="preserve"> </w:t>
      </w:r>
      <w:r w:rsidR="00AC1063" w:rsidRPr="00B26051">
        <w:rPr>
          <w:rFonts w:asciiTheme="majorHAnsi" w:hAnsiTheme="majorHAnsi"/>
          <w:color w:val="auto"/>
          <w:sz w:val="20"/>
          <w:szCs w:val="20"/>
        </w:rPr>
        <w:t xml:space="preserve">at the INAM </w:t>
      </w:r>
      <w:r w:rsidRPr="00B26051">
        <w:rPr>
          <w:rFonts w:asciiTheme="majorHAnsi" w:hAnsiTheme="majorHAnsi"/>
          <w:color w:val="auto"/>
          <w:sz w:val="20"/>
          <w:szCs w:val="20"/>
        </w:rPr>
        <w:t>"the lack of programs, individual plans and the non-guarantee of rights such as: education, health, developme</w:t>
      </w:r>
      <w:r w:rsidR="00AC1063" w:rsidRPr="00B26051">
        <w:rPr>
          <w:rFonts w:asciiTheme="majorHAnsi" w:hAnsiTheme="majorHAnsi"/>
          <w:color w:val="auto"/>
          <w:sz w:val="20"/>
          <w:szCs w:val="20"/>
        </w:rPr>
        <w:t>nt, personal integrity, culture</w:t>
      </w:r>
      <w:r w:rsidRPr="00B26051">
        <w:rPr>
          <w:rFonts w:asciiTheme="majorHAnsi" w:hAnsiTheme="majorHAnsi"/>
          <w:color w:val="auto"/>
          <w:sz w:val="20"/>
          <w:szCs w:val="20"/>
        </w:rPr>
        <w:t xml:space="preserve">, recreation, </w:t>
      </w:r>
      <w:r w:rsidR="008627DC" w:rsidRPr="00B26051">
        <w:rPr>
          <w:rFonts w:asciiTheme="majorHAnsi" w:hAnsiTheme="majorHAnsi"/>
          <w:color w:val="auto"/>
          <w:sz w:val="20"/>
          <w:szCs w:val="20"/>
        </w:rPr>
        <w:t xml:space="preserve">and </w:t>
      </w:r>
      <w:r w:rsidR="00AC1063" w:rsidRPr="00B26051">
        <w:rPr>
          <w:rFonts w:asciiTheme="majorHAnsi" w:hAnsiTheme="majorHAnsi"/>
          <w:color w:val="auto"/>
          <w:sz w:val="20"/>
          <w:szCs w:val="20"/>
        </w:rPr>
        <w:t xml:space="preserve">access </w:t>
      </w:r>
      <w:r w:rsidR="008627DC" w:rsidRPr="00B26051">
        <w:rPr>
          <w:rFonts w:asciiTheme="majorHAnsi" w:hAnsiTheme="majorHAnsi"/>
          <w:color w:val="auto"/>
          <w:sz w:val="20"/>
          <w:szCs w:val="20"/>
        </w:rPr>
        <w:t xml:space="preserve">to </w:t>
      </w:r>
      <w:r w:rsidRPr="00B26051">
        <w:rPr>
          <w:rFonts w:asciiTheme="majorHAnsi" w:hAnsiTheme="majorHAnsi"/>
          <w:color w:val="auto"/>
          <w:sz w:val="20"/>
          <w:szCs w:val="20"/>
        </w:rPr>
        <w:t>information</w:t>
      </w:r>
      <w:r w:rsidR="008627DC" w:rsidRPr="00B26051">
        <w:rPr>
          <w:rFonts w:asciiTheme="majorHAnsi" w:hAnsiTheme="majorHAnsi"/>
          <w:color w:val="auto"/>
          <w:sz w:val="20"/>
          <w:szCs w:val="20"/>
        </w:rPr>
        <w:t>, among others</w:t>
      </w:r>
      <w:r w:rsidR="00DD7050">
        <w:rPr>
          <w:rFonts w:asciiTheme="majorHAnsi" w:hAnsiTheme="majorHAnsi"/>
          <w:color w:val="auto"/>
          <w:sz w:val="20"/>
          <w:szCs w:val="20"/>
        </w:rPr>
        <w:t>."</w:t>
      </w:r>
      <w:r w:rsidRPr="00B26051">
        <w:rPr>
          <w:rStyle w:val="FootnoteReference"/>
          <w:rFonts w:asciiTheme="majorHAnsi" w:hAnsiTheme="majorHAnsi"/>
          <w:color w:val="auto"/>
          <w:sz w:val="20"/>
          <w:szCs w:val="20"/>
        </w:rPr>
        <w:footnoteReference w:id="38"/>
      </w:r>
    </w:p>
    <w:p w14:paraId="4903A332" w14:textId="77777777" w:rsidR="00185D58" w:rsidRPr="00B26051" w:rsidRDefault="00185D58" w:rsidP="00185D58">
      <w:pPr>
        <w:pStyle w:val="ListParagraph"/>
        <w:rPr>
          <w:rFonts w:asciiTheme="majorHAnsi" w:hAnsiTheme="majorHAnsi"/>
          <w:color w:val="auto"/>
          <w:sz w:val="20"/>
          <w:szCs w:val="20"/>
        </w:rPr>
      </w:pPr>
    </w:p>
    <w:p w14:paraId="2B988809" w14:textId="754D1986" w:rsidR="00185D58" w:rsidRPr="00B26051" w:rsidRDefault="0005548C" w:rsidP="007F4FA0">
      <w:pPr>
        <w:pStyle w:val="ListParagraph"/>
        <w:numPr>
          <w:ilvl w:val="0"/>
          <w:numId w:val="65"/>
        </w:numPr>
        <w:ind w:firstLine="0"/>
        <w:jc w:val="both"/>
        <w:rPr>
          <w:rFonts w:asciiTheme="majorHAnsi" w:hAnsiTheme="majorHAnsi"/>
          <w:b/>
          <w:color w:val="auto"/>
          <w:sz w:val="20"/>
          <w:szCs w:val="20"/>
        </w:rPr>
      </w:pPr>
      <w:r w:rsidRPr="00B26051">
        <w:rPr>
          <w:rFonts w:asciiTheme="majorHAnsi" w:hAnsiTheme="majorHAnsi"/>
          <w:b/>
          <w:color w:val="auto"/>
          <w:sz w:val="20"/>
          <w:szCs w:val="20"/>
        </w:rPr>
        <w:t>Presence of Young A</w:t>
      </w:r>
      <w:r w:rsidR="00BF02F9" w:rsidRPr="00B26051">
        <w:rPr>
          <w:rFonts w:asciiTheme="majorHAnsi" w:hAnsiTheme="majorHAnsi"/>
          <w:b/>
          <w:color w:val="auto"/>
          <w:sz w:val="20"/>
          <w:szCs w:val="20"/>
        </w:rPr>
        <w:t>dults in the Prison</w:t>
      </w:r>
    </w:p>
    <w:p w14:paraId="15A79711" w14:textId="77777777" w:rsidR="00185D58" w:rsidRPr="00B26051" w:rsidRDefault="00185D58" w:rsidP="00185D58">
      <w:pPr>
        <w:jc w:val="both"/>
        <w:rPr>
          <w:rFonts w:asciiTheme="majorHAnsi" w:hAnsiTheme="majorHAnsi"/>
          <w:b/>
          <w:sz w:val="20"/>
          <w:szCs w:val="20"/>
        </w:rPr>
      </w:pPr>
    </w:p>
    <w:p w14:paraId="595B19D3" w14:textId="63B91FEF" w:rsidR="00185D58" w:rsidRPr="00B26051" w:rsidRDefault="0005548C"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In accordance with A</w:t>
      </w:r>
      <w:r w:rsidR="00BF02F9" w:rsidRPr="00B26051">
        <w:rPr>
          <w:rFonts w:asciiTheme="majorHAnsi" w:hAnsiTheme="majorHAnsi"/>
          <w:color w:val="auto"/>
          <w:sz w:val="20"/>
          <w:szCs w:val="20"/>
        </w:rPr>
        <w:t>rticle 641 of the LOPNA:</w:t>
      </w:r>
    </w:p>
    <w:p w14:paraId="16FAABC4" w14:textId="77777777" w:rsidR="00185D58" w:rsidRPr="00B26051" w:rsidRDefault="00185D58" w:rsidP="00185D58">
      <w:pPr>
        <w:pStyle w:val="ListParagraph"/>
        <w:ind w:left="634"/>
        <w:jc w:val="both"/>
        <w:rPr>
          <w:rFonts w:asciiTheme="majorHAnsi" w:hAnsiTheme="majorHAnsi"/>
          <w:color w:val="auto"/>
          <w:sz w:val="20"/>
          <w:szCs w:val="20"/>
        </w:rPr>
      </w:pPr>
    </w:p>
    <w:p w14:paraId="299C3833" w14:textId="500AF66E" w:rsidR="00185D58" w:rsidRPr="00B26051" w:rsidRDefault="0005548C" w:rsidP="00185D58">
      <w:pPr>
        <w:ind w:left="720" w:right="720"/>
        <w:jc w:val="both"/>
        <w:rPr>
          <w:rFonts w:asciiTheme="majorHAnsi" w:hAnsiTheme="majorHAnsi"/>
          <w:sz w:val="20"/>
          <w:szCs w:val="20"/>
        </w:rPr>
      </w:pPr>
      <w:r w:rsidRPr="00B26051">
        <w:rPr>
          <w:rFonts w:asciiTheme="majorHAnsi" w:hAnsiTheme="majorHAnsi"/>
          <w:sz w:val="20"/>
          <w:szCs w:val="20"/>
        </w:rPr>
        <w:t xml:space="preserve">If the adolescent turns 18 </w:t>
      </w:r>
      <w:r w:rsidR="00BF02F9" w:rsidRPr="00B26051">
        <w:rPr>
          <w:rFonts w:asciiTheme="majorHAnsi" w:hAnsiTheme="majorHAnsi"/>
          <w:sz w:val="20"/>
          <w:szCs w:val="20"/>
        </w:rPr>
        <w:t xml:space="preserve">during his internment, he will be transferred to an adult institution, </w:t>
      </w:r>
      <w:r w:rsidR="00D654DD" w:rsidRPr="00B26051">
        <w:rPr>
          <w:rFonts w:asciiTheme="majorHAnsi" w:hAnsiTheme="majorHAnsi"/>
          <w:sz w:val="20"/>
          <w:szCs w:val="20"/>
        </w:rPr>
        <w:t>and</w:t>
      </w:r>
      <w:r w:rsidR="00BF02F9" w:rsidRPr="00B26051">
        <w:rPr>
          <w:rFonts w:asciiTheme="majorHAnsi" w:hAnsiTheme="majorHAnsi"/>
          <w:sz w:val="20"/>
          <w:szCs w:val="20"/>
        </w:rPr>
        <w:t xml:space="preserve"> be physically separated</w:t>
      </w:r>
      <w:r w:rsidR="00D654DD" w:rsidRPr="00B26051">
        <w:rPr>
          <w:rFonts w:asciiTheme="majorHAnsi" w:hAnsiTheme="majorHAnsi"/>
          <w:sz w:val="20"/>
          <w:szCs w:val="20"/>
        </w:rPr>
        <w:t xml:space="preserve"> from the adults</w:t>
      </w:r>
      <w:r w:rsidR="00BF02F9" w:rsidRPr="00B26051">
        <w:rPr>
          <w:rFonts w:asciiTheme="majorHAnsi" w:hAnsiTheme="majorHAnsi"/>
          <w:sz w:val="20"/>
          <w:szCs w:val="20"/>
        </w:rPr>
        <w:t xml:space="preserve">. Exceptionally, the judge may authorize </w:t>
      </w:r>
      <w:r w:rsidR="00D654DD" w:rsidRPr="00B26051">
        <w:rPr>
          <w:rFonts w:asciiTheme="majorHAnsi" w:hAnsiTheme="majorHAnsi"/>
          <w:sz w:val="20"/>
          <w:szCs w:val="20"/>
        </w:rPr>
        <w:t>his continued confinement</w:t>
      </w:r>
      <w:r w:rsidR="00BF02F9" w:rsidRPr="00B26051">
        <w:rPr>
          <w:rFonts w:asciiTheme="majorHAnsi" w:hAnsiTheme="majorHAnsi"/>
          <w:sz w:val="20"/>
          <w:szCs w:val="20"/>
        </w:rPr>
        <w:t xml:space="preserve"> in the </w:t>
      </w:r>
      <w:r w:rsidR="00D654DD" w:rsidRPr="00B26051">
        <w:rPr>
          <w:rFonts w:asciiTheme="majorHAnsi" w:hAnsiTheme="majorHAnsi"/>
          <w:sz w:val="20"/>
          <w:szCs w:val="20"/>
        </w:rPr>
        <w:t xml:space="preserve">adolescent </w:t>
      </w:r>
      <w:r w:rsidR="00BF02F9" w:rsidRPr="00B26051">
        <w:rPr>
          <w:rFonts w:asciiTheme="majorHAnsi" w:hAnsiTheme="majorHAnsi"/>
          <w:sz w:val="20"/>
          <w:szCs w:val="20"/>
        </w:rPr>
        <w:t>institut</w:t>
      </w:r>
      <w:r w:rsidR="00D654DD" w:rsidRPr="00B26051">
        <w:rPr>
          <w:rFonts w:asciiTheme="majorHAnsi" w:hAnsiTheme="majorHAnsi"/>
          <w:sz w:val="20"/>
          <w:szCs w:val="20"/>
        </w:rPr>
        <w:t>ion</w:t>
      </w:r>
      <w:r w:rsidR="00BF02F9" w:rsidRPr="00B26051">
        <w:rPr>
          <w:rFonts w:asciiTheme="majorHAnsi" w:hAnsiTheme="majorHAnsi"/>
          <w:sz w:val="20"/>
          <w:szCs w:val="20"/>
        </w:rPr>
        <w:t xml:space="preserve">, up to </w:t>
      </w:r>
      <w:r w:rsidR="00D654DD" w:rsidRPr="00B26051">
        <w:rPr>
          <w:rFonts w:asciiTheme="majorHAnsi" w:hAnsiTheme="majorHAnsi"/>
          <w:sz w:val="20"/>
          <w:szCs w:val="20"/>
        </w:rPr>
        <w:t>the age of twenty-one</w:t>
      </w:r>
      <w:r w:rsidR="00BF02F9" w:rsidRPr="00B26051">
        <w:rPr>
          <w:rFonts w:asciiTheme="majorHAnsi" w:hAnsiTheme="majorHAnsi"/>
          <w:sz w:val="20"/>
          <w:szCs w:val="20"/>
        </w:rPr>
        <w:t xml:space="preserve">, taking into account the recommendations of the </w:t>
      </w:r>
      <w:r w:rsidR="00D654DD" w:rsidRPr="00B26051">
        <w:rPr>
          <w:rFonts w:asciiTheme="majorHAnsi" w:hAnsiTheme="majorHAnsi"/>
          <w:sz w:val="20"/>
          <w:szCs w:val="20"/>
        </w:rPr>
        <w:t xml:space="preserve">institution’s </w:t>
      </w:r>
      <w:r w:rsidR="00BF02F9" w:rsidRPr="00B26051">
        <w:rPr>
          <w:rFonts w:asciiTheme="majorHAnsi" w:hAnsiTheme="majorHAnsi"/>
          <w:sz w:val="20"/>
          <w:szCs w:val="20"/>
        </w:rPr>
        <w:t xml:space="preserve">technical team, as well as the type of offense committed </w:t>
      </w:r>
      <w:r w:rsidR="00D654DD" w:rsidRPr="00B26051">
        <w:rPr>
          <w:rFonts w:asciiTheme="majorHAnsi" w:hAnsiTheme="majorHAnsi"/>
          <w:sz w:val="20"/>
          <w:szCs w:val="20"/>
        </w:rPr>
        <w:t>and the circumstances of the case and the perpetrator</w:t>
      </w:r>
      <w:r w:rsidR="00BF02F9" w:rsidRPr="00B26051">
        <w:rPr>
          <w:rFonts w:asciiTheme="majorHAnsi" w:hAnsiTheme="majorHAnsi"/>
          <w:sz w:val="20"/>
          <w:szCs w:val="20"/>
        </w:rPr>
        <w:t>.</w:t>
      </w:r>
      <w:r w:rsidR="00BF02F9" w:rsidRPr="00B26051">
        <w:rPr>
          <w:rStyle w:val="FootnoteReference"/>
          <w:rFonts w:asciiTheme="majorHAnsi" w:hAnsiTheme="majorHAnsi"/>
          <w:sz w:val="20"/>
          <w:szCs w:val="20"/>
        </w:rPr>
        <w:t xml:space="preserve"> </w:t>
      </w:r>
      <w:r w:rsidR="00BF02F9" w:rsidRPr="00B26051">
        <w:rPr>
          <w:rStyle w:val="FootnoteReference"/>
          <w:rFonts w:asciiTheme="majorHAnsi" w:hAnsiTheme="majorHAnsi"/>
          <w:sz w:val="20"/>
          <w:szCs w:val="20"/>
        </w:rPr>
        <w:footnoteReference w:id="39"/>
      </w:r>
    </w:p>
    <w:p w14:paraId="6924C6A1" w14:textId="77777777" w:rsidR="00185D58" w:rsidRPr="00B26051" w:rsidRDefault="00185D58" w:rsidP="00185D58">
      <w:pPr>
        <w:jc w:val="both"/>
        <w:rPr>
          <w:rFonts w:asciiTheme="majorHAnsi" w:hAnsiTheme="majorHAnsi"/>
          <w:sz w:val="20"/>
          <w:szCs w:val="20"/>
        </w:rPr>
      </w:pPr>
    </w:p>
    <w:p w14:paraId="42E500FB" w14:textId="6566F7A3" w:rsidR="00185D58" w:rsidRPr="00B26051" w:rsidRDefault="00BF02F9"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 xml:space="preserve">It is clear from the </w:t>
      </w:r>
      <w:r w:rsidR="003D540B" w:rsidRPr="00B26051">
        <w:rPr>
          <w:rFonts w:asciiTheme="majorHAnsi" w:hAnsiTheme="majorHAnsi"/>
          <w:color w:val="auto"/>
          <w:sz w:val="20"/>
          <w:szCs w:val="20"/>
        </w:rPr>
        <w:t xml:space="preserve">case </w:t>
      </w:r>
      <w:r w:rsidRPr="00B26051">
        <w:rPr>
          <w:rFonts w:asciiTheme="majorHAnsi" w:hAnsiTheme="majorHAnsi"/>
          <w:color w:val="auto"/>
          <w:sz w:val="20"/>
          <w:szCs w:val="20"/>
        </w:rPr>
        <w:t xml:space="preserve">file that, in practice, the transfer </w:t>
      </w:r>
      <w:r w:rsidR="0086313C" w:rsidRPr="00B26051">
        <w:rPr>
          <w:rFonts w:asciiTheme="majorHAnsi" w:hAnsiTheme="majorHAnsi"/>
          <w:color w:val="auto"/>
          <w:sz w:val="20"/>
          <w:szCs w:val="20"/>
        </w:rPr>
        <w:t>of adolescents was only ordered when the Warden</w:t>
      </w:r>
      <w:r w:rsidRPr="00B26051">
        <w:rPr>
          <w:rFonts w:asciiTheme="majorHAnsi" w:hAnsiTheme="majorHAnsi"/>
          <w:color w:val="auto"/>
          <w:sz w:val="20"/>
          <w:szCs w:val="20"/>
        </w:rPr>
        <w:t xml:space="preserve"> of the center </w:t>
      </w:r>
      <w:r w:rsidR="0086313C" w:rsidRPr="00B26051">
        <w:rPr>
          <w:rFonts w:asciiTheme="majorHAnsi" w:hAnsiTheme="majorHAnsi"/>
          <w:color w:val="auto"/>
          <w:sz w:val="20"/>
          <w:szCs w:val="20"/>
        </w:rPr>
        <w:t>so requested</w:t>
      </w:r>
      <w:r w:rsidRPr="00B26051">
        <w:rPr>
          <w:rFonts w:asciiTheme="majorHAnsi" w:hAnsiTheme="majorHAnsi"/>
          <w:color w:val="auto"/>
          <w:sz w:val="20"/>
          <w:szCs w:val="20"/>
        </w:rPr>
        <w:t xml:space="preserve"> </w:t>
      </w:r>
      <w:r w:rsidR="0086313C" w:rsidRPr="00B26051">
        <w:rPr>
          <w:rFonts w:asciiTheme="majorHAnsi" w:hAnsiTheme="majorHAnsi"/>
          <w:color w:val="auto"/>
          <w:sz w:val="20"/>
          <w:szCs w:val="20"/>
        </w:rPr>
        <w:t>when</w:t>
      </w:r>
      <w:r w:rsidRPr="00B26051">
        <w:rPr>
          <w:rFonts w:asciiTheme="majorHAnsi" w:hAnsiTheme="majorHAnsi"/>
          <w:color w:val="auto"/>
          <w:sz w:val="20"/>
          <w:szCs w:val="20"/>
        </w:rPr>
        <w:t xml:space="preserve"> </w:t>
      </w:r>
      <w:r w:rsidR="003D540B" w:rsidRPr="00B26051">
        <w:rPr>
          <w:rFonts w:asciiTheme="majorHAnsi" w:hAnsiTheme="majorHAnsi"/>
          <w:color w:val="auto"/>
          <w:sz w:val="20"/>
          <w:szCs w:val="20"/>
        </w:rPr>
        <w:t>he or she</w:t>
      </w:r>
      <w:r w:rsidRPr="00B26051">
        <w:rPr>
          <w:rFonts w:asciiTheme="majorHAnsi" w:hAnsiTheme="majorHAnsi"/>
          <w:color w:val="auto"/>
          <w:sz w:val="20"/>
          <w:szCs w:val="20"/>
        </w:rPr>
        <w:t xml:space="preserve"> represented a danger to the physical</w:t>
      </w:r>
      <w:r w:rsidR="003D540B" w:rsidRPr="00B26051">
        <w:rPr>
          <w:rFonts w:asciiTheme="majorHAnsi" w:hAnsiTheme="majorHAnsi"/>
          <w:color w:val="auto"/>
          <w:sz w:val="20"/>
          <w:szCs w:val="20"/>
        </w:rPr>
        <w:t xml:space="preserve"> integrity of other youths</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footnoteReference w:id="40"/>
      </w:r>
      <w:r w:rsidRPr="00B26051">
        <w:rPr>
          <w:rFonts w:asciiTheme="majorHAnsi" w:hAnsiTheme="majorHAnsi"/>
          <w:color w:val="auto"/>
          <w:sz w:val="20"/>
          <w:szCs w:val="20"/>
        </w:rPr>
        <w:t xml:space="preserve"> In this sense, the judge in charge of the alleged victims indicated that she took into account the criteria of the LOPNA, an absen</w:t>
      </w:r>
      <w:r w:rsidR="0086313C" w:rsidRPr="00B26051">
        <w:rPr>
          <w:rFonts w:asciiTheme="majorHAnsi" w:hAnsiTheme="majorHAnsi"/>
          <w:color w:val="auto"/>
          <w:sz w:val="20"/>
          <w:szCs w:val="20"/>
        </w:rPr>
        <w:t>ce of negative reports about their conduct</w:t>
      </w:r>
      <w:r w:rsidR="00C23B25">
        <w:rPr>
          <w:rFonts w:asciiTheme="majorHAnsi" w:hAnsiTheme="majorHAnsi"/>
          <w:color w:val="auto"/>
          <w:sz w:val="20"/>
          <w:szCs w:val="20"/>
        </w:rPr>
        <w:t>,</w:t>
      </w:r>
      <w:r w:rsidR="0086313C" w:rsidRPr="00B26051">
        <w:rPr>
          <w:rFonts w:asciiTheme="majorHAnsi" w:hAnsiTheme="majorHAnsi"/>
          <w:color w:val="auto"/>
          <w:sz w:val="20"/>
          <w:szCs w:val="20"/>
        </w:rPr>
        <w:t xml:space="preserve"> and their</w:t>
      </w:r>
      <w:r w:rsidRPr="00B26051">
        <w:rPr>
          <w:rFonts w:asciiTheme="majorHAnsi" w:hAnsiTheme="majorHAnsi"/>
          <w:color w:val="auto"/>
          <w:sz w:val="20"/>
          <w:szCs w:val="20"/>
        </w:rPr>
        <w:t xml:space="preserve"> compliance with the individu</w:t>
      </w:r>
      <w:r w:rsidR="0086313C" w:rsidRPr="00B26051">
        <w:rPr>
          <w:rFonts w:asciiTheme="majorHAnsi" w:hAnsiTheme="majorHAnsi"/>
          <w:color w:val="auto"/>
          <w:sz w:val="20"/>
          <w:szCs w:val="20"/>
        </w:rPr>
        <w:t>al plan, concluding that "it would be</w:t>
      </w:r>
      <w:r w:rsidRPr="00B26051">
        <w:rPr>
          <w:rFonts w:asciiTheme="majorHAnsi" w:hAnsiTheme="majorHAnsi"/>
          <w:color w:val="auto"/>
          <w:sz w:val="20"/>
          <w:szCs w:val="20"/>
        </w:rPr>
        <w:t xml:space="preserve"> unfair to order the</w:t>
      </w:r>
      <w:r w:rsidR="00C23B25">
        <w:rPr>
          <w:rFonts w:asciiTheme="majorHAnsi" w:hAnsiTheme="majorHAnsi"/>
          <w:color w:val="auto"/>
          <w:sz w:val="20"/>
          <w:szCs w:val="20"/>
        </w:rPr>
        <w:t>ir</w:t>
      </w:r>
      <w:r w:rsidRPr="00B26051">
        <w:rPr>
          <w:rFonts w:asciiTheme="majorHAnsi" w:hAnsiTheme="majorHAnsi"/>
          <w:color w:val="auto"/>
          <w:sz w:val="20"/>
          <w:szCs w:val="20"/>
        </w:rPr>
        <w:t xml:space="preserve"> transfer to the p</w:t>
      </w:r>
      <w:r w:rsidR="003D540B" w:rsidRPr="00B26051">
        <w:rPr>
          <w:rFonts w:asciiTheme="majorHAnsi" w:hAnsiTheme="majorHAnsi"/>
          <w:color w:val="auto"/>
          <w:sz w:val="20"/>
          <w:szCs w:val="20"/>
        </w:rPr>
        <w:t>rison under those conditions.</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footnoteReference w:id="41"/>
      </w:r>
      <w:r w:rsidR="0086313C" w:rsidRPr="00B26051">
        <w:rPr>
          <w:rFonts w:asciiTheme="majorHAnsi" w:hAnsiTheme="majorHAnsi"/>
          <w:color w:val="auto"/>
          <w:sz w:val="20"/>
          <w:szCs w:val="20"/>
        </w:rPr>
        <w:t xml:space="preserve"> In addition</w:t>
      </w:r>
      <w:r w:rsidRPr="00B26051">
        <w:rPr>
          <w:rFonts w:asciiTheme="majorHAnsi" w:hAnsiTheme="majorHAnsi"/>
          <w:color w:val="auto"/>
          <w:sz w:val="20"/>
          <w:szCs w:val="20"/>
        </w:rPr>
        <w:t>, state authorities indicat</w:t>
      </w:r>
      <w:r w:rsidR="0086313C" w:rsidRPr="00B26051">
        <w:rPr>
          <w:rFonts w:asciiTheme="majorHAnsi" w:hAnsiTheme="majorHAnsi"/>
          <w:color w:val="auto"/>
          <w:sz w:val="20"/>
          <w:szCs w:val="20"/>
        </w:rPr>
        <w:t>ed that "the precariousness of the</w:t>
      </w:r>
      <w:r w:rsidRPr="00B26051">
        <w:rPr>
          <w:rFonts w:asciiTheme="majorHAnsi" w:hAnsiTheme="majorHAnsi"/>
          <w:color w:val="auto"/>
          <w:sz w:val="20"/>
          <w:szCs w:val="20"/>
        </w:rPr>
        <w:t xml:space="preserve"> facilities [of the INAM-San </w:t>
      </w:r>
      <w:r w:rsidR="002033A9" w:rsidRPr="00B26051">
        <w:rPr>
          <w:rFonts w:asciiTheme="majorHAnsi" w:hAnsiTheme="majorHAnsi"/>
          <w:color w:val="auto"/>
          <w:sz w:val="20"/>
          <w:szCs w:val="20"/>
        </w:rPr>
        <w:t>Félix</w:t>
      </w:r>
      <w:r w:rsidRPr="00B26051">
        <w:rPr>
          <w:rFonts w:asciiTheme="majorHAnsi" w:hAnsiTheme="majorHAnsi"/>
          <w:color w:val="auto"/>
          <w:sz w:val="20"/>
          <w:szCs w:val="20"/>
        </w:rPr>
        <w:t>] does not allow separation between minors and [adults]", that this situa</w:t>
      </w:r>
      <w:r w:rsidR="0086313C" w:rsidRPr="00B26051">
        <w:rPr>
          <w:rFonts w:asciiTheme="majorHAnsi" w:hAnsiTheme="majorHAnsi"/>
          <w:color w:val="auto"/>
          <w:sz w:val="20"/>
          <w:szCs w:val="20"/>
        </w:rPr>
        <w:t>tion "has become a habit" and that “i</w:t>
      </w:r>
      <w:r w:rsidRPr="00B26051">
        <w:rPr>
          <w:rFonts w:asciiTheme="majorHAnsi" w:hAnsiTheme="majorHAnsi"/>
          <w:color w:val="auto"/>
          <w:sz w:val="20"/>
          <w:szCs w:val="20"/>
        </w:rPr>
        <w:t xml:space="preserve">t generates a series of </w:t>
      </w:r>
      <w:r w:rsidR="003D540B" w:rsidRPr="00B26051">
        <w:rPr>
          <w:rFonts w:asciiTheme="majorHAnsi" w:hAnsiTheme="majorHAnsi"/>
          <w:color w:val="auto"/>
          <w:sz w:val="20"/>
          <w:szCs w:val="20"/>
        </w:rPr>
        <w:t>ongoing</w:t>
      </w:r>
      <w:r w:rsidRPr="00B26051">
        <w:rPr>
          <w:rFonts w:asciiTheme="majorHAnsi" w:hAnsiTheme="majorHAnsi"/>
          <w:color w:val="auto"/>
          <w:sz w:val="20"/>
          <w:szCs w:val="20"/>
        </w:rPr>
        <w:t xml:space="preserve"> confrontations [among the inmates] </w:t>
      </w:r>
      <w:r w:rsidR="0086313C" w:rsidRPr="00B26051">
        <w:rPr>
          <w:rFonts w:asciiTheme="majorHAnsi" w:hAnsiTheme="majorHAnsi"/>
          <w:color w:val="auto"/>
          <w:sz w:val="20"/>
          <w:szCs w:val="20"/>
        </w:rPr>
        <w:t>we cannot control</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footnoteReference w:id="42"/>
      </w:r>
      <w:r w:rsidRPr="00B26051">
        <w:rPr>
          <w:rFonts w:asciiTheme="majorHAnsi" w:hAnsiTheme="majorHAnsi"/>
          <w:color w:val="auto"/>
          <w:sz w:val="20"/>
          <w:szCs w:val="20"/>
        </w:rPr>
        <w:t xml:space="preserve"> In general, </w:t>
      </w:r>
      <w:r w:rsidR="003D540B" w:rsidRPr="00B26051">
        <w:rPr>
          <w:rFonts w:asciiTheme="majorHAnsi" w:hAnsiTheme="majorHAnsi"/>
          <w:color w:val="auto"/>
          <w:sz w:val="20"/>
          <w:szCs w:val="20"/>
        </w:rPr>
        <w:t xml:space="preserve">according to the teachers, </w:t>
      </w:r>
      <w:r w:rsidRPr="00B26051">
        <w:rPr>
          <w:rFonts w:asciiTheme="majorHAnsi" w:hAnsiTheme="majorHAnsi"/>
          <w:color w:val="auto"/>
          <w:sz w:val="20"/>
          <w:szCs w:val="20"/>
        </w:rPr>
        <w:t xml:space="preserve">the problem of </w:t>
      </w:r>
      <w:r w:rsidR="003D540B" w:rsidRPr="00B26051">
        <w:rPr>
          <w:rFonts w:asciiTheme="majorHAnsi" w:hAnsiTheme="majorHAnsi"/>
          <w:color w:val="auto"/>
          <w:sz w:val="20"/>
          <w:szCs w:val="20"/>
        </w:rPr>
        <w:t>confrontations</w:t>
      </w:r>
      <w:r w:rsidRPr="00B26051">
        <w:rPr>
          <w:rFonts w:asciiTheme="majorHAnsi" w:hAnsiTheme="majorHAnsi"/>
          <w:color w:val="auto"/>
          <w:sz w:val="20"/>
          <w:szCs w:val="20"/>
        </w:rPr>
        <w:t xml:space="preserve"> </w:t>
      </w:r>
      <w:r w:rsidR="0086313C" w:rsidRPr="00B26051">
        <w:rPr>
          <w:rFonts w:asciiTheme="majorHAnsi" w:hAnsiTheme="majorHAnsi"/>
          <w:color w:val="auto"/>
          <w:sz w:val="20"/>
          <w:szCs w:val="20"/>
        </w:rPr>
        <w:t>among</w:t>
      </w:r>
      <w:r w:rsidRPr="00B26051">
        <w:rPr>
          <w:rFonts w:asciiTheme="majorHAnsi" w:hAnsiTheme="majorHAnsi"/>
          <w:color w:val="auto"/>
          <w:sz w:val="20"/>
          <w:szCs w:val="20"/>
        </w:rPr>
        <w:t xml:space="preserve"> inmates was </w:t>
      </w:r>
      <w:r w:rsidR="00B26051" w:rsidRPr="00B26051">
        <w:rPr>
          <w:rFonts w:asciiTheme="majorHAnsi" w:hAnsiTheme="majorHAnsi"/>
          <w:color w:val="auto"/>
          <w:sz w:val="20"/>
          <w:szCs w:val="20"/>
        </w:rPr>
        <w:t>well known</w:t>
      </w:r>
      <w:r w:rsidR="0086313C" w:rsidRPr="00B26051">
        <w:rPr>
          <w:rFonts w:asciiTheme="majorHAnsi" w:hAnsiTheme="majorHAnsi"/>
          <w:color w:val="auto"/>
          <w:sz w:val="20"/>
          <w:szCs w:val="20"/>
        </w:rPr>
        <w:t xml:space="preserve"> to</w:t>
      </w:r>
      <w:r w:rsidR="003D540B" w:rsidRPr="00B26051">
        <w:rPr>
          <w:rFonts w:asciiTheme="majorHAnsi" w:hAnsiTheme="majorHAnsi"/>
          <w:color w:val="auto"/>
          <w:sz w:val="20"/>
          <w:szCs w:val="20"/>
        </w:rPr>
        <w:t xml:space="preserve"> the Center's staff and</w:t>
      </w:r>
      <w:r w:rsidRPr="00B26051">
        <w:rPr>
          <w:rFonts w:asciiTheme="majorHAnsi" w:hAnsiTheme="majorHAnsi"/>
          <w:color w:val="auto"/>
          <w:sz w:val="20"/>
          <w:szCs w:val="20"/>
        </w:rPr>
        <w:t xml:space="preserve"> </w:t>
      </w:r>
      <w:r w:rsidR="0086313C" w:rsidRPr="00B26051">
        <w:rPr>
          <w:rFonts w:asciiTheme="majorHAnsi" w:hAnsiTheme="majorHAnsi"/>
          <w:color w:val="auto"/>
          <w:sz w:val="20"/>
          <w:szCs w:val="20"/>
        </w:rPr>
        <w:t>to</w:t>
      </w:r>
      <w:r w:rsidRPr="00B26051">
        <w:rPr>
          <w:rFonts w:asciiTheme="majorHAnsi" w:hAnsiTheme="majorHAnsi"/>
          <w:color w:val="auto"/>
          <w:sz w:val="20"/>
          <w:szCs w:val="20"/>
        </w:rPr>
        <w:t xml:space="preserve"> the judicial personnel associated with the Center.</w:t>
      </w:r>
      <w:r w:rsidRPr="00B26051">
        <w:rPr>
          <w:color w:val="auto"/>
          <w:sz w:val="20"/>
          <w:szCs w:val="20"/>
          <w:vertAlign w:val="superscript"/>
        </w:rPr>
        <w:t xml:space="preserve"> </w:t>
      </w:r>
      <w:r w:rsidRPr="00B26051">
        <w:rPr>
          <w:color w:val="auto"/>
          <w:sz w:val="20"/>
          <w:szCs w:val="20"/>
          <w:vertAlign w:val="superscript"/>
        </w:rPr>
        <w:footnoteReference w:id="43"/>
      </w:r>
    </w:p>
    <w:p w14:paraId="666365A3" w14:textId="77777777" w:rsidR="00185D58" w:rsidRPr="00B26051" w:rsidRDefault="00185D58" w:rsidP="00185D58">
      <w:pPr>
        <w:pStyle w:val="ListParagraph"/>
        <w:rPr>
          <w:rFonts w:asciiTheme="majorHAnsi" w:hAnsiTheme="majorHAnsi"/>
          <w:color w:val="auto"/>
          <w:sz w:val="20"/>
          <w:szCs w:val="20"/>
        </w:rPr>
      </w:pPr>
    </w:p>
    <w:p w14:paraId="0E3F10DC" w14:textId="6DED0511" w:rsidR="00185D58" w:rsidRPr="00B26051" w:rsidRDefault="00DD1859"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lastRenderedPageBreak/>
        <w:t>F</w:t>
      </w:r>
      <w:r w:rsidR="00BF02F9" w:rsidRPr="00B26051">
        <w:rPr>
          <w:rFonts w:asciiTheme="majorHAnsi" w:hAnsiTheme="majorHAnsi"/>
          <w:color w:val="auto"/>
          <w:sz w:val="20"/>
          <w:szCs w:val="20"/>
        </w:rPr>
        <w:t xml:space="preserve">rom the </w:t>
      </w:r>
      <w:r w:rsidRPr="00B26051">
        <w:rPr>
          <w:rFonts w:asciiTheme="majorHAnsi" w:hAnsiTheme="majorHAnsi"/>
          <w:color w:val="auto"/>
          <w:sz w:val="20"/>
          <w:szCs w:val="20"/>
        </w:rPr>
        <w:t>case file, the Commission observes</w:t>
      </w:r>
      <w:r w:rsidR="00BF02F9" w:rsidRPr="00B26051">
        <w:rPr>
          <w:rFonts w:asciiTheme="majorHAnsi" w:hAnsiTheme="majorHAnsi"/>
          <w:color w:val="auto"/>
          <w:sz w:val="20"/>
          <w:szCs w:val="20"/>
        </w:rPr>
        <w:t xml:space="preserve"> </w:t>
      </w:r>
      <w:r w:rsidR="003E5138" w:rsidRPr="00B26051">
        <w:rPr>
          <w:rFonts w:asciiTheme="majorHAnsi" w:hAnsiTheme="majorHAnsi"/>
          <w:color w:val="auto"/>
          <w:sz w:val="20"/>
          <w:szCs w:val="20"/>
        </w:rPr>
        <w:t>that the young inmates</w:t>
      </w:r>
      <w:r w:rsidR="00BF02F9" w:rsidRPr="00B26051">
        <w:rPr>
          <w:rFonts w:asciiTheme="majorHAnsi" w:hAnsiTheme="majorHAnsi"/>
          <w:color w:val="auto"/>
          <w:sz w:val="20"/>
          <w:szCs w:val="20"/>
        </w:rPr>
        <w:t xml:space="preserve"> of the INAM-San </w:t>
      </w:r>
      <w:r w:rsidR="002033A9" w:rsidRPr="00B26051">
        <w:rPr>
          <w:rFonts w:asciiTheme="majorHAnsi" w:hAnsiTheme="majorHAnsi"/>
          <w:color w:val="auto"/>
          <w:sz w:val="20"/>
          <w:szCs w:val="20"/>
        </w:rPr>
        <w:t>Félix</w:t>
      </w:r>
      <w:r w:rsidR="00BF02F9" w:rsidRPr="00B26051">
        <w:rPr>
          <w:rFonts w:asciiTheme="majorHAnsi" w:hAnsiTheme="majorHAnsi"/>
          <w:color w:val="auto"/>
          <w:sz w:val="20"/>
          <w:szCs w:val="20"/>
        </w:rPr>
        <w:t xml:space="preserve"> </w:t>
      </w:r>
      <w:r w:rsidR="003E5138" w:rsidRPr="00B26051">
        <w:rPr>
          <w:rFonts w:asciiTheme="majorHAnsi" w:hAnsiTheme="majorHAnsi"/>
          <w:color w:val="auto"/>
          <w:sz w:val="20"/>
          <w:szCs w:val="20"/>
        </w:rPr>
        <w:t>would have eventually been transferred to</w:t>
      </w:r>
      <w:r w:rsidRPr="00B26051">
        <w:rPr>
          <w:rFonts w:asciiTheme="majorHAnsi" w:hAnsiTheme="majorHAnsi"/>
          <w:color w:val="auto"/>
          <w:sz w:val="20"/>
          <w:szCs w:val="20"/>
        </w:rPr>
        <w:t xml:space="preserve"> </w:t>
      </w:r>
      <w:r w:rsidR="004A52CC" w:rsidRPr="00B26051">
        <w:rPr>
          <w:rFonts w:asciiTheme="majorHAnsi" w:hAnsiTheme="majorHAnsi"/>
          <w:color w:val="auto"/>
          <w:sz w:val="20"/>
          <w:szCs w:val="20"/>
        </w:rPr>
        <w:t>the Vista Hermosa penitentiary</w:t>
      </w:r>
      <w:r w:rsidR="00BF02F9" w:rsidRPr="00B26051">
        <w:rPr>
          <w:rFonts w:asciiTheme="majorHAnsi" w:hAnsiTheme="majorHAnsi"/>
          <w:color w:val="auto"/>
          <w:sz w:val="20"/>
          <w:szCs w:val="20"/>
        </w:rPr>
        <w:t xml:space="preserve"> in Ciudad Bolívar, highlighted as one of the most dangerous in Venezuela. From the </w:t>
      </w:r>
      <w:r w:rsidR="004A52CC" w:rsidRPr="00B26051">
        <w:rPr>
          <w:rFonts w:asciiTheme="majorHAnsi" w:hAnsiTheme="majorHAnsi"/>
          <w:color w:val="auto"/>
          <w:sz w:val="20"/>
          <w:szCs w:val="20"/>
        </w:rPr>
        <w:t xml:space="preserve">case </w:t>
      </w:r>
      <w:r w:rsidR="00BF02F9" w:rsidRPr="00B26051">
        <w:rPr>
          <w:rFonts w:asciiTheme="majorHAnsi" w:hAnsiTheme="majorHAnsi"/>
          <w:color w:val="auto"/>
          <w:sz w:val="20"/>
          <w:szCs w:val="20"/>
        </w:rPr>
        <w:t xml:space="preserve">file there are references to the fact that in this prison </w:t>
      </w:r>
      <w:r w:rsidR="004A52CC" w:rsidRPr="00B26051">
        <w:rPr>
          <w:rFonts w:asciiTheme="majorHAnsi" w:hAnsiTheme="majorHAnsi"/>
          <w:color w:val="auto"/>
          <w:sz w:val="20"/>
          <w:szCs w:val="20"/>
        </w:rPr>
        <w:t>it was impossible to separate</w:t>
      </w:r>
      <w:r w:rsidR="00BF02F9" w:rsidRPr="00B26051">
        <w:rPr>
          <w:rFonts w:asciiTheme="majorHAnsi" w:hAnsiTheme="majorHAnsi"/>
          <w:color w:val="auto"/>
          <w:sz w:val="20"/>
          <w:szCs w:val="20"/>
        </w:rPr>
        <w:t xml:space="preserve"> young people from the adult population, </w:t>
      </w:r>
      <w:r w:rsidR="004A52CC" w:rsidRPr="00B26051">
        <w:rPr>
          <w:rFonts w:asciiTheme="majorHAnsi" w:hAnsiTheme="majorHAnsi"/>
          <w:color w:val="auto"/>
          <w:sz w:val="20"/>
          <w:szCs w:val="20"/>
        </w:rPr>
        <w:t>the understanding being</w:t>
      </w:r>
      <w:r w:rsidR="00BF02F9" w:rsidRPr="00B26051">
        <w:rPr>
          <w:rFonts w:asciiTheme="majorHAnsi" w:hAnsiTheme="majorHAnsi"/>
          <w:color w:val="auto"/>
          <w:sz w:val="20"/>
          <w:szCs w:val="20"/>
        </w:rPr>
        <w:t xml:space="preserve"> that </w:t>
      </w:r>
      <w:r w:rsidR="004A52CC" w:rsidRPr="00B26051">
        <w:rPr>
          <w:rFonts w:asciiTheme="majorHAnsi" w:hAnsiTheme="majorHAnsi"/>
          <w:color w:val="auto"/>
          <w:sz w:val="20"/>
          <w:szCs w:val="20"/>
        </w:rPr>
        <w:t xml:space="preserve">this prison lacked the </w:t>
      </w:r>
      <w:r w:rsidR="00BF02F9" w:rsidRPr="00B26051">
        <w:rPr>
          <w:rFonts w:asciiTheme="majorHAnsi" w:hAnsiTheme="majorHAnsi"/>
          <w:color w:val="auto"/>
          <w:sz w:val="20"/>
          <w:szCs w:val="20"/>
        </w:rPr>
        <w:t>conditions to effectively protect the rights of young people under the terms of the LOPNA.</w:t>
      </w:r>
      <w:r w:rsidR="00BF02F9" w:rsidRPr="00B26051">
        <w:rPr>
          <w:rStyle w:val="FootnoteReference"/>
          <w:rFonts w:asciiTheme="majorHAnsi" w:hAnsiTheme="majorHAnsi"/>
          <w:color w:val="auto"/>
          <w:sz w:val="20"/>
          <w:szCs w:val="20"/>
        </w:rPr>
        <w:footnoteReference w:id="44"/>
      </w:r>
      <w:r w:rsidR="00BF02F9" w:rsidRPr="00B26051">
        <w:rPr>
          <w:rFonts w:asciiTheme="majorHAnsi" w:hAnsiTheme="majorHAnsi"/>
          <w:color w:val="auto"/>
          <w:sz w:val="20"/>
          <w:szCs w:val="20"/>
        </w:rPr>
        <w:t xml:space="preserve"> There are also references to the fact that this situation </w:t>
      </w:r>
      <w:r w:rsidR="004A52CC" w:rsidRPr="00B26051">
        <w:rPr>
          <w:rFonts w:asciiTheme="majorHAnsi" w:hAnsiTheme="majorHAnsi"/>
          <w:color w:val="auto"/>
          <w:sz w:val="20"/>
          <w:szCs w:val="20"/>
        </w:rPr>
        <w:t>fostered a type</w:t>
      </w:r>
      <w:r w:rsidR="003E5138" w:rsidRPr="00B26051">
        <w:rPr>
          <w:rFonts w:asciiTheme="majorHAnsi" w:hAnsiTheme="majorHAnsi"/>
          <w:color w:val="auto"/>
          <w:sz w:val="20"/>
          <w:szCs w:val="20"/>
        </w:rPr>
        <w:t xml:space="preserve"> of intimidation against the adolescents: "they were </w:t>
      </w:r>
      <w:r w:rsidR="00B26051" w:rsidRPr="00B26051">
        <w:rPr>
          <w:rFonts w:asciiTheme="majorHAnsi" w:hAnsiTheme="majorHAnsi"/>
          <w:color w:val="auto"/>
          <w:sz w:val="20"/>
          <w:szCs w:val="20"/>
        </w:rPr>
        <w:t>threatened</w:t>
      </w:r>
      <w:r w:rsidR="00BF02F9" w:rsidRPr="00B26051">
        <w:rPr>
          <w:rFonts w:asciiTheme="majorHAnsi" w:hAnsiTheme="majorHAnsi"/>
          <w:color w:val="auto"/>
          <w:sz w:val="20"/>
          <w:szCs w:val="20"/>
        </w:rPr>
        <w:t xml:space="preserve"> that if they </w:t>
      </w:r>
      <w:r w:rsidR="00B26051">
        <w:rPr>
          <w:rFonts w:asciiTheme="majorHAnsi" w:hAnsiTheme="majorHAnsi"/>
          <w:color w:val="auto"/>
          <w:sz w:val="20"/>
          <w:szCs w:val="20"/>
        </w:rPr>
        <w:t>mis</w:t>
      </w:r>
      <w:r w:rsidR="00BF02F9" w:rsidRPr="00B26051">
        <w:rPr>
          <w:rFonts w:asciiTheme="majorHAnsi" w:hAnsiTheme="majorHAnsi"/>
          <w:color w:val="auto"/>
          <w:sz w:val="20"/>
          <w:szCs w:val="20"/>
        </w:rPr>
        <w:t xml:space="preserve">behaved </w:t>
      </w:r>
      <w:r w:rsidR="004A52CC" w:rsidRPr="00B26051">
        <w:rPr>
          <w:rFonts w:asciiTheme="majorHAnsi" w:hAnsiTheme="majorHAnsi"/>
          <w:color w:val="auto"/>
          <w:sz w:val="20"/>
          <w:szCs w:val="20"/>
        </w:rPr>
        <w:t xml:space="preserve">the court would be informed and order their </w:t>
      </w:r>
      <w:r w:rsidR="00BF02F9" w:rsidRPr="00B26051">
        <w:rPr>
          <w:rFonts w:asciiTheme="majorHAnsi" w:hAnsiTheme="majorHAnsi"/>
          <w:color w:val="auto"/>
          <w:sz w:val="20"/>
          <w:szCs w:val="20"/>
        </w:rPr>
        <w:t xml:space="preserve">transfer to Ciudad Bolívar, </w:t>
      </w:r>
      <w:r w:rsidR="003E5138" w:rsidRPr="00B26051">
        <w:rPr>
          <w:rFonts w:asciiTheme="majorHAnsi" w:hAnsiTheme="majorHAnsi"/>
          <w:color w:val="auto"/>
          <w:sz w:val="20"/>
          <w:szCs w:val="20"/>
        </w:rPr>
        <w:t>and they were always intimidated [with</w:t>
      </w:r>
      <w:r w:rsidR="00BF02F9" w:rsidRPr="00B26051">
        <w:rPr>
          <w:rFonts w:asciiTheme="majorHAnsi" w:hAnsiTheme="majorHAnsi"/>
          <w:color w:val="auto"/>
          <w:sz w:val="20"/>
          <w:szCs w:val="20"/>
        </w:rPr>
        <w:t xml:space="preserve"> the judge],"</w:t>
      </w:r>
      <w:r w:rsidR="004A52CC" w:rsidRPr="00B26051">
        <w:rPr>
          <w:rStyle w:val="FootnoteReference"/>
          <w:rFonts w:asciiTheme="majorHAnsi" w:hAnsiTheme="majorHAnsi"/>
          <w:color w:val="auto"/>
          <w:sz w:val="20"/>
          <w:szCs w:val="20"/>
        </w:rPr>
        <w:t xml:space="preserve"> </w:t>
      </w:r>
      <w:r w:rsidR="004A52CC" w:rsidRPr="00B26051">
        <w:rPr>
          <w:rStyle w:val="FootnoteReference"/>
          <w:rFonts w:asciiTheme="majorHAnsi" w:hAnsiTheme="majorHAnsi"/>
          <w:color w:val="auto"/>
          <w:sz w:val="20"/>
          <w:szCs w:val="20"/>
        </w:rPr>
        <w:footnoteReference w:id="45"/>
      </w:r>
      <w:r w:rsidR="004A52CC" w:rsidRPr="00B26051">
        <w:rPr>
          <w:rFonts w:asciiTheme="majorHAnsi" w:hAnsiTheme="majorHAnsi"/>
          <w:color w:val="auto"/>
          <w:sz w:val="20"/>
          <w:szCs w:val="20"/>
        </w:rPr>
        <w:t xml:space="preserve"> </w:t>
      </w:r>
      <w:r w:rsidR="00BF02F9" w:rsidRPr="00B26051">
        <w:rPr>
          <w:rFonts w:asciiTheme="majorHAnsi" w:hAnsiTheme="majorHAnsi"/>
          <w:color w:val="auto"/>
          <w:sz w:val="20"/>
          <w:szCs w:val="20"/>
        </w:rPr>
        <w:t xml:space="preserve">as well as complaints from family members who paid bribes of 500,000 </w:t>
      </w:r>
      <w:r w:rsidR="001022ED" w:rsidRPr="00B26051">
        <w:rPr>
          <w:rFonts w:asciiTheme="majorHAnsi" w:hAnsiTheme="majorHAnsi"/>
          <w:color w:val="auto"/>
          <w:sz w:val="20"/>
          <w:szCs w:val="20"/>
        </w:rPr>
        <w:t>Bolívar</w:t>
      </w:r>
      <w:r w:rsidR="00BF02F9" w:rsidRPr="00B26051">
        <w:rPr>
          <w:rFonts w:asciiTheme="majorHAnsi" w:hAnsiTheme="majorHAnsi"/>
          <w:color w:val="auto"/>
          <w:sz w:val="20"/>
          <w:szCs w:val="20"/>
        </w:rPr>
        <w:t xml:space="preserve">es a month to INAM officials not to transfer their adult children to the Vista Hermosa </w:t>
      </w:r>
      <w:r w:rsidR="004A52CC" w:rsidRPr="00B26051">
        <w:rPr>
          <w:rFonts w:asciiTheme="majorHAnsi" w:hAnsiTheme="majorHAnsi"/>
          <w:color w:val="auto"/>
          <w:sz w:val="20"/>
          <w:szCs w:val="20"/>
        </w:rPr>
        <w:t>penitentiary, "because there they could be killed.</w:t>
      </w:r>
      <w:r w:rsidR="00BF02F9" w:rsidRPr="00B26051">
        <w:rPr>
          <w:rFonts w:asciiTheme="majorHAnsi" w:hAnsiTheme="majorHAnsi"/>
          <w:color w:val="auto"/>
          <w:sz w:val="20"/>
          <w:szCs w:val="20"/>
        </w:rPr>
        <w:t>"</w:t>
      </w:r>
      <w:r w:rsidR="00BF02F9" w:rsidRPr="00B26051">
        <w:rPr>
          <w:rStyle w:val="FootnoteReference"/>
          <w:rFonts w:asciiTheme="majorHAnsi" w:hAnsiTheme="majorHAnsi"/>
          <w:color w:val="auto"/>
          <w:sz w:val="20"/>
          <w:szCs w:val="20"/>
        </w:rPr>
        <w:footnoteReference w:id="46"/>
      </w:r>
    </w:p>
    <w:p w14:paraId="247677F4" w14:textId="77777777" w:rsidR="00185D58" w:rsidRPr="00B26051" w:rsidRDefault="00185D58" w:rsidP="00185D58">
      <w:pPr>
        <w:jc w:val="both"/>
        <w:rPr>
          <w:rFonts w:asciiTheme="majorHAnsi" w:hAnsiTheme="majorHAnsi"/>
          <w:b/>
          <w:sz w:val="20"/>
          <w:szCs w:val="20"/>
        </w:rPr>
      </w:pPr>
    </w:p>
    <w:p w14:paraId="6FE48FAC" w14:textId="5D4AB98C" w:rsidR="00185D58" w:rsidRPr="00B26051" w:rsidRDefault="00BF02F9" w:rsidP="007F4FA0">
      <w:pPr>
        <w:pStyle w:val="ListParagraph"/>
        <w:numPr>
          <w:ilvl w:val="0"/>
          <w:numId w:val="65"/>
        </w:numPr>
        <w:ind w:firstLine="0"/>
        <w:jc w:val="both"/>
        <w:rPr>
          <w:rFonts w:asciiTheme="majorHAnsi" w:hAnsiTheme="majorHAnsi"/>
          <w:b/>
          <w:color w:val="auto"/>
          <w:sz w:val="20"/>
          <w:szCs w:val="20"/>
        </w:rPr>
      </w:pPr>
      <w:r w:rsidRPr="00B26051">
        <w:rPr>
          <w:rFonts w:asciiTheme="majorHAnsi" w:hAnsiTheme="majorHAnsi"/>
          <w:b/>
          <w:color w:val="auto"/>
          <w:sz w:val="20"/>
          <w:szCs w:val="20"/>
        </w:rPr>
        <w:t>Other relevant background</w:t>
      </w:r>
    </w:p>
    <w:p w14:paraId="2E68B6FE" w14:textId="77777777" w:rsidR="00185D58" w:rsidRPr="00B26051" w:rsidRDefault="00185D58" w:rsidP="00185D58">
      <w:pPr>
        <w:jc w:val="both"/>
        <w:rPr>
          <w:rFonts w:asciiTheme="majorHAnsi" w:hAnsiTheme="majorHAnsi"/>
          <w:b/>
          <w:sz w:val="20"/>
          <w:szCs w:val="20"/>
        </w:rPr>
      </w:pPr>
    </w:p>
    <w:p w14:paraId="0240EB58" w14:textId="3A371B61" w:rsidR="00185D58" w:rsidRPr="00B26051" w:rsidRDefault="00840816"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With regard to</w:t>
      </w:r>
      <w:r w:rsidR="00BF02F9" w:rsidRPr="00B26051">
        <w:rPr>
          <w:rFonts w:asciiTheme="majorHAnsi" w:hAnsiTheme="majorHAnsi"/>
          <w:color w:val="auto"/>
          <w:sz w:val="20"/>
          <w:szCs w:val="20"/>
        </w:rPr>
        <w:t xml:space="preserve"> José Gregorio Mota Abarullo, the IACHR observes that</w:t>
      </w:r>
      <w:r w:rsidR="003E5138" w:rsidRPr="00B26051">
        <w:rPr>
          <w:rFonts w:asciiTheme="majorHAnsi" w:hAnsiTheme="majorHAnsi"/>
          <w:color w:val="auto"/>
          <w:sz w:val="20"/>
          <w:szCs w:val="20"/>
        </w:rPr>
        <w:t xml:space="preserve"> in April 2005 an order of "assisted release</w:t>
      </w:r>
      <w:r w:rsidR="00BF02F9" w:rsidRPr="00B26051">
        <w:rPr>
          <w:rFonts w:asciiTheme="majorHAnsi" w:hAnsiTheme="majorHAnsi"/>
          <w:color w:val="auto"/>
          <w:sz w:val="20"/>
          <w:szCs w:val="20"/>
        </w:rPr>
        <w:t xml:space="preserve"> and rules of conduct" </w:t>
      </w:r>
      <w:r w:rsidR="003E5138" w:rsidRPr="00B26051">
        <w:rPr>
          <w:rFonts w:asciiTheme="majorHAnsi" w:hAnsiTheme="majorHAnsi"/>
          <w:color w:val="auto"/>
          <w:sz w:val="20"/>
          <w:szCs w:val="20"/>
        </w:rPr>
        <w:t>was issued in his case</w:t>
      </w:r>
      <w:r w:rsidRPr="00B26051">
        <w:rPr>
          <w:rFonts w:asciiTheme="majorHAnsi" w:hAnsiTheme="majorHAnsi"/>
          <w:color w:val="auto"/>
          <w:sz w:val="20"/>
          <w:szCs w:val="20"/>
        </w:rPr>
        <w:t xml:space="preserve">, </w:t>
      </w:r>
      <w:r w:rsidR="00BF02F9" w:rsidRPr="00B26051">
        <w:rPr>
          <w:rFonts w:asciiTheme="majorHAnsi" w:hAnsiTheme="majorHAnsi"/>
          <w:color w:val="auto"/>
          <w:sz w:val="20"/>
          <w:szCs w:val="20"/>
        </w:rPr>
        <w:t xml:space="preserve">and that after an appeal, he was </w:t>
      </w:r>
      <w:r w:rsidR="003E5138" w:rsidRPr="00B26051">
        <w:rPr>
          <w:rFonts w:asciiTheme="majorHAnsi" w:hAnsiTheme="majorHAnsi"/>
          <w:color w:val="auto"/>
          <w:sz w:val="20"/>
          <w:szCs w:val="20"/>
        </w:rPr>
        <w:t>detained in order to conduct</w:t>
      </w:r>
      <w:r w:rsidR="00BF02F9" w:rsidRPr="00B26051">
        <w:rPr>
          <w:rFonts w:asciiTheme="majorHAnsi" w:hAnsiTheme="majorHAnsi"/>
          <w:color w:val="auto"/>
          <w:sz w:val="20"/>
          <w:szCs w:val="20"/>
        </w:rPr>
        <w:t xml:space="preserve"> psychiatric test</w:t>
      </w:r>
      <w:r w:rsidR="003E5138" w:rsidRPr="00B26051">
        <w:rPr>
          <w:rFonts w:asciiTheme="majorHAnsi" w:hAnsiTheme="majorHAnsi"/>
          <w:color w:val="auto"/>
          <w:sz w:val="20"/>
          <w:szCs w:val="20"/>
        </w:rPr>
        <w:t>ing</w:t>
      </w:r>
      <w:r w:rsidR="00C23B25">
        <w:rPr>
          <w:rFonts w:asciiTheme="majorHAnsi" w:hAnsiTheme="majorHAnsi"/>
          <w:color w:val="auto"/>
          <w:sz w:val="20"/>
          <w:szCs w:val="20"/>
        </w:rPr>
        <w:t>, which was carried out</w:t>
      </w:r>
      <w:r w:rsidR="003E5138" w:rsidRPr="00B26051">
        <w:rPr>
          <w:rFonts w:asciiTheme="majorHAnsi" w:hAnsiTheme="majorHAnsi"/>
          <w:color w:val="auto"/>
          <w:sz w:val="20"/>
          <w:szCs w:val="20"/>
        </w:rPr>
        <w:t xml:space="preserve"> </w:t>
      </w:r>
      <w:r w:rsidR="00BF02F9" w:rsidRPr="00B26051">
        <w:rPr>
          <w:rFonts w:asciiTheme="majorHAnsi" w:hAnsiTheme="majorHAnsi"/>
          <w:color w:val="auto"/>
          <w:sz w:val="20"/>
          <w:szCs w:val="20"/>
        </w:rPr>
        <w:t>on June 29, 2005, the day before the fire.</w:t>
      </w:r>
      <w:r w:rsidR="00BF02F9" w:rsidRPr="00B26051">
        <w:rPr>
          <w:rStyle w:val="FootnoteReference"/>
          <w:rFonts w:asciiTheme="majorHAnsi" w:hAnsiTheme="majorHAnsi"/>
          <w:color w:val="auto"/>
          <w:sz w:val="20"/>
          <w:szCs w:val="20"/>
        </w:rPr>
        <w:t xml:space="preserve"> </w:t>
      </w:r>
      <w:r w:rsidR="00BF02F9" w:rsidRPr="00B26051">
        <w:rPr>
          <w:rStyle w:val="FootnoteReference"/>
          <w:rFonts w:asciiTheme="majorHAnsi" w:hAnsiTheme="majorHAnsi"/>
          <w:color w:val="auto"/>
          <w:sz w:val="20"/>
          <w:szCs w:val="20"/>
        </w:rPr>
        <w:footnoteReference w:id="47"/>
      </w:r>
    </w:p>
    <w:p w14:paraId="0F9143DF" w14:textId="77777777" w:rsidR="00185D58" w:rsidRPr="00B26051" w:rsidRDefault="00185D58" w:rsidP="00185D58">
      <w:pPr>
        <w:pStyle w:val="ListParagraph"/>
        <w:ind w:left="634"/>
        <w:jc w:val="both"/>
        <w:rPr>
          <w:rFonts w:asciiTheme="majorHAnsi" w:hAnsiTheme="majorHAnsi"/>
          <w:color w:val="auto"/>
          <w:sz w:val="20"/>
          <w:szCs w:val="20"/>
        </w:rPr>
      </w:pPr>
      <w:r w:rsidRPr="00B26051">
        <w:rPr>
          <w:rFonts w:asciiTheme="majorHAnsi" w:hAnsiTheme="majorHAnsi"/>
          <w:color w:val="auto"/>
          <w:sz w:val="20"/>
          <w:szCs w:val="20"/>
        </w:rPr>
        <w:t xml:space="preserve"> </w:t>
      </w:r>
    </w:p>
    <w:p w14:paraId="52E57EA1" w14:textId="0EF34EEA" w:rsidR="00185D58" w:rsidRPr="00B26051" w:rsidRDefault="00BF02F9"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 xml:space="preserve">A public defender </w:t>
      </w:r>
      <w:r w:rsidR="003E5138" w:rsidRPr="00B26051">
        <w:rPr>
          <w:rFonts w:asciiTheme="majorHAnsi" w:hAnsiTheme="majorHAnsi"/>
          <w:color w:val="auto"/>
          <w:sz w:val="20"/>
          <w:szCs w:val="20"/>
        </w:rPr>
        <w:t>indicated</w:t>
      </w:r>
      <w:r w:rsidRPr="00B26051">
        <w:rPr>
          <w:rFonts w:asciiTheme="majorHAnsi" w:hAnsiTheme="majorHAnsi"/>
          <w:color w:val="auto"/>
          <w:sz w:val="20"/>
          <w:szCs w:val="20"/>
        </w:rPr>
        <w:t xml:space="preserve"> that this case </w:t>
      </w:r>
      <w:r w:rsidR="003E5138" w:rsidRPr="00B26051">
        <w:rPr>
          <w:rFonts w:asciiTheme="majorHAnsi" w:hAnsiTheme="majorHAnsi"/>
          <w:color w:val="auto"/>
          <w:sz w:val="20"/>
          <w:szCs w:val="20"/>
        </w:rPr>
        <w:t>exemplified</w:t>
      </w:r>
      <w:r w:rsidR="003521CC" w:rsidRPr="00B26051">
        <w:rPr>
          <w:rFonts w:asciiTheme="majorHAnsi" w:hAnsiTheme="majorHAnsi"/>
          <w:color w:val="auto"/>
          <w:sz w:val="20"/>
          <w:szCs w:val="20"/>
        </w:rPr>
        <w:t xml:space="preserve"> </w:t>
      </w:r>
      <w:r w:rsidRPr="00B26051">
        <w:rPr>
          <w:rFonts w:asciiTheme="majorHAnsi" w:hAnsiTheme="majorHAnsi"/>
          <w:color w:val="auto"/>
          <w:sz w:val="20"/>
          <w:szCs w:val="20"/>
        </w:rPr>
        <w:t xml:space="preserve">structural problems of noncompliance with the LOPNA, that is, </w:t>
      </w:r>
      <w:r w:rsidR="00487836" w:rsidRPr="00B26051">
        <w:rPr>
          <w:rFonts w:asciiTheme="majorHAnsi" w:hAnsiTheme="majorHAnsi"/>
          <w:color w:val="auto"/>
          <w:sz w:val="20"/>
          <w:szCs w:val="20"/>
        </w:rPr>
        <w:t>the</w:t>
      </w:r>
      <w:r w:rsidR="003521CC" w:rsidRPr="00B26051">
        <w:rPr>
          <w:rFonts w:asciiTheme="majorHAnsi" w:hAnsiTheme="majorHAnsi"/>
          <w:color w:val="auto"/>
          <w:sz w:val="20"/>
          <w:szCs w:val="20"/>
        </w:rPr>
        <w:t xml:space="preserve"> lack of</w:t>
      </w:r>
      <w:r w:rsidRPr="00B26051">
        <w:rPr>
          <w:rFonts w:asciiTheme="majorHAnsi" w:hAnsiTheme="majorHAnsi"/>
          <w:color w:val="auto"/>
          <w:sz w:val="20"/>
          <w:szCs w:val="20"/>
        </w:rPr>
        <w:t xml:space="preserve"> specialized </w:t>
      </w:r>
      <w:r w:rsidR="003521CC" w:rsidRPr="00B26051">
        <w:rPr>
          <w:rFonts w:asciiTheme="majorHAnsi" w:hAnsiTheme="majorHAnsi"/>
          <w:color w:val="auto"/>
          <w:sz w:val="20"/>
          <w:szCs w:val="20"/>
        </w:rPr>
        <w:t xml:space="preserve">children’s </w:t>
      </w:r>
      <w:r w:rsidRPr="00B26051">
        <w:rPr>
          <w:rFonts w:asciiTheme="majorHAnsi" w:hAnsiTheme="majorHAnsi"/>
          <w:color w:val="auto"/>
          <w:sz w:val="20"/>
          <w:szCs w:val="20"/>
        </w:rPr>
        <w:t>courts and that Bolívar state</w:t>
      </w:r>
      <w:r w:rsidR="00487836" w:rsidRPr="00B26051">
        <w:rPr>
          <w:rFonts w:asciiTheme="majorHAnsi" w:hAnsiTheme="majorHAnsi"/>
          <w:color w:val="auto"/>
          <w:sz w:val="20"/>
          <w:szCs w:val="20"/>
        </w:rPr>
        <w:t>’s appeals court</w:t>
      </w:r>
      <w:r w:rsidRPr="00B26051">
        <w:rPr>
          <w:rFonts w:asciiTheme="majorHAnsi" w:hAnsiTheme="majorHAnsi"/>
          <w:color w:val="auto"/>
          <w:sz w:val="20"/>
          <w:szCs w:val="20"/>
        </w:rPr>
        <w:t xml:space="preserve"> </w:t>
      </w:r>
      <w:r w:rsidR="00487836" w:rsidRPr="00B26051">
        <w:rPr>
          <w:rFonts w:asciiTheme="majorHAnsi" w:hAnsiTheme="majorHAnsi"/>
          <w:color w:val="auto"/>
          <w:sz w:val="20"/>
          <w:szCs w:val="20"/>
        </w:rPr>
        <w:t>decisions</w:t>
      </w:r>
      <w:r w:rsidR="003E5138" w:rsidRPr="00B26051">
        <w:rPr>
          <w:rFonts w:asciiTheme="majorHAnsi" w:hAnsiTheme="majorHAnsi"/>
          <w:color w:val="auto"/>
          <w:sz w:val="20"/>
          <w:szCs w:val="20"/>
        </w:rPr>
        <w:t xml:space="preserve"> failed to comply with the law</w:t>
      </w:r>
      <w:r w:rsidR="003521CC" w:rsidRPr="00B26051">
        <w:rPr>
          <w:rFonts w:asciiTheme="majorHAnsi" w:hAnsiTheme="majorHAnsi"/>
          <w:color w:val="auto"/>
          <w:sz w:val="20"/>
          <w:szCs w:val="20"/>
        </w:rPr>
        <w:t>, such as the</w:t>
      </w:r>
      <w:r w:rsidRPr="00B26051">
        <w:rPr>
          <w:rFonts w:asciiTheme="majorHAnsi" w:hAnsiTheme="majorHAnsi"/>
          <w:color w:val="auto"/>
          <w:sz w:val="20"/>
          <w:szCs w:val="20"/>
        </w:rPr>
        <w:t xml:space="preserve"> arres</w:t>
      </w:r>
      <w:r w:rsidR="003521CC" w:rsidRPr="00B26051">
        <w:rPr>
          <w:rFonts w:asciiTheme="majorHAnsi" w:hAnsiTheme="majorHAnsi"/>
          <w:color w:val="auto"/>
          <w:sz w:val="20"/>
          <w:szCs w:val="20"/>
        </w:rPr>
        <w:t>t warrant</w:t>
      </w:r>
      <w:r w:rsidRPr="00B26051">
        <w:rPr>
          <w:rFonts w:asciiTheme="majorHAnsi" w:hAnsiTheme="majorHAnsi"/>
          <w:color w:val="auto"/>
          <w:sz w:val="20"/>
          <w:szCs w:val="20"/>
        </w:rPr>
        <w:t xml:space="preserve"> </w:t>
      </w:r>
      <w:r w:rsidR="003521CC" w:rsidRPr="00B26051">
        <w:rPr>
          <w:rFonts w:asciiTheme="majorHAnsi" w:hAnsiTheme="majorHAnsi"/>
          <w:color w:val="auto"/>
          <w:sz w:val="20"/>
          <w:szCs w:val="20"/>
        </w:rPr>
        <w:t>to return Mota to</w:t>
      </w:r>
      <w:r w:rsidRPr="00B26051">
        <w:rPr>
          <w:rFonts w:asciiTheme="majorHAnsi" w:hAnsiTheme="majorHAnsi"/>
          <w:color w:val="auto"/>
          <w:sz w:val="20"/>
          <w:szCs w:val="20"/>
        </w:rPr>
        <w:t xml:space="preserve"> </w:t>
      </w:r>
      <w:r w:rsidR="003E5138" w:rsidRPr="00B26051">
        <w:rPr>
          <w:rFonts w:asciiTheme="majorHAnsi" w:hAnsiTheme="majorHAnsi"/>
          <w:color w:val="auto"/>
          <w:sz w:val="20"/>
          <w:szCs w:val="20"/>
        </w:rPr>
        <w:t xml:space="preserve">the </w:t>
      </w:r>
      <w:r w:rsidRPr="00B26051">
        <w:rPr>
          <w:rFonts w:asciiTheme="majorHAnsi" w:hAnsiTheme="majorHAnsi"/>
          <w:color w:val="auto"/>
          <w:sz w:val="20"/>
          <w:szCs w:val="20"/>
        </w:rPr>
        <w:t>INAM-San Félix.</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48"/>
      </w:r>
      <w:r w:rsidRPr="00B26051">
        <w:rPr>
          <w:rFonts w:asciiTheme="majorHAnsi" w:hAnsiTheme="majorHAnsi"/>
          <w:color w:val="auto"/>
          <w:sz w:val="20"/>
          <w:szCs w:val="20"/>
        </w:rPr>
        <w:t xml:space="preserve"> The person in charge </w:t>
      </w:r>
      <w:r w:rsidR="00487836" w:rsidRPr="00B26051">
        <w:rPr>
          <w:rFonts w:asciiTheme="majorHAnsi" w:hAnsiTheme="majorHAnsi"/>
          <w:color w:val="auto"/>
          <w:sz w:val="20"/>
          <w:szCs w:val="20"/>
        </w:rPr>
        <w:t xml:space="preserve">of the Center </w:t>
      </w:r>
      <w:r w:rsidR="003E5138" w:rsidRPr="00B26051">
        <w:rPr>
          <w:rFonts w:asciiTheme="majorHAnsi" w:hAnsiTheme="majorHAnsi"/>
          <w:color w:val="auto"/>
          <w:sz w:val="20"/>
          <w:szCs w:val="20"/>
        </w:rPr>
        <w:t>after the event</w:t>
      </w:r>
      <w:r w:rsidRPr="00B26051">
        <w:rPr>
          <w:rFonts w:asciiTheme="majorHAnsi" w:hAnsiTheme="majorHAnsi"/>
          <w:color w:val="auto"/>
          <w:sz w:val="20"/>
          <w:szCs w:val="20"/>
        </w:rPr>
        <w:t xml:space="preserve"> maintained that the structural probl</w:t>
      </w:r>
      <w:r w:rsidR="003521CC" w:rsidRPr="00B26051">
        <w:rPr>
          <w:rFonts w:asciiTheme="majorHAnsi" w:hAnsiTheme="majorHAnsi"/>
          <w:color w:val="auto"/>
          <w:sz w:val="20"/>
          <w:szCs w:val="20"/>
        </w:rPr>
        <w:t>ems also have external causes such as</w:t>
      </w:r>
      <w:r w:rsidR="003E5138" w:rsidRPr="00B26051">
        <w:rPr>
          <w:rFonts w:asciiTheme="majorHAnsi" w:hAnsiTheme="majorHAnsi"/>
          <w:color w:val="auto"/>
          <w:sz w:val="20"/>
          <w:szCs w:val="20"/>
        </w:rPr>
        <w:t xml:space="preserve"> "the</w:t>
      </w:r>
      <w:r w:rsidR="00487836" w:rsidRPr="00B26051">
        <w:rPr>
          <w:rFonts w:asciiTheme="majorHAnsi" w:hAnsiTheme="majorHAnsi"/>
          <w:color w:val="auto"/>
          <w:sz w:val="20"/>
          <w:szCs w:val="20"/>
        </w:rPr>
        <w:t xml:space="preserve"> judge</w:t>
      </w:r>
      <w:r w:rsidR="003521CC" w:rsidRPr="00B26051">
        <w:rPr>
          <w:rFonts w:asciiTheme="majorHAnsi" w:hAnsiTheme="majorHAnsi"/>
          <w:color w:val="auto"/>
          <w:sz w:val="20"/>
          <w:szCs w:val="20"/>
        </w:rPr>
        <w:t xml:space="preserve">s </w:t>
      </w:r>
      <w:r w:rsidR="003E5138" w:rsidRPr="00B26051">
        <w:rPr>
          <w:rFonts w:asciiTheme="majorHAnsi" w:hAnsiTheme="majorHAnsi"/>
          <w:color w:val="auto"/>
          <w:sz w:val="20"/>
          <w:szCs w:val="20"/>
        </w:rPr>
        <w:t xml:space="preserve">in charge of minors </w:t>
      </w:r>
      <w:r w:rsidR="003521CC" w:rsidRPr="00B26051">
        <w:rPr>
          <w:rFonts w:asciiTheme="majorHAnsi" w:hAnsiTheme="majorHAnsi"/>
          <w:color w:val="auto"/>
          <w:sz w:val="20"/>
          <w:szCs w:val="20"/>
        </w:rPr>
        <w:t>and budgetary deficiencies.</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footnoteReference w:id="49"/>
      </w:r>
    </w:p>
    <w:p w14:paraId="4937D54F" w14:textId="77777777" w:rsidR="00185D58" w:rsidRPr="00B26051" w:rsidRDefault="00185D58" w:rsidP="00185D58">
      <w:pPr>
        <w:jc w:val="both"/>
        <w:rPr>
          <w:rFonts w:asciiTheme="majorHAnsi" w:hAnsiTheme="majorHAnsi"/>
          <w:sz w:val="20"/>
          <w:szCs w:val="20"/>
        </w:rPr>
      </w:pPr>
    </w:p>
    <w:p w14:paraId="7DFF03F9" w14:textId="72F91481" w:rsidR="00185D58" w:rsidRPr="00B26051" w:rsidRDefault="00B4099E"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 xml:space="preserve">The Commission observes that there are several references in the </w:t>
      </w:r>
      <w:r w:rsidR="00487836" w:rsidRPr="00B26051">
        <w:rPr>
          <w:rFonts w:asciiTheme="majorHAnsi" w:hAnsiTheme="majorHAnsi"/>
          <w:color w:val="auto"/>
          <w:sz w:val="20"/>
          <w:szCs w:val="20"/>
        </w:rPr>
        <w:t xml:space="preserve">case </w:t>
      </w:r>
      <w:r w:rsidRPr="00B26051">
        <w:rPr>
          <w:rFonts w:asciiTheme="majorHAnsi" w:hAnsiTheme="majorHAnsi"/>
          <w:color w:val="auto"/>
          <w:sz w:val="20"/>
          <w:szCs w:val="20"/>
        </w:rPr>
        <w:t xml:space="preserve">file that the events </w:t>
      </w:r>
      <w:r w:rsidR="00C23B25">
        <w:rPr>
          <w:rFonts w:asciiTheme="majorHAnsi" w:hAnsiTheme="majorHAnsi"/>
          <w:color w:val="auto"/>
          <w:sz w:val="20"/>
          <w:szCs w:val="20"/>
        </w:rPr>
        <w:t>could have been</w:t>
      </w:r>
      <w:r w:rsidRPr="00B26051">
        <w:rPr>
          <w:rFonts w:asciiTheme="majorHAnsi" w:hAnsiTheme="majorHAnsi"/>
          <w:color w:val="auto"/>
          <w:sz w:val="20"/>
          <w:szCs w:val="20"/>
        </w:rPr>
        <w:t xml:space="preserve"> a reprisal for </w:t>
      </w:r>
      <w:r w:rsidR="00487836" w:rsidRPr="00B26051">
        <w:rPr>
          <w:rFonts w:asciiTheme="majorHAnsi" w:hAnsiTheme="majorHAnsi"/>
          <w:color w:val="auto"/>
          <w:sz w:val="20"/>
          <w:szCs w:val="20"/>
        </w:rPr>
        <w:t>complaints mad</w:t>
      </w:r>
      <w:r w:rsidR="003E5138" w:rsidRPr="00B26051">
        <w:rPr>
          <w:rFonts w:asciiTheme="majorHAnsi" w:hAnsiTheme="majorHAnsi"/>
          <w:color w:val="auto"/>
          <w:sz w:val="20"/>
          <w:szCs w:val="20"/>
        </w:rPr>
        <w:t>e previously by the young inmates</w:t>
      </w:r>
      <w:r w:rsidRPr="00B26051">
        <w:rPr>
          <w:rFonts w:asciiTheme="majorHAnsi" w:hAnsiTheme="majorHAnsi"/>
          <w:color w:val="auto"/>
          <w:sz w:val="20"/>
          <w:szCs w:val="20"/>
        </w:rPr>
        <w:t>.</w:t>
      </w:r>
      <w:r w:rsidR="00C23B25">
        <w:rPr>
          <w:rFonts w:asciiTheme="majorHAnsi" w:hAnsiTheme="majorHAnsi"/>
          <w:color w:val="auto"/>
          <w:sz w:val="20"/>
          <w:szCs w:val="20"/>
        </w:rPr>
        <w:t xml:space="preserve"> A</w:t>
      </w:r>
      <w:r w:rsidRPr="00B26051">
        <w:rPr>
          <w:rFonts w:asciiTheme="majorHAnsi" w:hAnsiTheme="majorHAnsi"/>
          <w:color w:val="auto"/>
          <w:sz w:val="20"/>
          <w:szCs w:val="20"/>
        </w:rPr>
        <w:t xml:space="preserve"> judge stated that they called </w:t>
      </w:r>
      <w:r w:rsidR="003E5138" w:rsidRPr="00B26051">
        <w:rPr>
          <w:rFonts w:asciiTheme="majorHAnsi" w:hAnsiTheme="majorHAnsi"/>
          <w:color w:val="auto"/>
          <w:sz w:val="20"/>
          <w:szCs w:val="20"/>
        </w:rPr>
        <w:t xml:space="preserve">her from </w:t>
      </w:r>
      <w:r w:rsidRPr="00B26051">
        <w:rPr>
          <w:rFonts w:asciiTheme="majorHAnsi" w:hAnsiTheme="majorHAnsi"/>
          <w:color w:val="auto"/>
          <w:sz w:val="20"/>
          <w:szCs w:val="20"/>
        </w:rPr>
        <w:t xml:space="preserve">INAM-San </w:t>
      </w:r>
      <w:r w:rsidR="002033A9" w:rsidRPr="00B26051">
        <w:rPr>
          <w:rFonts w:asciiTheme="majorHAnsi" w:hAnsiTheme="majorHAnsi"/>
          <w:color w:val="auto"/>
          <w:sz w:val="20"/>
          <w:szCs w:val="20"/>
        </w:rPr>
        <w:t>Félix</w:t>
      </w:r>
      <w:r w:rsidRPr="00B26051">
        <w:rPr>
          <w:rFonts w:asciiTheme="majorHAnsi" w:hAnsiTheme="majorHAnsi"/>
          <w:color w:val="auto"/>
          <w:sz w:val="20"/>
          <w:szCs w:val="20"/>
        </w:rPr>
        <w:t xml:space="preserve"> on June 23, 2005</w:t>
      </w:r>
      <w:r w:rsidR="003E5138" w:rsidRPr="00B26051">
        <w:rPr>
          <w:rFonts w:asciiTheme="majorHAnsi" w:hAnsiTheme="majorHAnsi"/>
          <w:color w:val="auto"/>
          <w:sz w:val="20"/>
          <w:szCs w:val="20"/>
        </w:rPr>
        <w:t>,</w:t>
      </w:r>
      <w:r w:rsidRPr="00B26051">
        <w:rPr>
          <w:rFonts w:asciiTheme="majorHAnsi" w:hAnsiTheme="majorHAnsi"/>
          <w:color w:val="auto"/>
          <w:sz w:val="20"/>
          <w:szCs w:val="20"/>
        </w:rPr>
        <w:t xml:space="preserve"> because "Zabala, Correa, Herrera and Lira" insisted on </w:t>
      </w:r>
      <w:r w:rsidR="003E5138" w:rsidRPr="00B26051">
        <w:rPr>
          <w:rFonts w:asciiTheme="majorHAnsi" w:hAnsiTheme="majorHAnsi"/>
          <w:color w:val="auto"/>
          <w:sz w:val="20"/>
          <w:szCs w:val="20"/>
        </w:rPr>
        <w:t>speaking</w:t>
      </w:r>
      <w:r w:rsidRPr="00B26051">
        <w:rPr>
          <w:rFonts w:asciiTheme="majorHAnsi" w:hAnsiTheme="majorHAnsi"/>
          <w:color w:val="auto"/>
          <w:sz w:val="20"/>
          <w:szCs w:val="20"/>
        </w:rPr>
        <w:t xml:space="preserve"> to her. She indicated that the youths </w:t>
      </w:r>
      <w:r w:rsidR="004218F4" w:rsidRPr="00B26051">
        <w:rPr>
          <w:rFonts w:asciiTheme="majorHAnsi" w:hAnsiTheme="majorHAnsi"/>
          <w:color w:val="auto"/>
          <w:sz w:val="20"/>
          <w:szCs w:val="20"/>
        </w:rPr>
        <w:t>complained</w:t>
      </w:r>
      <w:r w:rsidRPr="00B26051">
        <w:rPr>
          <w:rFonts w:asciiTheme="majorHAnsi" w:hAnsiTheme="majorHAnsi"/>
          <w:color w:val="auto"/>
          <w:sz w:val="20"/>
          <w:szCs w:val="20"/>
        </w:rPr>
        <w:t xml:space="preserve"> to her "that there were [legal] representatives wh</w:t>
      </w:r>
      <w:r w:rsidR="004218F4" w:rsidRPr="00B26051">
        <w:rPr>
          <w:rFonts w:asciiTheme="majorHAnsi" w:hAnsiTheme="majorHAnsi"/>
          <w:color w:val="auto"/>
          <w:sz w:val="20"/>
          <w:szCs w:val="20"/>
        </w:rPr>
        <w:t>o, on Fridays [...] or Saturday evenings</w:t>
      </w:r>
      <w:r w:rsidRPr="00B26051">
        <w:rPr>
          <w:rFonts w:asciiTheme="majorHAnsi" w:hAnsiTheme="majorHAnsi"/>
          <w:color w:val="auto"/>
          <w:sz w:val="20"/>
          <w:szCs w:val="20"/>
        </w:rPr>
        <w:t xml:space="preserve">, partied with the </w:t>
      </w:r>
      <w:r w:rsidR="004218F4" w:rsidRPr="00B26051">
        <w:rPr>
          <w:rFonts w:asciiTheme="majorHAnsi" w:hAnsiTheme="majorHAnsi"/>
          <w:color w:val="auto"/>
          <w:sz w:val="20"/>
          <w:szCs w:val="20"/>
        </w:rPr>
        <w:t xml:space="preserve">duty </w:t>
      </w:r>
      <w:r w:rsidRPr="00B26051">
        <w:rPr>
          <w:rFonts w:asciiTheme="majorHAnsi" w:hAnsiTheme="majorHAnsi"/>
          <w:color w:val="auto"/>
          <w:sz w:val="20"/>
          <w:szCs w:val="20"/>
        </w:rPr>
        <w:t>teacher and then those parents too</w:t>
      </w:r>
      <w:r w:rsidR="004218F4" w:rsidRPr="00B26051">
        <w:rPr>
          <w:rFonts w:asciiTheme="majorHAnsi" w:hAnsiTheme="majorHAnsi"/>
          <w:color w:val="auto"/>
          <w:sz w:val="20"/>
          <w:szCs w:val="20"/>
        </w:rPr>
        <w:t>k their children to their homes.</w:t>
      </w:r>
      <w:r w:rsidRPr="00B26051">
        <w:rPr>
          <w:rFonts w:asciiTheme="majorHAnsi" w:hAnsiTheme="majorHAnsi"/>
          <w:color w:val="auto"/>
          <w:sz w:val="20"/>
          <w:szCs w:val="20"/>
        </w:rPr>
        <w:t xml:space="preserve"> On one occasion, one of the inmates was even t</w:t>
      </w:r>
      <w:r w:rsidR="003E5138" w:rsidRPr="00B26051">
        <w:rPr>
          <w:rFonts w:asciiTheme="majorHAnsi" w:hAnsiTheme="majorHAnsi"/>
          <w:color w:val="auto"/>
          <w:sz w:val="20"/>
          <w:szCs w:val="20"/>
        </w:rPr>
        <w:t>aken some bottles of alcohol</w:t>
      </w:r>
      <w:r w:rsidRPr="00B26051">
        <w:rPr>
          <w:rFonts w:asciiTheme="majorHAnsi" w:hAnsiTheme="majorHAnsi"/>
          <w:color w:val="auto"/>
          <w:sz w:val="20"/>
          <w:szCs w:val="20"/>
        </w:rPr>
        <w:t>, [.</w:t>
      </w:r>
      <w:r w:rsidR="004218F4" w:rsidRPr="00B26051">
        <w:rPr>
          <w:rFonts w:asciiTheme="majorHAnsi" w:hAnsiTheme="majorHAnsi"/>
          <w:color w:val="auto"/>
          <w:sz w:val="20"/>
          <w:szCs w:val="20"/>
        </w:rPr>
        <w:t>..] [and] that once the warden</w:t>
      </w:r>
      <w:r w:rsidR="003E5138" w:rsidRPr="00B26051">
        <w:rPr>
          <w:rFonts w:asciiTheme="majorHAnsi" w:hAnsiTheme="majorHAnsi"/>
          <w:color w:val="auto"/>
          <w:sz w:val="20"/>
          <w:szCs w:val="20"/>
        </w:rPr>
        <w:t xml:space="preserve"> arrived drunk</w:t>
      </w:r>
      <w:r w:rsidRPr="00B26051">
        <w:rPr>
          <w:rFonts w:asciiTheme="majorHAnsi" w:hAnsiTheme="majorHAnsi"/>
          <w:color w:val="auto"/>
          <w:sz w:val="20"/>
          <w:szCs w:val="20"/>
        </w:rPr>
        <w:t xml:space="preserve"> to carry out a searc</w:t>
      </w:r>
      <w:r w:rsidR="004218F4" w:rsidRPr="00B26051">
        <w:rPr>
          <w:rFonts w:asciiTheme="majorHAnsi" w:hAnsiTheme="majorHAnsi"/>
          <w:color w:val="auto"/>
          <w:sz w:val="20"/>
          <w:szCs w:val="20"/>
        </w:rPr>
        <w:t>h with people the</w:t>
      </w:r>
      <w:r w:rsidR="00C23B25">
        <w:rPr>
          <w:rFonts w:asciiTheme="majorHAnsi" w:hAnsiTheme="majorHAnsi"/>
          <w:color w:val="auto"/>
          <w:sz w:val="20"/>
          <w:szCs w:val="20"/>
        </w:rPr>
        <w:t xml:space="preserve"> inmates</w:t>
      </w:r>
      <w:r w:rsidR="004218F4" w:rsidRPr="00B26051">
        <w:rPr>
          <w:rFonts w:asciiTheme="majorHAnsi" w:hAnsiTheme="majorHAnsi"/>
          <w:color w:val="auto"/>
          <w:sz w:val="20"/>
          <w:szCs w:val="20"/>
        </w:rPr>
        <w:t xml:space="preserve"> did not know</w:t>
      </w:r>
      <w:r w:rsidR="00C23B25">
        <w:rPr>
          <w:rFonts w:asciiTheme="majorHAnsi" w:hAnsiTheme="majorHAnsi"/>
          <w:color w:val="auto"/>
          <w:sz w:val="20"/>
          <w:szCs w:val="20"/>
        </w:rPr>
        <w:t xml:space="preserve">." </w:t>
      </w:r>
      <w:r w:rsidRPr="00B26051">
        <w:rPr>
          <w:rFonts w:asciiTheme="majorHAnsi" w:hAnsiTheme="majorHAnsi"/>
          <w:color w:val="auto"/>
          <w:sz w:val="20"/>
          <w:szCs w:val="20"/>
        </w:rPr>
        <w:t xml:space="preserve">They </w:t>
      </w:r>
      <w:r w:rsidR="004218F4" w:rsidRPr="00B26051">
        <w:rPr>
          <w:rFonts w:asciiTheme="majorHAnsi" w:hAnsiTheme="majorHAnsi"/>
          <w:color w:val="auto"/>
          <w:sz w:val="20"/>
          <w:szCs w:val="20"/>
        </w:rPr>
        <w:t>also complained about</w:t>
      </w:r>
      <w:r w:rsidRPr="00B26051">
        <w:rPr>
          <w:rFonts w:asciiTheme="majorHAnsi" w:hAnsiTheme="majorHAnsi"/>
          <w:color w:val="auto"/>
          <w:sz w:val="20"/>
          <w:szCs w:val="20"/>
        </w:rPr>
        <w:t xml:space="preserve"> the practice of </w:t>
      </w:r>
      <w:r w:rsidR="004218F4" w:rsidRPr="00B26051">
        <w:rPr>
          <w:rFonts w:asciiTheme="majorHAnsi" w:hAnsiTheme="majorHAnsi"/>
          <w:color w:val="auto"/>
          <w:sz w:val="20"/>
          <w:szCs w:val="20"/>
        </w:rPr>
        <w:t>granting</w:t>
      </w:r>
      <w:r w:rsidRPr="00B26051">
        <w:rPr>
          <w:rFonts w:asciiTheme="majorHAnsi" w:hAnsiTheme="majorHAnsi"/>
          <w:color w:val="auto"/>
          <w:sz w:val="20"/>
          <w:szCs w:val="20"/>
        </w:rPr>
        <w:t xml:space="preserve"> early </w:t>
      </w:r>
      <w:r w:rsidR="004218F4" w:rsidRPr="00B26051">
        <w:rPr>
          <w:rFonts w:asciiTheme="majorHAnsi" w:hAnsiTheme="majorHAnsi"/>
          <w:color w:val="auto"/>
          <w:sz w:val="20"/>
          <w:szCs w:val="20"/>
        </w:rPr>
        <w:t>release</w:t>
      </w:r>
      <w:r w:rsidRPr="00B26051">
        <w:rPr>
          <w:rFonts w:asciiTheme="majorHAnsi" w:hAnsiTheme="majorHAnsi"/>
          <w:color w:val="auto"/>
          <w:sz w:val="20"/>
          <w:szCs w:val="20"/>
        </w:rPr>
        <w:t xml:space="preserve"> to inmates in exchange for payments to teachers.</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50"/>
      </w:r>
      <w:r w:rsidRPr="00B26051">
        <w:rPr>
          <w:rFonts w:asciiTheme="majorHAnsi" w:hAnsiTheme="majorHAnsi"/>
          <w:color w:val="auto"/>
          <w:sz w:val="20"/>
          <w:szCs w:val="20"/>
        </w:rPr>
        <w:t xml:space="preserve"> The judge stated that she and her team were investigating when the events took place eight days later.</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51"/>
      </w:r>
    </w:p>
    <w:p w14:paraId="3B486437" w14:textId="77777777" w:rsidR="00185D58" w:rsidRPr="00B26051" w:rsidRDefault="00185D58" w:rsidP="00185D58">
      <w:pPr>
        <w:jc w:val="both"/>
        <w:rPr>
          <w:rFonts w:asciiTheme="majorHAnsi" w:hAnsiTheme="majorHAnsi"/>
          <w:sz w:val="20"/>
          <w:szCs w:val="20"/>
        </w:rPr>
      </w:pPr>
    </w:p>
    <w:p w14:paraId="63395617" w14:textId="7B2E2133" w:rsidR="00185D58" w:rsidRPr="00B26051" w:rsidRDefault="00925E9A"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 xml:space="preserve">The relatives </w:t>
      </w:r>
      <w:r w:rsidR="003E5138" w:rsidRPr="00B26051">
        <w:rPr>
          <w:rFonts w:asciiTheme="majorHAnsi" w:hAnsiTheme="majorHAnsi"/>
          <w:color w:val="auto"/>
          <w:sz w:val="20"/>
          <w:szCs w:val="20"/>
        </w:rPr>
        <w:t>complained</w:t>
      </w:r>
      <w:r w:rsidRPr="00B26051">
        <w:rPr>
          <w:rFonts w:asciiTheme="majorHAnsi" w:hAnsiTheme="majorHAnsi"/>
          <w:color w:val="auto"/>
          <w:sz w:val="20"/>
          <w:szCs w:val="20"/>
        </w:rPr>
        <w:t xml:space="preserve"> to the authorities and to the media that the death of the youths </w:t>
      </w:r>
      <w:r w:rsidR="004218F4" w:rsidRPr="00B26051">
        <w:rPr>
          <w:rFonts w:asciiTheme="majorHAnsi" w:hAnsiTheme="majorHAnsi"/>
          <w:color w:val="auto"/>
          <w:sz w:val="20"/>
          <w:szCs w:val="20"/>
        </w:rPr>
        <w:t>had</w:t>
      </w:r>
      <w:r w:rsidRPr="00B26051">
        <w:rPr>
          <w:rFonts w:asciiTheme="majorHAnsi" w:hAnsiTheme="majorHAnsi"/>
          <w:color w:val="auto"/>
          <w:sz w:val="20"/>
          <w:szCs w:val="20"/>
        </w:rPr>
        <w:t xml:space="preserve"> been a reprisal </w:t>
      </w:r>
      <w:r w:rsidR="003E5138" w:rsidRPr="00B26051">
        <w:rPr>
          <w:rFonts w:asciiTheme="majorHAnsi" w:hAnsiTheme="majorHAnsi"/>
          <w:color w:val="auto"/>
          <w:sz w:val="20"/>
          <w:szCs w:val="20"/>
        </w:rPr>
        <w:t>on account of these</w:t>
      </w:r>
      <w:r w:rsidRPr="00B26051">
        <w:rPr>
          <w:rFonts w:asciiTheme="majorHAnsi" w:hAnsiTheme="majorHAnsi"/>
          <w:color w:val="auto"/>
          <w:sz w:val="20"/>
          <w:szCs w:val="20"/>
        </w:rPr>
        <w:t xml:space="preserve"> complaints,</w:t>
      </w:r>
      <w:r w:rsidRPr="00B26051">
        <w:rPr>
          <w:rStyle w:val="FootnoteReference"/>
          <w:rFonts w:asciiTheme="majorHAnsi" w:hAnsiTheme="majorHAnsi"/>
          <w:color w:val="auto"/>
          <w:sz w:val="20"/>
          <w:szCs w:val="20"/>
        </w:rPr>
        <w:footnoteReference w:id="52"/>
      </w:r>
      <w:r w:rsidRPr="00B26051">
        <w:rPr>
          <w:rFonts w:asciiTheme="majorHAnsi" w:hAnsiTheme="majorHAnsi"/>
          <w:color w:val="auto"/>
          <w:sz w:val="20"/>
          <w:szCs w:val="20"/>
        </w:rPr>
        <w:t xml:space="preserve"> even claiming that the fire was a </w:t>
      </w:r>
      <w:r w:rsidR="003E5138" w:rsidRPr="00B26051">
        <w:rPr>
          <w:rFonts w:asciiTheme="majorHAnsi" w:hAnsiTheme="majorHAnsi"/>
          <w:color w:val="auto"/>
          <w:sz w:val="20"/>
          <w:szCs w:val="20"/>
        </w:rPr>
        <w:t xml:space="preserve">result of a </w:t>
      </w:r>
      <w:r w:rsidR="004218F4" w:rsidRPr="00B26051">
        <w:rPr>
          <w:rFonts w:asciiTheme="majorHAnsi" w:hAnsiTheme="majorHAnsi"/>
          <w:color w:val="auto"/>
          <w:sz w:val="20"/>
          <w:szCs w:val="20"/>
        </w:rPr>
        <w:t>plan</w:t>
      </w:r>
      <w:r w:rsidRPr="00B26051">
        <w:rPr>
          <w:rFonts w:asciiTheme="majorHAnsi" w:hAnsiTheme="majorHAnsi"/>
          <w:color w:val="auto"/>
          <w:sz w:val="20"/>
          <w:szCs w:val="20"/>
        </w:rPr>
        <w:t xml:space="preserve"> </w:t>
      </w:r>
      <w:r w:rsidR="009E703D" w:rsidRPr="00B26051">
        <w:rPr>
          <w:rFonts w:asciiTheme="majorHAnsi" w:hAnsiTheme="majorHAnsi"/>
          <w:color w:val="auto"/>
          <w:sz w:val="20"/>
          <w:szCs w:val="20"/>
        </w:rPr>
        <w:t>previously agreed by</w:t>
      </w:r>
      <w:r w:rsidRPr="00B26051">
        <w:rPr>
          <w:rFonts w:asciiTheme="majorHAnsi" w:hAnsiTheme="majorHAnsi"/>
          <w:color w:val="auto"/>
          <w:sz w:val="20"/>
          <w:szCs w:val="20"/>
        </w:rPr>
        <w:t xml:space="preserve"> the staff of the Center.</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53"/>
      </w:r>
      <w:r w:rsidRPr="00B26051">
        <w:rPr>
          <w:rFonts w:asciiTheme="majorHAnsi" w:hAnsiTheme="majorHAnsi"/>
          <w:color w:val="auto"/>
          <w:sz w:val="20"/>
          <w:szCs w:val="20"/>
        </w:rPr>
        <w:t xml:space="preserve"> A</w:t>
      </w:r>
      <w:r w:rsidR="009E703D" w:rsidRPr="00B26051">
        <w:rPr>
          <w:rFonts w:asciiTheme="majorHAnsi" w:hAnsiTheme="majorHAnsi"/>
          <w:color w:val="auto"/>
          <w:sz w:val="20"/>
          <w:szCs w:val="20"/>
        </w:rPr>
        <w:t xml:space="preserve">ccording to a press </w:t>
      </w:r>
      <w:r w:rsidR="00C23B25">
        <w:rPr>
          <w:rFonts w:asciiTheme="majorHAnsi" w:hAnsiTheme="majorHAnsi"/>
          <w:color w:val="auto"/>
          <w:sz w:val="20"/>
          <w:szCs w:val="20"/>
        </w:rPr>
        <w:t>report,</w:t>
      </w:r>
      <w:r w:rsidR="009E703D" w:rsidRPr="00B26051">
        <w:rPr>
          <w:rFonts w:asciiTheme="majorHAnsi" w:hAnsiTheme="majorHAnsi"/>
          <w:color w:val="auto"/>
          <w:sz w:val="20"/>
          <w:szCs w:val="20"/>
        </w:rPr>
        <w:t xml:space="preserve"> they argued that "</w:t>
      </w:r>
      <w:r w:rsidRPr="00B26051">
        <w:rPr>
          <w:rFonts w:asciiTheme="majorHAnsi" w:hAnsiTheme="majorHAnsi"/>
          <w:color w:val="auto"/>
          <w:sz w:val="20"/>
          <w:szCs w:val="20"/>
        </w:rPr>
        <w:t xml:space="preserve">they did everything </w:t>
      </w:r>
      <w:r w:rsidR="004218F4" w:rsidRPr="00B26051">
        <w:rPr>
          <w:rFonts w:asciiTheme="majorHAnsi" w:hAnsiTheme="majorHAnsi"/>
          <w:color w:val="auto"/>
          <w:sz w:val="20"/>
          <w:szCs w:val="20"/>
        </w:rPr>
        <w:t>so that</w:t>
      </w:r>
      <w:r w:rsidRPr="00B26051">
        <w:rPr>
          <w:rFonts w:asciiTheme="majorHAnsi" w:hAnsiTheme="majorHAnsi"/>
          <w:color w:val="auto"/>
          <w:sz w:val="20"/>
          <w:szCs w:val="20"/>
        </w:rPr>
        <w:t xml:space="preserve"> the boys </w:t>
      </w:r>
      <w:r w:rsidR="004218F4" w:rsidRPr="00B26051">
        <w:rPr>
          <w:rFonts w:asciiTheme="majorHAnsi" w:hAnsiTheme="majorHAnsi"/>
          <w:color w:val="auto"/>
          <w:sz w:val="20"/>
          <w:szCs w:val="20"/>
        </w:rPr>
        <w:t>would</w:t>
      </w:r>
      <w:r w:rsidRPr="00B26051">
        <w:rPr>
          <w:rFonts w:asciiTheme="majorHAnsi" w:hAnsiTheme="majorHAnsi"/>
          <w:color w:val="auto"/>
          <w:sz w:val="20"/>
          <w:szCs w:val="20"/>
        </w:rPr>
        <w:t xml:space="preserve"> die, because they </w:t>
      </w:r>
      <w:r w:rsidR="004218F4" w:rsidRPr="00B26051">
        <w:rPr>
          <w:rFonts w:asciiTheme="majorHAnsi" w:hAnsiTheme="majorHAnsi"/>
          <w:color w:val="auto"/>
          <w:sz w:val="20"/>
          <w:szCs w:val="20"/>
        </w:rPr>
        <w:t>complained</w:t>
      </w:r>
      <w:r w:rsidRPr="00B26051">
        <w:rPr>
          <w:rFonts w:asciiTheme="majorHAnsi" w:hAnsiTheme="majorHAnsi"/>
          <w:color w:val="auto"/>
          <w:sz w:val="20"/>
          <w:szCs w:val="20"/>
        </w:rPr>
        <w:t xml:space="preserve"> </w:t>
      </w:r>
      <w:r w:rsidR="004218F4" w:rsidRPr="00B26051">
        <w:rPr>
          <w:rFonts w:asciiTheme="majorHAnsi" w:hAnsiTheme="majorHAnsi"/>
          <w:color w:val="auto"/>
          <w:sz w:val="20"/>
          <w:szCs w:val="20"/>
        </w:rPr>
        <w:t>about the widespread corruption</w:t>
      </w:r>
      <w:r w:rsidRPr="00B26051">
        <w:rPr>
          <w:rFonts w:asciiTheme="majorHAnsi" w:hAnsiTheme="majorHAnsi"/>
          <w:color w:val="auto"/>
          <w:sz w:val="20"/>
          <w:szCs w:val="20"/>
        </w:rPr>
        <w:t xml:space="preserve"> and did nothing to save them. </w:t>
      </w:r>
      <w:r w:rsidRPr="00B26051">
        <w:rPr>
          <w:rFonts w:asciiTheme="majorHAnsi" w:hAnsiTheme="majorHAnsi"/>
          <w:color w:val="auto"/>
          <w:sz w:val="20"/>
          <w:szCs w:val="20"/>
        </w:rPr>
        <w:lastRenderedPageBreak/>
        <w:t xml:space="preserve">We know that they closed the doors </w:t>
      </w:r>
      <w:r w:rsidR="004218F4" w:rsidRPr="00B26051">
        <w:rPr>
          <w:rFonts w:asciiTheme="majorHAnsi" w:hAnsiTheme="majorHAnsi"/>
          <w:color w:val="auto"/>
          <w:sz w:val="20"/>
          <w:szCs w:val="20"/>
        </w:rPr>
        <w:t>to prevent anyone entering or leaving</w:t>
      </w:r>
      <w:r w:rsidR="009E703D" w:rsidRPr="00B26051">
        <w:rPr>
          <w:rFonts w:asciiTheme="majorHAnsi" w:hAnsiTheme="majorHAnsi"/>
          <w:color w:val="auto"/>
          <w:sz w:val="20"/>
          <w:szCs w:val="20"/>
        </w:rPr>
        <w:t>,</w:t>
      </w:r>
      <w:r w:rsidRPr="00B26051">
        <w:rPr>
          <w:rFonts w:asciiTheme="majorHAnsi" w:hAnsiTheme="majorHAnsi"/>
          <w:color w:val="auto"/>
          <w:sz w:val="20"/>
          <w:szCs w:val="20"/>
        </w:rPr>
        <w:t xml:space="preserve"> and </w:t>
      </w:r>
      <w:r w:rsidR="009E703D" w:rsidRPr="00B26051">
        <w:rPr>
          <w:rFonts w:asciiTheme="majorHAnsi" w:hAnsiTheme="majorHAnsi"/>
          <w:color w:val="auto"/>
          <w:sz w:val="20"/>
          <w:szCs w:val="20"/>
        </w:rPr>
        <w:t>did absolutely nothing</w:t>
      </w:r>
      <w:r w:rsidRPr="00B26051">
        <w:rPr>
          <w:rFonts w:asciiTheme="majorHAnsi" w:hAnsiTheme="majorHAnsi"/>
          <w:color w:val="auto"/>
          <w:sz w:val="20"/>
          <w:szCs w:val="20"/>
        </w:rPr>
        <w:t xml:space="preserve">, because there was an opportunity </w:t>
      </w:r>
      <w:r w:rsidR="004218F4" w:rsidRPr="00B26051">
        <w:rPr>
          <w:rFonts w:asciiTheme="majorHAnsi" w:hAnsiTheme="majorHAnsi"/>
          <w:color w:val="auto"/>
          <w:sz w:val="20"/>
          <w:szCs w:val="20"/>
        </w:rPr>
        <w:t>to save them</w:t>
      </w:r>
      <w:r w:rsidRPr="00B26051">
        <w:rPr>
          <w:rFonts w:asciiTheme="majorHAnsi" w:hAnsiTheme="majorHAnsi"/>
          <w:color w:val="auto"/>
          <w:sz w:val="20"/>
          <w:szCs w:val="20"/>
        </w:rPr>
        <w:t>.</w:t>
      </w:r>
      <w:r w:rsidR="00C23B25">
        <w:rPr>
          <w:rFonts w:asciiTheme="majorHAnsi" w:hAnsiTheme="majorHAnsi"/>
          <w:color w:val="auto"/>
          <w:sz w:val="20"/>
          <w:szCs w:val="20"/>
        </w:rPr>
        <w:t>”</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54"/>
      </w:r>
    </w:p>
    <w:p w14:paraId="29A88E78" w14:textId="77777777" w:rsidR="00185D58" w:rsidRPr="00B26051" w:rsidRDefault="00185D58" w:rsidP="00185D58">
      <w:pPr>
        <w:pStyle w:val="ListParagraph"/>
        <w:rPr>
          <w:rFonts w:asciiTheme="majorHAnsi" w:hAnsiTheme="majorHAnsi"/>
          <w:color w:val="auto"/>
          <w:sz w:val="20"/>
          <w:szCs w:val="20"/>
        </w:rPr>
      </w:pPr>
    </w:p>
    <w:p w14:paraId="248A9EE4" w14:textId="171B911C" w:rsidR="009A1742" w:rsidRDefault="009A1742">
      <w:pPr>
        <w:rPr>
          <w:rFonts w:asciiTheme="majorHAnsi" w:eastAsia="Cambria" w:hAnsiTheme="majorHAnsi" w:cs="Cambria"/>
          <w:b/>
          <w:sz w:val="20"/>
          <w:szCs w:val="20"/>
          <w:u w:color="000000"/>
          <w:lang w:eastAsia="es-ES"/>
        </w:rPr>
      </w:pPr>
      <w:bookmarkStart w:id="0" w:name="_GoBack"/>
      <w:bookmarkEnd w:id="0"/>
    </w:p>
    <w:p w14:paraId="426E4A77" w14:textId="3E74DE8D" w:rsidR="00185D58" w:rsidRPr="00B26051" w:rsidRDefault="00925E9A" w:rsidP="007F4FA0">
      <w:pPr>
        <w:pStyle w:val="ListParagraph"/>
        <w:numPr>
          <w:ilvl w:val="0"/>
          <w:numId w:val="65"/>
        </w:numPr>
        <w:ind w:left="1440" w:hanging="720"/>
        <w:jc w:val="both"/>
        <w:rPr>
          <w:rFonts w:asciiTheme="majorHAnsi" w:hAnsiTheme="majorHAnsi"/>
          <w:b/>
          <w:color w:val="auto"/>
          <w:sz w:val="20"/>
          <w:szCs w:val="20"/>
        </w:rPr>
      </w:pPr>
      <w:r w:rsidRPr="00B26051">
        <w:rPr>
          <w:rFonts w:asciiTheme="majorHAnsi" w:hAnsiTheme="majorHAnsi"/>
          <w:b/>
          <w:color w:val="auto"/>
          <w:sz w:val="20"/>
          <w:szCs w:val="20"/>
        </w:rPr>
        <w:t>The events of June 30, 2005</w:t>
      </w:r>
    </w:p>
    <w:p w14:paraId="1C2B8BE7" w14:textId="77777777" w:rsidR="00185D58" w:rsidRPr="00B26051" w:rsidRDefault="00185D58" w:rsidP="00185D58">
      <w:pPr>
        <w:jc w:val="both"/>
        <w:rPr>
          <w:rFonts w:asciiTheme="majorHAnsi" w:hAnsiTheme="majorHAnsi"/>
          <w:b/>
          <w:sz w:val="20"/>
          <w:szCs w:val="20"/>
        </w:rPr>
      </w:pPr>
    </w:p>
    <w:p w14:paraId="4DA2DA22" w14:textId="450E3E3A" w:rsidR="00185D58" w:rsidRPr="00B26051" w:rsidRDefault="00925E9A" w:rsidP="007F4FA0">
      <w:pPr>
        <w:pStyle w:val="ListParagraph"/>
        <w:numPr>
          <w:ilvl w:val="1"/>
          <w:numId w:val="66"/>
        </w:numPr>
        <w:ind w:firstLine="360"/>
        <w:jc w:val="both"/>
        <w:rPr>
          <w:rFonts w:asciiTheme="majorHAnsi" w:hAnsiTheme="majorHAnsi"/>
          <w:b/>
          <w:color w:val="auto"/>
          <w:sz w:val="20"/>
          <w:szCs w:val="20"/>
        </w:rPr>
      </w:pPr>
      <w:r w:rsidRPr="00B26051">
        <w:rPr>
          <w:rFonts w:asciiTheme="majorHAnsi" w:hAnsiTheme="majorHAnsi"/>
          <w:b/>
          <w:color w:val="auto"/>
          <w:sz w:val="20"/>
          <w:szCs w:val="20"/>
        </w:rPr>
        <w:t>Before Visiting Hours</w:t>
      </w:r>
    </w:p>
    <w:p w14:paraId="7B97338C" w14:textId="77777777" w:rsidR="00185D58" w:rsidRPr="00B26051" w:rsidRDefault="00185D58" w:rsidP="00185D58">
      <w:pPr>
        <w:pStyle w:val="ListParagraph"/>
        <w:rPr>
          <w:rFonts w:asciiTheme="majorHAnsi" w:hAnsiTheme="majorHAnsi"/>
          <w:b/>
          <w:color w:val="auto"/>
          <w:sz w:val="20"/>
          <w:szCs w:val="20"/>
        </w:rPr>
      </w:pPr>
    </w:p>
    <w:p w14:paraId="72A182F5" w14:textId="138AB2F8" w:rsidR="00185D58" w:rsidRPr="00B26051" w:rsidRDefault="00F04E15"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On June 30, 2005, ten individuals</w:t>
      </w:r>
      <w:r w:rsidR="00925E9A" w:rsidRPr="00B26051">
        <w:rPr>
          <w:rFonts w:asciiTheme="majorHAnsi" w:hAnsiTheme="majorHAnsi"/>
          <w:color w:val="auto"/>
          <w:sz w:val="20"/>
          <w:szCs w:val="20"/>
        </w:rPr>
        <w:t xml:space="preserve"> </w:t>
      </w:r>
      <w:r w:rsidR="001B12F8" w:rsidRPr="00B26051">
        <w:rPr>
          <w:rFonts w:asciiTheme="majorHAnsi" w:hAnsiTheme="majorHAnsi"/>
          <w:color w:val="auto"/>
          <w:sz w:val="20"/>
          <w:szCs w:val="20"/>
        </w:rPr>
        <w:t>were working</w:t>
      </w:r>
      <w:r w:rsidR="00925E9A" w:rsidRPr="00B26051">
        <w:rPr>
          <w:rFonts w:asciiTheme="majorHAnsi" w:hAnsiTheme="majorHAnsi"/>
          <w:color w:val="auto"/>
          <w:sz w:val="20"/>
          <w:szCs w:val="20"/>
        </w:rPr>
        <w:t xml:space="preserve"> at </w:t>
      </w:r>
      <w:r w:rsidR="001B12F8" w:rsidRPr="00B26051">
        <w:rPr>
          <w:rFonts w:asciiTheme="majorHAnsi" w:hAnsiTheme="majorHAnsi"/>
          <w:color w:val="auto"/>
          <w:sz w:val="20"/>
          <w:szCs w:val="20"/>
        </w:rPr>
        <w:t xml:space="preserve">the INAM-San </w:t>
      </w:r>
      <w:r w:rsidR="002033A9" w:rsidRPr="00B26051">
        <w:rPr>
          <w:rFonts w:asciiTheme="majorHAnsi" w:hAnsiTheme="majorHAnsi"/>
          <w:color w:val="auto"/>
          <w:sz w:val="20"/>
          <w:szCs w:val="20"/>
        </w:rPr>
        <w:t>Félix</w:t>
      </w:r>
      <w:r w:rsidR="009E703D" w:rsidRPr="00B26051">
        <w:rPr>
          <w:rFonts w:asciiTheme="majorHAnsi" w:hAnsiTheme="majorHAnsi"/>
          <w:color w:val="auto"/>
          <w:sz w:val="20"/>
          <w:szCs w:val="20"/>
        </w:rPr>
        <w:t>: the warden</w:t>
      </w:r>
      <w:r w:rsidR="00925E9A" w:rsidRPr="00B26051">
        <w:rPr>
          <w:rFonts w:asciiTheme="majorHAnsi" w:hAnsiTheme="majorHAnsi"/>
          <w:color w:val="auto"/>
          <w:sz w:val="20"/>
          <w:szCs w:val="20"/>
        </w:rPr>
        <w:t>, three guides, three social workers, a teacher, a tutor and a secretary.</w:t>
      </w:r>
      <w:r w:rsidR="00925E9A" w:rsidRPr="00B26051">
        <w:rPr>
          <w:rStyle w:val="FootnoteReference"/>
          <w:rFonts w:asciiTheme="majorHAnsi" w:hAnsiTheme="majorHAnsi"/>
          <w:color w:val="auto"/>
          <w:sz w:val="20"/>
          <w:szCs w:val="20"/>
        </w:rPr>
        <w:t xml:space="preserve"> </w:t>
      </w:r>
      <w:r w:rsidR="00925E9A" w:rsidRPr="00B26051">
        <w:rPr>
          <w:rStyle w:val="FootnoteReference"/>
          <w:rFonts w:asciiTheme="majorHAnsi" w:hAnsiTheme="majorHAnsi"/>
          <w:color w:val="auto"/>
          <w:sz w:val="20"/>
          <w:szCs w:val="20"/>
        </w:rPr>
        <w:footnoteReference w:id="55"/>
      </w:r>
      <w:r w:rsidR="00925E9A" w:rsidRPr="00B26051">
        <w:rPr>
          <w:rFonts w:asciiTheme="majorHAnsi" w:hAnsiTheme="majorHAnsi"/>
          <w:color w:val="auto"/>
          <w:sz w:val="20"/>
          <w:szCs w:val="20"/>
        </w:rPr>
        <w:t xml:space="preserve"> However, at the time of the events</w:t>
      </w:r>
      <w:r w:rsidR="00C23B25">
        <w:rPr>
          <w:rFonts w:asciiTheme="majorHAnsi" w:hAnsiTheme="majorHAnsi"/>
          <w:color w:val="auto"/>
          <w:sz w:val="20"/>
          <w:szCs w:val="20"/>
        </w:rPr>
        <w:t>—</w:t>
      </w:r>
      <w:r w:rsidR="00925E9A" w:rsidRPr="00B26051">
        <w:rPr>
          <w:rFonts w:asciiTheme="majorHAnsi" w:hAnsiTheme="majorHAnsi"/>
          <w:color w:val="auto"/>
          <w:sz w:val="20"/>
          <w:szCs w:val="20"/>
        </w:rPr>
        <w:t xml:space="preserve">between </w:t>
      </w:r>
      <w:r w:rsidR="00C23B25">
        <w:rPr>
          <w:rFonts w:asciiTheme="majorHAnsi" w:hAnsiTheme="majorHAnsi"/>
          <w:color w:val="auto"/>
          <w:sz w:val="20"/>
          <w:szCs w:val="20"/>
        </w:rPr>
        <w:t>approximately 4:30 and 5:10 pm—</w:t>
      </w:r>
      <w:r w:rsidR="00925E9A" w:rsidRPr="00B26051">
        <w:rPr>
          <w:rFonts w:asciiTheme="majorHAnsi" w:hAnsiTheme="majorHAnsi"/>
          <w:color w:val="auto"/>
          <w:sz w:val="20"/>
          <w:szCs w:val="20"/>
        </w:rPr>
        <w:t xml:space="preserve">the only </w:t>
      </w:r>
      <w:r w:rsidRPr="00B26051">
        <w:rPr>
          <w:rFonts w:asciiTheme="majorHAnsi" w:hAnsiTheme="majorHAnsi"/>
          <w:color w:val="auto"/>
          <w:sz w:val="20"/>
          <w:szCs w:val="20"/>
        </w:rPr>
        <w:t>staff</w:t>
      </w:r>
      <w:r w:rsidR="00925E9A" w:rsidRPr="00B26051">
        <w:rPr>
          <w:rFonts w:asciiTheme="majorHAnsi" w:hAnsiTheme="majorHAnsi"/>
          <w:color w:val="auto"/>
          <w:sz w:val="20"/>
          <w:szCs w:val="20"/>
        </w:rPr>
        <w:t xml:space="preserve"> present to </w:t>
      </w:r>
      <w:r w:rsidRPr="00B26051">
        <w:rPr>
          <w:rFonts w:asciiTheme="majorHAnsi" w:hAnsiTheme="majorHAnsi"/>
          <w:color w:val="auto"/>
          <w:sz w:val="20"/>
          <w:szCs w:val="20"/>
        </w:rPr>
        <w:t>look after</w:t>
      </w:r>
      <w:r w:rsidR="00925E9A" w:rsidRPr="00B26051">
        <w:rPr>
          <w:rFonts w:asciiTheme="majorHAnsi" w:hAnsiTheme="majorHAnsi"/>
          <w:color w:val="auto"/>
          <w:sz w:val="20"/>
          <w:szCs w:val="20"/>
        </w:rPr>
        <w:t xml:space="preserve"> the population of about 50 adolescents were Nerio Romero, who served as Head of the Center (despite his </w:t>
      </w:r>
      <w:r w:rsidR="00C23B25">
        <w:rPr>
          <w:rFonts w:asciiTheme="majorHAnsi" w:hAnsiTheme="majorHAnsi"/>
          <w:color w:val="auto"/>
          <w:sz w:val="20"/>
          <w:szCs w:val="20"/>
        </w:rPr>
        <w:t>rank of</w:t>
      </w:r>
      <w:r w:rsidRPr="00B26051">
        <w:rPr>
          <w:rFonts w:asciiTheme="majorHAnsi" w:hAnsiTheme="majorHAnsi"/>
          <w:color w:val="auto"/>
          <w:sz w:val="20"/>
          <w:szCs w:val="20"/>
        </w:rPr>
        <w:t xml:space="preserve"> </w:t>
      </w:r>
      <w:r w:rsidR="00925E9A" w:rsidRPr="00B26051">
        <w:rPr>
          <w:rFonts w:asciiTheme="majorHAnsi" w:hAnsiTheme="majorHAnsi"/>
          <w:color w:val="auto"/>
          <w:sz w:val="20"/>
          <w:szCs w:val="20"/>
        </w:rPr>
        <w:t>"Guide II")</w:t>
      </w:r>
      <w:r w:rsidR="00925E9A" w:rsidRPr="00B26051">
        <w:rPr>
          <w:rStyle w:val="FootnoteReference"/>
          <w:rFonts w:asciiTheme="majorHAnsi" w:hAnsiTheme="majorHAnsi"/>
          <w:color w:val="auto"/>
          <w:sz w:val="20"/>
          <w:szCs w:val="20"/>
        </w:rPr>
        <w:footnoteReference w:id="56"/>
      </w:r>
      <w:r w:rsidR="00925E9A" w:rsidRPr="00B26051">
        <w:rPr>
          <w:rFonts w:asciiTheme="majorHAnsi" w:hAnsiTheme="majorHAnsi"/>
          <w:color w:val="auto"/>
          <w:sz w:val="20"/>
          <w:szCs w:val="20"/>
        </w:rPr>
        <w:t>; the guides Francisco Gómez and José Luis Chirinos; and the social worker Brígida Hurtado.</w:t>
      </w:r>
      <w:r w:rsidR="00925E9A" w:rsidRPr="00B26051">
        <w:rPr>
          <w:rStyle w:val="FootnoteReference"/>
          <w:rFonts w:asciiTheme="majorHAnsi" w:hAnsiTheme="majorHAnsi"/>
          <w:color w:val="auto"/>
          <w:sz w:val="20"/>
          <w:szCs w:val="20"/>
        </w:rPr>
        <w:t xml:space="preserve"> </w:t>
      </w:r>
      <w:r w:rsidR="00925E9A" w:rsidRPr="00B26051">
        <w:rPr>
          <w:rStyle w:val="FootnoteReference"/>
          <w:rFonts w:asciiTheme="majorHAnsi" w:hAnsiTheme="majorHAnsi"/>
          <w:color w:val="auto"/>
          <w:sz w:val="20"/>
          <w:szCs w:val="20"/>
        </w:rPr>
        <w:footnoteReference w:id="57"/>
      </w:r>
    </w:p>
    <w:p w14:paraId="3929F002" w14:textId="77777777" w:rsidR="00185D58" w:rsidRPr="00B26051" w:rsidRDefault="00185D58" w:rsidP="00185D58">
      <w:pPr>
        <w:jc w:val="both"/>
        <w:rPr>
          <w:rFonts w:asciiTheme="majorHAnsi" w:hAnsiTheme="majorHAnsi"/>
          <w:sz w:val="20"/>
          <w:szCs w:val="20"/>
        </w:rPr>
      </w:pPr>
    </w:p>
    <w:p w14:paraId="18E95213" w14:textId="123B6BD6" w:rsidR="00185D58" w:rsidRPr="00B26051" w:rsidRDefault="00925E9A" w:rsidP="007F4FA0">
      <w:pPr>
        <w:pStyle w:val="ListParagraph"/>
        <w:numPr>
          <w:ilvl w:val="0"/>
          <w:numId w:val="57"/>
        </w:numPr>
        <w:ind w:left="0" w:firstLine="634"/>
        <w:jc w:val="both"/>
        <w:rPr>
          <w:color w:val="auto"/>
          <w:sz w:val="20"/>
          <w:szCs w:val="20"/>
        </w:rPr>
      </w:pPr>
      <w:r w:rsidRPr="00B26051">
        <w:rPr>
          <w:color w:val="auto"/>
          <w:sz w:val="20"/>
          <w:szCs w:val="20"/>
        </w:rPr>
        <w:t xml:space="preserve">On the day of the events during </w:t>
      </w:r>
      <w:r w:rsidR="00B26051" w:rsidRPr="00B26051">
        <w:rPr>
          <w:color w:val="auto"/>
          <w:sz w:val="20"/>
          <w:szCs w:val="20"/>
        </w:rPr>
        <w:t>lunchtime</w:t>
      </w:r>
      <w:r w:rsidRPr="00B26051">
        <w:rPr>
          <w:color w:val="auto"/>
          <w:sz w:val="20"/>
          <w:szCs w:val="20"/>
        </w:rPr>
        <w:t xml:space="preserve">, there was a fight between Rafael Parra and the other youths in cell No. 4 </w:t>
      </w:r>
      <w:r w:rsidR="009E703D" w:rsidRPr="00B26051">
        <w:rPr>
          <w:color w:val="auto"/>
          <w:sz w:val="20"/>
          <w:szCs w:val="20"/>
        </w:rPr>
        <w:t>against</w:t>
      </w:r>
      <w:r w:rsidRPr="00B26051">
        <w:rPr>
          <w:color w:val="auto"/>
          <w:sz w:val="20"/>
          <w:szCs w:val="20"/>
        </w:rPr>
        <w:t xml:space="preserve"> Carlos Aguilera, nicknamed "</w:t>
      </w:r>
      <w:r w:rsidR="00D30469" w:rsidRPr="00B26051">
        <w:rPr>
          <w:color w:val="auto"/>
          <w:sz w:val="20"/>
          <w:szCs w:val="20"/>
        </w:rPr>
        <w:t>the Boxer</w:t>
      </w:r>
      <w:r w:rsidRPr="00B26051">
        <w:rPr>
          <w:color w:val="auto"/>
          <w:sz w:val="20"/>
          <w:szCs w:val="20"/>
        </w:rPr>
        <w:t>", from cell No. 2.</w:t>
      </w:r>
      <w:r w:rsidRPr="00B26051">
        <w:rPr>
          <w:color w:val="auto"/>
          <w:sz w:val="20"/>
          <w:szCs w:val="20"/>
          <w:vertAlign w:val="superscript"/>
        </w:rPr>
        <w:t xml:space="preserve"> </w:t>
      </w:r>
      <w:r w:rsidRPr="00B26051">
        <w:rPr>
          <w:color w:val="auto"/>
          <w:sz w:val="20"/>
          <w:szCs w:val="20"/>
          <w:vertAlign w:val="superscript"/>
        </w:rPr>
        <w:footnoteReference w:id="58"/>
      </w:r>
      <w:r w:rsidRPr="00B26051">
        <w:rPr>
          <w:color w:val="auto"/>
          <w:sz w:val="20"/>
          <w:szCs w:val="20"/>
        </w:rPr>
        <w:t xml:space="preserve"> It is clear from the </w:t>
      </w:r>
      <w:r w:rsidR="00D30469" w:rsidRPr="00B26051">
        <w:rPr>
          <w:color w:val="auto"/>
          <w:sz w:val="20"/>
          <w:szCs w:val="20"/>
        </w:rPr>
        <w:t xml:space="preserve">case </w:t>
      </w:r>
      <w:r w:rsidRPr="00B26051">
        <w:rPr>
          <w:color w:val="auto"/>
          <w:sz w:val="20"/>
          <w:szCs w:val="20"/>
        </w:rPr>
        <w:t xml:space="preserve">file that staff </w:t>
      </w:r>
      <w:r w:rsidR="00D30469" w:rsidRPr="00B26051">
        <w:rPr>
          <w:color w:val="auto"/>
          <w:sz w:val="20"/>
          <w:szCs w:val="20"/>
        </w:rPr>
        <w:t>knew about this fight</w:t>
      </w:r>
      <w:r w:rsidRPr="00B26051">
        <w:rPr>
          <w:color w:val="auto"/>
          <w:sz w:val="20"/>
          <w:szCs w:val="20"/>
        </w:rPr>
        <w:t xml:space="preserve">. </w:t>
      </w:r>
      <w:r w:rsidR="00A114DC">
        <w:rPr>
          <w:color w:val="auto"/>
          <w:sz w:val="20"/>
          <w:szCs w:val="20"/>
        </w:rPr>
        <w:t>On the morning</w:t>
      </w:r>
      <w:r w:rsidRPr="00B26051">
        <w:rPr>
          <w:color w:val="auto"/>
          <w:sz w:val="20"/>
          <w:szCs w:val="20"/>
        </w:rPr>
        <w:t xml:space="preserve"> of June 30, 200</w:t>
      </w:r>
      <w:r w:rsidR="009E703D" w:rsidRPr="00B26051">
        <w:rPr>
          <w:color w:val="auto"/>
          <w:sz w:val="20"/>
          <w:szCs w:val="20"/>
        </w:rPr>
        <w:t>5, there were seven youths</w:t>
      </w:r>
      <w:r w:rsidR="00A114DC">
        <w:rPr>
          <w:color w:val="auto"/>
          <w:sz w:val="20"/>
          <w:szCs w:val="20"/>
        </w:rPr>
        <w:t xml:space="preserve"> in cell No. 4; </w:t>
      </w:r>
      <w:r w:rsidRPr="00B26051">
        <w:rPr>
          <w:color w:val="auto"/>
          <w:sz w:val="20"/>
          <w:szCs w:val="20"/>
        </w:rPr>
        <w:t xml:space="preserve">two of them, </w:t>
      </w:r>
      <w:r w:rsidR="00D30469" w:rsidRPr="00B26051">
        <w:rPr>
          <w:color w:val="auto"/>
          <w:sz w:val="20"/>
          <w:szCs w:val="20"/>
        </w:rPr>
        <w:t>named</w:t>
      </w:r>
      <w:r w:rsidRPr="00B26051">
        <w:rPr>
          <w:color w:val="auto"/>
          <w:sz w:val="20"/>
          <w:szCs w:val="20"/>
        </w:rPr>
        <w:t xml:space="preserve"> Zabala and Lira, were released that afternoon, at approximately 4:30 pm, after </w:t>
      </w:r>
      <w:r w:rsidR="00A114DC">
        <w:rPr>
          <w:color w:val="auto"/>
          <w:sz w:val="20"/>
          <w:szCs w:val="20"/>
        </w:rPr>
        <w:t>the court received</w:t>
      </w:r>
      <w:r w:rsidR="00C56F7F" w:rsidRPr="00B26051">
        <w:rPr>
          <w:color w:val="auto"/>
          <w:sz w:val="20"/>
          <w:szCs w:val="20"/>
        </w:rPr>
        <w:t xml:space="preserve"> their psychiatric evaluations</w:t>
      </w:r>
      <w:r w:rsidRPr="00B26051">
        <w:rPr>
          <w:color w:val="auto"/>
          <w:sz w:val="20"/>
          <w:szCs w:val="20"/>
        </w:rPr>
        <w:t>.</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59"/>
      </w:r>
      <w:r w:rsidRPr="00B26051">
        <w:rPr>
          <w:color w:val="auto"/>
          <w:sz w:val="20"/>
          <w:szCs w:val="20"/>
        </w:rPr>
        <w:t xml:space="preserve"> The five deceased </w:t>
      </w:r>
      <w:r w:rsidR="00C56F7F" w:rsidRPr="00B26051">
        <w:rPr>
          <w:color w:val="auto"/>
          <w:sz w:val="20"/>
          <w:szCs w:val="20"/>
        </w:rPr>
        <w:t>youths</w:t>
      </w:r>
      <w:r w:rsidRPr="00B26051">
        <w:rPr>
          <w:color w:val="auto"/>
          <w:sz w:val="20"/>
          <w:szCs w:val="20"/>
        </w:rPr>
        <w:t xml:space="preserve"> remained as residents of cell No. 4.</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60"/>
      </w:r>
    </w:p>
    <w:p w14:paraId="49FE521B" w14:textId="77777777" w:rsidR="00185D58" w:rsidRPr="00B26051" w:rsidRDefault="00185D58" w:rsidP="00185D58">
      <w:pPr>
        <w:pStyle w:val="ListParagraph"/>
        <w:rPr>
          <w:rFonts w:asciiTheme="majorHAnsi" w:hAnsiTheme="majorHAnsi"/>
          <w:color w:val="auto"/>
          <w:sz w:val="20"/>
          <w:szCs w:val="20"/>
        </w:rPr>
      </w:pPr>
    </w:p>
    <w:p w14:paraId="3CA0C048" w14:textId="1BA9C49C" w:rsidR="00185D58" w:rsidRPr="00B26051" w:rsidRDefault="00925E9A" w:rsidP="007F4FA0">
      <w:pPr>
        <w:pStyle w:val="ListParagraph"/>
        <w:numPr>
          <w:ilvl w:val="1"/>
          <w:numId w:val="66"/>
        </w:numPr>
        <w:ind w:firstLine="360"/>
        <w:jc w:val="both"/>
        <w:rPr>
          <w:rFonts w:asciiTheme="majorHAnsi" w:hAnsiTheme="majorHAnsi"/>
          <w:b/>
          <w:color w:val="auto"/>
          <w:sz w:val="20"/>
          <w:szCs w:val="20"/>
        </w:rPr>
      </w:pPr>
      <w:r w:rsidRPr="00B26051">
        <w:rPr>
          <w:rFonts w:asciiTheme="majorHAnsi" w:hAnsiTheme="majorHAnsi"/>
          <w:b/>
          <w:color w:val="auto"/>
          <w:sz w:val="20"/>
          <w:szCs w:val="20"/>
        </w:rPr>
        <w:t>From Visiting Time</w:t>
      </w:r>
    </w:p>
    <w:p w14:paraId="7DFD6843" w14:textId="77777777" w:rsidR="00185D58" w:rsidRPr="00B26051" w:rsidRDefault="00185D58" w:rsidP="00185D58">
      <w:pPr>
        <w:pStyle w:val="ListParagraph"/>
        <w:rPr>
          <w:rFonts w:asciiTheme="majorHAnsi" w:hAnsiTheme="majorHAnsi"/>
          <w:color w:val="auto"/>
          <w:sz w:val="20"/>
          <w:szCs w:val="20"/>
        </w:rPr>
      </w:pPr>
    </w:p>
    <w:p w14:paraId="7D95D7EF" w14:textId="7764CA9E" w:rsidR="00185D58" w:rsidRPr="00B26051" w:rsidRDefault="00925E9A" w:rsidP="007F4FA0">
      <w:pPr>
        <w:pStyle w:val="ListParagraph"/>
        <w:numPr>
          <w:ilvl w:val="0"/>
          <w:numId w:val="57"/>
        </w:numPr>
        <w:ind w:left="0" w:firstLine="634"/>
        <w:jc w:val="both"/>
        <w:rPr>
          <w:color w:val="auto"/>
          <w:sz w:val="20"/>
          <w:szCs w:val="20"/>
        </w:rPr>
      </w:pPr>
      <w:r w:rsidRPr="00B26051">
        <w:rPr>
          <w:color w:val="auto"/>
          <w:sz w:val="20"/>
          <w:szCs w:val="20"/>
        </w:rPr>
        <w:t>On that day, the five alleged victims received visits from Maria de Molina, Belkis Rios, Elvia Mota, Osmely Mota and Maritza Sánchez.</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61"/>
      </w:r>
      <w:r w:rsidRPr="00B26051">
        <w:rPr>
          <w:color w:val="auto"/>
          <w:sz w:val="20"/>
          <w:szCs w:val="20"/>
        </w:rPr>
        <w:t xml:space="preserve"> Osmely Mota said that at the end of the visit, </w:t>
      </w:r>
      <w:r w:rsidR="00C56F7F" w:rsidRPr="00B26051">
        <w:rPr>
          <w:color w:val="auto"/>
          <w:sz w:val="20"/>
          <w:szCs w:val="20"/>
        </w:rPr>
        <w:t>when</w:t>
      </w:r>
      <w:r w:rsidRPr="00B26051">
        <w:rPr>
          <w:color w:val="auto"/>
          <w:sz w:val="20"/>
          <w:szCs w:val="20"/>
        </w:rPr>
        <w:t xml:space="preserve"> the teacher Chirinos was taking Zabala and Lira to </w:t>
      </w:r>
      <w:r w:rsidR="00C56F7F" w:rsidRPr="00B26051">
        <w:rPr>
          <w:color w:val="auto"/>
          <w:sz w:val="20"/>
          <w:szCs w:val="20"/>
        </w:rPr>
        <w:t>lead</w:t>
      </w:r>
      <w:r w:rsidRPr="00B26051">
        <w:rPr>
          <w:color w:val="auto"/>
          <w:sz w:val="20"/>
          <w:szCs w:val="20"/>
        </w:rPr>
        <w:t xml:space="preserve"> them to their relatives outside,</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62"/>
      </w:r>
      <w:r w:rsidRPr="00B26051">
        <w:rPr>
          <w:color w:val="auto"/>
          <w:sz w:val="20"/>
          <w:szCs w:val="20"/>
        </w:rPr>
        <w:t xml:space="preserve"> "we heard from the window of that sa</w:t>
      </w:r>
      <w:r w:rsidR="00C56F7F" w:rsidRPr="00B26051">
        <w:rPr>
          <w:color w:val="auto"/>
          <w:sz w:val="20"/>
          <w:szCs w:val="20"/>
        </w:rPr>
        <w:t>me room, that [Lira and Zabala]</w:t>
      </w:r>
      <w:r w:rsidR="009E703D" w:rsidRPr="00B26051">
        <w:rPr>
          <w:color w:val="auto"/>
          <w:sz w:val="20"/>
          <w:szCs w:val="20"/>
        </w:rPr>
        <w:t xml:space="preserve"> shouted boys take care in</w:t>
      </w:r>
      <w:r w:rsidRPr="00B26051">
        <w:rPr>
          <w:color w:val="auto"/>
          <w:sz w:val="20"/>
          <w:szCs w:val="20"/>
        </w:rPr>
        <w:t xml:space="preserve"> the corridors</w:t>
      </w:r>
      <w:r w:rsidR="00C56F7F" w:rsidRPr="00B26051">
        <w:rPr>
          <w:color w:val="auto"/>
          <w:sz w:val="20"/>
          <w:szCs w:val="20"/>
        </w:rPr>
        <w:t>,</w:t>
      </w:r>
      <w:r w:rsidRPr="00B26051">
        <w:rPr>
          <w:color w:val="auto"/>
          <w:sz w:val="20"/>
          <w:szCs w:val="20"/>
        </w:rPr>
        <w:t xml:space="preserve"> </w:t>
      </w:r>
      <w:r w:rsidR="009E703D" w:rsidRPr="00B26051">
        <w:rPr>
          <w:color w:val="auto"/>
          <w:sz w:val="20"/>
          <w:szCs w:val="20"/>
        </w:rPr>
        <w:t>because</w:t>
      </w:r>
      <w:r w:rsidRPr="00B26051">
        <w:rPr>
          <w:color w:val="auto"/>
          <w:sz w:val="20"/>
          <w:szCs w:val="20"/>
        </w:rPr>
        <w:t xml:space="preserve"> </w:t>
      </w:r>
      <w:r w:rsidR="00C56F7F" w:rsidRPr="00B26051">
        <w:rPr>
          <w:color w:val="auto"/>
          <w:sz w:val="20"/>
          <w:szCs w:val="20"/>
        </w:rPr>
        <w:t>they are waiting for you</w:t>
      </w:r>
      <w:r w:rsidRPr="00B26051">
        <w:rPr>
          <w:color w:val="auto"/>
          <w:sz w:val="20"/>
          <w:szCs w:val="20"/>
        </w:rPr>
        <w:t xml:space="preserve">, that </w:t>
      </w:r>
      <w:r w:rsidR="00C56F7F" w:rsidRPr="00B26051">
        <w:rPr>
          <w:color w:val="auto"/>
          <w:sz w:val="20"/>
          <w:szCs w:val="20"/>
        </w:rPr>
        <w:t>they are planning</w:t>
      </w:r>
      <w:r w:rsidRPr="00B26051">
        <w:rPr>
          <w:color w:val="auto"/>
          <w:sz w:val="20"/>
          <w:szCs w:val="20"/>
        </w:rPr>
        <w:t xml:space="preserve"> som</w:t>
      </w:r>
      <w:r w:rsidR="00C56F7F" w:rsidRPr="00B26051">
        <w:rPr>
          <w:color w:val="auto"/>
          <w:sz w:val="20"/>
          <w:szCs w:val="20"/>
        </w:rPr>
        <w:t xml:space="preserve">ething, </w:t>
      </w:r>
      <w:r w:rsidR="00A114DC">
        <w:rPr>
          <w:color w:val="auto"/>
          <w:sz w:val="20"/>
          <w:szCs w:val="20"/>
        </w:rPr>
        <w:t>everyone in the visit got nervous</w:t>
      </w:r>
      <w:r w:rsidRPr="00B26051">
        <w:rPr>
          <w:color w:val="auto"/>
          <w:sz w:val="20"/>
          <w:szCs w:val="20"/>
        </w:rPr>
        <w:t>".</w:t>
      </w:r>
      <w:r w:rsidRPr="00B26051">
        <w:rPr>
          <w:rStyle w:val="FootnoteReference"/>
          <w:rFonts w:asciiTheme="majorHAnsi" w:hAnsiTheme="majorHAnsi"/>
          <w:color w:val="auto"/>
          <w:sz w:val="20"/>
          <w:szCs w:val="20"/>
        </w:rPr>
        <w:footnoteReference w:id="63"/>
      </w:r>
      <w:r w:rsidRPr="00B26051">
        <w:rPr>
          <w:color w:val="auto"/>
          <w:sz w:val="20"/>
          <w:szCs w:val="20"/>
        </w:rPr>
        <w:t xml:space="preserve"> Faced with this situation, family members advised them "</w:t>
      </w:r>
      <w:r w:rsidR="00DB0400" w:rsidRPr="00B26051">
        <w:rPr>
          <w:color w:val="auto"/>
          <w:sz w:val="20"/>
          <w:szCs w:val="20"/>
        </w:rPr>
        <w:t>not to fight, because if they had a fight</w:t>
      </w:r>
      <w:r w:rsidRPr="00B26051">
        <w:rPr>
          <w:color w:val="auto"/>
          <w:sz w:val="20"/>
          <w:szCs w:val="20"/>
        </w:rPr>
        <w:t xml:space="preserve">, they would </w:t>
      </w:r>
      <w:r w:rsidR="00DB0400" w:rsidRPr="00B26051">
        <w:rPr>
          <w:color w:val="auto"/>
          <w:sz w:val="20"/>
          <w:szCs w:val="20"/>
        </w:rPr>
        <w:t>be taken</w:t>
      </w:r>
      <w:r w:rsidRPr="00B26051">
        <w:rPr>
          <w:color w:val="auto"/>
          <w:sz w:val="20"/>
          <w:szCs w:val="20"/>
        </w:rPr>
        <w:t xml:space="preserve"> to Ciudad </w:t>
      </w:r>
      <w:r w:rsidR="001022ED" w:rsidRPr="00B26051">
        <w:rPr>
          <w:color w:val="auto"/>
          <w:sz w:val="20"/>
          <w:szCs w:val="20"/>
        </w:rPr>
        <w:t>Bolívar</w:t>
      </w:r>
      <w:r w:rsidRPr="00B26051">
        <w:rPr>
          <w:color w:val="auto"/>
          <w:sz w:val="20"/>
          <w:szCs w:val="20"/>
        </w:rPr>
        <w:t>."</w:t>
      </w:r>
      <w:r w:rsidRPr="00B26051">
        <w:rPr>
          <w:rStyle w:val="FootnoteReference"/>
          <w:rFonts w:asciiTheme="majorHAnsi" w:hAnsiTheme="majorHAnsi"/>
          <w:color w:val="auto"/>
          <w:sz w:val="20"/>
          <w:szCs w:val="20"/>
        </w:rPr>
        <w:footnoteReference w:id="64"/>
      </w:r>
      <w:r w:rsidRPr="00B26051">
        <w:rPr>
          <w:color w:val="auto"/>
          <w:sz w:val="20"/>
          <w:szCs w:val="20"/>
        </w:rPr>
        <w:t xml:space="preserve"> </w:t>
      </w:r>
      <w:r w:rsidR="00DB0400" w:rsidRPr="00B26051">
        <w:rPr>
          <w:color w:val="auto"/>
          <w:sz w:val="20"/>
          <w:szCs w:val="20"/>
        </w:rPr>
        <w:t>The acting Warden stated</w:t>
      </w:r>
      <w:r w:rsidRPr="00B26051">
        <w:rPr>
          <w:color w:val="auto"/>
          <w:sz w:val="20"/>
          <w:szCs w:val="20"/>
        </w:rPr>
        <w:t xml:space="preserve"> that "when they took [Lira and Zabala] out of the dormitories the other inmates </w:t>
      </w:r>
      <w:r w:rsidR="009E703D" w:rsidRPr="00B26051">
        <w:rPr>
          <w:color w:val="auto"/>
          <w:sz w:val="20"/>
          <w:szCs w:val="20"/>
        </w:rPr>
        <w:t>made</w:t>
      </w:r>
      <w:r w:rsidR="00DB0400" w:rsidRPr="00B26051">
        <w:rPr>
          <w:color w:val="auto"/>
          <w:sz w:val="20"/>
          <w:szCs w:val="20"/>
        </w:rPr>
        <w:t xml:space="preserve"> a scandal and </w:t>
      </w:r>
      <w:r w:rsidR="009E703D" w:rsidRPr="00B26051">
        <w:rPr>
          <w:color w:val="auto"/>
          <w:sz w:val="20"/>
          <w:szCs w:val="20"/>
        </w:rPr>
        <w:t xml:space="preserve">started </w:t>
      </w:r>
      <w:r w:rsidR="00DB0400" w:rsidRPr="00B26051">
        <w:rPr>
          <w:color w:val="auto"/>
          <w:sz w:val="20"/>
          <w:szCs w:val="20"/>
        </w:rPr>
        <w:t>a fight</w:t>
      </w:r>
      <w:r w:rsidR="009E703D" w:rsidRPr="00B26051">
        <w:rPr>
          <w:color w:val="auto"/>
          <w:sz w:val="20"/>
          <w:szCs w:val="20"/>
        </w:rPr>
        <w:t>, saying</w:t>
      </w:r>
      <w:r w:rsidRPr="00B26051">
        <w:rPr>
          <w:color w:val="auto"/>
          <w:sz w:val="20"/>
          <w:szCs w:val="20"/>
        </w:rPr>
        <w:t xml:space="preserve"> the witches </w:t>
      </w:r>
      <w:r w:rsidR="009E703D" w:rsidRPr="00B26051">
        <w:rPr>
          <w:color w:val="auto"/>
          <w:sz w:val="20"/>
          <w:szCs w:val="20"/>
        </w:rPr>
        <w:t>are leaving</w:t>
      </w:r>
      <w:r w:rsidRPr="00B26051">
        <w:rPr>
          <w:color w:val="auto"/>
          <w:sz w:val="20"/>
          <w:szCs w:val="20"/>
        </w:rPr>
        <w:t xml:space="preserve"> and the toads </w:t>
      </w:r>
      <w:r w:rsidR="009E703D" w:rsidRPr="00B26051">
        <w:rPr>
          <w:color w:val="auto"/>
          <w:sz w:val="20"/>
          <w:szCs w:val="20"/>
        </w:rPr>
        <w:t>are leaving and while kicking</w:t>
      </w:r>
      <w:r w:rsidRPr="00B26051">
        <w:rPr>
          <w:color w:val="auto"/>
          <w:sz w:val="20"/>
          <w:szCs w:val="20"/>
        </w:rPr>
        <w:t xml:space="preserve"> the bars". He added that he entered the Center to verify what was happening and after seeing that the situation "</w:t>
      </w:r>
      <w:r w:rsidR="00DB0400" w:rsidRPr="00B26051">
        <w:rPr>
          <w:color w:val="auto"/>
          <w:sz w:val="20"/>
          <w:szCs w:val="20"/>
        </w:rPr>
        <w:t xml:space="preserve">had </w:t>
      </w:r>
      <w:r w:rsidRPr="00B26051">
        <w:rPr>
          <w:color w:val="auto"/>
          <w:sz w:val="20"/>
          <w:szCs w:val="20"/>
        </w:rPr>
        <w:t xml:space="preserve">calmed down", he </w:t>
      </w:r>
      <w:r w:rsidR="00DB0400" w:rsidRPr="00B26051">
        <w:rPr>
          <w:color w:val="auto"/>
          <w:sz w:val="20"/>
          <w:szCs w:val="20"/>
        </w:rPr>
        <w:t>left</w:t>
      </w:r>
      <w:r w:rsidRPr="00B26051">
        <w:rPr>
          <w:color w:val="auto"/>
          <w:sz w:val="20"/>
          <w:szCs w:val="20"/>
        </w:rPr>
        <w:t xml:space="preserve"> again to the outside</w:t>
      </w:r>
      <w:r w:rsidR="00DB0400" w:rsidRPr="00B26051">
        <w:rPr>
          <w:color w:val="auto"/>
          <w:sz w:val="20"/>
          <w:szCs w:val="20"/>
        </w:rPr>
        <w:t xml:space="preserve"> area</w:t>
      </w:r>
      <w:r w:rsidRPr="00B26051">
        <w:rPr>
          <w:color w:val="auto"/>
          <w:sz w:val="20"/>
          <w:szCs w:val="20"/>
        </w:rPr>
        <w:t>.</w:t>
      </w:r>
      <w:r w:rsidRPr="00B26051">
        <w:rPr>
          <w:color w:val="auto"/>
          <w:sz w:val="20"/>
          <w:szCs w:val="20"/>
          <w:vertAlign w:val="superscript"/>
        </w:rPr>
        <w:t xml:space="preserve"> </w:t>
      </w:r>
      <w:r w:rsidRPr="00B26051">
        <w:rPr>
          <w:color w:val="auto"/>
          <w:sz w:val="20"/>
          <w:szCs w:val="20"/>
          <w:vertAlign w:val="superscript"/>
        </w:rPr>
        <w:footnoteReference w:id="65"/>
      </w:r>
    </w:p>
    <w:p w14:paraId="7889E6EE" w14:textId="77777777" w:rsidR="00185D58" w:rsidRPr="00B26051" w:rsidRDefault="00185D58" w:rsidP="00185D58">
      <w:pPr>
        <w:jc w:val="both"/>
        <w:rPr>
          <w:rFonts w:asciiTheme="majorHAnsi" w:hAnsiTheme="majorHAnsi"/>
          <w:sz w:val="20"/>
          <w:szCs w:val="20"/>
        </w:rPr>
      </w:pPr>
    </w:p>
    <w:p w14:paraId="5D6D2315" w14:textId="219F42CC" w:rsidR="00185D58" w:rsidRPr="00B26051" w:rsidRDefault="00F44994"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 xml:space="preserve">It is clear from the </w:t>
      </w:r>
      <w:r w:rsidR="00E243BB" w:rsidRPr="00B26051">
        <w:rPr>
          <w:rFonts w:asciiTheme="majorHAnsi" w:hAnsiTheme="majorHAnsi"/>
          <w:color w:val="auto"/>
          <w:sz w:val="20"/>
          <w:szCs w:val="20"/>
        </w:rPr>
        <w:t xml:space="preserve">case </w:t>
      </w:r>
      <w:r w:rsidRPr="00B26051">
        <w:rPr>
          <w:rFonts w:asciiTheme="majorHAnsi" w:hAnsiTheme="majorHAnsi"/>
          <w:color w:val="auto"/>
          <w:sz w:val="20"/>
          <w:szCs w:val="20"/>
        </w:rPr>
        <w:t xml:space="preserve">file that the inmates of cell No. 7 attempted to assault those who remained in cell No. 4. </w:t>
      </w:r>
      <w:r w:rsidR="00B84341" w:rsidRPr="00B26051">
        <w:rPr>
          <w:rFonts w:asciiTheme="majorHAnsi" w:hAnsiTheme="majorHAnsi"/>
          <w:color w:val="auto"/>
          <w:sz w:val="20"/>
          <w:szCs w:val="20"/>
        </w:rPr>
        <w:t>The guide Chirinos</w:t>
      </w:r>
      <w:r w:rsidRPr="00B26051">
        <w:rPr>
          <w:rFonts w:asciiTheme="majorHAnsi" w:hAnsiTheme="majorHAnsi"/>
          <w:color w:val="auto"/>
          <w:sz w:val="20"/>
          <w:szCs w:val="20"/>
        </w:rPr>
        <w:t xml:space="preserve"> said that "</w:t>
      </w:r>
      <w:r w:rsidR="00B84341" w:rsidRPr="00B26051">
        <w:rPr>
          <w:rFonts w:asciiTheme="majorHAnsi" w:hAnsiTheme="majorHAnsi"/>
          <w:color w:val="auto"/>
          <w:sz w:val="20"/>
          <w:szCs w:val="20"/>
        </w:rPr>
        <w:t xml:space="preserve">at the end of visiting </w:t>
      </w:r>
      <w:r w:rsidR="00A114DC">
        <w:rPr>
          <w:rFonts w:asciiTheme="majorHAnsi" w:hAnsiTheme="majorHAnsi"/>
          <w:color w:val="auto"/>
          <w:sz w:val="20"/>
          <w:szCs w:val="20"/>
        </w:rPr>
        <w:t>hours</w:t>
      </w:r>
      <w:r w:rsidRPr="00B26051">
        <w:rPr>
          <w:rFonts w:asciiTheme="majorHAnsi" w:hAnsiTheme="majorHAnsi"/>
          <w:color w:val="auto"/>
          <w:sz w:val="20"/>
          <w:szCs w:val="20"/>
        </w:rPr>
        <w:t xml:space="preserve">, </w:t>
      </w:r>
      <w:r w:rsidR="00B84341" w:rsidRPr="00B26051">
        <w:rPr>
          <w:rFonts w:asciiTheme="majorHAnsi" w:hAnsiTheme="majorHAnsi"/>
          <w:color w:val="auto"/>
          <w:sz w:val="20"/>
          <w:szCs w:val="20"/>
        </w:rPr>
        <w:t xml:space="preserve">when we </w:t>
      </w:r>
      <w:r w:rsidR="00A114DC">
        <w:rPr>
          <w:rFonts w:asciiTheme="majorHAnsi" w:hAnsiTheme="majorHAnsi"/>
          <w:color w:val="auto"/>
          <w:sz w:val="20"/>
          <w:szCs w:val="20"/>
        </w:rPr>
        <w:t>were going to take</w:t>
      </w:r>
      <w:r w:rsidRPr="00B26051">
        <w:rPr>
          <w:rFonts w:asciiTheme="majorHAnsi" w:hAnsiTheme="majorHAnsi"/>
          <w:color w:val="auto"/>
          <w:sz w:val="20"/>
          <w:szCs w:val="20"/>
        </w:rPr>
        <w:t xml:space="preserve"> the youth</w:t>
      </w:r>
      <w:r w:rsidR="00B84341" w:rsidRPr="00B26051">
        <w:rPr>
          <w:rFonts w:asciiTheme="majorHAnsi" w:hAnsiTheme="majorHAnsi"/>
          <w:color w:val="auto"/>
          <w:sz w:val="20"/>
          <w:szCs w:val="20"/>
        </w:rPr>
        <w:t>s</w:t>
      </w:r>
      <w:r w:rsidRPr="00B26051">
        <w:rPr>
          <w:rFonts w:asciiTheme="majorHAnsi" w:hAnsiTheme="majorHAnsi"/>
          <w:color w:val="auto"/>
          <w:sz w:val="20"/>
          <w:szCs w:val="20"/>
        </w:rPr>
        <w:t xml:space="preserve"> from</w:t>
      </w:r>
      <w:r w:rsidR="00B84341" w:rsidRPr="00B26051">
        <w:rPr>
          <w:rFonts w:asciiTheme="majorHAnsi" w:hAnsiTheme="majorHAnsi"/>
          <w:color w:val="auto"/>
          <w:sz w:val="20"/>
          <w:szCs w:val="20"/>
        </w:rPr>
        <w:t xml:space="preserve"> [No.</w:t>
      </w:r>
      <w:r w:rsidR="009E703D" w:rsidRPr="00B26051">
        <w:rPr>
          <w:rFonts w:asciiTheme="majorHAnsi" w:hAnsiTheme="majorHAnsi"/>
          <w:color w:val="auto"/>
          <w:sz w:val="20"/>
          <w:szCs w:val="20"/>
        </w:rPr>
        <w:t xml:space="preserve"> 7], [...] </w:t>
      </w:r>
      <w:r w:rsidR="00A114DC">
        <w:rPr>
          <w:rFonts w:asciiTheme="majorHAnsi" w:hAnsiTheme="majorHAnsi"/>
          <w:color w:val="auto"/>
          <w:sz w:val="20"/>
          <w:szCs w:val="20"/>
        </w:rPr>
        <w:t xml:space="preserve">they </w:t>
      </w:r>
      <w:r w:rsidRPr="00B26051">
        <w:rPr>
          <w:rFonts w:asciiTheme="majorHAnsi" w:hAnsiTheme="majorHAnsi"/>
          <w:color w:val="auto"/>
          <w:sz w:val="20"/>
          <w:szCs w:val="20"/>
        </w:rPr>
        <w:t>refused to en</w:t>
      </w:r>
      <w:r w:rsidR="009E703D" w:rsidRPr="00B26051">
        <w:rPr>
          <w:rFonts w:asciiTheme="majorHAnsi" w:hAnsiTheme="majorHAnsi"/>
          <w:color w:val="auto"/>
          <w:sz w:val="20"/>
          <w:szCs w:val="20"/>
        </w:rPr>
        <w:t>ter [their dormitory</w:t>
      </w:r>
      <w:r w:rsidR="00B84341" w:rsidRPr="00B26051">
        <w:rPr>
          <w:rFonts w:asciiTheme="majorHAnsi" w:hAnsiTheme="majorHAnsi"/>
          <w:color w:val="auto"/>
          <w:sz w:val="20"/>
          <w:szCs w:val="20"/>
        </w:rPr>
        <w:t>] and ran off</w:t>
      </w:r>
      <w:r w:rsidRPr="00B26051">
        <w:rPr>
          <w:rFonts w:asciiTheme="majorHAnsi" w:hAnsiTheme="majorHAnsi"/>
          <w:color w:val="auto"/>
          <w:sz w:val="20"/>
          <w:szCs w:val="20"/>
        </w:rPr>
        <w:t xml:space="preserve"> [...] because they wanted to fight with the boys [of No. 4], we managed to control them and return the</w:t>
      </w:r>
      <w:r w:rsidR="00A114DC">
        <w:rPr>
          <w:rFonts w:asciiTheme="majorHAnsi" w:hAnsiTheme="majorHAnsi"/>
          <w:color w:val="auto"/>
          <w:sz w:val="20"/>
          <w:szCs w:val="20"/>
        </w:rPr>
        <w:t>m to [No. 7].</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footnoteReference w:id="66"/>
      </w:r>
      <w:r w:rsidRPr="00B26051">
        <w:rPr>
          <w:rFonts w:asciiTheme="majorHAnsi" w:hAnsiTheme="majorHAnsi"/>
          <w:color w:val="auto"/>
          <w:sz w:val="20"/>
          <w:szCs w:val="20"/>
        </w:rPr>
        <w:t xml:space="preserve"> That is, in the hour before the fire there were two assaults against the inmates of cell No. 4, coupled with the fight between Parra and "the Boxer" hours before, all of which the staff of INAM -Saint </w:t>
      </w:r>
      <w:r w:rsidR="002033A9" w:rsidRPr="00B26051">
        <w:rPr>
          <w:rFonts w:asciiTheme="majorHAnsi" w:hAnsiTheme="majorHAnsi"/>
          <w:color w:val="auto"/>
          <w:sz w:val="20"/>
          <w:szCs w:val="20"/>
        </w:rPr>
        <w:t>Félix</w:t>
      </w:r>
      <w:r w:rsidR="00B84341" w:rsidRPr="00B26051">
        <w:rPr>
          <w:rFonts w:asciiTheme="majorHAnsi" w:hAnsiTheme="majorHAnsi"/>
          <w:color w:val="auto"/>
          <w:sz w:val="20"/>
          <w:szCs w:val="20"/>
        </w:rPr>
        <w:t xml:space="preserve"> knew about</w:t>
      </w:r>
      <w:r w:rsidRPr="00B26051">
        <w:rPr>
          <w:rFonts w:asciiTheme="majorHAnsi" w:hAnsiTheme="majorHAnsi"/>
          <w:color w:val="auto"/>
          <w:sz w:val="20"/>
          <w:szCs w:val="20"/>
        </w:rPr>
        <w:t>.</w:t>
      </w:r>
    </w:p>
    <w:p w14:paraId="3EE7C8C0" w14:textId="77777777" w:rsidR="00185D58" w:rsidRPr="00B26051" w:rsidRDefault="00185D58" w:rsidP="00185D58">
      <w:pPr>
        <w:jc w:val="both"/>
        <w:rPr>
          <w:rFonts w:asciiTheme="majorHAnsi" w:hAnsiTheme="majorHAnsi"/>
          <w:sz w:val="20"/>
          <w:szCs w:val="20"/>
        </w:rPr>
      </w:pPr>
    </w:p>
    <w:p w14:paraId="5D0D4BB5" w14:textId="75D24C2C" w:rsidR="00185D58" w:rsidRPr="00B26051" w:rsidRDefault="00F44994" w:rsidP="007F4FA0">
      <w:pPr>
        <w:pStyle w:val="ListParagraph"/>
        <w:numPr>
          <w:ilvl w:val="0"/>
          <w:numId w:val="57"/>
        </w:numPr>
        <w:ind w:left="0" w:firstLine="634"/>
        <w:jc w:val="both"/>
        <w:rPr>
          <w:color w:val="auto"/>
          <w:sz w:val="20"/>
          <w:szCs w:val="20"/>
        </w:rPr>
      </w:pPr>
      <w:r w:rsidRPr="00B26051">
        <w:rPr>
          <w:color w:val="auto"/>
          <w:sz w:val="20"/>
          <w:szCs w:val="20"/>
        </w:rPr>
        <w:lastRenderedPageBreak/>
        <w:t xml:space="preserve">The family members informed </w:t>
      </w:r>
      <w:r w:rsidR="009D7C7F" w:rsidRPr="00B26051">
        <w:rPr>
          <w:color w:val="auto"/>
          <w:sz w:val="20"/>
          <w:szCs w:val="20"/>
        </w:rPr>
        <w:t xml:space="preserve">guide </w:t>
      </w:r>
      <w:r w:rsidRPr="00B26051">
        <w:rPr>
          <w:color w:val="auto"/>
          <w:sz w:val="20"/>
          <w:szCs w:val="20"/>
        </w:rPr>
        <w:t xml:space="preserve">Chirinos </w:t>
      </w:r>
      <w:r w:rsidR="009D7C7F" w:rsidRPr="00B26051">
        <w:rPr>
          <w:color w:val="auto"/>
          <w:sz w:val="20"/>
          <w:szCs w:val="20"/>
        </w:rPr>
        <w:t xml:space="preserve">of </w:t>
      </w:r>
      <w:r w:rsidRPr="00B26051">
        <w:rPr>
          <w:color w:val="auto"/>
          <w:sz w:val="20"/>
          <w:szCs w:val="20"/>
        </w:rPr>
        <w:t>their concern</w:t>
      </w:r>
      <w:r w:rsidR="009D7C7F" w:rsidRPr="00B26051">
        <w:rPr>
          <w:color w:val="auto"/>
          <w:sz w:val="20"/>
          <w:szCs w:val="20"/>
        </w:rPr>
        <w:t>s</w:t>
      </w:r>
      <w:r w:rsidRPr="00B26051">
        <w:rPr>
          <w:color w:val="auto"/>
          <w:sz w:val="20"/>
          <w:szCs w:val="20"/>
        </w:rPr>
        <w:t xml:space="preserve">, who told them to </w:t>
      </w:r>
      <w:r w:rsidR="009D7C7F" w:rsidRPr="00B26051">
        <w:rPr>
          <w:color w:val="auto"/>
          <w:sz w:val="20"/>
          <w:szCs w:val="20"/>
        </w:rPr>
        <w:t>calm down as everything was under</w:t>
      </w:r>
      <w:r w:rsidRPr="00B26051">
        <w:rPr>
          <w:color w:val="auto"/>
          <w:sz w:val="20"/>
          <w:szCs w:val="20"/>
        </w:rPr>
        <w:t xml:space="preserve"> control. The relatives stayed o</w:t>
      </w:r>
      <w:r w:rsidR="009E703D" w:rsidRPr="00B26051">
        <w:rPr>
          <w:color w:val="auto"/>
          <w:sz w:val="20"/>
          <w:szCs w:val="20"/>
        </w:rPr>
        <w:t>utside to watch the youths</w:t>
      </w:r>
      <w:r w:rsidR="00A114DC">
        <w:rPr>
          <w:color w:val="auto"/>
          <w:sz w:val="20"/>
          <w:szCs w:val="20"/>
        </w:rPr>
        <w:t>,</w:t>
      </w:r>
      <w:r w:rsidRPr="00B26051">
        <w:rPr>
          <w:color w:val="auto"/>
          <w:sz w:val="20"/>
          <w:szCs w:val="20"/>
        </w:rPr>
        <w:t xml:space="preserve"> who then shouted to them that the teachers had put them in the cell without </w:t>
      </w:r>
      <w:r w:rsidR="004D3A1B" w:rsidRPr="00B26051">
        <w:rPr>
          <w:color w:val="auto"/>
          <w:sz w:val="20"/>
          <w:szCs w:val="20"/>
        </w:rPr>
        <w:t>any trouble</w:t>
      </w:r>
      <w:r w:rsidRPr="00B26051">
        <w:rPr>
          <w:color w:val="auto"/>
          <w:sz w:val="20"/>
          <w:szCs w:val="20"/>
        </w:rPr>
        <w:t xml:space="preserve"> and that they were eating.</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67"/>
      </w:r>
      <w:r w:rsidR="009E703D" w:rsidRPr="00B26051">
        <w:rPr>
          <w:color w:val="auto"/>
          <w:sz w:val="20"/>
          <w:szCs w:val="20"/>
        </w:rPr>
        <w:t xml:space="preserve"> The teachers</w:t>
      </w:r>
      <w:r w:rsidRPr="00B26051">
        <w:rPr>
          <w:color w:val="auto"/>
          <w:sz w:val="20"/>
          <w:szCs w:val="20"/>
        </w:rPr>
        <w:t xml:space="preserve"> decided to "take </w:t>
      </w:r>
      <w:r w:rsidR="004D3A1B" w:rsidRPr="00B26051">
        <w:rPr>
          <w:color w:val="auto"/>
          <w:sz w:val="20"/>
          <w:szCs w:val="20"/>
        </w:rPr>
        <w:t xml:space="preserve">[the inmates for dinner] </w:t>
      </w:r>
      <w:r w:rsidRPr="00B26051">
        <w:rPr>
          <w:color w:val="auto"/>
          <w:sz w:val="20"/>
          <w:szCs w:val="20"/>
        </w:rPr>
        <w:t>dormitory by dormitory, in view of the tense situation."</w:t>
      </w:r>
      <w:r w:rsidRPr="00B26051">
        <w:rPr>
          <w:color w:val="auto"/>
          <w:sz w:val="20"/>
          <w:szCs w:val="20"/>
          <w:vertAlign w:val="superscript"/>
        </w:rPr>
        <w:t xml:space="preserve"> </w:t>
      </w:r>
      <w:r w:rsidRPr="00B26051">
        <w:rPr>
          <w:color w:val="auto"/>
          <w:sz w:val="20"/>
          <w:szCs w:val="20"/>
          <w:vertAlign w:val="superscript"/>
        </w:rPr>
        <w:footnoteReference w:id="68"/>
      </w:r>
      <w:r w:rsidRPr="00B26051">
        <w:rPr>
          <w:color w:val="auto"/>
          <w:sz w:val="20"/>
          <w:szCs w:val="20"/>
        </w:rPr>
        <w:t xml:space="preserve"> The social work</w:t>
      </w:r>
      <w:r w:rsidR="004D3A1B" w:rsidRPr="00B26051">
        <w:rPr>
          <w:color w:val="auto"/>
          <w:sz w:val="20"/>
          <w:szCs w:val="20"/>
        </w:rPr>
        <w:t>er Hurtado stayed after her</w:t>
      </w:r>
      <w:r w:rsidRPr="00B26051">
        <w:rPr>
          <w:color w:val="auto"/>
          <w:sz w:val="20"/>
          <w:szCs w:val="20"/>
        </w:rPr>
        <w:t xml:space="preserve"> </w:t>
      </w:r>
      <w:r w:rsidR="004D3A1B" w:rsidRPr="00B26051">
        <w:rPr>
          <w:color w:val="auto"/>
          <w:sz w:val="20"/>
          <w:szCs w:val="20"/>
        </w:rPr>
        <w:t>leaving time</w:t>
      </w:r>
      <w:r w:rsidRPr="00B26051">
        <w:rPr>
          <w:color w:val="auto"/>
          <w:sz w:val="20"/>
          <w:szCs w:val="20"/>
        </w:rPr>
        <w:t xml:space="preserve"> at 4:00 pm "due to </w:t>
      </w:r>
      <w:r w:rsidR="004D3A1B" w:rsidRPr="00B26051">
        <w:rPr>
          <w:color w:val="auto"/>
          <w:sz w:val="20"/>
          <w:szCs w:val="20"/>
        </w:rPr>
        <w:t>the ongoing situation</w:t>
      </w:r>
      <w:r w:rsidRPr="00B26051">
        <w:rPr>
          <w:color w:val="auto"/>
          <w:sz w:val="20"/>
          <w:szCs w:val="20"/>
        </w:rPr>
        <w:t>" between the inmates of cells No. 7 and 4.</w:t>
      </w:r>
      <w:r w:rsidRPr="00B26051">
        <w:rPr>
          <w:color w:val="auto"/>
          <w:sz w:val="20"/>
          <w:szCs w:val="20"/>
          <w:vertAlign w:val="superscript"/>
        </w:rPr>
        <w:t xml:space="preserve"> </w:t>
      </w:r>
      <w:r w:rsidRPr="00B26051">
        <w:rPr>
          <w:color w:val="auto"/>
          <w:sz w:val="20"/>
          <w:szCs w:val="20"/>
          <w:vertAlign w:val="superscript"/>
        </w:rPr>
        <w:footnoteReference w:id="69"/>
      </w:r>
      <w:r w:rsidRPr="00B26051">
        <w:rPr>
          <w:color w:val="auto"/>
          <w:sz w:val="20"/>
          <w:szCs w:val="20"/>
        </w:rPr>
        <w:t xml:space="preserve"> The other four officials left the Center at 4:00 pm.</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70"/>
      </w:r>
    </w:p>
    <w:p w14:paraId="621E566A" w14:textId="77777777" w:rsidR="00185D58" w:rsidRPr="00B26051" w:rsidRDefault="00185D58" w:rsidP="00185D58">
      <w:pPr>
        <w:pStyle w:val="ListParagraph"/>
        <w:rPr>
          <w:rFonts w:asciiTheme="majorHAnsi" w:hAnsiTheme="majorHAnsi"/>
          <w:color w:val="auto"/>
          <w:sz w:val="20"/>
          <w:szCs w:val="20"/>
        </w:rPr>
      </w:pPr>
    </w:p>
    <w:p w14:paraId="40E5FD6B" w14:textId="06B90076" w:rsidR="00185D58" w:rsidRPr="00B26051" w:rsidRDefault="00F44994"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 xml:space="preserve">After </w:t>
      </w:r>
      <w:r w:rsidR="00EE5236" w:rsidRPr="00B26051">
        <w:rPr>
          <w:rFonts w:asciiTheme="majorHAnsi" w:hAnsiTheme="majorHAnsi"/>
          <w:color w:val="auto"/>
          <w:sz w:val="20"/>
          <w:szCs w:val="20"/>
        </w:rPr>
        <w:t>the return of the inmates of No. 4 to their</w:t>
      </w:r>
      <w:r w:rsidRPr="00B26051">
        <w:rPr>
          <w:rFonts w:asciiTheme="majorHAnsi" w:hAnsiTheme="majorHAnsi"/>
          <w:color w:val="auto"/>
          <w:sz w:val="20"/>
          <w:szCs w:val="20"/>
        </w:rPr>
        <w:t xml:space="preserve"> cell, at approximately 4:45 p.m., the guides Gómez and Chirinos went to </w:t>
      </w:r>
      <w:r w:rsidR="00EE5236" w:rsidRPr="00B26051">
        <w:rPr>
          <w:rFonts w:asciiTheme="majorHAnsi" w:hAnsiTheme="majorHAnsi"/>
          <w:color w:val="auto"/>
          <w:sz w:val="20"/>
          <w:szCs w:val="20"/>
        </w:rPr>
        <w:t>take the youths</w:t>
      </w:r>
      <w:r w:rsidRPr="00B26051">
        <w:rPr>
          <w:rFonts w:asciiTheme="majorHAnsi" w:hAnsiTheme="majorHAnsi"/>
          <w:color w:val="auto"/>
          <w:sz w:val="20"/>
          <w:szCs w:val="20"/>
        </w:rPr>
        <w:t xml:space="preserve"> from No. 2 for dinner, who </w:t>
      </w:r>
      <w:r w:rsidR="00EE5236" w:rsidRPr="00B26051">
        <w:rPr>
          <w:rFonts w:asciiTheme="majorHAnsi" w:hAnsiTheme="majorHAnsi"/>
          <w:color w:val="auto"/>
          <w:sz w:val="20"/>
          <w:szCs w:val="20"/>
        </w:rPr>
        <w:t>confronted</w:t>
      </w:r>
      <w:r w:rsidRPr="00B26051">
        <w:rPr>
          <w:rFonts w:asciiTheme="majorHAnsi" w:hAnsiTheme="majorHAnsi"/>
          <w:color w:val="auto"/>
          <w:sz w:val="20"/>
          <w:szCs w:val="20"/>
        </w:rPr>
        <w:t xml:space="preserve"> them with </w:t>
      </w:r>
      <w:r w:rsidR="00A114DC">
        <w:rPr>
          <w:rFonts w:asciiTheme="majorHAnsi" w:hAnsiTheme="majorHAnsi"/>
          <w:color w:val="auto"/>
          <w:sz w:val="20"/>
          <w:szCs w:val="20"/>
        </w:rPr>
        <w:t>improvised knives</w:t>
      </w:r>
      <w:r w:rsidRPr="00B26051">
        <w:rPr>
          <w:rFonts w:asciiTheme="majorHAnsi" w:hAnsiTheme="majorHAnsi"/>
          <w:color w:val="auto"/>
          <w:sz w:val="20"/>
          <w:szCs w:val="20"/>
        </w:rPr>
        <w:t xml:space="preserve"> and </w:t>
      </w:r>
      <w:r w:rsidR="00EE5236" w:rsidRPr="00B26051">
        <w:rPr>
          <w:rFonts w:asciiTheme="majorHAnsi" w:hAnsiTheme="majorHAnsi"/>
          <w:color w:val="auto"/>
          <w:sz w:val="20"/>
          <w:szCs w:val="20"/>
        </w:rPr>
        <w:t>sharp</w:t>
      </w:r>
      <w:r w:rsidRPr="00B26051">
        <w:rPr>
          <w:rFonts w:asciiTheme="majorHAnsi" w:hAnsiTheme="majorHAnsi"/>
          <w:color w:val="auto"/>
          <w:sz w:val="20"/>
          <w:szCs w:val="20"/>
        </w:rPr>
        <w:t xml:space="preserve"> objects.</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71"/>
      </w:r>
      <w:r w:rsidRPr="00B26051">
        <w:rPr>
          <w:rFonts w:asciiTheme="majorHAnsi" w:hAnsiTheme="majorHAnsi"/>
          <w:color w:val="auto"/>
          <w:sz w:val="20"/>
          <w:szCs w:val="20"/>
        </w:rPr>
        <w:t xml:space="preserve"> At that time, cell No. 2 housed eleven young people.</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72"/>
      </w:r>
      <w:r w:rsidRPr="00B26051">
        <w:rPr>
          <w:rFonts w:asciiTheme="majorHAnsi" w:hAnsiTheme="majorHAnsi"/>
          <w:color w:val="auto"/>
          <w:sz w:val="20"/>
          <w:szCs w:val="20"/>
        </w:rPr>
        <w:t xml:space="preserve"> The guide Chirinos </w:t>
      </w:r>
      <w:r w:rsidR="00EE5236" w:rsidRPr="00B26051">
        <w:rPr>
          <w:rFonts w:asciiTheme="majorHAnsi" w:hAnsiTheme="majorHAnsi"/>
          <w:color w:val="auto"/>
          <w:sz w:val="20"/>
          <w:szCs w:val="20"/>
        </w:rPr>
        <w:t>stated</w:t>
      </w:r>
      <w:r w:rsidRPr="00B26051">
        <w:rPr>
          <w:rFonts w:asciiTheme="majorHAnsi" w:hAnsiTheme="majorHAnsi"/>
          <w:color w:val="auto"/>
          <w:sz w:val="20"/>
          <w:szCs w:val="20"/>
        </w:rPr>
        <w:t xml:space="preserve"> that "the boys [...] ask</w:t>
      </w:r>
      <w:r w:rsidR="00A114DC">
        <w:rPr>
          <w:rFonts w:asciiTheme="majorHAnsi" w:hAnsiTheme="majorHAnsi"/>
          <w:color w:val="auto"/>
          <w:sz w:val="20"/>
          <w:szCs w:val="20"/>
        </w:rPr>
        <w:t>ed</w:t>
      </w:r>
      <w:r w:rsidRPr="00B26051">
        <w:rPr>
          <w:rFonts w:asciiTheme="majorHAnsi" w:hAnsiTheme="majorHAnsi"/>
          <w:color w:val="auto"/>
          <w:sz w:val="20"/>
          <w:szCs w:val="20"/>
        </w:rPr>
        <w:t xml:space="preserve"> us for the keys because they w</w:t>
      </w:r>
      <w:r w:rsidR="00EE5236" w:rsidRPr="00B26051">
        <w:rPr>
          <w:rFonts w:asciiTheme="majorHAnsi" w:hAnsiTheme="majorHAnsi"/>
          <w:color w:val="auto"/>
          <w:sz w:val="20"/>
          <w:szCs w:val="20"/>
        </w:rPr>
        <w:t xml:space="preserve">ere going to kill </w:t>
      </w:r>
      <w:r w:rsidR="00A114DC">
        <w:rPr>
          <w:rFonts w:asciiTheme="majorHAnsi" w:hAnsiTheme="majorHAnsi"/>
          <w:color w:val="auto"/>
          <w:sz w:val="20"/>
          <w:szCs w:val="20"/>
        </w:rPr>
        <w:t>those in No. 4</w:t>
      </w:r>
      <w:r w:rsidRPr="00B26051">
        <w:rPr>
          <w:rFonts w:asciiTheme="majorHAnsi" w:hAnsiTheme="majorHAnsi"/>
          <w:color w:val="auto"/>
          <w:sz w:val="20"/>
          <w:szCs w:val="20"/>
        </w:rPr>
        <w:t xml:space="preserve">, and to keep quiet, because otherwise they would </w:t>
      </w:r>
      <w:r w:rsidR="009E703D" w:rsidRPr="00B26051">
        <w:rPr>
          <w:rFonts w:asciiTheme="majorHAnsi" w:hAnsiTheme="majorHAnsi"/>
          <w:color w:val="auto"/>
          <w:sz w:val="20"/>
          <w:szCs w:val="20"/>
        </w:rPr>
        <w:t>attack</w:t>
      </w:r>
      <w:r w:rsidR="00EE5236" w:rsidRPr="00B26051">
        <w:rPr>
          <w:rFonts w:asciiTheme="majorHAnsi" w:hAnsiTheme="majorHAnsi"/>
          <w:color w:val="auto"/>
          <w:sz w:val="20"/>
          <w:szCs w:val="20"/>
        </w:rPr>
        <w:t xml:space="preserve"> </w:t>
      </w:r>
      <w:r w:rsidRPr="00B26051">
        <w:rPr>
          <w:rFonts w:asciiTheme="majorHAnsi" w:hAnsiTheme="majorHAnsi"/>
          <w:color w:val="auto"/>
          <w:sz w:val="20"/>
          <w:szCs w:val="20"/>
        </w:rPr>
        <w:t>us</w:t>
      </w:r>
      <w:r w:rsidR="00EE5236" w:rsidRPr="00B26051">
        <w:rPr>
          <w:rFonts w:asciiTheme="majorHAnsi" w:hAnsiTheme="majorHAnsi"/>
          <w:color w:val="auto"/>
          <w:sz w:val="20"/>
          <w:szCs w:val="20"/>
        </w:rPr>
        <w:t xml:space="preserve"> as well</w:t>
      </w:r>
      <w:r w:rsidRPr="00B26051">
        <w:rPr>
          <w:rFonts w:asciiTheme="majorHAnsi" w:hAnsiTheme="majorHAnsi"/>
          <w:color w:val="auto"/>
          <w:sz w:val="20"/>
          <w:szCs w:val="20"/>
        </w:rPr>
        <w:t xml:space="preserve">." He added that he </w:t>
      </w:r>
      <w:r w:rsidR="009E703D" w:rsidRPr="00B26051">
        <w:rPr>
          <w:rFonts w:asciiTheme="majorHAnsi" w:hAnsiTheme="majorHAnsi"/>
          <w:color w:val="auto"/>
          <w:sz w:val="20"/>
          <w:szCs w:val="20"/>
        </w:rPr>
        <w:t>saw "how the faces of these boys</w:t>
      </w:r>
      <w:r w:rsidRPr="00B26051">
        <w:rPr>
          <w:rFonts w:asciiTheme="majorHAnsi" w:hAnsiTheme="majorHAnsi"/>
          <w:color w:val="auto"/>
          <w:sz w:val="20"/>
          <w:szCs w:val="20"/>
        </w:rPr>
        <w:t xml:space="preserve"> had totally changed, </w:t>
      </w:r>
      <w:r w:rsidR="00EE5236" w:rsidRPr="00B26051">
        <w:rPr>
          <w:rFonts w:asciiTheme="majorHAnsi" w:hAnsiTheme="majorHAnsi"/>
          <w:color w:val="auto"/>
          <w:sz w:val="20"/>
          <w:szCs w:val="20"/>
        </w:rPr>
        <w:t>they were pale, and very agitated</w:t>
      </w:r>
      <w:r w:rsidRPr="00B26051">
        <w:rPr>
          <w:rFonts w:asciiTheme="majorHAnsi" w:hAnsiTheme="majorHAnsi"/>
          <w:color w:val="auto"/>
          <w:sz w:val="20"/>
          <w:szCs w:val="20"/>
        </w:rPr>
        <w:t xml:space="preserve">, [...] they were </w:t>
      </w:r>
      <w:r w:rsidR="009E703D" w:rsidRPr="00B26051">
        <w:rPr>
          <w:rFonts w:asciiTheme="majorHAnsi" w:hAnsiTheme="majorHAnsi"/>
          <w:color w:val="auto"/>
          <w:sz w:val="20"/>
          <w:szCs w:val="20"/>
        </w:rPr>
        <w:t>serious in what they said</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footnoteReference w:id="73"/>
      </w:r>
    </w:p>
    <w:p w14:paraId="5237D4B3" w14:textId="77777777" w:rsidR="00185D58" w:rsidRPr="00B26051" w:rsidRDefault="00185D58" w:rsidP="00185D58">
      <w:pPr>
        <w:pStyle w:val="ListParagraph"/>
        <w:rPr>
          <w:rFonts w:asciiTheme="majorHAnsi" w:hAnsiTheme="majorHAnsi"/>
          <w:color w:val="auto"/>
          <w:sz w:val="20"/>
          <w:szCs w:val="20"/>
        </w:rPr>
      </w:pPr>
    </w:p>
    <w:p w14:paraId="42E7C745" w14:textId="3C9365D8" w:rsidR="00185D58" w:rsidRPr="00B26051" w:rsidRDefault="00F44994"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 xml:space="preserve">The guide Gómez </w:t>
      </w:r>
      <w:r w:rsidR="007C68A0" w:rsidRPr="00B26051">
        <w:rPr>
          <w:rFonts w:asciiTheme="majorHAnsi" w:hAnsiTheme="majorHAnsi"/>
          <w:color w:val="auto"/>
          <w:sz w:val="20"/>
          <w:szCs w:val="20"/>
        </w:rPr>
        <w:t>stated</w:t>
      </w:r>
      <w:r w:rsidRPr="00B26051">
        <w:rPr>
          <w:rFonts w:asciiTheme="majorHAnsi" w:hAnsiTheme="majorHAnsi"/>
          <w:color w:val="auto"/>
          <w:sz w:val="20"/>
          <w:szCs w:val="20"/>
        </w:rPr>
        <w:t xml:space="preserve"> that while one of the inmates threatened him, he </w:t>
      </w:r>
      <w:r w:rsidR="00A114DC">
        <w:rPr>
          <w:rFonts w:asciiTheme="majorHAnsi" w:hAnsiTheme="majorHAnsi"/>
          <w:color w:val="auto"/>
          <w:sz w:val="20"/>
          <w:szCs w:val="20"/>
        </w:rPr>
        <w:t>moved</w:t>
      </w:r>
      <w:r w:rsidRPr="00B26051">
        <w:rPr>
          <w:rFonts w:asciiTheme="majorHAnsi" w:hAnsiTheme="majorHAnsi"/>
          <w:color w:val="auto"/>
          <w:sz w:val="20"/>
          <w:szCs w:val="20"/>
        </w:rPr>
        <w:t xml:space="preserve"> to</w:t>
      </w:r>
      <w:r w:rsidR="00A114DC">
        <w:rPr>
          <w:rFonts w:asciiTheme="majorHAnsi" w:hAnsiTheme="majorHAnsi"/>
          <w:color w:val="auto"/>
          <w:sz w:val="20"/>
          <w:szCs w:val="20"/>
        </w:rPr>
        <w:t>ward</w:t>
      </w:r>
      <w:r w:rsidRPr="00B26051">
        <w:rPr>
          <w:rFonts w:asciiTheme="majorHAnsi" w:hAnsiTheme="majorHAnsi"/>
          <w:color w:val="auto"/>
          <w:sz w:val="20"/>
          <w:szCs w:val="20"/>
        </w:rPr>
        <w:t xml:space="preserve"> the outside of the Center to throw the keys of the cells outside </w:t>
      </w:r>
      <w:r w:rsidR="00A114DC">
        <w:rPr>
          <w:rFonts w:asciiTheme="majorHAnsi" w:hAnsiTheme="majorHAnsi"/>
          <w:color w:val="auto"/>
          <w:sz w:val="20"/>
          <w:szCs w:val="20"/>
        </w:rPr>
        <w:t>so</w:t>
      </w:r>
      <w:r w:rsidRPr="00B26051">
        <w:rPr>
          <w:rFonts w:asciiTheme="majorHAnsi" w:hAnsiTheme="majorHAnsi"/>
          <w:color w:val="auto"/>
          <w:sz w:val="20"/>
          <w:szCs w:val="20"/>
        </w:rPr>
        <w:t xml:space="preserve"> that the youths would not take them off</w:t>
      </w:r>
      <w:r w:rsidR="007C68A0" w:rsidRPr="00B26051">
        <w:rPr>
          <w:rFonts w:asciiTheme="majorHAnsi" w:hAnsiTheme="majorHAnsi"/>
          <w:color w:val="auto"/>
          <w:sz w:val="20"/>
          <w:szCs w:val="20"/>
        </w:rPr>
        <w:t xml:space="preserve"> him</w:t>
      </w:r>
      <w:r w:rsidRPr="00B26051">
        <w:rPr>
          <w:rFonts w:asciiTheme="majorHAnsi" w:hAnsiTheme="majorHAnsi"/>
          <w:color w:val="auto"/>
          <w:sz w:val="20"/>
          <w:szCs w:val="20"/>
        </w:rPr>
        <w:t>. He added that while two young men threatened the two teachers, the others</w:t>
      </w:r>
      <w:r w:rsidR="002E370E" w:rsidRPr="00B26051">
        <w:rPr>
          <w:rFonts w:asciiTheme="majorHAnsi" w:hAnsiTheme="majorHAnsi"/>
          <w:color w:val="auto"/>
          <w:sz w:val="20"/>
          <w:szCs w:val="20"/>
        </w:rPr>
        <w:t xml:space="preserve"> went to cell No. 4 and "uttered</w:t>
      </w:r>
      <w:r w:rsidRPr="00B26051">
        <w:rPr>
          <w:rFonts w:asciiTheme="majorHAnsi" w:hAnsiTheme="majorHAnsi"/>
          <w:color w:val="auto"/>
          <w:sz w:val="20"/>
          <w:szCs w:val="20"/>
        </w:rPr>
        <w:t xml:space="preserve"> intimidating words [...] </w:t>
      </w:r>
      <w:r w:rsidR="002E370E" w:rsidRPr="00B26051">
        <w:rPr>
          <w:rFonts w:asciiTheme="majorHAnsi" w:hAnsiTheme="majorHAnsi"/>
          <w:color w:val="auto"/>
          <w:sz w:val="20"/>
          <w:szCs w:val="20"/>
        </w:rPr>
        <w:t>causing</w:t>
      </w:r>
      <w:r w:rsidRPr="00B26051">
        <w:rPr>
          <w:rFonts w:asciiTheme="majorHAnsi" w:hAnsiTheme="majorHAnsi"/>
          <w:color w:val="auto"/>
          <w:sz w:val="20"/>
          <w:szCs w:val="20"/>
        </w:rPr>
        <w:t xml:space="preserve"> the other dormito</w:t>
      </w:r>
      <w:r w:rsidR="002E370E" w:rsidRPr="00B26051">
        <w:rPr>
          <w:rFonts w:asciiTheme="majorHAnsi" w:hAnsiTheme="majorHAnsi"/>
          <w:color w:val="auto"/>
          <w:sz w:val="20"/>
          <w:szCs w:val="20"/>
        </w:rPr>
        <w:t>ries to join the riot." He added</w:t>
      </w:r>
      <w:r w:rsidRPr="00B26051">
        <w:rPr>
          <w:rFonts w:asciiTheme="majorHAnsi" w:hAnsiTheme="majorHAnsi"/>
          <w:color w:val="auto"/>
          <w:sz w:val="20"/>
          <w:szCs w:val="20"/>
        </w:rPr>
        <w:t xml:space="preserve"> that the guides began to "</w:t>
      </w:r>
      <w:r w:rsidR="00B26051" w:rsidRPr="00B26051">
        <w:rPr>
          <w:rFonts w:asciiTheme="majorHAnsi" w:hAnsiTheme="majorHAnsi"/>
          <w:color w:val="auto"/>
          <w:sz w:val="20"/>
          <w:szCs w:val="20"/>
        </w:rPr>
        <w:t>forcibly</w:t>
      </w:r>
      <w:r w:rsidR="002E370E" w:rsidRPr="00B26051">
        <w:rPr>
          <w:rFonts w:asciiTheme="majorHAnsi" w:hAnsiTheme="majorHAnsi"/>
          <w:color w:val="auto"/>
          <w:sz w:val="20"/>
          <w:szCs w:val="20"/>
        </w:rPr>
        <w:t xml:space="preserve"> </w:t>
      </w:r>
      <w:r w:rsidR="009E703D" w:rsidRPr="00B26051">
        <w:rPr>
          <w:rFonts w:asciiTheme="majorHAnsi" w:hAnsiTheme="majorHAnsi"/>
          <w:color w:val="auto"/>
          <w:sz w:val="20"/>
          <w:szCs w:val="20"/>
        </w:rPr>
        <w:t>return</w:t>
      </w:r>
      <w:r w:rsidRPr="00B26051">
        <w:rPr>
          <w:rFonts w:asciiTheme="majorHAnsi" w:hAnsiTheme="majorHAnsi"/>
          <w:color w:val="auto"/>
          <w:sz w:val="20"/>
          <w:szCs w:val="20"/>
        </w:rPr>
        <w:t xml:space="preserve"> the youngsters to their </w:t>
      </w:r>
      <w:r w:rsidR="002E370E" w:rsidRPr="00B26051">
        <w:rPr>
          <w:rFonts w:asciiTheme="majorHAnsi" w:hAnsiTheme="majorHAnsi"/>
          <w:color w:val="auto"/>
          <w:sz w:val="20"/>
          <w:szCs w:val="20"/>
        </w:rPr>
        <w:t>dormitories</w:t>
      </w:r>
      <w:r w:rsidRPr="00B26051">
        <w:rPr>
          <w:rFonts w:asciiTheme="majorHAnsi" w:hAnsiTheme="majorHAnsi"/>
          <w:color w:val="auto"/>
          <w:sz w:val="20"/>
          <w:szCs w:val="20"/>
        </w:rPr>
        <w:t xml:space="preserve">" and the youths returned to No. 2, where the guide Gomez and also the acting </w:t>
      </w:r>
      <w:r w:rsidR="002E370E" w:rsidRPr="00B26051">
        <w:rPr>
          <w:rFonts w:asciiTheme="majorHAnsi" w:hAnsiTheme="majorHAnsi"/>
          <w:color w:val="auto"/>
          <w:sz w:val="20"/>
          <w:szCs w:val="20"/>
        </w:rPr>
        <w:t>warden</w:t>
      </w:r>
      <w:r w:rsidR="009E703D" w:rsidRPr="00B26051">
        <w:rPr>
          <w:rFonts w:asciiTheme="majorHAnsi" w:hAnsiTheme="majorHAnsi"/>
          <w:color w:val="auto"/>
          <w:sz w:val="20"/>
          <w:szCs w:val="20"/>
        </w:rPr>
        <w:t xml:space="preserve"> Romero </w:t>
      </w:r>
      <w:r w:rsidR="002E370E" w:rsidRPr="00B26051">
        <w:rPr>
          <w:rFonts w:asciiTheme="majorHAnsi" w:hAnsiTheme="majorHAnsi"/>
          <w:color w:val="auto"/>
          <w:sz w:val="20"/>
          <w:szCs w:val="20"/>
        </w:rPr>
        <w:t>came into</w:t>
      </w:r>
      <w:r w:rsidRPr="00B26051">
        <w:rPr>
          <w:rFonts w:asciiTheme="majorHAnsi" w:hAnsiTheme="majorHAnsi"/>
          <w:color w:val="auto"/>
          <w:sz w:val="20"/>
          <w:szCs w:val="20"/>
        </w:rPr>
        <w:t xml:space="preserve"> the Center to talk to them and co</w:t>
      </w:r>
      <w:r w:rsidR="002E370E" w:rsidRPr="00B26051">
        <w:rPr>
          <w:rFonts w:asciiTheme="majorHAnsi" w:hAnsiTheme="majorHAnsi"/>
          <w:color w:val="auto"/>
          <w:sz w:val="20"/>
          <w:szCs w:val="20"/>
        </w:rPr>
        <w:t>nfiscate the weapons</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74"/>
      </w:r>
      <w:r w:rsidRPr="00B26051">
        <w:rPr>
          <w:rFonts w:asciiTheme="majorHAnsi" w:hAnsiTheme="majorHAnsi"/>
          <w:color w:val="auto"/>
          <w:sz w:val="20"/>
          <w:szCs w:val="20"/>
        </w:rPr>
        <w:t xml:space="preserve">  The latter stated that "one of the youths of [No. 4], [shouted] run </w:t>
      </w:r>
      <w:r w:rsidR="00A114DC">
        <w:rPr>
          <w:rFonts w:asciiTheme="majorHAnsi" w:hAnsiTheme="majorHAnsi"/>
          <w:color w:val="auto"/>
          <w:sz w:val="20"/>
          <w:szCs w:val="20"/>
        </w:rPr>
        <w:t>man</w:t>
      </w:r>
      <w:r w:rsidR="00CB4C24" w:rsidRPr="00B26051">
        <w:rPr>
          <w:rFonts w:asciiTheme="majorHAnsi" w:hAnsiTheme="majorHAnsi"/>
          <w:color w:val="auto"/>
          <w:sz w:val="20"/>
          <w:szCs w:val="20"/>
        </w:rPr>
        <w:t>, it’s a riot.</w:t>
      </w:r>
      <w:r w:rsidRPr="00B26051">
        <w:rPr>
          <w:rFonts w:asciiTheme="majorHAnsi" w:hAnsiTheme="majorHAnsi"/>
          <w:color w:val="auto"/>
          <w:sz w:val="20"/>
          <w:szCs w:val="20"/>
        </w:rPr>
        <w:t xml:space="preserve"> I immediately </w:t>
      </w:r>
      <w:r w:rsidR="00CB4C24" w:rsidRPr="00B26051">
        <w:rPr>
          <w:rFonts w:asciiTheme="majorHAnsi" w:hAnsiTheme="majorHAnsi"/>
          <w:color w:val="auto"/>
          <w:sz w:val="20"/>
          <w:szCs w:val="20"/>
        </w:rPr>
        <w:t>went</w:t>
      </w:r>
      <w:r w:rsidRPr="00B26051">
        <w:rPr>
          <w:rFonts w:asciiTheme="majorHAnsi" w:hAnsiTheme="majorHAnsi"/>
          <w:color w:val="auto"/>
          <w:sz w:val="20"/>
          <w:szCs w:val="20"/>
        </w:rPr>
        <w:t xml:space="preserve"> to the inner part [...] and </w:t>
      </w:r>
      <w:r w:rsidR="00CB4C24" w:rsidRPr="00B26051">
        <w:rPr>
          <w:rFonts w:asciiTheme="majorHAnsi" w:hAnsiTheme="majorHAnsi"/>
          <w:color w:val="auto"/>
          <w:sz w:val="20"/>
          <w:szCs w:val="20"/>
        </w:rPr>
        <w:t>arrived at</w:t>
      </w:r>
      <w:r w:rsidRPr="00B26051">
        <w:rPr>
          <w:rFonts w:asciiTheme="majorHAnsi" w:hAnsiTheme="majorHAnsi"/>
          <w:color w:val="auto"/>
          <w:sz w:val="20"/>
          <w:szCs w:val="20"/>
        </w:rPr>
        <w:t xml:space="preserve"> </w:t>
      </w:r>
      <w:r w:rsidR="00CB4C24" w:rsidRPr="00B26051">
        <w:rPr>
          <w:rFonts w:asciiTheme="majorHAnsi" w:hAnsiTheme="majorHAnsi"/>
          <w:color w:val="auto"/>
          <w:sz w:val="20"/>
          <w:szCs w:val="20"/>
        </w:rPr>
        <w:t>[No. 2]</w:t>
      </w:r>
      <w:r w:rsidRPr="00B26051">
        <w:rPr>
          <w:rFonts w:asciiTheme="majorHAnsi" w:hAnsiTheme="majorHAnsi"/>
          <w:color w:val="auto"/>
          <w:sz w:val="20"/>
          <w:szCs w:val="20"/>
        </w:rPr>
        <w:t>"</w:t>
      </w:r>
      <w:r w:rsidR="00CB4C24" w:rsidRPr="00B26051">
        <w:rPr>
          <w:rFonts w:asciiTheme="majorHAnsi" w:hAnsiTheme="majorHAnsi"/>
          <w:color w:val="auto"/>
          <w:sz w:val="20"/>
          <w:szCs w:val="20"/>
        </w:rPr>
        <w:t xml:space="preserve"> where the youths “on seeing me</w:t>
      </w:r>
      <w:r w:rsidRPr="00B26051">
        <w:rPr>
          <w:rFonts w:asciiTheme="majorHAnsi" w:hAnsiTheme="majorHAnsi"/>
          <w:color w:val="auto"/>
          <w:sz w:val="20"/>
          <w:szCs w:val="20"/>
        </w:rPr>
        <w:t xml:space="preserve"> </w:t>
      </w:r>
      <w:r w:rsidR="00CB4C24" w:rsidRPr="00B26051">
        <w:rPr>
          <w:rFonts w:asciiTheme="majorHAnsi" w:hAnsiTheme="majorHAnsi"/>
          <w:color w:val="auto"/>
          <w:sz w:val="20"/>
          <w:szCs w:val="20"/>
        </w:rPr>
        <w:t>went to their dormitory</w:t>
      </w:r>
      <w:r w:rsidRPr="00B26051">
        <w:rPr>
          <w:rFonts w:asciiTheme="majorHAnsi" w:hAnsiTheme="majorHAnsi"/>
          <w:color w:val="auto"/>
          <w:sz w:val="20"/>
          <w:szCs w:val="20"/>
        </w:rPr>
        <w:t xml:space="preserve"> and I </w:t>
      </w:r>
      <w:r w:rsidR="00CB4C24" w:rsidRPr="00B26051">
        <w:rPr>
          <w:rFonts w:asciiTheme="majorHAnsi" w:hAnsiTheme="majorHAnsi"/>
          <w:color w:val="auto"/>
          <w:sz w:val="20"/>
          <w:szCs w:val="20"/>
        </w:rPr>
        <w:t>went</w:t>
      </w:r>
      <w:r w:rsidRPr="00B26051">
        <w:rPr>
          <w:rFonts w:asciiTheme="majorHAnsi" w:hAnsiTheme="majorHAnsi"/>
          <w:color w:val="auto"/>
          <w:sz w:val="20"/>
          <w:szCs w:val="20"/>
        </w:rPr>
        <w:t xml:space="preserve"> to talk to them to see what was happening.</w:t>
      </w:r>
      <w:r w:rsidR="00A114DC">
        <w:rPr>
          <w:rFonts w:asciiTheme="majorHAnsi" w:hAnsiTheme="majorHAnsi"/>
          <w:color w:val="auto"/>
          <w:sz w:val="20"/>
          <w:szCs w:val="20"/>
        </w:rPr>
        <w:t>”</w:t>
      </w:r>
      <w:r w:rsidRPr="00B26051">
        <w:rPr>
          <w:rStyle w:val="FootnoteReference"/>
          <w:rFonts w:asciiTheme="majorHAnsi" w:hAnsiTheme="majorHAnsi"/>
          <w:color w:val="auto"/>
          <w:sz w:val="20"/>
          <w:szCs w:val="20"/>
        </w:rPr>
        <w:footnoteReference w:id="75"/>
      </w:r>
    </w:p>
    <w:p w14:paraId="50D47FA7" w14:textId="77777777" w:rsidR="00185D58" w:rsidRPr="00B26051" w:rsidRDefault="00185D58" w:rsidP="00185D58">
      <w:pPr>
        <w:pStyle w:val="ListParagraph"/>
        <w:rPr>
          <w:rFonts w:asciiTheme="majorHAnsi" w:hAnsiTheme="majorHAnsi"/>
          <w:color w:val="auto"/>
          <w:sz w:val="20"/>
          <w:szCs w:val="20"/>
        </w:rPr>
      </w:pPr>
    </w:p>
    <w:p w14:paraId="0331FE7E" w14:textId="7DB6D24D" w:rsidR="00185D58" w:rsidRPr="00B26051" w:rsidRDefault="004377CC"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While the acting warden</w:t>
      </w:r>
      <w:r w:rsidR="00F44994" w:rsidRPr="00B26051">
        <w:rPr>
          <w:rFonts w:asciiTheme="majorHAnsi" w:hAnsiTheme="majorHAnsi"/>
          <w:color w:val="auto"/>
          <w:sz w:val="20"/>
          <w:szCs w:val="20"/>
        </w:rPr>
        <w:t xml:space="preserve"> Romero and the guide Gómez remained in cell No. 2, the guide Chirinos went out into the corridor and approached No. 4, where he heard screams and </w:t>
      </w:r>
      <w:r w:rsidRPr="00B26051">
        <w:rPr>
          <w:rFonts w:asciiTheme="majorHAnsi" w:hAnsiTheme="majorHAnsi"/>
          <w:color w:val="auto"/>
          <w:sz w:val="20"/>
          <w:szCs w:val="20"/>
        </w:rPr>
        <w:t>noticed</w:t>
      </w:r>
      <w:r w:rsidR="00F44994" w:rsidRPr="00B26051">
        <w:rPr>
          <w:rFonts w:asciiTheme="majorHAnsi" w:hAnsiTheme="majorHAnsi"/>
          <w:color w:val="auto"/>
          <w:sz w:val="20"/>
          <w:szCs w:val="20"/>
        </w:rPr>
        <w:t xml:space="preserve"> the smoke coming out of the cell.</w:t>
      </w:r>
      <w:r w:rsidR="00F44994" w:rsidRPr="00B26051">
        <w:rPr>
          <w:rStyle w:val="FootnoteReference"/>
          <w:rFonts w:asciiTheme="majorHAnsi" w:hAnsiTheme="majorHAnsi"/>
          <w:color w:val="auto"/>
          <w:sz w:val="20"/>
          <w:szCs w:val="20"/>
        </w:rPr>
        <w:t xml:space="preserve"> </w:t>
      </w:r>
      <w:r w:rsidR="00F44994" w:rsidRPr="00B26051">
        <w:rPr>
          <w:rStyle w:val="FootnoteReference"/>
          <w:rFonts w:asciiTheme="majorHAnsi" w:hAnsiTheme="majorHAnsi"/>
          <w:color w:val="auto"/>
          <w:sz w:val="20"/>
          <w:szCs w:val="20"/>
        </w:rPr>
        <w:footnoteReference w:id="76"/>
      </w:r>
      <w:r w:rsidR="00F44994" w:rsidRPr="00B26051">
        <w:rPr>
          <w:rFonts w:asciiTheme="majorHAnsi" w:hAnsiTheme="majorHAnsi"/>
          <w:color w:val="auto"/>
          <w:sz w:val="20"/>
          <w:szCs w:val="20"/>
        </w:rPr>
        <w:t xml:space="preserve"> Chirinos reported that "about three minutes </w:t>
      </w:r>
      <w:r w:rsidRPr="00B26051">
        <w:rPr>
          <w:rFonts w:asciiTheme="majorHAnsi" w:hAnsiTheme="majorHAnsi"/>
          <w:color w:val="auto"/>
          <w:sz w:val="20"/>
          <w:szCs w:val="20"/>
        </w:rPr>
        <w:t>passed from the time</w:t>
      </w:r>
      <w:r w:rsidR="0013338B" w:rsidRPr="00B26051">
        <w:rPr>
          <w:rFonts w:asciiTheme="majorHAnsi" w:hAnsiTheme="majorHAnsi"/>
          <w:color w:val="auto"/>
          <w:sz w:val="20"/>
          <w:szCs w:val="20"/>
        </w:rPr>
        <w:t xml:space="preserve"> the youths started calling me </w:t>
      </w:r>
      <w:r w:rsidR="00F44994" w:rsidRPr="00B26051">
        <w:rPr>
          <w:rFonts w:asciiTheme="majorHAnsi" w:hAnsiTheme="majorHAnsi"/>
          <w:color w:val="auto"/>
          <w:sz w:val="20"/>
          <w:szCs w:val="20"/>
        </w:rPr>
        <w:t>[</w:t>
      </w:r>
      <w:r w:rsidR="0013338B" w:rsidRPr="00B26051">
        <w:rPr>
          <w:rFonts w:asciiTheme="majorHAnsi" w:hAnsiTheme="majorHAnsi"/>
          <w:color w:val="auto"/>
          <w:sz w:val="20"/>
          <w:szCs w:val="20"/>
        </w:rPr>
        <w:t>from No. 4 until the moment he</w:t>
      </w:r>
      <w:r w:rsidR="00F44994" w:rsidRPr="00B26051">
        <w:rPr>
          <w:rFonts w:asciiTheme="majorHAnsi" w:hAnsiTheme="majorHAnsi"/>
          <w:color w:val="auto"/>
          <w:sz w:val="20"/>
          <w:szCs w:val="20"/>
        </w:rPr>
        <w:t xml:space="preserve"> arrived at the cell], </w:t>
      </w:r>
      <w:r w:rsidR="0013338B" w:rsidRPr="00B26051">
        <w:rPr>
          <w:rFonts w:asciiTheme="majorHAnsi" w:hAnsiTheme="majorHAnsi"/>
          <w:color w:val="auto"/>
          <w:sz w:val="20"/>
          <w:szCs w:val="20"/>
        </w:rPr>
        <w:t>that</w:t>
      </w:r>
      <w:r w:rsidR="00F44994" w:rsidRPr="00B26051">
        <w:rPr>
          <w:rFonts w:asciiTheme="majorHAnsi" w:hAnsiTheme="majorHAnsi"/>
          <w:color w:val="auto"/>
          <w:sz w:val="20"/>
          <w:szCs w:val="20"/>
        </w:rPr>
        <w:t xml:space="preserve"> was approximately </w:t>
      </w:r>
      <w:r w:rsidR="0013338B" w:rsidRPr="00B26051">
        <w:rPr>
          <w:rFonts w:asciiTheme="majorHAnsi" w:hAnsiTheme="majorHAnsi"/>
          <w:color w:val="auto"/>
          <w:sz w:val="20"/>
          <w:szCs w:val="20"/>
        </w:rPr>
        <w:t xml:space="preserve">at </w:t>
      </w:r>
      <w:r w:rsidR="00F44994" w:rsidRPr="00B26051">
        <w:rPr>
          <w:rFonts w:asciiTheme="majorHAnsi" w:hAnsiTheme="majorHAnsi"/>
          <w:color w:val="auto"/>
          <w:sz w:val="20"/>
          <w:szCs w:val="20"/>
        </w:rPr>
        <w:t>[5:00 pm]."</w:t>
      </w:r>
      <w:r w:rsidR="00F44994" w:rsidRPr="00B26051">
        <w:rPr>
          <w:rStyle w:val="FootnoteReference"/>
          <w:rFonts w:asciiTheme="majorHAnsi" w:hAnsiTheme="majorHAnsi"/>
          <w:color w:val="auto"/>
          <w:sz w:val="20"/>
          <w:szCs w:val="20"/>
        </w:rPr>
        <w:t xml:space="preserve"> </w:t>
      </w:r>
      <w:r w:rsidR="00F44994" w:rsidRPr="00B26051">
        <w:rPr>
          <w:rStyle w:val="FootnoteReference"/>
          <w:rFonts w:asciiTheme="majorHAnsi" w:hAnsiTheme="majorHAnsi"/>
          <w:color w:val="auto"/>
          <w:sz w:val="20"/>
          <w:szCs w:val="20"/>
        </w:rPr>
        <w:footnoteReference w:id="77"/>
      </w:r>
      <w:r w:rsidR="00F44994" w:rsidRPr="00B26051">
        <w:rPr>
          <w:rFonts w:asciiTheme="majorHAnsi" w:hAnsiTheme="majorHAnsi"/>
          <w:color w:val="auto"/>
          <w:sz w:val="20"/>
          <w:szCs w:val="20"/>
        </w:rPr>
        <w:t xml:space="preserve"> Acting </w:t>
      </w:r>
      <w:r w:rsidR="0059573F" w:rsidRPr="00B26051">
        <w:rPr>
          <w:rFonts w:asciiTheme="majorHAnsi" w:hAnsiTheme="majorHAnsi"/>
          <w:color w:val="auto"/>
          <w:sz w:val="20"/>
          <w:szCs w:val="20"/>
        </w:rPr>
        <w:t>warden</w:t>
      </w:r>
      <w:r w:rsidR="00F44994" w:rsidRPr="00B26051">
        <w:rPr>
          <w:rFonts w:asciiTheme="majorHAnsi" w:hAnsiTheme="majorHAnsi"/>
          <w:color w:val="auto"/>
          <w:sz w:val="20"/>
          <w:szCs w:val="20"/>
        </w:rPr>
        <w:t xml:space="preserve"> Romero reported that </w:t>
      </w:r>
      <w:r w:rsidR="0059573F" w:rsidRPr="00B26051">
        <w:rPr>
          <w:rFonts w:asciiTheme="majorHAnsi" w:hAnsiTheme="majorHAnsi"/>
          <w:color w:val="auto"/>
          <w:sz w:val="20"/>
          <w:szCs w:val="20"/>
        </w:rPr>
        <w:t>on leaving cell No. 2 "when he</w:t>
      </w:r>
      <w:r w:rsidR="00F44994" w:rsidRPr="00B26051">
        <w:rPr>
          <w:rFonts w:asciiTheme="majorHAnsi" w:hAnsiTheme="majorHAnsi"/>
          <w:color w:val="auto"/>
          <w:sz w:val="20"/>
          <w:szCs w:val="20"/>
        </w:rPr>
        <w:t xml:space="preserve"> arrived [at No. 4] there were no voices, no noise, only the flames </w:t>
      </w:r>
      <w:r w:rsidR="0059573F" w:rsidRPr="00B26051">
        <w:rPr>
          <w:rFonts w:asciiTheme="majorHAnsi" w:hAnsiTheme="majorHAnsi"/>
          <w:color w:val="auto"/>
          <w:sz w:val="20"/>
          <w:szCs w:val="20"/>
        </w:rPr>
        <w:t>spreading in the dormitory and</w:t>
      </w:r>
      <w:r w:rsidR="00F44994" w:rsidRPr="00B26051">
        <w:rPr>
          <w:rFonts w:asciiTheme="majorHAnsi" w:hAnsiTheme="majorHAnsi"/>
          <w:color w:val="auto"/>
          <w:sz w:val="20"/>
          <w:szCs w:val="20"/>
        </w:rPr>
        <w:t xml:space="preserve"> the smoke."</w:t>
      </w:r>
      <w:r w:rsidR="00F44994" w:rsidRPr="00B26051">
        <w:rPr>
          <w:rStyle w:val="FootnoteReference"/>
          <w:rFonts w:asciiTheme="majorHAnsi" w:hAnsiTheme="majorHAnsi"/>
          <w:color w:val="auto"/>
          <w:sz w:val="20"/>
          <w:szCs w:val="20"/>
        </w:rPr>
        <w:t xml:space="preserve"> </w:t>
      </w:r>
      <w:r w:rsidR="00F44994" w:rsidRPr="00B26051">
        <w:rPr>
          <w:rStyle w:val="FootnoteReference"/>
          <w:rFonts w:asciiTheme="majorHAnsi" w:hAnsiTheme="majorHAnsi"/>
          <w:color w:val="auto"/>
          <w:sz w:val="20"/>
          <w:szCs w:val="20"/>
        </w:rPr>
        <w:footnoteReference w:id="78"/>
      </w:r>
    </w:p>
    <w:p w14:paraId="2FFCCC91" w14:textId="77777777" w:rsidR="00185D58" w:rsidRPr="00B26051" w:rsidRDefault="00185D58" w:rsidP="00185D58">
      <w:pPr>
        <w:pStyle w:val="ListParagraph"/>
        <w:rPr>
          <w:rFonts w:asciiTheme="majorHAnsi" w:hAnsiTheme="majorHAnsi"/>
          <w:color w:val="auto"/>
          <w:sz w:val="20"/>
          <w:szCs w:val="20"/>
        </w:rPr>
      </w:pPr>
    </w:p>
    <w:p w14:paraId="10409146" w14:textId="524172BA" w:rsidR="00185D58" w:rsidRPr="00B26051" w:rsidRDefault="005242AC"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 xml:space="preserve">The </w:t>
      </w:r>
      <w:r w:rsidR="00C43735" w:rsidRPr="00B26051">
        <w:rPr>
          <w:rFonts w:asciiTheme="majorHAnsi" w:hAnsiTheme="majorHAnsi"/>
          <w:color w:val="auto"/>
          <w:sz w:val="20"/>
          <w:szCs w:val="20"/>
        </w:rPr>
        <w:t>youths</w:t>
      </w:r>
      <w:r w:rsidRPr="00B26051">
        <w:rPr>
          <w:rFonts w:asciiTheme="majorHAnsi" w:hAnsiTheme="majorHAnsi"/>
          <w:color w:val="auto"/>
          <w:sz w:val="20"/>
          <w:szCs w:val="20"/>
        </w:rPr>
        <w:t xml:space="preserve"> Zabala and Lira, as well as young Mota's family, witnessed the events from </w:t>
      </w:r>
      <w:r w:rsidR="00A114DC">
        <w:rPr>
          <w:rFonts w:asciiTheme="majorHAnsi" w:hAnsiTheme="majorHAnsi"/>
          <w:color w:val="auto"/>
          <w:sz w:val="20"/>
          <w:szCs w:val="20"/>
        </w:rPr>
        <w:t xml:space="preserve">outside. </w:t>
      </w:r>
      <w:r w:rsidRPr="00B26051">
        <w:rPr>
          <w:rFonts w:asciiTheme="majorHAnsi" w:hAnsiTheme="majorHAnsi"/>
          <w:color w:val="auto"/>
          <w:sz w:val="20"/>
          <w:szCs w:val="20"/>
        </w:rPr>
        <w:t xml:space="preserve">Osmely Mota questioned the </w:t>
      </w:r>
      <w:r w:rsidR="00C43735" w:rsidRPr="00B26051">
        <w:rPr>
          <w:rFonts w:asciiTheme="majorHAnsi" w:hAnsiTheme="majorHAnsi"/>
          <w:color w:val="auto"/>
          <w:sz w:val="20"/>
          <w:szCs w:val="20"/>
        </w:rPr>
        <w:t>account</w:t>
      </w:r>
      <w:r w:rsidRPr="00B26051">
        <w:rPr>
          <w:rFonts w:asciiTheme="majorHAnsi" w:hAnsiTheme="majorHAnsi"/>
          <w:color w:val="auto"/>
          <w:sz w:val="20"/>
          <w:szCs w:val="20"/>
        </w:rPr>
        <w:t xml:space="preserve"> of acting </w:t>
      </w:r>
      <w:r w:rsidR="00C43735" w:rsidRPr="00B26051">
        <w:rPr>
          <w:rFonts w:asciiTheme="majorHAnsi" w:hAnsiTheme="majorHAnsi"/>
          <w:color w:val="auto"/>
          <w:sz w:val="20"/>
          <w:szCs w:val="20"/>
        </w:rPr>
        <w:t>warden</w:t>
      </w:r>
      <w:r w:rsidRPr="00B26051">
        <w:rPr>
          <w:rFonts w:asciiTheme="majorHAnsi" w:hAnsiTheme="majorHAnsi"/>
          <w:color w:val="auto"/>
          <w:sz w:val="20"/>
          <w:szCs w:val="20"/>
        </w:rPr>
        <w:t xml:space="preserve"> Romero. </w:t>
      </w:r>
      <w:r w:rsidR="00A114DC">
        <w:rPr>
          <w:rFonts w:asciiTheme="majorHAnsi" w:hAnsiTheme="majorHAnsi"/>
          <w:color w:val="auto"/>
          <w:sz w:val="20"/>
          <w:szCs w:val="20"/>
        </w:rPr>
        <w:t>She</w:t>
      </w:r>
      <w:r w:rsidRPr="00B26051">
        <w:rPr>
          <w:rFonts w:asciiTheme="majorHAnsi" w:hAnsiTheme="majorHAnsi"/>
          <w:color w:val="auto"/>
          <w:sz w:val="20"/>
          <w:szCs w:val="20"/>
        </w:rPr>
        <w:t xml:space="preserve"> argued that the </w:t>
      </w:r>
      <w:r w:rsidR="00C43735" w:rsidRPr="00B26051">
        <w:rPr>
          <w:rFonts w:asciiTheme="majorHAnsi" w:hAnsiTheme="majorHAnsi"/>
          <w:color w:val="auto"/>
          <w:sz w:val="20"/>
          <w:szCs w:val="20"/>
        </w:rPr>
        <w:t>warden</w:t>
      </w:r>
      <w:r w:rsidRPr="00B26051">
        <w:rPr>
          <w:rFonts w:asciiTheme="majorHAnsi" w:hAnsiTheme="majorHAnsi"/>
          <w:color w:val="auto"/>
          <w:sz w:val="20"/>
          <w:szCs w:val="20"/>
        </w:rPr>
        <w:t xml:space="preserve"> was "sitting at the entrance playing chess, [when] my broth</w:t>
      </w:r>
      <w:r w:rsidR="009E703D" w:rsidRPr="00B26051">
        <w:rPr>
          <w:rFonts w:asciiTheme="majorHAnsi" w:hAnsiTheme="majorHAnsi"/>
          <w:color w:val="auto"/>
          <w:sz w:val="20"/>
          <w:szCs w:val="20"/>
        </w:rPr>
        <w:t xml:space="preserve">er and Parra started shouting, </w:t>
      </w:r>
      <w:r w:rsidR="00A114DC">
        <w:rPr>
          <w:rFonts w:asciiTheme="majorHAnsi" w:hAnsiTheme="majorHAnsi"/>
          <w:color w:val="auto"/>
          <w:sz w:val="20"/>
          <w:szCs w:val="20"/>
        </w:rPr>
        <w:t>‘</w:t>
      </w:r>
      <w:r w:rsidRPr="00B26051">
        <w:rPr>
          <w:rFonts w:asciiTheme="majorHAnsi" w:hAnsiTheme="majorHAnsi"/>
          <w:color w:val="auto"/>
          <w:sz w:val="20"/>
          <w:szCs w:val="20"/>
        </w:rPr>
        <w:t>Romero</w:t>
      </w:r>
      <w:r w:rsidR="009E703D" w:rsidRPr="00B26051">
        <w:rPr>
          <w:rFonts w:asciiTheme="majorHAnsi" w:hAnsiTheme="majorHAnsi"/>
          <w:color w:val="auto"/>
          <w:sz w:val="20"/>
          <w:szCs w:val="20"/>
        </w:rPr>
        <w:t>,</w:t>
      </w:r>
      <w:r w:rsidRPr="00B26051">
        <w:rPr>
          <w:rFonts w:asciiTheme="majorHAnsi" w:hAnsiTheme="majorHAnsi"/>
          <w:color w:val="auto"/>
          <w:sz w:val="20"/>
          <w:szCs w:val="20"/>
        </w:rPr>
        <w:t xml:space="preserve"> </w:t>
      </w:r>
      <w:r w:rsidR="009E703D" w:rsidRPr="00B26051">
        <w:rPr>
          <w:rFonts w:asciiTheme="majorHAnsi" w:hAnsiTheme="majorHAnsi"/>
          <w:color w:val="auto"/>
          <w:sz w:val="20"/>
          <w:szCs w:val="20"/>
        </w:rPr>
        <w:t xml:space="preserve">it’s </w:t>
      </w:r>
      <w:r w:rsidRPr="00B26051">
        <w:rPr>
          <w:rFonts w:asciiTheme="majorHAnsi" w:hAnsiTheme="majorHAnsi"/>
          <w:color w:val="auto"/>
          <w:sz w:val="20"/>
          <w:szCs w:val="20"/>
        </w:rPr>
        <w:t>a ri</w:t>
      </w:r>
      <w:r w:rsidR="009E703D" w:rsidRPr="00B26051">
        <w:rPr>
          <w:rFonts w:asciiTheme="majorHAnsi" w:hAnsiTheme="majorHAnsi"/>
          <w:color w:val="auto"/>
          <w:sz w:val="20"/>
          <w:szCs w:val="20"/>
        </w:rPr>
        <w:t>ot</w:t>
      </w:r>
      <w:r w:rsidR="00A114DC">
        <w:rPr>
          <w:rFonts w:asciiTheme="majorHAnsi" w:hAnsiTheme="majorHAnsi"/>
          <w:color w:val="auto"/>
          <w:sz w:val="20"/>
          <w:szCs w:val="20"/>
        </w:rPr>
        <w:t>’</w:t>
      </w:r>
      <w:r w:rsidRPr="00B26051">
        <w:rPr>
          <w:rFonts w:asciiTheme="majorHAnsi" w:hAnsiTheme="majorHAnsi"/>
          <w:color w:val="auto"/>
          <w:sz w:val="20"/>
          <w:szCs w:val="20"/>
        </w:rPr>
        <w:t xml:space="preserve">[.] </w:t>
      </w:r>
      <w:r w:rsidR="00A860EF" w:rsidRPr="00B26051">
        <w:rPr>
          <w:rFonts w:asciiTheme="majorHAnsi" w:hAnsiTheme="majorHAnsi"/>
          <w:color w:val="auto"/>
          <w:sz w:val="20"/>
          <w:szCs w:val="20"/>
        </w:rPr>
        <w:t>It was strange to us that Romero couldn’t hear</w:t>
      </w:r>
      <w:r w:rsidR="009E703D" w:rsidRPr="00B26051">
        <w:rPr>
          <w:rFonts w:asciiTheme="majorHAnsi" w:hAnsiTheme="majorHAnsi"/>
          <w:color w:val="auto"/>
          <w:sz w:val="20"/>
          <w:szCs w:val="20"/>
        </w:rPr>
        <w:t xml:space="preserve"> them</w:t>
      </w:r>
      <w:r w:rsidRPr="00B26051">
        <w:rPr>
          <w:rFonts w:asciiTheme="majorHAnsi" w:hAnsiTheme="majorHAnsi"/>
          <w:color w:val="auto"/>
          <w:sz w:val="20"/>
          <w:szCs w:val="20"/>
        </w:rPr>
        <w:t xml:space="preserve">[,] since we heard </w:t>
      </w:r>
      <w:r w:rsidR="00A860EF" w:rsidRPr="00B26051">
        <w:rPr>
          <w:rFonts w:asciiTheme="majorHAnsi" w:hAnsiTheme="majorHAnsi"/>
          <w:color w:val="auto"/>
          <w:sz w:val="20"/>
          <w:szCs w:val="20"/>
        </w:rPr>
        <w:t xml:space="preserve">it </w:t>
      </w:r>
      <w:r w:rsidRPr="00B26051">
        <w:rPr>
          <w:rFonts w:asciiTheme="majorHAnsi" w:hAnsiTheme="majorHAnsi"/>
          <w:color w:val="auto"/>
          <w:sz w:val="20"/>
          <w:szCs w:val="20"/>
        </w:rPr>
        <w:t xml:space="preserve">from outside[.] </w:t>
      </w:r>
      <w:r w:rsidR="00A860EF" w:rsidRPr="00B26051">
        <w:rPr>
          <w:rFonts w:asciiTheme="majorHAnsi" w:hAnsiTheme="majorHAnsi"/>
          <w:color w:val="auto"/>
          <w:sz w:val="20"/>
          <w:szCs w:val="20"/>
        </w:rPr>
        <w:t>It was only when we</w:t>
      </w:r>
      <w:r w:rsidRPr="00B26051">
        <w:rPr>
          <w:rFonts w:asciiTheme="majorHAnsi" w:hAnsiTheme="majorHAnsi"/>
          <w:color w:val="auto"/>
          <w:sz w:val="20"/>
          <w:szCs w:val="20"/>
        </w:rPr>
        <w:t xml:space="preserve"> started to scream </w:t>
      </w:r>
      <w:r w:rsidR="00A860EF" w:rsidRPr="00B26051">
        <w:rPr>
          <w:rFonts w:asciiTheme="majorHAnsi" w:hAnsiTheme="majorHAnsi"/>
          <w:color w:val="auto"/>
          <w:sz w:val="20"/>
          <w:szCs w:val="20"/>
        </w:rPr>
        <w:t>‘riot’ as well</w:t>
      </w:r>
      <w:r w:rsidRPr="00B26051">
        <w:rPr>
          <w:rFonts w:asciiTheme="majorHAnsi" w:hAnsiTheme="majorHAnsi"/>
          <w:color w:val="auto"/>
          <w:sz w:val="20"/>
          <w:szCs w:val="20"/>
        </w:rPr>
        <w:t xml:space="preserve"> </w:t>
      </w:r>
      <w:r w:rsidR="00A860EF" w:rsidRPr="00B26051">
        <w:rPr>
          <w:rFonts w:asciiTheme="majorHAnsi" w:hAnsiTheme="majorHAnsi"/>
          <w:color w:val="auto"/>
          <w:sz w:val="20"/>
          <w:szCs w:val="20"/>
        </w:rPr>
        <w:t>that</w:t>
      </w:r>
      <w:r w:rsidRPr="00B26051">
        <w:rPr>
          <w:rFonts w:asciiTheme="majorHAnsi" w:hAnsiTheme="majorHAnsi"/>
          <w:color w:val="auto"/>
          <w:sz w:val="20"/>
          <w:szCs w:val="20"/>
        </w:rPr>
        <w:t xml:space="preserve"> Romero ran inside, that's w</w:t>
      </w:r>
      <w:r w:rsidR="00A860EF" w:rsidRPr="00B26051">
        <w:rPr>
          <w:rFonts w:asciiTheme="majorHAnsi" w:hAnsiTheme="majorHAnsi"/>
          <w:color w:val="auto"/>
          <w:sz w:val="20"/>
          <w:szCs w:val="20"/>
        </w:rPr>
        <w:t>hen we started to see the smoke. We wanted to get in</w:t>
      </w:r>
      <w:r w:rsidRPr="00B26051">
        <w:rPr>
          <w:rFonts w:asciiTheme="majorHAnsi" w:hAnsiTheme="majorHAnsi"/>
          <w:color w:val="auto"/>
          <w:sz w:val="20"/>
          <w:szCs w:val="20"/>
        </w:rPr>
        <w:t xml:space="preserve"> but </w:t>
      </w:r>
      <w:r w:rsidR="009E703D" w:rsidRPr="00B26051">
        <w:rPr>
          <w:rFonts w:asciiTheme="majorHAnsi" w:hAnsiTheme="majorHAnsi"/>
          <w:color w:val="auto"/>
          <w:sz w:val="20"/>
          <w:szCs w:val="20"/>
        </w:rPr>
        <w:t>Brígida</w:t>
      </w:r>
      <w:r w:rsidRPr="00B26051">
        <w:rPr>
          <w:rFonts w:asciiTheme="majorHAnsi" w:hAnsiTheme="majorHAnsi"/>
          <w:color w:val="auto"/>
          <w:sz w:val="20"/>
          <w:szCs w:val="20"/>
        </w:rPr>
        <w:t xml:space="preserve"> came and closed the gate.</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79"/>
      </w:r>
    </w:p>
    <w:p w14:paraId="1811F68F" w14:textId="77777777" w:rsidR="00185D58" w:rsidRPr="00B26051" w:rsidRDefault="00185D58" w:rsidP="00185D58">
      <w:pPr>
        <w:pStyle w:val="ListParagraph"/>
        <w:rPr>
          <w:rFonts w:asciiTheme="majorHAnsi" w:hAnsiTheme="majorHAnsi"/>
          <w:color w:val="auto"/>
          <w:sz w:val="20"/>
          <w:szCs w:val="20"/>
        </w:rPr>
      </w:pPr>
    </w:p>
    <w:p w14:paraId="042C9469" w14:textId="3530E85E" w:rsidR="00185D58" w:rsidRPr="00B26051" w:rsidRDefault="00774344"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 xml:space="preserve">Social worker </w:t>
      </w:r>
      <w:r w:rsidR="008E4AD4" w:rsidRPr="00B26051">
        <w:rPr>
          <w:rFonts w:asciiTheme="majorHAnsi" w:hAnsiTheme="majorHAnsi"/>
          <w:color w:val="auto"/>
          <w:sz w:val="20"/>
          <w:szCs w:val="20"/>
        </w:rPr>
        <w:t xml:space="preserve">Brígida Hurtado </w:t>
      </w:r>
      <w:r w:rsidRPr="00B26051">
        <w:rPr>
          <w:rFonts w:asciiTheme="majorHAnsi" w:hAnsiTheme="majorHAnsi"/>
          <w:color w:val="auto"/>
          <w:sz w:val="20"/>
          <w:szCs w:val="20"/>
        </w:rPr>
        <w:t xml:space="preserve">reported that upon hearing the cries of riot, she called </w:t>
      </w:r>
      <w:r w:rsidR="008E4AD4" w:rsidRPr="00B26051">
        <w:rPr>
          <w:rFonts w:asciiTheme="majorHAnsi" w:hAnsiTheme="majorHAnsi"/>
          <w:color w:val="auto"/>
          <w:sz w:val="20"/>
          <w:szCs w:val="20"/>
        </w:rPr>
        <w:t>171</w:t>
      </w:r>
      <w:r w:rsidR="00A114DC">
        <w:rPr>
          <w:rFonts w:asciiTheme="majorHAnsi" w:hAnsiTheme="majorHAnsi"/>
          <w:color w:val="auto"/>
          <w:sz w:val="20"/>
          <w:szCs w:val="20"/>
        </w:rPr>
        <w:t>,</w:t>
      </w:r>
      <w:r w:rsidR="008E4AD4" w:rsidRPr="00B26051">
        <w:rPr>
          <w:rFonts w:asciiTheme="majorHAnsi" w:hAnsiTheme="majorHAnsi"/>
          <w:color w:val="auto"/>
          <w:sz w:val="20"/>
          <w:szCs w:val="20"/>
        </w:rPr>
        <w:t xml:space="preserve"> the</w:t>
      </w:r>
      <w:r w:rsidRPr="00B26051">
        <w:rPr>
          <w:rFonts w:asciiTheme="majorHAnsi" w:hAnsiTheme="majorHAnsi"/>
          <w:color w:val="auto"/>
          <w:sz w:val="20"/>
          <w:szCs w:val="20"/>
        </w:rPr>
        <w:t xml:space="preserve"> Bolívar</w:t>
      </w:r>
      <w:r w:rsidR="008E4AD4" w:rsidRPr="00B26051">
        <w:rPr>
          <w:rFonts w:asciiTheme="majorHAnsi" w:hAnsiTheme="majorHAnsi"/>
          <w:color w:val="auto"/>
          <w:sz w:val="20"/>
          <w:szCs w:val="20"/>
        </w:rPr>
        <w:t xml:space="preserve"> emergency services</w:t>
      </w:r>
      <w:r w:rsidRPr="00B26051">
        <w:rPr>
          <w:rFonts w:asciiTheme="majorHAnsi" w:hAnsiTheme="majorHAnsi"/>
          <w:color w:val="auto"/>
          <w:sz w:val="20"/>
          <w:szCs w:val="20"/>
        </w:rPr>
        <w:t xml:space="preserve">, requesting reinforcement and </w:t>
      </w:r>
      <w:r w:rsidR="008E4AD4" w:rsidRPr="00B26051">
        <w:rPr>
          <w:rFonts w:asciiTheme="majorHAnsi" w:hAnsiTheme="majorHAnsi"/>
          <w:color w:val="auto"/>
          <w:sz w:val="20"/>
          <w:szCs w:val="20"/>
        </w:rPr>
        <w:t>reporting</w:t>
      </w:r>
      <w:r w:rsidRPr="00B26051">
        <w:rPr>
          <w:rFonts w:asciiTheme="majorHAnsi" w:hAnsiTheme="majorHAnsi"/>
          <w:color w:val="auto"/>
          <w:sz w:val="20"/>
          <w:szCs w:val="20"/>
        </w:rPr>
        <w:t xml:space="preserve"> that there were no</w:t>
      </w:r>
      <w:r w:rsidR="008E4AD4" w:rsidRPr="00B26051">
        <w:rPr>
          <w:rFonts w:asciiTheme="majorHAnsi" w:hAnsiTheme="majorHAnsi"/>
          <w:color w:val="auto"/>
          <w:sz w:val="20"/>
          <w:szCs w:val="20"/>
        </w:rPr>
        <w:t xml:space="preserve"> police officers in the center.</w:t>
      </w:r>
      <w:r w:rsidR="00A114DC">
        <w:rPr>
          <w:rFonts w:asciiTheme="majorHAnsi" w:hAnsiTheme="majorHAnsi"/>
          <w:color w:val="auto"/>
          <w:sz w:val="20"/>
          <w:szCs w:val="20"/>
        </w:rPr>
        <w:t xml:space="preserve">" </w:t>
      </w:r>
      <w:r w:rsidRPr="00B26051">
        <w:rPr>
          <w:rFonts w:asciiTheme="majorHAnsi" w:hAnsiTheme="majorHAnsi"/>
          <w:color w:val="auto"/>
          <w:sz w:val="20"/>
          <w:szCs w:val="20"/>
        </w:rPr>
        <w:t>According to the records of the Autonomous Emergency Service Bolívar 171</w:t>
      </w:r>
      <w:r w:rsidR="00A114DC">
        <w:rPr>
          <w:rFonts w:asciiTheme="majorHAnsi" w:hAnsiTheme="majorHAnsi"/>
          <w:color w:val="auto"/>
          <w:sz w:val="20"/>
          <w:szCs w:val="20"/>
        </w:rPr>
        <w:t>,</w:t>
      </w:r>
      <w:r w:rsidRPr="00B26051">
        <w:rPr>
          <w:rFonts w:asciiTheme="majorHAnsi" w:hAnsiTheme="majorHAnsi"/>
          <w:color w:val="auto"/>
          <w:sz w:val="20"/>
          <w:szCs w:val="20"/>
        </w:rPr>
        <w:t xml:space="preserve"> </w:t>
      </w:r>
      <w:r w:rsidR="008E4AD4" w:rsidRPr="00B26051">
        <w:rPr>
          <w:rFonts w:asciiTheme="majorHAnsi" w:hAnsiTheme="majorHAnsi"/>
          <w:color w:val="auto"/>
          <w:sz w:val="20"/>
          <w:szCs w:val="20"/>
        </w:rPr>
        <w:t xml:space="preserve">three calls were </w:t>
      </w:r>
      <w:r w:rsidR="008E4AD4" w:rsidRPr="00B26051">
        <w:rPr>
          <w:rFonts w:asciiTheme="majorHAnsi" w:hAnsiTheme="majorHAnsi"/>
          <w:color w:val="auto"/>
          <w:sz w:val="20"/>
          <w:szCs w:val="20"/>
        </w:rPr>
        <w:lastRenderedPageBreak/>
        <w:t>received from Brígida Hurtado on June 30, 2005</w:t>
      </w:r>
      <w:r w:rsidRPr="00B26051">
        <w:rPr>
          <w:rFonts w:asciiTheme="majorHAnsi" w:hAnsiTheme="majorHAnsi"/>
          <w:color w:val="auto"/>
          <w:sz w:val="20"/>
          <w:szCs w:val="20"/>
        </w:rPr>
        <w:t xml:space="preserve">. The first at 16:56:07, reporting a riot at the INAM-San </w:t>
      </w:r>
      <w:r w:rsidR="002033A9" w:rsidRPr="00B26051">
        <w:rPr>
          <w:rFonts w:asciiTheme="majorHAnsi" w:hAnsiTheme="majorHAnsi"/>
          <w:color w:val="auto"/>
          <w:sz w:val="20"/>
          <w:szCs w:val="20"/>
        </w:rPr>
        <w:t>Félix</w:t>
      </w:r>
      <w:r w:rsidRPr="00B26051">
        <w:rPr>
          <w:rFonts w:asciiTheme="majorHAnsi" w:hAnsiTheme="majorHAnsi"/>
          <w:color w:val="auto"/>
          <w:sz w:val="20"/>
          <w:szCs w:val="20"/>
        </w:rPr>
        <w:t xml:space="preserve">; the second at 16:57:43, reporting the fire; and the last one at 17:04:34 </w:t>
      </w:r>
      <w:r w:rsidR="008E4AD4" w:rsidRPr="00B26051">
        <w:rPr>
          <w:rFonts w:asciiTheme="majorHAnsi" w:hAnsiTheme="majorHAnsi"/>
          <w:color w:val="auto"/>
          <w:sz w:val="20"/>
          <w:szCs w:val="20"/>
        </w:rPr>
        <w:t>indicating</w:t>
      </w:r>
      <w:r w:rsidRPr="00B26051">
        <w:rPr>
          <w:rFonts w:asciiTheme="majorHAnsi" w:hAnsiTheme="majorHAnsi"/>
          <w:color w:val="auto"/>
          <w:sz w:val="20"/>
          <w:szCs w:val="20"/>
        </w:rPr>
        <w:t xml:space="preserve">: "they are reporting a riot in the place </w:t>
      </w:r>
      <w:r w:rsidR="008E4AD4" w:rsidRPr="00B26051">
        <w:rPr>
          <w:rFonts w:asciiTheme="majorHAnsi" w:hAnsiTheme="majorHAnsi"/>
          <w:color w:val="auto"/>
          <w:sz w:val="20"/>
          <w:szCs w:val="20"/>
        </w:rPr>
        <w:t>where the adolescents [started</w:t>
      </w:r>
      <w:r w:rsidRPr="00B26051">
        <w:rPr>
          <w:rFonts w:asciiTheme="majorHAnsi" w:hAnsiTheme="majorHAnsi"/>
          <w:color w:val="auto"/>
          <w:sz w:val="20"/>
          <w:szCs w:val="20"/>
        </w:rPr>
        <w:t xml:space="preserve">] a fire in the facilities [...] several young people [...] </w:t>
      </w:r>
      <w:r w:rsidR="008E4AD4" w:rsidRPr="00B26051">
        <w:rPr>
          <w:rFonts w:asciiTheme="majorHAnsi" w:hAnsiTheme="majorHAnsi"/>
          <w:color w:val="auto"/>
          <w:sz w:val="20"/>
          <w:szCs w:val="20"/>
        </w:rPr>
        <w:t>suffering from</w:t>
      </w:r>
      <w:r w:rsidRPr="00B26051">
        <w:rPr>
          <w:rFonts w:asciiTheme="majorHAnsi" w:hAnsiTheme="majorHAnsi"/>
          <w:color w:val="auto"/>
          <w:sz w:val="20"/>
          <w:szCs w:val="20"/>
        </w:rPr>
        <w:t xml:space="preserve"> burns". The social worker reported that when the first police </w:t>
      </w:r>
      <w:r w:rsidR="00F4595F" w:rsidRPr="00B26051">
        <w:rPr>
          <w:rFonts w:asciiTheme="majorHAnsi" w:hAnsiTheme="majorHAnsi"/>
          <w:color w:val="auto"/>
          <w:sz w:val="20"/>
          <w:szCs w:val="20"/>
        </w:rPr>
        <w:t xml:space="preserve">officers </w:t>
      </w:r>
      <w:r w:rsidRPr="00B26051">
        <w:rPr>
          <w:rFonts w:asciiTheme="majorHAnsi" w:hAnsiTheme="majorHAnsi"/>
          <w:color w:val="auto"/>
          <w:sz w:val="20"/>
          <w:szCs w:val="20"/>
        </w:rPr>
        <w:t>arrived, smoke started coming out of the INAM; and that the 171</w:t>
      </w:r>
      <w:r w:rsidR="00F4595F" w:rsidRPr="00B26051">
        <w:rPr>
          <w:rFonts w:asciiTheme="majorHAnsi" w:hAnsiTheme="majorHAnsi"/>
          <w:color w:val="auto"/>
          <w:sz w:val="20"/>
          <w:szCs w:val="20"/>
        </w:rPr>
        <w:t xml:space="preserve"> unit</w:t>
      </w:r>
      <w:r w:rsidRPr="00B26051">
        <w:rPr>
          <w:rFonts w:asciiTheme="majorHAnsi" w:hAnsiTheme="majorHAnsi"/>
          <w:color w:val="auto"/>
          <w:sz w:val="20"/>
          <w:szCs w:val="20"/>
        </w:rPr>
        <w:t xml:space="preserve"> and the </w:t>
      </w:r>
      <w:r w:rsidR="00F4595F" w:rsidRPr="00B26051">
        <w:rPr>
          <w:rFonts w:asciiTheme="majorHAnsi" w:hAnsiTheme="majorHAnsi"/>
          <w:color w:val="auto"/>
          <w:sz w:val="20"/>
          <w:szCs w:val="20"/>
        </w:rPr>
        <w:t>fire fighters</w:t>
      </w:r>
      <w:r w:rsidRPr="00B26051">
        <w:rPr>
          <w:rFonts w:asciiTheme="majorHAnsi" w:hAnsiTheme="majorHAnsi"/>
          <w:color w:val="auto"/>
          <w:sz w:val="20"/>
          <w:szCs w:val="20"/>
        </w:rPr>
        <w:t xml:space="preserve"> took longer to reach the site. The first </w:t>
      </w:r>
      <w:r w:rsidR="00B26051" w:rsidRPr="00B26051">
        <w:rPr>
          <w:rFonts w:asciiTheme="majorHAnsi" w:hAnsiTheme="majorHAnsi"/>
          <w:color w:val="auto"/>
          <w:sz w:val="20"/>
          <w:szCs w:val="20"/>
        </w:rPr>
        <w:t>fire-fighting</w:t>
      </w:r>
      <w:r w:rsidR="00F4595F" w:rsidRPr="00B26051">
        <w:rPr>
          <w:rFonts w:asciiTheme="majorHAnsi" w:hAnsiTheme="majorHAnsi"/>
          <w:color w:val="auto"/>
          <w:sz w:val="20"/>
          <w:szCs w:val="20"/>
        </w:rPr>
        <w:t xml:space="preserve"> unit </w:t>
      </w:r>
      <w:r w:rsidRPr="00B26051">
        <w:rPr>
          <w:rFonts w:asciiTheme="majorHAnsi" w:hAnsiTheme="majorHAnsi"/>
          <w:color w:val="auto"/>
          <w:sz w:val="20"/>
          <w:szCs w:val="20"/>
        </w:rPr>
        <w:t xml:space="preserve">that arrived did not have the </w:t>
      </w:r>
      <w:r w:rsidR="00F4595F" w:rsidRPr="00B26051">
        <w:rPr>
          <w:rFonts w:asciiTheme="majorHAnsi" w:hAnsiTheme="majorHAnsi"/>
          <w:color w:val="auto"/>
          <w:sz w:val="20"/>
          <w:szCs w:val="20"/>
        </w:rPr>
        <w:t>proper</w:t>
      </w:r>
      <w:r w:rsidRPr="00B26051">
        <w:rPr>
          <w:rFonts w:asciiTheme="majorHAnsi" w:hAnsiTheme="majorHAnsi"/>
          <w:color w:val="auto"/>
          <w:sz w:val="20"/>
          <w:szCs w:val="20"/>
        </w:rPr>
        <w:t xml:space="preserve"> equipment to enter and fight the fire, </w:t>
      </w:r>
      <w:r w:rsidR="00F4595F" w:rsidRPr="00B26051">
        <w:rPr>
          <w:rFonts w:asciiTheme="majorHAnsi" w:hAnsiTheme="majorHAnsi"/>
          <w:color w:val="auto"/>
          <w:sz w:val="20"/>
          <w:szCs w:val="20"/>
        </w:rPr>
        <w:t xml:space="preserve">there was a </w:t>
      </w:r>
      <w:r w:rsidR="009E703D" w:rsidRPr="00B26051">
        <w:rPr>
          <w:rFonts w:asciiTheme="majorHAnsi" w:hAnsiTheme="majorHAnsi"/>
          <w:color w:val="auto"/>
          <w:sz w:val="20"/>
          <w:szCs w:val="20"/>
        </w:rPr>
        <w:t>delay</w:t>
      </w:r>
      <w:r w:rsidR="00F4595F" w:rsidRPr="00B26051">
        <w:rPr>
          <w:rFonts w:asciiTheme="majorHAnsi" w:hAnsiTheme="majorHAnsi"/>
          <w:color w:val="auto"/>
          <w:sz w:val="20"/>
          <w:szCs w:val="20"/>
        </w:rPr>
        <w:t xml:space="preserve"> until</w:t>
      </w:r>
      <w:r w:rsidRPr="00B26051">
        <w:rPr>
          <w:rFonts w:asciiTheme="majorHAnsi" w:hAnsiTheme="majorHAnsi"/>
          <w:color w:val="auto"/>
          <w:sz w:val="20"/>
          <w:szCs w:val="20"/>
        </w:rPr>
        <w:t xml:space="preserve"> a unit came from Unare.</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80"/>
      </w:r>
      <w:r w:rsidRPr="00B26051">
        <w:rPr>
          <w:rFonts w:asciiTheme="majorHAnsi" w:hAnsiTheme="majorHAnsi"/>
          <w:color w:val="auto"/>
          <w:sz w:val="20"/>
          <w:szCs w:val="20"/>
        </w:rPr>
        <w:t xml:space="preserve"> A firefighter claimed to have arrived at the facilities when they had already removed two inmates from the cells, and the fire was almost </w:t>
      </w:r>
      <w:r w:rsidR="00F4595F" w:rsidRPr="00B26051">
        <w:rPr>
          <w:rFonts w:asciiTheme="majorHAnsi" w:hAnsiTheme="majorHAnsi"/>
          <w:color w:val="auto"/>
          <w:sz w:val="20"/>
          <w:szCs w:val="20"/>
        </w:rPr>
        <w:t>out</w:t>
      </w:r>
      <w:r w:rsidRPr="00B26051">
        <w:rPr>
          <w:rFonts w:asciiTheme="majorHAnsi" w:hAnsiTheme="majorHAnsi"/>
          <w:color w:val="auto"/>
          <w:sz w:val="20"/>
          <w:szCs w:val="20"/>
        </w:rPr>
        <w:t xml:space="preserve"> "since there was no more material to burn.</w:t>
      </w:r>
      <w:r w:rsidR="00F4595F" w:rsidRPr="00B26051">
        <w:rPr>
          <w:rFonts w:asciiTheme="majorHAnsi" w:hAnsiTheme="majorHAnsi"/>
          <w:color w:val="auto"/>
          <w:sz w:val="20"/>
          <w:szCs w:val="20"/>
        </w:rPr>
        <w:t>”</w:t>
      </w:r>
      <w:r w:rsidRPr="00B26051">
        <w:rPr>
          <w:rFonts w:asciiTheme="majorHAnsi" w:hAnsiTheme="majorHAnsi"/>
          <w:color w:val="auto"/>
          <w:sz w:val="20"/>
          <w:szCs w:val="20"/>
          <w:vertAlign w:val="superscript"/>
        </w:rPr>
        <w:t xml:space="preserve"> </w:t>
      </w:r>
      <w:r w:rsidRPr="00B26051">
        <w:rPr>
          <w:rFonts w:asciiTheme="majorHAnsi" w:hAnsiTheme="majorHAnsi"/>
          <w:color w:val="auto"/>
          <w:sz w:val="20"/>
          <w:szCs w:val="20"/>
          <w:vertAlign w:val="superscript"/>
        </w:rPr>
        <w:footnoteReference w:id="81"/>
      </w:r>
    </w:p>
    <w:p w14:paraId="3D46260F" w14:textId="77777777" w:rsidR="00185D58" w:rsidRPr="00B26051" w:rsidRDefault="00185D58" w:rsidP="00185D58">
      <w:pPr>
        <w:pStyle w:val="ListParagraph"/>
        <w:rPr>
          <w:rFonts w:asciiTheme="majorHAnsi" w:hAnsiTheme="majorHAnsi"/>
          <w:color w:val="auto"/>
          <w:sz w:val="20"/>
          <w:szCs w:val="20"/>
        </w:rPr>
      </w:pPr>
    </w:p>
    <w:p w14:paraId="472EE3D7" w14:textId="2F536372" w:rsidR="00185D58" w:rsidRPr="00B26051" w:rsidRDefault="00774344" w:rsidP="007F4FA0">
      <w:pPr>
        <w:pStyle w:val="ListParagraph"/>
        <w:numPr>
          <w:ilvl w:val="0"/>
          <w:numId w:val="57"/>
        </w:numPr>
        <w:ind w:left="0" w:firstLine="634"/>
        <w:jc w:val="both"/>
        <w:rPr>
          <w:color w:val="auto"/>
        </w:rPr>
      </w:pPr>
      <w:r w:rsidRPr="00B26051">
        <w:rPr>
          <w:color w:val="auto"/>
          <w:sz w:val="20"/>
          <w:szCs w:val="20"/>
        </w:rPr>
        <w:t xml:space="preserve">The </w:t>
      </w:r>
      <w:r w:rsidR="00F4595F" w:rsidRPr="00B26051">
        <w:rPr>
          <w:color w:val="auto"/>
          <w:sz w:val="20"/>
          <w:szCs w:val="20"/>
        </w:rPr>
        <w:t>youths</w:t>
      </w:r>
      <w:r w:rsidRPr="00B26051">
        <w:rPr>
          <w:color w:val="auto"/>
          <w:sz w:val="20"/>
          <w:szCs w:val="20"/>
        </w:rPr>
        <w:t xml:space="preserve"> in cell No. 2 who were interviewed after the events agree </w:t>
      </w:r>
      <w:r w:rsidR="00F4595F" w:rsidRPr="00B26051">
        <w:rPr>
          <w:color w:val="auto"/>
          <w:sz w:val="20"/>
          <w:szCs w:val="20"/>
        </w:rPr>
        <w:t>i</w:t>
      </w:r>
      <w:r w:rsidR="009E703D" w:rsidRPr="00B26051">
        <w:rPr>
          <w:color w:val="auto"/>
          <w:sz w:val="20"/>
          <w:szCs w:val="20"/>
        </w:rPr>
        <w:t>n</w:t>
      </w:r>
      <w:r w:rsidR="00F4595F" w:rsidRPr="00B26051">
        <w:rPr>
          <w:color w:val="auto"/>
          <w:sz w:val="20"/>
          <w:szCs w:val="20"/>
        </w:rPr>
        <w:t xml:space="preserve"> </w:t>
      </w:r>
      <w:r w:rsidR="00F90B60">
        <w:rPr>
          <w:color w:val="auto"/>
          <w:sz w:val="20"/>
          <w:szCs w:val="20"/>
        </w:rPr>
        <w:t xml:space="preserve">the </w:t>
      </w:r>
      <w:r w:rsidR="009E703D" w:rsidRPr="00B26051">
        <w:rPr>
          <w:color w:val="auto"/>
          <w:sz w:val="20"/>
          <w:szCs w:val="20"/>
        </w:rPr>
        <w:t>essentials</w:t>
      </w:r>
      <w:r w:rsidR="00F90B60">
        <w:rPr>
          <w:color w:val="auto"/>
          <w:sz w:val="20"/>
          <w:szCs w:val="20"/>
        </w:rPr>
        <w:t xml:space="preserve"> of these events</w:t>
      </w:r>
      <w:r w:rsidRPr="00B26051">
        <w:rPr>
          <w:color w:val="auto"/>
          <w:sz w:val="20"/>
          <w:szCs w:val="20"/>
        </w:rPr>
        <w:t xml:space="preserve">. They stated: "We wanted to talk to the </w:t>
      </w:r>
      <w:r w:rsidR="00F4595F" w:rsidRPr="00B26051">
        <w:rPr>
          <w:color w:val="auto"/>
          <w:sz w:val="20"/>
          <w:szCs w:val="20"/>
        </w:rPr>
        <w:t>warden</w:t>
      </w:r>
      <w:r w:rsidRPr="00B26051">
        <w:rPr>
          <w:color w:val="auto"/>
          <w:sz w:val="20"/>
          <w:szCs w:val="20"/>
        </w:rPr>
        <w:t xml:space="preserve"> so [at] </w:t>
      </w:r>
      <w:r w:rsidR="00F4595F" w:rsidRPr="00B26051">
        <w:rPr>
          <w:color w:val="auto"/>
          <w:sz w:val="20"/>
          <w:szCs w:val="20"/>
        </w:rPr>
        <w:t>meal time</w:t>
      </w:r>
      <w:r w:rsidRPr="00B26051">
        <w:rPr>
          <w:color w:val="auto"/>
          <w:sz w:val="20"/>
          <w:szCs w:val="20"/>
        </w:rPr>
        <w:t xml:space="preserve"> we all </w:t>
      </w:r>
      <w:r w:rsidR="00F4595F" w:rsidRPr="00B26051">
        <w:rPr>
          <w:color w:val="auto"/>
          <w:sz w:val="20"/>
          <w:szCs w:val="20"/>
        </w:rPr>
        <w:t>ran</w:t>
      </w:r>
      <w:r w:rsidRPr="00B26051">
        <w:rPr>
          <w:color w:val="auto"/>
          <w:sz w:val="20"/>
          <w:szCs w:val="20"/>
        </w:rPr>
        <w:t xml:space="preserve"> outside </w:t>
      </w:r>
      <w:r w:rsidR="00F4595F" w:rsidRPr="00B26051">
        <w:rPr>
          <w:color w:val="auto"/>
          <w:sz w:val="20"/>
          <w:szCs w:val="20"/>
        </w:rPr>
        <w:t xml:space="preserve">and </w:t>
      </w:r>
      <w:r w:rsidR="009E703D" w:rsidRPr="00B26051">
        <w:rPr>
          <w:color w:val="auto"/>
          <w:sz w:val="20"/>
          <w:szCs w:val="20"/>
        </w:rPr>
        <w:t>went on</w:t>
      </w:r>
      <w:r w:rsidRPr="00B26051">
        <w:rPr>
          <w:color w:val="auto"/>
          <w:sz w:val="20"/>
          <w:szCs w:val="20"/>
        </w:rPr>
        <w:t xml:space="preserve"> strike</w:t>
      </w:r>
      <w:r w:rsidR="00F90B60">
        <w:rPr>
          <w:color w:val="auto"/>
          <w:sz w:val="20"/>
          <w:szCs w:val="20"/>
        </w:rPr>
        <w:t>,</w:t>
      </w:r>
      <w:r w:rsidRPr="00B26051">
        <w:rPr>
          <w:color w:val="auto"/>
          <w:sz w:val="20"/>
          <w:szCs w:val="20"/>
        </w:rPr>
        <w:t>"</w:t>
      </w:r>
      <w:r w:rsidRPr="00B26051">
        <w:rPr>
          <w:color w:val="auto"/>
          <w:sz w:val="20"/>
          <w:szCs w:val="20"/>
          <w:vertAlign w:val="superscript"/>
        </w:rPr>
        <w:footnoteReference w:id="82"/>
      </w:r>
      <w:r w:rsidRPr="00B26051">
        <w:rPr>
          <w:color w:val="auto"/>
          <w:sz w:val="20"/>
          <w:szCs w:val="20"/>
        </w:rPr>
        <w:t xml:space="preserve"> </w:t>
      </w:r>
      <w:r w:rsidR="00F4595F" w:rsidRPr="00B26051">
        <w:rPr>
          <w:color w:val="auto"/>
          <w:sz w:val="20"/>
          <w:szCs w:val="20"/>
        </w:rPr>
        <w:t>where inmate</w:t>
      </w:r>
      <w:r w:rsidRPr="00B26051">
        <w:rPr>
          <w:color w:val="auto"/>
          <w:sz w:val="20"/>
          <w:szCs w:val="20"/>
        </w:rPr>
        <w:t xml:space="preserve"> Pulgarita threatened t</w:t>
      </w:r>
      <w:r w:rsidR="00F4595F" w:rsidRPr="00B26051">
        <w:rPr>
          <w:color w:val="auto"/>
          <w:sz w:val="20"/>
          <w:szCs w:val="20"/>
        </w:rPr>
        <w:t>he teacher "w</w:t>
      </w:r>
      <w:r w:rsidR="00C13125" w:rsidRPr="00B26051">
        <w:rPr>
          <w:color w:val="auto"/>
          <w:sz w:val="20"/>
          <w:szCs w:val="20"/>
        </w:rPr>
        <w:t xml:space="preserve">ith a </w:t>
      </w:r>
      <w:r w:rsidR="00F90B60">
        <w:rPr>
          <w:color w:val="auto"/>
          <w:sz w:val="20"/>
          <w:szCs w:val="20"/>
        </w:rPr>
        <w:t>[sharp improvised</w:t>
      </w:r>
      <w:r w:rsidR="00F4595F" w:rsidRPr="00B26051">
        <w:rPr>
          <w:color w:val="auto"/>
          <w:sz w:val="20"/>
          <w:szCs w:val="20"/>
        </w:rPr>
        <w:t xml:space="preserve"> weapon</w:t>
      </w:r>
      <w:r w:rsidR="00F90B60">
        <w:rPr>
          <w:color w:val="auto"/>
          <w:sz w:val="20"/>
          <w:szCs w:val="20"/>
        </w:rPr>
        <w:t>]</w:t>
      </w:r>
      <w:r w:rsidRPr="00B26051">
        <w:rPr>
          <w:color w:val="auto"/>
          <w:sz w:val="20"/>
          <w:szCs w:val="20"/>
        </w:rPr>
        <w:t>."</w:t>
      </w:r>
      <w:r w:rsidRPr="00B26051">
        <w:rPr>
          <w:color w:val="auto"/>
          <w:sz w:val="20"/>
          <w:szCs w:val="20"/>
          <w:vertAlign w:val="superscript"/>
        </w:rPr>
        <w:footnoteReference w:id="83"/>
      </w:r>
      <w:r w:rsidRPr="00B26051">
        <w:rPr>
          <w:color w:val="auto"/>
          <w:sz w:val="20"/>
          <w:szCs w:val="20"/>
        </w:rPr>
        <w:t xml:space="preserve"> They maintained that </w:t>
      </w:r>
      <w:r w:rsidR="00C13125" w:rsidRPr="00B26051">
        <w:rPr>
          <w:color w:val="auto"/>
          <w:sz w:val="20"/>
          <w:szCs w:val="20"/>
        </w:rPr>
        <w:t xml:space="preserve">they </w:t>
      </w:r>
      <w:r w:rsidR="00F90B60">
        <w:rPr>
          <w:color w:val="auto"/>
          <w:sz w:val="20"/>
          <w:szCs w:val="20"/>
        </w:rPr>
        <w:t>only reached cell</w:t>
      </w:r>
      <w:r w:rsidRPr="00B26051">
        <w:rPr>
          <w:color w:val="auto"/>
          <w:sz w:val="20"/>
          <w:szCs w:val="20"/>
        </w:rPr>
        <w:t xml:space="preserve"> No. 3, when the teachers reached them "and they calmed us down, and put us </w:t>
      </w:r>
      <w:r w:rsidR="00C13125" w:rsidRPr="00B26051">
        <w:rPr>
          <w:color w:val="auto"/>
          <w:sz w:val="20"/>
          <w:szCs w:val="20"/>
        </w:rPr>
        <w:t xml:space="preserve">back </w:t>
      </w:r>
      <w:r w:rsidRPr="00B26051">
        <w:rPr>
          <w:color w:val="auto"/>
          <w:sz w:val="20"/>
          <w:szCs w:val="20"/>
        </w:rPr>
        <w:t>inside the cell</w:t>
      </w:r>
      <w:r w:rsidR="00F90B60">
        <w:rPr>
          <w:color w:val="auto"/>
          <w:sz w:val="20"/>
          <w:szCs w:val="20"/>
        </w:rPr>
        <w:t>.</w:t>
      </w:r>
      <w:r w:rsidRPr="00B26051">
        <w:rPr>
          <w:color w:val="auto"/>
          <w:sz w:val="20"/>
          <w:szCs w:val="20"/>
        </w:rPr>
        <w:t xml:space="preserve">" They added that </w:t>
      </w:r>
      <w:r w:rsidR="00C13125" w:rsidRPr="00B26051">
        <w:rPr>
          <w:color w:val="auto"/>
          <w:sz w:val="20"/>
          <w:szCs w:val="20"/>
        </w:rPr>
        <w:t xml:space="preserve">acting warden </w:t>
      </w:r>
      <w:r w:rsidRPr="00B26051">
        <w:rPr>
          <w:color w:val="auto"/>
          <w:sz w:val="20"/>
          <w:szCs w:val="20"/>
        </w:rPr>
        <w:t xml:space="preserve">Romero, who had been speaking with them when the </w:t>
      </w:r>
      <w:r w:rsidR="00C13125" w:rsidRPr="00B26051">
        <w:rPr>
          <w:color w:val="auto"/>
          <w:sz w:val="20"/>
          <w:szCs w:val="20"/>
        </w:rPr>
        <w:t xml:space="preserve">guide </w:t>
      </w:r>
      <w:r w:rsidRPr="00B26051">
        <w:rPr>
          <w:color w:val="auto"/>
          <w:sz w:val="20"/>
          <w:szCs w:val="20"/>
        </w:rPr>
        <w:t>Chirinos came to cell No. 2 to say "th</w:t>
      </w:r>
      <w:r w:rsidR="00C13125" w:rsidRPr="00B26051">
        <w:rPr>
          <w:color w:val="auto"/>
          <w:sz w:val="20"/>
          <w:szCs w:val="20"/>
        </w:rPr>
        <w:t>e boys in room four are burning.</w:t>
      </w:r>
      <w:r w:rsidRPr="00B26051">
        <w:rPr>
          <w:color w:val="auto"/>
          <w:sz w:val="20"/>
          <w:szCs w:val="20"/>
        </w:rPr>
        <w:t>"</w:t>
      </w:r>
      <w:r w:rsidRPr="00B26051">
        <w:rPr>
          <w:color w:val="auto"/>
          <w:sz w:val="20"/>
          <w:szCs w:val="20"/>
          <w:vertAlign w:val="superscript"/>
        </w:rPr>
        <w:t xml:space="preserve"> </w:t>
      </w:r>
      <w:r w:rsidRPr="00B26051">
        <w:rPr>
          <w:color w:val="auto"/>
          <w:sz w:val="20"/>
          <w:szCs w:val="20"/>
          <w:vertAlign w:val="superscript"/>
        </w:rPr>
        <w:footnoteReference w:id="84"/>
      </w:r>
      <w:r w:rsidR="00C13125" w:rsidRPr="00B26051">
        <w:rPr>
          <w:color w:val="auto"/>
          <w:sz w:val="20"/>
          <w:szCs w:val="20"/>
        </w:rPr>
        <w:t xml:space="preserve"> </w:t>
      </w:r>
      <w:r w:rsidRPr="00B26051">
        <w:rPr>
          <w:color w:val="auto"/>
          <w:sz w:val="20"/>
          <w:szCs w:val="20"/>
        </w:rPr>
        <w:t xml:space="preserve">Some of the inmates in Cell No. 2 </w:t>
      </w:r>
      <w:r w:rsidR="00F90B60">
        <w:rPr>
          <w:color w:val="auto"/>
          <w:sz w:val="20"/>
          <w:szCs w:val="20"/>
        </w:rPr>
        <w:t>stated</w:t>
      </w:r>
      <w:r w:rsidRPr="00B26051">
        <w:rPr>
          <w:color w:val="auto"/>
          <w:sz w:val="20"/>
          <w:szCs w:val="20"/>
        </w:rPr>
        <w:t xml:space="preserve"> that the teachers "went down the corridor and looked for water </w:t>
      </w:r>
      <w:r w:rsidR="00A1185A" w:rsidRPr="00B26051">
        <w:rPr>
          <w:color w:val="auto"/>
          <w:sz w:val="20"/>
          <w:szCs w:val="20"/>
        </w:rPr>
        <w:t>buckets</w:t>
      </w:r>
      <w:r w:rsidRPr="00B26051">
        <w:rPr>
          <w:color w:val="auto"/>
          <w:sz w:val="20"/>
          <w:szCs w:val="20"/>
        </w:rPr>
        <w:t xml:space="preserve">, but the boys were burned because [Chirinos], instead of opening the door, </w:t>
      </w:r>
      <w:r w:rsidR="00C13125" w:rsidRPr="00B26051">
        <w:rPr>
          <w:color w:val="auto"/>
          <w:sz w:val="20"/>
          <w:szCs w:val="20"/>
        </w:rPr>
        <w:t xml:space="preserve">ran into </w:t>
      </w:r>
      <w:r w:rsidRPr="00B26051">
        <w:rPr>
          <w:color w:val="auto"/>
          <w:sz w:val="20"/>
          <w:szCs w:val="20"/>
        </w:rPr>
        <w:t>the hallway screa</w:t>
      </w:r>
      <w:r w:rsidR="00F90B60">
        <w:rPr>
          <w:color w:val="auto"/>
          <w:sz w:val="20"/>
          <w:szCs w:val="20"/>
        </w:rPr>
        <w:t>ming that cell four is burning.</w:t>
      </w:r>
      <w:r w:rsidRPr="00B26051">
        <w:rPr>
          <w:color w:val="auto"/>
          <w:sz w:val="20"/>
          <w:szCs w:val="20"/>
        </w:rPr>
        <w:t>"</w:t>
      </w:r>
      <w:r w:rsidRPr="00B26051">
        <w:rPr>
          <w:color w:val="auto"/>
          <w:sz w:val="20"/>
          <w:szCs w:val="20"/>
          <w:vertAlign w:val="superscript"/>
        </w:rPr>
        <w:footnoteReference w:id="85"/>
      </w:r>
      <w:r w:rsidR="00B26051">
        <w:rPr>
          <w:color w:val="auto"/>
          <w:sz w:val="20"/>
          <w:szCs w:val="20"/>
        </w:rPr>
        <w:t xml:space="preserve"> Carlos Martes, </w:t>
      </w:r>
      <w:r w:rsidR="00F90B60">
        <w:rPr>
          <w:color w:val="auto"/>
          <w:sz w:val="20"/>
          <w:szCs w:val="20"/>
        </w:rPr>
        <w:t>an inmate who helped with cleaning</w:t>
      </w:r>
      <w:r w:rsidRPr="00B26051">
        <w:rPr>
          <w:color w:val="auto"/>
          <w:sz w:val="20"/>
          <w:szCs w:val="20"/>
        </w:rPr>
        <w:t xml:space="preserve">, said that guide Chirinos took "about five minutes" </w:t>
      </w:r>
      <w:r w:rsidR="00440CC4" w:rsidRPr="00B26051">
        <w:rPr>
          <w:color w:val="auto"/>
          <w:sz w:val="20"/>
          <w:szCs w:val="20"/>
        </w:rPr>
        <w:t xml:space="preserve">to help them </w:t>
      </w:r>
      <w:r w:rsidRPr="00B26051">
        <w:rPr>
          <w:color w:val="auto"/>
          <w:sz w:val="20"/>
          <w:szCs w:val="20"/>
        </w:rPr>
        <w:t xml:space="preserve">after hearing </w:t>
      </w:r>
      <w:r w:rsidR="00440CC4" w:rsidRPr="00B26051">
        <w:rPr>
          <w:color w:val="auto"/>
          <w:sz w:val="20"/>
          <w:szCs w:val="20"/>
        </w:rPr>
        <w:t xml:space="preserve">the </w:t>
      </w:r>
      <w:r w:rsidRPr="00B26051">
        <w:rPr>
          <w:color w:val="auto"/>
          <w:sz w:val="20"/>
          <w:szCs w:val="20"/>
        </w:rPr>
        <w:t>victims</w:t>
      </w:r>
      <w:r w:rsidR="00440CC4" w:rsidRPr="00B26051">
        <w:rPr>
          <w:color w:val="auto"/>
          <w:sz w:val="20"/>
          <w:szCs w:val="20"/>
        </w:rPr>
        <w:t xml:space="preserve"> shouting</w:t>
      </w:r>
      <w:r w:rsidRPr="00B26051">
        <w:rPr>
          <w:color w:val="auto"/>
          <w:sz w:val="20"/>
          <w:szCs w:val="20"/>
        </w:rPr>
        <w:t>.</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86"/>
      </w:r>
      <w:r w:rsidRPr="00B26051">
        <w:rPr>
          <w:color w:val="auto"/>
          <w:sz w:val="20"/>
          <w:szCs w:val="20"/>
        </w:rPr>
        <w:t xml:space="preserve"> For his part, acting </w:t>
      </w:r>
      <w:r w:rsidR="00440CC4" w:rsidRPr="00B26051">
        <w:rPr>
          <w:color w:val="auto"/>
          <w:sz w:val="20"/>
          <w:szCs w:val="20"/>
        </w:rPr>
        <w:t>warden</w:t>
      </w:r>
      <w:r w:rsidRPr="00B26051">
        <w:rPr>
          <w:color w:val="auto"/>
          <w:sz w:val="20"/>
          <w:szCs w:val="20"/>
        </w:rPr>
        <w:t xml:space="preserve"> Romero estimated that it took about three minutes to get </w:t>
      </w:r>
      <w:r w:rsidR="00F90B60">
        <w:rPr>
          <w:color w:val="auto"/>
          <w:sz w:val="20"/>
          <w:szCs w:val="20"/>
        </w:rPr>
        <w:t>from</w:t>
      </w:r>
      <w:r w:rsidRPr="00B26051">
        <w:rPr>
          <w:color w:val="auto"/>
          <w:sz w:val="20"/>
          <w:szCs w:val="20"/>
        </w:rPr>
        <w:t xml:space="preserve"> cell No. 2 to No. 4 after being </w:t>
      </w:r>
      <w:r w:rsidR="00440CC4" w:rsidRPr="00B26051">
        <w:rPr>
          <w:color w:val="auto"/>
          <w:sz w:val="20"/>
          <w:szCs w:val="20"/>
        </w:rPr>
        <w:t>informed</w:t>
      </w:r>
      <w:r w:rsidRPr="00B26051">
        <w:rPr>
          <w:color w:val="auto"/>
          <w:sz w:val="20"/>
          <w:szCs w:val="20"/>
        </w:rPr>
        <w:t xml:space="preserve"> of the situation by Chirinos.</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87"/>
      </w:r>
    </w:p>
    <w:p w14:paraId="6CE79980" w14:textId="77777777" w:rsidR="00185D58" w:rsidRPr="00B26051" w:rsidRDefault="00185D58" w:rsidP="00185D58">
      <w:pPr>
        <w:jc w:val="both"/>
        <w:rPr>
          <w:rFonts w:asciiTheme="majorHAnsi" w:hAnsiTheme="majorHAnsi"/>
          <w:sz w:val="20"/>
          <w:szCs w:val="20"/>
        </w:rPr>
      </w:pPr>
    </w:p>
    <w:p w14:paraId="0BF8C102" w14:textId="5AA5A65F" w:rsidR="00185D58" w:rsidRPr="00B26051" w:rsidRDefault="00057988"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For his part, the guide Chirinos argued that there was no time to effectively assist the victims. In his version, while the youth</w:t>
      </w:r>
      <w:r w:rsidR="00A1185A" w:rsidRPr="00B26051">
        <w:rPr>
          <w:rFonts w:asciiTheme="majorHAnsi" w:hAnsiTheme="majorHAnsi"/>
          <w:color w:val="auto"/>
          <w:sz w:val="20"/>
          <w:szCs w:val="20"/>
        </w:rPr>
        <w:t>s</w:t>
      </w:r>
      <w:r w:rsidRPr="00B26051">
        <w:rPr>
          <w:rFonts w:asciiTheme="majorHAnsi" w:hAnsiTheme="majorHAnsi"/>
          <w:color w:val="auto"/>
          <w:sz w:val="20"/>
          <w:szCs w:val="20"/>
        </w:rPr>
        <w:t xml:space="preserve"> of No. 2 surrounded him, "I </w:t>
      </w:r>
      <w:r w:rsidR="00A1185A" w:rsidRPr="00B26051">
        <w:rPr>
          <w:rFonts w:asciiTheme="majorHAnsi" w:hAnsiTheme="majorHAnsi"/>
          <w:color w:val="auto"/>
          <w:sz w:val="20"/>
          <w:szCs w:val="20"/>
        </w:rPr>
        <w:t xml:space="preserve">heard them calling me from </w:t>
      </w:r>
      <w:r w:rsidRPr="00B26051">
        <w:rPr>
          <w:rFonts w:asciiTheme="majorHAnsi" w:hAnsiTheme="majorHAnsi"/>
          <w:color w:val="auto"/>
          <w:sz w:val="20"/>
          <w:szCs w:val="20"/>
        </w:rPr>
        <w:t xml:space="preserve">[No. 4] asking for help, </w:t>
      </w:r>
      <w:r w:rsidR="00A1185A" w:rsidRPr="00B26051">
        <w:rPr>
          <w:rFonts w:asciiTheme="majorHAnsi" w:hAnsiTheme="majorHAnsi"/>
          <w:color w:val="auto"/>
          <w:sz w:val="20"/>
          <w:szCs w:val="20"/>
        </w:rPr>
        <w:t>saying</w:t>
      </w:r>
      <w:r w:rsidRPr="00B26051">
        <w:rPr>
          <w:rFonts w:asciiTheme="majorHAnsi" w:hAnsiTheme="majorHAnsi"/>
          <w:color w:val="auto"/>
          <w:sz w:val="20"/>
          <w:szCs w:val="20"/>
        </w:rPr>
        <w:t xml:space="preserve"> </w:t>
      </w:r>
      <w:r w:rsidR="00A1185A" w:rsidRPr="00B26051">
        <w:rPr>
          <w:rFonts w:asciiTheme="majorHAnsi" w:hAnsiTheme="majorHAnsi"/>
          <w:color w:val="auto"/>
          <w:sz w:val="20"/>
          <w:szCs w:val="20"/>
        </w:rPr>
        <w:t>uncle</w:t>
      </w:r>
      <w:r w:rsidRPr="00B26051">
        <w:rPr>
          <w:rFonts w:asciiTheme="majorHAnsi" w:hAnsiTheme="majorHAnsi"/>
          <w:color w:val="auto"/>
          <w:sz w:val="20"/>
          <w:szCs w:val="20"/>
        </w:rPr>
        <w:t xml:space="preserve"> Ch</w:t>
      </w:r>
      <w:r w:rsidR="00F90B60">
        <w:rPr>
          <w:rFonts w:asciiTheme="majorHAnsi" w:hAnsiTheme="majorHAnsi"/>
          <w:color w:val="auto"/>
          <w:sz w:val="20"/>
          <w:szCs w:val="20"/>
        </w:rPr>
        <w:t>irinos save us, we are burning.</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footnoteReference w:id="88"/>
      </w:r>
      <w:r w:rsidR="00A1185A" w:rsidRPr="00B26051">
        <w:rPr>
          <w:rFonts w:asciiTheme="majorHAnsi" w:hAnsiTheme="majorHAnsi"/>
          <w:color w:val="auto"/>
          <w:sz w:val="20"/>
          <w:szCs w:val="20"/>
        </w:rPr>
        <w:t xml:space="preserve"> He </w:t>
      </w:r>
      <w:r w:rsidR="00F90B60">
        <w:rPr>
          <w:rFonts w:asciiTheme="majorHAnsi" w:hAnsiTheme="majorHAnsi"/>
          <w:color w:val="auto"/>
          <w:sz w:val="20"/>
          <w:szCs w:val="20"/>
        </w:rPr>
        <w:t>stated</w:t>
      </w:r>
      <w:r w:rsidRPr="00B26051">
        <w:rPr>
          <w:rFonts w:asciiTheme="majorHAnsi" w:hAnsiTheme="majorHAnsi"/>
          <w:color w:val="auto"/>
          <w:sz w:val="20"/>
          <w:szCs w:val="20"/>
        </w:rPr>
        <w:t xml:space="preserve"> that </w:t>
      </w:r>
      <w:r w:rsidR="00A1185A" w:rsidRPr="00B26051">
        <w:rPr>
          <w:rFonts w:asciiTheme="majorHAnsi" w:hAnsiTheme="majorHAnsi"/>
          <w:color w:val="auto"/>
          <w:sz w:val="20"/>
          <w:szCs w:val="20"/>
        </w:rPr>
        <w:t>on breaking free</w:t>
      </w:r>
      <w:r w:rsidRPr="00B26051">
        <w:rPr>
          <w:rFonts w:asciiTheme="majorHAnsi" w:hAnsiTheme="majorHAnsi"/>
          <w:color w:val="auto"/>
          <w:sz w:val="20"/>
          <w:szCs w:val="20"/>
        </w:rPr>
        <w:t xml:space="preserve"> he came runni</w:t>
      </w:r>
      <w:r w:rsidR="009E703D" w:rsidRPr="00B26051">
        <w:rPr>
          <w:rFonts w:asciiTheme="majorHAnsi" w:hAnsiTheme="majorHAnsi"/>
          <w:color w:val="auto"/>
          <w:sz w:val="20"/>
          <w:szCs w:val="20"/>
        </w:rPr>
        <w:t>ng and saw the magnitude of the</w:t>
      </w:r>
      <w:r w:rsidRPr="00B26051">
        <w:rPr>
          <w:rFonts w:asciiTheme="majorHAnsi" w:hAnsiTheme="majorHAnsi"/>
          <w:color w:val="auto"/>
          <w:sz w:val="20"/>
          <w:szCs w:val="20"/>
        </w:rPr>
        <w:t xml:space="preserve"> flames coming out </w:t>
      </w:r>
      <w:r w:rsidR="00A1185A" w:rsidRPr="00B26051">
        <w:rPr>
          <w:rFonts w:asciiTheme="majorHAnsi" w:hAnsiTheme="majorHAnsi"/>
          <w:color w:val="auto"/>
          <w:sz w:val="20"/>
          <w:szCs w:val="20"/>
        </w:rPr>
        <w:t>of the cell door</w:t>
      </w:r>
      <w:r w:rsidRPr="00B26051">
        <w:rPr>
          <w:rFonts w:asciiTheme="majorHAnsi" w:hAnsiTheme="majorHAnsi"/>
          <w:color w:val="auto"/>
          <w:sz w:val="20"/>
          <w:szCs w:val="20"/>
        </w:rPr>
        <w:t xml:space="preserve"> and spreading on the inside, so he shouted and asked the </w:t>
      </w:r>
      <w:r w:rsidR="00A1185A" w:rsidRPr="00B26051">
        <w:rPr>
          <w:rFonts w:asciiTheme="majorHAnsi" w:hAnsiTheme="majorHAnsi"/>
          <w:color w:val="auto"/>
          <w:sz w:val="20"/>
          <w:szCs w:val="20"/>
        </w:rPr>
        <w:t>warden</w:t>
      </w:r>
      <w:r w:rsidRPr="00B26051">
        <w:rPr>
          <w:rFonts w:asciiTheme="majorHAnsi" w:hAnsiTheme="majorHAnsi"/>
          <w:color w:val="auto"/>
          <w:sz w:val="20"/>
          <w:szCs w:val="20"/>
        </w:rPr>
        <w:t xml:space="preserve"> and guide Gomez for help to bring the keys. He added that he called inmate Carlos Martes, who </w:t>
      </w:r>
      <w:r w:rsidR="00A1185A" w:rsidRPr="00B26051">
        <w:rPr>
          <w:rFonts w:asciiTheme="majorHAnsi" w:hAnsiTheme="majorHAnsi"/>
          <w:color w:val="auto"/>
          <w:sz w:val="20"/>
          <w:szCs w:val="20"/>
        </w:rPr>
        <w:t>threw water on the mattresses</w:t>
      </w:r>
      <w:r w:rsidRPr="00B26051">
        <w:rPr>
          <w:rFonts w:asciiTheme="majorHAnsi" w:hAnsiTheme="majorHAnsi"/>
          <w:color w:val="auto"/>
          <w:sz w:val="20"/>
          <w:szCs w:val="20"/>
        </w:rPr>
        <w:t xml:space="preserve"> and that "what he did see was that he could not control it eas</w:t>
      </w:r>
      <w:r w:rsidR="009E703D" w:rsidRPr="00B26051">
        <w:rPr>
          <w:rFonts w:asciiTheme="majorHAnsi" w:hAnsiTheme="majorHAnsi"/>
          <w:color w:val="auto"/>
          <w:sz w:val="20"/>
          <w:szCs w:val="20"/>
        </w:rPr>
        <w:t>ily, because of the pile of mattresses</w:t>
      </w:r>
      <w:r w:rsidRPr="00B26051">
        <w:rPr>
          <w:rFonts w:asciiTheme="majorHAnsi" w:hAnsiTheme="majorHAnsi"/>
          <w:color w:val="auto"/>
          <w:sz w:val="20"/>
          <w:szCs w:val="20"/>
        </w:rPr>
        <w:t xml:space="preserve"> [and other belongings]."</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89"/>
      </w:r>
      <w:r w:rsidRPr="00B26051">
        <w:rPr>
          <w:rFonts w:asciiTheme="majorHAnsi" w:hAnsiTheme="majorHAnsi"/>
          <w:color w:val="auto"/>
          <w:sz w:val="20"/>
          <w:szCs w:val="20"/>
        </w:rPr>
        <w:t xml:space="preserve"> </w:t>
      </w:r>
      <w:r w:rsidR="00A1185A" w:rsidRPr="00B26051">
        <w:rPr>
          <w:rFonts w:asciiTheme="majorHAnsi" w:hAnsiTheme="majorHAnsi"/>
          <w:color w:val="auto"/>
          <w:sz w:val="20"/>
          <w:szCs w:val="20"/>
        </w:rPr>
        <w:t>A</w:t>
      </w:r>
      <w:r w:rsidR="009E703D" w:rsidRPr="00B26051">
        <w:rPr>
          <w:rFonts w:asciiTheme="majorHAnsi" w:hAnsiTheme="majorHAnsi"/>
          <w:color w:val="auto"/>
          <w:sz w:val="20"/>
          <w:szCs w:val="20"/>
        </w:rPr>
        <w:t>cting warden</w:t>
      </w:r>
      <w:r w:rsidRPr="00B26051">
        <w:rPr>
          <w:rFonts w:asciiTheme="majorHAnsi" w:hAnsiTheme="majorHAnsi"/>
          <w:color w:val="auto"/>
          <w:sz w:val="20"/>
          <w:szCs w:val="20"/>
        </w:rPr>
        <w:t xml:space="preserve"> Romero </w:t>
      </w:r>
      <w:r w:rsidR="00A1185A" w:rsidRPr="00B26051">
        <w:rPr>
          <w:rFonts w:asciiTheme="majorHAnsi" w:hAnsiTheme="majorHAnsi"/>
          <w:color w:val="auto"/>
          <w:sz w:val="20"/>
          <w:szCs w:val="20"/>
        </w:rPr>
        <w:t>stated that</w:t>
      </w:r>
      <w:r w:rsidRPr="00B26051">
        <w:rPr>
          <w:rFonts w:asciiTheme="majorHAnsi" w:hAnsiTheme="majorHAnsi"/>
          <w:color w:val="auto"/>
          <w:sz w:val="20"/>
          <w:szCs w:val="20"/>
        </w:rPr>
        <w:t xml:space="preserve"> "we do not have extinguishers, we did what we could, that's all I can say</w:t>
      </w:r>
      <w:r w:rsidR="009E703D" w:rsidRPr="00B26051">
        <w:rPr>
          <w:rFonts w:asciiTheme="majorHAnsi" w:hAnsiTheme="majorHAnsi"/>
          <w:color w:val="auto"/>
          <w:sz w:val="20"/>
          <w:szCs w:val="20"/>
        </w:rPr>
        <w:t>.</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footnoteReference w:id="90"/>
      </w:r>
    </w:p>
    <w:p w14:paraId="611126CB" w14:textId="77777777" w:rsidR="00185D58" w:rsidRPr="00B26051" w:rsidRDefault="00185D58" w:rsidP="00185D58">
      <w:pPr>
        <w:pStyle w:val="ListParagraph"/>
        <w:rPr>
          <w:rFonts w:asciiTheme="majorHAnsi" w:hAnsiTheme="majorHAnsi"/>
          <w:color w:val="auto"/>
          <w:sz w:val="20"/>
          <w:szCs w:val="20"/>
        </w:rPr>
      </w:pPr>
    </w:p>
    <w:p w14:paraId="6A0A1502" w14:textId="7E746229" w:rsidR="00185D58" w:rsidRPr="00B26051" w:rsidRDefault="00BF2217"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From the statements of the guides</w:t>
      </w:r>
      <w:r w:rsidR="00A1185A" w:rsidRPr="00B26051">
        <w:rPr>
          <w:rFonts w:asciiTheme="majorHAnsi" w:hAnsiTheme="majorHAnsi"/>
          <w:color w:val="auto"/>
          <w:sz w:val="20"/>
          <w:szCs w:val="20"/>
        </w:rPr>
        <w:t xml:space="preserve"> Chirinos and</w:t>
      </w:r>
      <w:r w:rsidRPr="00B26051">
        <w:rPr>
          <w:rFonts w:asciiTheme="majorHAnsi" w:hAnsiTheme="majorHAnsi"/>
          <w:color w:val="auto"/>
          <w:sz w:val="20"/>
          <w:szCs w:val="20"/>
        </w:rPr>
        <w:t xml:space="preserve"> Gómez, from the acting </w:t>
      </w:r>
      <w:r w:rsidR="00A1185A" w:rsidRPr="00B26051">
        <w:rPr>
          <w:rFonts w:asciiTheme="majorHAnsi" w:hAnsiTheme="majorHAnsi"/>
          <w:color w:val="auto"/>
          <w:sz w:val="20"/>
          <w:szCs w:val="20"/>
        </w:rPr>
        <w:t>warden</w:t>
      </w:r>
      <w:r w:rsidRPr="00B26051">
        <w:rPr>
          <w:rFonts w:asciiTheme="majorHAnsi" w:hAnsiTheme="majorHAnsi"/>
          <w:color w:val="auto"/>
          <w:sz w:val="20"/>
          <w:szCs w:val="20"/>
        </w:rPr>
        <w:t xml:space="preserve"> Romero and from the </w:t>
      </w:r>
      <w:r w:rsidR="009E703D" w:rsidRPr="00B26051">
        <w:rPr>
          <w:rFonts w:asciiTheme="majorHAnsi" w:hAnsiTheme="majorHAnsi"/>
          <w:color w:val="auto"/>
          <w:sz w:val="20"/>
          <w:szCs w:val="20"/>
        </w:rPr>
        <w:t>youth</w:t>
      </w:r>
      <w:r w:rsidRPr="00B26051">
        <w:rPr>
          <w:rFonts w:asciiTheme="majorHAnsi" w:hAnsiTheme="majorHAnsi"/>
          <w:color w:val="auto"/>
          <w:sz w:val="20"/>
          <w:szCs w:val="20"/>
        </w:rPr>
        <w:t xml:space="preserve"> Carlos Martes, it is clear that they tried to </w:t>
      </w:r>
      <w:r w:rsidR="00A1185A" w:rsidRPr="00B26051">
        <w:rPr>
          <w:rFonts w:asciiTheme="majorHAnsi" w:hAnsiTheme="majorHAnsi"/>
          <w:color w:val="auto"/>
          <w:sz w:val="20"/>
          <w:szCs w:val="20"/>
        </w:rPr>
        <w:t>extinguish</w:t>
      </w:r>
      <w:r w:rsidRPr="00B26051">
        <w:rPr>
          <w:rFonts w:asciiTheme="majorHAnsi" w:hAnsiTheme="majorHAnsi"/>
          <w:color w:val="auto"/>
          <w:sz w:val="20"/>
          <w:szCs w:val="20"/>
        </w:rPr>
        <w:t xml:space="preserve"> the fire with </w:t>
      </w:r>
      <w:r w:rsidR="00A1185A" w:rsidRPr="00B26051">
        <w:rPr>
          <w:rFonts w:asciiTheme="majorHAnsi" w:hAnsiTheme="majorHAnsi"/>
          <w:color w:val="auto"/>
          <w:sz w:val="20"/>
          <w:szCs w:val="20"/>
        </w:rPr>
        <w:t>buckets of water</w:t>
      </w:r>
      <w:r w:rsidRPr="00B26051">
        <w:rPr>
          <w:rFonts w:asciiTheme="majorHAnsi" w:hAnsiTheme="majorHAnsi"/>
          <w:color w:val="auto"/>
          <w:sz w:val="20"/>
          <w:szCs w:val="20"/>
        </w:rPr>
        <w:t>, without success. Carlos</w:t>
      </w:r>
      <w:r w:rsidR="00A1185A" w:rsidRPr="00B26051">
        <w:rPr>
          <w:rFonts w:asciiTheme="majorHAnsi" w:hAnsiTheme="majorHAnsi"/>
          <w:color w:val="auto"/>
          <w:sz w:val="20"/>
          <w:szCs w:val="20"/>
        </w:rPr>
        <w:t xml:space="preserve"> Martes managed to open the bars</w:t>
      </w:r>
      <w:r w:rsidRPr="00B26051">
        <w:rPr>
          <w:rFonts w:asciiTheme="majorHAnsi" w:hAnsiTheme="majorHAnsi"/>
          <w:color w:val="auto"/>
          <w:sz w:val="20"/>
          <w:szCs w:val="20"/>
        </w:rPr>
        <w:t xml:space="preserve"> of the cell and with the help of paramedics who arrived from 171, the guides </w:t>
      </w:r>
      <w:r w:rsidR="00A1185A" w:rsidRPr="00B26051">
        <w:rPr>
          <w:rFonts w:asciiTheme="majorHAnsi" w:hAnsiTheme="majorHAnsi"/>
          <w:color w:val="auto"/>
          <w:sz w:val="20"/>
          <w:szCs w:val="20"/>
        </w:rPr>
        <w:t>removed</w:t>
      </w:r>
      <w:r w:rsidRPr="00B26051">
        <w:rPr>
          <w:rFonts w:asciiTheme="majorHAnsi" w:hAnsiTheme="majorHAnsi"/>
          <w:color w:val="auto"/>
          <w:sz w:val="20"/>
          <w:szCs w:val="20"/>
        </w:rPr>
        <w:t xml:space="preserve"> José Gregorio Mota and Gabriel Yáñez alive. The acting </w:t>
      </w:r>
      <w:r w:rsidR="00A1185A" w:rsidRPr="00B26051">
        <w:rPr>
          <w:rFonts w:asciiTheme="majorHAnsi" w:hAnsiTheme="majorHAnsi"/>
          <w:color w:val="auto"/>
          <w:sz w:val="20"/>
          <w:szCs w:val="20"/>
        </w:rPr>
        <w:t>warden reported that "the fire fighters</w:t>
      </w:r>
      <w:r w:rsidRPr="00B26051">
        <w:rPr>
          <w:rFonts w:asciiTheme="majorHAnsi" w:hAnsiTheme="majorHAnsi"/>
          <w:color w:val="auto"/>
          <w:sz w:val="20"/>
          <w:szCs w:val="20"/>
        </w:rPr>
        <w:t xml:space="preserve"> arrived, the first of the </w:t>
      </w:r>
      <w:r w:rsidR="009E703D" w:rsidRPr="00B26051">
        <w:rPr>
          <w:rFonts w:asciiTheme="majorHAnsi" w:hAnsiTheme="majorHAnsi"/>
          <w:color w:val="auto"/>
          <w:sz w:val="20"/>
          <w:szCs w:val="20"/>
        </w:rPr>
        <w:t>fire trucks</w:t>
      </w:r>
      <w:r w:rsidR="00BB2E80" w:rsidRPr="00B26051">
        <w:rPr>
          <w:rFonts w:asciiTheme="majorHAnsi" w:hAnsiTheme="majorHAnsi"/>
          <w:color w:val="auto"/>
          <w:sz w:val="20"/>
          <w:szCs w:val="20"/>
        </w:rPr>
        <w:t xml:space="preserve"> to arrive</w:t>
      </w:r>
      <w:r w:rsidRPr="00B26051">
        <w:rPr>
          <w:rFonts w:asciiTheme="majorHAnsi" w:hAnsiTheme="majorHAnsi"/>
          <w:color w:val="auto"/>
          <w:sz w:val="20"/>
          <w:szCs w:val="20"/>
        </w:rPr>
        <w:t xml:space="preserve"> </w:t>
      </w:r>
      <w:r w:rsidR="00BB2E80" w:rsidRPr="00B26051">
        <w:rPr>
          <w:rFonts w:asciiTheme="majorHAnsi" w:hAnsiTheme="majorHAnsi"/>
          <w:color w:val="auto"/>
          <w:sz w:val="20"/>
          <w:szCs w:val="20"/>
        </w:rPr>
        <w:t>had no</w:t>
      </w:r>
      <w:r w:rsidRPr="00B26051">
        <w:rPr>
          <w:rFonts w:asciiTheme="majorHAnsi" w:hAnsiTheme="majorHAnsi"/>
          <w:color w:val="auto"/>
          <w:sz w:val="20"/>
          <w:szCs w:val="20"/>
        </w:rPr>
        <w:t xml:space="preserve"> </w:t>
      </w:r>
      <w:r w:rsidR="00BB2E80" w:rsidRPr="00B26051">
        <w:rPr>
          <w:rFonts w:asciiTheme="majorHAnsi" w:hAnsiTheme="majorHAnsi"/>
          <w:color w:val="auto"/>
          <w:sz w:val="20"/>
          <w:szCs w:val="20"/>
        </w:rPr>
        <w:t>water"; t</w:t>
      </w:r>
      <w:r w:rsidRPr="00B26051">
        <w:rPr>
          <w:rFonts w:asciiTheme="majorHAnsi" w:hAnsiTheme="majorHAnsi"/>
          <w:color w:val="auto"/>
          <w:sz w:val="20"/>
          <w:szCs w:val="20"/>
        </w:rPr>
        <w:t>hen another unit arrived from U</w:t>
      </w:r>
      <w:r w:rsidR="009E703D" w:rsidRPr="00B26051">
        <w:rPr>
          <w:rFonts w:asciiTheme="majorHAnsi" w:hAnsiTheme="majorHAnsi"/>
          <w:color w:val="auto"/>
          <w:sz w:val="20"/>
          <w:szCs w:val="20"/>
        </w:rPr>
        <w:t>nare that did bring a water tank</w:t>
      </w:r>
      <w:r w:rsidRPr="00B26051">
        <w:rPr>
          <w:rFonts w:asciiTheme="majorHAnsi" w:hAnsiTheme="majorHAnsi"/>
          <w:color w:val="auto"/>
          <w:sz w:val="20"/>
          <w:szCs w:val="20"/>
        </w:rPr>
        <w:t xml:space="preserve">, "but it was too late". Carlos Martes reported: </w:t>
      </w:r>
      <w:r w:rsidR="00EA4C8C" w:rsidRPr="00B26051">
        <w:rPr>
          <w:rFonts w:asciiTheme="majorHAnsi" w:hAnsiTheme="majorHAnsi"/>
          <w:color w:val="auto"/>
          <w:sz w:val="20"/>
          <w:szCs w:val="20"/>
        </w:rPr>
        <w:t>“first the fire fighters arrived</w:t>
      </w:r>
      <w:r w:rsidRPr="00B26051">
        <w:rPr>
          <w:rFonts w:asciiTheme="majorHAnsi" w:hAnsiTheme="majorHAnsi"/>
          <w:color w:val="auto"/>
          <w:sz w:val="20"/>
          <w:szCs w:val="20"/>
        </w:rPr>
        <w:t xml:space="preserve"> and </w:t>
      </w:r>
      <w:r w:rsidR="00EA4C8C" w:rsidRPr="00B26051">
        <w:rPr>
          <w:rFonts w:asciiTheme="majorHAnsi" w:hAnsiTheme="majorHAnsi"/>
          <w:color w:val="auto"/>
          <w:sz w:val="20"/>
          <w:szCs w:val="20"/>
        </w:rPr>
        <w:t xml:space="preserve">after them came the 171 </w:t>
      </w:r>
      <w:r w:rsidR="001022ED" w:rsidRPr="00B26051">
        <w:rPr>
          <w:rFonts w:asciiTheme="majorHAnsi" w:hAnsiTheme="majorHAnsi"/>
          <w:color w:val="auto"/>
          <w:sz w:val="20"/>
          <w:szCs w:val="20"/>
        </w:rPr>
        <w:t>Bolívar</w:t>
      </w:r>
      <w:r w:rsidR="00EA4C8C" w:rsidRPr="00B26051">
        <w:rPr>
          <w:rFonts w:asciiTheme="majorHAnsi" w:hAnsiTheme="majorHAnsi"/>
          <w:color w:val="auto"/>
          <w:sz w:val="20"/>
          <w:szCs w:val="20"/>
        </w:rPr>
        <w:t xml:space="preserve"> service</w:t>
      </w:r>
      <w:r w:rsidR="009E703D" w:rsidRPr="00B26051">
        <w:rPr>
          <w:rFonts w:asciiTheme="majorHAnsi" w:hAnsiTheme="majorHAnsi"/>
          <w:color w:val="auto"/>
          <w:sz w:val="20"/>
          <w:szCs w:val="20"/>
        </w:rPr>
        <w:t>, then the 171 and [Chirinos]</w:t>
      </w:r>
      <w:r w:rsidR="00EA4C8C" w:rsidRPr="00B26051">
        <w:rPr>
          <w:rFonts w:asciiTheme="majorHAnsi" w:hAnsiTheme="majorHAnsi"/>
          <w:color w:val="auto"/>
          <w:sz w:val="20"/>
          <w:szCs w:val="20"/>
        </w:rPr>
        <w:t xml:space="preserve"> brought out o</w:t>
      </w:r>
      <w:r w:rsidRPr="00B26051">
        <w:rPr>
          <w:rFonts w:asciiTheme="majorHAnsi" w:hAnsiTheme="majorHAnsi"/>
          <w:color w:val="auto"/>
          <w:sz w:val="20"/>
          <w:szCs w:val="20"/>
        </w:rPr>
        <w:t xml:space="preserve">ne of the boys who was </w:t>
      </w:r>
      <w:r w:rsidRPr="00B26051">
        <w:rPr>
          <w:rFonts w:asciiTheme="majorHAnsi" w:hAnsiTheme="majorHAnsi"/>
          <w:color w:val="auto"/>
          <w:sz w:val="20"/>
          <w:szCs w:val="20"/>
        </w:rPr>
        <w:lastRenderedPageBreak/>
        <w:t>still alive, then the 171 with the help of the firefighters took out another who was alive, (...) then after about half an hour they took out those who were dead.</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91"/>
      </w:r>
    </w:p>
    <w:p w14:paraId="1FD4D0B6" w14:textId="77777777" w:rsidR="00185D58" w:rsidRPr="00B26051" w:rsidRDefault="00185D58" w:rsidP="00185D58">
      <w:pPr>
        <w:pStyle w:val="ListParagraph"/>
        <w:rPr>
          <w:rFonts w:asciiTheme="majorHAnsi" w:hAnsiTheme="majorHAnsi"/>
          <w:color w:val="auto"/>
          <w:sz w:val="20"/>
          <w:szCs w:val="20"/>
        </w:rPr>
      </w:pPr>
    </w:p>
    <w:p w14:paraId="42578792" w14:textId="489B59B9" w:rsidR="00185D58" w:rsidRPr="00B26051" w:rsidRDefault="00BF2217"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On this point, the inmates of Cell No. 2 declared that "the boys were rescued by [Chirinos] and the f</w:t>
      </w:r>
      <w:r w:rsidR="0054685D" w:rsidRPr="00B26051">
        <w:rPr>
          <w:rFonts w:asciiTheme="majorHAnsi" w:hAnsiTheme="majorHAnsi"/>
          <w:color w:val="auto"/>
          <w:sz w:val="20"/>
          <w:szCs w:val="20"/>
        </w:rPr>
        <w:t>ire was put out by [Martes], the fire fighters</w:t>
      </w:r>
      <w:r w:rsidRPr="00B26051">
        <w:rPr>
          <w:rFonts w:asciiTheme="majorHAnsi" w:hAnsiTheme="majorHAnsi"/>
          <w:color w:val="auto"/>
          <w:sz w:val="20"/>
          <w:szCs w:val="20"/>
        </w:rPr>
        <w:t>, despite arr</w:t>
      </w:r>
      <w:r w:rsidR="009E703D" w:rsidRPr="00B26051">
        <w:rPr>
          <w:rFonts w:asciiTheme="majorHAnsi" w:hAnsiTheme="majorHAnsi"/>
          <w:color w:val="auto"/>
          <w:sz w:val="20"/>
          <w:szCs w:val="20"/>
        </w:rPr>
        <w:t>iving on time, did not participate</w:t>
      </w:r>
      <w:r w:rsidRPr="00B26051">
        <w:rPr>
          <w:rFonts w:asciiTheme="majorHAnsi" w:hAnsiTheme="majorHAnsi"/>
          <w:color w:val="auto"/>
          <w:sz w:val="20"/>
          <w:szCs w:val="20"/>
        </w:rPr>
        <w:t xml:space="preserve">". </w:t>
      </w:r>
      <w:r w:rsidR="0054685D" w:rsidRPr="00B26051">
        <w:rPr>
          <w:rFonts w:asciiTheme="majorHAnsi" w:hAnsiTheme="majorHAnsi"/>
          <w:color w:val="auto"/>
          <w:sz w:val="20"/>
          <w:szCs w:val="20"/>
        </w:rPr>
        <w:t>They state that</w:t>
      </w:r>
      <w:r w:rsidRPr="00B26051">
        <w:rPr>
          <w:rFonts w:asciiTheme="majorHAnsi" w:hAnsiTheme="majorHAnsi"/>
          <w:color w:val="auto"/>
          <w:sz w:val="20"/>
          <w:szCs w:val="20"/>
        </w:rPr>
        <w:t xml:space="preserve"> "the </w:t>
      </w:r>
      <w:r w:rsidR="00140CA5" w:rsidRPr="00B26051">
        <w:rPr>
          <w:rFonts w:asciiTheme="majorHAnsi" w:hAnsiTheme="majorHAnsi"/>
          <w:color w:val="auto"/>
          <w:sz w:val="20"/>
          <w:szCs w:val="20"/>
        </w:rPr>
        <w:t xml:space="preserve">rescue </w:t>
      </w:r>
      <w:r w:rsidRPr="00B26051">
        <w:rPr>
          <w:rFonts w:asciiTheme="majorHAnsi" w:hAnsiTheme="majorHAnsi"/>
          <w:color w:val="auto"/>
          <w:sz w:val="20"/>
          <w:szCs w:val="20"/>
        </w:rPr>
        <w:t>group 171 did not have equipment such as fire extinguishers, masks and said that there was a lot of smoke and that they could not enter because they were putting their lives at risk".</w:t>
      </w:r>
      <w:r w:rsidRPr="00B26051">
        <w:rPr>
          <w:rFonts w:asciiTheme="majorHAnsi" w:hAnsiTheme="majorHAnsi"/>
          <w:color w:val="auto"/>
          <w:sz w:val="20"/>
          <w:szCs w:val="20"/>
          <w:vertAlign w:val="superscript"/>
        </w:rPr>
        <w:footnoteReference w:id="92"/>
      </w:r>
    </w:p>
    <w:p w14:paraId="32F8C162" w14:textId="77777777" w:rsidR="00185D58" w:rsidRPr="00B26051" w:rsidRDefault="00185D58" w:rsidP="00185D58">
      <w:pPr>
        <w:pStyle w:val="ListParagraph"/>
        <w:rPr>
          <w:rFonts w:asciiTheme="majorHAnsi" w:hAnsiTheme="majorHAnsi"/>
          <w:color w:val="auto"/>
          <w:sz w:val="20"/>
          <w:szCs w:val="20"/>
        </w:rPr>
      </w:pPr>
    </w:p>
    <w:p w14:paraId="0C1FA22C" w14:textId="3263EBDF" w:rsidR="00185D58" w:rsidRPr="00B26051" w:rsidRDefault="00BF2217"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 xml:space="preserve">Subsequently, </w:t>
      </w:r>
      <w:r w:rsidR="003B3B49" w:rsidRPr="00B26051">
        <w:rPr>
          <w:rFonts w:asciiTheme="majorHAnsi" w:hAnsiTheme="majorHAnsi"/>
          <w:color w:val="auto"/>
          <w:sz w:val="20"/>
          <w:szCs w:val="20"/>
        </w:rPr>
        <w:t>the youths</w:t>
      </w:r>
      <w:r w:rsidRPr="00B26051">
        <w:rPr>
          <w:rFonts w:asciiTheme="majorHAnsi" w:hAnsiTheme="majorHAnsi"/>
          <w:color w:val="auto"/>
          <w:sz w:val="20"/>
          <w:szCs w:val="20"/>
        </w:rPr>
        <w:t xml:space="preserve"> Mota and Yáñez were transfe</w:t>
      </w:r>
      <w:r w:rsidR="003B3B49" w:rsidRPr="00B26051">
        <w:rPr>
          <w:rFonts w:asciiTheme="majorHAnsi" w:hAnsiTheme="majorHAnsi"/>
          <w:color w:val="auto"/>
          <w:sz w:val="20"/>
          <w:szCs w:val="20"/>
        </w:rPr>
        <w:t>r</w:t>
      </w:r>
      <w:r w:rsidR="00F90B60">
        <w:rPr>
          <w:rFonts w:asciiTheme="majorHAnsi" w:hAnsiTheme="majorHAnsi"/>
          <w:color w:val="auto"/>
          <w:sz w:val="20"/>
          <w:szCs w:val="20"/>
        </w:rPr>
        <w:t>red to the Manuel Piar clinic—</w:t>
      </w:r>
      <w:r w:rsidRPr="00B26051">
        <w:rPr>
          <w:rFonts w:asciiTheme="majorHAnsi" w:hAnsiTheme="majorHAnsi"/>
          <w:color w:val="auto"/>
          <w:sz w:val="20"/>
          <w:szCs w:val="20"/>
        </w:rPr>
        <w:t xml:space="preserve">which initially refused to </w:t>
      </w:r>
      <w:r w:rsidR="003B3B49" w:rsidRPr="00B26051">
        <w:rPr>
          <w:rFonts w:asciiTheme="majorHAnsi" w:hAnsiTheme="majorHAnsi"/>
          <w:color w:val="auto"/>
          <w:sz w:val="20"/>
          <w:szCs w:val="20"/>
        </w:rPr>
        <w:t>admit</w:t>
      </w:r>
      <w:r w:rsidRPr="00B26051">
        <w:rPr>
          <w:rFonts w:asciiTheme="majorHAnsi" w:hAnsiTheme="majorHAnsi"/>
          <w:color w:val="auto"/>
          <w:sz w:val="20"/>
          <w:szCs w:val="20"/>
        </w:rPr>
        <w:t xml:space="preserve"> them for alleged lack of an agreement with the INAM</w:t>
      </w:r>
      <w:r w:rsidRPr="00B26051">
        <w:rPr>
          <w:rStyle w:val="FootnoteReference"/>
          <w:rFonts w:asciiTheme="majorHAnsi" w:hAnsiTheme="majorHAnsi"/>
          <w:color w:val="auto"/>
          <w:sz w:val="20"/>
          <w:szCs w:val="20"/>
        </w:rPr>
        <w:footnoteReference w:id="93"/>
      </w:r>
      <w:r w:rsidR="00F90B60">
        <w:rPr>
          <w:rFonts w:asciiTheme="majorHAnsi" w:hAnsiTheme="majorHAnsi"/>
          <w:color w:val="auto"/>
          <w:sz w:val="20"/>
          <w:szCs w:val="20"/>
        </w:rPr>
        <w:t>—</w:t>
      </w:r>
      <w:r w:rsidRPr="00B26051">
        <w:rPr>
          <w:rFonts w:asciiTheme="majorHAnsi" w:hAnsiTheme="majorHAnsi"/>
          <w:color w:val="auto"/>
          <w:sz w:val="20"/>
          <w:szCs w:val="20"/>
        </w:rPr>
        <w:t>where they died shortly afterwards due to the severity of their injuries.</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94"/>
      </w:r>
      <w:r w:rsidRPr="00B26051">
        <w:rPr>
          <w:rFonts w:asciiTheme="majorHAnsi" w:hAnsiTheme="majorHAnsi"/>
          <w:color w:val="auto"/>
          <w:sz w:val="20"/>
          <w:szCs w:val="20"/>
        </w:rPr>
        <w:t xml:space="preserve">  The five victims were then transferred to the Raúl Leoní Hospital</w:t>
      </w:r>
      <w:r w:rsidR="003B3B49" w:rsidRPr="00B26051">
        <w:rPr>
          <w:rFonts w:asciiTheme="majorHAnsi" w:hAnsiTheme="majorHAnsi"/>
          <w:color w:val="auto"/>
          <w:sz w:val="20"/>
          <w:szCs w:val="20"/>
        </w:rPr>
        <w:t xml:space="preserve"> mortuary</w:t>
      </w:r>
      <w:r w:rsidRPr="00B26051">
        <w:rPr>
          <w:rFonts w:asciiTheme="majorHAnsi" w:hAnsiTheme="majorHAnsi"/>
          <w:color w:val="auto"/>
          <w:sz w:val="20"/>
          <w:szCs w:val="20"/>
        </w:rPr>
        <w:t>, where they underwent medical examinations and autopsies.</w:t>
      </w:r>
      <w:r w:rsidRPr="00B26051">
        <w:rPr>
          <w:rStyle w:val="FootnoteReference"/>
          <w:rFonts w:asciiTheme="majorHAnsi" w:hAnsiTheme="majorHAnsi"/>
          <w:color w:val="auto"/>
          <w:sz w:val="20"/>
          <w:szCs w:val="20"/>
        </w:rPr>
        <w:footnoteReference w:id="95"/>
      </w:r>
    </w:p>
    <w:p w14:paraId="349D3618" w14:textId="77777777" w:rsidR="00185D58" w:rsidRPr="00B26051" w:rsidRDefault="00185D58" w:rsidP="00185D58">
      <w:pPr>
        <w:jc w:val="both"/>
        <w:rPr>
          <w:rFonts w:asciiTheme="majorHAnsi" w:hAnsiTheme="majorHAnsi"/>
          <w:sz w:val="20"/>
          <w:szCs w:val="20"/>
        </w:rPr>
      </w:pPr>
    </w:p>
    <w:p w14:paraId="0E3114D5" w14:textId="3E5CA50D" w:rsidR="00185D58" w:rsidRPr="00B26051" w:rsidRDefault="00BF2217"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After the fire, Nerio Romero, Francisco Gómez and José Luis Chirinos</w:t>
      </w:r>
      <w:r w:rsidR="009B301E" w:rsidRPr="00B26051">
        <w:rPr>
          <w:rFonts w:asciiTheme="majorHAnsi" w:hAnsiTheme="majorHAnsi"/>
          <w:color w:val="auto"/>
          <w:sz w:val="20"/>
          <w:szCs w:val="20"/>
        </w:rPr>
        <w:t xml:space="preserve"> we</w:t>
      </w:r>
      <w:r w:rsidR="00CD17B6" w:rsidRPr="00B26051">
        <w:rPr>
          <w:rFonts w:asciiTheme="majorHAnsi" w:hAnsiTheme="majorHAnsi"/>
          <w:color w:val="auto"/>
          <w:sz w:val="20"/>
          <w:szCs w:val="20"/>
        </w:rPr>
        <w:t>re suspended</w:t>
      </w:r>
      <w:r w:rsidR="00F90B60">
        <w:rPr>
          <w:rFonts w:asciiTheme="majorHAnsi" w:hAnsiTheme="majorHAnsi"/>
          <w:color w:val="auto"/>
          <w:sz w:val="20"/>
          <w:szCs w:val="20"/>
        </w:rPr>
        <w:t xml:space="preserve"> from their posts at the INAM</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96"/>
      </w:r>
    </w:p>
    <w:p w14:paraId="0BF8E841" w14:textId="77777777" w:rsidR="00185D58" w:rsidRPr="00B26051" w:rsidRDefault="00185D58" w:rsidP="00185D58">
      <w:pPr>
        <w:jc w:val="both"/>
        <w:rPr>
          <w:rFonts w:asciiTheme="majorHAnsi" w:hAnsiTheme="majorHAnsi"/>
          <w:sz w:val="20"/>
          <w:szCs w:val="20"/>
        </w:rPr>
      </w:pPr>
    </w:p>
    <w:p w14:paraId="66F2B3EB" w14:textId="4164AE41" w:rsidR="00185D58" w:rsidRPr="00B26051" w:rsidRDefault="00BF2217" w:rsidP="007F4FA0">
      <w:pPr>
        <w:pStyle w:val="ListParagraph"/>
        <w:numPr>
          <w:ilvl w:val="0"/>
          <w:numId w:val="65"/>
        </w:numPr>
        <w:ind w:firstLine="0"/>
        <w:jc w:val="both"/>
        <w:rPr>
          <w:rFonts w:asciiTheme="majorHAnsi" w:hAnsiTheme="majorHAnsi"/>
          <w:b/>
          <w:color w:val="auto"/>
          <w:sz w:val="20"/>
          <w:szCs w:val="20"/>
        </w:rPr>
      </w:pPr>
      <w:r w:rsidRPr="00B26051">
        <w:rPr>
          <w:rFonts w:asciiTheme="majorHAnsi" w:hAnsiTheme="majorHAnsi"/>
          <w:b/>
          <w:color w:val="auto"/>
          <w:sz w:val="20"/>
          <w:szCs w:val="20"/>
        </w:rPr>
        <w:t>Internal Proceedings</w:t>
      </w:r>
    </w:p>
    <w:p w14:paraId="07ED21F4" w14:textId="77777777" w:rsidR="00185D58" w:rsidRPr="00B26051" w:rsidRDefault="00185D58" w:rsidP="00185D58">
      <w:pPr>
        <w:pStyle w:val="ListParagraph"/>
        <w:rPr>
          <w:rFonts w:asciiTheme="majorHAnsi" w:hAnsiTheme="majorHAnsi"/>
          <w:b/>
          <w:color w:val="auto"/>
          <w:sz w:val="20"/>
          <w:szCs w:val="20"/>
        </w:rPr>
      </w:pPr>
    </w:p>
    <w:p w14:paraId="2F3C507A" w14:textId="4E7DDD69" w:rsidR="00185D58" w:rsidRPr="00B26051" w:rsidRDefault="00185D58" w:rsidP="00185D58">
      <w:pPr>
        <w:ind w:left="720"/>
        <w:jc w:val="both"/>
        <w:rPr>
          <w:rFonts w:asciiTheme="majorHAnsi" w:hAnsiTheme="majorHAnsi"/>
          <w:b/>
          <w:sz w:val="20"/>
          <w:szCs w:val="20"/>
        </w:rPr>
      </w:pPr>
      <w:r w:rsidRPr="00B26051">
        <w:rPr>
          <w:rFonts w:asciiTheme="majorHAnsi" w:hAnsiTheme="majorHAnsi"/>
          <w:b/>
          <w:sz w:val="20"/>
          <w:szCs w:val="20"/>
        </w:rPr>
        <w:t xml:space="preserve">5.1 </w:t>
      </w:r>
      <w:r w:rsidRPr="00B26051">
        <w:rPr>
          <w:rFonts w:asciiTheme="majorHAnsi" w:hAnsiTheme="majorHAnsi"/>
          <w:b/>
          <w:sz w:val="20"/>
          <w:szCs w:val="20"/>
        </w:rPr>
        <w:tab/>
      </w:r>
      <w:r w:rsidR="0064520C" w:rsidRPr="00B26051">
        <w:rPr>
          <w:rFonts w:asciiTheme="majorHAnsi" w:hAnsiTheme="majorHAnsi"/>
          <w:b/>
          <w:sz w:val="20"/>
          <w:szCs w:val="20"/>
        </w:rPr>
        <w:t>Investigation of the facts</w:t>
      </w:r>
    </w:p>
    <w:p w14:paraId="37E8330F" w14:textId="77777777" w:rsidR="00185D58" w:rsidRPr="00B26051" w:rsidRDefault="00185D58" w:rsidP="00185D58">
      <w:pPr>
        <w:jc w:val="both"/>
        <w:rPr>
          <w:rFonts w:asciiTheme="majorHAnsi" w:hAnsiTheme="majorHAnsi"/>
          <w:b/>
          <w:sz w:val="20"/>
          <w:szCs w:val="20"/>
        </w:rPr>
      </w:pPr>
    </w:p>
    <w:p w14:paraId="61FB9F03" w14:textId="4F75AFFF" w:rsidR="00185D58" w:rsidRPr="00B26051" w:rsidRDefault="0064520C"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The investigation began on the same day as the events</w:t>
      </w:r>
      <w:r w:rsidRPr="00B26051">
        <w:rPr>
          <w:rStyle w:val="FootnoteReference"/>
          <w:rFonts w:asciiTheme="majorHAnsi" w:hAnsiTheme="majorHAnsi"/>
          <w:color w:val="auto"/>
          <w:sz w:val="20"/>
          <w:szCs w:val="20"/>
        </w:rPr>
        <w:footnoteReference w:id="97"/>
      </w:r>
      <w:r w:rsidRPr="00B26051">
        <w:rPr>
          <w:rFonts w:asciiTheme="majorHAnsi" w:hAnsiTheme="majorHAnsi"/>
          <w:color w:val="auto"/>
          <w:sz w:val="20"/>
          <w:szCs w:val="20"/>
        </w:rPr>
        <w:t xml:space="preserve"> and the following month the National Council on the Rights of Children and Adolescents</w:t>
      </w:r>
      <w:r w:rsidRPr="00B26051">
        <w:rPr>
          <w:rStyle w:val="FootnoteReference"/>
          <w:rFonts w:asciiTheme="majorHAnsi" w:hAnsiTheme="majorHAnsi"/>
          <w:color w:val="auto"/>
          <w:sz w:val="20"/>
          <w:szCs w:val="20"/>
        </w:rPr>
        <w:footnoteReference w:id="98"/>
      </w:r>
      <w:r w:rsidRPr="00B26051">
        <w:rPr>
          <w:rFonts w:asciiTheme="majorHAnsi" w:hAnsiTheme="majorHAnsi"/>
          <w:color w:val="auto"/>
          <w:sz w:val="20"/>
          <w:szCs w:val="20"/>
        </w:rPr>
        <w:t xml:space="preserve"> and the Permanent Commission of Family, Women and Youth of the National Assembly</w:t>
      </w:r>
      <w:r w:rsidR="009B301E" w:rsidRPr="00B26051">
        <w:rPr>
          <w:rFonts w:asciiTheme="majorHAnsi" w:hAnsiTheme="majorHAnsi"/>
          <w:color w:val="auto"/>
          <w:sz w:val="20"/>
          <w:szCs w:val="20"/>
        </w:rPr>
        <w:t xml:space="preserve"> became involved</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99"/>
      </w:r>
    </w:p>
    <w:p w14:paraId="0D102AC2" w14:textId="77777777" w:rsidR="00185D58" w:rsidRPr="00B26051" w:rsidRDefault="00185D58" w:rsidP="00185D58">
      <w:pPr>
        <w:pStyle w:val="ListParagraph"/>
        <w:rPr>
          <w:rFonts w:asciiTheme="majorHAnsi" w:hAnsiTheme="majorHAnsi"/>
          <w:color w:val="auto"/>
          <w:sz w:val="20"/>
          <w:szCs w:val="20"/>
        </w:rPr>
      </w:pPr>
    </w:p>
    <w:p w14:paraId="404500D6" w14:textId="4FFF2770" w:rsidR="00185D58" w:rsidRPr="00B26051" w:rsidRDefault="00CE74AF"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 xml:space="preserve">Regarding the cause of the fire, the expert opinion </w:t>
      </w:r>
      <w:r w:rsidR="00663BCA" w:rsidRPr="00B26051">
        <w:rPr>
          <w:rFonts w:asciiTheme="majorHAnsi" w:hAnsiTheme="majorHAnsi"/>
          <w:color w:val="auto"/>
          <w:sz w:val="20"/>
          <w:szCs w:val="20"/>
        </w:rPr>
        <w:t>issued by the CICPC "established</w:t>
      </w:r>
      <w:r w:rsidRPr="00B26051">
        <w:rPr>
          <w:rFonts w:asciiTheme="majorHAnsi" w:hAnsiTheme="majorHAnsi"/>
          <w:color w:val="auto"/>
          <w:sz w:val="20"/>
          <w:szCs w:val="20"/>
        </w:rPr>
        <w:t xml:space="preserve"> that the [fire] originated becaus</w:t>
      </w:r>
      <w:r w:rsidR="00F467A3" w:rsidRPr="00B26051">
        <w:rPr>
          <w:rFonts w:asciiTheme="majorHAnsi" w:hAnsiTheme="majorHAnsi"/>
          <w:color w:val="auto"/>
          <w:sz w:val="20"/>
          <w:szCs w:val="20"/>
        </w:rPr>
        <w:t>e of the application of an [naked</w:t>
      </w:r>
      <w:r w:rsidRPr="00B26051">
        <w:rPr>
          <w:rFonts w:asciiTheme="majorHAnsi" w:hAnsiTheme="majorHAnsi"/>
          <w:color w:val="auto"/>
          <w:sz w:val="20"/>
          <w:szCs w:val="20"/>
        </w:rPr>
        <w:t xml:space="preserve"> flame] on the combustible materials [in cell No. 4], the fire spread</w:t>
      </w:r>
      <w:r w:rsidR="00F467A3" w:rsidRPr="00B26051">
        <w:rPr>
          <w:rFonts w:asciiTheme="majorHAnsi" w:hAnsiTheme="majorHAnsi"/>
          <w:color w:val="auto"/>
          <w:sz w:val="20"/>
          <w:szCs w:val="20"/>
        </w:rPr>
        <w:t>ing</w:t>
      </w:r>
      <w:r w:rsidRPr="00B26051">
        <w:rPr>
          <w:rFonts w:asciiTheme="majorHAnsi" w:hAnsiTheme="majorHAnsi"/>
          <w:color w:val="auto"/>
          <w:sz w:val="20"/>
          <w:szCs w:val="20"/>
        </w:rPr>
        <w:t xml:space="preserve"> to the</w:t>
      </w:r>
      <w:r w:rsidR="00F467A3" w:rsidRPr="00B26051">
        <w:rPr>
          <w:rFonts w:asciiTheme="majorHAnsi" w:hAnsiTheme="majorHAnsi"/>
          <w:color w:val="auto"/>
          <w:sz w:val="20"/>
          <w:szCs w:val="20"/>
        </w:rPr>
        <w:t xml:space="preserve"> other areas, which caused a large release</w:t>
      </w:r>
      <w:r w:rsidRPr="00B26051">
        <w:rPr>
          <w:rFonts w:asciiTheme="majorHAnsi" w:hAnsiTheme="majorHAnsi"/>
          <w:color w:val="auto"/>
          <w:sz w:val="20"/>
          <w:szCs w:val="20"/>
        </w:rPr>
        <w:t xml:space="preserve"> of smoke and soot particles, </w:t>
      </w:r>
      <w:r w:rsidR="00F467A3" w:rsidRPr="00B26051">
        <w:rPr>
          <w:rFonts w:asciiTheme="majorHAnsi" w:hAnsiTheme="majorHAnsi"/>
          <w:color w:val="auto"/>
          <w:sz w:val="20"/>
          <w:szCs w:val="20"/>
        </w:rPr>
        <w:t>leading to</w:t>
      </w:r>
      <w:r w:rsidR="00243F1C" w:rsidRPr="00B26051">
        <w:rPr>
          <w:rFonts w:asciiTheme="majorHAnsi" w:hAnsiTheme="majorHAnsi"/>
          <w:color w:val="auto"/>
          <w:sz w:val="20"/>
          <w:szCs w:val="20"/>
        </w:rPr>
        <w:t xml:space="preserve"> the death of</w:t>
      </w:r>
      <w:r w:rsidRPr="00B26051">
        <w:rPr>
          <w:rFonts w:asciiTheme="majorHAnsi" w:hAnsiTheme="majorHAnsi"/>
          <w:color w:val="auto"/>
          <w:sz w:val="20"/>
          <w:szCs w:val="20"/>
        </w:rPr>
        <w:t xml:space="preserve"> [the victims].</w:t>
      </w:r>
      <w:r w:rsidR="00243F1C" w:rsidRPr="00B26051">
        <w:rPr>
          <w:rFonts w:asciiTheme="majorHAnsi" w:hAnsiTheme="majorHAnsi"/>
          <w:color w:val="auto"/>
          <w:sz w:val="20"/>
          <w:szCs w:val="20"/>
        </w:rPr>
        <w:t>”</w:t>
      </w:r>
      <w:r w:rsidRPr="00B26051">
        <w:rPr>
          <w:rFonts w:asciiTheme="majorHAnsi" w:hAnsiTheme="majorHAnsi"/>
          <w:color w:val="auto"/>
          <w:sz w:val="20"/>
          <w:szCs w:val="20"/>
        </w:rPr>
        <w:t xml:space="preserve"> Also, it </w:t>
      </w:r>
      <w:r w:rsidR="00243F1C" w:rsidRPr="00B26051">
        <w:rPr>
          <w:rFonts w:asciiTheme="majorHAnsi" w:hAnsiTheme="majorHAnsi"/>
          <w:color w:val="auto"/>
          <w:sz w:val="20"/>
          <w:szCs w:val="20"/>
        </w:rPr>
        <w:t xml:space="preserve">was </w:t>
      </w:r>
      <w:r w:rsidRPr="00B26051">
        <w:rPr>
          <w:rFonts w:asciiTheme="majorHAnsi" w:hAnsiTheme="majorHAnsi"/>
          <w:color w:val="auto"/>
          <w:sz w:val="20"/>
          <w:szCs w:val="20"/>
        </w:rPr>
        <w:t xml:space="preserve">established that a segment of electrical </w:t>
      </w:r>
      <w:r w:rsidR="00F90B60">
        <w:rPr>
          <w:rFonts w:asciiTheme="majorHAnsi" w:hAnsiTheme="majorHAnsi"/>
          <w:color w:val="auto"/>
          <w:sz w:val="20"/>
          <w:szCs w:val="20"/>
        </w:rPr>
        <w:t>cable</w:t>
      </w:r>
      <w:r w:rsidRPr="00B26051">
        <w:rPr>
          <w:rFonts w:asciiTheme="majorHAnsi" w:hAnsiTheme="majorHAnsi"/>
          <w:color w:val="auto"/>
          <w:sz w:val="20"/>
          <w:szCs w:val="20"/>
        </w:rPr>
        <w:t xml:space="preserve"> found in cell no. 4 was </w:t>
      </w:r>
      <w:r w:rsidR="00663BCA" w:rsidRPr="00B26051">
        <w:rPr>
          <w:rFonts w:asciiTheme="majorHAnsi" w:hAnsiTheme="majorHAnsi"/>
          <w:color w:val="auto"/>
          <w:sz w:val="20"/>
          <w:szCs w:val="20"/>
        </w:rPr>
        <w:t xml:space="preserve">being </w:t>
      </w:r>
      <w:r w:rsidRPr="00B26051">
        <w:rPr>
          <w:rFonts w:asciiTheme="majorHAnsi" w:hAnsiTheme="majorHAnsi"/>
          <w:color w:val="auto"/>
          <w:sz w:val="20"/>
          <w:szCs w:val="20"/>
        </w:rPr>
        <w:t xml:space="preserve">used </w:t>
      </w:r>
      <w:r w:rsidR="00243F1C" w:rsidRPr="00B26051">
        <w:rPr>
          <w:rFonts w:asciiTheme="majorHAnsi" w:hAnsiTheme="majorHAnsi"/>
          <w:color w:val="auto"/>
          <w:sz w:val="20"/>
          <w:szCs w:val="20"/>
        </w:rPr>
        <w:t>to hang laundry</w:t>
      </w:r>
      <w:r w:rsidRPr="00B26051">
        <w:rPr>
          <w:rFonts w:asciiTheme="majorHAnsi" w:hAnsiTheme="majorHAnsi"/>
          <w:color w:val="auto"/>
          <w:sz w:val="20"/>
          <w:szCs w:val="20"/>
        </w:rPr>
        <w:t xml:space="preserve">; that the fire originated inside the cell; and that </w:t>
      </w:r>
      <w:r w:rsidR="00243F1C" w:rsidRPr="00B26051">
        <w:rPr>
          <w:rFonts w:asciiTheme="majorHAnsi" w:hAnsiTheme="majorHAnsi"/>
          <w:color w:val="auto"/>
          <w:sz w:val="20"/>
          <w:szCs w:val="20"/>
        </w:rPr>
        <w:t xml:space="preserve">there was </w:t>
      </w:r>
      <w:r w:rsidRPr="00B26051">
        <w:rPr>
          <w:rFonts w:asciiTheme="majorHAnsi" w:hAnsiTheme="majorHAnsi"/>
          <w:color w:val="auto"/>
          <w:sz w:val="20"/>
          <w:szCs w:val="20"/>
        </w:rPr>
        <w:t>no evidence of the use of "accelerants</w:t>
      </w:r>
      <w:r w:rsidR="00F90B60">
        <w:rPr>
          <w:rFonts w:asciiTheme="majorHAnsi" w:hAnsiTheme="majorHAnsi"/>
          <w:color w:val="auto"/>
          <w:sz w:val="20"/>
          <w:szCs w:val="20"/>
        </w:rPr>
        <w:t>.</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footnoteReference w:id="100"/>
      </w:r>
    </w:p>
    <w:p w14:paraId="323DD999" w14:textId="77777777" w:rsidR="00185D58" w:rsidRPr="00B26051" w:rsidRDefault="00185D58" w:rsidP="00185D58">
      <w:pPr>
        <w:jc w:val="both"/>
        <w:rPr>
          <w:rFonts w:asciiTheme="majorHAnsi" w:hAnsiTheme="majorHAnsi"/>
          <w:sz w:val="20"/>
          <w:szCs w:val="20"/>
        </w:rPr>
      </w:pPr>
    </w:p>
    <w:p w14:paraId="09D1A3D8" w14:textId="485AB85D" w:rsidR="00185D58" w:rsidRPr="00B26051" w:rsidRDefault="000F6AD2"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For their</w:t>
      </w:r>
      <w:r w:rsidR="001D4402" w:rsidRPr="00B26051">
        <w:rPr>
          <w:rFonts w:asciiTheme="majorHAnsi" w:hAnsiTheme="majorHAnsi"/>
          <w:color w:val="auto"/>
          <w:sz w:val="20"/>
          <w:szCs w:val="20"/>
        </w:rPr>
        <w:t xml:space="preserve"> part, the guide Chirinos and acting </w:t>
      </w:r>
      <w:r w:rsidRPr="00B26051">
        <w:rPr>
          <w:rFonts w:asciiTheme="majorHAnsi" w:hAnsiTheme="majorHAnsi"/>
          <w:color w:val="auto"/>
          <w:sz w:val="20"/>
          <w:szCs w:val="20"/>
        </w:rPr>
        <w:t>warden</w:t>
      </w:r>
      <w:r w:rsidR="001D4402" w:rsidRPr="00B26051">
        <w:rPr>
          <w:rFonts w:asciiTheme="majorHAnsi" w:hAnsiTheme="majorHAnsi"/>
          <w:color w:val="auto"/>
          <w:sz w:val="20"/>
          <w:szCs w:val="20"/>
        </w:rPr>
        <w:t xml:space="preserve"> Romero </w:t>
      </w:r>
      <w:r w:rsidRPr="00B26051">
        <w:rPr>
          <w:rFonts w:asciiTheme="majorHAnsi" w:hAnsiTheme="majorHAnsi"/>
          <w:color w:val="auto"/>
          <w:sz w:val="20"/>
          <w:szCs w:val="20"/>
        </w:rPr>
        <w:t>believed</w:t>
      </w:r>
      <w:r w:rsidR="001D4402" w:rsidRPr="00B26051">
        <w:rPr>
          <w:rFonts w:asciiTheme="majorHAnsi" w:hAnsiTheme="majorHAnsi"/>
          <w:color w:val="auto"/>
          <w:sz w:val="20"/>
          <w:szCs w:val="20"/>
        </w:rPr>
        <w:t xml:space="preserve"> that the fire was a defense mechanism used by the victims to prevent the youth</w:t>
      </w:r>
      <w:r w:rsidRPr="00B26051">
        <w:rPr>
          <w:rFonts w:asciiTheme="majorHAnsi" w:hAnsiTheme="majorHAnsi"/>
          <w:color w:val="auto"/>
          <w:sz w:val="20"/>
          <w:szCs w:val="20"/>
        </w:rPr>
        <w:t>s</w:t>
      </w:r>
      <w:r w:rsidR="001D4402" w:rsidRPr="00B26051">
        <w:rPr>
          <w:rFonts w:asciiTheme="majorHAnsi" w:hAnsiTheme="majorHAnsi"/>
          <w:color w:val="auto"/>
          <w:sz w:val="20"/>
          <w:szCs w:val="20"/>
        </w:rPr>
        <w:t xml:space="preserve"> of No. 2 from killing or injuring them, since "if </w:t>
      </w:r>
      <w:r w:rsidR="00663BCA" w:rsidRPr="00B26051">
        <w:rPr>
          <w:rFonts w:asciiTheme="majorHAnsi" w:hAnsiTheme="majorHAnsi"/>
          <w:color w:val="auto"/>
          <w:sz w:val="20"/>
          <w:szCs w:val="20"/>
        </w:rPr>
        <w:t>the keys were taken</w:t>
      </w:r>
      <w:r w:rsidR="001D4402" w:rsidRPr="00B26051">
        <w:rPr>
          <w:rFonts w:asciiTheme="majorHAnsi" w:hAnsiTheme="majorHAnsi"/>
          <w:color w:val="auto"/>
          <w:sz w:val="20"/>
          <w:szCs w:val="20"/>
        </w:rPr>
        <w:t xml:space="preserve"> [</w:t>
      </w:r>
      <w:r w:rsidRPr="00B26051">
        <w:rPr>
          <w:rFonts w:asciiTheme="majorHAnsi" w:hAnsiTheme="majorHAnsi"/>
          <w:color w:val="auto"/>
          <w:sz w:val="20"/>
          <w:szCs w:val="20"/>
        </w:rPr>
        <w:t xml:space="preserve">from </w:t>
      </w:r>
      <w:r w:rsidR="001D4402" w:rsidRPr="00B26051">
        <w:rPr>
          <w:rFonts w:asciiTheme="majorHAnsi" w:hAnsiTheme="majorHAnsi"/>
          <w:color w:val="auto"/>
          <w:sz w:val="20"/>
          <w:szCs w:val="20"/>
        </w:rPr>
        <w:t xml:space="preserve">the guides] </w:t>
      </w:r>
      <w:r w:rsidR="00663BCA" w:rsidRPr="00B26051">
        <w:rPr>
          <w:rFonts w:asciiTheme="majorHAnsi" w:hAnsiTheme="majorHAnsi"/>
          <w:color w:val="auto"/>
          <w:sz w:val="20"/>
          <w:szCs w:val="20"/>
        </w:rPr>
        <w:t>they were going to get in</w:t>
      </w:r>
      <w:r w:rsidR="00F90B60">
        <w:rPr>
          <w:rFonts w:asciiTheme="majorHAnsi" w:hAnsiTheme="majorHAnsi"/>
          <w:color w:val="auto"/>
          <w:sz w:val="20"/>
          <w:szCs w:val="20"/>
        </w:rPr>
        <w:t>.</w:t>
      </w:r>
      <w:r w:rsidR="001D4402" w:rsidRPr="00B26051">
        <w:rPr>
          <w:rFonts w:asciiTheme="majorHAnsi" w:hAnsiTheme="majorHAnsi"/>
          <w:color w:val="auto"/>
          <w:sz w:val="20"/>
          <w:szCs w:val="20"/>
        </w:rPr>
        <w:t>"</w:t>
      </w:r>
      <w:r w:rsidR="00283F72" w:rsidRPr="00B26051">
        <w:rPr>
          <w:rStyle w:val="FootnoteReference"/>
          <w:rFonts w:asciiTheme="majorHAnsi" w:hAnsiTheme="majorHAnsi"/>
          <w:color w:val="auto"/>
          <w:sz w:val="20"/>
          <w:szCs w:val="20"/>
        </w:rPr>
        <w:footnoteReference w:id="101"/>
      </w:r>
      <w:r w:rsidR="001D4402" w:rsidRPr="00B26051">
        <w:rPr>
          <w:rFonts w:asciiTheme="majorHAnsi" w:hAnsiTheme="majorHAnsi"/>
          <w:color w:val="auto"/>
          <w:sz w:val="20"/>
          <w:szCs w:val="20"/>
        </w:rPr>
        <w:t xml:space="preserve"> Inmate Carlos Martes </w:t>
      </w:r>
      <w:r w:rsidRPr="00B26051">
        <w:rPr>
          <w:rFonts w:asciiTheme="majorHAnsi" w:hAnsiTheme="majorHAnsi"/>
          <w:color w:val="auto"/>
          <w:sz w:val="20"/>
          <w:szCs w:val="20"/>
        </w:rPr>
        <w:t>agreed</w:t>
      </w:r>
      <w:r w:rsidR="001D4402" w:rsidRPr="00B26051">
        <w:rPr>
          <w:rFonts w:asciiTheme="majorHAnsi" w:hAnsiTheme="majorHAnsi"/>
          <w:color w:val="auto"/>
          <w:sz w:val="20"/>
          <w:szCs w:val="20"/>
        </w:rPr>
        <w:t xml:space="preserve"> with this.</w:t>
      </w:r>
      <w:r w:rsidR="00283F72" w:rsidRPr="00B26051">
        <w:rPr>
          <w:rStyle w:val="FootnoteReference"/>
          <w:rFonts w:asciiTheme="majorHAnsi" w:hAnsiTheme="majorHAnsi"/>
          <w:color w:val="auto"/>
          <w:sz w:val="20"/>
          <w:szCs w:val="20"/>
        </w:rPr>
        <w:footnoteReference w:id="102"/>
      </w:r>
      <w:r w:rsidR="001D4402" w:rsidRPr="00B26051">
        <w:rPr>
          <w:rFonts w:asciiTheme="majorHAnsi" w:hAnsiTheme="majorHAnsi"/>
          <w:color w:val="auto"/>
          <w:sz w:val="20"/>
          <w:szCs w:val="20"/>
        </w:rPr>
        <w:t xml:space="preserve"> The guide Chirinos indicated t</w:t>
      </w:r>
      <w:r w:rsidR="00663BCA" w:rsidRPr="00B26051">
        <w:rPr>
          <w:rFonts w:asciiTheme="majorHAnsi" w:hAnsiTheme="majorHAnsi"/>
          <w:color w:val="auto"/>
          <w:sz w:val="20"/>
          <w:szCs w:val="20"/>
        </w:rPr>
        <w:t>hat the fire was</w:t>
      </w:r>
      <w:r w:rsidR="00F90B60">
        <w:rPr>
          <w:rFonts w:asciiTheme="majorHAnsi" w:hAnsiTheme="majorHAnsi"/>
          <w:color w:val="auto"/>
          <w:sz w:val="20"/>
          <w:szCs w:val="20"/>
        </w:rPr>
        <w:t xml:space="preserve"> made</w:t>
      </w:r>
      <w:r w:rsidR="00663BCA" w:rsidRPr="00B26051">
        <w:rPr>
          <w:rFonts w:asciiTheme="majorHAnsi" w:hAnsiTheme="majorHAnsi"/>
          <w:color w:val="auto"/>
          <w:sz w:val="20"/>
          <w:szCs w:val="20"/>
        </w:rPr>
        <w:t xml:space="preserve"> possible "because</w:t>
      </w:r>
      <w:r w:rsidR="001D4402" w:rsidRPr="00B26051">
        <w:rPr>
          <w:rFonts w:asciiTheme="majorHAnsi" w:hAnsiTheme="majorHAnsi"/>
          <w:color w:val="auto"/>
          <w:sz w:val="20"/>
          <w:szCs w:val="20"/>
        </w:rPr>
        <w:t xml:space="preserve"> they had cigarettes, </w:t>
      </w:r>
      <w:r w:rsidRPr="00B26051">
        <w:rPr>
          <w:rFonts w:asciiTheme="majorHAnsi" w:hAnsiTheme="majorHAnsi"/>
          <w:color w:val="auto"/>
          <w:sz w:val="20"/>
          <w:szCs w:val="20"/>
        </w:rPr>
        <w:t xml:space="preserve">and </w:t>
      </w:r>
      <w:r w:rsidR="001D4402" w:rsidRPr="00B26051">
        <w:rPr>
          <w:rFonts w:asciiTheme="majorHAnsi" w:hAnsiTheme="majorHAnsi"/>
          <w:color w:val="auto"/>
          <w:sz w:val="20"/>
          <w:szCs w:val="20"/>
        </w:rPr>
        <w:t xml:space="preserve">matches, </w:t>
      </w:r>
      <w:r w:rsidR="00663BCA" w:rsidRPr="00B26051">
        <w:rPr>
          <w:rFonts w:asciiTheme="majorHAnsi" w:hAnsiTheme="majorHAnsi"/>
          <w:color w:val="auto"/>
          <w:sz w:val="20"/>
          <w:szCs w:val="20"/>
        </w:rPr>
        <w:t>provided</w:t>
      </w:r>
      <w:r w:rsidRPr="00B26051">
        <w:rPr>
          <w:rFonts w:asciiTheme="majorHAnsi" w:hAnsiTheme="majorHAnsi"/>
          <w:color w:val="auto"/>
          <w:sz w:val="20"/>
          <w:szCs w:val="20"/>
        </w:rPr>
        <w:t xml:space="preserve"> by their relatives</w:t>
      </w:r>
      <w:r w:rsidR="00F90B60">
        <w:rPr>
          <w:rFonts w:asciiTheme="majorHAnsi" w:hAnsiTheme="majorHAnsi"/>
          <w:color w:val="auto"/>
          <w:sz w:val="20"/>
          <w:szCs w:val="20"/>
        </w:rPr>
        <w:t>.</w:t>
      </w:r>
      <w:r w:rsidR="001D4402" w:rsidRPr="00B26051">
        <w:rPr>
          <w:rFonts w:asciiTheme="majorHAnsi" w:hAnsiTheme="majorHAnsi"/>
          <w:color w:val="auto"/>
          <w:sz w:val="20"/>
          <w:szCs w:val="20"/>
        </w:rPr>
        <w:t>"</w:t>
      </w:r>
      <w:r w:rsidR="00283F72" w:rsidRPr="00B26051">
        <w:rPr>
          <w:rStyle w:val="FootnoteReference"/>
          <w:rFonts w:asciiTheme="majorHAnsi" w:hAnsiTheme="majorHAnsi"/>
          <w:color w:val="auto"/>
          <w:sz w:val="20"/>
          <w:szCs w:val="20"/>
        </w:rPr>
        <w:footnoteReference w:id="103"/>
      </w:r>
      <w:r w:rsidR="001D4402" w:rsidRPr="00B26051">
        <w:rPr>
          <w:rFonts w:asciiTheme="majorHAnsi" w:hAnsiTheme="majorHAnsi"/>
          <w:color w:val="auto"/>
          <w:sz w:val="20"/>
          <w:szCs w:val="20"/>
        </w:rPr>
        <w:t xml:space="preserve"> An inmate reported that it was </w:t>
      </w:r>
      <w:r w:rsidR="00663BCA" w:rsidRPr="00B26051">
        <w:rPr>
          <w:rFonts w:asciiTheme="majorHAnsi" w:hAnsiTheme="majorHAnsi"/>
          <w:color w:val="auto"/>
          <w:sz w:val="20"/>
          <w:szCs w:val="20"/>
        </w:rPr>
        <w:t>forbidden</w:t>
      </w:r>
      <w:r w:rsidR="009F1BEB" w:rsidRPr="00B26051">
        <w:rPr>
          <w:rFonts w:asciiTheme="majorHAnsi" w:hAnsiTheme="majorHAnsi"/>
          <w:color w:val="auto"/>
          <w:sz w:val="20"/>
          <w:szCs w:val="20"/>
        </w:rPr>
        <w:t xml:space="preserve"> to have matches</w:t>
      </w:r>
      <w:r w:rsidR="001D4402" w:rsidRPr="00B26051">
        <w:rPr>
          <w:rFonts w:asciiTheme="majorHAnsi" w:hAnsiTheme="majorHAnsi"/>
          <w:color w:val="auto"/>
          <w:sz w:val="20"/>
          <w:szCs w:val="20"/>
        </w:rPr>
        <w:t xml:space="preserve">, </w:t>
      </w:r>
      <w:r w:rsidR="009F1BEB" w:rsidRPr="00B26051">
        <w:rPr>
          <w:rFonts w:asciiTheme="majorHAnsi" w:hAnsiTheme="majorHAnsi"/>
          <w:color w:val="auto"/>
          <w:sz w:val="20"/>
          <w:szCs w:val="20"/>
        </w:rPr>
        <w:t xml:space="preserve">lighters or cigarettes </w:t>
      </w:r>
      <w:r w:rsidR="001D4402" w:rsidRPr="00B26051">
        <w:rPr>
          <w:rFonts w:asciiTheme="majorHAnsi" w:hAnsiTheme="majorHAnsi"/>
          <w:color w:val="auto"/>
          <w:sz w:val="20"/>
          <w:szCs w:val="20"/>
        </w:rPr>
        <w:t xml:space="preserve">"but they </w:t>
      </w:r>
      <w:r w:rsidR="009F1BEB" w:rsidRPr="00B26051">
        <w:rPr>
          <w:rFonts w:asciiTheme="majorHAnsi" w:hAnsiTheme="majorHAnsi"/>
          <w:color w:val="auto"/>
          <w:sz w:val="20"/>
          <w:szCs w:val="20"/>
        </w:rPr>
        <w:t>were clandestinely passed over by visiting relatives</w:t>
      </w:r>
      <w:r w:rsidR="00F90B60">
        <w:rPr>
          <w:rFonts w:asciiTheme="majorHAnsi" w:hAnsiTheme="majorHAnsi"/>
          <w:color w:val="auto"/>
          <w:sz w:val="20"/>
          <w:szCs w:val="20"/>
        </w:rPr>
        <w:t>."</w:t>
      </w:r>
      <w:r w:rsidR="00283F72" w:rsidRPr="00B26051">
        <w:rPr>
          <w:rFonts w:asciiTheme="majorHAnsi" w:hAnsiTheme="majorHAnsi"/>
          <w:color w:val="auto"/>
          <w:sz w:val="20"/>
          <w:szCs w:val="20"/>
          <w:vertAlign w:val="superscript"/>
        </w:rPr>
        <w:footnoteReference w:id="104"/>
      </w:r>
      <w:r w:rsidR="001D4402" w:rsidRPr="00B26051">
        <w:rPr>
          <w:rFonts w:asciiTheme="majorHAnsi" w:hAnsiTheme="majorHAnsi"/>
          <w:color w:val="auto"/>
          <w:sz w:val="20"/>
          <w:szCs w:val="20"/>
        </w:rPr>
        <w:t xml:space="preserve"> In this sense, social worker </w:t>
      </w:r>
      <w:r w:rsidR="00DA4E58" w:rsidRPr="00B26051">
        <w:rPr>
          <w:rFonts w:asciiTheme="majorHAnsi" w:hAnsiTheme="majorHAnsi"/>
          <w:color w:val="auto"/>
          <w:sz w:val="20"/>
          <w:szCs w:val="20"/>
        </w:rPr>
        <w:t>Brígida</w:t>
      </w:r>
      <w:r w:rsidR="001D4402" w:rsidRPr="00B26051">
        <w:rPr>
          <w:rFonts w:asciiTheme="majorHAnsi" w:hAnsiTheme="majorHAnsi"/>
          <w:color w:val="auto"/>
          <w:sz w:val="20"/>
          <w:szCs w:val="20"/>
        </w:rPr>
        <w:t xml:space="preserve"> Hurtado said that these items </w:t>
      </w:r>
      <w:r w:rsidR="00CB371B" w:rsidRPr="00B26051">
        <w:rPr>
          <w:rFonts w:asciiTheme="majorHAnsi" w:hAnsiTheme="majorHAnsi"/>
          <w:color w:val="auto"/>
          <w:sz w:val="20"/>
          <w:szCs w:val="20"/>
        </w:rPr>
        <w:t>were</w:t>
      </w:r>
      <w:r w:rsidR="001D4402" w:rsidRPr="00B26051">
        <w:rPr>
          <w:rFonts w:asciiTheme="majorHAnsi" w:hAnsiTheme="majorHAnsi"/>
          <w:color w:val="auto"/>
          <w:sz w:val="20"/>
          <w:szCs w:val="20"/>
        </w:rPr>
        <w:t xml:space="preserve"> prohibited, "what happens [is] that when the police are not there, </w:t>
      </w:r>
      <w:r w:rsidR="00663BCA" w:rsidRPr="00B26051">
        <w:rPr>
          <w:rFonts w:asciiTheme="majorHAnsi" w:hAnsiTheme="majorHAnsi"/>
          <w:color w:val="auto"/>
          <w:sz w:val="20"/>
          <w:szCs w:val="20"/>
        </w:rPr>
        <w:lastRenderedPageBreak/>
        <w:t>the visitors are not searched</w:t>
      </w:r>
      <w:r w:rsidR="001D4402" w:rsidRPr="00B26051">
        <w:rPr>
          <w:rFonts w:asciiTheme="majorHAnsi" w:hAnsiTheme="majorHAnsi"/>
          <w:color w:val="auto"/>
          <w:sz w:val="20"/>
          <w:szCs w:val="20"/>
        </w:rPr>
        <w:t>."</w:t>
      </w:r>
      <w:r w:rsidR="00283F72" w:rsidRPr="00B26051">
        <w:rPr>
          <w:rStyle w:val="FootnoteReference"/>
          <w:rFonts w:asciiTheme="majorHAnsi" w:hAnsiTheme="majorHAnsi"/>
          <w:color w:val="auto"/>
          <w:sz w:val="20"/>
          <w:szCs w:val="20"/>
        </w:rPr>
        <w:t xml:space="preserve"> </w:t>
      </w:r>
      <w:r w:rsidR="00283F72" w:rsidRPr="00B26051">
        <w:rPr>
          <w:rStyle w:val="FootnoteReference"/>
          <w:rFonts w:asciiTheme="majorHAnsi" w:hAnsiTheme="majorHAnsi"/>
          <w:color w:val="auto"/>
          <w:sz w:val="20"/>
          <w:szCs w:val="20"/>
        </w:rPr>
        <w:footnoteReference w:id="105"/>
      </w:r>
      <w:r w:rsidR="001D4402" w:rsidRPr="00B26051">
        <w:rPr>
          <w:rFonts w:asciiTheme="majorHAnsi" w:hAnsiTheme="majorHAnsi"/>
          <w:color w:val="auto"/>
          <w:sz w:val="20"/>
          <w:szCs w:val="20"/>
        </w:rPr>
        <w:t xml:space="preserve"> Other inmates maintained that before the fire, it was allowed to have those objects.</w:t>
      </w:r>
      <w:r w:rsidR="00283F72" w:rsidRPr="00B26051">
        <w:rPr>
          <w:rFonts w:asciiTheme="majorHAnsi" w:hAnsiTheme="majorHAnsi"/>
          <w:color w:val="auto"/>
          <w:sz w:val="20"/>
          <w:szCs w:val="20"/>
          <w:vertAlign w:val="superscript"/>
        </w:rPr>
        <w:footnoteReference w:id="106"/>
      </w:r>
      <w:r w:rsidR="001D4402" w:rsidRPr="00B26051">
        <w:rPr>
          <w:rFonts w:asciiTheme="majorHAnsi" w:hAnsiTheme="majorHAnsi"/>
          <w:color w:val="auto"/>
          <w:sz w:val="20"/>
          <w:szCs w:val="20"/>
        </w:rPr>
        <w:t xml:space="preserve"> Carlos Zabala, who was released from cell No. 4 minutes before the fire, indicated that </w:t>
      </w:r>
      <w:r w:rsidR="00CB371B" w:rsidRPr="00B26051">
        <w:rPr>
          <w:rFonts w:asciiTheme="majorHAnsi" w:hAnsiTheme="majorHAnsi"/>
          <w:color w:val="auto"/>
          <w:sz w:val="20"/>
          <w:szCs w:val="20"/>
        </w:rPr>
        <w:t>in this</w:t>
      </w:r>
      <w:r w:rsidR="00663BCA" w:rsidRPr="00B26051">
        <w:rPr>
          <w:rFonts w:asciiTheme="majorHAnsi" w:hAnsiTheme="majorHAnsi"/>
          <w:color w:val="auto"/>
          <w:sz w:val="20"/>
          <w:szCs w:val="20"/>
        </w:rPr>
        <w:t xml:space="preserve"> cell there were</w:t>
      </w:r>
      <w:r w:rsidR="001D4402" w:rsidRPr="00B26051">
        <w:rPr>
          <w:rFonts w:asciiTheme="majorHAnsi" w:hAnsiTheme="majorHAnsi"/>
          <w:color w:val="auto"/>
          <w:sz w:val="20"/>
          <w:szCs w:val="20"/>
        </w:rPr>
        <w:t xml:space="preserve"> </w:t>
      </w:r>
      <w:r w:rsidR="00CB371B" w:rsidRPr="00B26051">
        <w:rPr>
          <w:rFonts w:asciiTheme="majorHAnsi" w:hAnsiTheme="majorHAnsi"/>
          <w:color w:val="auto"/>
          <w:sz w:val="20"/>
          <w:szCs w:val="20"/>
        </w:rPr>
        <w:t>aerosol deodorant and lighters</w:t>
      </w:r>
      <w:r w:rsidR="001D4402" w:rsidRPr="00B26051">
        <w:rPr>
          <w:rFonts w:asciiTheme="majorHAnsi" w:hAnsiTheme="majorHAnsi"/>
          <w:color w:val="auto"/>
          <w:sz w:val="20"/>
          <w:szCs w:val="20"/>
        </w:rPr>
        <w:t>,</w:t>
      </w:r>
      <w:r w:rsidR="00283F72" w:rsidRPr="00B26051">
        <w:rPr>
          <w:rFonts w:asciiTheme="majorHAnsi" w:hAnsiTheme="majorHAnsi"/>
          <w:color w:val="auto"/>
          <w:sz w:val="20"/>
          <w:szCs w:val="20"/>
          <w:vertAlign w:val="superscript"/>
        </w:rPr>
        <w:t xml:space="preserve"> </w:t>
      </w:r>
      <w:r w:rsidR="00283F72" w:rsidRPr="00B26051">
        <w:rPr>
          <w:rFonts w:asciiTheme="majorHAnsi" w:hAnsiTheme="majorHAnsi"/>
          <w:color w:val="auto"/>
          <w:sz w:val="20"/>
          <w:szCs w:val="20"/>
          <w:vertAlign w:val="superscript"/>
        </w:rPr>
        <w:footnoteReference w:id="107"/>
      </w:r>
      <w:r w:rsidR="001D4402" w:rsidRPr="00B26051">
        <w:rPr>
          <w:rFonts w:asciiTheme="majorHAnsi" w:hAnsiTheme="majorHAnsi"/>
          <w:color w:val="auto"/>
          <w:sz w:val="20"/>
          <w:szCs w:val="20"/>
        </w:rPr>
        <w:t xml:space="preserve"> and that "from time to time </w:t>
      </w:r>
      <w:r w:rsidR="00CB371B" w:rsidRPr="00B26051">
        <w:rPr>
          <w:rFonts w:asciiTheme="majorHAnsi" w:hAnsiTheme="majorHAnsi"/>
          <w:color w:val="auto"/>
          <w:sz w:val="20"/>
          <w:szCs w:val="20"/>
        </w:rPr>
        <w:t>they lit a small fire to</w:t>
      </w:r>
      <w:r w:rsidR="001D4402" w:rsidRPr="00B26051">
        <w:rPr>
          <w:rFonts w:asciiTheme="majorHAnsi" w:hAnsiTheme="majorHAnsi"/>
          <w:color w:val="auto"/>
          <w:sz w:val="20"/>
          <w:szCs w:val="20"/>
        </w:rPr>
        <w:t xml:space="preserve"> heat </w:t>
      </w:r>
      <w:r w:rsidR="00CB371B" w:rsidRPr="00B26051">
        <w:rPr>
          <w:rFonts w:asciiTheme="majorHAnsi" w:hAnsiTheme="majorHAnsi"/>
          <w:color w:val="auto"/>
          <w:sz w:val="20"/>
          <w:szCs w:val="20"/>
        </w:rPr>
        <w:t>water or to fry some food"</w:t>
      </w:r>
      <w:r w:rsidR="001D4402" w:rsidRPr="00B26051">
        <w:rPr>
          <w:rFonts w:asciiTheme="majorHAnsi" w:hAnsiTheme="majorHAnsi"/>
          <w:color w:val="auto"/>
          <w:sz w:val="20"/>
          <w:szCs w:val="20"/>
        </w:rPr>
        <w:t>.</w:t>
      </w:r>
      <w:r w:rsidR="00283F72" w:rsidRPr="00B26051">
        <w:rPr>
          <w:rFonts w:asciiTheme="majorHAnsi" w:hAnsiTheme="majorHAnsi"/>
          <w:color w:val="auto"/>
          <w:sz w:val="20"/>
          <w:szCs w:val="20"/>
          <w:vertAlign w:val="superscript"/>
        </w:rPr>
        <w:footnoteReference w:id="108"/>
      </w:r>
      <w:r w:rsidR="001D4402" w:rsidRPr="00B26051">
        <w:rPr>
          <w:rFonts w:asciiTheme="majorHAnsi" w:hAnsiTheme="majorHAnsi"/>
          <w:color w:val="auto"/>
          <w:sz w:val="20"/>
          <w:szCs w:val="20"/>
        </w:rPr>
        <w:t xml:space="preserve"> Also, the </w:t>
      </w:r>
      <w:r w:rsidR="00CB371B" w:rsidRPr="00B26051">
        <w:rPr>
          <w:rFonts w:asciiTheme="majorHAnsi" w:hAnsiTheme="majorHAnsi"/>
          <w:color w:val="auto"/>
          <w:sz w:val="20"/>
          <w:szCs w:val="20"/>
        </w:rPr>
        <w:t>social worker</w:t>
      </w:r>
      <w:r w:rsidR="001D4402" w:rsidRPr="00B26051">
        <w:rPr>
          <w:rFonts w:asciiTheme="majorHAnsi" w:hAnsiTheme="majorHAnsi"/>
          <w:color w:val="auto"/>
          <w:sz w:val="20"/>
          <w:szCs w:val="20"/>
        </w:rPr>
        <w:t xml:space="preserve"> Hurtado reported </w:t>
      </w:r>
      <w:r w:rsidR="00CB371B" w:rsidRPr="00B26051">
        <w:rPr>
          <w:rFonts w:asciiTheme="majorHAnsi" w:hAnsiTheme="majorHAnsi"/>
          <w:color w:val="auto"/>
          <w:sz w:val="20"/>
          <w:szCs w:val="20"/>
        </w:rPr>
        <w:t xml:space="preserve">that the </w:t>
      </w:r>
      <w:r w:rsidR="001D4402" w:rsidRPr="00B26051">
        <w:rPr>
          <w:rFonts w:asciiTheme="majorHAnsi" w:hAnsiTheme="majorHAnsi"/>
          <w:color w:val="auto"/>
          <w:sz w:val="20"/>
          <w:szCs w:val="20"/>
        </w:rPr>
        <w:t>"Manuel Piar"</w:t>
      </w:r>
      <w:r w:rsidR="00CB371B" w:rsidRPr="00B26051">
        <w:rPr>
          <w:rFonts w:asciiTheme="majorHAnsi" w:hAnsiTheme="majorHAnsi"/>
          <w:color w:val="auto"/>
          <w:sz w:val="20"/>
          <w:szCs w:val="20"/>
        </w:rPr>
        <w:t xml:space="preserve"> clinic physician</w:t>
      </w:r>
      <w:r w:rsidR="001D4402" w:rsidRPr="00B26051">
        <w:rPr>
          <w:rFonts w:asciiTheme="majorHAnsi" w:hAnsiTheme="majorHAnsi"/>
          <w:color w:val="auto"/>
          <w:sz w:val="20"/>
          <w:szCs w:val="20"/>
        </w:rPr>
        <w:t xml:space="preserve"> "called me and informed me that Yáñez </w:t>
      </w:r>
      <w:r w:rsidR="00CB371B" w:rsidRPr="00B26051">
        <w:rPr>
          <w:rFonts w:asciiTheme="majorHAnsi" w:hAnsiTheme="majorHAnsi"/>
          <w:color w:val="auto"/>
          <w:sz w:val="20"/>
          <w:szCs w:val="20"/>
        </w:rPr>
        <w:t>was carrying a box with seven matches in his pocket.</w:t>
      </w:r>
      <w:r w:rsidR="001D4402" w:rsidRPr="00B26051">
        <w:rPr>
          <w:rFonts w:asciiTheme="majorHAnsi" w:hAnsiTheme="majorHAnsi"/>
          <w:color w:val="auto"/>
          <w:sz w:val="20"/>
          <w:szCs w:val="20"/>
        </w:rPr>
        <w:t>"</w:t>
      </w:r>
      <w:r w:rsidR="00283F72" w:rsidRPr="00B26051">
        <w:rPr>
          <w:rStyle w:val="FootnoteReference"/>
          <w:rFonts w:asciiTheme="majorHAnsi" w:hAnsiTheme="majorHAnsi"/>
          <w:color w:val="auto"/>
          <w:sz w:val="20"/>
          <w:szCs w:val="20"/>
        </w:rPr>
        <w:footnoteReference w:id="109"/>
      </w:r>
    </w:p>
    <w:p w14:paraId="4A87401A" w14:textId="77777777" w:rsidR="00185D58" w:rsidRPr="00B26051" w:rsidRDefault="00185D58" w:rsidP="00185D58">
      <w:pPr>
        <w:pStyle w:val="ListParagraph"/>
        <w:rPr>
          <w:rFonts w:asciiTheme="majorHAnsi" w:hAnsiTheme="majorHAnsi"/>
          <w:color w:val="auto"/>
          <w:sz w:val="20"/>
          <w:szCs w:val="20"/>
        </w:rPr>
      </w:pPr>
    </w:p>
    <w:p w14:paraId="41B30CD9" w14:textId="1FDC5957" w:rsidR="00185D58" w:rsidRPr="00B26051" w:rsidRDefault="0069402F"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The expert op</w:t>
      </w:r>
      <w:r w:rsidR="00663BCA" w:rsidRPr="00B26051">
        <w:rPr>
          <w:rFonts w:asciiTheme="majorHAnsi" w:hAnsiTheme="majorHAnsi"/>
          <w:color w:val="auto"/>
          <w:sz w:val="20"/>
          <w:szCs w:val="20"/>
        </w:rPr>
        <w:t>inion issued</w:t>
      </w:r>
      <w:r w:rsidRPr="00B26051">
        <w:rPr>
          <w:rFonts w:asciiTheme="majorHAnsi" w:hAnsiTheme="majorHAnsi"/>
          <w:color w:val="auto"/>
          <w:sz w:val="20"/>
          <w:szCs w:val="20"/>
        </w:rPr>
        <w:t xml:space="preserve"> by th</w:t>
      </w:r>
      <w:r w:rsidR="00D060ED" w:rsidRPr="00B26051">
        <w:rPr>
          <w:rFonts w:asciiTheme="majorHAnsi" w:hAnsiTheme="majorHAnsi"/>
          <w:color w:val="auto"/>
          <w:sz w:val="20"/>
          <w:szCs w:val="20"/>
        </w:rPr>
        <w:t>e CICPC indicated that "there was</w:t>
      </w:r>
      <w:r w:rsidRPr="00B26051">
        <w:rPr>
          <w:rFonts w:asciiTheme="majorHAnsi" w:hAnsiTheme="majorHAnsi"/>
          <w:color w:val="auto"/>
          <w:sz w:val="20"/>
          <w:szCs w:val="20"/>
        </w:rPr>
        <w:t xml:space="preserve"> a history </w:t>
      </w:r>
      <w:r w:rsidR="00D060ED" w:rsidRPr="00B26051">
        <w:rPr>
          <w:rFonts w:asciiTheme="majorHAnsi" w:hAnsiTheme="majorHAnsi"/>
          <w:color w:val="auto"/>
          <w:sz w:val="20"/>
          <w:szCs w:val="20"/>
        </w:rPr>
        <w:t>indicating it was the inmates’ habit</w:t>
      </w:r>
      <w:r w:rsidRPr="00B26051">
        <w:rPr>
          <w:rFonts w:asciiTheme="majorHAnsi" w:hAnsiTheme="majorHAnsi"/>
          <w:color w:val="auto"/>
          <w:sz w:val="20"/>
          <w:szCs w:val="20"/>
        </w:rPr>
        <w:t xml:space="preserve"> to burn mattresses [...] and other elements when they</w:t>
      </w:r>
      <w:r w:rsidR="00F90B60">
        <w:rPr>
          <w:rFonts w:asciiTheme="majorHAnsi" w:hAnsiTheme="majorHAnsi"/>
          <w:color w:val="auto"/>
          <w:sz w:val="20"/>
          <w:szCs w:val="20"/>
        </w:rPr>
        <w:t xml:space="preserve"> were in situations of tension."</w:t>
      </w:r>
      <w:r w:rsidRPr="00B26051">
        <w:rPr>
          <w:rStyle w:val="FootnoteReference"/>
          <w:rFonts w:asciiTheme="majorHAnsi" w:hAnsiTheme="majorHAnsi"/>
          <w:color w:val="auto"/>
          <w:sz w:val="20"/>
          <w:szCs w:val="20"/>
        </w:rPr>
        <w:footnoteReference w:id="110"/>
      </w:r>
      <w:r w:rsidRPr="00B26051">
        <w:rPr>
          <w:rFonts w:asciiTheme="majorHAnsi" w:hAnsiTheme="majorHAnsi"/>
          <w:color w:val="auto"/>
          <w:sz w:val="20"/>
          <w:szCs w:val="20"/>
        </w:rPr>
        <w:t xml:space="preserve"> Other references suggest that this </w:t>
      </w:r>
      <w:r w:rsidR="00D060ED" w:rsidRPr="00B26051">
        <w:rPr>
          <w:rFonts w:asciiTheme="majorHAnsi" w:hAnsiTheme="majorHAnsi"/>
          <w:color w:val="auto"/>
          <w:sz w:val="20"/>
          <w:szCs w:val="20"/>
        </w:rPr>
        <w:t>was</w:t>
      </w:r>
      <w:r w:rsidRPr="00B26051">
        <w:rPr>
          <w:rFonts w:asciiTheme="majorHAnsi" w:hAnsiTheme="majorHAnsi"/>
          <w:color w:val="auto"/>
          <w:sz w:val="20"/>
          <w:szCs w:val="20"/>
        </w:rPr>
        <w:t xml:space="preserve"> a common practice in Venezuela's prisons in general.</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111"/>
      </w:r>
      <w:r w:rsidR="00D060ED" w:rsidRPr="00B26051">
        <w:rPr>
          <w:rFonts w:asciiTheme="majorHAnsi" w:hAnsiTheme="majorHAnsi"/>
          <w:color w:val="auto"/>
          <w:sz w:val="20"/>
          <w:szCs w:val="20"/>
        </w:rPr>
        <w:t xml:space="preserve"> This view was contradicted</w:t>
      </w:r>
      <w:r w:rsidRPr="00B26051">
        <w:rPr>
          <w:rFonts w:asciiTheme="majorHAnsi" w:hAnsiTheme="majorHAnsi"/>
          <w:color w:val="auto"/>
          <w:sz w:val="20"/>
          <w:szCs w:val="20"/>
        </w:rPr>
        <w:t xml:space="preserve"> by the young inmates</w:t>
      </w:r>
      <w:r w:rsidR="00D060ED" w:rsidRPr="00B26051">
        <w:rPr>
          <w:rFonts w:asciiTheme="majorHAnsi" w:hAnsiTheme="majorHAnsi"/>
          <w:color w:val="auto"/>
          <w:sz w:val="20"/>
          <w:szCs w:val="20"/>
        </w:rPr>
        <w:t xml:space="preserve"> interviewed</w:t>
      </w:r>
      <w:r w:rsidRPr="00B26051">
        <w:rPr>
          <w:rFonts w:asciiTheme="majorHAnsi" w:hAnsiTheme="majorHAnsi"/>
          <w:color w:val="auto"/>
          <w:sz w:val="20"/>
          <w:szCs w:val="20"/>
        </w:rPr>
        <w:t xml:space="preserve">, who maintained that, although the possession of cigarettes and matches in the cells was common, </w:t>
      </w:r>
      <w:r w:rsidR="00387A0E" w:rsidRPr="00B26051">
        <w:rPr>
          <w:rFonts w:asciiTheme="majorHAnsi" w:hAnsiTheme="majorHAnsi"/>
          <w:color w:val="auto"/>
          <w:sz w:val="20"/>
          <w:szCs w:val="20"/>
        </w:rPr>
        <w:t xml:space="preserve">there were </w:t>
      </w:r>
      <w:r w:rsidR="00663BCA" w:rsidRPr="00B26051">
        <w:rPr>
          <w:rFonts w:asciiTheme="majorHAnsi" w:hAnsiTheme="majorHAnsi"/>
          <w:color w:val="auto"/>
          <w:sz w:val="20"/>
          <w:szCs w:val="20"/>
        </w:rPr>
        <w:t xml:space="preserve">not </w:t>
      </w:r>
      <w:r w:rsidR="00387A0E" w:rsidRPr="00B26051">
        <w:rPr>
          <w:rFonts w:asciiTheme="majorHAnsi" w:hAnsiTheme="majorHAnsi"/>
          <w:color w:val="auto"/>
          <w:sz w:val="20"/>
          <w:szCs w:val="20"/>
        </w:rPr>
        <w:t xml:space="preserve">and had never been </w:t>
      </w:r>
      <w:r w:rsidRPr="00B26051">
        <w:rPr>
          <w:rFonts w:asciiTheme="majorHAnsi" w:hAnsiTheme="majorHAnsi"/>
          <w:color w:val="auto"/>
          <w:sz w:val="20"/>
          <w:szCs w:val="20"/>
        </w:rPr>
        <w:t>fires during their time in the INAM.</w:t>
      </w:r>
      <w:r w:rsidRPr="00B26051">
        <w:rPr>
          <w:rStyle w:val="FootnoteReference"/>
          <w:rFonts w:asciiTheme="majorHAnsi" w:hAnsiTheme="majorHAnsi"/>
          <w:color w:val="auto"/>
          <w:sz w:val="20"/>
          <w:szCs w:val="20"/>
        </w:rPr>
        <w:footnoteReference w:id="112"/>
      </w:r>
    </w:p>
    <w:p w14:paraId="0D00ADC9" w14:textId="77777777" w:rsidR="00185D58" w:rsidRPr="00B26051" w:rsidRDefault="00185D58" w:rsidP="00185D58">
      <w:pPr>
        <w:rPr>
          <w:rFonts w:asciiTheme="majorHAnsi" w:hAnsiTheme="majorHAnsi"/>
          <w:sz w:val="20"/>
          <w:szCs w:val="20"/>
        </w:rPr>
      </w:pPr>
    </w:p>
    <w:p w14:paraId="6E17C066" w14:textId="786B31E7" w:rsidR="00185D58" w:rsidRPr="00B26051" w:rsidRDefault="008269E1"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The Public Ministry requested the exhumation of the alleged victims in December 2005.</w:t>
      </w:r>
      <w:r w:rsidRPr="00B26051">
        <w:rPr>
          <w:color w:val="auto"/>
          <w:sz w:val="20"/>
          <w:szCs w:val="20"/>
          <w:vertAlign w:val="superscript"/>
        </w:rPr>
        <w:t xml:space="preserve"> </w:t>
      </w:r>
      <w:r w:rsidRPr="00B26051">
        <w:rPr>
          <w:color w:val="auto"/>
          <w:sz w:val="20"/>
          <w:szCs w:val="20"/>
          <w:vertAlign w:val="superscript"/>
        </w:rPr>
        <w:footnoteReference w:id="113"/>
      </w:r>
      <w:r w:rsidR="00663BCA" w:rsidRPr="00B26051">
        <w:rPr>
          <w:rFonts w:asciiTheme="majorHAnsi" w:hAnsiTheme="majorHAnsi"/>
          <w:color w:val="auto"/>
          <w:sz w:val="20"/>
          <w:szCs w:val="20"/>
        </w:rPr>
        <w:t xml:space="preserve"> It</w:t>
      </w:r>
      <w:r w:rsidRPr="00B26051">
        <w:rPr>
          <w:rFonts w:asciiTheme="majorHAnsi" w:hAnsiTheme="majorHAnsi"/>
          <w:color w:val="auto"/>
          <w:sz w:val="20"/>
          <w:szCs w:val="20"/>
        </w:rPr>
        <w:t xml:space="preserve"> made this request based on statements </w:t>
      </w:r>
      <w:r w:rsidR="00486817" w:rsidRPr="00B26051">
        <w:rPr>
          <w:rFonts w:asciiTheme="majorHAnsi" w:hAnsiTheme="majorHAnsi"/>
          <w:color w:val="auto"/>
          <w:sz w:val="20"/>
          <w:szCs w:val="20"/>
        </w:rPr>
        <w:t xml:space="preserve">indicating that </w:t>
      </w:r>
      <w:r w:rsidRPr="00B26051">
        <w:rPr>
          <w:rFonts w:asciiTheme="majorHAnsi" w:hAnsiTheme="majorHAnsi"/>
          <w:color w:val="auto"/>
          <w:sz w:val="20"/>
          <w:szCs w:val="20"/>
        </w:rPr>
        <w:t xml:space="preserve">a man </w:t>
      </w:r>
      <w:r w:rsidR="00486817" w:rsidRPr="00B26051">
        <w:rPr>
          <w:rFonts w:asciiTheme="majorHAnsi" w:hAnsiTheme="majorHAnsi"/>
          <w:color w:val="auto"/>
          <w:sz w:val="20"/>
          <w:szCs w:val="20"/>
        </w:rPr>
        <w:t>wor</w:t>
      </w:r>
      <w:r w:rsidR="00663BCA" w:rsidRPr="00B26051">
        <w:rPr>
          <w:rFonts w:asciiTheme="majorHAnsi" w:hAnsiTheme="majorHAnsi"/>
          <w:color w:val="auto"/>
          <w:sz w:val="20"/>
          <w:szCs w:val="20"/>
        </w:rPr>
        <w:t>king at the mortuary where they were taken</w:t>
      </w:r>
      <w:r w:rsidRPr="00B26051">
        <w:rPr>
          <w:rFonts w:asciiTheme="majorHAnsi" w:hAnsiTheme="majorHAnsi"/>
          <w:color w:val="auto"/>
          <w:sz w:val="20"/>
          <w:szCs w:val="20"/>
        </w:rPr>
        <w:t xml:space="preserve"> "said that</w:t>
      </w:r>
      <w:r w:rsidR="000B4689" w:rsidRPr="00B26051">
        <w:rPr>
          <w:rFonts w:asciiTheme="majorHAnsi" w:hAnsiTheme="majorHAnsi"/>
          <w:color w:val="auto"/>
          <w:sz w:val="20"/>
          <w:szCs w:val="20"/>
        </w:rPr>
        <w:t xml:space="preserve"> the boys </w:t>
      </w:r>
      <w:r w:rsidR="00A64F05" w:rsidRPr="00B26051">
        <w:rPr>
          <w:rFonts w:asciiTheme="majorHAnsi" w:hAnsiTheme="majorHAnsi"/>
          <w:color w:val="auto"/>
          <w:sz w:val="20"/>
          <w:szCs w:val="20"/>
        </w:rPr>
        <w:t>smelt of paint thinner</w:t>
      </w:r>
      <w:r w:rsidRPr="00B26051">
        <w:rPr>
          <w:rFonts w:asciiTheme="majorHAnsi" w:hAnsiTheme="majorHAnsi"/>
          <w:color w:val="auto"/>
          <w:sz w:val="20"/>
          <w:szCs w:val="20"/>
        </w:rPr>
        <w:t xml:space="preserve"> [...] </w:t>
      </w:r>
      <w:r w:rsidR="00A64F05" w:rsidRPr="00B26051">
        <w:rPr>
          <w:rFonts w:asciiTheme="majorHAnsi" w:hAnsiTheme="majorHAnsi"/>
          <w:color w:val="auto"/>
          <w:sz w:val="20"/>
          <w:szCs w:val="20"/>
        </w:rPr>
        <w:t>that’s what burned them</w:t>
      </w:r>
      <w:r w:rsidR="00A05604">
        <w:rPr>
          <w:rFonts w:asciiTheme="majorHAnsi" w:hAnsiTheme="majorHAnsi"/>
          <w:color w:val="auto"/>
          <w:sz w:val="20"/>
          <w:szCs w:val="20"/>
        </w:rPr>
        <w:t>,"</w:t>
      </w:r>
      <w:r w:rsidRPr="00B26051">
        <w:rPr>
          <w:rFonts w:asciiTheme="majorHAnsi" w:hAnsiTheme="majorHAnsi"/>
          <w:color w:val="auto"/>
          <w:sz w:val="20"/>
          <w:szCs w:val="20"/>
        </w:rPr>
        <w:t xml:space="preserve"> a</w:t>
      </w:r>
      <w:r w:rsidR="00486817" w:rsidRPr="00B26051">
        <w:rPr>
          <w:rFonts w:asciiTheme="majorHAnsi" w:hAnsiTheme="majorHAnsi"/>
          <w:color w:val="auto"/>
          <w:sz w:val="20"/>
          <w:szCs w:val="20"/>
        </w:rPr>
        <w:t>nd Rafael Parra’s mother "</w:t>
      </w:r>
      <w:r w:rsidRPr="00B26051">
        <w:rPr>
          <w:rFonts w:asciiTheme="majorHAnsi" w:hAnsiTheme="majorHAnsi"/>
          <w:color w:val="auto"/>
          <w:sz w:val="20"/>
          <w:szCs w:val="20"/>
        </w:rPr>
        <w:t xml:space="preserve">said that what happened was an execution </w:t>
      </w:r>
      <w:r w:rsidR="00486817" w:rsidRPr="00B26051">
        <w:rPr>
          <w:rFonts w:asciiTheme="majorHAnsi" w:hAnsiTheme="majorHAnsi"/>
          <w:color w:val="auto"/>
          <w:sz w:val="20"/>
          <w:szCs w:val="20"/>
        </w:rPr>
        <w:t xml:space="preserve">arranged </w:t>
      </w:r>
      <w:r w:rsidRPr="00B26051">
        <w:rPr>
          <w:rFonts w:asciiTheme="majorHAnsi" w:hAnsiTheme="majorHAnsi"/>
          <w:color w:val="auto"/>
          <w:sz w:val="20"/>
          <w:szCs w:val="20"/>
        </w:rPr>
        <w:t xml:space="preserve">between the teachers, </w:t>
      </w:r>
      <w:r w:rsidR="00486817" w:rsidRPr="00B26051">
        <w:rPr>
          <w:rFonts w:asciiTheme="majorHAnsi" w:hAnsiTheme="majorHAnsi"/>
          <w:color w:val="auto"/>
          <w:sz w:val="20"/>
          <w:szCs w:val="20"/>
        </w:rPr>
        <w:t>and the warden</w:t>
      </w:r>
      <w:r w:rsidRPr="00B26051">
        <w:rPr>
          <w:rFonts w:asciiTheme="majorHAnsi" w:hAnsiTheme="majorHAnsi"/>
          <w:color w:val="auto"/>
          <w:sz w:val="20"/>
          <w:szCs w:val="20"/>
        </w:rPr>
        <w:t>."</w:t>
      </w:r>
      <w:r w:rsidRPr="00B26051">
        <w:rPr>
          <w:color w:val="auto"/>
          <w:sz w:val="20"/>
          <w:szCs w:val="20"/>
          <w:vertAlign w:val="superscript"/>
        </w:rPr>
        <w:t xml:space="preserve"> </w:t>
      </w:r>
      <w:r w:rsidRPr="00B26051">
        <w:rPr>
          <w:color w:val="auto"/>
          <w:sz w:val="20"/>
          <w:szCs w:val="20"/>
          <w:vertAlign w:val="superscript"/>
        </w:rPr>
        <w:footnoteReference w:id="114"/>
      </w:r>
      <w:r w:rsidRPr="00B26051">
        <w:rPr>
          <w:rFonts w:asciiTheme="majorHAnsi" w:hAnsiTheme="majorHAnsi"/>
          <w:color w:val="auto"/>
          <w:sz w:val="20"/>
          <w:szCs w:val="20"/>
        </w:rPr>
        <w:t xml:space="preserve"> The new autopsies did not </w:t>
      </w:r>
      <w:r w:rsidR="00363854" w:rsidRPr="00B26051">
        <w:rPr>
          <w:rFonts w:asciiTheme="majorHAnsi" w:hAnsiTheme="majorHAnsi"/>
          <w:color w:val="auto"/>
          <w:sz w:val="20"/>
          <w:szCs w:val="20"/>
        </w:rPr>
        <w:t>reveal</w:t>
      </w:r>
      <w:r w:rsidRPr="00B26051">
        <w:rPr>
          <w:rFonts w:asciiTheme="majorHAnsi" w:hAnsiTheme="majorHAnsi"/>
          <w:color w:val="auto"/>
          <w:sz w:val="20"/>
          <w:szCs w:val="20"/>
        </w:rPr>
        <w:t xml:space="preserve"> additional findings on the alleged victims</w:t>
      </w:r>
      <w:r w:rsidR="00363854" w:rsidRPr="00B26051">
        <w:rPr>
          <w:rFonts w:asciiTheme="majorHAnsi" w:hAnsiTheme="majorHAnsi"/>
          <w:color w:val="auto"/>
          <w:sz w:val="20"/>
          <w:szCs w:val="20"/>
        </w:rPr>
        <w:t>’ cause of death</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footnoteReference w:id="115"/>
      </w:r>
      <w:r w:rsidRPr="00B26051">
        <w:rPr>
          <w:rFonts w:asciiTheme="majorHAnsi" w:hAnsiTheme="majorHAnsi"/>
          <w:color w:val="auto"/>
          <w:sz w:val="20"/>
          <w:szCs w:val="20"/>
        </w:rPr>
        <w:t xml:space="preserve"> The Commission observes that the exhumation certificate of José Gregorio Mota indicated that the corpse </w:t>
      </w:r>
      <w:r w:rsidR="00A64F05" w:rsidRPr="00B26051">
        <w:rPr>
          <w:rFonts w:asciiTheme="majorHAnsi" w:hAnsiTheme="majorHAnsi"/>
          <w:color w:val="auto"/>
          <w:sz w:val="20"/>
          <w:szCs w:val="20"/>
        </w:rPr>
        <w:t>was already in an advanced state</w:t>
      </w:r>
      <w:r w:rsidRPr="00B26051">
        <w:rPr>
          <w:rFonts w:asciiTheme="majorHAnsi" w:hAnsiTheme="majorHAnsi"/>
          <w:color w:val="auto"/>
          <w:sz w:val="20"/>
          <w:szCs w:val="20"/>
        </w:rPr>
        <w:t xml:space="preserve"> of decomposition.</w:t>
      </w:r>
      <w:r w:rsidRPr="00B26051">
        <w:rPr>
          <w:color w:val="auto"/>
          <w:sz w:val="20"/>
          <w:szCs w:val="20"/>
          <w:vertAlign w:val="superscript"/>
        </w:rPr>
        <w:footnoteReference w:id="116"/>
      </w:r>
      <w:r w:rsidRPr="00B26051">
        <w:rPr>
          <w:rFonts w:asciiTheme="majorHAnsi" w:hAnsiTheme="majorHAnsi"/>
          <w:color w:val="auto"/>
          <w:sz w:val="20"/>
          <w:szCs w:val="20"/>
        </w:rPr>
        <w:t xml:space="preserve"> Regarding the allegations that the victims smelled </w:t>
      </w:r>
      <w:r w:rsidR="00A64F05" w:rsidRPr="00B26051">
        <w:rPr>
          <w:rFonts w:asciiTheme="majorHAnsi" w:hAnsiTheme="majorHAnsi"/>
          <w:color w:val="auto"/>
          <w:sz w:val="20"/>
          <w:szCs w:val="20"/>
        </w:rPr>
        <w:t>of paint thinner</w:t>
      </w:r>
      <w:r w:rsidRPr="00B26051">
        <w:rPr>
          <w:rFonts w:asciiTheme="majorHAnsi" w:hAnsiTheme="majorHAnsi"/>
          <w:color w:val="auto"/>
          <w:sz w:val="20"/>
          <w:szCs w:val="20"/>
        </w:rPr>
        <w:t xml:space="preserve"> and that Mota had suffered a chest wound before his death,</w:t>
      </w:r>
      <w:r w:rsidRPr="00B26051">
        <w:rPr>
          <w:rStyle w:val="FootnoteReference"/>
          <w:rFonts w:asciiTheme="majorHAnsi" w:hAnsiTheme="majorHAnsi"/>
          <w:color w:val="auto"/>
          <w:sz w:val="20"/>
          <w:szCs w:val="20"/>
        </w:rPr>
        <w:footnoteReference w:id="117"/>
      </w:r>
      <w:r w:rsidRPr="00B26051">
        <w:rPr>
          <w:rFonts w:asciiTheme="majorHAnsi" w:hAnsiTheme="majorHAnsi"/>
          <w:color w:val="auto"/>
          <w:sz w:val="20"/>
          <w:szCs w:val="20"/>
        </w:rPr>
        <w:t xml:space="preserve"> the au</w:t>
      </w:r>
      <w:r w:rsidR="00FF2B67" w:rsidRPr="00B26051">
        <w:rPr>
          <w:rFonts w:asciiTheme="majorHAnsi" w:hAnsiTheme="majorHAnsi"/>
          <w:color w:val="auto"/>
          <w:sz w:val="20"/>
          <w:szCs w:val="20"/>
        </w:rPr>
        <w:t xml:space="preserve">thorities interviewed the individuals present at </w:t>
      </w:r>
      <w:r w:rsidRPr="00B26051">
        <w:rPr>
          <w:rFonts w:asciiTheme="majorHAnsi" w:hAnsiTheme="majorHAnsi"/>
          <w:color w:val="auto"/>
          <w:sz w:val="20"/>
          <w:szCs w:val="20"/>
        </w:rPr>
        <w:t>the autopsies, who maintained that the bodies smelled only of "charred meat",</w:t>
      </w:r>
      <w:r w:rsidRPr="00B26051">
        <w:rPr>
          <w:rStyle w:val="FootnoteReference"/>
          <w:rFonts w:asciiTheme="majorHAnsi" w:hAnsiTheme="majorHAnsi"/>
          <w:color w:val="auto"/>
          <w:sz w:val="20"/>
          <w:szCs w:val="20"/>
        </w:rPr>
        <w:footnoteReference w:id="118"/>
      </w:r>
      <w:r w:rsidRPr="00B26051">
        <w:rPr>
          <w:rFonts w:asciiTheme="majorHAnsi" w:hAnsiTheme="majorHAnsi"/>
          <w:color w:val="auto"/>
          <w:sz w:val="20"/>
          <w:szCs w:val="20"/>
        </w:rPr>
        <w:t xml:space="preserve"> and that Mota's body "showed no other injuries of violence."</w:t>
      </w:r>
      <w:r w:rsidRPr="00B26051">
        <w:rPr>
          <w:rStyle w:val="FootnoteReference"/>
          <w:rFonts w:asciiTheme="majorHAnsi" w:hAnsiTheme="majorHAnsi"/>
          <w:color w:val="auto"/>
          <w:sz w:val="20"/>
          <w:szCs w:val="20"/>
        </w:rPr>
        <w:footnoteReference w:id="119"/>
      </w:r>
    </w:p>
    <w:p w14:paraId="203CF4BB" w14:textId="77777777" w:rsidR="00185D58" w:rsidRPr="00B26051" w:rsidRDefault="00185D58" w:rsidP="00185D58">
      <w:pPr>
        <w:jc w:val="both"/>
        <w:rPr>
          <w:rFonts w:asciiTheme="majorHAnsi" w:hAnsiTheme="majorHAnsi"/>
          <w:sz w:val="20"/>
          <w:szCs w:val="20"/>
        </w:rPr>
      </w:pPr>
    </w:p>
    <w:p w14:paraId="5D855E28" w14:textId="475701FB" w:rsidR="00185D58" w:rsidRPr="00B26051" w:rsidRDefault="001A1AED"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Complaints were made about a</w:t>
      </w:r>
      <w:r w:rsidR="00F44787" w:rsidRPr="00B26051">
        <w:rPr>
          <w:rFonts w:asciiTheme="majorHAnsi" w:hAnsiTheme="majorHAnsi"/>
          <w:color w:val="auto"/>
          <w:sz w:val="20"/>
          <w:szCs w:val="20"/>
        </w:rPr>
        <w:t xml:space="preserve">lleged irregularities in the investigation of these events, including unjustifiable delays in </w:t>
      </w:r>
      <w:r w:rsidRPr="00B26051">
        <w:rPr>
          <w:rFonts w:asciiTheme="majorHAnsi" w:hAnsiTheme="majorHAnsi"/>
          <w:color w:val="auto"/>
          <w:sz w:val="20"/>
          <w:szCs w:val="20"/>
        </w:rPr>
        <w:t>collecting</w:t>
      </w:r>
      <w:r w:rsidR="00F44787" w:rsidRPr="00B26051">
        <w:rPr>
          <w:rFonts w:asciiTheme="majorHAnsi" w:hAnsiTheme="majorHAnsi"/>
          <w:color w:val="auto"/>
          <w:sz w:val="20"/>
          <w:szCs w:val="20"/>
        </w:rPr>
        <w:t xml:space="preserve"> evidence. In this sense, for example, the report of the Fire Department on the events was </w:t>
      </w:r>
      <w:r w:rsidRPr="00B26051">
        <w:rPr>
          <w:rFonts w:asciiTheme="majorHAnsi" w:hAnsiTheme="majorHAnsi"/>
          <w:color w:val="auto"/>
          <w:sz w:val="20"/>
          <w:szCs w:val="20"/>
        </w:rPr>
        <w:t>released</w:t>
      </w:r>
      <w:r w:rsidR="00F44787" w:rsidRPr="00B26051">
        <w:rPr>
          <w:rFonts w:asciiTheme="majorHAnsi" w:hAnsiTheme="majorHAnsi"/>
          <w:color w:val="auto"/>
          <w:sz w:val="20"/>
          <w:szCs w:val="20"/>
        </w:rPr>
        <w:t xml:space="preserve"> in May 2007</w:t>
      </w:r>
      <w:r w:rsidR="00A64F05" w:rsidRPr="00B26051">
        <w:rPr>
          <w:rFonts w:asciiTheme="majorHAnsi" w:hAnsiTheme="majorHAnsi"/>
          <w:color w:val="auto"/>
          <w:sz w:val="20"/>
          <w:szCs w:val="20"/>
        </w:rPr>
        <w:t>,</w:t>
      </w:r>
      <w:r w:rsidR="00F44787" w:rsidRPr="00B26051">
        <w:rPr>
          <w:rFonts w:asciiTheme="majorHAnsi" w:hAnsiTheme="majorHAnsi"/>
          <w:color w:val="auto"/>
          <w:sz w:val="20"/>
          <w:szCs w:val="20"/>
        </w:rPr>
        <w:t xml:space="preserve"> with "apologies for the delay in the delivery </w:t>
      </w:r>
      <w:r w:rsidR="00A64F05" w:rsidRPr="00B26051">
        <w:rPr>
          <w:rFonts w:asciiTheme="majorHAnsi" w:hAnsiTheme="majorHAnsi"/>
          <w:color w:val="auto"/>
          <w:sz w:val="20"/>
          <w:szCs w:val="20"/>
        </w:rPr>
        <w:t>of the request</w:t>
      </w:r>
      <w:r w:rsidR="00F44787" w:rsidRPr="00B26051">
        <w:rPr>
          <w:rFonts w:asciiTheme="majorHAnsi" w:hAnsiTheme="majorHAnsi"/>
          <w:color w:val="auto"/>
          <w:sz w:val="20"/>
          <w:szCs w:val="20"/>
        </w:rPr>
        <w:t xml:space="preserve">, hoping </w:t>
      </w:r>
      <w:r w:rsidRPr="00B26051">
        <w:rPr>
          <w:rFonts w:asciiTheme="majorHAnsi" w:hAnsiTheme="majorHAnsi"/>
          <w:color w:val="auto"/>
          <w:sz w:val="20"/>
          <w:szCs w:val="20"/>
        </w:rPr>
        <w:t>not to have delayed proceedings</w:t>
      </w:r>
      <w:r w:rsidR="00F44787" w:rsidRPr="00B26051">
        <w:rPr>
          <w:rFonts w:asciiTheme="majorHAnsi" w:hAnsiTheme="majorHAnsi"/>
          <w:color w:val="auto"/>
          <w:sz w:val="20"/>
          <w:szCs w:val="20"/>
        </w:rPr>
        <w:t>."</w:t>
      </w:r>
      <w:r w:rsidR="00F44787" w:rsidRPr="00B26051">
        <w:rPr>
          <w:rStyle w:val="FootnoteReference"/>
          <w:rFonts w:asciiTheme="majorHAnsi" w:hAnsiTheme="majorHAnsi"/>
          <w:color w:val="auto"/>
          <w:sz w:val="20"/>
          <w:szCs w:val="20"/>
        </w:rPr>
        <w:footnoteReference w:id="120"/>
      </w:r>
      <w:r w:rsidR="00F44787" w:rsidRPr="00B26051">
        <w:rPr>
          <w:rFonts w:asciiTheme="majorHAnsi" w:hAnsiTheme="majorHAnsi"/>
          <w:color w:val="auto"/>
          <w:sz w:val="20"/>
          <w:szCs w:val="20"/>
        </w:rPr>
        <w:t xml:space="preserve"> Likewise, the delay in </w:t>
      </w:r>
      <w:r w:rsidRPr="00B26051">
        <w:rPr>
          <w:rFonts w:asciiTheme="majorHAnsi" w:hAnsiTheme="majorHAnsi"/>
          <w:color w:val="auto"/>
          <w:sz w:val="20"/>
          <w:szCs w:val="20"/>
        </w:rPr>
        <w:t>carrying out a</w:t>
      </w:r>
      <w:r w:rsidR="00F44787" w:rsidRPr="00B26051">
        <w:rPr>
          <w:rFonts w:asciiTheme="majorHAnsi" w:hAnsiTheme="majorHAnsi"/>
          <w:color w:val="auto"/>
          <w:sz w:val="20"/>
          <w:szCs w:val="20"/>
        </w:rPr>
        <w:t xml:space="preserve"> reconstruct</w:t>
      </w:r>
      <w:r w:rsidR="00A64F05" w:rsidRPr="00B26051">
        <w:rPr>
          <w:rFonts w:asciiTheme="majorHAnsi" w:hAnsiTheme="majorHAnsi"/>
          <w:color w:val="auto"/>
          <w:sz w:val="20"/>
          <w:szCs w:val="20"/>
        </w:rPr>
        <w:t>ion of the e</w:t>
      </w:r>
      <w:r w:rsidRPr="00B26051">
        <w:rPr>
          <w:rFonts w:asciiTheme="majorHAnsi" w:hAnsiTheme="majorHAnsi"/>
          <w:color w:val="auto"/>
          <w:sz w:val="20"/>
          <w:szCs w:val="20"/>
        </w:rPr>
        <w:t>vents</w:t>
      </w:r>
      <w:r w:rsidR="00F44787" w:rsidRPr="00B26051">
        <w:rPr>
          <w:rFonts w:asciiTheme="majorHAnsi" w:hAnsiTheme="majorHAnsi"/>
          <w:color w:val="auto"/>
          <w:sz w:val="20"/>
          <w:szCs w:val="20"/>
        </w:rPr>
        <w:t xml:space="preserve"> made it impossible to carry it out effectively, since the facilities of INAM-San </w:t>
      </w:r>
      <w:r w:rsidR="002033A9" w:rsidRPr="00B26051">
        <w:rPr>
          <w:rFonts w:asciiTheme="majorHAnsi" w:hAnsiTheme="majorHAnsi"/>
          <w:color w:val="auto"/>
          <w:sz w:val="20"/>
          <w:szCs w:val="20"/>
        </w:rPr>
        <w:t>Félix</w:t>
      </w:r>
      <w:r w:rsidR="00F44787" w:rsidRPr="00B26051">
        <w:rPr>
          <w:rFonts w:asciiTheme="majorHAnsi" w:hAnsiTheme="majorHAnsi"/>
          <w:color w:val="auto"/>
          <w:sz w:val="20"/>
          <w:szCs w:val="20"/>
        </w:rPr>
        <w:t xml:space="preserve"> were completely </w:t>
      </w:r>
      <w:r w:rsidRPr="00B26051">
        <w:rPr>
          <w:rFonts w:asciiTheme="majorHAnsi" w:hAnsiTheme="majorHAnsi"/>
          <w:color w:val="auto"/>
          <w:sz w:val="20"/>
          <w:szCs w:val="20"/>
        </w:rPr>
        <w:t>altered in t</w:t>
      </w:r>
      <w:r w:rsidR="00F44787" w:rsidRPr="00B26051">
        <w:rPr>
          <w:rFonts w:asciiTheme="majorHAnsi" w:hAnsiTheme="majorHAnsi"/>
          <w:color w:val="auto"/>
          <w:sz w:val="20"/>
          <w:szCs w:val="20"/>
        </w:rPr>
        <w:t>he year after the events.</w:t>
      </w:r>
      <w:r w:rsidR="00F44787" w:rsidRPr="00B26051">
        <w:rPr>
          <w:rStyle w:val="FootnoteReference"/>
          <w:rFonts w:asciiTheme="majorHAnsi" w:hAnsiTheme="majorHAnsi"/>
          <w:color w:val="auto"/>
          <w:sz w:val="20"/>
          <w:szCs w:val="20"/>
        </w:rPr>
        <w:footnoteReference w:id="121"/>
      </w:r>
    </w:p>
    <w:p w14:paraId="607A1585" w14:textId="77777777" w:rsidR="00185D58" w:rsidRPr="00B26051" w:rsidRDefault="00185D58" w:rsidP="00185D58">
      <w:pPr>
        <w:jc w:val="both"/>
        <w:rPr>
          <w:rFonts w:asciiTheme="majorHAnsi" w:hAnsiTheme="majorHAnsi"/>
          <w:sz w:val="20"/>
          <w:szCs w:val="20"/>
        </w:rPr>
      </w:pPr>
    </w:p>
    <w:p w14:paraId="46988C39" w14:textId="070AB812" w:rsidR="00185D58" w:rsidRPr="00B26051" w:rsidRDefault="00F44787" w:rsidP="007F4FA0">
      <w:pPr>
        <w:pStyle w:val="ListParagraph"/>
        <w:numPr>
          <w:ilvl w:val="1"/>
          <w:numId w:val="67"/>
        </w:numPr>
        <w:ind w:firstLine="360"/>
        <w:jc w:val="both"/>
        <w:rPr>
          <w:rFonts w:asciiTheme="majorHAnsi" w:hAnsiTheme="majorHAnsi"/>
          <w:b/>
          <w:color w:val="auto"/>
          <w:sz w:val="20"/>
          <w:szCs w:val="20"/>
        </w:rPr>
      </w:pPr>
      <w:r w:rsidRPr="00B26051">
        <w:rPr>
          <w:rFonts w:asciiTheme="majorHAnsi" w:hAnsiTheme="majorHAnsi"/>
          <w:b/>
          <w:color w:val="auto"/>
          <w:sz w:val="20"/>
          <w:szCs w:val="20"/>
        </w:rPr>
        <w:t>Judicial Proceedings</w:t>
      </w:r>
    </w:p>
    <w:p w14:paraId="654838AD" w14:textId="77777777" w:rsidR="00185D58" w:rsidRPr="00B26051" w:rsidRDefault="00185D58" w:rsidP="00185D58">
      <w:pPr>
        <w:rPr>
          <w:rFonts w:asciiTheme="majorHAnsi" w:hAnsiTheme="majorHAnsi"/>
          <w:b/>
          <w:sz w:val="20"/>
          <w:szCs w:val="20"/>
        </w:rPr>
      </w:pPr>
    </w:p>
    <w:p w14:paraId="1EB33A1D" w14:textId="06BCBFD5" w:rsidR="00185D58" w:rsidRPr="00B26051" w:rsidRDefault="00F44787"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lastRenderedPageBreak/>
        <w:t>José Luis Chirinos, Francisco Gómez and Nerio Romero were informed that they had been indicted in the case in April 2006</w:t>
      </w:r>
      <w:r w:rsidRPr="00B26051">
        <w:rPr>
          <w:rStyle w:val="FootnoteReference"/>
          <w:rFonts w:asciiTheme="majorHAnsi" w:hAnsiTheme="majorHAnsi"/>
          <w:color w:val="auto"/>
          <w:sz w:val="20"/>
          <w:szCs w:val="20"/>
        </w:rPr>
        <w:footnoteReference w:id="122"/>
      </w:r>
      <w:r w:rsidRPr="00B26051">
        <w:rPr>
          <w:rFonts w:asciiTheme="majorHAnsi" w:hAnsiTheme="majorHAnsi"/>
          <w:color w:val="auto"/>
          <w:sz w:val="20"/>
          <w:szCs w:val="20"/>
        </w:rPr>
        <w:t xml:space="preserve"> and a public defender</w:t>
      </w:r>
      <w:r w:rsidR="00B735F5" w:rsidRPr="00B26051">
        <w:rPr>
          <w:rFonts w:asciiTheme="majorHAnsi" w:hAnsiTheme="majorHAnsi"/>
          <w:color w:val="auto"/>
          <w:sz w:val="20"/>
          <w:szCs w:val="20"/>
        </w:rPr>
        <w:t xml:space="preserve"> appointed for them</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123"/>
      </w:r>
      <w:r w:rsidRPr="00B26051">
        <w:rPr>
          <w:rFonts w:asciiTheme="majorHAnsi" w:hAnsiTheme="majorHAnsi"/>
          <w:color w:val="auto"/>
          <w:sz w:val="20"/>
          <w:szCs w:val="20"/>
        </w:rPr>
        <w:t xml:space="preserve"> </w:t>
      </w:r>
      <w:r w:rsidR="00A05604">
        <w:rPr>
          <w:rFonts w:asciiTheme="majorHAnsi" w:hAnsiTheme="majorHAnsi"/>
          <w:color w:val="auto"/>
          <w:sz w:val="20"/>
          <w:szCs w:val="20"/>
        </w:rPr>
        <w:t>M</w:t>
      </w:r>
      <w:r w:rsidR="00B735F5" w:rsidRPr="00B26051">
        <w:rPr>
          <w:rFonts w:asciiTheme="majorHAnsi" w:hAnsiTheme="majorHAnsi"/>
          <w:color w:val="auto"/>
          <w:sz w:val="20"/>
          <w:szCs w:val="20"/>
        </w:rPr>
        <w:t>edia reports</w:t>
      </w:r>
      <w:r w:rsidRPr="00B26051">
        <w:rPr>
          <w:rFonts w:asciiTheme="majorHAnsi" w:hAnsiTheme="majorHAnsi"/>
          <w:color w:val="auto"/>
          <w:sz w:val="20"/>
          <w:szCs w:val="20"/>
        </w:rPr>
        <w:t xml:space="preserve"> </w:t>
      </w:r>
      <w:r w:rsidR="00A05604">
        <w:rPr>
          <w:rFonts w:asciiTheme="majorHAnsi" w:hAnsiTheme="majorHAnsi"/>
          <w:color w:val="auto"/>
          <w:sz w:val="20"/>
          <w:szCs w:val="20"/>
        </w:rPr>
        <w:t xml:space="preserve">stated </w:t>
      </w:r>
      <w:r w:rsidRPr="00B26051">
        <w:rPr>
          <w:rFonts w:asciiTheme="majorHAnsi" w:hAnsiTheme="majorHAnsi"/>
          <w:color w:val="auto"/>
          <w:sz w:val="20"/>
          <w:szCs w:val="20"/>
        </w:rPr>
        <w:t xml:space="preserve">that they </w:t>
      </w:r>
      <w:r w:rsidR="00B735F5" w:rsidRPr="00B26051">
        <w:rPr>
          <w:rFonts w:asciiTheme="majorHAnsi" w:hAnsiTheme="majorHAnsi"/>
          <w:color w:val="auto"/>
          <w:sz w:val="20"/>
          <w:szCs w:val="20"/>
        </w:rPr>
        <w:t>had been</w:t>
      </w:r>
      <w:r w:rsidRPr="00B26051">
        <w:rPr>
          <w:rFonts w:asciiTheme="majorHAnsi" w:hAnsiTheme="majorHAnsi"/>
          <w:color w:val="auto"/>
          <w:sz w:val="20"/>
          <w:szCs w:val="20"/>
        </w:rPr>
        <w:t xml:space="preserve"> indicted for culpable homicide under Article 455 of the Organic Code of Criminal Procedure.</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124"/>
      </w:r>
      <w:r w:rsidRPr="00B26051">
        <w:rPr>
          <w:rFonts w:asciiTheme="majorHAnsi" w:hAnsiTheme="majorHAnsi"/>
          <w:color w:val="auto"/>
          <w:sz w:val="20"/>
          <w:szCs w:val="20"/>
        </w:rPr>
        <w:t xml:space="preserve"> </w:t>
      </w:r>
      <w:r w:rsidR="00B735F5" w:rsidRPr="00B26051">
        <w:rPr>
          <w:rFonts w:asciiTheme="majorHAnsi" w:hAnsiTheme="majorHAnsi"/>
          <w:color w:val="auto"/>
          <w:sz w:val="20"/>
          <w:szCs w:val="20"/>
        </w:rPr>
        <w:t>T</w:t>
      </w:r>
      <w:r w:rsidRPr="00B26051">
        <w:rPr>
          <w:rFonts w:asciiTheme="majorHAnsi" w:hAnsiTheme="majorHAnsi"/>
          <w:color w:val="auto"/>
          <w:sz w:val="20"/>
          <w:szCs w:val="20"/>
        </w:rPr>
        <w:t xml:space="preserve">he indictment of the alleged perpetrators, issued in September 2008, </w:t>
      </w:r>
      <w:r w:rsidR="00B735F5" w:rsidRPr="00B26051">
        <w:rPr>
          <w:rFonts w:asciiTheme="majorHAnsi" w:hAnsiTheme="majorHAnsi"/>
          <w:color w:val="auto"/>
          <w:sz w:val="20"/>
          <w:szCs w:val="20"/>
        </w:rPr>
        <w:t xml:space="preserve">indicated </w:t>
      </w:r>
      <w:r w:rsidRPr="00B26051">
        <w:rPr>
          <w:rFonts w:asciiTheme="majorHAnsi" w:hAnsiTheme="majorHAnsi"/>
          <w:color w:val="auto"/>
          <w:sz w:val="20"/>
          <w:szCs w:val="20"/>
        </w:rPr>
        <w:t>that that afternoon:</w:t>
      </w:r>
    </w:p>
    <w:p w14:paraId="5CC92846" w14:textId="77777777" w:rsidR="00185D58" w:rsidRPr="00B26051" w:rsidRDefault="00185D58" w:rsidP="00185D58">
      <w:pPr>
        <w:jc w:val="both"/>
        <w:rPr>
          <w:rFonts w:asciiTheme="majorHAnsi" w:hAnsiTheme="majorHAnsi"/>
          <w:sz w:val="20"/>
          <w:szCs w:val="20"/>
        </w:rPr>
      </w:pPr>
    </w:p>
    <w:p w14:paraId="2C1AF90C" w14:textId="3EBE3836" w:rsidR="00185D58" w:rsidRPr="00B26051" w:rsidRDefault="00F44787" w:rsidP="00185D58">
      <w:pPr>
        <w:pStyle w:val="ListParagraph"/>
        <w:ind w:left="634" w:right="720"/>
        <w:jc w:val="both"/>
        <w:rPr>
          <w:rFonts w:asciiTheme="majorHAnsi" w:hAnsiTheme="majorHAnsi"/>
          <w:color w:val="auto"/>
          <w:sz w:val="20"/>
          <w:szCs w:val="20"/>
        </w:rPr>
      </w:pPr>
      <w:r w:rsidRPr="00B26051">
        <w:rPr>
          <w:rFonts w:asciiTheme="majorHAnsi" w:hAnsiTheme="majorHAnsi"/>
          <w:color w:val="auto"/>
          <w:sz w:val="20"/>
          <w:szCs w:val="20"/>
        </w:rPr>
        <w:t>there was an attempt</w:t>
      </w:r>
      <w:r w:rsidR="00167C6B" w:rsidRPr="00B26051">
        <w:rPr>
          <w:rFonts w:asciiTheme="majorHAnsi" w:hAnsiTheme="majorHAnsi"/>
          <w:color w:val="auto"/>
          <w:sz w:val="20"/>
          <w:szCs w:val="20"/>
        </w:rPr>
        <w:t>ed</w:t>
      </w:r>
      <w:r w:rsidRPr="00B26051">
        <w:rPr>
          <w:rFonts w:asciiTheme="majorHAnsi" w:hAnsiTheme="majorHAnsi"/>
          <w:color w:val="auto"/>
          <w:sz w:val="20"/>
          <w:szCs w:val="20"/>
        </w:rPr>
        <w:t xml:space="preserve"> riot between the adolescent </w:t>
      </w:r>
      <w:r w:rsidR="00A05604">
        <w:rPr>
          <w:rFonts w:asciiTheme="majorHAnsi" w:hAnsiTheme="majorHAnsi"/>
          <w:color w:val="auto"/>
          <w:sz w:val="20"/>
          <w:szCs w:val="20"/>
        </w:rPr>
        <w:t>inmates</w:t>
      </w:r>
      <w:r w:rsidRPr="00B26051">
        <w:rPr>
          <w:rFonts w:asciiTheme="majorHAnsi" w:hAnsiTheme="majorHAnsi"/>
          <w:color w:val="auto"/>
          <w:sz w:val="20"/>
          <w:szCs w:val="20"/>
        </w:rPr>
        <w:t xml:space="preserve"> of cell number two (02) and the young adults of </w:t>
      </w:r>
      <w:r w:rsidR="00167C6B" w:rsidRPr="00B26051">
        <w:rPr>
          <w:rFonts w:asciiTheme="majorHAnsi" w:hAnsiTheme="majorHAnsi"/>
          <w:color w:val="auto"/>
          <w:sz w:val="20"/>
          <w:szCs w:val="20"/>
        </w:rPr>
        <w:t xml:space="preserve">cell number four (04), </w:t>
      </w:r>
      <w:r w:rsidR="00A64F05" w:rsidRPr="00B26051">
        <w:rPr>
          <w:rFonts w:asciiTheme="majorHAnsi" w:hAnsiTheme="majorHAnsi"/>
          <w:color w:val="auto"/>
          <w:sz w:val="20"/>
          <w:szCs w:val="20"/>
        </w:rPr>
        <w:t>which was brought under control</w:t>
      </w:r>
      <w:r w:rsidR="00167C6B" w:rsidRPr="00B26051">
        <w:rPr>
          <w:rFonts w:asciiTheme="majorHAnsi" w:hAnsiTheme="majorHAnsi"/>
          <w:color w:val="auto"/>
          <w:sz w:val="20"/>
          <w:szCs w:val="20"/>
        </w:rPr>
        <w:t>, by [the accused</w:t>
      </w:r>
      <w:r w:rsidRPr="00B26051">
        <w:rPr>
          <w:rFonts w:asciiTheme="majorHAnsi" w:hAnsiTheme="majorHAnsi"/>
          <w:color w:val="auto"/>
          <w:sz w:val="20"/>
          <w:szCs w:val="20"/>
        </w:rPr>
        <w:t xml:space="preserve">], as a result of this attempt, and as a </w:t>
      </w:r>
      <w:r w:rsidR="00167C6B" w:rsidRPr="00B26051">
        <w:rPr>
          <w:rFonts w:asciiTheme="majorHAnsi" w:hAnsiTheme="majorHAnsi"/>
          <w:color w:val="auto"/>
          <w:sz w:val="20"/>
          <w:szCs w:val="20"/>
        </w:rPr>
        <w:t>defense mechanism [the victims] set</w:t>
      </w:r>
      <w:r w:rsidRPr="00B26051">
        <w:rPr>
          <w:rFonts w:asciiTheme="majorHAnsi" w:hAnsiTheme="majorHAnsi"/>
          <w:color w:val="auto"/>
          <w:sz w:val="20"/>
          <w:szCs w:val="20"/>
        </w:rPr>
        <w:t xml:space="preserve"> light </w:t>
      </w:r>
      <w:r w:rsidR="00167C6B" w:rsidRPr="00B26051">
        <w:rPr>
          <w:rFonts w:asciiTheme="majorHAnsi" w:hAnsiTheme="majorHAnsi"/>
          <w:color w:val="auto"/>
          <w:sz w:val="20"/>
          <w:szCs w:val="20"/>
        </w:rPr>
        <w:t>to several mattresses</w:t>
      </w:r>
      <w:r w:rsidRPr="00B26051">
        <w:rPr>
          <w:rFonts w:asciiTheme="majorHAnsi" w:hAnsiTheme="majorHAnsi"/>
          <w:color w:val="auto"/>
          <w:sz w:val="20"/>
          <w:szCs w:val="20"/>
        </w:rPr>
        <w:t xml:space="preserve"> near the access door to cell [number 04], trying </w:t>
      </w:r>
      <w:r w:rsidR="00881708" w:rsidRPr="00B26051">
        <w:rPr>
          <w:rFonts w:asciiTheme="majorHAnsi" w:hAnsiTheme="majorHAnsi"/>
          <w:color w:val="auto"/>
          <w:sz w:val="20"/>
          <w:szCs w:val="20"/>
        </w:rPr>
        <w:t>thereby</w:t>
      </w:r>
      <w:r w:rsidRPr="00B26051">
        <w:rPr>
          <w:rFonts w:asciiTheme="majorHAnsi" w:hAnsiTheme="majorHAnsi"/>
          <w:color w:val="auto"/>
          <w:sz w:val="20"/>
          <w:szCs w:val="20"/>
        </w:rPr>
        <w:t xml:space="preserve"> to prevent the teenagers from cell number 02 fr</w:t>
      </w:r>
      <w:r w:rsidR="00A64F05" w:rsidRPr="00B26051">
        <w:rPr>
          <w:rFonts w:asciiTheme="majorHAnsi" w:hAnsiTheme="majorHAnsi"/>
          <w:color w:val="auto"/>
          <w:sz w:val="20"/>
          <w:szCs w:val="20"/>
        </w:rPr>
        <w:t>om entering cell number four;</w:t>
      </w:r>
      <w:r w:rsidR="00881708" w:rsidRPr="00B26051">
        <w:rPr>
          <w:rFonts w:asciiTheme="majorHAnsi" w:hAnsiTheme="majorHAnsi"/>
          <w:color w:val="auto"/>
          <w:sz w:val="20"/>
          <w:szCs w:val="20"/>
        </w:rPr>
        <w:t xml:space="preserve"> on</w:t>
      </w:r>
      <w:r w:rsidRPr="00B26051">
        <w:rPr>
          <w:rFonts w:asciiTheme="majorHAnsi" w:hAnsiTheme="majorHAnsi"/>
          <w:color w:val="auto"/>
          <w:sz w:val="20"/>
          <w:szCs w:val="20"/>
        </w:rPr>
        <w:t xml:space="preserve"> observing that the flames </w:t>
      </w:r>
      <w:r w:rsidR="00A64F05" w:rsidRPr="00B26051">
        <w:rPr>
          <w:rFonts w:asciiTheme="majorHAnsi" w:hAnsiTheme="majorHAnsi"/>
          <w:color w:val="auto"/>
          <w:sz w:val="20"/>
          <w:szCs w:val="20"/>
        </w:rPr>
        <w:t>were</w:t>
      </w:r>
      <w:r w:rsidRPr="00B26051">
        <w:rPr>
          <w:rFonts w:asciiTheme="majorHAnsi" w:hAnsiTheme="majorHAnsi"/>
          <w:color w:val="auto"/>
          <w:sz w:val="20"/>
          <w:szCs w:val="20"/>
        </w:rPr>
        <w:t xml:space="preserve"> out of control, the young adults </w:t>
      </w:r>
      <w:r w:rsidR="00881708" w:rsidRPr="00B26051">
        <w:rPr>
          <w:rFonts w:asciiTheme="majorHAnsi" w:hAnsiTheme="majorHAnsi"/>
          <w:color w:val="auto"/>
          <w:sz w:val="20"/>
          <w:szCs w:val="20"/>
        </w:rPr>
        <w:t>shouted for help and assistance</w:t>
      </w:r>
      <w:r w:rsidRPr="00B26051">
        <w:rPr>
          <w:rFonts w:asciiTheme="majorHAnsi" w:hAnsiTheme="majorHAnsi"/>
          <w:color w:val="auto"/>
          <w:sz w:val="20"/>
          <w:szCs w:val="20"/>
        </w:rPr>
        <w:t xml:space="preserve">, this call being heard from the outside of the premises, by the relatives of the detainees who just before </w:t>
      </w:r>
      <w:r w:rsidR="00881708" w:rsidRPr="00B26051">
        <w:rPr>
          <w:rFonts w:asciiTheme="majorHAnsi" w:hAnsiTheme="majorHAnsi"/>
          <w:color w:val="auto"/>
          <w:sz w:val="20"/>
          <w:szCs w:val="20"/>
        </w:rPr>
        <w:t>had been at</w:t>
      </w:r>
      <w:r w:rsidRPr="00B26051">
        <w:rPr>
          <w:rFonts w:asciiTheme="majorHAnsi" w:hAnsiTheme="majorHAnsi"/>
          <w:color w:val="auto"/>
          <w:sz w:val="20"/>
          <w:szCs w:val="20"/>
        </w:rPr>
        <w:t xml:space="preserve"> the corresponding visit, as</w:t>
      </w:r>
      <w:r w:rsidR="00881708" w:rsidRPr="00B26051">
        <w:rPr>
          <w:rFonts w:asciiTheme="majorHAnsi" w:hAnsiTheme="majorHAnsi"/>
          <w:color w:val="auto"/>
          <w:sz w:val="20"/>
          <w:szCs w:val="20"/>
        </w:rPr>
        <w:t xml:space="preserve"> well as by the staff working</w:t>
      </w:r>
      <w:r w:rsidRPr="00B26051">
        <w:rPr>
          <w:rFonts w:asciiTheme="majorHAnsi" w:hAnsiTheme="majorHAnsi"/>
          <w:color w:val="auto"/>
          <w:sz w:val="20"/>
          <w:szCs w:val="20"/>
        </w:rPr>
        <w:t xml:space="preserve"> in the diagnostic center. It should be noted that [the accused] acted negligently by not </w:t>
      </w:r>
      <w:r w:rsidR="00BF0B3E" w:rsidRPr="00B26051">
        <w:rPr>
          <w:rFonts w:asciiTheme="majorHAnsi" w:hAnsiTheme="majorHAnsi"/>
          <w:color w:val="auto"/>
          <w:sz w:val="20"/>
          <w:szCs w:val="20"/>
        </w:rPr>
        <w:t>responding</w:t>
      </w:r>
      <w:r w:rsidRPr="00B26051">
        <w:rPr>
          <w:rFonts w:asciiTheme="majorHAnsi" w:hAnsiTheme="majorHAnsi"/>
          <w:color w:val="auto"/>
          <w:sz w:val="20"/>
          <w:szCs w:val="20"/>
        </w:rPr>
        <w:t xml:space="preserve"> to the request for help from [the victims] and did not immediately open the door </w:t>
      </w:r>
      <w:r w:rsidR="00BF0B3E" w:rsidRPr="00B26051">
        <w:rPr>
          <w:rFonts w:asciiTheme="majorHAnsi" w:hAnsiTheme="majorHAnsi"/>
          <w:color w:val="auto"/>
          <w:sz w:val="20"/>
          <w:szCs w:val="20"/>
        </w:rPr>
        <w:t>giving</w:t>
      </w:r>
      <w:r w:rsidRPr="00B26051">
        <w:rPr>
          <w:rFonts w:asciiTheme="majorHAnsi" w:hAnsiTheme="majorHAnsi"/>
          <w:color w:val="auto"/>
          <w:sz w:val="20"/>
          <w:szCs w:val="20"/>
        </w:rPr>
        <w:t xml:space="preserve"> access to the cell where [the victims]</w:t>
      </w:r>
      <w:r w:rsidR="00BF0B3E" w:rsidRPr="00B26051">
        <w:rPr>
          <w:rFonts w:asciiTheme="majorHAnsi" w:hAnsiTheme="majorHAnsi"/>
          <w:color w:val="auto"/>
          <w:sz w:val="20"/>
          <w:szCs w:val="20"/>
        </w:rPr>
        <w:t xml:space="preserve"> were being held</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125"/>
      </w:r>
    </w:p>
    <w:p w14:paraId="21D0FF41" w14:textId="77777777" w:rsidR="00185D58" w:rsidRPr="00B26051" w:rsidRDefault="00185D58" w:rsidP="00185D58">
      <w:pPr>
        <w:jc w:val="both"/>
        <w:rPr>
          <w:rFonts w:asciiTheme="majorHAnsi" w:hAnsiTheme="majorHAnsi"/>
          <w:sz w:val="20"/>
          <w:szCs w:val="20"/>
        </w:rPr>
      </w:pPr>
    </w:p>
    <w:p w14:paraId="69DD156F" w14:textId="227F560C" w:rsidR="00185D58" w:rsidRPr="00B26051" w:rsidRDefault="00CC723D" w:rsidP="007F4FA0">
      <w:pPr>
        <w:pStyle w:val="ListParagraph"/>
        <w:numPr>
          <w:ilvl w:val="0"/>
          <w:numId w:val="57"/>
        </w:numPr>
        <w:ind w:left="0" w:firstLine="634"/>
        <w:jc w:val="both"/>
        <w:rPr>
          <w:rFonts w:asciiTheme="majorHAnsi" w:hAnsiTheme="majorHAnsi"/>
          <w:color w:val="auto"/>
          <w:sz w:val="20"/>
          <w:szCs w:val="20"/>
        </w:rPr>
      </w:pPr>
      <w:r w:rsidRPr="00B26051">
        <w:rPr>
          <w:rFonts w:asciiTheme="majorHAnsi" w:hAnsiTheme="majorHAnsi"/>
          <w:color w:val="auto"/>
          <w:sz w:val="20"/>
          <w:szCs w:val="20"/>
        </w:rPr>
        <w:t xml:space="preserve">The Commission does not have the date </w:t>
      </w:r>
      <w:r w:rsidR="00A64F05" w:rsidRPr="00B26051">
        <w:rPr>
          <w:rFonts w:asciiTheme="majorHAnsi" w:hAnsiTheme="majorHAnsi"/>
          <w:color w:val="auto"/>
          <w:sz w:val="20"/>
          <w:szCs w:val="20"/>
        </w:rPr>
        <w:t>on which the closure</w:t>
      </w:r>
      <w:r w:rsidRPr="00B26051">
        <w:rPr>
          <w:rFonts w:asciiTheme="majorHAnsi" w:hAnsiTheme="majorHAnsi"/>
          <w:color w:val="auto"/>
          <w:sz w:val="20"/>
          <w:szCs w:val="20"/>
        </w:rPr>
        <w:t xml:space="preserve"> of the investigation </w:t>
      </w:r>
      <w:r w:rsidR="00A64F05" w:rsidRPr="00B26051">
        <w:rPr>
          <w:rFonts w:asciiTheme="majorHAnsi" w:hAnsiTheme="majorHAnsi"/>
          <w:color w:val="auto"/>
          <w:sz w:val="20"/>
          <w:szCs w:val="20"/>
        </w:rPr>
        <w:t>was ordered</w:t>
      </w:r>
      <w:r w:rsidRPr="00B26051">
        <w:rPr>
          <w:rFonts w:asciiTheme="majorHAnsi" w:hAnsiTheme="majorHAnsi"/>
          <w:color w:val="auto"/>
          <w:sz w:val="20"/>
          <w:szCs w:val="20"/>
        </w:rPr>
        <w:t>.</w:t>
      </w:r>
      <w:r w:rsidR="00D0249A" w:rsidRPr="00B26051">
        <w:rPr>
          <w:rFonts w:asciiTheme="majorHAnsi" w:hAnsiTheme="majorHAnsi"/>
          <w:color w:val="auto"/>
          <w:sz w:val="20"/>
          <w:szCs w:val="20"/>
        </w:rPr>
        <w:t xml:space="preserve"> However, </w:t>
      </w:r>
      <w:r w:rsidR="00A64F05" w:rsidRPr="00B26051">
        <w:rPr>
          <w:rFonts w:asciiTheme="majorHAnsi" w:hAnsiTheme="majorHAnsi"/>
          <w:color w:val="auto"/>
          <w:sz w:val="20"/>
          <w:szCs w:val="20"/>
        </w:rPr>
        <w:t>there is evidence</w:t>
      </w:r>
      <w:r w:rsidR="00D0249A" w:rsidRPr="00B26051">
        <w:rPr>
          <w:rFonts w:asciiTheme="majorHAnsi" w:hAnsiTheme="majorHAnsi"/>
          <w:color w:val="auto"/>
          <w:sz w:val="20"/>
          <w:szCs w:val="20"/>
        </w:rPr>
        <w:t xml:space="preserve"> that the </w:t>
      </w:r>
      <w:r w:rsidR="00B26051" w:rsidRPr="00B26051">
        <w:rPr>
          <w:rFonts w:asciiTheme="majorHAnsi" w:hAnsiTheme="majorHAnsi"/>
          <w:color w:val="auto"/>
          <w:sz w:val="20"/>
          <w:szCs w:val="20"/>
        </w:rPr>
        <w:t>accused’s</w:t>
      </w:r>
      <w:r w:rsidR="00D0249A" w:rsidRPr="00B26051">
        <w:rPr>
          <w:rFonts w:asciiTheme="majorHAnsi" w:hAnsiTheme="majorHAnsi"/>
          <w:color w:val="auto"/>
          <w:sz w:val="20"/>
          <w:szCs w:val="20"/>
        </w:rPr>
        <w:t>’ t</w:t>
      </w:r>
      <w:r w:rsidRPr="00B26051">
        <w:rPr>
          <w:rFonts w:asciiTheme="majorHAnsi" w:hAnsiTheme="majorHAnsi"/>
          <w:color w:val="auto"/>
          <w:sz w:val="20"/>
          <w:szCs w:val="20"/>
        </w:rPr>
        <w:t>rial hearing was deferred at least six times between June 2010 and January 2015;</w:t>
      </w:r>
      <w:r w:rsidRPr="00B26051">
        <w:rPr>
          <w:rStyle w:val="FootnoteReference"/>
          <w:rFonts w:asciiTheme="majorHAnsi" w:hAnsiTheme="majorHAnsi"/>
          <w:color w:val="auto"/>
          <w:sz w:val="20"/>
          <w:szCs w:val="20"/>
        </w:rPr>
        <w:footnoteReference w:id="126"/>
      </w:r>
      <w:r w:rsidRPr="00B26051">
        <w:rPr>
          <w:rFonts w:asciiTheme="majorHAnsi" w:hAnsiTheme="majorHAnsi"/>
          <w:color w:val="auto"/>
          <w:sz w:val="20"/>
          <w:szCs w:val="20"/>
        </w:rPr>
        <w:t xml:space="preserve"> the petitioner</w:t>
      </w:r>
      <w:r w:rsidR="00D0249A" w:rsidRPr="00B26051">
        <w:rPr>
          <w:rFonts w:asciiTheme="majorHAnsi" w:hAnsiTheme="majorHAnsi"/>
          <w:color w:val="auto"/>
          <w:sz w:val="20"/>
          <w:szCs w:val="20"/>
        </w:rPr>
        <w:t>s</w:t>
      </w:r>
      <w:r w:rsidRPr="00B26051">
        <w:rPr>
          <w:rFonts w:asciiTheme="majorHAnsi" w:hAnsiTheme="majorHAnsi"/>
          <w:color w:val="auto"/>
          <w:sz w:val="20"/>
          <w:szCs w:val="20"/>
        </w:rPr>
        <w:t xml:space="preserve"> alleged </w:t>
      </w:r>
      <w:r w:rsidR="00D0249A" w:rsidRPr="00B26051">
        <w:rPr>
          <w:rFonts w:asciiTheme="majorHAnsi" w:hAnsiTheme="majorHAnsi"/>
          <w:color w:val="auto"/>
          <w:sz w:val="20"/>
          <w:szCs w:val="20"/>
        </w:rPr>
        <w:t>that there have been adjournments</w:t>
      </w:r>
      <w:r w:rsidRPr="00B26051">
        <w:rPr>
          <w:rFonts w:asciiTheme="majorHAnsi" w:hAnsiTheme="majorHAnsi"/>
          <w:color w:val="auto"/>
          <w:sz w:val="20"/>
          <w:szCs w:val="20"/>
        </w:rPr>
        <w:t xml:space="preserve"> on no less than 32 occasions since 2008.</w:t>
      </w:r>
      <w:r w:rsidRPr="00B26051">
        <w:rPr>
          <w:rStyle w:val="FootnoteReference"/>
          <w:rFonts w:asciiTheme="majorHAnsi" w:hAnsiTheme="majorHAnsi"/>
          <w:color w:val="auto"/>
          <w:sz w:val="20"/>
          <w:szCs w:val="20"/>
        </w:rPr>
        <w:t xml:space="preserve"> </w:t>
      </w:r>
      <w:r w:rsidRPr="00B26051">
        <w:rPr>
          <w:rStyle w:val="FootnoteReference"/>
          <w:rFonts w:asciiTheme="majorHAnsi" w:hAnsiTheme="majorHAnsi"/>
          <w:color w:val="auto"/>
          <w:sz w:val="20"/>
          <w:szCs w:val="20"/>
        </w:rPr>
        <w:footnoteReference w:id="127"/>
      </w:r>
      <w:r w:rsidR="00D0249A" w:rsidRPr="00B26051">
        <w:rPr>
          <w:rFonts w:asciiTheme="majorHAnsi" w:hAnsiTheme="majorHAnsi"/>
          <w:color w:val="auto"/>
          <w:sz w:val="20"/>
          <w:szCs w:val="20"/>
        </w:rPr>
        <w:t xml:space="preserve"> Of the adjournments ordered</w:t>
      </w:r>
      <w:r w:rsidRPr="00B26051">
        <w:rPr>
          <w:rFonts w:asciiTheme="majorHAnsi" w:hAnsiTheme="majorHAnsi"/>
          <w:color w:val="auto"/>
          <w:sz w:val="20"/>
          <w:szCs w:val="20"/>
        </w:rPr>
        <w:t xml:space="preserve"> in 2014 and 2015, </w:t>
      </w:r>
      <w:r w:rsidR="00A64F05" w:rsidRPr="00B26051">
        <w:rPr>
          <w:rFonts w:asciiTheme="majorHAnsi" w:hAnsiTheme="majorHAnsi"/>
          <w:color w:val="auto"/>
          <w:sz w:val="20"/>
          <w:szCs w:val="20"/>
        </w:rPr>
        <w:t>there is evidence</w:t>
      </w:r>
      <w:r w:rsidRPr="00B26051">
        <w:rPr>
          <w:rFonts w:asciiTheme="majorHAnsi" w:hAnsiTheme="majorHAnsi"/>
          <w:color w:val="auto"/>
          <w:sz w:val="20"/>
          <w:szCs w:val="20"/>
        </w:rPr>
        <w:t xml:space="preserve"> that t</w:t>
      </w:r>
      <w:r w:rsidR="00A64F05" w:rsidRPr="00B26051">
        <w:rPr>
          <w:rFonts w:asciiTheme="majorHAnsi" w:hAnsiTheme="majorHAnsi"/>
          <w:color w:val="auto"/>
          <w:sz w:val="20"/>
          <w:szCs w:val="20"/>
        </w:rPr>
        <w:t>hree of them were due to the</w:t>
      </w:r>
      <w:r w:rsidRPr="00B26051">
        <w:rPr>
          <w:rFonts w:asciiTheme="majorHAnsi" w:hAnsiTheme="majorHAnsi"/>
          <w:color w:val="auto"/>
          <w:sz w:val="20"/>
          <w:szCs w:val="20"/>
        </w:rPr>
        <w:t xml:space="preserve"> defense</w:t>
      </w:r>
      <w:r w:rsidR="00D0249A" w:rsidRPr="00B26051">
        <w:rPr>
          <w:rFonts w:asciiTheme="majorHAnsi" w:hAnsiTheme="majorHAnsi"/>
          <w:color w:val="auto"/>
          <w:sz w:val="20"/>
          <w:szCs w:val="20"/>
        </w:rPr>
        <w:t>’s non-appearance</w:t>
      </w:r>
      <w:r w:rsidRPr="00B26051">
        <w:rPr>
          <w:rFonts w:asciiTheme="majorHAnsi" w:hAnsiTheme="majorHAnsi"/>
          <w:color w:val="auto"/>
          <w:sz w:val="20"/>
          <w:szCs w:val="20"/>
        </w:rPr>
        <w:t xml:space="preserve">; one by default of the Public Ministry; and </w:t>
      </w:r>
      <w:r w:rsidR="00D0249A" w:rsidRPr="00B26051">
        <w:rPr>
          <w:rFonts w:asciiTheme="majorHAnsi" w:hAnsiTheme="majorHAnsi"/>
          <w:color w:val="auto"/>
          <w:sz w:val="20"/>
          <w:szCs w:val="20"/>
        </w:rPr>
        <w:t>one because "the</w:t>
      </w:r>
      <w:r w:rsidR="00785C4B" w:rsidRPr="00B26051">
        <w:rPr>
          <w:rFonts w:asciiTheme="majorHAnsi" w:hAnsiTheme="majorHAnsi"/>
          <w:color w:val="auto"/>
          <w:sz w:val="20"/>
          <w:szCs w:val="20"/>
        </w:rPr>
        <w:t xml:space="preserve"> necessary steps were not taken.</w:t>
      </w:r>
      <w:r w:rsidRPr="00B26051">
        <w:rPr>
          <w:rFonts w:asciiTheme="majorHAnsi" w:hAnsiTheme="majorHAnsi"/>
          <w:color w:val="auto"/>
          <w:sz w:val="20"/>
          <w:szCs w:val="20"/>
        </w:rPr>
        <w:t>"</w:t>
      </w:r>
      <w:r w:rsidRPr="00B26051">
        <w:rPr>
          <w:rStyle w:val="FootnoteReference"/>
          <w:rFonts w:asciiTheme="majorHAnsi" w:hAnsiTheme="majorHAnsi"/>
          <w:color w:val="auto"/>
          <w:sz w:val="20"/>
          <w:szCs w:val="20"/>
        </w:rPr>
        <w:footnoteReference w:id="128"/>
      </w:r>
    </w:p>
    <w:p w14:paraId="618C45B3" w14:textId="77777777" w:rsidR="00185D58" w:rsidRPr="00B26051" w:rsidRDefault="00185D58" w:rsidP="00185D58">
      <w:pPr>
        <w:jc w:val="both"/>
        <w:rPr>
          <w:rFonts w:asciiTheme="majorHAnsi" w:hAnsiTheme="majorHAnsi"/>
          <w:b/>
          <w:sz w:val="20"/>
          <w:szCs w:val="20"/>
        </w:rPr>
      </w:pPr>
    </w:p>
    <w:p w14:paraId="5D5ABFF7" w14:textId="2D137325" w:rsidR="00185D58" w:rsidRPr="00B26051" w:rsidRDefault="00CC723D" w:rsidP="007F4FA0">
      <w:pPr>
        <w:pStyle w:val="ListParagraph"/>
        <w:numPr>
          <w:ilvl w:val="0"/>
          <w:numId w:val="55"/>
        </w:numPr>
        <w:tabs>
          <w:tab w:val="left" w:pos="1440"/>
        </w:tabs>
        <w:suppressAutoHyphens/>
        <w:ind w:left="1440"/>
        <w:rPr>
          <w:b/>
          <w:color w:val="auto"/>
          <w:sz w:val="20"/>
          <w:szCs w:val="20"/>
        </w:rPr>
      </w:pPr>
      <w:r w:rsidRPr="00B26051">
        <w:rPr>
          <w:b/>
          <w:color w:val="auto"/>
          <w:sz w:val="20"/>
          <w:szCs w:val="20"/>
        </w:rPr>
        <w:t>LEGAL ANALYSIS</w:t>
      </w:r>
    </w:p>
    <w:p w14:paraId="7D833BB2" w14:textId="77777777" w:rsidR="00185D58" w:rsidRPr="00B26051" w:rsidRDefault="00185D58" w:rsidP="00185D58">
      <w:pPr>
        <w:suppressAutoHyphens/>
        <w:rPr>
          <w:rFonts w:ascii="Cambria" w:hAnsi="Cambria"/>
          <w:b/>
          <w:sz w:val="20"/>
          <w:szCs w:val="20"/>
        </w:rPr>
      </w:pPr>
    </w:p>
    <w:p w14:paraId="2E961B1E" w14:textId="5AE10A2F" w:rsidR="00185D58" w:rsidRPr="00B26051" w:rsidRDefault="00CC723D" w:rsidP="007F4FA0">
      <w:pPr>
        <w:pStyle w:val="ListParagraph"/>
        <w:numPr>
          <w:ilvl w:val="0"/>
          <w:numId w:val="59"/>
        </w:numPr>
        <w:ind w:left="1440" w:hanging="720"/>
        <w:jc w:val="both"/>
        <w:rPr>
          <w:b/>
          <w:color w:val="auto"/>
          <w:sz w:val="20"/>
          <w:szCs w:val="20"/>
        </w:rPr>
      </w:pPr>
      <w:bookmarkStart w:id="1" w:name="_Toc485650798"/>
      <w:r w:rsidRPr="00B26051">
        <w:rPr>
          <w:b/>
          <w:color w:val="auto"/>
          <w:sz w:val="20"/>
          <w:szCs w:val="20"/>
        </w:rPr>
        <w:t xml:space="preserve">The </w:t>
      </w:r>
      <w:r w:rsidR="005C6AA9">
        <w:rPr>
          <w:b/>
          <w:color w:val="auto"/>
          <w:sz w:val="20"/>
          <w:szCs w:val="20"/>
        </w:rPr>
        <w:t>r</w:t>
      </w:r>
      <w:r w:rsidRPr="00B26051">
        <w:rPr>
          <w:b/>
          <w:color w:val="auto"/>
          <w:sz w:val="20"/>
          <w:szCs w:val="20"/>
        </w:rPr>
        <w:t xml:space="preserve">ights to </w:t>
      </w:r>
      <w:r w:rsidR="005C6AA9">
        <w:rPr>
          <w:b/>
          <w:color w:val="auto"/>
          <w:sz w:val="20"/>
          <w:szCs w:val="20"/>
        </w:rPr>
        <w:t>l</w:t>
      </w:r>
      <w:r w:rsidRPr="00B26051">
        <w:rPr>
          <w:b/>
          <w:color w:val="auto"/>
          <w:sz w:val="20"/>
          <w:szCs w:val="20"/>
        </w:rPr>
        <w:t>ife</w:t>
      </w:r>
      <w:r w:rsidRPr="00B26051">
        <w:rPr>
          <w:rStyle w:val="FootnoteReference"/>
          <w:b/>
          <w:color w:val="auto"/>
          <w:sz w:val="20"/>
          <w:szCs w:val="20"/>
        </w:rPr>
        <w:footnoteReference w:id="129"/>
      </w:r>
      <w:r w:rsidRPr="00B26051">
        <w:rPr>
          <w:b/>
          <w:color w:val="auto"/>
          <w:sz w:val="20"/>
          <w:szCs w:val="20"/>
        </w:rPr>
        <w:t xml:space="preserve"> and </w:t>
      </w:r>
      <w:r w:rsidR="005C6AA9">
        <w:rPr>
          <w:b/>
          <w:color w:val="auto"/>
          <w:sz w:val="20"/>
          <w:szCs w:val="20"/>
        </w:rPr>
        <w:t>p</w:t>
      </w:r>
      <w:r w:rsidRPr="00B26051">
        <w:rPr>
          <w:b/>
          <w:color w:val="auto"/>
          <w:sz w:val="20"/>
          <w:szCs w:val="20"/>
        </w:rPr>
        <w:t xml:space="preserve">ersonal </w:t>
      </w:r>
      <w:r w:rsidR="005C6AA9">
        <w:rPr>
          <w:b/>
          <w:color w:val="auto"/>
          <w:sz w:val="20"/>
          <w:szCs w:val="20"/>
        </w:rPr>
        <w:t>i</w:t>
      </w:r>
      <w:r w:rsidRPr="00B26051">
        <w:rPr>
          <w:b/>
          <w:color w:val="auto"/>
          <w:sz w:val="20"/>
          <w:szCs w:val="20"/>
        </w:rPr>
        <w:t>ntegrity</w:t>
      </w:r>
      <w:r w:rsidRPr="00B26051">
        <w:rPr>
          <w:rStyle w:val="FootnoteReference"/>
          <w:b/>
          <w:color w:val="auto"/>
          <w:sz w:val="20"/>
          <w:szCs w:val="20"/>
        </w:rPr>
        <w:footnoteReference w:id="130"/>
      </w:r>
      <w:r w:rsidR="005C6AA9">
        <w:rPr>
          <w:b/>
          <w:color w:val="auto"/>
          <w:sz w:val="20"/>
          <w:szCs w:val="20"/>
        </w:rPr>
        <w:t xml:space="preserve"> in relation to a</w:t>
      </w:r>
      <w:r w:rsidRPr="00B26051">
        <w:rPr>
          <w:b/>
          <w:color w:val="auto"/>
          <w:sz w:val="20"/>
          <w:szCs w:val="20"/>
        </w:rPr>
        <w:t>rticles 1.1</w:t>
      </w:r>
      <w:r w:rsidRPr="00B26051">
        <w:rPr>
          <w:rStyle w:val="FootnoteReference"/>
          <w:b/>
          <w:color w:val="auto"/>
          <w:sz w:val="20"/>
          <w:szCs w:val="20"/>
        </w:rPr>
        <w:footnoteReference w:id="131"/>
      </w:r>
      <w:r w:rsidRPr="00B26051">
        <w:rPr>
          <w:b/>
          <w:color w:val="auto"/>
          <w:sz w:val="20"/>
          <w:szCs w:val="20"/>
        </w:rPr>
        <w:t xml:space="preserve"> and 19</w:t>
      </w:r>
      <w:r w:rsidRPr="00B26051">
        <w:rPr>
          <w:rStyle w:val="FootnoteReference"/>
          <w:b/>
          <w:color w:val="auto"/>
          <w:sz w:val="20"/>
          <w:szCs w:val="20"/>
        </w:rPr>
        <w:footnoteReference w:id="132"/>
      </w:r>
      <w:r w:rsidRPr="00B26051">
        <w:rPr>
          <w:b/>
          <w:color w:val="auto"/>
          <w:sz w:val="20"/>
          <w:szCs w:val="20"/>
        </w:rPr>
        <w:t xml:space="preserve"> of the American Convention</w:t>
      </w:r>
    </w:p>
    <w:p w14:paraId="4F9B26B0" w14:textId="77777777" w:rsidR="00185D58" w:rsidRPr="00B26051" w:rsidRDefault="00185D58" w:rsidP="00185D58">
      <w:pPr>
        <w:pStyle w:val="ListParagraph"/>
        <w:ind w:left="1440"/>
        <w:jc w:val="both"/>
        <w:rPr>
          <w:b/>
          <w:color w:val="auto"/>
          <w:sz w:val="20"/>
          <w:szCs w:val="20"/>
        </w:rPr>
      </w:pPr>
    </w:p>
    <w:p w14:paraId="0E281125" w14:textId="1D7632D5" w:rsidR="00185D58" w:rsidRPr="00B26051" w:rsidRDefault="00CC723D" w:rsidP="007F4FA0">
      <w:pPr>
        <w:pStyle w:val="ListParagraph"/>
        <w:numPr>
          <w:ilvl w:val="0"/>
          <w:numId w:val="68"/>
        </w:numPr>
        <w:ind w:left="1440" w:hanging="720"/>
        <w:jc w:val="both"/>
        <w:rPr>
          <w:b/>
          <w:color w:val="auto"/>
          <w:sz w:val="20"/>
          <w:szCs w:val="20"/>
        </w:rPr>
      </w:pPr>
      <w:r w:rsidRPr="00B26051">
        <w:rPr>
          <w:b/>
          <w:color w:val="auto"/>
          <w:sz w:val="20"/>
          <w:szCs w:val="20"/>
        </w:rPr>
        <w:t xml:space="preserve">The special position of guarantor of the State </w:t>
      </w:r>
      <w:r w:rsidR="00785C4B" w:rsidRPr="00B26051">
        <w:rPr>
          <w:b/>
          <w:color w:val="auto"/>
          <w:sz w:val="20"/>
          <w:szCs w:val="20"/>
        </w:rPr>
        <w:t>vis-a-vis</w:t>
      </w:r>
      <w:r w:rsidRPr="00B26051">
        <w:rPr>
          <w:b/>
          <w:color w:val="auto"/>
          <w:sz w:val="20"/>
          <w:szCs w:val="20"/>
        </w:rPr>
        <w:t xml:space="preserve"> persons deprived of liberty and burden of proof</w:t>
      </w:r>
    </w:p>
    <w:p w14:paraId="32267ECD" w14:textId="77777777" w:rsidR="00185D58" w:rsidRPr="00B26051" w:rsidRDefault="00185D58" w:rsidP="00185D58">
      <w:pPr>
        <w:pStyle w:val="ListParagraph"/>
        <w:ind w:left="1440" w:hanging="720"/>
        <w:jc w:val="both"/>
        <w:rPr>
          <w:b/>
          <w:color w:val="auto"/>
          <w:sz w:val="20"/>
          <w:szCs w:val="20"/>
        </w:rPr>
      </w:pPr>
    </w:p>
    <w:p w14:paraId="09DB4775" w14:textId="0B0FC5C0" w:rsidR="00185D58" w:rsidRPr="00B26051" w:rsidRDefault="00B36211"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The case-law of the I</w:t>
      </w:r>
      <w:r w:rsidR="00CC723D" w:rsidRPr="00B26051">
        <w:rPr>
          <w:rFonts w:ascii="Cambria" w:hAnsi="Cambria"/>
          <w:sz w:val="20"/>
          <w:szCs w:val="20"/>
        </w:rPr>
        <w:t xml:space="preserve">nter-American system has established that in </w:t>
      </w:r>
      <w:r w:rsidR="00975215" w:rsidRPr="00B26051">
        <w:rPr>
          <w:rFonts w:ascii="Cambria" w:hAnsi="Cambria"/>
          <w:sz w:val="20"/>
          <w:szCs w:val="20"/>
        </w:rPr>
        <w:t>regard to</w:t>
      </w:r>
      <w:r w:rsidR="00CC723D" w:rsidRPr="00B26051">
        <w:rPr>
          <w:rFonts w:ascii="Cambria" w:hAnsi="Cambria"/>
          <w:sz w:val="20"/>
          <w:szCs w:val="20"/>
        </w:rPr>
        <w:t xml:space="preserve"> persons deprived of liberty, the State assumes a special position as guarantor of their rights, since the deprivation of liberty "produces a special relation</w:t>
      </w:r>
      <w:r w:rsidR="005B7707" w:rsidRPr="00B26051">
        <w:rPr>
          <w:rFonts w:ascii="Cambria" w:hAnsi="Cambria"/>
          <w:sz w:val="20"/>
          <w:szCs w:val="20"/>
        </w:rPr>
        <w:t>ship and interaction of subordination</w:t>
      </w:r>
      <w:r w:rsidR="00CC723D" w:rsidRPr="00B26051">
        <w:rPr>
          <w:rFonts w:ascii="Cambria" w:hAnsi="Cambria"/>
          <w:sz w:val="20"/>
          <w:szCs w:val="20"/>
        </w:rPr>
        <w:t xml:space="preserve"> between the person deprived of </w:t>
      </w:r>
      <w:r w:rsidR="005B7707" w:rsidRPr="00B26051">
        <w:rPr>
          <w:rFonts w:ascii="Cambria" w:hAnsi="Cambria"/>
          <w:sz w:val="20"/>
          <w:szCs w:val="20"/>
        </w:rPr>
        <w:t xml:space="preserve">his </w:t>
      </w:r>
      <w:r w:rsidR="00CC723D" w:rsidRPr="00B26051">
        <w:rPr>
          <w:rFonts w:ascii="Cambria" w:hAnsi="Cambria"/>
          <w:sz w:val="20"/>
          <w:szCs w:val="20"/>
        </w:rPr>
        <w:t xml:space="preserve">liberty and the State, characterized by the particular intensity with which the State can regulate </w:t>
      </w:r>
      <w:r w:rsidR="005B7707" w:rsidRPr="00B26051">
        <w:rPr>
          <w:rFonts w:ascii="Cambria" w:hAnsi="Cambria"/>
          <w:sz w:val="20"/>
          <w:szCs w:val="20"/>
        </w:rPr>
        <w:t>their</w:t>
      </w:r>
      <w:r w:rsidR="00CC723D" w:rsidRPr="00B26051">
        <w:rPr>
          <w:rFonts w:ascii="Cambria" w:hAnsi="Cambria"/>
          <w:sz w:val="20"/>
          <w:szCs w:val="20"/>
        </w:rPr>
        <w:t xml:space="preserve"> rights </w:t>
      </w:r>
      <w:r w:rsidR="00CC723D" w:rsidRPr="00B26051">
        <w:rPr>
          <w:rFonts w:ascii="Cambria" w:hAnsi="Cambria"/>
          <w:sz w:val="20"/>
          <w:szCs w:val="20"/>
        </w:rPr>
        <w:lastRenderedPageBreak/>
        <w:t xml:space="preserve">and obligations and by the circumstances of confinement, where the </w:t>
      </w:r>
      <w:r w:rsidR="005B7707" w:rsidRPr="00B26051">
        <w:rPr>
          <w:rFonts w:ascii="Cambria" w:hAnsi="Cambria"/>
          <w:sz w:val="20"/>
          <w:szCs w:val="20"/>
        </w:rPr>
        <w:t xml:space="preserve">inmate is </w:t>
      </w:r>
      <w:r w:rsidR="00CC723D" w:rsidRPr="00B26051">
        <w:rPr>
          <w:rFonts w:ascii="Cambria" w:hAnsi="Cambria"/>
          <w:sz w:val="20"/>
          <w:szCs w:val="20"/>
        </w:rPr>
        <w:t>prevented from satisfying</w:t>
      </w:r>
      <w:r w:rsidR="005B7707" w:rsidRPr="00B26051">
        <w:rPr>
          <w:rFonts w:ascii="Cambria" w:hAnsi="Cambria"/>
          <w:sz w:val="20"/>
          <w:szCs w:val="20"/>
        </w:rPr>
        <w:t>, on his own,</w:t>
      </w:r>
      <w:r w:rsidR="00CC723D" w:rsidRPr="00B26051">
        <w:rPr>
          <w:rFonts w:ascii="Cambria" w:hAnsi="Cambria"/>
          <w:sz w:val="20"/>
          <w:szCs w:val="20"/>
        </w:rPr>
        <w:t xml:space="preserve"> </w:t>
      </w:r>
      <w:r w:rsidR="005B7707" w:rsidRPr="00B26051">
        <w:rPr>
          <w:rFonts w:ascii="Cambria" w:hAnsi="Cambria"/>
          <w:sz w:val="20"/>
          <w:szCs w:val="20"/>
        </w:rPr>
        <w:t>certain</w:t>
      </w:r>
      <w:r w:rsidR="00CC723D" w:rsidRPr="00B26051">
        <w:rPr>
          <w:rFonts w:ascii="Cambria" w:hAnsi="Cambria"/>
          <w:sz w:val="20"/>
          <w:szCs w:val="20"/>
        </w:rPr>
        <w:t xml:space="preserve"> basic needs that are essential </w:t>
      </w:r>
      <w:r w:rsidR="005B7707" w:rsidRPr="00B26051">
        <w:rPr>
          <w:rFonts w:ascii="Cambria" w:hAnsi="Cambria"/>
          <w:sz w:val="20"/>
          <w:szCs w:val="20"/>
        </w:rPr>
        <w:t>if one is to live a</w:t>
      </w:r>
      <w:r w:rsidR="00CC723D" w:rsidRPr="00B26051">
        <w:rPr>
          <w:rFonts w:ascii="Cambria" w:hAnsi="Cambria"/>
          <w:sz w:val="20"/>
          <w:szCs w:val="20"/>
        </w:rPr>
        <w:t xml:space="preserve"> dignified life</w:t>
      </w:r>
      <w:r w:rsidR="00057A54">
        <w:rPr>
          <w:rFonts w:ascii="Cambria" w:hAnsi="Cambria"/>
          <w:sz w:val="20"/>
          <w:szCs w:val="20"/>
        </w:rPr>
        <w:t>.</w:t>
      </w:r>
      <w:r w:rsidR="00CC723D" w:rsidRPr="00B26051">
        <w:rPr>
          <w:rFonts w:ascii="Cambria" w:hAnsi="Cambria"/>
          <w:sz w:val="20"/>
          <w:szCs w:val="20"/>
        </w:rPr>
        <w:t>"</w:t>
      </w:r>
      <w:r w:rsidR="00CC723D" w:rsidRPr="00B26051">
        <w:rPr>
          <w:rStyle w:val="FootnoteReference"/>
          <w:rFonts w:ascii="Cambria" w:hAnsi="Cambria"/>
          <w:sz w:val="20"/>
          <w:szCs w:val="20"/>
        </w:rPr>
        <w:footnoteReference w:id="133"/>
      </w:r>
      <w:r w:rsidR="00CC723D" w:rsidRPr="00B26051">
        <w:rPr>
          <w:rFonts w:ascii="Cambria" w:hAnsi="Cambria"/>
          <w:sz w:val="20"/>
          <w:szCs w:val="20"/>
        </w:rPr>
        <w:t xml:space="preserve"> In su</w:t>
      </w:r>
      <w:r w:rsidR="005B7707" w:rsidRPr="00B26051">
        <w:rPr>
          <w:rFonts w:ascii="Cambria" w:hAnsi="Cambria"/>
          <w:sz w:val="20"/>
          <w:szCs w:val="20"/>
        </w:rPr>
        <w:t>ch circumstances, "[t]he way</w:t>
      </w:r>
      <w:r w:rsidR="00CC723D" w:rsidRPr="00B26051">
        <w:rPr>
          <w:rFonts w:ascii="Cambria" w:hAnsi="Cambria"/>
          <w:sz w:val="20"/>
          <w:szCs w:val="20"/>
        </w:rPr>
        <w:t xml:space="preserve"> a detainee is treated </w:t>
      </w:r>
      <w:r w:rsidR="005B7707" w:rsidRPr="00B26051">
        <w:rPr>
          <w:rFonts w:ascii="Cambria" w:hAnsi="Cambria"/>
          <w:sz w:val="20"/>
          <w:szCs w:val="20"/>
        </w:rPr>
        <w:t>must be subject to the closest</w:t>
      </w:r>
      <w:r w:rsidR="00CC723D" w:rsidRPr="00B26051">
        <w:rPr>
          <w:rFonts w:ascii="Cambria" w:hAnsi="Cambria"/>
          <w:sz w:val="20"/>
          <w:szCs w:val="20"/>
        </w:rPr>
        <w:t xml:space="preserve"> scrutiny, taking into account the </w:t>
      </w:r>
      <w:r w:rsidR="005B7707" w:rsidRPr="00B26051">
        <w:rPr>
          <w:rFonts w:ascii="Cambria" w:hAnsi="Cambria"/>
          <w:sz w:val="20"/>
          <w:szCs w:val="20"/>
        </w:rPr>
        <w:t>detainee’s vulnerability</w:t>
      </w:r>
      <w:r w:rsidR="00CC723D" w:rsidRPr="00B26051">
        <w:rPr>
          <w:rFonts w:ascii="Cambria" w:hAnsi="Cambria"/>
          <w:sz w:val="20"/>
          <w:szCs w:val="20"/>
        </w:rPr>
        <w:t>."</w:t>
      </w:r>
      <w:r w:rsidR="00CC723D" w:rsidRPr="00B26051">
        <w:rPr>
          <w:rStyle w:val="FootnoteReference"/>
          <w:rFonts w:ascii="Cambria" w:hAnsi="Cambria"/>
          <w:sz w:val="20"/>
          <w:szCs w:val="20"/>
        </w:rPr>
        <w:footnoteReference w:id="134"/>
      </w:r>
    </w:p>
    <w:p w14:paraId="3C5103D5" w14:textId="77777777" w:rsidR="00185D58" w:rsidRPr="00B26051" w:rsidRDefault="00185D58" w:rsidP="00185D58">
      <w:pPr>
        <w:tabs>
          <w:tab w:val="left" w:pos="720"/>
          <w:tab w:val="left" w:pos="1440"/>
        </w:tabs>
        <w:ind w:left="630"/>
        <w:jc w:val="both"/>
        <w:rPr>
          <w:rFonts w:ascii="Cambria" w:hAnsi="Cambria"/>
          <w:sz w:val="20"/>
          <w:szCs w:val="20"/>
        </w:rPr>
      </w:pPr>
    </w:p>
    <w:p w14:paraId="0B0CE24A" w14:textId="5C540215" w:rsidR="00185D58" w:rsidRPr="00B26051" w:rsidRDefault="00447CA4"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Therefore, "whenever a individual</w:t>
      </w:r>
      <w:r w:rsidR="00340E0A" w:rsidRPr="00B26051">
        <w:rPr>
          <w:rFonts w:ascii="Cambria" w:hAnsi="Cambria"/>
          <w:sz w:val="20"/>
          <w:szCs w:val="20"/>
        </w:rPr>
        <w:t xml:space="preserve"> is deprived of liberty in normal health and subsequently</w:t>
      </w:r>
      <w:r w:rsidRPr="00B26051">
        <w:rPr>
          <w:rFonts w:ascii="Cambria" w:hAnsi="Cambria"/>
          <w:sz w:val="20"/>
          <w:szCs w:val="20"/>
        </w:rPr>
        <w:t xml:space="preserve"> displays health problems</w:t>
      </w:r>
      <w:r w:rsidR="00340E0A" w:rsidRPr="00B26051">
        <w:rPr>
          <w:rFonts w:ascii="Cambria" w:hAnsi="Cambria"/>
          <w:sz w:val="20"/>
          <w:szCs w:val="20"/>
        </w:rPr>
        <w:t xml:space="preserve">, </w:t>
      </w:r>
      <w:r w:rsidRPr="00B26051">
        <w:rPr>
          <w:rFonts w:ascii="Cambria" w:hAnsi="Cambria"/>
          <w:sz w:val="20"/>
          <w:szCs w:val="20"/>
        </w:rPr>
        <w:t>the State must</w:t>
      </w:r>
      <w:r w:rsidR="00340E0A" w:rsidRPr="00B26051">
        <w:rPr>
          <w:rFonts w:ascii="Cambria" w:hAnsi="Cambria"/>
          <w:sz w:val="20"/>
          <w:szCs w:val="20"/>
        </w:rPr>
        <w:t xml:space="preserve"> provide a satisfactory and </w:t>
      </w:r>
      <w:r w:rsidRPr="00B26051">
        <w:rPr>
          <w:rFonts w:ascii="Cambria" w:hAnsi="Cambria"/>
          <w:sz w:val="20"/>
          <w:szCs w:val="20"/>
        </w:rPr>
        <w:t>credible</w:t>
      </w:r>
      <w:r w:rsidR="00340E0A" w:rsidRPr="00B26051">
        <w:rPr>
          <w:rFonts w:ascii="Cambria" w:hAnsi="Cambria"/>
          <w:sz w:val="20"/>
          <w:szCs w:val="20"/>
        </w:rPr>
        <w:t xml:space="preserve"> explanation </w:t>
      </w:r>
      <w:r w:rsidRPr="00B26051">
        <w:rPr>
          <w:rFonts w:ascii="Cambria" w:hAnsi="Cambria"/>
          <w:sz w:val="20"/>
          <w:szCs w:val="20"/>
        </w:rPr>
        <w:t>for this</w:t>
      </w:r>
      <w:r w:rsidR="00340E0A" w:rsidRPr="00B26051">
        <w:rPr>
          <w:rFonts w:ascii="Cambria" w:hAnsi="Cambria"/>
          <w:sz w:val="20"/>
          <w:szCs w:val="20"/>
        </w:rPr>
        <w:t xml:space="preserve"> situation and disprove the allegations </w:t>
      </w:r>
      <w:r w:rsidRPr="00B26051">
        <w:rPr>
          <w:rFonts w:ascii="Cambria" w:hAnsi="Cambria"/>
          <w:sz w:val="20"/>
          <w:szCs w:val="20"/>
        </w:rPr>
        <w:t>of</w:t>
      </w:r>
      <w:r w:rsidR="00340E0A" w:rsidRPr="00B26051">
        <w:rPr>
          <w:rFonts w:ascii="Cambria" w:hAnsi="Cambria"/>
          <w:sz w:val="20"/>
          <w:szCs w:val="20"/>
        </w:rPr>
        <w:t xml:space="preserve"> its responsibility</w:t>
      </w:r>
      <w:r w:rsidRPr="00B26051">
        <w:rPr>
          <w:rFonts w:ascii="Cambria" w:hAnsi="Cambria"/>
          <w:sz w:val="20"/>
          <w:szCs w:val="20"/>
        </w:rPr>
        <w:t xml:space="preserve"> with adequate probative elements.</w:t>
      </w:r>
      <w:r w:rsidR="00340E0A" w:rsidRPr="00B26051">
        <w:rPr>
          <w:rFonts w:ascii="Cambria" w:hAnsi="Cambria"/>
          <w:sz w:val="20"/>
          <w:szCs w:val="20"/>
        </w:rPr>
        <w:t>"</w:t>
      </w:r>
      <w:r w:rsidR="00B94A53" w:rsidRPr="00B26051">
        <w:rPr>
          <w:rStyle w:val="FootnoteReference"/>
          <w:rFonts w:ascii="Cambria" w:hAnsi="Cambria"/>
          <w:sz w:val="20"/>
          <w:szCs w:val="20"/>
        </w:rPr>
        <w:footnoteReference w:id="135"/>
      </w:r>
      <w:r w:rsidR="00340E0A" w:rsidRPr="00B26051">
        <w:rPr>
          <w:rFonts w:ascii="Cambria" w:hAnsi="Cambria"/>
          <w:sz w:val="20"/>
          <w:szCs w:val="20"/>
        </w:rPr>
        <w:t xml:space="preserve"> Accordingly, the absence of a satisfactory explanation lead</w:t>
      </w:r>
      <w:r w:rsidR="00F50A22">
        <w:rPr>
          <w:rFonts w:ascii="Cambria" w:hAnsi="Cambria"/>
          <w:sz w:val="20"/>
          <w:szCs w:val="20"/>
        </w:rPr>
        <w:t>s</w:t>
      </w:r>
      <w:r w:rsidR="00340E0A" w:rsidRPr="00B26051">
        <w:rPr>
          <w:rFonts w:ascii="Cambria" w:hAnsi="Cambria"/>
          <w:sz w:val="20"/>
          <w:szCs w:val="20"/>
        </w:rPr>
        <w:t xml:space="preserve"> to </w:t>
      </w:r>
      <w:r w:rsidR="00F50A22">
        <w:rPr>
          <w:rFonts w:ascii="Cambria" w:hAnsi="Cambria"/>
          <w:sz w:val="20"/>
          <w:szCs w:val="20"/>
        </w:rPr>
        <w:t>a</w:t>
      </w:r>
      <w:r w:rsidR="00340E0A" w:rsidRPr="00B26051">
        <w:rPr>
          <w:rFonts w:ascii="Cambria" w:hAnsi="Cambria"/>
          <w:sz w:val="20"/>
          <w:szCs w:val="20"/>
        </w:rPr>
        <w:t xml:space="preserve"> pre</w:t>
      </w:r>
      <w:r w:rsidRPr="00B26051">
        <w:rPr>
          <w:rFonts w:ascii="Cambria" w:hAnsi="Cambria"/>
          <w:sz w:val="20"/>
          <w:szCs w:val="20"/>
        </w:rPr>
        <w:t>sumption of s</w:t>
      </w:r>
      <w:r w:rsidR="00340E0A" w:rsidRPr="00B26051">
        <w:rPr>
          <w:rFonts w:ascii="Cambria" w:hAnsi="Cambria"/>
          <w:sz w:val="20"/>
          <w:szCs w:val="20"/>
        </w:rPr>
        <w:t xml:space="preserve">tate responsibility for the injuries </w:t>
      </w:r>
      <w:r w:rsidR="00F50A22">
        <w:rPr>
          <w:rFonts w:ascii="Cambria" w:hAnsi="Cambria"/>
          <w:sz w:val="20"/>
          <w:szCs w:val="20"/>
        </w:rPr>
        <w:t>of</w:t>
      </w:r>
      <w:r w:rsidR="00340E0A" w:rsidRPr="00B26051">
        <w:rPr>
          <w:rFonts w:ascii="Cambria" w:hAnsi="Cambria"/>
          <w:sz w:val="20"/>
          <w:szCs w:val="20"/>
        </w:rPr>
        <w:t xml:space="preserve"> a person who has been in the custody of state agents.</w:t>
      </w:r>
      <w:r w:rsidR="00B94A53" w:rsidRPr="00B26051">
        <w:rPr>
          <w:rStyle w:val="FootnoteReference"/>
          <w:rFonts w:ascii="Cambria" w:hAnsi="Cambria"/>
          <w:sz w:val="20"/>
          <w:szCs w:val="20"/>
        </w:rPr>
        <w:t xml:space="preserve"> </w:t>
      </w:r>
      <w:r w:rsidR="00B94A53" w:rsidRPr="00B26051">
        <w:rPr>
          <w:rStyle w:val="FootnoteReference"/>
          <w:rFonts w:ascii="Cambria" w:hAnsi="Cambria"/>
          <w:sz w:val="20"/>
          <w:szCs w:val="20"/>
        </w:rPr>
        <w:footnoteReference w:id="136"/>
      </w:r>
      <w:r w:rsidR="00340E0A" w:rsidRPr="00B26051">
        <w:rPr>
          <w:rFonts w:ascii="Cambria" w:hAnsi="Cambria"/>
          <w:sz w:val="20"/>
          <w:szCs w:val="20"/>
        </w:rPr>
        <w:t xml:space="preserve"> In addition, the State's guarantor status with respect to the right to life and personal integrity obliges it to prevent situations that could lead, by action</w:t>
      </w:r>
      <w:r w:rsidR="00FF274F" w:rsidRPr="00B26051">
        <w:rPr>
          <w:rFonts w:ascii="Cambria" w:hAnsi="Cambria"/>
          <w:sz w:val="20"/>
          <w:szCs w:val="20"/>
        </w:rPr>
        <w:t xml:space="preserve"> or omission, to </w:t>
      </w:r>
      <w:r w:rsidR="006C2EF3">
        <w:rPr>
          <w:rFonts w:ascii="Cambria" w:hAnsi="Cambria"/>
          <w:sz w:val="20"/>
          <w:szCs w:val="20"/>
        </w:rPr>
        <w:t>an impact on the person under its custody.</w:t>
      </w:r>
      <w:r w:rsidR="00F50A22">
        <w:rPr>
          <w:rStyle w:val="FootnoteReference"/>
          <w:rFonts w:ascii="Cambria" w:hAnsi="Cambria"/>
          <w:sz w:val="20"/>
          <w:szCs w:val="20"/>
        </w:rPr>
        <w:footnoteReference w:id="137"/>
      </w:r>
    </w:p>
    <w:p w14:paraId="0851F78B" w14:textId="77777777" w:rsidR="00185D58" w:rsidRPr="00B26051" w:rsidRDefault="00185D58" w:rsidP="00185D5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4B924DFC" w14:textId="55C5BD9B" w:rsidR="00185D58" w:rsidRPr="00B26051" w:rsidRDefault="00A65340"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In addition to the above, "[i]</w:t>
      </w:r>
      <w:r w:rsidR="004935DA" w:rsidRPr="00B26051">
        <w:rPr>
          <w:rFonts w:ascii="Cambria" w:hAnsi="Cambria"/>
          <w:sz w:val="20"/>
          <w:szCs w:val="20"/>
        </w:rPr>
        <w:t>n matter</w:t>
      </w:r>
      <w:r w:rsidRPr="00B26051">
        <w:rPr>
          <w:rFonts w:ascii="Cambria" w:hAnsi="Cambria"/>
          <w:sz w:val="20"/>
          <w:szCs w:val="20"/>
        </w:rPr>
        <w:t>s</w:t>
      </w:r>
      <w:r w:rsidR="004935DA" w:rsidRPr="00B26051">
        <w:rPr>
          <w:rFonts w:ascii="Cambria" w:hAnsi="Cambria"/>
          <w:sz w:val="20"/>
          <w:szCs w:val="20"/>
        </w:rPr>
        <w:t xml:space="preserve"> of the right to life, when the State is </w:t>
      </w:r>
      <w:r w:rsidRPr="00B26051">
        <w:rPr>
          <w:rFonts w:ascii="Cambria" w:hAnsi="Cambria"/>
          <w:sz w:val="20"/>
          <w:szCs w:val="20"/>
        </w:rPr>
        <w:t>dealing with</w:t>
      </w:r>
      <w:r w:rsidR="004935DA" w:rsidRPr="00B26051">
        <w:rPr>
          <w:rFonts w:ascii="Cambria" w:hAnsi="Cambria"/>
          <w:sz w:val="20"/>
          <w:szCs w:val="20"/>
        </w:rPr>
        <w:t xml:space="preserve"> children deprived of their l</w:t>
      </w:r>
      <w:r w:rsidR="006C2EF3">
        <w:rPr>
          <w:rFonts w:ascii="Cambria" w:hAnsi="Cambria"/>
          <w:sz w:val="20"/>
          <w:szCs w:val="20"/>
        </w:rPr>
        <w:t xml:space="preserve">iberty", as in the present case, given that it took place in </w:t>
      </w:r>
      <w:r w:rsidR="004935DA" w:rsidRPr="00B26051">
        <w:rPr>
          <w:rFonts w:ascii="Cambria" w:hAnsi="Cambria"/>
          <w:sz w:val="20"/>
          <w:szCs w:val="20"/>
        </w:rPr>
        <w:t xml:space="preserve">a center for adolescents and that the </w:t>
      </w:r>
      <w:r w:rsidRPr="00B26051">
        <w:rPr>
          <w:rFonts w:ascii="Cambria" w:hAnsi="Cambria"/>
          <w:sz w:val="20"/>
          <w:szCs w:val="20"/>
        </w:rPr>
        <w:t xml:space="preserve">alleged victims </w:t>
      </w:r>
      <w:r w:rsidR="00785C4B" w:rsidRPr="00B26051">
        <w:rPr>
          <w:rFonts w:ascii="Cambria" w:hAnsi="Cambria"/>
          <w:sz w:val="20"/>
          <w:szCs w:val="20"/>
        </w:rPr>
        <w:t xml:space="preserve">were admitted </w:t>
      </w:r>
      <w:r w:rsidR="006C2EF3">
        <w:rPr>
          <w:rFonts w:ascii="Cambria" w:hAnsi="Cambria"/>
          <w:sz w:val="20"/>
          <w:szCs w:val="20"/>
        </w:rPr>
        <w:t>to the center</w:t>
      </w:r>
      <w:r w:rsidR="004935DA" w:rsidRPr="00B26051">
        <w:rPr>
          <w:rFonts w:ascii="Cambria" w:hAnsi="Cambria"/>
          <w:sz w:val="20"/>
          <w:szCs w:val="20"/>
        </w:rPr>
        <w:t xml:space="preserve"> when they were under 1</w:t>
      </w:r>
      <w:r w:rsidRPr="00B26051">
        <w:rPr>
          <w:rFonts w:ascii="Cambria" w:hAnsi="Cambria"/>
          <w:sz w:val="20"/>
          <w:szCs w:val="20"/>
        </w:rPr>
        <w:t>8 years of age,</w:t>
      </w:r>
      <w:r w:rsidR="00A05604">
        <w:rPr>
          <w:rFonts w:ascii="Cambria" w:hAnsi="Cambria"/>
          <w:sz w:val="20"/>
          <w:szCs w:val="20"/>
        </w:rPr>
        <w:t xml:space="preserve"> the State</w:t>
      </w:r>
      <w:r w:rsidRPr="00B26051">
        <w:rPr>
          <w:rFonts w:ascii="Cambria" w:hAnsi="Cambria"/>
          <w:sz w:val="20"/>
          <w:szCs w:val="20"/>
        </w:rPr>
        <w:t xml:space="preserve"> must "assume its</w:t>
      </w:r>
      <w:r w:rsidR="004935DA" w:rsidRPr="00B26051">
        <w:rPr>
          <w:rFonts w:ascii="Cambria" w:hAnsi="Cambria"/>
          <w:sz w:val="20"/>
          <w:szCs w:val="20"/>
        </w:rPr>
        <w:t xml:space="preserve"> special position of guarantor with greater care and responsibility, and must take special measures based on the principle of the best interests of the child.”</w:t>
      </w:r>
      <w:r w:rsidR="004935DA" w:rsidRPr="00B26051">
        <w:rPr>
          <w:rStyle w:val="FootnoteReference"/>
          <w:rFonts w:ascii="Cambria" w:hAnsi="Cambria"/>
          <w:sz w:val="20"/>
          <w:szCs w:val="20"/>
        </w:rPr>
        <w:t xml:space="preserve"> </w:t>
      </w:r>
      <w:r w:rsidR="00F50A22">
        <w:rPr>
          <w:rStyle w:val="FootnoteReference"/>
          <w:rFonts w:ascii="Cambria" w:hAnsi="Cambria"/>
          <w:sz w:val="20"/>
          <w:szCs w:val="20"/>
        </w:rPr>
        <w:footnoteReference w:id="138"/>
      </w:r>
    </w:p>
    <w:bookmarkEnd w:id="1"/>
    <w:p w14:paraId="46C6A91E" w14:textId="77777777" w:rsidR="00185D58" w:rsidRPr="00B26051" w:rsidRDefault="00185D58" w:rsidP="00185D58">
      <w:pPr>
        <w:pStyle w:val="ListParagraph"/>
        <w:ind w:left="0"/>
        <w:jc w:val="both"/>
        <w:rPr>
          <w:b/>
          <w:color w:val="auto"/>
          <w:sz w:val="20"/>
          <w:szCs w:val="20"/>
        </w:rPr>
      </w:pPr>
    </w:p>
    <w:p w14:paraId="4E52C54E" w14:textId="343DC178" w:rsidR="00185D58" w:rsidRPr="00B26051" w:rsidRDefault="004935DA" w:rsidP="007F4FA0">
      <w:pPr>
        <w:pStyle w:val="ListParagraph"/>
        <w:numPr>
          <w:ilvl w:val="0"/>
          <w:numId w:val="68"/>
        </w:numPr>
        <w:ind w:left="1440" w:hanging="720"/>
        <w:jc w:val="both"/>
        <w:rPr>
          <w:b/>
          <w:color w:val="auto"/>
          <w:sz w:val="20"/>
          <w:szCs w:val="20"/>
        </w:rPr>
      </w:pPr>
      <w:r w:rsidRPr="00B26051">
        <w:rPr>
          <w:b/>
          <w:color w:val="auto"/>
          <w:sz w:val="20"/>
          <w:szCs w:val="20"/>
        </w:rPr>
        <w:t xml:space="preserve">General </w:t>
      </w:r>
      <w:r w:rsidR="00004B15">
        <w:rPr>
          <w:b/>
          <w:color w:val="auto"/>
          <w:sz w:val="20"/>
          <w:szCs w:val="20"/>
        </w:rPr>
        <w:t>c</w:t>
      </w:r>
      <w:r w:rsidRPr="00B26051">
        <w:rPr>
          <w:b/>
          <w:color w:val="auto"/>
          <w:sz w:val="20"/>
          <w:szCs w:val="20"/>
        </w:rPr>
        <w:t xml:space="preserve">onsiderations relating to </w:t>
      </w:r>
      <w:r w:rsidR="00004B15">
        <w:rPr>
          <w:b/>
          <w:color w:val="auto"/>
          <w:sz w:val="20"/>
          <w:szCs w:val="20"/>
        </w:rPr>
        <w:t>prison c</w:t>
      </w:r>
      <w:r w:rsidRPr="00B26051">
        <w:rPr>
          <w:b/>
          <w:color w:val="auto"/>
          <w:sz w:val="20"/>
          <w:szCs w:val="20"/>
        </w:rPr>
        <w:t>onditions</w:t>
      </w:r>
    </w:p>
    <w:p w14:paraId="58682045" w14:textId="77777777" w:rsidR="00185D58" w:rsidRPr="00B26051" w:rsidRDefault="00185D58" w:rsidP="00185D58">
      <w:pPr>
        <w:jc w:val="both"/>
        <w:rPr>
          <w:rFonts w:ascii="Cambria" w:hAnsi="Cambria"/>
          <w:b/>
          <w:sz w:val="20"/>
          <w:szCs w:val="20"/>
        </w:rPr>
      </w:pPr>
    </w:p>
    <w:p w14:paraId="2DAAD63A" w14:textId="2542AAA7" w:rsidR="00185D58" w:rsidRPr="00B26051" w:rsidRDefault="004935DA"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 xml:space="preserve">As a guarantor of the rights of persons deprived of liberty, the State must assume a </w:t>
      </w:r>
      <w:r w:rsidR="008F4245" w:rsidRPr="00B26051">
        <w:rPr>
          <w:rFonts w:ascii="Cambria" w:hAnsi="Cambria"/>
          <w:sz w:val="20"/>
          <w:szCs w:val="20"/>
        </w:rPr>
        <w:t xml:space="preserve">specific series of </w:t>
      </w:r>
      <w:r w:rsidRPr="00B26051">
        <w:rPr>
          <w:rFonts w:ascii="Cambria" w:hAnsi="Cambria"/>
          <w:sz w:val="20"/>
          <w:szCs w:val="20"/>
        </w:rPr>
        <w:t xml:space="preserve">responsibilities and take special initiatives to guarantee </w:t>
      </w:r>
      <w:r w:rsidR="008F4245" w:rsidRPr="00B26051">
        <w:rPr>
          <w:rFonts w:ascii="Cambria" w:hAnsi="Cambria"/>
          <w:sz w:val="20"/>
          <w:szCs w:val="20"/>
        </w:rPr>
        <w:t>tha</w:t>
      </w:r>
      <w:r w:rsidR="00785C4B" w:rsidRPr="00B26051">
        <w:rPr>
          <w:rFonts w:ascii="Cambria" w:hAnsi="Cambria"/>
          <w:sz w:val="20"/>
          <w:szCs w:val="20"/>
        </w:rPr>
        <w:t>t</w:t>
      </w:r>
      <w:r w:rsidR="008F4245" w:rsidRPr="00B26051">
        <w:rPr>
          <w:rFonts w:ascii="Cambria" w:hAnsi="Cambria"/>
          <w:sz w:val="20"/>
          <w:szCs w:val="20"/>
        </w:rPr>
        <w:t xml:space="preserve"> </w:t>
      </w:r>
      <w:r w:rsidRPr="00B26051">
        <w:rPr>
          <w:rFonts w:ascii="Cambria" w:hAnsi="Cambria"/>
          <w:sz w:val="20"/>
          <w:szCs w:val="20"/>
        </w:rPr>
        <w:t xml:space="preserve">inmates </w:t>
      </w:r>
      <w:r w:rsidR="008F4245" w:rsidRPr="00B26051">
        <w:rPr>
          <w:rFonts w:ascii="Cambria" w:hAnsi="Cambria"/>
          <w:sz w:val="20"/>
          <w:szCs w:val="20"/>
        </w:rPr>
        <w:t xml:space="preserve">have </w:t>
      </w:r>
      <w:r w:rsidRPr="00B26051">
        <w:rPr>
          <w:rFonts w:ascii="Cambria" w:hAnsi="Cambria"/>
          <w:sz w:val="20"/>
          <w:szCs w:val="20"/>
        </w:rPr>
        <w:t xml:space="preserve">the necessary conditions to </w:t>
      </w:r>
      <w:r w:rsidR="008F4245" w:rsidRPr="00B26051">
        <w:rPr>
          <w:rFonts w:ascii="Cambria" w:hAnsi="Cambria"/>
          <w:sz w:val="20"/>
          <w:szCs w:val="20"/>
        </w:rPr>
        <w:t>lead a decent</w:t>
      </w:r>
      <w:r w:rsidRPr="00B26051">
        <w:rPr>
          <w:rFonts w:ascii="Cambria" w:hAnsi="Cambria"/>
          <w:sz w:val="20"/>
          <w:szCs w:val="20"/>
        </w:rPr>
        <w:t xml:space="preserve"> life and contribute to the effective enjoyment of those rights that under no circumstances can be restricted or </w:t>
      </w:r>
      <w:r w:rsidR="008F4245" w:rsidRPr="00B26051">
        <w:rPr>
          <w:rFonts w:ascii="Cambria" w:hAnsi="Cambria"/>
          <w:sz w:val="20"/>
          <w:szCs w:val="20"/>
        </w:rPr>
        <w:t>whose</w:t>
      </w:r>
      <w:r w:rsidRPr="00B26051">
        <w:rPr>
          <w:rFonts w:ascii="Cambria" w:hAnsi="Cambria"/>
          <w:sz w:val="20"/>
          <w:szCs w:val="20"/>
        </w:rPr>
        <w:t xml:space="preserve"> restriction does not necessarily derive from the deprivation of liberty,</w:t>
      </w:r>
      <w:r w:rsidRPr="00B26051">
        <w:rPr>
          <w:rStyle w:val="FootnoteReference"/>
          <w:rFonts w:ascii="Cambria" w:hAnsi="Cambria"/>
          <w:sz w:val="20"/>
          <w:szCs w:val="20"/>
        </w:rPr>
        <w:footnoteReference w:id="139"/>
      </w:r>
      <w:r w:rsidRPr="00B26051">
        <w:rPr>
          <w:rFonts w:ascii="Cambria" w:hAnsi="Cambria"/>
          <w:sz w:val="20"/>
          <w:szCs w:val="20"/>
        </w:rPr>
        <w:t xml:space="preserve"> such as the right to life and personal integrity. Protecting the lives of children deprived of their liberty entails broader obligations: "it requires the State to be particularly </w:t>
      </w:r>
      <w:r w:rsidR="008F4245" w:rsidRPr="00B26051">
        <w:rPr>
          <w:rFonts w:ascii="Cambria" w:hAnsi="Cambria"/>
          <w:sz w:val="20"/>
          <w:szCs w:val="20"/>
        </w:rPr>
        <w:t>attentive to that child’s living conditions while deprived of his or her liberty.”</w:t>
      </w:r>
      <w:r w:rsidRPr="00B26051">
        <w:rPr>
          <w:rStyle w:val="FootnoteReference"/>
          <w:rFonts w:ascii="Cambria" w:hAnsi="Cambria"/>
          <w:sz w:val="20"/>
          <w:szCs w:val="20"/>
        </w:rPr>
        <w:footnoteReference w:id="140"/>
      </w:r>
      <w:r w:rsidRPr="00B26051">
        <w:rPr>
          <w:rFonts w:ascii="Cambria" w:hAnsi="Cambria"/>
          <w:sz w:val="20"/>
          <w:szCs w:val="20"/>
        </w:rPr>
        <w:t xml:space="preserve"> In this sense, the State has the obligation to provide </w:t>
      </w:r>
      <w:r w:rsidR="00A05604">
        <w:rPr>
          <w:rFonts w:ascii="Cambria" w:hAnsi="Cambria"/>
          <w:sz w:val="20"/>
          <w:szCs w:val="20"/>
        </w:rPr>
        <w:t>them</w:t>
      </w:r>
      <w:r w:rsidRPr="00B26051">
        <w:rPr>
          <w:rFonts w:ascii="Cambria" w:hAnsi="Cambria"/>
          <w:sz w:val="20"/>
          <w:szCs w:val="20"/>
        </w:rPr>
        <w:t xml:space="preserve"> with health care and education, to ensure that detention will</w:t>
      </w:r>
      <w:r w:rsidR="008F4245" w:rsidRPr="00B26051">
        <w:rPr>
          <w:rFonts w:ascii="Cambria" w:hAnsi="Cambria"/>
          <w:sz w:val="20"/>
          <w:szCs w:val="20"/>
        </w:rPr>
        <w:t xml:space="preserve"> not destroy their life plans</w:t>
      </w:r>
      <w:r w:rsidRPr="00B26051">
        <w:rPr>
          <w:rFonts w:ascii="Cambria" w:hAnsi="Cambria"/>
          <w:sz w:val="20"/>
          <w:szCs w:val="20"/>
        </w:rPr>
        <w:t>.</w:t>
      </w:r>
      <w:r w:rsidRPr="00B26051">
        <w:rPr>
          <w:rStyle w:val="FootnoteReference"/>
          <w:rFonts w:ascii="Cambria" w:hAnsi="Cambria"/>
          <w:sz w:val="20"/>
          <w:szCs w:val="20"/>
        </w:rPr>
        <w:t xml:space="preserve"> </w:t>
      </w:r>
      <w:r w:rsidRPr="00B26051">
        <w:rPr>
          <w:rStyle w:val="FootnoteReference"/>
          <w:rFonts w:ascii="Cambria" w:hAnsi="Cambria"/>
          <w:sz w:val="20"/>
          <w:szCs w:val="20"/>
        </w:rPr>
        <w:footnoteReference w:id="141"/>
      </w:r>
      <w:r w:rsidRPr="00B26051">
        <w:rPr>
          <w:rFonts w:ascii="Cambria" w:hAnsi="Cambria"/>
          <w:sz w:val="20"/>
          <w:szCs w:val="20"/>
        </w:rPr>
        <w:t xml:space="preserve"> Likewise, the Court has considered, in line with the United Nations, that children deprived of</w:t>
      </w:r>
      <w:r w:rsidR="008F4245" w:rsidRPr="00B26051">
        <w:rPr>
          <w:rFonts w:ascii="Cambria" w:hAnsi="Cambria"/>
          <w:sz w:val="20"/>
          <w:szCs w:val="20"/>
        </w:rPr>
        <w:t xml:space="preserve"> their liberty "will receive</w:t>
      </w:r>
      <w:r w:rsidRPr="00B26051">
        <w:rPr>
          <w:rFonts w:ascii="Cambria" w:hAnsi="Cambria"/>
          <w:sz w:val="20"/>
          <w:szCs w:val="20"/>
        </w:rPr>
        <w:t xml:space="preserve"> care, protection and all necessary assistance - social, educational, </w:t>
      </w:r>
      <w:r w:rsidR="008F4245" w:rsidRPr="00B26051">
        <w:rPr>
          <w:rFonts w:ascii="Cambria" w:hAnsi="Cambria"/>
          <w:sz w:val="20"/>
          <w:szCs w:val="20"/>
        </w:rPr>
        <w:t>vocational</w:t>
      </w:r>
      <w:r w:rsidRPr="00B26051">
        <w:rPr>
          <w:rFonts w:ascii="Cambria" w:hAnsi="Cambria"/>
          <w:sz w:val="20"/>
          <w:szCs w:val="20"/>
        </w:rPr>
        <w:t xml:space="preserve">, psychological, medical and physical - that they may </w:t>
      </w:r>
      <w:r w:rsidRPr="00B26051">
        <w:rPr>
          <w:rFonts w:ascii="Cambria" w:hAnsi="Cambria"/>
          <w:sz w:val="20"/>
          <w:szCs w:val="20"/>
        </w:rPr>
        <w:lastRenderedPageBreak/>
        <w:t xml:space="preserve">require </w:t>
      </w:r>
      <w:r w:rsidR="008F4245" w:rsidRPr="00B26051">
        <w:rPr>
          <w:rFonts w:ascii="Cambria" w:hAnsi="Cambria"/>
          <w:sz w:val="20"/>
          <w:szCs w:val="20"/>
        </w:rPr>
        <w:t>because of</w:t>
      </w:r>
      <w:r w:rsidRPr="00B26051">
        <w:rPr>
          <w:rFonts w:ascii="Cambria" w:hAnsi="Cambria"/>
          <w:sz w:val="20"/>
          <w:szCs w:val="20"/>
        </w:rPr>
        <w:t xml:space="preserve"> their age, sex and personality and in the interest</w:t>
      </w:r>
      <w:r w:rsidR="008F4245" w:rsidRPr="00B26051">
        <w:rPr>
          <w:rFonts w:ascii="Cambria" w:hAnsi="Cambria"/>
          <w:sz w:val="20"/>
          <w:szCs w:val="20"/>
        </w:rPr>
        <w:t>s</w:t>
      </w:r>
      <w:r w:rsidRPr="00B26051">
        <w:rPr>
          <w:rFonts w:ascii="Cambria" w:hAnsi="Cambria"/>
          <w:sz w:val="20"/>
          <w:szCs w:val="20"/>
        </w:rPr>
        <w:t xml:space="preserve"> of their </w:t>
      </w:r>
      <w:r w:rsidR="006C2EF3">
        <w:rPr>
          <w:rFonts w:ascii="Cambria" w:hAnsi="Cambria"/>
          <w:sz w:val="20"/>
          <w:szCs w:val="20"/>
        </w:rPr>
        <w:t>healthy</w:t>
      </w:r>
      <w:r w:rsidR="008F4245" w:rsidRPr="00B26051">
        <w:rPr>
          <w:rFonts w:ascii="Cambria" w:hAnsi="Cambria"/>
          <w:sz w:val="20"/>
          <w:szCs w:val="20"/>
        </w:rPr>
        <w:t xml:space="preserve"> development</w:t>
      </w:r>
      <w:r w:rsidRPr="00B26051">
        <w:rPr>
          <w:rFonts w:ascii="Cambria" w:hAnsi="Cambria"/>
          <w:sz w:val="20"/>
          <w:szCs w:val="20"/>
        </w:rPr>
        <w:t>".</w:t>
      </w:r>
      <w:r w:rsidRPr="00B26051">
        <w:rPr>
          <w:rStyle w:val="FootnoteReference"/>
          <w:rFonts w:ascii="Cambria" w:hAnsi="Cambria"/>
          <w:sz w:val="20"/>
          <w:szCs w:val="20"/>
        </w:rPr>
        <w:footnoteReference w:id="142"/>
      </w:r>
      <w:r w:rsidRPr="00B26051">
        <w:rPr>
          <w:rFonts w:ascii="Cambria" w:hAnsi="Cambria"/>
          <w:sz w:val="20"/>
          <w:szCs w:val="20"/>
        </w:rPr>
        <w:t xml:space="preserve"> All these would be, therefore, c</w:t>
      </w:r>
      <w:r w:rsidR="008F4245" w:rsidRPr="00B26051">
        <w:rPr>
          <w:rFonts w:ascii="Cambria" w:hAnsi="Cambria"/>
          <w:sz w:val="20"/>
          <w:szCs w:val="20"/>
        </w:rPr>
        <w:t>onditions that should be guaranteed</w:t>
      </w:r>
      <w:r w:rsidRPr="00B26051">
        <w:rPr>
          <w:rFonts w:ascii="Cambria" w:hAnsi="Cambria"/>
          <w:sz w:val="20"/>
          <w:szCs w:val="20"/>
        </w:rPr>
        <w:t xml:space="preserve"> within </w:t>
      </w:r>
      <w:r w:rsidR="008F4245" w:rsidRPr="00B26051">
        <w:rPr>
          <w:rFonts w:ascii="Cambria" w:hAnsi="Cambria"/>
          <w:sz w:val="20"/>
          <w:szCs w:val="20"/>
        </w:rPr>
        <w:t>adolescent centers</w:t>
      </w:r>
      <w:r w:rsidRPr="00B26051">
        <w:rPr>
          <w:rFonts w:ascii="Cambria" w:hAnsi="Cambria"/>
          <w:sz w:val="20"/>
          <w:szCs w:val="20"/>
        </w:rPr>
        <w:t xml:space="preserve"> such as </w:t>
      </w:r>
      <w:r w:rsidR="008F4245" w:rsidRPr="00B26051">
        <w:rPr>
          <w:rFonts w:ascii="Cambria" w:hAnsi="Cambria"/>
          <w:sz w:val="20"/>
          <w:szCs w:val="20"/>
        </w:rPr>
        <w:t xml:space="preserve">the </w:t>
      </w:r>
      <w:r w:rsidRPr="00B26051">
        <w:rPr>
          <w:rFonts w:ascii="Cambria" w:hAnsi="Cambria"/>
          <w:sz w:val="20"/>
          <w:szCs w:val="20"/>
        </w:rPr>
        <w:t xml:space="preserve">INAM-San </w:t>
      </w:r>
      <w:r w:rsidR="002033A9" w:rsidRPr="00B26051">
        <w:rPr>
          <w:rFonts w:ascii="Cambria" w:hAnsi="Cambria"/>
          <w:sz w:val="20"/>
          <w:szCs w:val="20"/>
        </w:rPr>
        <w:t>Félix</w:t>
      </w:r>
      <w:r w:rsidR="008F4245" w:rsidRPr="00B26051">
        <w:rPr>
          <w:rFonts w:ascii="Cambria" w:hAnsi="Cambria"/>
          <w:sz w:val="20"/>
          <w:szCs w:val="20"/>
        </w:rPr>
        <w:t>.</w:t>
      </w:r>
    </w:p>
    <w:p w14:paraId="0DE93CC6" w14:textId="77777777" w:rsidR="00185D58" w:rsidRPr="00B26051" w:rsidRDefault="00185D58" w:rsidP="00185D58">
      <w:pPr>
        <w:tabs>
          <w:tab w:val="left" w:pos="720"/>
          <w:tab w:val="left" w:pos="1440"/>
        </w:tabs>
        <w:jc w:val="both"/>
        <w:rPr>
          <w:rFonts w:ascii="Cambria" w:hAnsi="Cambria"/>
          <w:sz w:val="20"/>
          <w:szCs w:val="20"/>
        </w:rPr>
      </w:pPr>
    </w:p>
    <w:p w14:paraId="47CD3944" w14:textId="3926E309" w:rsidR="00185D58" w:rsidRPr="00B26051" w:rsidRDefault="004935DA"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In order to fulfill its duty of prevention with respect to possible violations of the rights to life and to personal integri</w:t>
      </w:r>
      <w:r w:rsidR="00DA30D3" w:rsidRPr="00B26051">
        <w:rPr>
          <w:rFonts w:ascii="Cambria" w:hAnsi="Cambria"/>
          <w:sz w:val="20"/>
          <w:szCs w:val="20"/>
        </w:rPr>
        <w:t>ty, the State "must design and enforce</w:t>
      </w:r>
      <w:r w:rsidRPr="00B26051">
        <w:rPr>
          <w:rFonts w:ascii="Cambria" w:hAnsi="Cambria"/>
          <w:sz w:val="20"/>
          <w:szCs w:val="20"/>
        </w:rPr>
        <w:t xml:space="preserve"> </w:t>
      </w:r>
      <w:r w:rsidR="00DA30D3" w:rsidRPr="00B26051">
        <w:rPr>
          <w:rFonts w:ascii="Cambria" w:hAnsi="Cambria"/>
          <w:sz w:val="20"/>
          <w:szCs w:val="20"/>
        </w:rPr>
        <w:t>prison policies intended to prevent crisis situations.</w:t>
      </w:r>
      <w:r w:rsidRPr="00B26051">
        <w:rPr>
          <w:rFonts w:ascii="Cambria" w:hAnsi="Cambria"/>
          <w:sz w:val="20"/>
          <w:szCs w:val="20"/>
        </w:rPr>
        <w:t>"</w:t>
      </w:r>
      <w:r w:rsidRPr="00B26051">
        <w:rPr>
          <w:rFonts w:ascii="Cambria" w:hAnsi="Cambria"/>
          <w:sz w:val="20"/>
          <w:szCs w:val="20"/>
          <w:vertAlign w:val="superscript"/>
        </w:rPr>
        <w:t xml:space="preserve"> </w:t>
      </w:r>
      <w:r w:rsidRPr="00B26051">
        <w:rPr>
          <w:rFonts w:ascii="Cambria" w:hAnsi="Cambria"/>
          <w:sz w:val="20"/>
          <w:szCs w:val="20"/>
          <w:vertAlign w:val="superscript"/>
        </w:rPr>
        <w:footnoteReference w:id="143"/>
      </w:r>
      <w:r w:rsidRPr="00B26051">
        <w:rPr>
          <w:rFonts w:ascii="Cambria" w:hAnsi="Cambria"/>
          <w:sz w:val="20"/>
          <w:szCs w:val="20"/>
        </w:rPr>
        <w:t xml:space="preserve"> Among others, the Inter-American Court has considered that "the State [has] the duty to create the conditions to avoid</w:t>
      </w:r>
      <w:r w:rsidR="00767075" w:rsidRPr="00B26051">
        <w:rPr>
          <w:rFonts w:ascii="Cambria" w:hAnsi="Cambria"/>
          <w:sz w:val="20"/>
          <w:szCs w:val="20"/>
        </w:rPr>
        <w:t>, to</w:t>
      </w:r>
      <w:r w:rsidRPr="00B26051">
        <w:rPr>
          <w:rFonts w:ascii="Cambria" w:hAnsi="Cambria"/>
          <w:sz w:val="20"/>
          <w:szCs w:val="20"/>
        </w:rPr>
        <w:t xml:space="preserve"> the maximum </w:t>
      </w:r>
      <w:r w:rsidR="00767075" w:rsidRPr="00B26051">
        <w:rPr>
          <w:rFonts w:ascii="Cambria" w:hAnsi="Cambria"/>
          <w:sz w:val="20"/>
          <w:szCs w:val="20"/>
        </w:rPr>
        <w:t xml:space="preserve">extent possible, fighting among </w:t>
      </w:r>
      <w:r w:rsidRPr="00B26051">
        <w:rPr>
          <w:rFonts w:ascii="Cambria" w:hAnsi="Cambria"/>
          <w:sz w:val="20"/>
          <w:szCs w:val="20"/>
        </w:rPr>
        <w:t>inmates".</w:t>
      </w:r>
      <w:r w:rsidRPr="00B26051">
        <w:rPr>
          <w:rStyle w:val="FootnoteReference"/>
          <w:rFonts w:ascii="Cambria" w:hAnsi="Cambria"/>
          <w:sz w:val="20"/>
          <w:szCs w:val="20"/>
        </w:rPr>
        <w:footnoteReference w:id="144"/>
      </w:r>
    </w:p>
    <w:p w14:paraId="271ACE88" w14:textId="77777777" w:rsidR="00185D58" w:rsidRPr="00B26051" w:rsidRDefault="00185D58" w:rsidP="00185D58">
      <w:pPr>
        <w:pStyle w:val="ListParagraph"/>
        <w:rPr>
          <w:color w:val="auto"/>
          <w:sz w:val="20"/>
          <w:szCs w:val="20"/>
        </w:rPr>
      </w:pPr>
    </w:p>
    <w:p w14:paraId="4A71EF4D" w14:textId="0999A030" w:rsidR="00185D58" w:rsidRPr="00B26051" w:rsidRDefault="000D5CE6"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 xml:space="preserve">In addition, the Commission has considered that the State must "[adopt] concrete measures to prevent and </w:t>
      </w:r>
      <w:r w:rsidR="007A3EE8" w:rsidRPr="00B26051">
        <w:rPr>
          <w:rFonts w:ascii="Cambria" w:hAnsi="Cambria"/>
          <w:sz w:val="20"/>
          <w:szCs w:val="20"/>
        </w:rPr>
        <w:t>react to emergencies</w:t>
      </w:r>
      <w:r w:rsidRPr="00B26051">
        <w:rPr>
          <w:rFonts w:ascii="Cambria" w:hAnsi="Cambria"/>
          <w:sz w:val="20"/>
          <w:szCs w:val="20"/>
        </w:rPr>
        <w:t xml:space="preserve"> </w:t>
      </w:r>
      <w:r w:rsidR="007A3EE8" w:rsidRPr="00B26051">
        <w:rPr>
          <w:rFonts w:ascii="Cambria" w:hAnsi="Cambria"/>
          <w:sz w:val="20"/>
          <w:szCs w:val="20"/>
        </w:rPr>
        <w:t>like</w:t>
      </w:r>
      <w:r w:rsidRPr="00B26051">
        <w:rPr>
          <w:rFonts w:ascii="Cambria" w:hAnsi="Cambria"/>
          <w:sz w:val="20"/>
          <w:szCs w:val="20"/>
        </w:rPr>
        <w:t xml:space="preserve"> fires [...] ensuring that prisons have early warning </w:t>
      </w:r>
      <w:r w:rsidR="007A3EE8" w:rsidRPr="00B26051">
        <w:rPr>
          <w:rFonts w:ascii="Cambria" w:hAnsi="Cambria"/>
          <w:sz w:val="20"/>
          <w:szCs w:val="20"/>
        </w:rPr>
        <w:t>systems</w:t>
      </w:r>
      <w:r w:rsidRPr="00B26051">
        <w:rPr>
          <w:rFonts w:ascii="Cambria" w:hAnsi="Cambria"/>
          <w:sz w:val="20"/>
          <w:szCs w:val="20"/>
        </w:rPr>
        <w:t xml:space="preserve"> to detect </w:t>
      </w:r>
      <w:r w:rsidR="007A3EE8" w:rsidRPr="00B26051">
        <w:rPr>
          <w:rFonts w:ascii="Cambria" w:hAnsi="Cambria"/>
          <w:sz w:val="20"/>
          <w:szCs w:val="20"/>
        </w:rPr>
        <w:t xml:space="preserve">threats and proper </w:t>
      </w:r>
      <w:r w:rsidRPr="00B26051">
        <w:rPr>
          <w:rFonts w:ascii="Cambria" w:hAnsi="Cambria"/>
          <w:sz w:val="20"/>
          <w:szCs w:val="20"/>
        </w:rPr>
        <w:t xml:space="preserve">equipment to </w:t>
      </w:r>
      <w:r w:rsidR="007A3EE8" w:rsidRPr="00B26051">
        <w:rPr>
          <w:rFonts w:ascii="Cambria" w:hAnsi="Cambria"/>
          <w:sz w:val="20"/>
          <w:szCs w:val="20"/>
        </w:rPr>
        <w:t>react to</w:t>
      </w:r>
      <w:r w:rsidR="00B03C46" w:rsidRPr="00B26051">
        <w:rPr>
          <w:rFonts w:ascii="Cambria" w:hAnsi="Cambria"/>
          <w:sz w:val="20"/>
          <w:szCs w:val="20"/>
        </w:rPr>
        <w:t xml:space="preserve"> emergencies [and] train prison </w:t>
      </w:r>
      <w:r w:rsidRPr="00B26051">
        <w:rPr>
          <w:rFonts w:ascii="Cambria" w:hAnsi="Cambria"/>
          <w:sz w:val="20"/>
          <w:szCs w:val="20"/>
        </w:rPr>
        <w:t xml:space="preserve">personnel in evacuation procedures, </w:t>
      </w:r>
      <w:r w:rsidR="00B03C46" w:rsidRPr="00B26051">
        <w:rPr>
          <w:rFonts w:ascii="Cambria" w:hAnsi="Cambria"/>
          <w:sz w:val="20"/>
          <w:szCs w:val="20"/>
        </w:rPr>
        <w:t>first aid and how to respond to events of this type.</w:t>
      </w:r>
      <w:r w:rsidRPr="00B26051">
        <w:rPr>
          <w:rFonts w:ascii="Cambria" w:hAnsi="Cambria"/>
          <w:sz w:val="20"/>
          <w:szCs w:val="20"/>
        </w:rPr>
        <w:t>"</w:t>
      </w:r>
      <w:r w:rsidRPr="00B26051">
        <w:rPr>
          <w:rStyle w:val="FootnoteReference"/>
          <w:rFonts w:ascii="Cambria" w:hAnsi="Cambria"/>
          <w:sz w:val="20"/>
          <w:szCs w:val="20"/>
        </w:rPr>
        <w:footnoteReference w:id="145"/>
      </w:r>
      <w:r w:rsidRPr="00B26051">
        <w:rPr>
          <w:rFonts w:ascii="Cambria" w:hAnsi="Cambria"/>
          <w:sz w:val="20"/>
          <w:szCs w:val="20"/>
        </w:rPr>
        <w:t xml:space="preserve"> In this sense, the State must incorporate in the design, structure, construction, improvements, maintenance</w:t>
      </w:r>
      <w:r w:rsidR="006C2EF3">
        <w:rPr>
          <w:rFonts w:ascii="Cambria" w:hAnsi="Cambria"/>
          <w:sz w:val="20"/>
          <w:szCs w:val="20"/>
        </w:rPr>
        <w:t>,</w:t>
      </w:r>
      <w:r w:rsidRPr="00B26051">
        <w:rPr>
          <w:rFonts w:ascii="Cambria" w:hAnsi="Cambria"/>
          <w:sz w:val="20"/>
          <w:szCs w:val="20"/>
        </w:rPr>
        <w:t xml:space="preserve"> and operation of the detention centers, all the material mechanisms tha</w:t>
      </w:r>
      <w:r w:rsidR="00695943" w:rsidRPr="00B26051">
        <w:rPr>
          <w:rFonts w:ascii="Cambria" w:hAnsi="Cambria"/>
          <w:sz w:val="20"/>
          <w:szCs w:val="20"/>
        </w:rPr>
        <w:t>t minimize the risk of emergencies</w:t>
      </w:r>
      <w:r w:rsidRPr="00B26051">
        <w:rPr>
          <w:rFonts w:ascii="Cambria" w:hAnsi="Cambria"/>
          <w:sz w:val="20"/>
          <w:szCs w:val="20"/>
        </w:rPr>
        <w:t xml:space="preserve"> or fire</w:t>
      </w:r>
      <w:r w:rsidR="00695943" w:rsidRPr="00B26051">
        <w:rPr>
          <w:rFonts w:ascii="Cambria" w:hAnsi="Cambria"/>
          <w:sz w:val="20"/>
          <w:szCs w:val="20"/>
        </w:rPr>
        <w:t>s</w:t>
      </w:r>
      <w:r w:rsidRPr="00B26051">
        <w:rPr>
          <w:rFonts w:ascii="Cambria" w:hAnsi="Cambria"/>
          <w:sz w:val="20"/>
          <w:szCs w:val="20"/>
        </w:rPr>
        <w:t xml:space="preserve"> occurring and</w:t>
      </w:r>
      <w:r w:rsidR="00695943" w:rsidRPr="00B26051">
        <w:rPr>
          <w:rFonts w:ascii="Cambria" w:hAnsi="Cambria"/>
          <w:sz w:val="20"/>
          <w:szCs w:val="20"/>
        </w:rPr>
        <w:t>,</w:t>
      </w:r>
      <w:r w:rsidRPr="00B26051">
        <w:rPr>
          <w:rFonts w:ascii="Cambria" w:hAnsi="Cambria"/>
          <w:sz w:val="20"/>
          <w:szCs w:val="20"/>
        </w:rPr>
        <w:t xml:space="preserve"> in the event that </w:t>
      </w:r>
      <w:r w:rsidR="00695943" w:rsidRPr="00B26051">
        <w:rPr>
          <w:rFonts w:ascii="Cambria" w:hAnsi="Cambria"/>
          <w:sz w:val="20"/>
          <w:szCs w:val="20"/>
        </w:rPr>
        <w:t>they do occur,</w:t>
      </w:r>
      <w:r w:rsidRPr="00B26051">
        <w:rPr>
          <w:rFonts w:ascii="Cambria" w:hAnsi="Cambria"/>
          <w:sz w:val="20"/>
          <w:szCs w:val="20"/>
        </w:rPr>
        <w:t xml:space="preserve"> can be </w:t>
      </w:r>
      <w:r w:rsidR="00695943" w:rsidRPr="00B26051">
        <w:rPr>
          <w:rFonts w:ascii="Cambria" w:hAnsi="Cambria"/>
          <w:sz w:val="20"/>
          <w:szCs w:val="20"/>
        </w:rPr>
        <w:t>dealt with</w:t>
      </w:r>
      <w:r w:rsidRPr="00B26051">
        <w:rPr>
          <w:rFonts w:ascii="Cambria" w:hAnsi="Cambria"/>
          <w:sz w:val="20"/>
          <w:szCs w:val="20"/>
        </w:rPr>
        <w:t xml:space="preserve"> with due diligence, guaranteeing the protection of the inmates or a safe evacuation of the premises. Among these mechanisms are effective systems </w:t>
      </w:r>
      <w:r w:rsidR="00695943" w:rsidRPr="00B26051">
        <w:rPr>
          <w:rFonts w:ascii="Cambria" w:hAnsi="Cambria"/>
          <w:sz w:val="20"/>
          <w:szCs w:val="20"/>
        </w:rPr>
        <w:t xml:space="preserve">for the detection and </w:t>
      </w:r>
      <w:r w:rsidR="00B26051" w:rsidRPr="00B26051">
        <w:rPr>
          <w:rFonts w:ascii="Cambria" w:hAnsi="Cambria"/>
          <w:sz w:val="20"/>
          <w:szCs w:val="20"/>
        </w:rPr>
        <w:t>extinguishing</w:t>
      </w:r>
      <w:r w:rsidRPr="00B26051">
        <w:rPr>
          <w:rFonts w:ascii="Cambria" w:hAnsi="Cambria"/>
          <w:sz w:val="20"/>
          <w:szCs w:val="20"/>
        </w:rPr>
        <w:t xml:space="preserve"> of fires, </w:t>
      </w:r>
      <w:r w:rsidR="00695943" w:rsidRPr="00B26051">
        <w:rPr>
          <w:rFonts w:ascii="Cambria" w:hAnsi="Cambria"/>
          <w:sz w:val="20"/>
          <w:szCs w:val="20"/>
        </w:rPr>
        <w:t xml:space="preserve">fire </w:t>
      </w:r>
      <w:r w:rsidRPr="00B26051">
        <w:rPr>
          <w:rFonts w:ascii="Cambria" w:hAnsi="Cambria"/>
          <w:sz w:val="20"/>
          <w:szCs w:val="20"/>
        </w:rPr>
        <w:t xml:space="preserve">alarms, as well as </w:t>
      </w:r>
      <w:r w:rsidR="00695943" w:rsidRPr="00B26051">
        <w:rPr>
          <w:rFonts w:ascii="Cambria" w:hAnsi="Cambria"/>
          <w:sz w:val="20"/>
          <w:szCs w:val="20"/>
        </w:rPr>
        <w:t>action protocols</w:t>
      </w:r>
      <w:r w:rsidRPr="00B26051">
        <w:rPr>
          <w:rFonts w:ascii="Cambria" w:hAnsi="Cambria"/>
          <w:sz w:val="20"/>
          <w:szCs w:val="20"/>
        </w:rPr>
        <w:t xml:space="preserve"> in cases of emergencies that guarantee the safety of inmates.</w:t>
      </w:r>
      <w:r w:rsidRPr="00B26051">
        <w:rPr>
          <w:rStyle w:val="FootnoteReference"/>
          <w:rFonts w:ascii="Cambria" w:hAnsi="Cambria"/>
          <w:sz w:val="20"/>
          <w:szCs w:val="20"/>
        </w:rPr>
        <w:t xml:space="preserve"> </w:t>
      </w:r>
      <w:r w:rsidRPr="00B26051">
        <w:rPr>
          <w:rStyle w:val="FootnoteReference"/>
          <w:rFonts w:ascii="Cambria" w:hAnsi="Cambria"/>
          <w:sz w:val="20"/>
          <w:szCs w:val="20"/>
        </w:rPr>
        <w:footnoteReference w:id="146"/>
      </w:r>
    </w:p>
    <w:p w14:paraId="0FF64A25" w14:textId="77777777" w:rsidR="00185D58" w:rsidRPr="00B26051" w:rsidRDefault="00185D58" w:rsidP="00185D58">
      <w:pPr>
        <w:tabs>
          <w:tab w:val="left" w:pos="720"/>
          <w:tab w:val="left" w:pos="1440"/>
        </w:tabs>
        <w:ind w:left="630"/>
        <w:jc w:val="both"/>
        <w:rPr>
          <w:rFonts w:ascii="Cambria" w:hAnsi="Cambria"/>
          <w:sz w:val="20"/>
          <w:szCs w:val="20"/>
        </w:rPr>
      </w:pPr>
    </w:p>
    <w:p w14:paraId="768739DE" w14:textId="0EB9072B" w:rsidR="00185D58" w:rsidRPr="00B26051" w:rsidRDefault="000D5CE6"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 xml:space="preserve">On the other hand, the Inter-American Court has incorporated into its jurisprudence a series of standards </w:t>
      </w:r>
      <w:r w:rsidR="006D39A5" w:rsidRPr="00B26051">
        <w:rPr>
          <w:rFonts w:ascii="Cambria" w:hAnsi="Cambria"/>
          <w:sz w:val="20"/>
          <w:szCs w:val="20"/>
        </w:rPr>
        <w:t>for</w:t>
      </w:r>
      <w:r w:rsidRPr="00B26051">
        <w:rPr>
          <w:rFonts w:ascii="Cambria" w:hAnsi="Cambria"/>
          <w:sz w:val="20"/>
          <w:szCs w:val="20"/>
        </w:rPr>
        <w:t xml:space="preserve"> prison conditions and the duty of prevention, </w:t>
      </w:r>
      <w:r w:rsidR="006D39A5" w:rsidRPr="00B26051">
        <w:rPr>
          <w:rFonts w:ascii="Cambria" w:hAnsi="Cambria"/>
          <w:sz w:val="20"/>
          <w:szCs w:val="20"/>
        </w:rPr>
        <w:t>to be taken</w:t>
      </w:r>
      <w:r w:rsidRPr="00B26051">
        <w:rPr>
          <w:rFonts w:ascii="Cambria" w:hAnsi="Cambria"/>
          <w:sz w:val="20"/>
          <w:szCs w:val="20"/>
        </w:rPr>
        <w:t xml:space="preserve"> into account when analyzing international obligations under the American Convention regarding pers</w:t>
      </w:r>
      <w:r w:rsidR="006D39A5" w:rsidRPr="00B26051">
        <w:rPr>
          <w:rFonts w:ascii="Cambria" w:hAnsi="Cambria"/>
          <w:sz w:val="20"/>
          <w:szCs w:val="20"/>
        </w:rPr>
        <w:t xml:space="preserve">ons deprived of their liberty.  </w:t>
      </w:r>
      <w:r w:rsidR="0008062E">
        <w:rPr>
          <w:rFonts w:ascii="Cambria" w:hAnsi="Cambria"/>
          <w:sz w:val="20"/>
          <w:szCs w:val="20"/>
        </w:rPr>
        <w:t>The following are particularly relevant to this case</w:t>
      </w:r>
      <w:r w:rsidR="006D39A5" w:rsidRPr="00B26051">
        <w:rPr>
          <w:rFonts w:ascii="Cambria" w:hAnsi="Cambria"/>
          <w:sz w:val="20"/>
          <w:szCs w:val="20"/>
        </w:rPr>
        <w:t>:</w:t>
      </w:r>
    </w:p>
    <w:p w14:paraId="3CC3DDFA" w14:textId="77777777" w:rsidR="00185D58" w:rsidRPr="00B26051" w:rsidRDefault="00185D58" w:rsidP="00185D58">
      <w:pPr>
        <w:tabs>
          <w:tab w:val="left" w:pos="720"/>
          <w:tab w:val="left" w:pos="1440"/>
        </w:tabs>
        <w:jc w:val="both"/>
        <w:rPr>
          <w:rFonts w:ascii="Cambria" w:hAnsi="Cambria"/>
          <w:sz w:val="20"/>
          <w:szCs w:val="20"/>
        </w:rPr>
      </w:pPr>
    </w:p>
    <w:p w14:paraId="4127A20D" w14:textId="34BF360B" w:rsidR="00185D58" w:rsidRPr="00B26051" w:rsidRDefault="000D5CE6" w:rsidP="007F4FA0">
      <w:pPr>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ind w:left="1080"/>
        <w:jc w:val="both"/>
        <w:rPr>
          <w:rFonts w:ascii="Cambria" w:hAnsi="Cambria"/>
          <w:sz w:val="20"/>
          <w:szCs w:val="20"/>
        </w:rPr>
      </w:pPr>
      <w:r w:rsidRPr="00B26051">
        <w:rPr>
          <w:rFonts w:ascii="Cambria" w:hAnsi="Cambria"/>
          <w:sz w:val="20"/>
          <w:szCs w:val="20"/>
        </w:rPr>
        <w:t xml:space="preserve">overcrowding </w:t>
      </w:r>
      <w:r w:rsidR="008D6D89" w:rsidRPr="00B26051">
        <w:rPr>
          <w:rFonts w:ascii="Cambria" w:hAnsi="Cambria"/>
          <w:sz w:val="20"/>
          <w:szCs w:val="20"/>
        </w:rPr>
        <w:t xml:space="preserve">is, </w:t>
      </w:r>
      <w:r w:rsidRPr="00B26051">
        <w:rPr>
          <w:rFonts w:ascii="Cambria" w:hAnsi="Cambria"/>
          <w:sz w:val="20"/>
          <w:szCs w:val="20"/>
        </w:rPr>
        <w:t>in itself</w:t>
      </w:r>
      <w:r w:rsidR="008D6D89" w:rsidRPr="00B26051">
        <w:rPr>
          <w:rFonts w:ascii="Cambria" w:hAnsi="Cambria"/>
          <w:sz w:val="20"/>
          <w:szCs w:val="20"/>
        </w:rPr>
        <w:t>,</w:t>
      </w:r>
      <w:r w:rsidRPr="00B26051">
        <w:rPr>
          <w:rFonts w:ascii="Cambria" w:hAnsi="Cambria"/>
          <w:sz w:val="20"/>
          <w:szCs w:val="20"/>
        </w:rPr>
        <w:t xml:space="preserve"> a violation of personal integrity; </w:t>
      </w:r>
      <w:r w:rsidR="008D6D89" w:rsidRPr="00B26051">
        <w:rPr>
          <w:rFonts w:ascii="Cambria" w:hAnsi="Cambria"/>
          <w:sz w:val="20"/>
          <w:szCs w:val="20"/>
        </w:rPr>
        <w:t>in addition</w:t>
      </w:r>
      <w:r w:rsidRPr="00B26051">
        <w:rPr>
          <w:rFonts w:ascii="Cambria" w:hAnsi="Cambria"/>
          <w:sz w:val="20"/>
          <w:szCs w:val="20"/>
        </w:rPr>
        <w:t xml:space="preserve">, it hinders the normal </w:t>
      </w:r>
      <w:r w:rsidR="008D6D89" w:rsidRPr="00B26051">
        <w:rPr>
          <w:rFonts w:ascii="Cambria" w:hAnsi="Cambria"/>
          <w:sz w:val="20"/>
          <w:szCs w:val="20"/>
        </w:rPr>
        <w:t>execution</w:t>
      </w:r>
      <w:r w:rsidRPr="00B26051">
        <w:rPr>
          <w:rFonts w:ascii="Cambria" w:hAnsi="Cambria"/>
          <w:sz w:val="20"/>
          <w:szCs w:val="20"/>
        </w:rPr>
        <w:t xml:space="preserve"> of essential functions in prisons</w:t>
      </w:r>
      <w:r w:rsidR="008D6D89" w:rsidRPr="00B26051">
        <w:rPr>
          <w:rFonts w:ascii="Cambria" w:hAnsi="Cambria"/>
          <w:sz w:val="20"/>
          <w:szCs w:val="20"/>
        </w:rPr>
        <w:t>;</w:t>
      </w:r>
    </w:p>
    <w:p w14:paraId="2880AB95" w14:textId="692FB771" w:rsidR="00185D58" w:rsidRPr="00B26051" w:rsidRDefault="004D40CD" w:rsidP="007F4FA0">
      <w:pPr>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ind w:left="1080"/>
        <w:jc w:val="both"/>
        <w:rPr>
          <w:rFonts w:ascii="Cambria" w:hAnsi="Cambria"/>
          <w:sz w:val="20"/>
          <w:szCs w:val="20"/>
        </w:rPr>
      </w:pPr>
      <w:r w:rsidRPr="00B26051">
        <w:rPr>
          <w:rFonts w:ascii="Cambria" w:hAnsi="Cambria"/>
          <w:sz w:val="20"/>
          <w:szCs w:val="20"/>
        </w:rPr>
        <w:t>those who are being processed must be separated from those who have been convicted;</w:t>
      </w:r>
      <w:r w:rsidR="000D5CE6" w:rsidRPr="00B26051">
        <w:rPr>
          <w:rFonts w:ascii="Cambria" w:hAnsi="Cambria"/>
          <w:sz w:val="20"/>
          <w:szCs w:val="20"/>
        </w:rPr>
        <w:t xml:space="preserve"> and </w:t>
      </w:r>
      <w:r w:rsidRPr="00B26051">
        <w:rPr>
          <w:rFonts w:ascii="Cambria" w:hAnsi="Cambria"/>
          <w:sz w:val="20"/>
          <w:szCs w:val="20"/>
        </w:rPr>
        <w:t xml:space="preserve">children must be held separately from adults, so that those deprived of liberty receive treatment appropriate to their situation; </w:t>
      </w:r>
      <w:r w:rsidR="000D5CE6" w:rsidRPr="00B26051">
        <w:rPr>
          <w:rFonts w:ascii="Cambria" w:hAnsi="Cambria"/>
          <w:sz w:val="20"/>
          <w:szCs w:val="20"/>
        </w:rPr>
        <w:t>[...]</w:t>
      </w:r>
    </w:p>
    <w:p w14:paraId="6B434B51" w14:textId="2142C1DC" w:rsidR="00185D58" w:rsidRPr="00B26051" w:rsidRDefault="000D5CE6" w:rsidP="007F4FA0">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ind w:left="1080"/>
        <w:jc w:val="both"/>
        <w:rPr>
          <w:rFonts w:ascii="Cambria" w:hAnsi="Cambria"/>
          <w:sz w:val="20"/>
          <w:szCs w:val="20"/>
        </w:rPr>
      </w:pPr>
      <w:r w:rsidRPr="00B26051">
        <w:rPr>
          <w:rFonts w:ascii="Cambria" w:hAnsi="Cambria"/>
          <w:sz w:val="20"/>
          <w:szCs w:val="20"/>
        </w:rPr>
        <w:t xml:space="preserve">education, work and recreation are essential functions of </w:t>
      </w:r>
      <w:r w:rsidR="00F63C9B" w:rsidRPr="00B26051">
        <w:rPr>
          <w:rFonts w:ascii="Cambria" w:hAnsi="Cambria"/>
          <w:sz w:val="20"/>
          <w:szCs w:val="20"/>
        </w:rPr>
        <w:t>a prison</w:t>
      </w:r>
      <w:r w:rsidRPr="00B26051">
        <w:rPr>
          <w:rFonts w:ascii="Cambria" w:hAnsi="Cambria"/>
          <w:sz w:val="20"/>
          <w:szCs w:val="20"/>
        </w:rPr>
        <w:t xml:space="preserve">, </w:t>
      </w:r>
      <w:r w:rsidR="00F63C9B" w:rsidRPr="00B26051">
        <w:rPr>
          <w:rFonts w:ascii="Cambria" w:hAnsi="Cambria"/>
          <w:sz w:val="20"/>
          <w:szCs w:val="20"/>
        </w:rPr>
        <w:t>and</w:t>
      </w:r>
      <w:r w:rsidRPr="00B26051">
        <w:rPr>
          <w:rFonts w:ascii="Cambria" w:hAnsi="Cambria"/>
          <w:sz w:val="20"/>
          <w:szCs w:val="20"/>
        </w:rPr>
        <w:t xml:space="preserve"> must be provided to all </w:t>
      </w:r>
      <w:r w:rsidR="00F63C9B" w:rsidRPr="00B26051">
        <w:rPr>
          <w:rFonts w:ascii="Cambria" w:hAnsi="Cambria"/>
          <w:sz w:val="20"/>
          <w:szCs w:val="20"/>
        </w:rPr>
        <w:t>those</w:t>
      </w:r>
      <w:r w:rsidRPr="00B26051">
        <w:rPr>
          <w:rFonts w:ascii="Cambria" w:hAnsi="Cambria"/>
          <w:sz w:val="20"/>
          <w:szCs w:val="20"/>
        </w:rPr>
        <w:t xml:space="preserve"> deprived of liberty in order to promote the rehabilitation and social </w:t>
      </w:r>
      <w:r w:rsidR="00F63C9B" w:rsidRPr="00B26051">
        <w:rPr>
          <w:rFonts w:ascii="Cambria" w:hAnsi="Cambria"/>
          <w:sz w:val="20"/>
          <w:szCs w:val="20"/>
        </w:rPr>
        <w:t>adjustment</w:t>
      </w:r>
      <w:r w:rsidRPr="00B26051">
        <w:rPr>
          <w:rFonts w:ascii="Cambria" w:hAnsi="Cambria"/>
          <w:sz w:val="20"/>
          <w:szCs w:val="20"/>
        </w:rPr>
        <w:t xml:space="preserve"> of inmates; [...]</w:t>
      </w:r>
    </w:p>
    <w:p w14:paraId="0FAD5A9D" w14:textId="0EA5AAAA" w:rsidR="00185D58" w:rsidRPr="00B26051" w:rsidRDefault="000D5CE6" w:rsidP="007F4FA0">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ind w:left="1080"/>
        <w:jc w:val="both"/>
        <w:rPr>
          <w:rFonts w:ascii="Cambria" w:hAnsi="Cambria"/>
          <w:sz w:val="20"/>
          <w:szCs w:val="20"/>
        </w:rPr>
      </w:pPr>
      <w:r w:rsidRPr="00B26051">
        <w:rPr>
          <w:rFonts w:ascii="Cambria" w:hAnsi="Cambria"/>
          <w:sz w:val="20"/>
          <w:szCs w:val="20"/>
        </w:rPr>
        <w:t xml:space="preserve">all cells must have sufficient natural or artificial light, ventilation and adequate </w:t>
      </w:r>
      <w:r w:rsidR="00F63C9B" w:rsidRPr="00B26051">
        <w:rPr>
          <w:rFonts w:ascii="Cambria" w:hAnsi="Cambria"/>
          <w:sz w:val="20"/>
          <w:szCs w:val="20"/>
        </w:rPr>
        <w:t>conditions of hygiene</w:t>
      </w:r>
      <w:r w:rsidRPr="00B26051">
        <w:rPr>
          <w:rFonts w:ascii="Cambria" w:hAnsi="Cambria"/>
          <w:sz w:val="20"/>
          <w:szCs w:val="20"/>
        </w:rPr>
        <w:t>; [...]</w:t>
      </w:r>
    </w:p>
    <w:p w14:paraId="0879FA00" w14:textId="626EB77E" w:rsidR="00185D58" w:rsidRPr="00B26051" w:rsidRDefault="000D5CE6" w:rsidP="007F4FA0">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ind w:left="1080"/>
        <w:jc w:val="both"/>
        <w:rPr>
          <w:rFonts w:ascii="Cambria" w:hAnsi="Cambria"/>
          <w:sz w:val="20"/>
          <w:szCs w:val="20"/>
        </w:rPr>
      </w:pPr>
      <w:r w:rsidRPr="00B26051">
        <w:rPr>
          <w:rFonts w:ascii="Cambria" w:hAnsi="Cambria"/>
          <w:sz w:val="20"/>
          <w:szCs w:val="20"/>
        </w:rPr>
        <w:t xml:space="preserve">Disciplinary measures that constitute cruel, inhuman or degrading treatment, including corporal punishment, prolonged </w:t>
      </w:r>
      <w:r w:rsidR="006D39A5" w:rsidRPr="00B26051">
        <w:rPr>
          <w:rFonts w:ascii="Cambria" w:hAnsi="Cambria"/>
          <w:sz w:val="20"/>
          <w:szCs w:val="20"/>
        </w:rPr>
        <w:t>solitary confinement</w:t>
      </w:r>
      <w:r w:rsidRPr="00B26051">
        <w:rPr>
          <w:rFonts w:ascii="Cambria" w:hAnsi="Cambria"/>
          <w:sz w:val="20"/>
          <w:szCs w:val="20"/>
        </w:rPr>
        <w:t xml:space="preserve">, and any other measure that </w:t>
      </w:r>
      <w:r w:rsidR="006D39A5" w:rsidRPr="00B26051">
        <w:rPr>
          <w:rFonts w:ascii="Cambria" w:hAnsi="Cambria"/>
          <w:sz w:val="20"/>
          <w:szCs w:val="20"/>
        </w:rPr>
        <w:t>may</w:t>
      </w:r>
      <w:r w:rsidRPr="00B26051">
        <w:rPr>
          <w:rFonts w:ascii="Cambria" w:hAnsi="Cambria"/>
          <w:sz w:val="20"/>
          <w:szCs w:val="20"/>
        </w:rPr>
        <w:t xml:space="preserve"> seriously </w:t>
      </w:r>
      <w:r w:rsidR="006D39A5" w:rsidRPr="00B26051">
        <w:rPr>
          <w:rFonts w:ascii="Cambria" w:hAnsi="Cambria"/>
          <w:sz w:val="20"/>
          <w:szCs w:val="20"/>
        </w:rPr>
        <w:t xml:space="preserve">jeopardize </w:t>
      </w:r>
      <w:r w:rsidRPr="00B26051">
        <w:rPr>
          <w:rFonts w:ascii="Cambria" w:hAnsi="Cambria"/>
          <w:sz w:val="20"/>
          <w:szCs w:val="20"/>
        </w:rPr>
        <w:t xml:space="preserve">the physical or mental health </w:t>
      </w:r>
      <w:r w:rsidR="006D39A5" w:rsidRPr="00B26051">
        <w:rPr>
          <w:rFonts w:ascii="Cambria" w:hAnsi="Cambria"/>
          <w:sz w:val="20"/>
          <w:szCs w:val="20"/>
        </w:rPr>
        <w:t>of the inmate is</w:t>
      </w:r>
      <w:r w:rsidRPr="00B26051">
        <w:rPr>
          <w:rFonts w:ascii="Cambria" w:hAnsi="Cambria"/>
          <w:sz w:val="20"/>
          <w:szCs w:val="20"/>
        </w:rPr>
        <w:t xml:space="preserve"> strictly prohibited.</w:t>
      </w:r>
      <w:r w:rsidRPr="00B26051">
        <w:rPr>
          <w:rStyle w:val="FootnoteReference"/>
          <w:rFonts w:ascii="Cambria" w:hAnsi="Cambria"/>
          <w:sz w:val="20"/>
          <w:szCs w:val="20"/>
        </w:rPr>
        <w:t xml:space="preserve"> </w:t>
      </w:r>
      <w:r w:rsidRPr="00B26051">
        <w:rPr>
          <w:rStyle w:val="FootnoteReference"/>
          <w:rFonts w:ascii="Cambria" w:hAnsi="Cambria"/>
          <w:sz w:val="20"/>
          <w:szCs w:val="20"/>
        </w:rPr>
        <w:footnoteReference w:id="147"/>
      </w:r>
    </w:p>
    <w:p w14:paraId="4A7897FC" w14:textId="77777777" w:rsidR="00185D58" w:rsidRPr="00B26051" w:rsidRDefault="00185D58" w:rsidP="00185D58">
      <w:pPr>
        <w:tabs>
          <w:tab w:val="left" w:pos="720"/>
          <w:tab w:val="left" w:pos="1440"/>
        </w:tabs>
        <w:jc w:val="both"/>
        <w:rPr>
          <w:rFonts w:ascii="Cambria" w:hAnsi="Cambria"/>
          <w:sz w:val="20"/>
          <w:szCs w:val="20"/>
        </w:rPr>
      </w:pPr>
    </w:p>
    <w:p w14:paraId="0F6B6B0D" w14:textId="1F411C94" w:rsidR="00185D58" w:rsidRPr="00B26051" w:rsidRDefault="000D5CE6"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 xml:space="preserve">Regarding the design </w:t>
      </w:r>
      <w:r w:rsidR="00FB0042" w:rsidRPr="00B26051">
        <w:rPr>
          <w:rFonts w:ascii="Cambria" w:hAnsi="Cambria"/>
          <w:sz w:val="20"/>
          <w:szCs w:val="20"/>
        </w:rPr>
        <w:t>for</w:t>
      </w:r>
      <w:r w:rsidRPr="00B26051">
        <w:rPr>
          <w:rFonts w:ascii="Cambria" w:hAnsi="Cambria"/>
          <w:sz w:val="20"/>
          <w:szCs w:val="20"/>
        </w:rPr>
        <w:t xml:space="preserve"> penitentiary prevention policies, the Commission has considered that </w:t>
      </w:r>
      <w:r w:rsidR="00B018C6" w:rsidRPr="00B26051">
        <w:rPr>
          <w:rFonts w:ascii="Cambria" w:hAnsi="Cambria"/>
          <w:sz w:val="20"/>
          <w:szCs w:val="20"/>
        </w:rPr>
        <w:t>the State’s</w:t>
      </w:r>
      <w:r w:rsidRPr="00B26051">
        <w:rPr>
          <w:rFonts w:ascii="Cambria" w:hAnsi="Cambria"/>
          <w:sz w:val="20"/>
          <w:szCs w:val="20"/>
        </w:rPr>
        <w:t xml:space="preserve"> </w:t>
      </w:r>
      <w:r w:rsidR="00B018C6" w:rsidRPr="00B26051">
        <w:rPr>
          <w:rFonts w:ascii="Cambria" w:hAnsi="Cambria"/>
          <w:sz w:val="20"/>
          <w:szCs w:val="20"/>
        </w:rPr>
        <w:t>exercise of</w:t>
      </w:r>
      <w:r w:rsidRPr="00B26051">
        <w:rPr>
          <w:rFonts w:ascii="Cambria" w:hAnsi="Cambria"/>
          <w:sz w:val="20"/>
          <w:szCs w:val="20"/>
        </w:rPr>
        <w:t xml:space="preserve"> its </w:t>
      </w:r>
      <w:r w:rsidR="00B018C6" w:rsidRPr="00B26051">
        <w:rPr>
          <w:rFonts w:ascii="Cambria" w:hAnsi="Cambria"/>
          <w:sz w:val="20"/>
          <w:szCs w:val="20"/>
        </w:rPr>
        <w:t>role</w:t>
      </w:r>
      <w:r w:rsidRPr="00B26051">
        <w:rPr>
          <w:rFonts w:ascii="Cambria" w:hAnsi="Cambria"/>
          <w:sz w:val="20"/>
          <w:szCs w:val="20"/>
        </w:rPr>
        <w:t xml:space="preserve"> as guarantor </w:t>
      </w:r>
      <w:r w:rsidR="00B018C6" w:rsidRPr="00B26051">
        <w:rPr>
          <w:rFonts w:ascii="Cambria" w:hAnsi="Cambria"/>
          <w:sz w:val="20"/>
          <w:szCs w:val="20"/>
        </w:rPr>
        <w:t>"is a complex one</w:t>
      </w:r>
      <w:r w:rsidRPr="00B26051">
        <w:rPr>
          <w:rFonts w:ascii="Cambria" w:hAnsi="Cambria"/>
          <w:sz w:val="20"/>
          <w:szCs w:val="20"/>
        </w:rPr>
        <w:t xml:space="preserve"> in which </w:t>
      </w:r>
      <w:r w:rsidR="00B018C6" w:rsidRPr="00B26051">
        <w:rPr>
          <w:rFonts w:ascii="Cambria" w:hAnsi="Cambria"/>
          <w:sz w:val="20"/>
          <w:szCs w:val="20"/>
        </w:rPr>
        <w:t xml:space="preserve">the areas of competence </w:t>
      </w:r>
      <w:r w:rsidRPr="00B26051">
        <w:rPr>
          <w:rFonts w:ascii="Cambria" w:hAnsi="Cambria"/>
          <w:sz w:val="20"/>
          <w:szCs w:val="20"/>
        </w:rPr>
        <w:t xml:space="preserve">of </w:t>
      </w:r>
      <w:r w:rsidR="00B018C6" w:rsidRPr="00B26051">
        <w:rPr>
          <w:rFonts w:ascii="Cambria" w:hAnsi="Cambria"/>
          <w:sz w:val="20"/>
          <w:szCs w:val="20"/>
        </w:rPr>
        <w:t xml:space="preserve">various </w:t>
      </w:r>
      <w:r w:rsidR="00B018C6" w:rsidRPr="00B26051">
        <w:rPr>
          <w:rFonts w:ascii="Cambria" w:hAnsi="Cambria"/>
          <w:sz w:val="20"/>
          <w:szCs w:val="20"/>
        </w:rPr>
        <w:lastRenderedPageBreak/>
        <w:t>state institutions</w:t>
      </w:r>
      <w:r w:rsidRPr="00B26051">
        <w:rPr>
          <w:rFonts w:ascii="Cambria" w:hAnsi="Cambria"/>
          <w:sz w:val="20"/>
          <w:szCs w:val="20"/>
        </w:rPr>
        <w:t xml:space="preserve"> converge. From the executive and legislative bodies [...], to mid-level </w:t>
      </w:r>
      <w:r w:rsidR="00B018C6" w:rsidRPr="00B26051">
        <w:rPr>
          <w:rFonts w:ascii="Cambria" w:hAnsi="Cambria"/>
          <w:sz w:val="20"/>
          <w:szCs w:val="20"/>
        </w:rPr>
        <w:t>institutions charged with running prisons</w:t>
      </w:r>
      <w:r w:rsidRPr="00B26051">
        <w:rPr>
          <w:rFonts w:ascii="Cambria" w:hAnsi="Cambria"/>
          <w:sz w:val="20"/>
          <w:szCs w:val="20"/>
        </w:rPr>
        <w:t xml:space="preserve">, and </w:t>
      </w:r>
      <w:r w:rsidR="00B018C6" w:rsidRPr="00B26051">
        <w:rPr>
          <w:rFonts w:ascii="Cambria" w:hAnsi="Cambria"/>
          <w:sz w:val="20"/>
          <w:szCs w:val="20"/>
        </w:rPr>
        <w:t xml:space="preserve">the appointed </w:t>
      </w:r>
      <w:r w:rsidRPr="00B26051">
        <w:rPr>
          <w:rFonts w:ascii="Cambria" w:hAnsi="Cambria"/>
          <w:sz w:val="20"/>
          <w:szCs w:val="20"/>
        </w:rPr>
        <w:t xml:space="preserve">authorities </w:t>
      </w:r>
      <w:r w:rsidR="00B018C6" w:rsidRPr="00B26051">
        <w:rPr>
          <w:rFonts w:ascii="Cambria" w:hAnsi="Cambria"/>
          <w:sz w:val="20"/>
          <w:szCs w:val="20"/>
        </w:rPr>
        <w:t>at the prisons</w:t>
      </w:r>
      <w:r w:rsidRPr="00B26051">
        <w:rPr>
          <w:rFonts w:ascii="Cambria" w:hAnsi="Cambria"/>
          <w:sz w:val="20"/>
          <w:szCs w:val="20"/>
        </w:rPr>
        <w:t xml:space="preserve"> [...]. Likewise, the work carried out by the </w:t>
      </w:r>
      <w:r w:rsidR="00B018C6" w:rsidRPr="00B26051">
        <w:rPr>
          <w:rFonts w:ascii="Cambria" w:hAnsi="Cambria"/>
          <w:sz w:val="20"/>
          <w:szCs w:val="20"/>
        </w:rPr>
        <w:t>judicial branch</w:t>
      </w:r>
      <w:r w:rsidRPr="00B26051">
        <w:rPr>
          <w:rFonts w:ascii="Cambria" w:hAnsi="Cambria"/>
          <w:sz w:val="20"/>
          <w:szCs w:val="20"/>
        </w:rPr>
        <w:t xml:space="preserve"> is relevant, [...] </w:t>
      </w:r>
      <w:r w:rsidR="0008062E">
        <w:rPr>
          <w:rFonts w:ascii="Cambria" w:hAnsi="Cambria"/>
          <w:sz w:val="20"/>
          <w:szCs w:val="20"/>
        </w:rPr>
        <w:t>which</w:t>
      </w:r>
      <w:r w:rsidRPr="00B26051">
        <w:rPr>
          <w:rFonts w:ascii="Cambria" w:hAnsi="Cambria"/>
          <w:sz w:val="20"/>
          <w:szCs w:val="20"/>
        </w:rPr>
        <w:t xml:space="preserve"> </w:t>
      </w:r>
      <w:r w:rsidR="00B018C6" w:rsidRPr="00B26051">
        <w:rPr>
          <w:rFonts w:ascii="Cambria" w:hAnsi="Cambria"/>
          <w:sz w:val="20"/>
          <w:szCs w:val="20"/>
        </w:rPr>
        <w:t>monitor</w:t>
      </w:r>
      <w:r w:rsidR="0008062E">
        <w:rPr>
          <w:rFonts w:ascii="Cambria" w:hAnsi="Cambria"/>
          <w:sz w:val="20"/>
          <w:szCs w:val="20"/>
        </w:rPr>
        <w:t>s</w:t>
      </w:r>
      <w:r w:rsidR="00B018C6" w:rsidRPr="00B26051">
        <w:rPr>
          <w:rFonts w:ascii="Cambria" w:hAnsi="Cambria"/>
          <w:sz w:val="20"/>
          <w:szCs w:val="20"/>
        </w:rPr>
        <w:t xml:space="preserve"> the lawfulness of detention and the conditions under </w:t>
      </w:r>
      <w:r w:rsidRPr="00B26051">
        <w:rPr>
          <w:rFonts w:ascii="Cambria" w:hAnsi="Cambria"/>
          <w:sz w:val="20"/>
          <w:szCs w:val="20"/>
        </w:rPr>
        <w:t>which detainees are held.</w:t>
      </w:r>
      <w:r w:rsidRPr="00B26051">
        <w:rPr>
          <w:rStyle w:val="FootnoteReference"/>
          <w:rFonts w:ascii="Cambria" w:hAnsi="Cambria"/>
          <w:sz w:val="20"/>
          <w:szCs w:val="20"/>
        </w:rPr>
        <w:t xml:space="preserve"> </w:t>
      </w:r>
      <w:r w:rsidRPr="00B26051">
        <w:rPr>
          <w:rStyle w:val="FootnoteReference"/>
          <w:rFonts w:ascii="Cambria" w:hAnsi="Cambria"/>
          <w:sz w:val="20"/>
          <w:szCs w:val="20"/>
        </w:rPr>
        <w:footnoteReference w:id="148"/>
      </w:r>
    </w:p>
    <w:p w14:paraId="26F696A9" w14:textId="77777777" w:rsidR="00185D58" w:rsidRPr="00B26051" w:rsidRDefault="00185D58" w:rsidP="00185D58">
      <w:pPr>
        <w:jc w:val="both"/>
        <w:rPr>
          <w:b/>
          <w:sz w:val="20"/>
          <w:szCs w:val="20"/>
        </w:rPr>
      </w:pPr>
    </w:p>
    <w:p w14:paraId="5CFE8911" w14:textId="20BAE299" w:rsidR="00185D58" w:rsidRPr="00B26051" w:rsidRDefault="000D5CE6" w:rsidP="007F4FA0">
      <w:pPr>
        <w:pStyle w:val="ListParagraph"/>
        <w:numPr>
          <w:ilvl w:val="0"/>
          <w:numId w:val="68"/>
        </w:numPr>
        <w:ind w:left="1440" w:hanging="720"/>
        <w:jc w:val="both"/>
        <w:rPr>
          <w:b/>
          <w:color w:val="auto"/>
          <w:sz w:val="20"/>
          <w:szCs w:val="20"/>
        </w:rPr>
      </w:pPr>
      <w:r w:rsidRPr="00B26051">
        <w:rPr>
          <w:b/>
          <w:color w:val="auto"/>
          <w:sz w:val="20"/>
          <w:szCs w:val="20"/>
        </w:rPr>
        <w:t xml:space="preserve">Analysis of the </w:t>
      </w:r>
      <w:r w:rsidR="00004B15">
        <w:rPr>
          <w:b/>
          <w:color w:val="auto"/>
          <w:sz w:val="20"/>
          <w:szCs w:val="20"/>
        </w:rPr>
        <w:t>c</w:t>
      </w:r>
      <w:r w:rsidRPr="00B26051">
        <w:rPr>
          <w:b/>
          <w:color w:val="auto"/>
          <w:sz w:val="20"/>
          <w:szCs w:val="20"/>
        </w:rPr>
        <w:t>ase</w:t>
      </w:r>
    </w:p>
    <w:p w14:paraId="2BDD2971" w14:textId="77777777" w:rsidR="00185D58" w:rsidRPr="00B26051" w:rsidRDefault="00185D58" w:rsidP="00185D58">
      <w:pPr>
        <w:jc w:val="both"/>
        <w:rPr>
          <w:b/>
          <w:sz w:val="20"/>
          <w:szCs w:val="20"/>
        </w:rPr>
      </w:pPr>
    </w:p>
    <w:p w14:paraId="5E8BACD7" w14:textId="5C63CA53" w:rsidR="00185D58" w:rsidRPr="00B26051" w:rsidRDefault="000D5CE6"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 xml:space="preserve">As a preliminary matter, the Commission observes that there is a presumption of State responsibility for the deaths of the five youths in their custody, </w:t>
      </w:r>
      <w:r w:rsidR="00B26051" w:rsidRPr="00B26051">
        <w:rPr>
          <w:rFonts w:ascii="Cambria" w:hAnsi="Cambria"/>
          <w:sz w:val="20"/>
          <w:szCs w:val="20"/>
        </w:rPr>
        <w:t>uncontroverted</w:t>
      </w:r>
      <w:r w:rsidR="00974172" w:rsidRPr="00B26051">
        <w:rPr>
          <w:rFonts w:ascii="Cambria" w:hAnsi="Cambria"/>
          <w:sz w:val="20"/>
          <w:szCs w:val="20"/>
        </w:rPr>
        <w:t xml:space="preserve"> in this case, since</w:t>
      </w:r>
      <w:r w:rsidRPr="00B26051">
        <w:rPr>
          <w:rFonts w:ascii="Cambria" w:hAnsi="Cambria"/>
          <w:sz w:val="20"/>
          <w:szCs w:val="20"/>
        </w:rPr>
        <w:t xml:space="preserve"> the State has not provided a "satisfactory explanation" about the deaths</w:t>
      </w:r>
      <w:r w:rsidR="00974172" w:rsidRPr="00B26051">
        <w:rPr>
          <w:rFonts w:ascii="Cambria" w:hAnsi="Cambria"/>
          <w:sz w:val="20"/>
          <w:szCs w:val="20"/>
        </w:rPr>
        <w:t>, as will be analyzed later in the corresponding section to the rights to judicial guarantees and judicial protection</w:t>
      </w:r>
      <w:r w:rsidRPr="00B26051">
        <w:rPr>
          <w:rFonts w:ascii="Cambria" w:hAnsi="Cambria"/>
          <w:sz w:val="20"/>
          <w:szCs w:val="20"/>
        </w:rPr>
        <w:t>. Notwithstanding the foregoing, the Commission identifies a series of additional factors relevant to the analysis of the State's responsibility in this case, specifically with respect to the duty of prevention.</w:t>
      </w:r>
    </w:p>
    <w:p w14:paraId="2F729750" w14:textId="77777777" w:rsidR="00185D58" w:rsidRPr="00B26051" w:rsidRDefault="00185D58" w:rsidP="00185D58">
      <w:pPr>
        <w:tabs>
          <w:tab w:val="left" w:pos="720"/>
          <w:tab w:val="left" w:pos="1440"/>
        </w:tabs>
        <w:jc w:val="both"/>
        <w:rPr>
          <w:rFonts w:ascii="Cambria" w:hAnsi="Cambria"/>
          <w:sz w:val="20"/>
          <w:szCs w:val="20"/>
        </w:rPr>
      </w:pPr>
    </w:p>
    <w:p w14:paraId="5A239E6B" w14:textId="1746D98D" w:rsidR="00185D58" w:rsidRPr="00B26051" w:rsidRDefault="00FB0042"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 xml:space="preserve">First, a series of </w:t>
      </w:r>
      <w:r w:rsidR="0008062E">
        <w:rPr>
          <w:rFonts w:ascii="Cambria" w:hAnsi="Cambria"/>
          <w:sz w:val="20"/>
          <w:szCs w:val="20"/>
        </w:rPr>
        <w:t>elements</w:t>
      </w:r>
      <w:r w:rsidR="000D5CE6" w:rsidRPr="00B26051">
        <w:rPr>
          <w:rFonts w:ascii="Cambria" w:hAnsi="Cambria"/>
          <w:sz w:val="20"/>
          <w:szCs w:val="20"/>
        </w:rPr>
        <w:t xml:space="preserve"> reveal the lack of a prison policy for the prevention of </w:t>
      </w:r>
      <w:r w:rsidRPr="00B26051">
        <w:rPr>
          <w:rFonts w:ascii="Cambria" w:hAnsi="Cambria"/>
          <w:sz w:val="20"/>
          <w:szCs w:val="20"/>
        </w:rPr>
        <w:t>emergencies</w:t>
      </w:r>
      <w:r w:rsidR="000D5CE6" w:rsidRPr="00B26051">
        <w:rPr>
          <w:rFonts w:ascii="Cambria" w:hAnsi="Cambria"/>
          <w:sz w:val="20"/>
          <w:szCs w:val="20"/>
        </w:rPr>
        <w:t xml:space="preserve"> in INAM-San Félix, reflected in the livi</w:t>
      </w:r>
      <w:r w:rsidRPr="00B26051">
        <w:rPr>
          <w:rFonts w:ascii="Cambria" w:hAnsi="Cambria"/>
          <w:sz w:val="20"/>
          <w:szCs w:val="20"/>
        </w:rPr>
        <w:t>ng conditions within the Center</w:t>
      </w:r>
      <w:r w:rsidR="000D5CE6" w:rsidRPr="00B26051">
        <w:rPr>
          <w:rFonts w:ascii="Cambria" w:hAnsi="Cambria"/>
          <w:sz w:val="20"/>
          <w:szCs w:val="20"/>
        </w:rPr>
        <w:t xml:space="preserve"> at the time of the events. In the previous chapter, the Commission determined that for years, INAM-San </w:t>
      </w:r>
      <w:r w:rsidR="002033A9" w:rsidRPr="00B26051">
        <w:rPr>
          <w:rFonts w:ascii="Cambria" w:hAnsi="Cambria"/>
          <w:sz w:val="20"/>
          <w:szCs w:val="20"/>
        </w:rPr>
        <w:t>Félix</w:t>
      </w:r>
      <w:r w:rsidR="000D5CE6" w:rsidRPr="00B26051">
        <w:rPr>
          <w:rFonts w:ascii="Cambria" w:hAnsi="Cambria"/>
          <w:sz w:val="20"/>
          <w:szCs w:val="20"/>
        </w:rPr>
        <w:t xml:space="preserve"> </w:t>
      </w:r>
      <w:r w:rsidRPr="00B26051">
        <w:rPr>
          <w:rFonts w:ascii="Cambria" w:hAnsi="Cambria"/>
          <w:sz w:val="20"/>
          <w:szCs w:val="20"/>
        </w:rPr>
        <w:t>suffered from</w:t>
      </w:r>
      <w:r w:rsidR="000D5CE6" w:rsidRPr="00B26051">
        <w:rPr>
          <w:rFonts w:ascii="Cambria" w:hAnsi="Cambria"/>
          <w:sz w:val="20"/>
          <w:szCs w:val="20"/>
        </w:rPr>
        <w:t xml:space="preserve"> overcrowding, with a lack of sufficient personnel to provide minimum security conditions, both as regards </w:t>
      </w:r>
      <w:r w:rsidR="00A05604">
        <w:rPr>
          <w:rFonts w:ascii="Cambria" w:hAnsi="Cambria"/>
          <w:sz w:val="20"/>
          <w:szCs w:val="20"/>
        </w:rPr>
        <w:t xml:space="preserve">effective control </w:t>
      </w:r>
      <w:r w:rsidR="000D5CE6" w:rsidRPr="00B26051">
        <w:rPr>
          <w:rFonts w:ascii="Cambria" w:hAnsi="Cambria"/>
          <w:sz w:val="20"/>
          <w:szCs w:val="20"/>
        </w:rPr>
        <w:t xml:space="preserve">to prevent the entry of </w:t>
      </w:r>
      <w:r w:rsidRPr="00B26051">
        <w:rPr>
          <w:rFonts w:ascii="Cambria" w:hAnsi="Cambria"/>
          <w:sz w:val="20"/>
          <w:szCs w:val="20"/>
        </w:rPr>
        <w:t>contraband in</w:t>
      </w:r>
      <w:r w:rsidR="000D5CE6" w:rsidRPr="00B26051">
        <w:rPr>
          <w:rFonts w:ascii="Cambria" w:hAnsi="Cambria"/>
          <w:sz w:val="20"/>
          <w:szCs w:val="20"/>
        </w:rPr>
        <w:t xml:space="preserve">to the Center, as well as the lack of adequate personnel to control a population that </w:t>
      </w:r>
      <w:r w:rsidRPr="00B26051">
        <w:rPr>
          <w:rFonts w:ascii="Cambria" w:hAnsi="Cambria"/>
          <w:sz w:val="20"/>
          <w:szCs w:val="20"/>
        </w:rPr>
        <w:t>varied</w:t>
      </w:r>
      <w:r w:rsidR="000D5CE6" w:rsidRPr="00B26051">
        <w:rPr>
          <w:rFonts w:ascii="Cambria" w:hAnsi="Cambria"/>
          <w:sz w:val="20"/>
          <w:szCs w:val="20"/>
        </w:rPr>
        <w:t xml:space="preserve"> between 50 and 105 inmates. Likewise, serious deficiencies were found in the infrastructure of the Center, mainly the lack of sufficient electric light that resulted in adolescents improvi</w:t>
      </w:r>
      <w:r w:rsidRPr="00B26051">
        <w:rPr>
          <w:rFonts w:ascii="Cambria" w:hAnsi="Cambria"/>
          <w:sz w:val="20"/>
          <w:szCs w:val="20"/>
        </w:rPr>
        <w:t>sing wir</w:t>
      </w:r>
      <w:r w:rsidR="0008062E">
        <w:rPr>
          <w:rFonts w:ascii="Cambria" w:hAnsi="Cambria"/>
          <w:sz w:val="20"/>
          <w:szCs w:val="20"/>
        </w:rPr>
        <w:t>ing</w:t>
      </w:r>
      <w:r w:rsidR="000D5CE6" w:rsidRPr="00B26051">
        <w:rPr>
          <w:rFonts w:ascii="Cambria" w:hAnsi="Cambria"/>
          <w:sz w:val="20"/>
          <w:szCs w:val="20"/>
        </w:rPr>
        <w:t xml:space="preserve"> in their cells. </w:t>
      </w:r>
      <w:r w:rsidRPr="00B26051">
        <w:rPr>
          <w:rFonts w:ascii="Cambria" w:hAnsi="Cambria"/>
          <w:sz w:val="20"/>
          <w:szCs w:val="20"/>
        </w:rPr>
        <w:t>In addition, the lack of</w:t>
      </w:r>
      <w:r w:rsidR="000D5CE6" w:rsidRPr="00B26051">
        <w:rPr>
          <w:rFonts w:ascii="Cambria" w:hAnsi="Cambria"/>
          <w:sz w:val="20"/>
          <w:szCs w:val="20"/>
        </w:rPr>
        <w:t xml:space="preserve"> fire </w:t>
      </w:r>
      <w:r w:rsidRPr="00B26051">
        <w:rPr>
          <w:rFonts w:ascii="Cambria" w:hAnsi="Cambria"/>
          <w:sz w:val="20"/>
          <w:szCs w:val="20"/>
        </w:rPr>
        <w:t xml:space="preserve">alarm </w:t>
      </w:r>
      <w:r w:rsidR="000D5CE6" w:rsidRPr="00B26051">
        <w:rPr>
          <w:rFonts w:ascii="Cambria" w:hAnsi="Cambria"/>
          <w:sz w:val="20"/>
          <w:szCs w:val="20"/>
        </w:rPr>
        <w:t>and extinguisher system</w:t>
      </w:r>
      <w:r w:rsidRPr="00B26051">
        <w:rPr>
          <w:rFonts w:ascii="Cambria" w:hAnsi="Cambria"/>
          <w:sz w:val="20"/>
          <w:szCs w:val="20"/>
        </w:rPr>
        <w:t>s</w:t>
      </w:r>
      <w:r w:rsidR="0008062E">
        <w:rPr>
          <w:rFonts w:ascii="Cambria" w:hAnsi="Cambria"/>
          <w:sz w:val="20"/>
          <w:szCs w:val="20"/>
        </w:rPr>
        <w:t xml:space="preserve"> </w:t>
      </w:r>
      <w:r w:rsidR="000D5CE6" w:rsidRPr="00B26051">
        <w:rPr>
          <w:rFonts w:ascii="Cambria" w:hAnsi="Cambria"/>
          <w:sz w:val="20"/>
          <w:szCs w:val="20"/>
        </w:rPr>
        <w:t>also demonstrate</w:t>
      </w:r>
      <w:r w:rsidR="0008062E">
        <w:rPr>
          <w:rFonts w:ascii="Cambria" w:hAnsi="Cambria"/>
          <w:sz w:val="20"/>
          <w:szCs w:val="20"/>
        </w:rPr>
        <w:t>s</w:t>
      </w:r>
      <w:r w:rsidR="000D5CE6" w:rsidRPr="00B26051">
        <w:rPr>
          <w:rFonts w:ascii="Cambria" w:hAnsi="Cambria"/>
          <w:sz w:val="20"/>
          <w:szCs w:val="20"/>
        </w:rPr>
        <w:t xml:space="preserve"> the absence of an adequate response plan for emergencies such as the fire on June 30, 2005, which ended</w:t>
      </w:r>
      <w:r w:rsidRPr="00B26051">
        <w:rPr>
          <w:rFonts w:ascii="Cambria" w:hAnsi="Cambria"/>
          <w:sz w:val="20"/>
          <w:szCs w:val="20"/>
        </w:rPr>
        <w:t xml:space="preserve"> the lives of the five youths</w:t>
      </w:r>
      <w:r w:rsidR="000D5CE6" w:rsidRPr="00B26051">
        <w:rPr>
          <w:rFonts w:ascii="Cambria" w:hAnsi="Cambria"/>
          <w:sz w:val="20"/>
          <w:szCs w:val="20"/>
        </w:rPr>
        <w:t>.</w:t>
      </w:r>
    </w:p>
    <w:p w14:paraId="7304AD65" w14:textId="77777777" w:rsidR="001C70AA" w:rsidRPr="00B26051" w:rsidRDefault="001C70AA" w:rsidP="00185D58">
      <w:pPr>
        <w:pStyle w:val="ListParagraph"/>
        <w:rPr>
          <w:color w:val="auto"/>
          <w:sz w:val="20"/>
          <w:szCs w:val="20"/>
        </w:rPr>
      </w:pPr>
    </w:p>
    <w:p w14:paraId="35083AAC" w14:textId="60E5D315" w:rsidR="00185D58" w:rsidRPr="00B26051" w:rsidRDefault="000D5CE6"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On the other hand, the inopera</w:t>
      </w:r>
      <w:r w:rsidR="006102B9">
        <w:rPr>
          <w:rFonts w:ascii="Cambria" w:hAnsi="Cambria"/>
          <w:sz w:val="20"/>
          <w:szCs w:val="20"/>
        </w:rPr>
        <w:t>tiv</w:t>
      </w:r>
      <w:r w:rsidRPr="00B26051">
        <w:rPr>
          <w:rFonts w:ascii="Cambria" w:hAnsi="Cambria"/>
          <w:sz w:val="20"/>
          <w:szCs w:val="20"/>
        </w:rPr>
        <w:t>ity of the Center's ed</w:t>
      </w:r>
      <w:r w:rsidR="008100CB" w:rsidRPr="00B26051">
        <w:rPr>
          <w:rFonts w:ascii="Cambria" w:hAnsi="Cambria"/>
          <w:sz w:val="20"/>
          <w:szCs w:val="20"/>
        </w:rPr>
        <w:t>ucation program was verified at</w:t>
      </w:r>
      <w:r w:rsidRPr="00B26051">
        <w:rPr>
          <w:rFonts w:ascii="Cambria" w:hAnsi="Cambria"/>
          <w:sz w:val="20"/>
          <w:szCs w:val="20"/>
        </w:rPr>
        <w:t xml:space="preserve"> the date of the events, as well as the failure to comply with the indiv</w:t>
      </w:r>
      <w:r w:rsidR="001C70AA" w:rsidRPr="00B26051">
        <w:rPr>
          <w:rFonts w:ascii="Cambria" w:hAnsi="Cambria"/>
          <w:sz w:val="20"/>
          <w:szCs w:val="20"/>
        </w:rPr>
        <w:t>idual readaptation plans</w:t>
      </w:r>
      <w:r w:rsidRPr="00B26051">
        <w:rPr>
          <w:rFonts w:ascii="Cambria" w:hAnsi="Cambria"/>
          <w:sz w:val="20"/>
          <w:szCs w:val="20"/>
        </w:rPr>
        <w:t>. The Commission recalls that the failure of the State to provide education to children and adolescents deprived of their liberty "</w:t>
      </w:r>
      <w:r w:rsidR="001C70AA" w:rsidRPr="00B26051">
        <w:rPr>
          <w:rFonts w:ascii="Cambria" w:hAnsi="Cambria"/>
          <w:sz w:val="20"/>
          <w:szCs w:val="20"/>
        </w:rPr>
        <w:t xml:space="preserve">has </w:t>
      </w:r>
      <w:r w:rsidR="006102B9">
        <w:rPr>
          <w:rFonts w:ascii="Cambria" w:hAnsi="Cambria"/>
          <w:sz w:val="20"/>
          <w:szCs w:val="20"/>
        </w:rPr>
        <w:t>even</w:t>
      </w:r>
      <w:r w:rsidR="001C70AA" w:rsidRPr="00B26051">
        <w:rPr>
          <w:rFonts w:ascii="Cambria" w:hAnsi="Cambria"/>
          <w:sz w:val="20"/>
          <w:szCs w:val="20"/>
        </w:rPr>
        <w:t xml:space="preserve"> more</w:t>
      </w:r>
      <w:r w:rsidRPr="00B26051">
        <w:rPr>
          <w:rFonts w:ascii="Cambria" w:hAnsi="Cambria"/>
          <w:sz w:val="20"/>
          <w:szCs w:val="20"/>
        </w:rPr>
        <w:t xml:space="preserve"> serious consequences when </w:t>
      </w:r>
      <w:r w:rsidR="001C70AA" w:rsidRPr="00B26051">
        <w:rPr>
          <w:rFonts w:ascii="Cambria" w:hAnsi="Cambria"/>
          <w:sz w:val="20"/>
          <w:szCs w:val="20"/>
        </w:rPr>
        <w:t xml:space="preserve">the children </w:t>
      </w:r>
      <w:r w:rsidRPr="00B26051">
        <w:rPr>
          <w:rFonts w:ascii="Cambria" w:hAnsi="Cambria"/>
          <w:sz w:val="20"/>
          <w:szCs w:val="20"/>
        </w:rPr>
        <w:t>(...)</w:t>
      </w:r>
      <w:r w:rsidR="001C70AA" w:rsidRPr="00B26051">
        <w:rPr>
          <w:rFonts w:ascii="Cambria" w:hAnsi="Cambria"/>
          <w:sz w:val="20"/>
          <w:szCs w:val="20"/>
        </w:rPr>
        <w:t xml:space="preserve"> are</w:t>
      </w:r>
      <w:r w:rsidRPr="00B26051">
        <w:rPr>
          <w:rFonts w:ascii="Cambria" w:hAnsi="Cambria"/>
          <w:sz w:val="20"/>
          <w:szCs w:val="20"/>
        </w:rPr>
        <w:t xml:space="preserve"> from marginal sectors of society, as </w:t>
      </w:r>
      <w:r w:rsidR="001C70AA" w:rsidRPr="00B26051">
        <w:rPr>
          <w:rFonts w:ascii="Cambria" w:hAnsi="Cambria"/>
          <w:sz w:val="20"/>
          <w:szCs w:val="20"/>
        </w:rPr>
        <w:t>is true in the instant</w:t>
      </w:r>
      <w:r w:rsidRPr="00B26051">
        <w:rPr>
          <w:rFonts w:ascii="Cambria" w:hAnsi="Cambria"/>
          <w:sz w:val="20"/>
          <w:szCs w:val="20"/>
        </w:rPr>
        <w:t xml:space="preserve"> case, </w:t>
      </w:r>
      <w:r w:rsidR="001C70AA" w:rsidRPr="00B26051">
        <w:rPr>
          <w:rFonts w:ascii="Cambria" w:hAnsi="Cambria"/>
          <w:sz w:val="20"/>
          <w:szCs w:val="20"/>
        </w:rPr>
        <w:t xml:space="preserve">because the failure to provide an adequate education limits their chances of </w:t>
      </w:r>
      <w:r w:rsidR="00B26051" w:rsidRPr="00B26051">
        <w:rPr>
          <w:rFonts w:ascii="Cambria" w:hAnsi="Cambria"/>
          <w:sz w:val="20"/>
          <w:szCs w:val="20"/>
        </w:rPr>
        <w:t>actually</w:t>
      </w:r>
      <w:r w:rsidR="001C70AA" w:rsidRPr="00B26051">
        <w:rPr>
          <w:rFonts w:ascii="Cambria" w:hAnsi="Cambria"/>
          <w:sz w:val="20"/>
          <w:szCs w:val="20"/>
        </w:rPr>
        <w:t xml:space="preserve"> rejoining society and carrying forward their life plans</w:t>
      </w:r>
      <w:r w:rsidR="006102B9">
        <w:rPr>
          <w:rFonts w:ascii="Cambria" w:hAnsi="Cambria"/>
          <w:sz w:val="20"/>
          <w:szCs w:val="20"/>
        </w:rPr>
        <w:t>."</w:t>
      </w:r>
      <w:r w:rsidRPr="00B26051">
        <w:rPr>
          <w:rStyle w:val="FootnoteReference"/>
          <w:rFonts w:ascii="Cambria" w:hAnsi="Cambria"/>
          <w:sz w:val="20"/>
          <w:szCs w:val="20"/>
        </w:rPr>
        <w:footnoteReference w:id="149"/>
      </w:r>
      <w:r w:rsidRPr="00B26051">
        <w:rPr>
          <w:rFonts w:ascii="Cambria" w:hAnsi="Cambria"/>
          <w:sz w:val="20"/>
          <w:szCs w:val="20"/>
        </w:rPr>
        <w:t xml:space="preserve"> The Commission considers that this situation constituted a violation of Article 5.6 of the American Convention.</w:t>
      </w:r>
    </w:p>
    <w:p w14:paraId="17BFB865" w14:textId="77777777" w:rsidR="00185D58" w:rsidRPr="00B26051" w:rsidRDefault="00185D58" w:rsidP="00185D58">
      <w:pPr>
        <w:pStyle w:val="ListParagraph"/>
        <w:rPr>
          <w:color w:val="auto"/>
          <w:sz w:val="20"/>
          <w:szCs w:val="20"/>
        </w:rPr>
      </w:pPr>
    </w:p>
    <w:p w14:paraId="3111C15A" w14:textId="04B5E6B0" w:rsidR="00185D58" w:rsidRPr="00B26051" w:rsidRDefault="000D5CE6"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 xml:space="preserve">It was also indicated that the State did not adequately </w:t>
      </w:r>
      <w:r w:rsidR="001C70AA" w:rsidRPr="00B26051">
        <w:rPr>
          <w:rFonts w:ascii="Cambria" w:hAnsi="Cambria"/>
          <w:sz w:val="20"/>
          <w:szCs w:val="20"/>
        </w:rPr>
        <w:t>respond to the fact</w:t>
      </w:r>
      <w:r w:rsidRPr="00B26051">
        <w:rPr>
          <w:rFonts w:ascii="Cambria" w:hAnsi="Cambria"/>
          <w:sz w:val="20"/>
          <w:szCs w:val="20"/>
        </w:rPr>
        <w:t xml:space="preserve"> that the Center lacked adequate facilities to separate the inmates from convicted prisoners, in violation of Article 5.4 of the American Convention and a potential s</w:t>
      </w:r>
      <w:r w:rsidR="001C70AA" w:rsidRPr="00B26051">
        <w:rPr>
          <w:rFonts w:ascii="Cambria" w:hAnsi="Cambria"/>
          <w:sz w:val="20"/>
          <w:szCs w:val="20"/>
        </w:rPr>
        <w:t>ource of violence and tension at</w:t>
      </w:r>
      <w:r w:rsidRPr="00B26051">
        <w:rPr>
          <w:rFonts w:ascii="Cambria" w:hAnsi="Cambria"/>
          <w:sz w:val="20"/>
          <w:szCs w:val="20"/>
        </w:rPr>
        <w:t xml:space="preserve"> the Center.</w:t>
      </w:r>
    </w:p>
    <w:p w14:paraId="11335830" w14:textId="77777777" w:rsidR="00185D58" w:rsidRPr="00B26051" w:rsidRDefault="00185D58" w:rsidP="00185D58">
      <w:pPr>
        <w:pStyle w:val="ListParagraph"/>
        <w:rPr>
          <w:color w:val="auto"/>
          <w:sz w:val="20"/>
          <w:szCs w:val="20"/>
        </w:rPr>
      </w:pPr>
    </w:p>
    <w:p w14:paraId="79CAEFA4" w14:textId="362CFC59" w:rsidR="00185D58" w:rsidRPr="00B26051" w:rsidRDefault="000D5CE6"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 xml:space="preserve">Indeed, there was a situation of </w:t>
      </w:r>
      <w:r w:rsidR="001C70AA" w:rsidRPr="00B26051">
        <w:rPr>
          <w:rFonts w:ascii="Cambria" w:hAnsi="Cambria"/>
          <w:sz w:val="20"/>
          <w:szCs w:val="20"/>
        </w:rPr>
        <w:t>arguments and aggression</w:t>
      </w:r>
      <w:r w:rsidRPr="00B26051">
        <w:rPr>
          <w:rFonts w:ascii="Cambria" w:hAnsi="Cambria"/>
          <w:sz w:val="20"/>
          <w:szCs w:val="20"/>
        </w:rPr>
        <w:t xml:space="preserve"> among the young inmates of the Center. This was verified both in relation to the </w:t>
      </w:r>
      <w:r w:rsidR="001C70AA" w:rsidRPr="00B26051">
        <w:rPr>
          <w:rFonts w:ascii="Cambria" w:hAnsi="Cambria"/>
          <w:sz w:val="20"/>
          <w:szCs w:val="20"/>
        </w:rPr>
        <w:t>specific</w:t>
      </w:r>
      <w:r w:rsidRPr="00B26051">
        <w:rPr>
          <w:rFonts w:ascii="Cambria" w:hAnsi="Cambria"/>
          <w:sz w:val="20"/>
          <w:szCs w:val="20"/>
        </w:rPr>
        <w:t xml:space="preserve"> situation of the vic</w:t>
      </w:r>
      <w:r w:rsidR="001C70AA" w:rsidRPr="00B26051">
        <w:rPr>
          <w:rFonts w:ascii="Cambria" w:hAnsi="Cambria"/>
          <w:sz w:val="20"/>
          <w:szCs w:val="20"/>
        </w:rPr>
        <w:t>tims of cell No. 4, and in the frequent</w:t>
      </w:r>
      <w:r w:rsidRPr="00B26051">
        <w:rPr>
          <w:rFonts w:ascii="Cambria" w:hAnsi="Cambria"/>
          <w:sz w:val="20"/>
          <w:szCs w:val="20"/>
        </w:rPr>
        <w:t xml:space="preserve"> references throughout the case to situations of violence, fights between inmates, and historical </w:t>
      </w:r>
      <w:r w:rsidR="001C70AA" w:rsidRPr="00B26051">
        <w:rPr>
          <w:rFonts w:ascii="Cambria" w:hAnsi="Cambria"/>
          <w:sz w:val="20"/>
          <w:szCs w:val="20"/>
        </w:rPr>
        <w:t>conflict</w:t>
      </w:r>
      <w:r w:rsidRPr="00B26051">
        <w:rPr>
          <w:rFonts w:ascii="Cambria" w:hAnsi="Cambria"/>
          <w:sz w:val="20"/>
          <w:szCs w:val="20"/>
        </w:rPr>
        <w:t xml:space="preserve"> among the v</w:t>
      </w:r>
      <w:r w:rsidR="001C70AA" w:rsidRPr="00B26051">
        <w:rPr>
          <w:rFonts w:ascii="Cambria" w:hAnsi="Cambria"/>
          <w:sz w:val="20"/>
          <w:szCs w:val="20"/>
        </w:rPr>
        <w:t>arious groups of youths</w:t>
      </w:r>
      <w:r w:rsidRPr="00B26051">
        <w:rPr>
          <w:rFonts w:ascii="Cambria" w:hAnsi="Cambria"/>
          <w:sz w:val="20"/>
          <w:szCs w:val="20"/>
        </w:rPr>
        <w:t xml:space="preserve"> in center. The </w:t>
      </w:r>
      <w:r w:rsidR="001C70AA" w:rsidRPr="00B26051">
        <w:rPr>
          <w:rFonts w:ascii="Cambria" w:hAnsi="Cambria"/>
          <w:sz w:val="20"/>
          <w:szCs w:val="20"/>
        </w:rPr>
        <w:t>case file</w:t>
      </w:r>
      <w:r w:rsidRPr="00B26051">
        <w:rPr>
          <w:rFonts w:ascii="Cambria" w:hAnsi="Cambria"/>
          <w:sz w:val="20"/>
          <w:szCs w:val="20"/>
        </w:rPr>
        <w:t xml:space="preserve"> does not include the adoption of specific and comprehensive plans aime</w:t>
      </w:r>
      <w:r w:rsidR="001C70AA" w:rsidRPr="00B26051">
        <w:rPr>
          <w:rFonts w:ascii="Cambria" w:hAnsi="Cambria"/>
          <w:sz w:val="20"/>
          <w:szCs w:val="20"/>
        </w:rPr>
        <w:t>d at eradicating this situation</w:t>
      </w:r>
      <w:r w:rsidR="008100CB" w:rsidRPr="00B26051">
        <w:rPr>
          <w:rFonts w:ascii="Cambria" w:hAnsi="Cambria"/>
          <w:sz w:val="20"/>
          <w:szCs w:val="20"/>
        </w:rPr>
        <w:t>, despite that fact that</w:t>
      </w:r>
      <w:r w:rsidRPr="00B26051">
        <w:rPr>
          <w:rFonts w:ascii="Cambria" w:hAnsi="Cambria"/>
          <w:sz w:val="20"/>
          <w:szCs w:val="20"/>
        </w:rPr>
        <w:t xml:space="preserve"> it was a source of serious and permanent risk to the life and personal integrity of </w:t>
      </w:r>
      <w:r w:rsidR="001C70AA" w:rsidRPr="00B26051">
        <w:rPr>
          <w:rFonts w:ascii="Cambria" w:hAnsi="Cambria"/>
          <w:sz w:val="20"/>
          <w:szCs w:val="20"/>
        </w:rPr>
        <w:t xml:space="preserve">the </w:t>
      </w:r>
      <w:r w:rsidRPr="00B26051">
        <w:rPr>
          <w:rFonts w:ascii="Cambria" w:hAnsi="Cambria"/>
          <w:sz w:val="20"/>
          <w:szCs w:val="20"/>
        </w:rPr>
        <w:t xml:space="preserve">adolescents. On the contrary, the </w:t>
      </w:r>
      <w:r w:rsidR="001C70AA" w:rsidRPr="00B26051">
        <w:rPr>
          <w:rFonts w:ascii="Cambria" w:hAnsi="Cambria"/>
          <w:sz w:val="20"/>
          <w:szCs w:val="20"/>
        </w:rPr>
        <w:t>aforementioned ongoing</w:t>
      </w:r>
      <w:r w:rsidRPr="00B26051">
        <w:rPr>
          <w:rFonts w:ascii="Cambria" w:hAnsi="Cambria"/>
          <w:sz w:val="20"/>
          <w:szCs w:val="20"/>
        </w:rPr>
        <w:t xml:space="preserve"> </w:t>
      </w:r>
      <w:r w:rsidR="001C70AA" w:rsidRPr="00B26051">
        <w:rPr>
          <w:rFonts w:ascii="Cambria" w:hAnsi="Cambria"/>
          <w:sz w:val="20"/>
          <w:szCs w:val="20"/>
        </w:rPr>
        <w:t>situations highlight</w:t>
      </w:r>
      <w:r w:rsidRPr="00B26051">
        <w:rPr>
          <w:rFonts w:ascii="Cambria" w:hAnsi="Cambria"/>
          <w:sz w:val="20"/>
          <w:szCs w:val="20"/>
        </w:rPr>
        <w:t xml:space="preserve"> the indifference on the part of the State towards such risks.</w:t>
      </w:r>
    </w:p>
    <w:p w14:paraId="79586E58" w14:textId="77777777" w:rsidR="00185D58" w:rsidRPr="00B26051" w:rsidRDefault="00185D58" w:rsidP="00185D58">
      <w:pPr>
        <w:pStyle w:val="ListParagraph"/>
        <w:rPr>
          <w:color w:val="auto"/>
          <w:sz w:val="20"/>
          <w:szCs w:val="20"/>
        </w:rPr>
      </w:pPr>
    </w:p>
    <w:p w14:paraId="508E2B44" w14:textId="16AD26BF" w:rsidR="00185D58" w:rsidRPr="00B26051" w:rsidRDefault="000D5CE6"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 xml:space="preserve">The Commission also notes that the INAM-San </w:t>
      </w:r>
      <w:r w:rsidR="002033A9" w:rsidRPr="00B26051">
        <w:rPr>
          <w:rFonts w:ascii="Cambria" w:hAnsi="Cambria"/>
          <w:sz w:val="20"/>
          <w:szCs w:val="20"/>
        </w:rPr>
        <w:t>Félix</w:t>
      </w:r>
      <w:r w:rsidRPr="00B26051">
        <w:rPr>
          <w:rFonts w:ascii="Cambria" w:hAnsi="Cambria"/>
          <w:sz w:val="20"/>
          <w:szCs w:val="20"/>
        </w:rPr>
        <w:t xml:space="preserve"> authorities indicated that the Center was not built in a </w:t>
      </w:r>
      <w:r w:rsidR="002033A9" w:rsidRPr="00B26051">
        <w:rPr>
          <w:rFonts w:ascii="Cambria" w:hAnsi="Cambria"/>
          <w:sz w:val="20"/>
          <w:szCs w:val="20"/>
        </w:rPr>
        <w:t>way</w:t>
      </w:r>
      <w:r w:rsidR="008100CB" w:rsidRPr="00B26051">
        <w:rPr>
          <w:rFonts w:ascii="Cambria" w:hAnsi="Cambria"/>
          <w:sz w:val="20"/>
          <w:szCs w:val="20"/>
        </w:rPr>
        <w:t xml:space="preserve"> that allowed</w:t>
      </w:r>
      <w:r w:rsidRPr="00B26051">
        <w:rPr>
          <w:rFonts w:ascii="Cambria" w:hAnsi="Cambria"/>
          <w:sz w:val="20"/>
          <w:szCs w:val="20"/>
        </w:rPr>
        <w:t xml:space="preserve"> </w:t>
      </w:r>
      <w:r w:rsidR="002033A9" w:rsidRPr="00B26051">
        <w:rPr>
          <w:rFonts w:ascii="Cambria" w:hAnsi="Cambria"/>
          <w:sz w:val="20"/>
          <w:szCs w:val="20"/>
        </w:rPr>
        <w:t xml:space="preserve">the </w:t>
      </w:r>
      <w:r w:rsidRPr="00B26051">
        <w:rPr>
          <w:rFonts w:ascii="Cambria" w:hAnsi="Cambria"/>
          <w:sz w:val="20"/>
          <w:szCs w:val="20"/>
        </w:rPr>
        <w:t xml:space="preserve">separation </w:t>
      </w:r>
      <w:r w:rsidR="002033A9" w:rsidRPr="00B26051">
        <w:rPr>
          <w:rFonts w:ascii="Cambria" w:hAnsi="Cambria"/>
          <w:sz w:val="20"/>
          <w:szCs w:val="20"/>
        </w:rPr>
        <w:t>of</w:t>
      </w:r>
      <w:r w:rsidRPr="00B26051">
        <w:rPr>
          <w:rFonts w:ascii="Cambria" w:hAnsi="Cambria"/>
          <w:sz w:val="20"/>
          <w:szCs w:val="20"/>
        </w:rPr>
        <w:t xml:space="preserve"> minors and adults. Although the practice at the Center was to locate inmates over 18 and under 18 years of age in separate cells, the national director of INAM indicated that the lack o</w:t>
      </w:r>
      <w:r w:rsidR="002033A9" w:rsidRPr="00B26051">
        <w:rPr>
          <w:rFonts w:ascii="Cambria" w:hAnsi="Cambria"/>
          <w:sz w:val="20"/>
          <w:szCs w:val="20"/>
        </w:rPr>
        <w:t>f adequate facilities "generated</w:t>
      </w:r>
      <w:r w:rsidRPr="00B26051">
        <w:rPr>
          <w:rFonts w:ascii="Cambria" w:hAnsi="Cambria"/>
          <w:sz w:val="20"/>
          <w:szCs w:val="20"/>
        </w:rPr>
        <w:t xml:space="preserve"> a series of </w:t>
      </w:r>
      <w:r w:rsidR="002033A9" w:rsidRPr="00B26051">
        <w:rPr>
          <w:rFonts w:ascii="Cambria" w:hAnsi="Cambria"/>
          <w:sz w:val="20"/>
          <w:szCs w:val="20"/>
        </w:rPr>
        <w:t>ongoing</w:t>
      </w:r>
      <w:r w:rsidRPr="00B26051">
        <w:rPr>
          <w:rFonts w:ascii="Cambria" w:hAnsi="Cambria"/>
          <w:sz w:val="20"/>
          <w:szCs w:val="20"/>
        </w:rPr>
        <w:t xml:space="preserve"> confrontatio</w:t>
      </w:r>
      <w:r w:rsidR="002033A9" w:rsidRPr="00B26051">
        <w:rPr>
          <w:rFonts w:ascii="Cambria" w:hAnsi="Cambria"/>
          <w:sz w:val="20"/>
          <w:szCs w:val="20"/>
        </w:rPr>
        <w:t xml:space="preserve">ns [among the inmates] </w:t>
      </w:r>
      <w:r w:rsidR="006102B9">
        <w:rPr>
          <w:rFonts w:ascii="Cambria" w:hAnsi="Cambria"/>
          <w:sz w:val="20"/>
          <w:szCs w:val="20"/>
        </w:rPr>
        <w:t xml:space="preserve">that escaped </w:t>
      </w:r>
      <w:r w:rsidR="002033A9" w:rsidRPr="00B26051">
        <w:rPr>
          <w:rFonts w:ascii="Cambria" w:hAnsi="Cambria"/>
          <w:sz w:val="20"/>
          <w:szCs w:val="20"/>
        </w:rPr>
        <w:t>our control</w:t>
      </w:r>
      <w:r w:rsidR="006102B9">
        <w:rPr>
          <w:rFonts w:ascii="Cambria" w:hAnsi="Cambria"/>
          <w:sz w:val="20"/>
          <w:szCs w:val="20"/>
        </w:rPr>
        <w:t>."</w:t>
      </w:r>
      <w:r w:rsidRPr="00B26051">
        <w:rPr>
          <w:rFonts w:ascii="Cambria" w:hAnsi="Cambria"/>
          <w:sz w:val="20"/>
          <w:szCs w:val="20"/>
        </w:rPr>
        <w:t xml:space="preserve"> In that sense, in addition to </w:t>
      </w:r>
      <w:r w:rsidR="002033A9" w:rsidRPr="00B26051">
        <w:rPr>
          <w:rFonts w:ascii="Cambria" w:hAnsi="Cambria"/>
          <w:sz w:val="20"/>
          <w:szCs w:val="20"/>
        </w:rPr>
        <w:t>being</w:t>
      </w:r>
      <w:r w:rsidRPr="00B26051">
        <w:rPr>
          <w:rFonts w:ascii="Cambria" w:hAnsi="Cambria"/>
          <w:sz w:val="20"/>
          <w:szCs w:val="20"/>
        </w:rPr>
        <w:t xml:space="preserve"> a violation of Article 5.5 of the American Convention, this situation was an additional factor </w:t>
      </w:r>
      <w:r w:rsidR="002033A9" w:rsidRPr="00B26051">
        <w:rPr>
          <w:rFonts w:ascii="Cambria" w:hAnsi="Cambria"/>
          <w:sz w:val="20"/>
          <w:szCs w:val="20"/>
        </w:rPr>
        <w:t>contributing</w:t>
      </w:r>
      <w:r w:rsidR="00A24BA9" w:rsidRPr="00B26051">
        <w:rPr>
          <w:rFonts w:ascii="Cambria" w:hAnsi="Cambria"/>
          <w:sz w:val="20"/>
          <w:szCs w:val="20"/>
        </w:rPr>
        <w:t xml:space="preserve"> to conflict at</w:t>
      </w:r>
      <w:r w:rsidRPr="00B26051">
        <w:rPr>
          <w:rFonts w:ascii="Cambria" w:hAnsi="Cambria"/>
          <w:sz w:val="20"/>
          <w:szCs w:val="20"/>
        </w:rPr>
        <w:t xml:space="preserve"> the Center.</w:t>
      </w:r>
    </w:p>
    <w:p w14:paraId="791EAEEF" w14:textId="77777777" w:rsidR="00185D58" w:rsidRPr="00B26051" w:rsidRDefault="00185D58" w:rsidP="00185D58">
      <w:pPr>
        <w:pStyle w:val="ListParagraph"/>
        <w:rPr>
          <w:color w:val="auto"/>
          <w:sz w:val="20"/>
          <w:szCs w:val="20"/>
        </w:rPr>
      </w:pPr>
    </w:p>
    <w:p w14:paraId="292A01DC" w14:textId="4E085681" w:rsidR="00185D58" w:rsidRPr="00B26051" w:rsidRDefault="000D5CE6"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lastRenderedPageBreak/>
        <w:t xml:space="preserve">Finally, the Commission notes the allegations contained in the case file regarding the lack of specialized </w:t>
      </w:r>
      <w:r w:rsidR="001022ED" w:rsidRPr="00B26051">
        <w:rPr>
          <w:rFonts w:ascii="Cambria" w:hAnsi="Cambria"/>
          <w:sz w:val="20"/>
          <w:szCs w:val="20"/>
        </w:rPr>
        <w:t xml:space="preserve">children’s </w:t>
      </w:r>
      <w:r w:rsidRPr="00B26051">
        <w:rPr>
          <w:rFonts w:ascii="Cambria" w:hAnsi="Cambria"/>
          <w:sz w:val="20"/>
          <w:szCs w:val="20"/>
        </w:rPr>
        <w:t xml:space="preserve">courts, as well as allegations that the ordinary courts of </w:t>
      </w:r>
      <w:r w:rsidR="001022ED" w:rsidRPr="00B26051">
        <w:rPr>
          <w:rFonts w:ascii="Cambria" w:hAnsi="Cambria"/>
          <w:sz w:val="20"/>
          <w:szCs w:val="20"/>
        </w:rPr>
        <w:t>Bolívar</w:t>
      </w:r>
      <w:r w:rsidRPr="00B26051">
        <w:rPr>
          <w:rFonts w:ascii="Cambria" w:hAnsi="Cambria"/>
          <w:sz w:val="20"/>
          <w:szCs w:val="20"/>
        </w:rPr>
        <w:t xml:space="preserve"> State </w:t>
      </w:r>
      <w:r w:rsidR="001022ED" w:rsidRPr="00B26051">
        <w:rPr>
          <w:rFonts w:ascii="Cambria" w:hAnsi="Cambria"/>
          <w:sz w:val="20"/>
          <w:szCs w:val="20"/>
        </w:rPr>
        <w:t>conducting the criminal trials</w:t>
      </w:r>
      <w:r w:rsidRPr="00B26051">
        <w:rPr>
          <w:rFonts w:ascii="Cambria" w:hAnsi="Cambria"/>
          <w:sz w:val="20"/>
          <w:szCs w:val="20"/>
        </w:rPr>
        <w:t xml:space="preserve"> against minors </w:t>
      </w:r>
      <w:r w:rsidR="001022ED" w:rsidRPr="00B26051">
        <w:rPr>
          <w:rFonts w:ascii="Cambria" w:hAnsi="Cambria"/>
          <w:sz w:val="20"/>
          <w:szCs w:val="20"/>
        </w:rPr>
        <w:t>took decisions in contravention of domestic</w:t>
      </w:r>
      <w:r w:rsidRPr="00B26051">
        <w:rPr>
          <w:rFonts w:ascii="Cambria" w:hAnsi="Cambria"/>
          <w:sz w:val="20"/>
          <w:szCs w:val="20"/>
        </w:rPr>
        <w:t xml:space="preserve"> law for the protection of children. These references from state agents were not contested by the Venezuelan State, and therefore constituted an additional violation of Article 5.5 of the Convention.</w:t>
      </w:r>
    </w:p>
    <w:p w14:paraId="4B96124A" w14:textId="77777777" w:rsidR="00185D58" w:rsidRPr="00B26051" w:rsidRDefault="00185D58" w:rsidP="00185D58">
      <w:pPr>
        <w:pStyle w:val="ListParagraph"/>
        <w:rPr>
          <w:color w:val="auto"/>
          <w:sz w:val="20"/>
          <w:szCs w:val="20"/>
        </w:rPr>
      </w:pPr>
    </w:p>
    <w:p w14:paraId="574871A8" w14:textId="75F398B4" w:rsidR="00185D58" w:rsidRPr="00B26051" w:rsidRDefault="000D5CE6"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 xml:space="preserve">The Commission considers that the continuity and </w:t>
      </w:r>
      <w:r w:rsidR="001022ED" w:rsidRPr="00B26051">
        <w:rPr>
          <w:rFonts w:ascii="Cambria" w:hAnsi="Cambria"/>
          <w:sz w:val="20"/>
          <w:szCs w:val="20"/>
        </w:rPr>
        <w:t>overlapping</w:t>
      </w:r>
      <w:r w:rsidRPr="00B26051">
        <w:rPr>
          <w:rFonts w:ascii="Cambria" w:hAnsi="Cambria"/>
          <w:sz w:val="20"/>
          <w:szCs w:val="20"/>
        </w:rPr>
        <w:t xml:space="preserve"> of all these elements</w:t>
      </w:r>
      <w:r w:rsidR="006102B9">
        <w:rPr>
          <w:rFonts w:ascii="Cambria" w:hAnsi="Cambria"/>
          <w:sz w:val="20"/>
          <w:szCs w:val="20"/>
        </w:rPr>
        <w:t>—</w:t>
      </w:r>
      <w:r w:rsidR="001022ED" w:rsidRPr="00B26051">
        <w:rPr>
          <w:rFonts w:ascii="Cambria" w:hAnsi="Cambria"/>
          <w:sz w:val="20"/>
          <w:szCs w:val="20"/>
        </w:rPr>
        <w:t>well-known to the competent authorities,</w:t>
      </w:r>
      <w:r w:rsidRPr="00B26051">
        <w:rPr>
          <w:rFonts w:ascii="Cambria" w:hAnsi="Cambria"/>
          <w:sz w:val="20"/>
          <w:szCs w:val="20"/>
        </w:rPr>
        <w:t xml:space="preserve"> both </w:t>
      </w:r>
      <w:r w:rsidR="006102B9">
        <w:rPr>
          <w:rFonts w:ascii="Cambria" w:hAnsi="Cambria"/>
          <w:sz w:val="20"/>
          <w:szCs w:val="20"/>
        </w:rPr>
        <w:t xml:space="preserve">of </w:t>
      </w:r>
      <w:r w:rsidRPr="00B26051">
        <w:rPr>
          <w:rFonts w:ascii="Cambria" w:hAnsi="Cambria"/>
          <w:sz w:val="20"/>
          <w:szCs w:val="20"/>
        </w:rPr>
        <w:t xml:space="preserve">the </w:t>
      </w:r>
      <w:r w:rsidR="006102B9">
        <w:rPr>
          <w:rFonts w:ascii="Cambria" w:hAnsi="Cambria"/>
          <w:sz w:val="20"/>
          <w:szCs w:val="20"/>
        </w:rPr>
        <w:t>c</w:t>
      </w:r>
      <w:r w:rsidRPr="00B26051">
        <w:rPr>
          <w:rFonts w:ascii="Cambria" w:hAnsi="Cambria"/>
          <w:sz w:val="20"/>
          <w:szCs w:val="20"/>
        </w:rPr>
        <w:t xml:space="preserve">enter and </w:t>
      </w:r>
      <w:r w:rsidR="006102B9">
        <w:rPr>
          <w:rFonts w:ascii="Cambria" w:hAnsi="Cambria"/>
          <w:sz w:val="20"/>
          <w:szCs w:val="20"/>
        </w:rPr>
        <w:t xml:space="preserve">in </w:t>
      </w:r>
      <w:r w:rsidRPr="00B26051">
        <w:rPr>
          <w:rFonts w:ascii="Cambria" w:hAnsi="Cambria"/>
          <w:sz w:val="20"/>
          <w:szCs w:val="20"/>
        </w:rPr>
        <w:t>the judiciary</w:t>
      </w:r>
      <w:r w:rsidR="006102B9">
        <w:rPr>
          <w:rFonts w:ascii="Cambria" w:hAnsi="Cambria"/>
          <w:sz w:val="20"/>
          <w:szCs w:val="20"/>
        </w:rPr>
        <w:t>—</w:t>
      </w:r>
      <w:r w:rsidRPr="00B26051">
        <w:rPr>
          <w:rFonts w:ascii="Cambria" w:hAnsi="Cambria"/>
          <w:sz w:val="20"/>
          <w:szCs w:val="20"/>
        </w:rPr>
        <w:t xml:space="preserve">contributed to the creation of a situation </w:t>
      </w:r>
      <w:r w:rsidR="001022ED" w:rsidRPr="00B26051">
        <w:rPr>
          <w:rFonts w:ascii="Cambria" w:hAnsi="Cambria"/>
          <w:sz w:val="20"/>
          <w:szCs w:val="20"/>
        </w:rPr>
        <w:t xml:space="preserve">involving </w:t>
      </w:r>
      <w:r w:rsidRPr="00B26051">
        <w:rPr>
          <w:rFonts w:ascii="Cambria" w:hAnsi="Cambria"/>
          <w:sz w:val="20"/>
          <w:szCs w:val="20"/>
        </w:rPr>
        <w:t xml:space="preserve">violence, such as the </w:t>
      </w:r>
      <w:r w:rsidR="001022ED" w:rsidRPr="00B26051">
        <w:rPr>
          <w:rFonts w:ascii="Cambria" w:hAnsi="Cambria"/>
          <w:sz w:val="20"/>
          <w:szCs w:val="20"/>
        </w:rPr>
        <w:t>argument</w:t>
      </w:r>
      <w:r w:rsidRPr="00B26051">
        <w:rPr>
          <w:rFonts w:ascii="Cambria" w:hAnsi="Cambria"/>
          <w:sz w:val="20"/>
          <w:szCs w:val="20"/>
        </w:rPr>
        <w:t xml:space="preserve"> between cells No. 2 and No. 4 and the resulting fire in the present case.</w:t>
      </w:r>
    </w:p>
    <w:p w14:paraId="113D0C88" w14:textId="77777777" w:rsidR="00185D58" w:rsidRPr="00B26051" w:rsidRDefault="00185D58" w:rsidP="00185D58">
      <w:pPr>
        <w:pStyle w:val="ListParagraph"/>
        <w:rPr>
          <w:color w:val="auto"/>
          <w:sz w:val="20"/>
          <w:szCs w:val="20"/>
        </w:rPr>
      </w:pPr>
    </w:p>
    <w:p w14:paraId="6E16705B" w14:textId="47471AB7" w:rsidR="00185D58" w:rsidRPr="00B26051" w:rsidRDefault="000D5CE6"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 xml:space="preserve">On the other hand, </w:t>
      </w:r>
      <w:r w:rsidR="006102B9">
        <w:rPr>
          <w:rFonts w:ascii="Cambria" w:hAnsi="Cambria"/>
          <w:sz w:val="20"/>
          <w:szCs w:val="20"/>
        </w:rPr>
        <w:t>and in addition to</w:t>
      </w:r>
      <w:r w:rsidRPr="00B26051">
        <w:rPr>
          <w:rFonts w:ascii="Cambria" w:hAnsi="Cambria"/>
          <w:sz w:val="20"/>
          <w:szCs w:val="20"/>
        </w:rPr>
        <w:t xml:space="preserve"> the precarious conditions of the INAM-San </w:t>
      </w:r>
      <w:r w:rsidR="002033A9" w:rsidRPr="00B26051">
        <w:rPr>
          <w:rFonts w:ascii="Cambria" w:hAnsi="Cambria"/>
          <w:sz w:val="20"/>
          <w:szCs w:val="20"/>
        </w:rPr>
        <w:t>Félix</w:t>
      </w:r>
      <w:r w:rsidRPr="00B26051">
        <w:rPr>
          <w:rFonts w:ascii="Cambria" w:hAnsi="Cambria"/>
          <w:sz w:val="20"/>
          <w:szCs w:val="20"/>
        </w:rPr>
        <w:t xml:space="preserve"> in general, the Commission considers that there were also a series of clear </w:t>
      </w:r>
      <w:r w:rsidR="00952C13" w:rsidRPr="00B26051">
        <w:rPr>
          <w:rFonts w:ascii="Cambria" w:hAnsi="Cambria"/>
          <w:sz w:val="20"/>
          <w:szCs w:val="20"/>
        </w:rPr>
        <w:t>signals</w:t>
      </w:r>
      <w:r w:rsidRPr="00B26051">
        <w:rPr>
          <w:rFonts w:ascii="Cambria" w:hAnsi="Cambria"/>
          <w:sz w:val="20"/>
          <w:szCs w:val="20"/>
        </w:rPr>
        <w:t xml:space="preserve"> on the day of the events, </w:t>
      </w:r>
      <w:r w:rsidR="00B26051" w:rsidRPr="00B26051">
        <w:rPr>
          <w:rFonts w:ascii="Cambria" w:hAnsi="Cambria"/>
          <w:sz w:val="20"/>
          <w:szCs w:val="20"/>
        </w:rPr>
        <w:t>alerting</w:t>
      </w:r>
      <w:r w:rsidRPr="00B26051">
        <w:rPr>
          <w:rFonts w:ascii="Cambria" w:hAnsi="Cambria"/>
          <w:sz w:val="20"/>
          <w:szCs w:val="20"/>
        </w:rPr>
        <w:t xml:space="preserve"> the Center's personnel </w:t>
      </w:r>
      <w:r w:rsidR="00952C13" w:rsidRPr="00B26051">
        <w:rPr>
          <w:rFonts w:ascii="Cambria" w:hAnsi="Cambria"/>
          <w:sz w:val="20"/>
          <w:szCs w:val="20"/>
        </w:rPr>
        <w:t>to the imminent violent episode</w:t>
      </w:r>
      <w:r w:rsidRPr="00B26051">
        <w:rPr>
          <w:rFonts w:ascii="Cambria" w:hAnsi="Cambria"/>
          <w:sz w:val="20"/>
          <w:szCs w:val="20"/>
        </w:rPr>
        <w:t xml:space="preserve">. In this sense, the </w:t>
      </w:r>
      <w:r w:rsidR="00952C13" w:rsidRPr="00B26051">
        <w:rPr>
          <w:rFonts w:ascii="Cambria" w:hAnsi="Cambria"/>
          <w:sz w:val="20"/>
          <w:szCs w:val="20"/>
        </w:rPr>
        <w:t xml:space="preserve">Center’s </w:t>
      </w:r>
      <w:r w:rsidRPr="00B26051">
        <w:rPr>
          <w:rFonts w:ascii="Cambria" w:hAnsi="Cambria"/>
          <w:sz w:val="20"/>
          <w:szCs w:val="20"/>
        </w:rPr>
        <w:t xml:space="preserve">personnel </w:t>
      </w:r>
      <w:r w:rsidR="00952C13" w:rsidRPr="00B26051">
        <w:rPr>
          <w:rFonts w:ascii="Cambria" w:hAnsi="Cambria"/>
          <w:sz w:val="20"/>
          <w:szCs w:val="20"/>
        </w:rPr>
        <w:t>knew of</w:t>
      </w:r>
      <w:r w:rsidRPr="00B26051">
        <w:rPr>
          <w:rFonts w:ascii="Cambria" w:hAnsi="Cambria"/>
          <w:sz w:val="20"/>
          <w:szCs w:val="20"/>
        </w:rPr>
        <w:t xml:space="preserve"> the fight between Rafa</w:t>
      </w:r>
      <w:r w:rsidR="008100CB" w:rsidRPr="00B26051">
        <w:rPr>
          <w:rFonts w:ascii="Cambria" w:hAnsi="Cambria"/>
          <w:sz w:val="20"/>
          <w:szCs w:val="20"/>
        </w:rPr>
        <w:t>el Parra and "the Boxer" at midday</w:t>
      </w:r>
      <w:r w:rsidRPr="00B26051">
        <w:rPr>
          <w:rFonts w:ascii="Cambria" w:hAnsi="Cambria"/>
          <w:sz w:val="20"/>
          <w:szCs w:val="20"/>
        </w:rPr>
        <w:t>; the aggression of the inmates of the cell no. 7 against the youth</w:t>
      </w:r>
      <w:r w:rsidR="00952C13" w:rsidRPr="00B26051">
        <w:rPr>
          <w:rFonts w:ascii="Cambria" w:hAnsi="Cambria"/>
          <w:sz w:val="20"/>
          <w:szCs w:val="20"/>
        </w:rPr>
        <w:t>s</w:t>
      </w:r>
      <w:r w:rsidRPr="00B26051">
        <w:rPr>
          <w:rFonts w:ascii="Cambria" w:hAnsi="Cambria"/>
          <w:sz w:val="20"/>
          <w:szCs w:val="20"/>
        </w:rPr>
        <w:t xml:space="preserve"> in cell No. 4 at </w:t>
      </w:r>
      <w:r w:rsidR="00952C13" w:rsidRPr="00B26051">
        <w:rPr>
          <w:rFonts w:ascii="Cambria" w:hAnsi="Cambria"/>
          <w:sz w:val="20"/>
          <w:szCs w:val="20"/>
        </w:rPr>
        <w:t>visiting time</w:t>
      </w:r>
      <w:r w:rsidRPr="00B26051">
        <w:rPr>
          <w:rFonts w:ascii="Cambria" w:hAnsi="Cambria"/>
          <w:sz w:val="20"/>
          <w:szCs w:val="20"/>
        </w:rPr>
        <w:t xml:space="preserve">; the aggression of the Center's inmates against Carlos Zabala and José Alberto Lira </w:t>
      </w:r>
      <w:r w:rsidR="00952C13" w:rsidRPr="00B26051">
        <w:rPr>
          <w:rFonts w:ascii="Cambria" w:hAnsi="Cambria"/>
          <w:sz w:val="20"/>
          <w:szCs w:val="20"/>
        </w:rPr>
        <w:t>at the time of their</w:t>
      </w:r>
      <w:r w:rsidRPr="00B26051">
        <w:rPr>
          <w:rFonts w:ascii="Cambria" w:hAnsi="Cambria"/>
          <w:sz w:val="20"/>
          <w:szCs w:val="20"/>
        </w:rPr>
        <w:t xml:space="preserve"> release from the Center; as well as the concern expressed by the relatives of the victims for thei</w:t>
      </w:r>
      <w:r w:rsidR="00952C13" w:rsidRPr="00B26051">
        <w:rPr>
          <w:rFonts w:ascii="Cambria" w:hAnsi="Cambria"/>
          <w:sz w:val="20"/>
          <w:szCs w:val="20"/>
        </w:rPr>
        <w:t xml:space="preserve">r safety once visiting </w:t>
      </w:r>
      <w:r w:rsidR="006102B9">
        <w:rPr>
          <w:rFonts w:ascii="Cambria" w:hAnsi="Cambria"/>
          <w:sz w:val="20"/>
          <w:szCs w:val="20"/>
        </w:rPr>
        <w:t>hours were</w:t>
      </w:r>
      <w:r w:rsidR="00952C13" w:rsidRPr="00B26051">
        <w:rPr>
          <w:rFonts w:ascii="Cambria" w:hAnsi="Cambria"/>
          <w:sz w:val="20"/>
          <w:szCs w:val="20"/>
        </w:rPr>
        <w:t xml:space="preserve"> over. Given all these elements</w:t>
      </w:r>
      <w:r w:rsidRPr="00B26051">
        <w:rPr>
          <w:rFonts w:ascii="Cambria" w:hAnsi="Cambria"/>
          <w:sz w:val="20"/>
          <w:szCs w:val="20"/>
        </w:rPr>
        <w:t xml:space="preserve">, the only containment </w:t>
      </w:r>
      <w:r w:rsidR="00952C13" w:rsidRPr="00B26051">
        <w:rPr>
          <w:rFonts w:ascii="Cambria" w:hAnsi="Cambria"/>
          <w:sz w:val="20"/>
          <w:szCs w:val="20"/>
        </w:rPr>
        <w:t xml:space="preserve">measures taken </w:t>
      </w:r>
      <w:r w:rsidRPr="00B26051">
        <w:rPr>
          <w:rFonts w:ascii="Cambria" w:hAnsi="Cambria"/>
          <w:sz w:val="20"/>
          <w:szCs w:val="20"/>
        </w:rPr>
        <w:t xml:space="preserve">were assistant </w:t>
      </w:r>
      <w:r w:rsidR="00DA4E58" w:rsidRPr="00B26051">
        <w:rPr>
          <w:rFonts w:ascii="Cambria" w:hAnsi="Cambria"/>
          <w:sz w:val="20"/>
          <w:szCs w:val="20"/>
        </w:rPr>
        <w:t>Brígida</w:t>
      </w:r>
      <w:r w:rsidRPr="00B26051">
        <w:rPr>
          <w:rFonts w:ascii="Cambria" w:hAnsi="Cambria"/>
          <w:sz w:val="20"/>
          <w:szCs w:val="20"/>
        </w:rPr>
        <w:t xml:space="preserve"> Hurtado</w:t>
      </w:r>
      <w:r w:rsidR="008100CB" w:rsidRPr="00B26051">
        <w:rPr>
          <w:rFonts w:ascii="Cambria" w:hAnsi="Cambria"/>
          <w:sz w:val="20"/>
          <w:szCs w:val="20"/>
        </w:rPr>
        <w:t>’s</w:t>
      </w:r>
      <w:r w:rsidR="00952C13" w:rsidRPr="00B26051">
        <w:rPr>
          <w:rFonts w:ascii="Cambria" w:hAnsi="Cambria"/>
          <w:sz w:val="20"/>
          <w:szCs w:val="20"/>
        </w:rPr>
        <w:t xml:space="preserve"> extended work schedule</w:t>
      </w:r>
      <w:r w:rsidRPr="00B26051">
        <w:rPr>
          <w:rFonts w:ascii="Cambria" w:hAnsi="Cambria"/>
          <w:sz w:val="20"/>
          <w:szCs w:val="20"/>
        </w:rPr>
        <w:t xml:space="preserve"> and the confinement of the inmates of cell No. 4 </w:t>
      </w:r>
      <w:r w:rsidR="00952C13" w:rsidRPr="00B26051">
        <w:rPr>
          <w:rFonts w:ascii="Cambria" w:hAnsi="Cambria"/>
          <w:sz w:val="20"/>
          <w:szCs w:val="20"/>
        </w:rPr>
        <w:t>after visiting hours</w:t>
      </w:r>
      <w:r w:rsidRPr="00B26051">
        <w:rPr>
          <w:rFonts w:ascii="Cambria" w:hAnsi="Cambria"/>
          <w:sz w:val="20"/>
          <w:szCs w:val="20"/>
        </w:rPr>
        <w:t xml:space="preserve">. The Commission finds that these measures </w:t>
      </w:r>
      <w:r w:rsidR="00952C13" w:rsidRPr="00B26051">
        <w:rPr>
          <w:rFonts w:ascii="Cambria" w:hAnsi="Cambria"/>
          <w:sz w:val="20"/>
          <w:szCs w:val="20"/>
        </w:rPr>
        <w:t xml:space="preserve">were inadequate to </w:t>
      </w:r>
      <w:r w:rsidR="00A77573" w:rsidRPr="00B26051">
        <w:rPr>
          <w:rFonts w:ascii="Cambria" w:hAnsi="Cambria"/>
          <w:sz w:val="20"/>
          <w:szCs w:val="20"/>
        </w:rPr>
        <w:t>fulfill</w:t>
      </w:r>
      <w:r w:rsidRPr="00B26051">
        <w:rPr>
          <w:rFonts w:ascii="Cambria" w:hAnsi="Cambria"/>
          <w:sz w:val="20"/>
          <w:szCs w:val="20"/>
        </w:rPr>
        <w:t xml:space="preserve"> a </w:t>
      </w:r>
      <w:r w:rsidR="00D00DB7" w:rsidRPr="00B26051">
        <w:rPr>
          <w:rFonts w:ascii="Cambria" w:hAnsi="Cambria"/>
          <w:sz w:val="20"/>
          <w:szCs w:val="20"/>
        </w:rPr>
        <w:t xml:space="preserve">protocol or </w:t>
      </w:r>
      <w:r w:rsidRPr="00B26051">
        <w:rPr>
          <w:rFonts w:ascii="Cambria" w:hAnsi="Cambria"/>
          <w:sz w:val="20"/>
          <w:szCs w:val="20"/>
        </w:rPr>
        <w:t xml:space="preserve">prison </w:t>
      </w:r>
      <w:r w:rsidR="00D00DB7" w:rsidRPr="00B26051">
        <w:rPr>
          <w:rFonts w:ascii="Cambria" w:hAnsi="Cambria"/>
          <w:sz w:val="20"/>
          <w:szCs w:val="20"/>
        </w:rPr>
        <w:t>policy</w:t>
      </w:r>
      <w:r w:rsidRPr="00B26051">
        <w:rPr>
          <w:rFonts w:ascii="Cambria" w:hAnsi="Cambria"/>
          <w:sz w:val="20"/>
          <w:szCs w:val="20"/>
        </w:rPr>
        <w:t xml:space="preserve"> </w:t>
      </w:r>
      <w:r w:rsidR="00D00DB7" w:rsidRPr="00B26051">
        <w:rPr>
          <w:rFonts w:ascii="Cambria" w:hAnsi="Cambria"/>
          <w:sz w:val="20"/>
          <w:szCs w:val="20"/>
        </w:rPr>
        <w:t>of violence prevention</w:t>
      </w:r>
      <w:r w:rsidRPr="00B26051">
        <w:rPr>
          <w:rFonts w:ascii="Cambria" w:hAnsi="Cambria"/>
          <w:sz w:val="20"/>
          <w:szCs w:val="20"/>
        </w:rPr>
        <w:t xml:space="preserve">, and were </w:t>
      </w:r>
      <w:r w:rsidR="00952C13" w:rsidRPr="00B26051">
        <w:rPr>
          <w:rFonts w:ascii="Cambria" w:hAnsi="Cambria"/>
          <w:sz w:val="20"/>
          <w:szCs w:val="20"/>
        </w:rPr>
        <w:t>insufficient</w:t>
      </w:r>
      <w:r w:rsidRPr="00B26051">
        <w:rPr>
          <w:rFonts w:ascii="Cambria" w:hAnsi="Cambria"/>
          <w:sz w:val="20"/>
          <w:szCs w:val="20"/>
        </w:rPr>
        <w:t xml:space="preserve"> to prevent the situation of violence that arose within the prison</w:t>
      </w:r>
      <w:r w:rsidR="002C39C5" w:rsidRPr="00B26051">
        <w:rPr>
          <w:rFonts w:ascii="Cambria" w:hAnsi="Cambria"/>
          <w:sz w:val="20"/>
          <w:szCs w:val="20"/>
        </w:rPr>
        <w:t>,</w:t>
      </w:r>
      <w:r w:rsidRPr="00B26051">
        <w:rPr>
          <w:rFonts w:ascii="Cambria" w:hAnsi="Cambria"/>
          <w:sz w:val="20"/>
          <w:szCs w:val="20"/>
        </w:rPr>
        <w:t xml:space="preserve"> </w:t>
      </w:r>
      <w:r w:rsidR="00952C13" w:rsidRPr="00B26051">
        <w:rPr>
          <w:rFonts w:ascii="Cambria" w:hAnsi="Cambria"/>
          <w:sz w:val="20"/>
          <w:szCs w:val="20"/>
        </w:rPr>
        <w:t xml:space="preserve">leading to </w:t>
      </w:r>
      <w:r w:rsidRPr="00B26051">
        <w:rPr>
          <w:rFonts w:ascii="Cambria" w:hAnsi="Cambria"/>
          <w:sz w:val="20"/>
          <w:szCs w:val="20"/>
        </w:rPr>
        <w:t>the fire.</w:t>
      </w:r>
    </w:p>
    <w:p w14:paraId="6DE140AD" w14:textId="77777777" w:rsidR="00185D58" w:rsidRPr="00B26051" w:rsidRDefault="00185D58" w:rsidP="00185D58">
      <w:pPr>
        <w:pStyle w:val="ListParagraph"/>
        <w:rPr>
          <w:color w:val="auto"/>
          <w:sz w:val="20"/>
          <w:szCs w:val="20"/>
        </w:rPr>
      </w:pPr>
    </w:p>
    <w:p w14:paraId="757B2328" w14:textId="26DCE522" w:rsidR="00185D58" w:rsidRPr="00B26051" w:rsidRDefault="000D5CE6"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 xml:space="preserve">In addition, and with respect to the specific moment of the fire, the eyewitness accounts indicated at various points that the three </w:t>
      </w:r>
      <w:r w:rsidR="00A77573" w:rsidRPr="00B26051">
        <w:rPr>
          <w:rFonts w:ascii="Cambria" w:hAnsi="Cambria"/>
          <w:sz w:val="20"/>
          <w:szCs w:val="20"/>
        </w:rPr>
        <w:t>individuals</w:t>
      </w:r>
      <w:r w:rsidRPr="00B26051">
        <w:rPr>
          <w:rFonts w:ascii="Cambria" w:hAnsi="Cambria"/>
          <w:sz w:val="20"/>
          <w:szCs w:val="20"/>
        </w:rPr>
        <w:t xml:space="preserve"> in charge </w:t>
      </w:r>
      <w:r w:rsidR="00A77573" w:rsidRPr="00B26051">
        <w:rPr>
          <w:rFonts w:ascii="Cambria" w:hAnsi="Cambria"/>
          <w:sz w:val="20"/>
          <w:szCs w:val="20"/>
        </w:rPr>
        <w:t>of</w:t>
      </w:r>
      <w:r w:rsidRPr="00B26051">
        <w:rPr>
          <w:rFonts w:ascii="Cambria" w:hAnsi="Cambria"/>
          <w:sz w:val="20"/>
          <w:szCs w:val="20"/>
        </w:rPr>
        <w:t xml:space="preserve"> the Center</w:t>
      </w:r>
      <w:r w:rsidR="006102B9">
        <w:rPr>
          <w:rFonts w:ascii="Cambria" w:hAnsi="Cambria"/>
          <w:sz w:val="20"/>
          <w:szCs w:val="20"/>
        </w:rPr>
        <w:t>—</w:t>
      </w:r>
      <w:r w:rsidRPr="00B26051">
        <w:rPr>
          <w:rFonts w:ascii="Cambria" w:hAnsi="Cambria"/>
          <w:sz w:val="20"/>
          <w:szCs w:val="20"/>
        </w:rPr>
        <w:t>Nerio Romero, José Luis Chirinos and Francisco Gómez</w:t>
      </w:r>
      <w:r w:rsidR="006102B9">
        <w:rPr>
          <w:rFonts w:ascii="Cambria" w:hAnsi="Cambria"/>
          <w:sz w:val="20"/>
          <w:szCs w:val="20"/>
        </w:rPr>
        <w:t>—</w:t>
      </w:r>
      <w:r w:rsidRPr="00B26051">
        <w:rPr>
          <w:rFonts w:ascii="Cambria" w:hAnsi="Cambria"/>
          <w:sz w:val="20"/>
          <w:szCs w:val="20"/>
        </w:rPr>
        <w:t xml:space="preserve">delayed or </w:t>
      </w:r>
      <w:r w:rsidR="00A77573" w:rsidRPr="00B26051">
        <w:rPr>
          <w:rFonts w:ascii="Cambria" w:hAnsi="Cambria"/>
          <w:sz w:val="20"/>
          <w:szCs w:val="20"/>
        </w:rPr>
        <w:t>failed to act</w:t>
      </w:r>
      <w:r w:rsidRPr="00B26051">
        <w:rPr>
          <w:rFonts w:ascii="Cambria" w:hAnsi="Cambria"/>
          <w:sz w:val="20"/>
          <w:szCs w:val="20"/>
        </w:rPr>
        <w:t xml:space="preserve"> with due diligence to release the youth</w:t>
      </w:r>
      <w:r w:rsidR="00A77573" w:rsidRPr="00B26051">
        <w:rPr>
          <w:rFonts w:ascii="Cambria" w:hAnsi="Cambria"/>
          <w:sz w:val="20"/>
          <w:szCs w:val="20"/>
        </w:rPr>
        <w:t>s</w:t>
      </w:r>
      <w:r w:rsidRPr="00B26051">
        <w:rPr>
          <w:rFonts w:ascii="Cambria" w:hAnsi="Cambria"/>
          <w:sz w:val="20"/>
          <w:szCs w:val="20"/>
        </w:rPr>
        <w:t xml:space="preserve"> in cell No. 4 and </w:t>
      </w:r>
      <w:r w:rsidR="00A77573" w:rsidRPr="00B26051">
        <w:rPr>
          <w:rFonts w:ascii="Cambria" w:hAnsi="Cambria"/>
          <w:sz w:val="20"/>
          <w:szCs w:val="20"/>
        </w:rPr>
        <w:t>extinguish</w:t>
      </w:r>
      <w:r w:rsidRPr="00B26051">
        <w:rPr>
          <w:rFonts w:ascii="Cambria" w:hAnsi="Cambria"/>
          <w:sz w:val="20"/>
          <w:szCs w:val="20"/>
        </w:rPr>
        <w:t xml:space="preserve"> </w:t>
      </w:r>
      <w:r w:rsidR="00D00DB7" w:rsidRPr="00B26051">
        <w:rPr>
          <w:rFonts w:ascii="Cambria" w:hAnsi="Cambria"/>
          <w:sz w:val="20"/>
          <w:szCs w:val="20"/>
        </w:rPr>
        <w:t xml:space="preserve">the </w:t>
      </w:r>
      <w:r w:rsidR="00A77573" w:rsidRPr="00B26051">
        <w:rPr>
          <w:rFonts w:ascii="Cambria" w:hAnsi="Cambria"/>
          <w:sz w:val="20"/>
          <w:szCs w:val="20"/>
        </w:rPr>
        <w:t>fire</w:t>
      </w:r>
      <w:r w:rsidR="00D00DB7" w:rsidRPr="00B26051">
        <w:rPr>
          <w:rFonts w:ascii="Cambria" w:hAnsi="Cambria"/>
          <w:sz w:val="20"/>
          <w:szCs w:val="20"/>
        </w:rPr>
        <w:t xml:space="preserve"> therein</w:t>
      </w:r>
      <w:r w:rsidRPr="00B26051">
        <w:rPr>
          <w:rFonts w:ascii="Cambria" w:hAnsi="Cambria"/>
          <w:sz w:val="20"/>
          <w:szCs w:val="20"/>
        </w:rPr>
        <w:t xml:space="preserve">. In this sense, the </w:t>
      </w:r>
      <w:r w:rsidR="00A77573" w:rsidRPr="00B26051">
        <w:rPr>
          <w:rFonts w:ascii="Cambria" w:hAnsi="Cambria"/>
          <w:sz w:val="20"/>
          <w:szCs w:val="20"/>
        </w:rPr>
        <w:t>account</w:t>
      </w:r>
      <w:r w:rsidRPr="00B26051">
        <w:rPr>
          <w:rFonts w:ascii="Cambria" w:hAnsi="Cambria"/>
          <w:sz w:val="20"/>
          <w:szCs w:val="20"/>
        </w:rPr>
        <w:t xml:space="preserve"> shows that </w:t>
      </w:r>
      <w:r w:rsidR="00A77573" w:rsidRPr="00B26051">
        <w:rPr>
          <w:rFonts w:ascii="Cambria" w:hAnsi="Cambria"/>
          <w:sz w:val="20"/>
          <w:szCs w:val="20"/>
        </w:rPr>
        <w:t>when the fire started</w:t>
      </w:r>
      <w:r w:rsidRPr="00B26051">
        <w:rPr>
          <w:rFonts w:ascii="Cambria" w:hAnsi="Cambria"/>
          <w:sz w:val="20"/>
          <w:szCs w:val="20"/>
        </w:rPr>
        <w:t xml:space="preserve">, guides Gomez and Chirinos did not have the keys to cell No. 4, because one of them had thrown them towards the entrance of the Center. In addition, </w:t>
      </w:r>
      <w:r w:rsidR="006102B9">
        <w:rPr>
          <w:rFonts w:ascii="Cambria" w:hAnsi="Cambria"/>
          <w:sz w:val="20"/>
          <w:szCs w:val="20"/>
        </w:rPr>
        <w:t>and by</w:t>
      </w:r>
      <w:r w:rsidRPr="00B26051">
        <w:rPr>
          <w:rFonts w:ascii="Cambria" w:hAnsi="Cambria"/>
          <w:sz w:val="20"/>
          <w:szCs w:val="20"/>
        </w:rPr>
        <w:t xml:space="preserve"> his own </w:t>
      </w:r>
      <w:r w:rsidR="00A77573" w:rsidRPr="00B26051">
        <w:rPr>
          <w:rFonts w:ascii="Cambria" w:hAnsi="Cambria"/>
          <w:sz w:val="20"/>
          <w:szCs w:val="20"/>
        </w:rPr>
        <w:t>account</w:t>
      </w:r>
      <w:r w:rsidRPr="00B26051">
        <w:rPr>
          <w:rFonts w:ascii="Cambria" w:hAnsi="Cambria"/>
          <w:sz w:val="20"/>
          <w:szCs w:val="20"/>
        </w:rPr>
        <w:t xml:space="preserve">, Chirinos delayed </w:t>
      </w:r>
      <w:r w:rsidR="00D00DB7" w:rsidRPr="00B26051">
        <w:rPr>
          <w:rFonts w:ascii="Cambria" w:hAnsi="Cambria"/>
          <w:sz w:val="20"/>
          <w:szCs w:val="20"/>
        </w:rPr>
        <w:t xml:space="preserve">arriving at the cell for </w:t>
      </w:r>
      <w:r w:rsidRPr="00B26051">
        <w:rPr>
          <w:rFonts w:ascii="Cambria" w:hAnsi="Cambria"/>
          <w:sz w:val="20"/>
          <w:szCs w:val="20"/>
        </w:rPr>
        <w:t xml:space="preserve">at least three minutes, and possibly </w:t>
      </w:r>
      <w:r w:rsidR="00D00DB7" w:rsidRPr="00B26051">
        <w:rPr>
          <w:rFonts w:ascii="Cambria" w:hAnsi="Cambria"/>
          <w:sz w:val="20"/>
          <w:szCs w:val="20"/>
        </w:rPr>
        <w:t xml:space="preserve">for </w:t>
      </w:r>
      <w:r w:rsidRPr="00B26051">
        <w:rPr>
          <w:rFonts w:ascii="Cambria" w:hAnsi="Cambria"/>
          <w:sz w:val="20"/>
          <w:szCs w:val="20"/>
        </w:rPr>
        <w:t>up to five</w:t>
      </w:r>
      <w:r w:rsidR="00D00DB7" w:rsidRPr="00B26051">
        <w:rPr>
          <w:rFonts w:ascii="Cambria" w:hAnsi="Cambria"/>
          <w:sz w:val="20"/>
          <w:szCs w:val="20"/>
        </w:rPr>
        <w:t xml:space="preserve"> minutes</w:t>
      </w:r>
      <w:r w:rsidRPr="00B26051">
        <w:rPr>
          <w:rFonts w:ascii="Cambria" w:hAnsi="Cambria"/>
          <w:sz w:val="20"/>
          <w:szCs w:val="20"/>
        </w:rPr>
        <w:t xml:space="preserve">, </w:t>
      </w:r>
      <w:r w:rsidR="00D00DB7" w:rsidRPr="00B26051">
        <w:rPr>
          <w:rFonts w:ascii="Cambria" w:hAnsi="Cambria"/>
          <w:sz w:val="20"/>
          <w:szCs w:val="20"/>
        </w:rPr>
        <w:t xml:space="preserve">from the moment in which heard </w:t>
      </w:r>
      <w:r w:rsidRPr="00B26051">
        <w:rPr>
          <w:rFonts w:ascii="Cambria" w:hAnsi="Cambria"/>
          <w:sz w:val="20"/>
          <w:szCs w:val="20"/>
        </w:rPr>
        <w:t xml:space="preserve">the </w:t>
      </w:r>
      <w:r w:rsidR="00A77573" w:rsidRPr="00B26051">
        <w:rPr>
          <w:rFonts w:ascii="Cambria" w:hAnsi="Cambria"/>
          <w:sz w:val="20"/>
          <w:szCs w:val="20"/>
        </w:rPr>
        <w:t>screams</w:t>
      </w:r>
      <w:r w:rsidRPr="00B26051">
        <w:rPr>
          <w:rFonts w:ascii="Cambria" w:hAnsi="Cambria"/>
          <w:sz w:val="20"/>
          <w:szCs w:val="20"/>
        </w:rPr>
        <w:t xml:space="preserve"> of the victims and </w:t>
      </w:r>
      <w:r w:rsidR="00A77573" w:rsidRPr="00B26051">
        <w:rPr>
          <w:rFonts w:ascii="Cambria" w:hAnsi="Cambria"/>
          <w:sz w:val="20"/>
          <w:szCs w:val="20"/>
        </w:rPr>
        <w:t>became aware of the fire;</w:t>
      </w:r>
      <w:r w:rsidRPr="00B26051">
        <w:rPr>
          <w:rFonts w:ascii="Cambria" w:hAnsi="Cambria"/>
          <w:sz w:val="20"/>
          <w:szCs w:val="20"/>
        </w:rPr>
        <w:t xml:space="preserve"> </w:t>
      </w:r>
      <w:r w:rsidR="006102B9">
        <w:rPr>
          <w:rFonts w:ascii="Cambria" w:hAnsi="Cambria"/>
          <w:sz w:val="20"/>
          <w:szCs w:val="20"/>
        </w:rPr>
        <w:t>from</w:t>
      </w:r>
      <w:r w:rsidRPr="00B26051">
        <w:rPr>
          <w:rFonts w:ascii="Cambria" w:hAnsi="Cambria"/>
          <w:sz w:val="20"/>
          <w:szCs w:val="20"/>
        </w:rPr>
        <w:t xml:space="preserve"> the information available</w:t>
      </w:r>
      <w:r w:rsidR="00A77573" w:rsidRPr="00B26051">
        <w:rPr>
          <w:rFonts w:ascii="Cambria" w:hAnsi="Cambria"/>
          <w:sz w:val="20"/>
          <w:szCs w:val="20"/>
        </w:rPr>
        <w:t>,</w:t>
      </w:r>
      <w:r w:rsidRPr="00B26051">
        <w:rPr>
          <w:rFonts w:ascii="Cambria" w:hAnsi="Cambria"/>
          <w:sz w:val="20"/>
          <w:szCs w:val="20"/>
        </w:rPr>
        <w:t xml:space="preserve"> </w:t>
      </w:r>
      <w:r w:rsidR="00A77573" w:rsidRPr="00B26051">
        <w:rPr>
          <w:rFonts w:ascii="Cambria" w:hAnsi="Cambria"/>
          <w:sz w:val="20"/>
          <w:szCs w:val="20"/>
        </w:rPr>
        <w:t>it is obvious</w:t>
      </w:r>
      <w:r w:rsidRPr="00B26051">
        <w:rPr>
          <w:rFonts w:ascii="Cambria" w:hAnsi="Cambria"/>
          <w:sz w:val="20"/>
          <w:szCs w:val="20"/>
        </w:rPr>
        <w:t xml:space="preserve"> that the distance between the cells did not justify such a delay. </w:t>
      </w:r>
      <w:r w:rsidR="006102B9">
        <w:rPr>
          <w:rFonts w:ascii="Cambria" w:hAnsi="Cambria"/>
          <w:sz w:val="20"/>
          <w:szCs w:val="20"/>
        </w:rPr>
        <w:t>Such impossibility</w:t>
      </w:r>
      <w:r w:rsidRPr="00B26051">
        <w:rPr>
          <w:rFonts w:ascii="Cambria" w:hAnsi="Cambria"/>
          <w:sz w:val="20"/>
          <w:szCs w:val="20"/>
        </w:rPr>
        <w:t xml:space="preserve"> was not alleged by the State nor </w:t>
      </w:r>
      <w:r w:rsidR="00D00DB7" w:rsidRPr="00B26051">
        <w:rPr>
          <w:rFonts w:ascii="Cambria" w:hAnsi="Cambria"/>
          <w:sz w:val="20"/>
          <w:szCs w:val="20"/>
        </w:rPr>
        <w:t xml:space="preserve">could be verified through judicial reconstruction of the events </w:t>
      </w:r>
      <w:r w:rsidRPr="00B26051">
        <w:rPr>
          <w:rFonts w:ascii="Cambria" w:hAnsi="Cambria"/>
          <w:sz w:val="20"/>
          <w:szCs w:val="20"/>
        </w:rPr>
        <w:t xml:space="preserve">due to the delay, </w:t>
      </w:r>
      <w:r w:rsidR="00A77573" w:rsidRPr="00B26051">
        <w:rPr>
          <w:rFonts w:ascii="Cambria" w:hAnsi="Cambria"/>
          <w:sz w:val="20"/>
          <w:szCs w:val="20"/>
        </w:rPr>
        <w:t>to be analyzed later</w:t>
      </w:r>
      <w:r w:rsidRPr="00B26051">
        <w:rPr>
          <w:rFonts w:ascii="Cambria" w:hAnsi="Cambria"/>
          <w:sz w:val="20"/>
          <w:szCs w:val="20"/>
        </w:rPr>
        <w:t xml:space="preserve">. According to his own account, acting </w:t>
      </w:r>
      <w:r w:rsidR="00A77573" w:rsidRPr="00B26051">
        <w:rPr>
          <w:rFonts w:ascii="Cambria" w:hAnsi="Cambria"/>
          <w:sz w:val="20"/>
          <w:szCs w:val="20"/>
        </w:rPr>
        <w:t>warden</w:t>
      </w:r>
      <w:r w:rsidRPr="00B26051">
        <w:rPr>
          <w:rFonts w:ascii="Cambria" w:hAnsi="Cambria"/>
          <w:sz w:val="20"/>
          <w:szCs w:val="20"/>
        </w:rPr>
        <w:t xml:space="preserve"> Romero took another three minutes to reach cell No. 4 after being notified of the situation by guide</w:t>
      </w:r>
      <w:r w:rsidR="00A77573" w:rsidRPr="00B26051">
        <w:rPr>
          <w:rFonts w:ascii="Cambria" w:hAnsi="Cambria"/>
          <w:sz w:val="20"/>
          <w:szCs w:val="20"/>
        </w:rPr>
        <w:t xml:space="preserve"> Chirinos</w:t>
      </w:r>
      <w:r w:rsidR="006102B9">
        <w:rPr>
          <w:rFonts w:ascii="Cambria" w:hAnsi="Cambria"/>
          <w:sz w:val="20"/>
          <w:szCs w:val="20"/>
        </w:rPr>
        <w:t xml:space="preserve">. </w:t>
      </w:r>
      <w:r w:rsidR="002F7601" w:rsidRPr="00B26051">
        <w:rPr>
          <w:rFonts w:ascii="Cambria" w:hAnsi="Cambria"/>
          <w:sz w:val="20"/>
          <w:szCs w:val="20"/>
        </w:rPr>
        <w:t>He delayed in opening the bars of the cell due to the heat of the fire and</w:t>
      </w:r>
      <w:r w:rsidRPr="00B26051">
        <w:rPr>
          <w:rFonts w:ascii="Cambria" w:hAnsi="Cambria"/>
          <w:sz w:val="20"/>
          <w:szCs w:val="20"/>
        </w:rPr>
        <w:t xml:space="preserve">, according to Carlos Martes, because he was nervous. The Commission considers that this delay of six minutes or more in responding to the </w:t>
      </w:r>
      <w:r w:rsidR="002F7601" w:rsidRPr="00B26051">
        <w:rPr>
          <w:rFonts w:ascii="Cambria" w:hAnsi="Cambria"/>
          <w:sz w:val="20"/>
          <w:szCs w:val="20"/>
        </w:rPr>
        <w:t>outbreak</w:t>
      </w:r>
      <w:r w:rsidRPr="00B26051">
        <w:rPr>
          <w:rFonts w:ascii="Cambria" w:hAnsi="Cambria"/>
          <w:sz w:val="20"/>
          <w:szCs w:val="20"/>
        </w:rPr>
        <w:t xml:space="preserve"> </w:t>
      </w:r>
      <w:r w:rsidR="00D00DB7" w:rsidRPr="00B26051">
        <w:rPr>
          <w:rFonts w:ascii="Cambria" w:hAnsi="Cambria"/>
          <w:sz w:val="20"/>
          <w:szCs w:val="20"/>
        </w:rPr>
        <w:t xml:space="preserve">of the fire </w:t>
      </w:r>
      <w:r w:rsidRPr="00B26051">
        <w:rPr>
          <w:rFonts w:ascii="Cambria" w:hAnsi="Cambria"/>
          <w:sz w:val="20"/>
          <w:szCs w:val="20"/>
        </w:rPr>
        <w:t xml:space="preserve">no doubt </w:t>
      </w:r>
      <w:r w:rsidR="002F7601" w:rsidRPr="00B26051">
        <w:rPr>
          <w:rFonts w:ascii="Cambria" w:hAnsi="Cambria"/>
          <w:sz w:val="20"/>
          <w:szCs w:val="20"/>
        </w:rPr>
        <w:t>had an impact</w:t>
      </w:r>
      <w:r w:rsidRPr="00B26051">
        <w:rPr>
          <w:rFonts w:ascii="Cambria" w:hAnsi="Cambria"/>
          <w:sz w:val="20"/>
          <w:szCs w:val="20"/>
        </w:rPr>
        <w:t xml:space="preserve"> on the lethality of the incident</w:t>
      </w:r>
      <w:r w:rsidR="002F7601" w:rsidRPr="00B26051">
        <w:rPr>
          <w:rFonts w:ascii="Cambria" w:hAnsi="Cambria"/>
          <w:sz w:val="20"/>
          <w:szCs w:val="20"/>
        </w:rPr>
        <w:t>.</w:t>
      </w:r>
    </w:p>
    <w:p w14:paraId="1000AE8B" w14:textId="77777777" w:rsidR="00185D58" w:rsidRPr="00B26051" w:rsidRDefault="00185D58" w:rsidP="00185D58">
      <w:pPr>
        <w:pStyle w:val="ListParagraph"/>
        <w:rPr>
          <w:color w:val="auto"/>
          <w:sz w:val="20"/>
          <w:szCs w:val="20"/>
        </w:rPr>
      </w:pPr>
    </w:p>
    <w:p w14:paraId="0534CB76" w14:textId="0815AAF7" w:rsidR="00185D58" w:rsidRPr="00B26051" w:rsidRDefault="000D5CE6"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 xml:space="preserve">On the other hand, the Commission considers that </w:t>
      </w:r>
      <w:r w:rsidR="002F7601" w:rsidRPr="00B26051">
        <w:rPr>
          <w:rFonts w:ascii="Cambria" w:hAnsi="Cambria"/>
          <w:sz w:val="20"/>
          <w:szCs w:val="20"/>
        </w:rPr>
        <w:t xml:space="preserve">the first </w:t>
      </w:r>
      <w:r w:rsidR="006102B9">
        <w:rPr>
          <w:rFonts w:ascii="Cambria" w:hAnsi="Cambria"/>
          <w:sz w:val="20"/>
          <w:szCs w:val="20"/>
        </w:rPr>
        <w:t>f</w:t>
      </w:r>
      <w:r w:rsidR="002F7601" w:rsidRPr="00B26051">
        <w:rPr>
          <w:rFonts w:ascii="Cambria" w:hAnsi="Cambria"/>
          <w:sz w:val="20"/>
          <w:szCs w:val="20"/>
        </w:rPr>
        <w:t>ire</w:t>
      </w:r>
      <w:r w:rsidR="006102B9">
        <w:rPr>
          <w:rFonts w:ascii="Cambria" w:hAnsi="Cambria"/>
          <w:sz w:val="20"/>
          <w:szCs w:val="20"/>
        </w:rPr>
        <w:t>fi</w:t>
      </w:r>
      <w:r w:rsidR="002F7601" w:rsidRPr="00B26051">
        <w:rPr>
          <w:rFonts w:ascii="Cambria" w:hAnsi="Cambria"/>
          <w:sz w:val="20"/>
          <w:szCs w:val="20"/>
        </w:rPr>
        <w:t>ghters’ lack</w:t>
      </w:r>
      <w:r w:rsidRPr="00B26051">
        <w:rPr>
          <w:rFonts w:ascii="Cambria" w:hAnsi="Cambria"/>
          <w:sz w:val="20"/>
          <w:szCs w:val="20"/>
        </w:rPr>
        <w:t xml:space="preserve"> of adequate equipment and material to </w:t>
      </w:r>
      <w:r w:rsidR="002F7601" w:rsidRPr="00B26051">
        <w:rPr>
          <w:rFonts w:ascii="Cambria" w:hAnsi="Cambria"/>
          <w:sz w:val="20"/>
          <w:szCs w:val="20"/>
        </w:rPr>
        <w:t>extinguish</w:t>
      </w:r>
      <w:r w:rsidRPr="00B26051">
        <w:rPr>
          <w:rFonts w:ascii="Cambria" w:hAnsi="Cambria"/>
          <w:sz w:val="20"/>
          <w:szCs w:val="20"/>
        </w:rPr>
        <w:t xml:space="preserve"> the fire and </w:t>
      </w:r>
      <w:r w:rsidR="002F7601" w:rsidRPr="00B26051">
        <w:rPr>
          <w:rFonts w:ascii="Cambria" w:hAnsi="Cambria"/>
          <w:sz w:val="20"/>
          <w:szCs w:val="20"/>
        </w:rPr>
        <w:t xml:space="preserve">their failure to </w:t>
      </w:r>
      <w:r w:rsidRPr="00B26051">
        <w:rPr>
          <w:rFonts w:ascii="Cambria" w:hAnsi="Cambria"/>
          <w:sz w:val="20"/>
          <w:szCs w:val="20"/>
        </w:rPr>
        <w:t>enter the cell to effectively assist the victims, also constituted an omission attributable to the State.</w:t>
      </w:r>
    </w:p>
    <w:p w14:paraId="556E33D9" w14:textId="77777777" w:rsidR="00185D58" w:rsidRPr="00B26051" w:rsidRDefault="00185D58" w:rsidP="00185D58">
      <w:pPr>
        <w:pStyle w:val="ListParagraph"/>
        <w:rPr>
          <w:color w:val="auto"/>
          <w:sz w:val="20"/>
          <w:szCs w:val="20"/>
        </w:rPr>
      </w:pPr>
    </w:p>
    <w:p w14:paraId="7FC7FEB2" w14:textId="37409F39" w:rsidR="00185D58" w:rsidRPr="00B26051" w:rsidRDefault="002F7601"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Due to</w:t>
      </w:r>
      <w:r w:rsidR="000D5CE6" w:rsidRPr="00B26051">
        <w:rPr>
          <w:rFonts w:ascii="Cambria" w:hAnsi="Cambria"/>
          <w:sz w:val="20"/>
          <w:szCs w:val="20"/>
        </w:rPr>
        <w:t xml:space="preserve"> all the</w:t>
      </w:r>
      <w:r w:rsidRPr="00B26051">
        <w:rPr>
          <w:rFonts w:ascii="Cambria" w:hAnsi="Cambria"/>
          <w:sz w:val="20"/>
          <w:szCs w:val="20"/>
        </w:rPr>
        <w:t xml:space="preserve"> above elements taken together</w:t>
      </w:r>
      <w:r w:rsidR="000D5CE6" w:rsidRPr="00B26051">
        <w:rPr>
          <w:rFonts w:ascii="Cambria" w:hAnsi="Cambria"/>
          <w:sz w:val="20"/>
          <w:szCs w:val="20"/>
        </w:rPr>
        <w:t>, the Commission considers that the Venezuelan State failed to comply with its duty of prevention in this case, and therefore is responsible for the violation of the right to life and pers</w:t>
      </w:r>
      <w:r w:rsidR="006102B9">
        <w:rPr>
          <w:rFonts w:ascii="Cambria" w:hAnsi="Cambria"/>
          <w:sz w:val="20"/>
          <w:szCs w:val="20"/>
        </w:rPr>
        <w:t>onal integrity—</w:t>
      </w:r>
      <w:r w:rsidRPr="00B26051">
        <w:rPr>
          <w:rFonts w:ascii="Cambria" w:hAnsi="Cambria"/>
          <w:sz w:val="20"/>
          <w:szCs w:val="20"/>
        </w:rPr>
        <w:t>in view of the s</w:t>
      </w:r>
      <w:r w:rsidR="000D5CE6" w:rsidRPr="00B26051">
        <w:rPr>
          <w:rFonts w:ascii="Cambria" w:hAnsi="Cambria"/>
          <w:sz w:val="20"/>
          <w:szCs w:val="20"/>
        </w:rPr>
        <w:t xml:space="preserve">uffering that a death due to </w:t>
      </w:r>
      <w:r w:rsidR="00B26051" w:rsidRPr="00B26051">
        <w:rPr>
          <w:rFonts w:ascii="Cambria" w:hAnsi="Cambria"/>
          <w:sz w:val="20"/>
          <w:szCs w:val="20"/>
        </w:rPr>
        <w:t>asphyxia</w:t>
      </w:r>
      <w:r w:rsidR="000D5CE6" w:rsidRPr="00B26051">
        <w:rPr>
          <w:rFonts w:ascii="Cambria" w:hAnsi="Cambria"/>
          <w:sz w:val="20"/>
          <w:szCs w:val="20"/>
        </w:rPr>
        <w:t>, suffocation and burns implies</w:t>
      </w:r>
      <w:r w:rsidR="000D5CE6" w:rsidRPr="00B26051">
        <w:rPr>
          <w:rStyle w:val="FootnoteReference"/>
          <w:rFonts w:ascii="Cambria" w:hAnsi="Cambria"/>
          <w:sz w:val="20"/>
          <w:szCs w:val="20"/>
        </w:rPr>
        <w:footnoteReference w:id="150"/>
      </w:r>
      <w:r w:rsidR="006102B9">
        <w:rPr>
          <w:rFonts w:ascii="Cambria" w:hAnsi="Cambria"/>
          <w:sz w:val="20"/>
          <w:szCs w:val="20"/>
        </w:rPr>
        <w:t>—</w:t>
      </w:r>
      <w:r w:rsidR="000D5CE6" w:rsidRPr="00B26051">
        <w:rPr>
          <w:rFonts w:ascii="Cambria" w:hAnsi="Cambria"/>
          <w:sz w:val="20"/>
          <w:szCs w:val="20"/>
        </w:rPr>
        <w:t xml:space="preserve">to the </w:t>
      </w:r>
      <w:r w:rsidRPr="00B26051">
        <w:rPr>
          <w:rFonts w:ascii="Cambria" w:hAnsi="Cambria"/>
          <w:sz w:val="20"/>
          <w:szCs w:val="20"/>
        </w:rPr>
        <w:t>detriment of the five deceased victims</w:t>
      </w:r>
      <w:r w:rsidR="000D5CE6" w:rsidRPr="00B26051">
        <w:rPr>
          <w:rFonts w:ascii="Cambria" w:hAnsi="Cambria"/>
          <w:sz w:val="20"/>
          <w:szCs w:val="20"/>
        </w:rPr>
        <w:t>.</w:t>
      </w:r>
    </w:p>
    <w:p w14:paraId="3682DDF6" w14:textId="77777777" w:rsidR="00185D58" w:rsidRPr="00B26051" w:rsidRDefault="00185D58" w:rsidP="00185D58">
      <w:pPr>
        <w:pStyle w:val="ListParagraph"/>
        <w:rPr>
          <w:color w:val="auto"/>
          <w:sz w:val="20"/>
          <w:szCs w:val="20"/>
        </w:rPr>
      </w:pPr>
    </w:p>
    <w:p w14:paraId="558A0467" w14:textId="6C11EB4F" w:rsidR="00185D58" w:rsidRPr="00B26051" w:rsidRDefault="000D5CE6"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 xml:space="preserve">Furthermore, </w:t>
      </w:r>
      <w:r w:rsidR="00A05604">
        <w:rPr>
          <w:rFonts w:ascii="Cambria" w:hAnsi="Cambria"/>
          <w:sz w:val="20"/>
          <w:szCs w:val="20"/>
        </w:rPr>
        <w:t>considering</w:t>
      </w:r>
      <w:r w:rsidRPr="00B26051">
        <w:rPr>
          <w:rFonts w:ascii="Cambria" w:hAnsi="Cambria"/>
          <w:sz w:val="20"/>
          <w:szCs w:val="20"/>
        </w:rPr>
        <w:t xml:space="preserve"> the fact that </w:t>
      </w:r>
      <w:r w:rsidR="008D1395" w:rsidRPr="00B26051">
        <w:rPr>
          <w:rFonts w:ascii="Cambria" w:hAnsi="Cambria"/>
          <w:sz w:val="20"/>
          <w:szCs w:val="20"/>
        </w:rPr>
        <w:t>the majority of</w:t>
      </w:r>
      <w:r w:rsidRPr="00B26051">
        <w:rPr>
          <w:rFonts w:ascii="Cambria" w:hAnsi="Cambria"/>
          <w:sz w:val="20"/>
          <w:szCs w:val="20"/>
        </w:rPr>
        <w:t xml:space="preserve"> </w:t>
      </w:r>
      <w:r w:rsidR="00B17B6B" w:rsidRPr="00B26051">
        <w:rPr>
          <w:rFonts w:ascii="Cambria" w:hAnsi="Cambria"/>
          <w:sz w:val="20"/>
          <w:szCs w:val="20"/>
        </w:rPr>
        <w:t xml:space="preserve">the </w:t>
      </w:r>
      <w:r w:rsidRPr="00B26051">
        <w:rPr>
          <w:rFonts w:ascii="Cambria" w:hAnsi="Cambria"/>
          <w:sz w:val="20"/>
          <w:szCs w:val="20"/>
        </w:rPr>
        <w:t xml:space="preserve">structural problems </w:t>
      </w:r>
      <w:r w:rsidR="008D1395" w:rsidRPr="00B26051">
        <w:rPr>
          <w:rFonts w:ascii="Cambria" w:hAnsi="Cambria"/>
          <w:sz w:val="20"/>
          <w:szCs w:val="20"/>
        </w:rPr>
        <w:t>allowing</w:t>
      </w:r>
      <w:r w:rsidRPr="00B26051">
        <w:rPr>
          <w:rFonts w:ascii="Cambria" w:hAnsi="Cambria"/>
          <w:sz w:val="20"/>
          <w:szCs w:val="20"/>
        </w:rPr>
        <w:t xml:space="preserve"> the death of the victims</w:t>
      </w:r>
      <w:r w:rsidR="008D1395" w:rsidRPr="00B26051">
        <w:rPr>
          <w:rFonts w:ascii="Cambria" w:hAnsi="Cambria"/>
          <w:sz w:val="20"/>
          <w:szCs w:val="20"/>
        </w:rPr>
        <w:t xml:space="preserve"> while under 18 years of age</w:t>
      </w:r>
      <w:r w:rsidRPr="00B26051">
        <w:rPr>
          <w:rFonts w:ascii="Cambria" w:hAnsi="Cambria"/>
          <w:sz w:val="20"/>
          <w:szCs w:val="20"/>
        </w:rPr>
        <w:t xml:space="preserve"> constituted continuous and repeated omissions, the Commission also considers that the State "did not effectively </w:t>
      </w:r>
      <w:r w:rsidR="008D1395" w:rsidRPr="00B26051">
        <w:rPr>
          <w:rFonts w:ascii="Cambria" w:hAnsi="Cambria"/>
          <w:sz w:val="20"/>
          <w:szCs w:val="20"/>
        </w:rPr>
        <w:t>fulfill its role</w:t>
      </w:r>
      <w:r w:rsidRPr="00B26051">
        <w:rPr>
          <w:rFonts w:ascii="Cambria" w:hAnsi="Cambria"/>
          <w:sz w:val="20"/>
          <w:szCs w:val="20"/>
        </w:rPr>
        <w:t xml:space="preserve"> as guarantor </w:t>
      </w:r>
      <w:r w:rsidR="008D1395" w:rsidRPr="00B26051">
        <w:rPr>
          <w:rFonts w:ascii="Cambria" w:hAnsi="Cambria"/>
          <w:sz w:val="20"/>
          <w:szCs w:val="20"/>
        </w:rPr>
        <w:t xml:space="preserve">of the rights of the child, in this special relationship of subordination between the State and the adult/child deprived of liberty. The State failed to take the necessary positive measures to ensure to all inmates decent living conditions. It </w:t>
      </w:r>
      <w:r w:rsidR="008D1395" w:rsidRPr="00B26051">
        <w:rPr>
          <w:rFonts w:ascii="Cambria" w:hAnsi="Cambria"/>
          <w:sz w:val="20"/>
          <w:szCs w:val="20"/>
        </w:rPr>
        <w:lastRenderedPageBreak/>
        <w:t>also failed to take the special measures of protection that are required of it where children are concerned.</w:t>
      </w:r>
      <w:r w:rsidRPr="00B26051">
        <w:rPr>
          <w:rFonts w:ascii="Cambria" w:hAnsi="Cambria"/>
          <w:sz w:val="20"/>
          <w:szCs w:val="20"/>
        </w:rPr>
        <w:t>”</w:t>
      </w:r>
      <w:r w:rsidRPr="00B26051">
        <w:rPr>
          <w:rStyle w:val="FootnoteReference"/>
          <w:rFonts w:ascii="Cambria" w:hAnsi="Cambria"/>
          <w:sz w:val="20"/>
          <w:szCs w:val="20"/>
        </w:rPr>
        <w:footnoteReference w:id="151"/>
      </w:r>
      <w:r w:rsidRPr="00B26051">
        <w:rPr>
          <w:rFonts w:ascii="Cambria" w:hAnsi="Cambria"/>
          <w:sz w:val="20"/>
          <w:szCs w:val="20"/>
        </w:rPr>
        <w:t xml:space="preserve"> In addition, </w:t>
      </w:r>
      <w:r w:rsidR="00B17B6B" w:rsidRPr="00B26051">
        <w:rPr>
          <w:rFonts w:ascii="Cambria" w:hAnsi="Cambria"/>
          <w:sz w:val="20"/>
          <w:szCs w:val="20"/>
        </w:rPr>
        <w:t xml:space="preserve">although the victims of these events had already reached the age of 18 on the day of the fire, </w:t>
      </w:r>
      <w:r w:rsidRPr="00B26051">
        <w:rPr>
          <w:rFonts w:ascii="Cambria" w:hAnsi="Cambria"/>
          <w:sz w:val="20"/>
          <w:szCs w:val="20"/>
        </w:rPr>
        <w:t>the Commission considers it</w:t>
      </w:r>
      <w:r w:rsidR="00B17B6B" w:rsidRPr="00B26051">
        <w:rPr>
          <w:rFonts w:ascii="Cambria" w:hAnsi="Cambria"/>
          <w:sz w:val="20"/>
          <w:szCs w:val="20"/>
        </w:rPr>
        <w:t xml:space="preserve"> sufficiently established that </w:t>
      </w:r>
      <w:r w:rsidRPr="00B26051">
        <w:rPr>
          <w:rFonts w:ascii="Cambria" w:hAnsi="Cambria"/>
          <w:sz w:val="20"/>
          <w:szCs w:val="20"/>
        </w:rPr>
        <w:t xml:space="preserve">the circumstances </w:t>
      </w:r>
      <w:r w:rsidR="00B17B6B" w:rsidRPr="00B26051">
        <w:rPr>
          <w:rFonts w:ascii="Cambria" w:hAnsi="Cambria"/>
          <w:sz w:val="20"/>
          <w:szCs w:val="20"/>
        </w:rPr>
        <w:t>leading to their deaths</w:t>
      </w:r>
      <w:r w:rsidRPr="00B26051">
        <w:rPr>
          <w:rFonts w:ascii="Cambria" w:hAnsi="Cambria"/>
          <w:sz w:val="20"/>
          <w:szCs w:val="20"/>
        </w:rPr>
        <w:t xml:space="preserve"> were the result of a lack of special and sufficient protection measures to guarantee the life, personal integrity and conditions of dignity in favor of all </w:t>
      </w:r>
      <w:r w:rsidR="00B17B6B" w:rsidRPr="00B26051">
        <w:rPr>
          <w:rFonts w:ascii="Cambria" w:hAnsi="Cambria"/>
          <w:sz w:val="20"/>
          <w:szCs w:val="20"/>
        </w:rPr>
        <w:t xml:space="preserve">adolescent internees </w:t>
      </w:r>
      <w:r w:rsidRPr="00B26051">
        <w:rPr>
          <w:rFonts w:ascii="Cambria" w:hAnsi="Cambria"/>
          <w:sz w:val="20"/>
          <w:szCs w:val="20"/>
        </w:rPr>
        <w:t xml:space="preserve">of the INAM-San </w:t>
      </w:r>
      <w:r w:rsidR="002033A9" w:rsidRPr="00B26051">
        <w:rPr>
          <w:rFonts w:ascii="Cambria" w:hAnsi="Cambria"/>
          <w:sz w:val="20"/>
          <w:szCs w:val="20"/>
        </w:rPr>
        <w:t>Félix</w:t>
      </w:r>
      <w:r w:rsidRPr="00B26051">
        <w:rPr>
          <w:rFonts w:ascii="Cambria" w:hAnsi="Cambria"/>
          <w:sz w:val="20"/>
          <w:szCs w:val="20"/>
        </w:rPr>
        <w:t xml:space="preserve"> center for childr</w:t>
      </w:r>
      <w:r w:rsidR="00B17B6B" w:rsidRPr="00B26051">
        <w:rPr>
          <w:rFonts w:ascii="Cambria" w:hAnsi="Cambria"/>
          <w:sz w:val="20"/>
          <w:szCs w:val="20"/>
        </w:rPr>
        <w:t>en under 18 years of age. In all</w:t>
      </w:r>
      <w:r w:rsidRPr="00B26051">
        <w:rPr>
          <w:rFonts w:ascii="Cambria" w:hAnsi="Cambria"/>
          <w:sz w:val="20"/>
          <w:szCs w:val="20"/>
        </w:rPr>
        <w:t xml:space="preserve">, the responsibility of the State is based on the lack of preventive measures against the possibility of acts of violence within the Center as a consequence of the </w:t>
      </w:r>
      <w:r w:rsidR="00B17B6B" w:rsidRPr="00B26051">
        <w:rPr>
          <w:rFonts w:ascii="Cambria" w:hAnsi="Cambria"/>
          <w:sz w:val="20"/>
          <w:szCs w:val="20"/>
        </w:rPr>
        <w:t>ongoing</w:t>
      </w:r>
      <w:r w:rsidRPr="00B26051">
        <w:rPr>
          <w:rFonts w:ascii="Cambria" w:hAnsi="Cambria"/>
          <w:sz w:val="20"/>
          <w:szCs w:val="20"/>
        </w:rPr>
        <w:t xml:space="preserve"> situations also attributable to the State; as well as the negligence of the personnel of the Center and </w:t>
      </w:r>
      <w:r w:rsidR="00B17B6B" w:rsidRPr="00B26051">
        <w:rPr>
          <w:rFonts w:ascii="Cambria" w:hAnsi="Cambria"/>
          <w:sz w:val="20"/>
          <w:szCs w:val="20"/>
        </w:rPr>
        <w:t xml:space="preserve">of </w:t>
      </w:r>
      <w:r w:rsidRPr="00B26051">
        <w:rPr>
          <w:rFonts w:ascii="Cambria" w:hAnsi="Cambria"/>
          <w:sz w:val="20"/>
          <w:szCs w:val="20"/>
        </w:rPr>
        <w:t xml:space="preserve">the Fire Department in their actions to </w:t>
      </w:r>
      <w:r w:rsidR="00B17B6B" w:rsidRPr="00B26051">
        <w:rPr>
          <w:rFonts w:ascii="Cambria" w:hAnsi="Cambria"/>
          <w:sz w:val="20"/>
          <w:szCs w:val="20"/>
        </w:rPr>
        <w:t>extinguish</w:t>
      </w:r>
      <w:r w:rsidRPr="00B26051">
        <w:rPr>
          <w:rFonts w:ascii="Cambria" w:hAnsi="Cambria"/>
          <w:sz w:val="20"/>
          <w:szCs w:val="20"/>
        </w:rPr>
        <w:t xml:space="preserve"> the fire and save the lives of the victims.</w:t>
      </w:r>
      <w:r w:rsidRPr="00B26051">
        <w:rPr>
          <w:rStyle w:val="FootnoteReference"/>
          <w:rFonts w:ascii="Cambria" w:hAnsi="Cambria"/>
          <w:sz w:val="20"/>
          <w:szCs w:val="20"/>
        </w:rPr>
        <w:t xml:space="preserve"> </w:t>
      </w:r>
      <w:r w:rsidRPr="00B26051">
        <w:rPr>
          <w:rStyle w:val="FootnoteReference"/>
          <w:rFonts w:ascii="Cambria" w:hAnsi="Cambria"/>
          <w:sz w:val="20"/>
          <w:szCs w:val="20"/>
        </w:rPr>
        <w:footnoteReference w:id="152"/>
      </w:r>
    </w:p>
    <w:p w14:paraId="2AD7BBAF" w14:textId="77777777" w:rsidR="00185D58" w:rsidRPr="00B26051" w:rsidRDefault="00185D58" w:rsidP="00185D58">
      <w:pPr>
        <w:pStyle w:val="ListParagraph"/>
        <w:rPr>
          <w:color w:val="auto"/>
          <w:sz w:val="20"/>
          <w:szCs w:val="20"/>
        </w:rPr>
      </w:pPr>
    </w:p>
    <w:p w14:paraId="3148015E" w14:textId="1AC875B7" w:rsidR="00185D58" w:rsidRPr="00B26051" w:rsidRDefault="00FA2EEC"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 xml:space="preserve">The Commission concludes that the Venezuelan State is responsible for the violation of the rights to life and personal integrity established in Articles 4.1, 5.1, 5.4, 5.5 and 5.6 of the American Convention, in relation to the </w:t>
      </w:r>
      <w:r w:rsidR="00D00DB7" w:rsidRPr="00B26051">
        <w:rPr>
          <w:rFonts w:ascii="Cambria" w:hAnsi="Cambria"/>
          <w:sz w:val="20"/>
          <w:szCs w:val="20"/>
        </w:rPr>
        <w:t>obligations established in A</w:t>
      </w:r>
      <w:r w:rsidRPr="00B26051">
        <w:rPr>
          <w:rFonts w:ascii="Cambria" w:hAnsi="Cambria"/>
          <w:sz w:val="20"/>
          <w:szCs w:val="20"/>
        </w:rPr>
        <w:t>rticles 1.1 and 19 of the same instrument, to the detriment of José Gregorio Mota Abarullo, Gabriel de Jesus Yáñez Sánchez, Rafael Antonio Parra Herrera, Cristián Arnaldo Molina Córdova and Johan José Correa.</w:t>
      </w:r>
    </w:p>
    <w:p w14:paraId="32692FFE" w14:textId="77777777" w:rsidR="00185D58" w:rsidRPr="00B26051" w:rsidRDefault="00185D58" w:rsidP="00185D58">
      <w:pPr>
        <w:tabs>
          <w:tab w:val="left" w:pos="720"/>
          <w:tab w:val="left" w:pos="1440"/>
        </w:tabs>
        <w:jc w:val="both"/>
        <w:rPr>
          <w:rFonts w:ascii="Cambria" w:hAnsi="Cambria"/>
          <w:sz w:val="20"/>
          <w:szCs w:val="20"/>
        </w:rPr>
      </w:pPr>
    </w:p>
    <w:p w14:paraId="0862E9A3" w14:textId="0CB80663" w:rsidR="00185D58" w:rsidRPr="00B26051" w:rsidRDefault="00FA2EEC" w:rsidP="007F4FA0">
      <w:pPr>
        <w:pStyle w:val="ListParagraph"/>
        <w:numPr>
          <w:ilvl w:val="0"/>
          <w:numId w:val="59"/>
        </w:numPr>
        <w:ind w:left="1440" w:hanging="720"/>
        <w:jc w:val="both"/>
        <w:rPr>
          <w:b/>
          <w:color w:val="auto"/>
          <w:sz w:val="20"/>
          <w:szCs w:val="20"/>
        </w:rPr>
      </w:pPr>
      <w:r w:rsidRPr="00B26051">
        <w:rPr>
          <w:b/>
          <w:color w:val="auto"/>
          <w:sz w:val="20"/>
          <w:szCs w:val="20"/>
        </w:rPr>
        <w:t>Rights to judicial guarantees</w:t>
      </w:r>
      <w:r w:rsidRPr="00B26051">
        <w:rPr>
          <w:rStyle w:val="FootnoteReference"/>
          <w:b/>
          <w:color w:val="auto"/>
          <w:sz w:val="20"/>
          <w:szCs w:val="20"/>
        </w:rPr>
        <w:footnoteReference w:id="153"/>
      </w:r>
      <w:r w:rsidRPr="00B26051">
        <w:rPr>
          <w:b/>
          <w:color w:val="auto"/>
          <w:sz w:val="20"/>
          <w:szCs w:val="20"/>
        </w:rPr>
        <w:t xml:space="preserve"> and judicial protection</w:t>
      </w:r>
      <w:r w:rsidRPr="00B26051">
        <w:rPr>
          <w:rStyle w:val="FootnoteReference"/>
          <w:b/>
          <w:color w:val="auto"/>
          <w:sz w:val="20"/>
          <w:szCs w:val="20"/>
        </w:rPr>
        <w:footnoteReference w:id="154"/>
      </w:r>
      <w:r w:rsidRPr="00B26051">
        <w:rPr>
          <w:b/>
          <w:color w:val="auto"/>
          <w:sz w:val="20"/>
          <w:szCs w:val="20"/>
        </w:rPr>
        <w:t xml:space="preserve"> in relation to </w:t>
      </w:r>
      <w:r w:rsidR="00004B15">
        <w:rPr>
          <w:b/>
          <w:color w:val="auto"/>
          <w:sz w:val="20"/>
          <w:szCs w:val="20"/>
        </w:rPr>
        <w:t>a</w:t>
      </w:r>
      <w:r w:rsidRPr="00B26051">
        <w:rPr>
          <w:b/>
          <w:color w:val="auto"/>
          <w:sz w:val="20"/>
          <w:szCs w:val="20"/>
        </w:rPr>
        <w:t>rticle 1.1 of the American Convention</w:t>
      </w:r>
    </w:p>
    <w:p w14:paraId="55A9B4D5" w14:textId="77777777" w:rsidR="00185D58" w:rsidRPr="00B26051" w:rsidRDefault="00185D58" w:rsidP="00185D58">
      <w:pPr>
        <w:rPr>
          <w:rFonts w:ascii="Cambria" w:hAnsi="Cambria"/>
          <w:b/>
          <w:sz w:val="16"/>
          <w:szCs w:val="20"/>
        </w:rPr>
      </w:pPr>
    </w:p>
    <w:p w14:paraId="6A8B2612" w14:textId="60E2F33E" w:rsidR="00185D58" w:rsidRPr="00B26051" w:rsidRDefault="00FB645D" w:rsidP="007F4FA0">
      <w:pPr>
        <w:numPr>
          <w:ilvl w:val="0"/>
          <w:numId w:val="61"/>
        </w:numPr>
        <w:ind w:hanging="720"/>
        <w:jc w:val="both"/>
        <w:rPr>
          <w:rFonts w:ascii="Cambria" w:eastAsia="Cambria" w:hAnsi="Cambria" w:cs="Cambria"/>
          <w:b/>
          <w:sz w:val="20"/>
          <w:szCs w:val="20"/>
          <w:u w:color="000000"/>
          <w:lang w:eastAsia="es-ES"/>
        </w:rPr>
      </w:pPr>
      <w:r w:rsidRPr="00B26051">
        <w:rPr>
          <w:rFonts w:ascii="Cambria" w:eastAsia="Cambria" w:hAnsi="Cambria" w:cs="Cambria"/>
          <w:b/>
          <w:sz w:val="20"/>
          <w:szCs w:val="20"/>
          <w:u w:color="000000"/>
          <w:lang w:eastAsia="es-ES"/>
        </w:rPr>
        <w:t>Standar</w:t>
      </w:r>
      <w:r w:rsidR="005E54D7" w:rsidRPr="00B26051">
        <w:rPr>
          <w:rFonts w:ascii="Cambria" w:eastAsia="Cambria" w:hAnsi="Cambria" w:cs="Cambria"/>
          <w:b/>
          <w:sz w:val="20"/>
          <w:szCs w:val="20"/>
          <w:u w:color="000000"/>
          <w:lang w:eastAsia="es-ES"/>
        </w:rPr>
        <w:t>ds of d</w:t>
      </w:r>
      <w:r w:rsidR="00584098" w:rsidRPr="00B26051">
        <w:rPr>
          <w:rFonts w:ascii="Cambria" w:eastAsia="Cambria" w:hAnsi="Cambria" w:cs="Cambria"/>
          <w:b/>
          <w:sz w:val="20"/>
          <w:szCs w:val="20"/>
          <w:u w:color="000000"/>
          <w:lang w:eastAsia="es-ES"/>
        </w:rPr>
        <w:t>ue diligence, officiousness and reasonable time</w:t>
      </w:r>
      <w:r w:rsidR="00004B15">
        <w:rPr>
          <w:rFonts w:ascii="Cambria" w:eastAsia="Cambria" w:hAnsi="Cambria" w:cs="Cambria"/>
          <w:b/>
          <w:sz w:val="20"/>
          <w:szCs w:val="20"/>
          <w:u w:color="000000"/>
          <w:lang w:eastAsia="es-ES"/>
        </w:rPr>
        <w:t xml:space="preserve"> period</w:t>
      </w:r>
    </w:p>
    <w:p w14:paraId="77406072" w14:textId="77777777" w:rsidR="00185D58" w:rsidRPr="00B26051" w:rsidRDefault="00185D58" w:rsidP="00185D58">
      <w:pPr>
        <w:ind w:left="1440"/>
        <w:jc w:val="both"/>
        <w:rPr>
          <w:rFonts w:ascii="Cambria" w:eastAsia="Cambria" w:hAnsi="Cambria" w:cs="Cambria"/>
          <w:b/>
          <w:sz w:val="20"/>
          <w:szCs w:val="20"/>
          <w:u w:color="000000"/>
          <w:lang w:eastAsia="es-ES"/>
        </w:rPr>
      </w:pPr>
    </w:p>
    <w:p w14:paraId="7BC0E26E" w14:textId="5AE0941A" w:rsidR="00185D58" w:rsidRPr="00B26051" w:rsidRDefault="00FB645D"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mbria" w:hAnsi="Cambria" w:cs="Cambria"/>
          <w:b/>
          <w:sz w:val="20"/>
          <w:szCs w:val="20"/>
          <w:u w:color="000000"/>
          <w:lang w:eastAsia="es-ES"/>
        </w:rPr>
      </w:pPr>
      <w:r w:rsidRPr="00B26051">
        <w:rPr>
          <w:rFonts w:ascii="Cambria" w:eastAsia="Cambria" w:hAnsi="Cambria" w:cs="Cambria"/>
          <w:sz w:val="20"/>
          <w:szCs w:val="20"/>
          <w:u w:color="000000"/>
          <w:lang w:eastAsia="es-ES"/>
        </w:rPr>
        <w:t>The Inter-American Court has established that "</w:t>
      </w:r>
      <w:r w:rsidR="005E54D7" w:rsidRPr="00B26051">
        <w:rPr>
          <w:rFonts w:ascii="Cambria" w:eastAsia="Cambria" w:hAnsi="Cambria" w:cs="Cambria"/>
          <w:sz w:val="20"/>
          <w:szCs w:val="20"/>
          <w:u w:color="000000"/>
          <w:lang w:eastAsia="es-ES"/>
        </w:rPr>
        <w:t>as a result of</w:t>
      </w:r>
      <w:r w:rsidRPr="00B26051">
        <w:rPr>
          <w:rFonts w:ascii="Cambria" w:eastAsia="Cambria" w:hAnsi="Cambria" w:cs="Cambria"/>
          <w:sz w:val="20"/>
          <w:szCs w:val="20"/>
          <w:u w:color="000000"/>
          <w:lang w:eastAsia="es-ES"/>
        </w:rPr>
        <w:t xml:space="preserve"> the protection </w:t>
      </w:r>
      <w:r w:rsidR="005E54D7" w:rsidRPr="00B26051">
        <w:rPr>
          <w:rFonts w:ascii="Cambria" w:eastAsia="Cambria" w:hAnsi="Cambria" w:cs="Cambria"/>
          <w:sz w:val="20"/>
          <w:szCs w:val="20"/>
          <w:u w:color="000000"/>
          <w:lang w:eastAsia="es-ES"/>
        </w:rPr>
        <w:t>granted</w:t>
      </w:r>
      <w:r w:rsidRPr="00B26051">
        <w:rPr>
          <w:rFonts w:ascii="Cambria" w:eastAsia="Cambria" w:hAnsi="Cambria" w:cs="Cambria"/>
          <w:sz w:val="20"/>
          <w:szCs w:val="20"/>
          <w:u w:color="000000"/>
          <w:lang w:eastAsia="es-ES"/>
        </w:rPr>
        <w:t xml:space="preserve"> by Articles 8 and 25 of the Convention, States are obliged to provide effective judicial </w:t>
      </w:r>
      <w:r w:rsidR="00B852CB">
        <w:rPr>
          <w:rFonts w:ascii="Cambria" w:eastAsia="Cambria" w:hAnsi="Cambria" w:cs="Cambria"/>
          <w:sz w:val="20"/>
          <w:szCs w:val="20"/>
          <w:u w:color="000000"/>
          <w:lang w:eastAsia="es-ES"/>
        </w:rPr>
        <w:t>remedies</w:t>
      </w:r>
      <w:r w:rsidRPr="00B26051">
        <w:rPr>
          <w:rFonts w:ascii="Cambria" w:eastAsia="Cambria" w:hAnsi="Cambria" w:cs="Cambria"/>
          <w:sz w:val="20"/>
          <w:szCs w:val="20"/>
          <w:u w:color="000000"/>
          <w:lang w:eastAsia="es-ES"/>
        </w:rPr>
        <w:t xml:space="preserve"> to </w:t>
      </w:r>
      <w:r w:rsidR="005E54D7" w:rsidRPr="00B26051">
        <w:rPr>
          <w:rFonts w:ascii="Cambria" w:eastAsia="Cambria" w:hAnsi="Cambria" w:cs="Cambria"/>
          <w:sz w:val="20"/>
          <w:szCs w:val="20"/>
          <w:u w:color="000000"/>
          <w:lang w:eastAsia="es-ES"/>
        </w:rPr>
        <w:t xml:space="preserve">the </w:t>
      </w:r>
      <w:r w:rsidRPr="00B26051">
        <w:rPr>
          <w:rFonts w:ascii="Cambria" w:eastAsia="Cambria" w:hAnsi="Cambria" w:cs="Cambria"/>
          <w:sz w:val="20"/>
          <w:szCs w:val="20"/>
          <w:u w:color="000000"/>
          <w:lang w:eastAsia="es-ES"/>
        </w:rPr>
        <w:t>victims of</w:t>
      </w:r>
      <w:r w:rsidR="005E54D7" w:rsidRPr="00B26051">
        <w:rPr>
          <w:rFonts w:ascii="Cambria" w:eastAsia="Cambria" w:hAnsi="Cambria" w:cs="Cambria"/>
          <w:sz w:val="20"/>
          <w:szCs w:val="20"/>
          <w:u w:color="000000"/>
          <w:lang w:eastAsia="es-ES"/>
        </w:rPr>
        <w:t xml:space="preserve"> human rights violations that </w:t>
      </w:r>
      <w:r w:rsidRPr="00B26051">
        <w:rPr>
          <w:rFonts w:ascii="Cambria" w:eastAsia="Cambria" w:hAnsi="Cambria" w:cs="Cambria"/>
          <w:sz w:val="20"/>
          <w:szCs w:val="20"/>
          <w:u w:color="000000"/>
          <w:lang w:eastAsia="es-ES"/>
        </w:rPr>
        <w:t xml:space="preserve">must be substantiated </w:t>
      </w:r>
      <w:r w:rsidR="005E54D7" w:rsidRPr="00B26051">
        <w:rPr>
          <w:rFonts w:ascii="Cambria" w:eastAsia="Cambria" w:hAnsi="Cambria" w:cs="Cambria"/>
          <w:sz w:val="20"/>
          <w:szCs w:val="20"/>
          <w:u w:color="000000"/>
          <w:lang w:eastAsia="es-ES"/>
        </w:rPr>
        <w:t>according to</w:t>
      </w:r>
      <w:r w:rsidRPr="00B26051">
        <w:rPr>
          <w:rFonts w:ascii="Cambria" w:eastAsia="Cambria" w:hAnsi="Cambria" w:cs="Cambria"/>
          <w:sz w:val="20"/>
          <w:szCs w:val="20"/>
          <w:u w:color="000000"/>
          <w:lang w:eastAsia="es-ES"/>
        </w:rPr>
        <w:t xml:space="preserve"> the rules of due process</w:t>
      </w:r>
      <w:r w:rsidR="005E54D7" w:rsidRPr="00B26051">
        <w:rPr>
          <w:rFonts w:ascii="Cambria" w:eastAsia="Cambria" w:hAnsi="Cambria" w:cs="Cambria"/>
          <w:sz w:val="20"/>
          <w:szCs w:val="20"/>
          <w:u w:color="000000"/>
          <w:lang w:eastAsia="es-ES"/>
        </w:rPr>
        <w:t xml:space="preserve"> of law.</w:t>
      </w:r>
      <w:r w:rsidRPr="00B26051">
        <w:rPr>
          <w:rFonts w:ascii="Cambria" w:eastAsia="Cambria" w:hAnsi="Cambria" w:cs="Cambria"/>
          <w:sz w:val="20"/>
          <w:szCs w:val="20"/>
          <w:u w:color="000000"/>
          <w:lang w:eastAsia="es-ES"/>
        </w:rPr>
        <w:t>"</w:t>
      </w:r>
      <w:r w:rsidRPr="00B26051">
        <w:rPr>
          <w:rFonts w:ascii="Cambria" w:eastAsia="Cambria" w:hAnsi="Cambria" w:cs="Cambria"/>
          <w:sz w:val="20"/>
          <w:szCs w:val="20"/>
          <w:u w:color="000000"/>
          <w:vertAlign w:val="superscript"/>
          <w:lang w:eastAsia="es-ES"/>
        </w:rPr>
        <w:footnoteReference w:id="155"/>
      </w:r>
    </w:p>
    <w:p w14:paraId="0584C9E9" w14:textId="77777777" w:rsidR="00574227" w:rsidRPr="00B26051" w:rsidRDefault="00574227" w:rsidP="00185D58">
      <w:pPr>
        <w:tabs>
          <w:tab w:val="left" w:pos="720"/>
          <w:tab w:val="left" w:pos="1440"/>
        </w:tabs>
        <w:ind w:left="630"/>
        <w:jc w:val="both"/>
        <w:rPr>
          <w:rFonts w:ascii="Cambria" w:eastAsia="Cambria" w:hAnsi="Cambria" w:cs="Cambria"/>
          <w:b/>
          <w:sz w:val="20"/>
          <w:szCs w:val="20"/>
          <w:u w:color="000000"/>
          <w:lang w:eastAsia="es-ES"/>
        </w:rPr>
      </w:pPr>
    </w:p>
    <w:p w14:paraId="062607DE" w14:textId="07B72041" w:rsidR="00185D58" w:rsidRPr="00B26051" w:rsidRDefault="00FB645D"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mbria" w:hAnsi="Cambria" w:cs="Cambria"/>
          <w:b/>
          <w:sz w:val="20"/>
          <w:szCs w:val="20"/>
          <w:u w:color="000000"/>
          <w:lang w:eastAsia="es-ES"/>
        </w:rPr>
      </w:pPr>
      <w:r w:rsidRPr="00B26051">
        <w:rPr>
          <w:rFonts w:ascii="Cambria" w:eastAsia="Cambria" w:hAnsi="Cambria" w:cs="Cambria"/>
          <w:sz w:val="20"/>
          <w:szCs w:val="20"/>
          <w:u w:color="000000"/>
          <w:lang w:eastAsia="es-ES"/>
        </w:rPr>
        <w:t xml:space="preserve">The </w:t>
      </w:r>
      <w:r w:rsidR="00574227" w:rsidRPr="00B26051">
        <w:rPr>
          <w:rFonts w:ascii="Cambria" w:eastAsia="Cambria" w:hAnsi="Cambria" w:cs="Cambria"/>
          <w:sz w:val="20"/>
          <w:szCs w:val="20"/>
          <w:u w:color="000000"/>
          <w:lang w:eastAsia="es-ES"/>
        </w:rPr>
        <w:t>case law</w:t>
      </w:r>
      <w:r w:rsidRPr="00B26051">
        <w:rPr>
          <w:rFonts w:ascii="Cambria" w:eastAsia="Cambria" w:hAnsi="Cambria" w:cs="Cambria"/>
          <w:sz w:val="20"/>
          <w:szCs w:val="20"/>
          <w:u w:color="000000"/>
          <w:lang w:eastAsia="es-ES"/>
        </w:rPr>
        <w:t xml:space="preserve"> of the Inter-American system provides that the State is obliged, once it has knowledge of a violation of human rights, in particular of the rights to life, personal integrity and personal liberty,</w:t>
      </w:r>
      <w:r w:rsidRPr="00B26051">
        <w:rPr>
          <w:rFonts w:ascii="Cambria" w:eastAsia="Cambria" w:hAnsi="Cambria" w:cs="Cambria"/>
          <w:sz w:val="20"/>
          <w:szCs w:val="20"/>
          <w:u w:color="000000"/>
          <w:vertAlign w:val="superscript"/>
          <w:lang w:eastAsia="es-ES"/>
        </w:rPr>
        <w:footnoteReference w:id="156"/>
      </w:r>
      <w:r w:rsidRPr="00B26051">
        <w:rPr>
          <w:rFonts w:ascii="Cambria" w:eastAsia="Cambria" w:hAnsi="Cambria" w:cs="Cambria"/>
          <w:sz w:val="20"/>
          <w:szCs w:val="20"/>
          <w:u w:color="000000"/>
          <w:lang w:eastAsia="es-ES"/>
        </w:rPr>
        <w:t xml:space="preserve"> to initiate </w:t>
      </w:r>
      <w:r w:rsidRPr="00B26051">
        <w:rPr>
          <w:rFonts w:ascii="Cambria" w:eastAsia="Cambria" w:hAnsi="Cambria" w:cs="Cambria"/>
          <w:i/>
          <w:sz w:val="20"/>
          <w:szCs w:val="20"/>
          <w:u w:color="000000"/>
          <w:lang w:eastAsia="es-ES"/>
        </w:rPr>
        <w:t>ex officio</w:t>
      </w:r>
      <w:r w:rsidR="00574227" w:rsidRPr="00B26051">
        <w:rPr>
          <w:rFonts w:ascii="Cambria" w:eastAsia="Cambria" w:hAnsi="Cambria" w:cs="Cambria"/>
          <w:sz w:val="20"/>
          <w:szCs w:val="20"/>
          <w:u w:color="000000"/>
          <w:lang w:eastAsia="es-ES"/>
        </w:rPr>
        <w:t xml:space="preserve"> and immediately, a genuine, impartial and effective</w:t>
      </w:r>
      <w:r w:rsidRPr="00B26051">
        <w:rPr>
          <w:rFonts w:ascii="Cambria" w:eastAsia="Cambria" w:hAnsi="Cambria" w:cs="Cambria"/>
          <w:sz w:val="20"/>
          <w:szCs w:val="20"/>
          <w:u w:color="000000"/>
          <w:lang w:eastAsia="es-ES"/>
        </w:rPr>
        <w:t xml:space="preserve"> investigation,</w:t>
      </w:r>
      <w:r w:rsidRPr="00B26051">
        <w:rPr>
          <w:rFonts w:ascii="Cambria" w:eastAsia="Cambria" w:hAnsi="Cambria" w:cs="Cambria"/>
          <w:sz w:val="20"/>
          <w:szCs w:val="20"/>
          <w:u w:color="000000"/>
          <w:vertAlign w:val="superscript"/>
          <w:lang w:eastAsia="es-ES"/>
        </w:rPr>
        <w:footnoteReference w:id="157"/>
      </w:r>
      <w:r w:rsidRPr="00B26051">
        <w:rPr>
          <w:rFonts w:ascii="Cambria" w:eastAsia="Cambria" w:hAnsi="Cambria" w:cs="Cambria"/>
          <w:sz w:val="20"/>
          <w:szCs w:val="20"/>
          <w:u w:color="000000"/>
          <w:lang w:eastAsia="es-ES"/>
        </w:rPr>
        <w:t xml:space="preserve"> which must be carried out within a reasonable time.</w:t>
      </w:r>
      <w:r w:rsidRPr="00B26051">
        <w:rPr>
          <w:rFonts w:ascii="Cambria" w:eastAsia="Cambria" w:hAnsi="Cambria" w:cs="Cambria"/>
          <w:sz w:val="20"/>
          <w:szCs w:val="20"/>
          <w:u w:color="000000"/>
          <w:vertAlign w:val="superscript"/>
          <w:lang w:eastAsia="es-ES"/>
        </w:rPr>
        <w:footnoteReference w:id="158"/>
      </w:r>
      <w:r w:rsidRPr="00B26051">
        <w:rPr>
          <w:rFonts w:ascii="Cambria" w:eastAsia="Cambria" w:hAnsi="Cambria" w:cs="Cambria"/>
          <w:sz w:val="20"/>
          <w:szCs w:val="20"/>
          <w:u w:color="000000"/>
          <w:lang w:eastAsia="es-ES"/>
        </w:rPr>
        <w:t xml:space="preserve"> This implies the right of victims and their families </w:t>
      </w:r>
      <w:r w:rsidR="00584098" w:rsidRPr="00B26051">
        <w:rPr>
          <w:rFonts w:ascii="Cambria" w:eastAsia="Cambria" w:hAnsi="Cambria" w:cs="Cambria"/>
          <w:sz w:val="20"/>
          <w:szCs w:val="20"/>
          <w:u w:color="000000"/>
          <w:lang w:eastAsia="es-ES"/>
        </w:rPr>
        <w:t>to have</w:t>
      </w:r>
      <w:r w:rsidRPr="00B26051">
        <w:rPr>
          <w:rFonts w:ascii="Cambria" w:eastAsia="Cambria" w:hAnsi="Cambria" w:cs="Cambria"/>
          <w:sz w:val="20"/>
          <w:szCs w:val="20"/>
          <w:u w:color="000000"/>
          <w:lang w:eastAsia="es-ES"/>
        </w:rPr>
        <w:t xml:space="preserve"> state authorities initiate proceedings against the alleged perpetrators of </w:t>
      </w:r>
      <w:r w:rsidR="00574227" w:rsidRPr="00B26051">
        <w:rPr>
          <w:rFonts w:ascii="Cambria" w:eastAsia="Cambria" w:hAnsi="Cambria" w:cs="Cambria"/>
          <w:sz w:val="20"/>
          <w:szCs w:val="20"/>
          <w:u w:color="000000"/>
          <w:lang w:eastAsia="es-ES"/>
        </w:rPr>
        <w:t xml:space="preserve">these crimes; and if applicable, </w:t>
      </w:r>
      <w:r w:rsidR="00B852CB">
        <w:rPr>
          <w:rFonts w:ascii="Cambria" w:eastAsia="Cambria" w:hAnsi="Cambria" w:cs="Cambria"/>
          <w:sz w:val="20"/>
          <w:szCs w:val="20"/>
          <w:u w:color="000000"/>
          <w:lang w:eastAsia="es-ES"/>
        </w:rPr>
        <w:t>to impose the</w:t>
      </w:r>
      <w:r w:rsidR="00574227" w:rsidRPr="00B26051">
        <w:rPr>
          <w:rFonts w:ascii="Cambria" w:eastAsia="Cambria" w:hAnsi="Cambria" w:cs="Cambria"/>
          <w:sz w:val="20"/>
          <w:szCs w:val="20"/>
          <w:u w:color="000000"/>
          <w:lang w:eastAsia="es-ES"/>
        </w:rPr>
        <w:t xml:space="preserve"> pertinent penalties</w:t>
      </w:r>
      <w:r w:rsidRPr="00B26051">
        <w:rPr>
          <w:rFonts w:ascii="Cambria" w:eastAsia="Cambria" w:hAnsi="Cambria" w:cs="Cambria"/>
          <w:sz w:val="20"/>
          <w:szCs w:val="20"/>
          <w:u w:color="000000"/>
          <w:lang w:eastAsia="es-ES"/>
        </w:rPr>
        <w:t xml:space="preserve">, and </w:t>
      </w:r>
      <w:r w:rsidR="00B852CB">
        <w:rPr>
          <w:rFonts w:ascii="Cambria" w:eastAsia="Cambria" w:hAnsi="Cambria" w:cs="Cambria"/>
          <w:sz w:val="20"/>
          <w:szCs w:val="20"/>
          <w:u w:color="000000"/>
          <w:lang w:eastAsia="es-ES"/>
        </w:rPr>
        <w:t>to compensate</w:t>
      </w:r>
      <w:r w:rsidR="00574227" w:rsidRPr="00B26051">
        <w:rPr>
          <w:rFonts w:ascii="Cambria" w:eastAsia="Cambria" w:hAnsi="Cambria" w:cs="Cambria"/>
          <w:sz w:val="20"/>
          <w:szCs w:val="20"/>
          <w:u w:color="000000"/>
          <w:lang w:eastAsia="es-ES"/>
        </w:rPr>
        <w:t xml:space="preserve"> </w:t>
      </w:r>
      <w:r w:rsidRPr="00B26051">
        <w:rPr>
          <w:rFonts w:ascii="Cambria" w:eastAsia="Cambria" w:hAnsi="Cambria" w:cs="Cambria"/>
          <w:sz w:val="20"/>
          <w:szCs w:val="20"/>
          <w:u w:color="000000"/>
          <w:lang w:eastAsia="es-ES"/>
        </w:rPr>
        <w:t>the damages and losses suffered.</w:t>
      </w:r>
      <w:r w:rsidRPr="00B26051">
        <w:rPr>
          <w:rFonts w:ascii="Cambria" w:eastAsia="Cambria" w:hAnsi="Cambria" w:cs="Cambria"/>
          <w:sz w:val="20"/>
          <w:szCs w:val="20"/>
          <w:u w:color="000000"/>
          <w:vertAlign w:val="superscript"/>
          <w:lang w:eastAsia="es-ES"/>
        </w:rPr>
        <w:footnoteReference w:id="159"/>
      </w:r>
    </w:p>
    <w:p w14:paraId="7C088D89" w14:textId="77777777" w:rsidR="00185D58" w:rsidRPr="00B26051" w:rsidRDefault="00185D58" w:rsidP="00185D58">
      <w:pPr>
        <w:pStyle w:val="ListParagraph"/>
        <w:rPr>
          <w:color w:val="auto"/>
          <w:sz w:val="20"/>
          <w:szCs w:val="20"/>
        </w:rPr>
      </w:pPr>
    </w:p>
    <w:p w14:paraId="6F2AC251" w14:textId="5D0A79E7" w:rsidR="00185D58" w:rsidRPr="00B26051" w:rsidRDefault="00FB645D"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mbria" w:hAnsi="Cambria" w:cs="Cambria"/>
          <w:b/>
          <w:sz w:val="20"/>
          <w:szCs w:val="20"/>
          <w:u w:color="000000"/>
          <w:lang w:eastAsia="es-ES"/>
        </w:rPr>
      </w:pPr>
      <w:r w:rsidRPr="00B26051">
        <w:rPr>
          <w:rFonts w:ascii="Cambria" w:hAnsi="Cambria"/>
          <w:sz w:val="20"/>
          <w:szCs w:val="20"/>
        </w:rPr>
        <w:t>Although the obligation to invest</w:t>
      </w:r>
      <w:r w:rsidR="00A4167D" w:rsidRPr="00B26051">
        <w:rPr>
          <w:rFonts w:ascii="Cambria" w:hAnsi="Cambria"/>
          <w:sz w:val="20"/>
          <w:szCs w:val="20"/>
        </w:rPr>
        <w:t>igate is an obligation of means</w:t>
      </w:r>
      <w:r w:rsidRPr="00B26051">
        <w:rPr>
          <w:rFonts w:ascii="Cambria" w:hAnsi="Cambria"/>
          <w:sz w:val="20"/>
          <w:szCs w:val="20"/>
        </w:rPr>
        <w:t>,</w:t>
      </w:r>
      <w:r w:rsidR="00A4167D" w:rsidRPr="00B26051">
        <w:rPr>
          <w:rFonts w:ascii="Cambria" w:hAnsi="Cambria"/>
          <w:sz w:val="20"/>
          <w:szCs w:val="20"/>
        </w:rPr>
        <w:t xml:space="preserve"> rather than results,</w:t>
      </w:r>
      <w:r w:rsidRPr="00B26051">
        <w:rPr>
          <w:rFonts w:ascii="Cambria" w:hAnsi="Cambria"/>
          <w:sz w:val="20"/>
          <w:szCs w:val="20"/>
        </w:rPr>
        <w:t xml:space="preserve"> the State </w:t>
      </w:r>
      <w:r w:rsidR="00A4167D" w:rsidRPr="00B26051">
        <w:rPr>
          <w:rFonts w:ascii="Cambria" w:hAnsi="Cambria"/>
          <w:sz w:val="20"/>
          <w:szCs w:val="20"/>
        </w:rPr>
        <w:t xml:space="preserve">must undertake it </w:t>
      </w:r>
      <w:r w:rsidRPr="00B26051">
        <w:rPr>
          <w:rFonts w:ascii="Cambria" w:hAnsi="Cambria"/>
          <w:sz w:val="20"/>
          <w:szCs w:val="20"/>
        </w:rPr>
        <w:t xml:space="preserve">as its own legal duty and not as a mere formality </w:t>
      </w:r>
      <w:r w:rsidR="00A4167D" w:rsidRPr="00B26051">
        <w:rPr>
          <w:rFonts w:ascii="Cambria" w:hAnsi="Cambria"/>
          <w:sz w:val="20"/>
          <w:szCs w:val="20"/>
        </w:rPr>
        <w:t>predestined to be ineffective</w:t>
      </w:r>
      <w:r w:rsidRPr="00B26051">
        <w:rPr>
          <w:rFonts w:ascii="Cambria" w:hAnsi="Cambria"/>
          <w:sz w:val="20"/>
          <w:szCs w:val="20"/>
        </w:rPr>
        <w:t>,</w:t>
      </w:r>
      <w:r w:rsidRPr="00B26051">
        <w:rPr>
          <w:rFonts w:ascii="Cambria" w:hAnsi="Cambria"/>
          <w:sz w:val="20"/>
          <w:szCs w:val="20"/>
          <w:vertAlign w:val="superscript"/>
        </w:rPr>
        <w:footnoteReference w:id="160"/>
      </w:r>
      <w:r w:rsidRPr="00B26051">
        <w:rPr>
          <w:rFonts w:ascii="Cambria" w:hAnsi="Cambria"/>
          <w:sz w:val="20"/>
          <w:szCs w:val="20"/>
        </w:rPr>
        <w:t xml:space="preserve"> or as a </w:t>
      </w:r>
      <w:r w:rsidRPr="00B26051">
        <w:rPr>
          <w:rFonts w:ascii="Cambria" w:hAnsi="Cambria"/>
          <w:sz w:val="20"/>
          <w:szCs w:val="20"/>
        </w:rPr>
        <w:lastRenderedPageBreak/>
        <w:t xml:space="preserve">mere </w:t>
      </w:r>
      <w:r w:rsidR="00A4167D" w:rsidRPr="00B26051">
        <w:rPr>
          <w:rFonts w:ascii="Cambria" w:hAnsi="Cambria"/>
          <w:sz w:val="20"/>
          <w:szCs w:val="20"/>
        </w:rPr>
        <w:t>reaction to private interests</w:t>
      </w:r>
      <w:r w:rsidRPr="00B26051">
        <w:rPr>
          <w:rFonts w:ascii="Cambria" w:hAnsi="Cambria"/>
          <w:sz w:val="20"/>
          <w:szCs w:val="20"/>
        </w:rPr>
        <w:t xml:space="preserve">, </w:t>
      </w:r>
      <w:r w:rsidR="00A4167D" w:rsidRPr="00B26051">
        <w:rPr>
          <w:rFonts w:ascii="Cambria" w:hAnsi="Cambria"/>
          <w:sz w:val="20"/>
          <w:szCs w:val="20"/>
        </w:rPr>
        <w:t>which would depend on the</w:t>
      </w:r>
      <w:r w:rsidRPr="00B26051">
        <w:rPr>
          <w:rFonts w:ascii="Cambria" w:hAnsi="Cambria"/>
          <w:sz w:val="20"/>
          <w:szCs w:val="20"/>
        </w:rPr>
        <w:t xml:space="preserve"> procedural initiative of the victims or their </w:t>
      </w:r>
      <w:r w:rsidR="00A4167D" w:rsidRPr="00B26051">
        <w:rPr>
          <w:rFonts w:ascii="Cambria" w:hAnsi="Cambria"/>
          <w:sz w:val="20"/>
          <w:szCs w:val="20"/>
        </w:rPr>
        <w:t>family members or on the submission of evidentiary elements by private individuals</w:t>
      </w:r>
      <w:r w:rsidRPr="00B26051">
        <w:rPr>
          <w:rFonts w:ascii="Cambria" w:hAnsi="Cambria"/>
          <w:sz w:val="20"/>
          <w:szCs w:val="20"/>
        </w:rPr>
        <w:t>.</w:t>
      </w:r>
      <w:r w:rsidRPr="00B26051">
        <w:rPr>
          <w:rFonts w:ascii="Cambria" w:hAnsi="Cambria"/>
          <w:sz w:val="20"/>
          <w:szCs w:val="20"/>
          <w:vertAlign w:val="superscript"/>
        </w:rPr>
        <w:footnoteReference w:id="161"/>
      </w:r>
    </w:p>
    <w:p w14:paraId="566D9FE0" w14:textId="77777777" w:rsidR="00185D58" w:rsidRPr="00B26051" w:rsidRDefault="00185D58" w:rsidP="00185D58">
      <w:pPr>
        <w:tabs>
          <w:tab w:val="left" w:pos="720"/>
          <w:tab w:val="left" w:pos="1440"/>
        </w:tabs>
        <w:jc w:val="both"/>
        <w:rPr>
          <w:rFonts w:ascii="Cambria" w:eastAsia="Cambria" w:hAnsi="Cambria" w:cs="Cambria"/>
          <w:sz w:val="20"/>
          <w:szCs w:val="20"/>
          <w:u w:color="000000"/>
          <w:lang w:eastAsia="es-ES"/>
        </w:rPr>
      </w:pPr>
    </w:p>
    <w:p w14:paraId="469B375B" w14:textId="5D752E43" w:rsidR="00185D58" w:rsidRPr="00B26051" w:rsidRDefault="008930F6"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mbria" w:hAnsi="Cambria" w:cs="Cambria"/>
          <w:b/>
          <w:sz w:val="20"/>
          <w:szCs w:val="20"/>
          <w:u w:color="000000"/>
          <w:lang w:eastAsia="es-ES"/>
        </w:rPr>
      </w:pPr>
      <w:r w:rsidRPr="00B26051">
        <w:rPr>
          <w:rFonts w:ascii="Cambria" w:hAnsi="Cambria"/>
          <w:sz w:val="20"/>
          <w:szCs w:val="20"/>
        </w:rPr>
        <w:t xml:space="preserve">The Inter-American Court has indicated that the duty to investigate with due diligence implies that the investigations must be carried out </w:t>
      </w:r>
      <w:r w:rsidR="00BF1631" w:rsidRPr="00B26051">
        <w:rPr>
          <w:rFonts w:ascii="Cambria" w:hAnsi="Cambria"/>
          <w:sz w:val="20"/>
          <w:szCs w:val="20"/>
        </w:rPr>
        <w:t>utilizing</w:t>
      </w:r>
      <w:r w:rsidRPr="00B26051">
        <w:rPr>
          <w:rFonts w:ascii="Cambria" w:hAnsi="Cambria"/>
          <w:sz w:val="20"/>
          <w:szCs w:val="20"/>
        </w:rPr>
        <w:t xml:space="preserve"> all available legal means and be </w:t>
      </w:r>
      <w:r w:rsidR="00BF1631" w:rsidRPr="00B26051">
        <w:rPr>
          <w:rFonts w:ascii="Cambria" w:hAnsi="Cambria"/>
          <w:sz w:val="20"/>
          <w:szCs w:val="20"/>
        </w:rPr>
        <w:t>oriented toward</w:t>
      </w:r>
      <w:r w:rsidRPr="00B26051">
        <w:rPr>
          <w:rFonts w:ascii="Cambria" w:hAnsi="Cambria"/>
          <w:sz w:val="20"/>
          <w:szCs w:val="20"/>
        </w:rPr>
        <w:t xml:space="preserve"> determining the truth.</w:t>
      </w:r>
      <w:r w:rsidRPr="00B26051">
        <w:rPr>
          <w:rFonts w:ascii="Cambria" w:eastAsia="Cambria" w:hAnsi="Cambria" w:cs="Cambria"/>
          <w:sz w:val="20"/>
          <w:szCs w:val="20"/>
          <w:u w:color="000000"/>
          <w:vertAlign w:val="superscript"/>
          <w:lang w:eastAsia="es-ES"/>
        </w:rPr>
        <w:footnoteReference w:id="162"/>
      </w:r>
      <w:r w:rsidRPr="00B26051">
        <w:rPr>
          <w:rFonts w:ascii="Cambria" w:hAnsi="Cambria"/>
          <w:sz w:val="20"/>
          <w:szCs w:val="20"/>
        </w:rPr>
        <w:t xml:space="preserve"> In addition, the Commission and the Court have specified that in cases of human rights violations, the State can be found responsible </w:t>
      </w:r>
      <w:r w:rsidR="00BF1631" w:rsidRPr="00B26051">
        <w:rPr>
          <w:rFonts w:ascii="Cambria" w:hAnsi="Cambria"/>
          <w:sz w:val="20"/>
          <w:szCs w:val="20"/>
        </w:rPr>
        <w:t>for</w:t>
      </w:r>
      <w:r w:rsidRPr="00B26051">
        <w:rPr>
          <w:rFonts w:ascii="Cambria" w:hAnsi="Cambria"/>
          <w:sz w:val="20"/>
          <w:szCs w:val="20"/>
        </w:rPr>
        <w:t xml:space="preserve"> not ordering and carrying out pertinent tests in accordance with the duty of due diligence</w:t>
      </w:r>
      <w:r w:rsidR="00B852CB">
        <w:rPr>
          <w:rFonts w:ascii="Cambria" w:hAnsi="Cambria"/>
          <w:sz w:val="20"/>
          <w:szCs w:val="20"/>
        </w:rPr>
        <w:t>,</w:t>
      </w:r>
      <w:r w:rsidRPr="00B26051">
        <w:rPr>
          <w:rFonts w:ascii="Cambria" w:hAnsi="Cambria"/>
          <w:sz w:val="20"/>
          <w:szCs w:val="20"/>
        </w:rPr>
        <w:t xml:space="preserve"> and that the investigation should be oriented to explore all </w:t>
      </w:r>
      <w:r w:rsidR="00BF1631" w:rsidRPr="00B26051">
        <w:rPr>
          <w:rFonts w:ascii="Cambria" w:hAnsi="Cambria"/>
          <w:sz w:val="20"/>
          <w:szCs w:val="20"/>
        </w:rPr>
        <w:t xml:space="preserve">possible avenues of investigation to permit </w:t>
      </w:r>
      <w:r w:rsidRPr="00B26051">
        <w:rPr>
          <w:rFonts w:ascii="Cambria" w:hAnsi="Cambria"/>
          <w:sz w:val="20"/>
          <w:szCs w:val="20"/>
        </w:rPr>
        <w:t xml:space="preserve">the identification of the </w:t>
      </w:r>
      <w:r w:rsidR="00BF1631" w:rsidRPr="00B26051">
        <w:rPr>
          <w:rFonts w:ascii="Cambria" w:hAnsi="Cambria"/>
          <w:sz w:val="20"/>
          <w:szCs w:val="20"/>
        </w:rPr>
        <w:t>perpetrators of this violation</w:t>
      </w:r>
      <w:r w:rsidRPr="00B26051">
        <w:rPr>
          <w:rFonts w:ascii="Cambria" w:hAnsi="Cambria"/>
          <w:sz w:val="20"/>
          <w:szCs w:val="20"/>
        </w:rPr>
        <w:t>.</w:t>
      </w:r>
      <w:r w:rsidRPr="00B26051">
        <w:rPr>
          <w:rFonts w:ascii="Cambria" w:hAnsi="Cambria"/>
          <w:sz w:val="20"/>
          <w:szCs w:val="20"/>
          <w:vertAlign w:val="superscript"/>
        </w:rPr>
        <w:footnoteReference w:id="163"/>
      </w:r>
    </w:p>
    <w:p w14:paraId="4BA775E0" w14:textId="77777777" w:rsidR="00185D58" w:rsidRPr="00B26051" w:rsidRDefault="00185D58" w:rsidP="00185D58">
      <w:pPr>
        <w:pStyle w:val="ListParagraph"/>
        <w:rPr>
          <w:rFonts w:cs="Verdana"/>
          <w:color w:val="auto"/>
          <w:sz w:val="20"/>
          <w:szCs w:val="20"/>
        </w:rPr>
      </w:pPr>
    </w:p>
    <w:p w14:paraId="7261E7B7" w14:textId="36EC57A5" w:rsidR="00185D58" w:rsidRPr="00B26051" w:rsidRDefault="008930F6"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mbria" w:hAnsi="Cambria" w:cs="Cambria"/>
          <w:b/>
          <w:sz w:val="20"/>
          <w:szCs w:val="20"/>
          <w:u w:color="000000"/>
          <w:lang w:eastAsia="es-ES"/>
        </w:rPr>
      </w:pPr>
      <w:r w:rsidRPr="00B26051">
        <w:rPr>
          <w:rFonts w:ascii="Cambria" w:hAnsi="Cambria" w:cs="Verdana"/>
          <w:sz w:val="20"/>
          <w:szCs w:val="20"/>
        </w:rPr>
        <w:t xml:space="preserve">Finally, with respect to the principle of a reasonable period of time contemplated in Article 8.1 of the American Convention, the Inter-American Court has established that it is necessary to take into account three elements to determine the reasonableness of the period </w:t>
      </w:r>
      <w:r w:rsidR="008237CC" w:rsidRPr="00B26051">
        <w:rPr>
          <w:rFonts w:ascii="Cambria" w:hAnsi="Cambria" w:cs="Verdana"/>
          <w:sz w:val="20"/>
          <w:szCs w:val="20"/>
        </w:rPr>
        <w:t>in conducting proceedings</w:t>
      </w:r>
      <w:r w:rsidRPr="00B26051">
        <w:rPr>
          <w:rFonts w:ascii="Cambria" w:hAnsi="Cambria" w:cs="Verdana"/>
          <w:sz w:val="20"/>
          <w:szCs w:val="20"/>
        </w:rPr>
        <w:t>: a) the complexity of the mat</w:t>
      </w:r>
      <w:r w:rsidR="008237CC" w:rsidRPr="00B26051">
        <w:rPr>
          <w:rFonts w:ascii="Cambria" w:hAnsi="Cambria" w:cs="Verdana"/>
          <w:sz w:val="20"/>
          <w:szCs w:val="20"/>
        </w:rPr>
        <w:t>ter, b) the procedural activit</w:t>
      </w:r>
      <w:r w:rsidR="00B852CB">
        <w:rPr>
          <w:rFonts w:ascii="Cambria" w:hAnsi="Cambria" w:cs="Verdana"/>
          <w:sz w:val="20"/>
          <w:szCs w:val="20"/>
        </w:rPr>
        <w:t>y</w:t>
      </w:r>
      <w:r w:rsidR="008237CC" w:rsidRPr="00B26051">
        <w:rPr>
          <w:rFonts w:ascii="Cambria" w:hAnsi="Cambria" w:cs="Verdana"/>
          <w:sz w:val="20"/>
          <w:szCs w:val="20"/>
        </w:rPr>
        <w:t xml:space="preserve"> </w:t>
      </w:r>
      <w:r w:rsidR="00B852CB">
        <w:rPr>
          <w:rFonts w:ascii="Cambria" w:hAnsi="Cambria" w:cs="Verdana"/>
          <w:sz w:val="20"/>
          <w:szCs w:val="20"/>
        </w:rPr>
        <w:t xml:space="preserve">of </w:t>
      </w:r>
      <w:r w:rsidR="008237CC" w:rsidRPr="00B26051">
        <w:rPr>
          <w:rFonts w:ascii="Cambria" w:hAnsi="Cambria" w:cs="Verdana"/>
          <w:sz w:val="20"/>
          <w:szCs w:val="20"/>
        </w:rPr>
        <w:t xml:space="preserve">the </w:t>
      </w:r>
      <w:r w:rsidRPr="00B26051">
        <w:rPr>
          <w:rFonts w:ascii="Cambria" w:hAnsi="Cambria" w:cs="Verdana"/>
          <w:sz w:val="20"/>
          <w:szCs w:val="20"/>
        </w:rPr>
        <w:t>interested party, and c) the conduct of judicial authorities.</w:t>
      </w:r>
      <w:r w:rsidRPr="00B26051">
        <w:rPr>
          <w:rFonts w:ascii="Cambria" w:hAnsi="Cambria" w:cs="Verdana"/>
          <w:sz w:val="20"/>
          <w:szCs w:val="20"/>
          <w:vertAlign w:val="superscript"/>
        </w:rPr>
        <w:footnoteReference w:id="164"/>
      </w:r>
      <w:r w:rsidR="008237CC" w:rsidRPr="00B26051">
        <w:rPr>
          <w:rFonts w:ascii="Cambria" w:hAnsi="Cambria" w:cs="Verdana"/>
          <w:sz w:val="20"/>
          <w:szCs w:val="20"/>
        </w:rPr>
        <w:t xml:space="preserve">  In addition</w:t>
      </w:r>
      <w:r w:rsidRPr="00B26051">
        <w:rPr>
          <w:rFonts w:ascii="Cambria" w:hAnsi="Cambria" w:cs="Verdana"/>
          <w:sz w:val="20"/>
          <w:szCs w:val="20"/>
        </w:rPr>
        <w:t xml:space="preserve">, </w:t>
      </w:r>
      <w:r w:rsidR="008237CC" w:rsidRPr="00B26051">
        <w:rPr>
          <w:rFonts w:ascii="Cambria" w:hAnsi="Cambria" w:cs="Verdana"/>
          <w:sz w:val="20"/>
          <w:szCs w:val="20"/>
        </w:rPr>
        <w:t>the Court considered that</w:t>
      </w:r>
      <w:r w:rsidRPr="00B26051">
        <w:rPr>
          <w:rFonts w:ascii="Cambria" w:hAnsi="Cambria" w:cs="Verdana"/>
          <w:sz w:val="20"/>
          <w:szCs w:val="20"/>
        </w:rPr>
        <w:t xml:space="preserve"> it is also necessary to take into </w:t>
      </w:r>
      <w:r w:rsidR="008237CC" w:rsidRPr="00B26051">
        <w:rPr>
          <w:rFonts w:ascii="Cambria" w:hAnsi="Cambria" w:cs="Verdana"/>
          <w:sz w:val="20"/>
          <w:szCs w:val="20"/>
        </w:rPr>
        <w:t>account</w:t>
      </w:r>
      <w:r w:rsidRPr="00B26051">
        <w:rPr>
          <w:rFonts w:ascii="Cambria" w:hAnsi="Cambria" w:cs="Verdana"/>
          <w:sz w:val="20"/>
          <w:szCs w:val="20"/>
        </w:rPr>
        <w:t xml:space="preserve"> the interest affected by the delay.</w:t>
      </w:r>
      <w:r w:rsidRPr="00B26051">
        <w:rPr>
          <w:rFonts w:ascii="Cambria" w:hAnsi="Cambria" w:cs="Verdana"/>
          <w:sz w:val="20"/>
          <w:szCs w:val="20"/>
          <w:vertAlign w:val="superscript"/>
        </w:rPr>
        <w:footnoteReference w:id="165"/>
      </w:r>
    </w:p>
    <w:p w14:paraId="3103536A" w14:textId="77777777" w:rsidR="00185D58" w:rsidRPr="00B26051" w:rsidRDefault="00185D58" w:rsidP="00185D58">
      <w:pPr>
        <w:pStyle w:val="ListParagraph"/>
        <w:rPr>
          <w:b/>
          <w:color w:val="auto"/>
          <w:sz w:val="20"/>
          <w:szCs w:val="20"/>
        </w:rPr>
      </w:pPr>
    </w:p>
    <w:p w14:paraId="67A3CDC4" w14:textId="2A2F2846" w:rsidR="00185D58" w:rsidRPr="00B26051" w:rsidRDefault="00BB77A6" w:rsidP="007F4FA0">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hanging="720"/>
        <w:jc w:val="both"/>
        <w:rPr>
          <w:b/>
          <w:color w:val="auto"/>
          <w:sz w:val="20"/>
          <w:szCs w:val="20"/>
        </w:rPr>
      </w:pPr>
      <w:r w:rsidRPr="00B26051">
        <w:rPr>
          <w:b/>
          <w:color w:val="auto"/>
          <w:sz w:val="20"/>
          <w:szCs w:val="20"/>
        </w:rPr>
        <w:t xml:space="preserve">Analysis of the </w:t>
      </w:r>
      <w:r w:rsidR="00004B15">
        <w:rPr>
          <w:b/>
          <w:color w:val="auto"/>
          <w:sz w:val="20"/>
          <w:szCs w:val="20"/>
        </w:rPr>
        <w:t>c</w:t>
      </w:r>
      <w:r w:rsidRPr="00B26051">
        <w:rPr>
          <w:b/>
          <w:color w:val="auto"/>
          <w:sz w:val="20"/>
          <w:szCs w:val="20"/>
        </w:rPr>
        <w:t>ase</w:t>
      </w:r>
    </w:p>
    <w:p w14:paraId="1219C441" w14:textId="77777777" w:rsidR="00185D58" w:rsidRPr="00B26051" w:rsidRDefault="00185D58" w:rsidP="00185D58">
      <w:pPr>
        <w:pStyle w:val="ListParagraph"/>
        <w:rPr>
          <w:b/>
          <w:color w:val="auto"/>
          <w:sz w:val="20"/>
          <w:szCs w:val="20"/>
        </w:rPr>
      </w:pPr>
    </w:p>
    <w:p w14:paraId="018AA23F" w14:textId="23EB3108" w:rsidR="00185D58" w:rsidRPr="00B26051" w:rsidRDefault="00BB77A6"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eastAsia="Cambria" w:hAnsi="Cambria" w:cs="Cambria"/>
          <w:sz w:val="20"/>
          <w:szCs w:val="20"/>
          <w:u w:color="000000"/>
          <w:lang w:eastAsia="es-ES"/>
        </w:rPr>
        <w:t>In the present case</w:t>
      </w:r>
      <w:r w:rsidR="00584098" w:rsidRPr="00B26051">
        <w:rPr>
          <w:rFonts w:ascii="Cambria" w:eastAsia="Cambria" w:hAnsi="Cambria" w:cs="Cambria"/>
          <w:sz w:val="20"/>
          <w:szCs w:val="20"/>
          <w:u w:color="000000"/>
          <w:lang w:eastAsia="es-ES"/>
        </w:rPr>
        <w:t>, the petitioner</w:t>
      </w:r>
      <w:r w:rsidR="00B852CB">
        <w:rPr>
          <w:rFonts w:ascii="Cambria" w:eastAsia="Cambria" w:hAnsi="Cambria" w:cs="Cambria"/>
          <w:sz w:val="20"/>
          <w:szCs w:val="20"/>
          <w:u w:color="000000"/>
          <w:lang w:eastAsia="es-ES"/>
        </w:rPr>
        <w:t>s</w:t>
      </w:r>
      <w:r w:rsidR="00584098" w:rsidRPr="00B26051">
        <w:rPr>
          <w:rFonts w:ascii="Cambria" w:eastAsia="Cambria" w:hAnsi="Cambria" w:cs="Cambria"/>
          <w:sz w:val="20"/>
          <w:szCs w:val="20"/>
          <w:u w:color="000000"/>
          <w:lang w:eastAsia="es-ES"/>
        </w:rPr>
        <w:t xml:space="preserve"> alleged</w:t>
      </w:r>
      <w:r w:rsidRPr="00B26051">
        <w:rPr>
          <w:rFonts w:ascii="Cambria" w:eastAsia="Cambria" w:hAnsi="Cambria" w:cs="Cambria"/>
          <w:sz w:val="20"/>
          <w:szCs w:val="20"/>
          <w:u w:color="000000"/>
          <w:lang w:eastAsia="es-ES"/>
        </w:rPr>
        <w:t xml:space="preserve"> irregularities in the investigation of the events of June 30, 2005, a violation of the reasonable time to carry out the investigation and the trial of the case, and a violation of the right to a effective remedy due to the procedural impossibility of </w:t>
      </w:r>
      <w:r w:rsidR="00584098" w:rsidRPr="00B26051">
        <w:rPr>
          <w:rFonts w:ascii="Cambria" w:eastAsia="Cambria" w:hAnsi="Cambria" w:cs="Cambria"/>
          <w:sz w:val="20"/>
          <w:szCs w:val="20"/>
          <w:u w:color="000000"/>
          <w:lang w:eastAsia="es-ES"/>
        </w:rPr>
        <w:t>the next-of-kin to promote the closure of the investigation and initiate the trial phase.</w:t>
      </w:r>
    </w:p>
    <w:p w14:paraId="3E7EF9F1" w14:textId="77777777" w:rsidR="00185D58" w:rsidRPr="00B26051" w:rsidRDefault="00185D58" w:rsidP="00185D58">
      <w:pPr>
        <w:tabs>
          <w:tab w:val="left" w:pos="720"/>
          <w:tab w:val="left" w:pos="1440"/>
        </w:tabs>
        <w:jc w:val="both"/>
        <w:rPr>
          <w:rFonts w:ascii="Cambria" w:hAnsi="Cambria"/>
          <w:sz w:val="20"/>
          <w:szCs w:val="20"/>
        </w:rPr>
      </w:pPr>
    </w:p>
    <w:p w14:paraId="28476F17" w14:textId="16E3AB1E" w:rsidR="00185D58" w:rsidRPr="00B26051" w:rsidRDefault="00BB77A6"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With respect to the alleged irregularities in the investigation, the Commission only has evidence regarding the impossibility of carrying</w:t>
      </w:r>
      <w:r w:rsidR="007616DF" w:rsidRPr="00B26051">
        <w:rPr>
          <w:rFonts w:ascii="Cambria" w:hAnsi="Cambria"/>
          <w:sz w:val="20"/>
          <w:szCs w:val="20"/>
        </w:rPr>
        <w:t xml:space="preserve"> out the reconstruction of the events</w:t>
      </w:r>
      <w:r w:rsidRPr="00B26051">
        <w:rPr>
          <w:rFonts w:ascii="Cambria" w:hAnsi="Cambria"/>
          <w:sz w:val="20"/>
          <w:szCs w:val="20"/>
        </w:rPr>
        <w:t xml:space="preserve">. In this </w:t>
      </w:r>
      <w:r w:rsidR="00B852CB">
        <w:rPr>
          <w:rFonts w:ascii="Cambria" w:hAnsi="Cambria"/>
          <w:sz w:val="20"/>
          <w:szCs w:val="20"/>
        </w:rPr>
        <w:t>regard</w:t>
      </w:r>
      <w:r w:rsidRPr="00B26051">
        <w:rPr>
          <w:rFonts w:ascii="Cambria" w:hAnsi="Cambria"/>
          <w:sz w:val="20"/>
          <w:szCs w:val="20"/>
        </w:rPr>
        <w:t xml:space="preserve">, </w:t>
      </w:r>
      <w:r w:rsidR="007616DF" w:rsidRPr="00B26051">
        <w:rPr>
          <w:rFonts w:ascii="Cambria" w:hAnsi="Cambria"/>
          <w:sz w:val="20"/>
          <w:szCs w:val="20"/>
        </w:rPr>
        <w:t>it was verified that</w:t>
      </w:r>
      <w:r w:rsidRPr="00B26051">
        <w:rPr>
          <w:rFonts w:ascii="Cambria" w:hAnsi="Cambria"/>
          <w:sz w:val="20"/>
          <w:szCs w:val="20"/>
        </w:rPr>
        <w:t xml:space="preserve"> due to the </w:t>
      </w:r>
      <w:r w:rsidR="00B852CB">
        <w:rPr>
          <w:rFonts w:ascii="Cambria" w:hAnsi="Cambria"/>
          <w:sz w:val="20"/>
          <w:szCs w:val="20"/>
        </w:rPr>
        <w:t>delay in performing the reconstruction of events until October 2006,</w:t>
      </w:r>
      <w:r w:rsidRPr="00B26051">
        <w:rPr>
          <w:rFonts w:ascii="Cambria" w:hAnsi="Cambria"/>
          <w:sz w:val="20"/>
          <w:szCs w:val="20"/>
        </w:rPr>
        <w:t xml:space="preserve"> during those 16 months the facilities of INAM-San </w:t>
      </w:r>
      <w:r w:rsidR="002033A9" w:rsidRPr="00B26051">
        <w:rPr>
          <w:rFonts w:ascii="Cambria" w:hAnsi="Cambria"/>
          <w:sz w:val="20"/>
          <w:szCs w:val="20"/>
        </w:rPr>
        <w:t>Félix</w:t>
      </w:r>
      <w:r w:rsidRPr="00B26051">
        <w:rPr>
          <w:rFonts w:ascii="Cambria" w:hAnsi="Cambria"/>
          <w:sz w:val="20"/>
          <w:szCs w:val="20"/>
        </w:rPr>
        <w:t xml:space="preserve"> were </w:t>
      </w:r>
      <w:r w:rsidR="00B852CB">
        <w:rPr>
          <w:rFonts w:ascii="Cambria" w:hAnsi="Cambria"/>
          <w:sz w:val="20"/>
          <w:szCs w:val="20"/>
        </w:rPr>
        <w:t>entirely</w:t>
      </w:r>
      <w:r w:rsidR="007616DF" w:rsidRPr="00B26051">
        <w:rPr>
          <w:rFonts w:ascii="Cambria" w:hAnsi="Cambria"/>
          <w:sz w:val="20"/>
          <w:szCs w:val="20"/>
        </w:rPr>
        <w:t xml:space="preserve"> modified, and </w:t>
      </w:r>
      <w:r w:rsidR="00B852CB">
        <w:rPr>
          <w:rFonts w:ascii="Cambria" w:hAnsi="Cambria"/>
          <w:sz w:val="20"/>
          <w:szCs w:val="20"/>
        </w:rPr>
        <w:t>so the reconstruction</w:t>
      </w:r>
      <w:r w:rsidR="007616DF" w:rsidRPr="00B26051">
        <w:rPr>
          <w:rFonts w:ascii="Cambria" w:hAnsi="Cambria"/>
          <w:sz w:val="20"/>
          <w:szCs w:val="20"/>
        </w:rPr>
        <w:t xml:space="preserve"> "could not be duly carried out</w:t>
      </w:r>
      <w:r w:rsidR="00B852CB">
        <w:rPr>
          <w:rFonts w:ascii="Cambria" w:hAnsi="Cambria"/>
          <w:sz w:val="20"/>
          <w:szCs w:val="20"/>
        </w:rPr>
        <w:t>.</w:t>
      </w:r>
      <w:r w:rsidRPr="00B26051">
        <w:rPr>
          <w:rFonts w:ascii="Cambria" w:hAnsi="Cambria"/>
          <w:sz w:val="20"/>
          <w:szCs w:val="20"/>
        </w:rPr>
        <w:t>"</w:t>
      </w:r>
    </w:p>
    <w:p w14:paraId="577D90CF" w14:textId="77777777" w:rsidR="00185D58" w:rsidRPr="00B26051" w:rsidRDefault="00185D58" w:rsidP="00185D58">
      <w:pPr>
        <w:pStyle w:val="ListParagraph"/>
        <w:rPr>
          <w:color w:val="auto"/>
          <w:sz w:val="20"/>
          <w:szCs w:val="20"/>
        </w:rPr>
      </w:pPr>
    </w:p>
    <w:p w14:paraId="07292BAC" w14:textId="466B72E6" w:rsidR="00185D58" w:rsidRPr="00B26051" w:rsidRDefault="00F724F9"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However, from an overall</w:t>
      </w:r>
      <w:r w:rsidR="00BB77A6" w:rsidRPr="00B26051">
        <w:rPr>
          <w:rFonts w:ascii="Cambria" w:hAnsi="Cambria"/>
          <w:sz w:val="20"/>
          <w:szCs w:val="20"/>
        </w:rPr>
        <w:t xml:space="preserve"> view of the investigation based on the information available, the Commission finds in this case that the investigation carried out by the authorities </w:t>
      </w:r>
      <w:r w:rsidRPr="00B26051">
        <w:rPr>
          <w:rFonts w:ascii="Cambria" w:hAnsi="Cambria"/>
          <w:sz w:val="20"/>
          <w:szCs w:val="20"/>
        </w:rPr>
        <w:t>seems to have uncovered</w:t>
      </w:r>
      <w:r w:rsidR="00BB77A6" w:rsidRPr="00B26051">
        <w:rPr>
          <w:rFonts w:ascii="Cambria" w:hAnsi="Cambria"/>
          <w:sz w:val="20"/>
          <w:szCs w:val="20"/>
        </w:rPr>
        <w:t xml:space="preserve"> what </w:t>
      </w:r>
      <w:r w:rsidRPr="00B26051">
        <w:rPr>
          <w:rFonts w:ascii="Cambria" w:hAnsi="Cambria"/>
          <w:sz w:val="20"/>
          <w:szCs w:val="20"/>
        </w:rPr>
        <w:t>happened that and identified</w:t>
      </w:r>
      <w:r w:rsidR="00BB77A6" w:rsidRPr="00B26051">
        <w:rPr>
          <w:rFonts w:ascii="Cambria" w:hAnsi="Cambria"/>
          <w:sz w:val="20"/>
          <w:szCs w:val="20"/>
        </w:rPr>
        <w:t xml:space="preserve"> those responsible within of the INAM-San </w:t>
      </w:r>
      <w:r w:rsidR="002033A9" w:rsidRPr="00B26051">
        <w:rPr>
          <w:rFonts w:ascii="Cambria" w:hAnsi="Cambria"/>
          <w:sz w:val="20"/>
          <w:szCs w:val="20"/>
        </w:rPr>
        <w:t>Félix</w:t>
      </w:r>
      <w:r w:rsidR="00BB77A6" w:rsidRPr="00B26051">
        <w:rPr>
          <w:rFonts w:ascii="Cambria" w:hAnsi="Cambria"/>
          <w:sz w:val="20"/>
          <w:szCs w:val="20"/>
        </w:rPr>
        <w:t xml:space="preserve">. In this regard, the IACHR emphasizes that the </w:t>
      </w:r>
      <w:r w:rsidR="00B852CB">
        <w:rPr>
          <w:rFonts w:ascii="Cambria" w:hAnsi="Cambria"/>
          <w:sz w:val="20"/>
          <w:szCs w:val="20"/>
        </w:rPr>
        <w:t>narrative</w:t>
      </w:r>
      <w:r w:rsidR="00BB77A6" w:rsidRPr="00B26051">
        <w:rPr>
          <w:rFonts w:ascii="Cambria" w:hAnsi="Cambria"/>
          <w:sz w:val="20"/>
          <w:szCs w:val="20"/>
        </w:rPr>
        <w:t xml:space="preserve"> co</w:t>
      </w:r>
      <w:r w:rsidRPr="00B26051">
        <w:rPr>
          <w:rFonts w:ascii="Cambria" w:hAnsi="Cambria"/>
          <w:sz w:val="20"/>
          <w:szCs w:val="20"/>
        </w:rPr>
        <w:t>ntained in the formal indictment of</w:t>
      </w:r>
      <w:r w:rsidR="00BB77A6" w:rsidRPr="00B26051">
        <w:rPr>
          <w:rFonts w:ascii="Cambria" w:hAnsi="Cambria"/>
          <w:sz w:val="20"/>
          <w:szCs w:val="20"/>
        </w:rPr>
        <w:t xml:space="preserve"> </w:t>
      </w:r>
      <w:r w:rsidRPr="00B26051">
        <w:rPr>
          <w:rFonts w:ascii="Cambria" w:hAnsi="Cambria"/>
          <w:sz w:val="20"/>
          <w:szCs w:val="20"/>
        </w:rPr>
        <w:t>the Center’s officials</w:t>
      </w:r>
      <w:r w:rsidR="00BB77A6" w:rsidRPr="00B26051">
        <w:rPr>
          <w:rFonts w:ascii="Cambria" w:hAnsi="Cambria"/>
          <w:sz w:val="20"/>
          <w:szCs w:val="20"/>
        </w:rPr>
        <w:t xml:space="preserve"> </w:t>
      </w:r>
      <w:r w:rsidRPr="00B26051">
        <w:rPr>
          <w:rFonts w:ascii="Cambria" w:hAnsi="Cambria"/>
          <w:sz w:val="20"/>
          <w:szCs w:val="20"/>
        </w:rPr>
        <w:t>coincides</w:t>
      </w:r>
      <w:r w:rsidR="00BB77A6" w:rsidRPr="00B26051">
        <w:rPr>
          <w:rFonts w:ascii="Cambria" w:hAnsi="Cambria"/>
          <w:sz w:val="20"/>
          <w:szCs w:val="20"/>
        </w:rPr>
        <w:t xml:space="preserve"> substantially with the facts that the Commission was able to verify </w:t>
      </w:r>
      <w:r w:rsidRPr="00B26051">
        <w:rPr>
          <w:rFonts w:ascii="Cambria" w:hAnsi="Cambria"/>
          <w:sz w:val="20"/>
          <w:szCs w:val="20"/>
        </w:rPr>
        <w:t xml:space="preserve">from the evidence provided </w:t>
      </w:r>
      <w:r w:rsidR="00B852CB">
        <w:rPr>
          <w:rFonts w:ascii="Cambria" w:hAnsi="Cambria"/>
          <w:sz w:val="20"/>
          <w:szCs w:val="20"/>
        </w:rPr>
        <w:t>largely</w:t>
      </w:r>
      <w:r w:rsidR="00BB77A6" w:rsidRPr="00B26051">
        <w:rPr>
          <w:rFonts w:ascii="Cambria" w:hAnsi="Cambria"/>
          <w:sz w:val="20"/>
          <w:szCs w:val="20"/>
        </w:rPr>
        <w:t xml:space="preserve"> by the petitioner. However, the Commission finds that in this case </w:t>
      </w:r>
      <w:r w:rsidRPr="00B26051">
        <w:rPr>
          <w:rFonts w:ascii="Cambria" w:hAnsi="Cambria"/>
          <w:sz w:val="20"/>
          <w:szCs w:val="20"/>
        </w:rPr>
        <w:t xml:space="preserve">there has been </w:t>
      </w:r>
      <w:r w:rsidR="00BB77A6" w:rsidRPr="00B26051">
        <w:rPr>
          <w:rFonts w:ascii="Cambria" w:hAnsi="Cambria"/>
          <w:sz w:val="20"/>
          <w:szCs w:val="20"/>
        </w:rPr>
        <w:t>a clear violation of the r</w:t>
      </w:r>
      <w:r w:rsidRPr="00B26051">
        <w:rPr>
          <w:rFonts w:ascii="Cambria" w:hAnsi="Cambria"/>
          <w:sz w:val="20"/>
          <w:szCs w:val="20"/>
        </w:rPr>
        <w:t>easonable time limit</w:t>
      </w:r>
      <w:r w:rsidR="00BB77A6" w:rsidRPr="00B26051">
        <w:rPr>
          <w:rFonts w:ascii="Cambria" w:hAnsi="Cambria"/>
          <w:sz w:val="20"/>
          <w:szCs w:val="20"/>
        </w:rPr>
        <w:t xml:space="preserve">, given that more than 13 years have passed since the death of the victims and 12 years since the alleged perpetrators were charged in 2006. From the available information </w:t>
      </w:r>
      <w:r w:rsidRPr="00B26051">
        <w:rPr>
          <w:rFonts w:ascii="Cambria" w:hAnsi="Cambria"/>
          <w:sz w:val="20"/>
          <w:szCs w:val="20"/>
        </w:rPr>
        <w:t>it is apparent that the domestic proceedings are ongoing, so that the events</w:t>
      </w:r>
      <w:r w:rsidR="00BB77A6" w:rsidRPr="00B26051">
        <w:rPr>
          <w:rFonts w:ascii="Cambria" w:hAnsi="Cambria"/>
          <w:sz w:val="20"/>
          <w:szCs w:val="20"/>
        </w:rPr>
        <w:t xml:space="preserve"> remain in a situation of impunity, without </w:t>
      </w:r>
      <w:r w:rsidRPr="00B26051">
        <w:rPr>
          <w:rFonts w:ascii="Cambria" w:hAnsi="Cambria"/>
          <w:sz w:val="20"/>
          <w:szCs w:val="20"/>
        </w:rPr>
        <w:t>the completion of a trial</w:t>
      </w:r>
      <w:r w:rsidR="00BB77A6" w:rsidRPr="00B26051">
        <w:rPr>
          <w:rFonts w:ascii="Cambria" w:hAnsi="Cambria"/>
          <w:sz w:val="20"/>
          <w:szCs w:val="20"/>
        </w:rPr>
        <w:t xml:space="preserve"> and </w:t>
      </w:r>
      <w:r w:rsidRPr="00B26051">
        <w:rPr>
          <w:rFonts w:ascii="Cambria" w:hAnsi="Cambria"/>
          <w:sz w:val="20"/>
          <w:szCs w:val="20"/>
        </w:rPr>
        <w:t>any</w:t>
      </w:r>
      <w:r w:rsidR="00BB77A6" w:rsidRPr="00B26051">
        <w:rPr>
          <w:rFonts w:ascii="Cambria" w:hAnsi="Cambria"/>
          <w:sz w:val="20"/>
          <w:szCs w:val="20"/>
        </w:rPr>
        <w:t xml:space="preserve"> determination of the </w:t>
      </w:r>
      <w:r w:rsidRPr="00B26051">
        <w:rPr>
          <w:rFonts w:ascii="Cambria" w:hAnsi="Cambria"/>
          <w:sz w:val="20"/>
          <w:szCs w:val="20"/>
        </w:rPr>
        <w:t xml:space="preserve">appropriate punishment </w:t>
      </w:r>
      <w:r w:rsidR="00BB77A6" w:rsidRPr="00B26051">
        <w:rPr>
          <w:rFonts w:ascii="Cambria" w:hAnsi="Cambria"/>
          <w:sz w:val="20"/>
          <w:szCs w:val="20"/>
        </w:rPr>
        <w:t xml:space="preserve">for the </w:t>
      </w:r>
      <w:r w:rsidRPr="00B26051">
        <w:rPr>
          <w:rFonts w:ascii="Cambria" w:hAnsi="Cambria"/>
          <w:sz w:val="20"/>
          <w:szCs w:val="20"/>
        </w:rPr>
        <w:t>varying degrees</w:t>
      </w:r>
      <w:r w:rsidR="00BB77A6" w:rsidRPr="00B26051">
        <w:rPr>
          <w:rFonts w:ascii="Cambria" w:hAnsi="Cambria"/>
          <w:sz w:val="20"/>
          <w:szCs w:val="20"/>
        </w:rPr>
        <w:t xml:space="preserve"> of responsibility </w:t>
      </w:r>
      <w:r w:rsidR="00B852CB">
        <w:rPr>
          <w:rFonts w:ascii="Cambria" w:hAnsi="Cambria"/>
          <w:sz w:val="20"/>
          <w:szCs w:val="20"/>
        </w:rPr>
        <w:t>that may be determined</w:t>
      </w:r>
      <w:r w:rsidRPr="00B26051">
        <w:rPr>
          <w:rFonts w:ascii="Cambria" w:hAnsi="Cambria"/>
          <w:sz w:val="20"/>
          <w:szCs w:val="20"/>
        </w:rPr>
        <w:t xml:space="preserve"> in this case</w:t>
      </w:r>
      <w:r w:rsidR="00BB77A6" w:rsidRPr="00B26051">
        <w:rPr>
          <w:rFonts w:ascii="Cambria" w:hAnsi="Cambria"/>
          <w:sz w:val="20"/>
          <w:szCs w:val="20"/>
        </w:rPr>
        <w:t xml:space="preserve">. This includes the authorities that were present at the Center on the day of the events, </w:t>
      </w:r>
      <w:r w:rsidRPr="00B26051">
        <w:rPr>
          <w:rFonts w:ascii="Cambria" w:hAnsi="Cambria"/>
          <w:sz w:val="20"/>
          <w:szCs w:val="20"/>
        </w:rPr>
        <w:t xml:space="preserve">and those whose omissions may </w:t>
      </w:r>
      <w:r w:rsidR="00BB77A6" w:rsidRPr="00B26051">
        <w:rPr>
          <w:rFonts w:ascii="Cambria" w:hAnsi="Cambria"/>
          <w:sz w:val="20"/>
          <w:szCs w:val="20"/>
        </w:rPr>
        <w:t xml:space="preserve">have contributed to the </w:t>
      </w:r>
      <w:r w:rsidRPr="00B26051">
        <w:rPr>
          <w:rFonts w:ascii="Cambria" w:hAnsi="Cambria"/>
          <w:sz w:val="20"/>
          <w:szCs w:val="20"/>
        </w:rPr>
        <w:t>ongoing</w:t>
      </w:r>
      <w:r w:rsidR="00BB77A6" w:rsidRPr="00B26051">
        <w:rPr>
          <w:rFonts w:ascii="Cambria" w:hAnsi="Cambria"/>
          <w:sz w:val="20"/>
          <w:szCs w:val="20"/>
        </w:rPr>
        <w:t xml:space="preserve"> structural problems identified in this report.</w:t>
      </w:r>
    </w:p>
    <w:p w14:paraId="517D0A20" w14:textId="77777777" w:rsidR="00185D58" w:rsidRPr="00B26051" w:rsidRDefault="00185D58" w:rsidP="00185D58">
      <w:pPr>
        <w:pStyle w:val="ListParagraph"/>
        <w:rPr>
          <w:color w:val="auto"/>
          <w:sz w:val="20"/>
          <w:szCs w:val="20"/>
        </w:rPr>
      </w:pPr>
    </w:p>
    <w:p w14:paraId="44FA40A5" w14:textId="13D07909" w:rsidR="00185D58" w:rsidRPr="00B26051" w:rsidRDefault="00BB77A6"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Regarding the alleged violation of the right to an effective remedy, the Commission considers that, for the reasons described in this sec</w:t>
      </w:r>
      <w:r w:rsidR="00F724F9" w:rsidRPr="00B26051">
        <w:rPr>
          <w:rFonts w:ascii="Cambria" w:hAnsi="Cambria"/>
          <w:sz w:val="20"/>
          <w:szCs w:val="20"/>
        </w:rPr>
        <w:t>tion, it is possible to arrive at the conclusion</w:t>
      </w:r>
      <w:r w:rsidRPr="00B26051">
        <w:rPr>
          <w:rFonts w:ascii="Cambria" w:hAnsi="Cambria"/>
          <w:sz w:val="20"/>
          <w:szCs w:val="20"/>
        </w:rPr>
        <w:t xml:space="preserve"> that </w:t>
      </w:r>
      <w:r w:rsidR="00F724F9" w:rsidRPr="00B26051">
        <w:rPr>
          <w:rFonts w:ascii="Cambria" w:hAnsi="Cambria"/>
          <w:sz w:val="20"/>
          <w:szCs w:val="20"/>
        </w:rPr>
        <w:t xml:space="preserve">domestic </w:t>
      </w:r>
      <w:r w:rsidR="00F724F9" w:rsidRPr="00B26051">
        <w:rPr>
          <w:rFonts w:ascii="Cambria" w:hAnsi="Cambria"/>
          <w:sz w:val="20"/>
          <w:szCs w:val="20"/>
        </w:rPr>
        <w:lastRenderedPageBreak/>
        <w:t>proceedings have not constituted an effective remedy</w:t>
      </w:r>
      <w:r w:rsidRPr="00B26051">
        <w:rPr>
          <w:rFonts w:ascii="Cambria" w:hAnsi="Cambria"/>
          <w:sz w:val="20"/>
          <w:szCs w:val="20"/>
        </w:rPr>
        <w:t xml:space="preserve"> for the </w:t>
      </w:r>
      <w:r w:rsidR="00F724F9" w:rsidRPr="00B26051">
        <w:rPr>
          <w:rFonts w:ascii="Cambria" w:hAnsi="Cambria"/>
          <w:sz w:val="20"/>
          <w:szCs w:val="20"/>
        </w:rPr>
        <w:t>next-of-kin</w:t>
      </w:r>
      <w:r w:rsidRPr="00B26051">
        <w:rPr>
          <w:rFonts w:ascii="Cambria" w:hAnsi="Cambria"/>
          <w:sz w:val="20"/>
          <w:szCs w:val="20"/>
        </w:rPr>
        <w:t xml:space="preserve"> of the deceased youth</w:t>
      </w:r>
      <w:r w:rsidR="00F724F9" w:rsidRPr="00B26051">
        <w:rPr>
          <w:rFonts w:ascii="Cambria" w:hAnsi="Cambria"/>
          <w:sz w:val="20"/>
          <w:szCs w:val="20"/>
        </w:rPr>
        <w:t>s</w:t>
      </w:r>
      <w:r w:rsidRPr="00B26051">
        <w:rPr>
          <w:rFonts w:ascii="Cambria" w:hAnsi="Cambria"/>
          <w:sz w:val="20"/>
          <w:szCs w:val="20"/>
        </w:rPr>
        <w:t xml:space="preserve">, in terms of truth, justice and reparation. In this regard, the Commission considers that it is not necessary </w:t>
      </w:r>
      <w:r w:rsidR="00F724F9" w:rsidRPr="00B26051">
        <w:rPr>
          <w:rFonts w:ascii="Cambria" w:hAnsi="Cambria"/>
          <w:sz w:val="20"/>
          <w:szCs w:val="20"/>
        </w:rPr>
        <w:t>to make a finding on</w:t>
      </w:r>
      <w:r w:rsidRPr="00B26051">
        <w:rPr>
          <w:rFonts w:ascii="Cambria" w:hAnsi="Cambria"/>
          <w:sz w:val="20"/>
          <w:szCs w:val="20"/>
        </w:rPr>
        <w:t xml:space="preserve"> the alleged </w:t>
      </w:r>
      <w:r w:rsidR="0058733E" w:rsidRPr="00B26051">
        <w:rPr>
          <w:rFonts w:ascii="Cambria" w:hAnsi="Cambria"/>
          <w:sz w:val="20"/>
          <w:szCs w:val="20"/>
        </w:rPr>
        <w:t xml:space="preserve">specific </w:t>
      </w:r>
      <w:r w:rsidRPr="00B26051">
        <w:rPr>
          <w:rFonts w:ascii="Cambria" w:hAnsi="Cambria"/>
          <w:sz w:val="20"/>
          <w:szCs w:val="20"/>
        </w:rPr>
        <w:t xml:space="preserve">violation </w:t>
      </w:r>
      <w:r w:rsidR="0058733E" w:rsidRPr="00B26051">
        <w:rPr>
          <w:rFonts w:ascii="Cambria" w:hAnsi="Cambria"/>
          <w:sz w:val="20"/>
          <w:szCs w:val="20"/>
        </w:rPr>
        <w:t xml:space="preserve">in connection with criminal procedural rules on the </w:t>
      </w:r>
      <w:r w:rsidR="00B852CB">
        <w:rPr>
          <w:rFonts w:ascii="Cambria" w:hAnsi="Cambria"/>
          <w:sz w:val="20"/>
          <w:szCs w:val="20"/>
        </w:rPr>
        <w:t>presentation</w:t>
      </w:r>
      <w:r w:rsidR="0058733E" w:rsidRPr="00B26051">
        <w:rPr>
          <w:rFonts w:ascii="Cambria" w:hAnsi="Cambria"/>
          <w:sz w:val="20"/>
          <w:szCs w:val="20"/>
        </w:rPr>
        <w:t xml:space="preserve"> of the conclusive act.</w:t>
      </w:r>
    </w:p>
    <w:p w14:paraId="4F8EDDAC" w14:textId="77777777" w:rsidR="00185D58" w:rsidRPr="00B26051" w:rsidRDefault="00185D58" w:rsidP="00185D58">
      <w:pPr>
        <w:pStyle w:val="ListParagraph"/>
        <w:rPr>
          <w:color w:val="auto"/>
          <w:sz w:val="20"/>
          <w:szCs w:val="20"/>
        </w:rPr>
      </w:pPr>
    </w:p>
    <w:p w14:paraId="36DAE042" w14:textId="2EA824C4" w:rsidR="00185D58" w:rsidRPr="00B26051" w:rsidRDefault="00BB77A6"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 xml:space="preserve">Based on the foregoing considerations, the Commission concludes that the State </w:t>
      </w:r>
      <w:r w:rsidR="00FC0C4F" w:rsidRPr="00B26051">
        <w:rPr>
          <w:rFonts w:ascii="Cambria" w:hAnsi="Cambria"/>
          <w:sz w:val="20"/>
          <w:szCs w:val="20"/>
        </w:rPr>
        <w:t>failed to provide</w:t>
      </w:r>
      <w:r w:rsidRPr="00B26051">
        <w:rPr>
          <w:rFonts w:ascii="Cambria" w:hAnsi="Cambria"/>
          <w:sz w:val="20"/>
          <w:szCs w:val="20"/>
        </w:rPr>
        <w:t xml:space="preserve"> the relatives of the victims, duly identified in the section on proven facts, with an effective remedy to clarify what happened and establish the corresponding responsibilities, in violation of the rights enshrined in Articles 8.1 and 25.1 of the American Convention in relation to Article 1.1 of the same instrument.</w:t>
      </w:r>
    </w:p>
    <w:p w14:paraId="05DA167A" w14:textId="77777777" w:rsidR="00185D58" w:rsidRPr="00B26051" w:rsidRDefault="00185D58" w:rsidP="00185D58">
      <w:pPr>
        <w:tabs>
          <w:tab w:val="left" w:pos="720"/>
          <w:tab w:val="left" w:pos="1440"/>
        </w:tabs>
        <w:ind w:left="630"/>
        <w:jc w:val="both"/>
        <w:rPr>
          <w:rFonts w:ascii="Cambria" w:hAnsi="Cambria"/>
          <w:sz w:val="20"/>
          <w:szCs w:val="20"/>
        </w:rPr>
      </w:pPr>
      <w:r w:rsidRPr="00B26051">
        <w:rPr>
          <w:rFonts w:ascii="Cambria" w:hAnsi="Cambria"/>
          <w:sz w:val="20"/>
          <w:szCs w:val="20"/>
        </w:rPr>
        <w:t xml:space="preserve"> </w:t>
      </w:r>
    </w:p>
    <w:p w14:paraId="1A9CF946" w14:textId="1CC5A2FD" w:rsidR="00185D58" w:rsidRPr="00B26051" w:rsidRDefault="00BB77A6" w:rsidP="007F4FA0">
      <w:pPr>
        <w:pStyle w:val="ListParagraph"/>
        <w:numPr>
          <w:ilvl w:val="0"/>
          <w:numId w:val="55"/>
        </w:numPr>
        <w:suppressAutoHyphens/>
        <w:rPr>
          <w:b/>
          <w:color w:val="auto"/>
          <w:sz w:val="20"/>
          <w:szCs w:val="20"/>
        </w:rPr>
      </w:pPr>
      <w:r w:rsidRPr="00B26051">
        <w:rPr>
          <w:b/>
          <w:color w:val="auto"/>
          <w:sz w:val="20"/>
          <w:szCs w:val="20"/>
        </w:rPr>
        <w:t>CONCLUSIONS AND RECOMMENDATIONS</w:t>
      </w:r>
    </w:p>
    <w:p w14:paraId="1313B9B1" w14:textId="77777777" w:rsidR="00185D58" w:rsidRPr="00B26051" w:rsidRDefault="00185D58" w:rsidP="00185D58">
      <w:pPr>
        <w:suppressAutoHyphens/>
        <w:rPr>
          <w:rFonts w:ascii="Cambria" w:hAnsi="Cambria"/>
          <w:b/>
          <w:sz w:val="20"/>
          <w:szCs w:val="20"/>
        </w:rPr>
      </w:pPr>
    </w:p>
    <w:p w14:paraId="76C764CF" w14:textId="459878E5" w:rsidR="00185D58" w:rsidRPr="00B26051" w:rsidRDefault="00BB77A6" w:rsidP="007F4FA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B26051">
        <w:rPr>
          <w:rFonts w:ascii="Cambria" w:hAnsi="Cambria"/>
          <w:sz w:val="20"/>
          <w:szCs w:val="20"/>
        </w:rPr>
        <w:t>Based on the findings of fact and law, the Inter-American Commission concludes that the State is re</w:t>
      </w:r>
      <w:r w:rsidR="00FC0C4F" w:rsidRPr="00B26051">
        <w:rPr>
          <w:rFonts w:ascii="Cambria" w:hAnsi="Cambria"/>
          <w:sz w:val="20"/>
          <w:szCs w:val="20"/>
        </w:rPr>
        <w:t>sponsible for the violation of A</w:t>
      </w:r>
      <w:r w:rsidRPr="00B26051">
        <w:rPr>
          <w:rFonts w:ascii="Cambria" w:hAnsi="Cambria"/>
          <w:sz w:val="20"/>
          <w:szCs w:val="20"/>
        </w:rPr>
        <w:t>rticles 4.1 (life), 5.1, 5.4, 5.5 and 5.6 (personal integrity), 8.1 (judicial guarantees) and 25.1 (judicial protection) of the American Convention on Human Rights, in relation to the obligations established in Article</w:t>
      </w:r>
      <w:r w:rsidR="009644F7">
        <w:rPr>
          <w:rFonts w:ascii="Cambria" w:hAnsi="Cambria"/>
          <w:sz w:val="20"/>
          <w:szCs w:val="20"/>
        </w:rPr>
        <w:t>s</w:t>
      </w:r>
      <w:r w:rsidRPr="00B26051">
        <w:rPr>
          <w:rFonts w:ascii="Cambria" w:hAnsi="Cambria"/>
          <w:sz w:val="20"/>
          <w:szCs w:val="20"/>
        </w:rPr>
        <w:t xml:space="preserve"> 1.1</w:t>
      </w:r>
      <w:r w:rsidR="009644F7">
        <w:rPr>
          <w:rFonts w:ascii="Cambria" w:hAnsi="Cambria"/>
          <w:sz w:val="20"/>
          <w:szCs w:val="20"/>
        </w:rPr>
        <w:t xml:space="preserve"> and 19</w:t>
      </w:r>
      <w:r w:rsidRPr="00B26051">
        <w:rPr>
          <w:rFonts w:ascii="Cambria" w:hAnsi="Cambria"/>
          <w:sz w:val="20"/>
          <w:szCs w:val="20"/>
        </w:rPr>
        <w:t xml:space="preserve"> of the same instrument, to the detriment of José Gregorio Mota Abarullo, Gabriel de Jesús Yáñez Sánchez, Rafael Antonio Parra Herrera, Cristián Arnaldo Molina Cordova, Johan José Correa and their families, in the terms explained throughout this report.</w:t>
      </w:r>
    </w:p>
    <w:p w14:paraId="5A734B2A" w14:textId="77777777" w:rsidR="00185D58" w:rsidRPr="00B26051" w:rsidRDefault="00185D58" w:rsidP="00185D58">
      <w:pPr>
        <w:suppressAutoHyphens/>
        <w:jc w:val="both"/>
        <w:rPr>
          <w:rFonts w:ascii="Cambria" w:hAnsi="Cambria"/>
          <w:sz w:val="20"/>
          <w:szCs w:val="20"/>
        </w:rPr>
      </w:pPr>
    </w:p>
    <w:p w14:paraId="14176EBD" w14:textId="2D0B5468" w:rsidR="00185D58" w:rsidRPr="00B26051" w:rsidRDefault="00BB77A6" w:rsidP="00FC0C4F">
      <w:pPr>
        <w:ind w:left="1440"/>
        <w:jc w:val="both"/>
        <w:rPr>
          <w:rFonts w:ascii="Cambria" w:hAnsi="Cambria"/>
          <w:b/>
          <w:sz w:val="20"/>
          <w:szCs w:val="20"/>
        </w:rPr>
      </w:pPr>
      <w:r w:rsidRPr="00B26051">
        <w:rPr>
          <w:rFonts w:ascii="Cambria" w:hAnsi="Cambria"/>
          <w:b/>
          <w:sz w:val="20"/>
          <w:szCs w:val="20"/>
        </w:rPr>
        <w:t>THE INTER-AMERICAN COMMISSION ON HUMAN RIGHTS, RECOMMENDS THAT THE STATE OF VENEZUELA</w:t>
      </w:r>
    </w:p>
    <w:p w14:paraId="62001263" w14:textId="77777777" w:rsidR="00185D58" w:rsidRPr="00B26051" w:rsidRDefault="00185D58" w:rsidP="00185D58">
      <w:pPr>
        <w:jc w:val="both"/>
        <w:rPr>
          <w:rFonts w:ascii="Helvetica" w:eastAsia="Times New Roman" w:hAnsi="Helvetica"/>
          <w:sz w:val="15"/>
          <w:szCs w:val="15"/>
        </w:rPr>
      </w:pPr>
      <w:r w:rsidRPr="00B26051">
        <w:rPr>
          <w:rFonts w:ascii="Helvetica" w:eastAsia="Times New Roman" w:hAnsi="Helvetica"/>
          <w:sz w:val="15"/>
          <w:szCs w:val="15"/>
        </w:rPr>
        <w:t> </w:t>
      </w:r>
    </w:p>
    <w:p w14:paraId="37CE55FA" w14:textId="326FF891" w:rsidR="00185D58" w:rsidRPr="00B26051" w:rsidRDefault="00FC0C4F" w:rsidP="009A174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ahoma"/>
          <w:color w:val="auto"/>
          <w:sz w:val="20"/>
          <w:szCs w:val="20"/>
          <w:bdr w:val="none" w:sz="0" w:space="0" w:color="auto"/>
        </w:rPr>
      </w:pPr>
      <w:r w:rsidRPr="00B26051">
        <w:rPr>
          <w:rFonts w:eastAsia="Times New Roman" w:cs="Tahoma"/>
          <w:color w:val="auto"/>
          <w:sz w:val="20"/>
          <w:szCs w:val="20"/>
          <w:bdr w:val="none" w:sz="0" w:space="0" w:color="auto"/>
        </w:rPr>
        <w:t>Provide</w:t>
      </w:r>
      <w:r w:rsidR="00B03793" w:rsidRPr="00B26051">
        <w:rPr>
          <w:rFonts w:eastAsia="Times New Roman" w:cs="Tahoma"/>
          <w:color w:val="auto"/>
          <w:sz w:val="20"/>
          <w:szCs w:val="20"/>
          <w:bdr w:val="none" w:sz="0" w:space="0" w:color="auto"/>
        </w:rPr>
        <w:t xml:space="preserve"> comprehensive reparations for the human rights violations declared</w:t>
      </w:r>
      <w:r w:rsidRPr="00B26051">
        <w:rPr>
          <w:rFonts w:eastAsia="Times New Roman" w:cs="Tahoma"/>
          <w:color w:val="auto"/>
          <w:sz w:val="20"/>
          <w:szCs w:val="20"/>
          <w:bdr w:val="none" w:sz="0" w:space="0" w:color="auto"/>
        </w:rPr>
        <w:t xml:space="preserve"> in this report both for material and immaterial damage</w:t>
      </w:r>
      <w:r w:rsidR="00B03793" w:rsidRPr="00B26051">
        <w:rPr>
          <w:rFonts w:eastAsia="Times New Roman" w:cs="Tahoma"/>
          <w:color w:val="auto"/>
          <w:sz w:val="20"/>
          <w:szCs w:val="20"/>
          <w:bdr w:val="none" w:sz="0" w:space="0" w:color="auto"/>
        </w:rPr>
        <w:t xml:space="preserve">. The State must adopt the measures </w:t>
      </w:r>
      <w:r w:rsidRPr="00B26051">
        <w:rPr>
          <w:rFonts w:eastAsia="Times New Roman" w:cs="Tahoma"/>
          <w:color w:val="auto"/>
          <w:sz w:val="20"/>
          <w:szCs w:val="20"/>
          <w:bdr w:val="none" w:sz="0" w:space="0" w:color="auto"/>
        </w:rPr>
        <w:t xml:space="preserve">to provide </w:t>
      </w:r>
      <w:r w:rsidR="00B03793" w:rsidRPr="00B26051">
        <w:rPr>
          <w:rFonts w:eastAsia="Times New Roman" w:cs="Tahoma"/>
          <w:color w:val="auto"/>
          <w:sz w:val="20"/>
          <w:szCs w:val="20"/>
          <w:bdr w:val="none" w:sz="0" w:space="0" w:color="auto"/>
        </w:rPr>
        <w:t>economic compensation and satisfaction.</w:t>
      </w:r>
    </w:p>
    <w:p w14:paraId="01C534E3" w14:textId="77777777" w:rsidR="00185D58" w:rsidRPr="00B26051" w:rsidRDefault="00185D58" w:rsidP="009A1742">
      <w:pPr>
        <w:pStyle w:val="ListParagraph"/>
        <w:ind w:left="0" w:firstLine="720"/>
        <w:rPr>
          <w:rFonts w:eastAsia="Times New Roman" w:cs="Tahoma"/>
          <w:color w:val="auto"/>
          <w:sz w:val="20"/>
          <w:szCs w:val="20"/>
          <w:bdr w:val="none" w:sz="0" w:space="0" w:color="auto"/>
        </w:rPr>
      </w:pPr>
    </w:p>
    <w:p w14:paraId="058A8C82" w14:textId="4870C16B" w:rsidR="00185D58" w:rsidRPr="00B26051" w:rsidRDefault="003C28DE" w:rsidP="009A174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olor w:val="auto"/>
          <w:sz w:val="14"/>
          <w:szCs w:val="14"/>
          <w:bdr w:val="none" w:sz="0" w:space="0" w:color="auto"/>
        </w:rPr>
      </w:pPr>
      <w:r w:rsidRPr="00B26051">
        <w:rPr>
          <w:rFonts w:eastAsia="Times New Roman" w:cs="Tahoma"/>
          <w:color w:val="auto"/>
          <w:sz w:val="20"/>
          <w:szCs w:val="20"/>
          <w:bdr w:val="none" w:sz="0" w:space="0" w:color="auto"/>
        </w:rPr>
        <w:t>P</w:t>
      </w:r>
      <w:r w:rsidR="00B03793" w:rsidRPr="00B26051">
        <w:rPr>
          <w:rFonts w:eastAsia="Times New Roman" w:cs="Tahoma"/>
          <w:color w:val="auto"/>
          <w:sz w:val="20"/>
          <w:szCs w:val="20"/>
          <w:bdr w:val="none" w:sz="0" w:space="0" w:color="auto"/>
        </w:rPr>
        <w:t>rovide the necessary measures of physical and mental health care for the rehabilitation of the relatives of the deceased youth</w:t>
      </w:r>
      <w:r w:rsidRPr="00B26051">
        <w:rPr>
          <w:rFonts w:eastAsia="Times New Roman" w:cs="Tahoma"/>
          <w:color w:val="auto"/>
          <w:sz w:val="20"/>
          <w:szCs w:val="20"/>
          <w:bdr w:val="none" w:sz="0" w:space="0" w:color="auto"/>
        </w:rPr>
        <w:t>s</w:t>
      </w:r>
      <w:r w:rsidR="00B03793" w:rsidRPr="00B26051">
        <w:rPr>
          <w:rFonts w:eastAsia="Times New Roman" w:cs="Tahoma"/>
          <w:color w:val="auto"/>
          <w:sz w:val="20"/>
          <w:szCs w:val="20"/>
          <w:bdr w:val="none" w:sz="0" w:space="0" w:color="auto"/>
        </w:rPr>
        <w:t xml:space="preserve">, </w:t>
      </w:r>
      <w:r w:rsidRPr="00B26051">
        <w:rPr>
          <w:rFonts w:eastAsia="Times New Roman" w:cs="Tahoma"/>
          <w:color w:val="auto"/>
          <w:sz w:val="20"/>
          <w:szCs w:val="20"/>
          <w:bdr w:val="none" w:sz="0" w:space="0" w:color="auto"/>
        </w:rPr>
        <w:t>with their agreement</w:t>
      </w:r>
      <w:r w:rsidR="00B03793" w:rsidRPr="00B26051">
        <w:rPr>
          <w:rFonts w:eastAsia="Times New Roman" w:cs="Tahoma"/>
          <w:color w:val="auto"/>
          <w:sz w:val="20"/>
          <w:szCs w:val="20"/>
          <w:bdr w:val="none" w:sz="0" w:space="0" w:color="auto"/>
        </w:rPr>
        <w:t xml:space="preserve"> and in a concerted manner.</w:t>
      </w:r>
    </w:p>
    <w:p w14:paraId="2F3D18DE" w14:textId="77777777" w:rsidR="00185D58" w:rsidRPr="00B26051" w:rsidRDefault="00185D58" w:rsidP="009A1742">
      <w:pPr>
        <w:pStyle w:val="ListParagraph"/>
        <w:ind w:left="0" w:firstLine="720"/>
        <w:rPr>
          <w:rFonts w:eastAsia="Times New Roman" w:cs="Tahoma"/>
          <w:color w:val="auto"/>
          <w:sz w:val="20"/>
          <w:szCs w:val="20"/>
          <w:bdr w:val="none" w:sz="0" w:space="0" w:color="auto"/>
        </w:rPr>
      </w:pPr>
    </w:p>
    <w:p w14:paraId="55EFCB9D" w14:textId="47EA8D67" w:rsidR="00185D58" w:rsidRPr="00B26051" w:rsidRDefault="003C28DE" w:rsidP="009A174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olor w:val="auto"/>
          <w:sz w:val="14"/>
          <w:szCs w:val="14"/>
          <w:bdr w:val="none" w:sz="0" w:space="0" w:color="auto"/>
        </w:rPr>
      </w:pPr>
      <w:r w:rsidRPr="00B26051">
        <w:rPr>
          <w:rFonts w:eastAsia="Times New Roman" w:cs="Tahoma"/>
          <w:color w:val="auto"/>
          <w:sz w:val="20"/>
          <w:szCs w:val="20"/>
          <w:bdr w:val="none" w:sz="0" w:space="0" w:color="auto"/>
        </w:rPr>
        <w:t>C</w:t>
      </w:r>
      <w:r w:rsidR="00B03793" w:rsidRPr="00B26051">
        <w:rPr>
          <w:rFonts w:eastAsia="Times New Roman" w:cs="Tahoma"/>
          <w:color w:val="auto"/>
          <w:sz w:val="20"/>
          <w:szCs w:val="20"/>
          <w:bdr w:val="none" w:sz="0" w:space="0" w:color="auto"/>
        </w:rPr>
        <w:t>ontinue the criminal investigation diligently, effectively and within a reasonable time in order to clarify the facts in a complete manner, identi</w:t>
      </w:r>
      <w:r w:rsidRPr="00B26051">
        <w:rPr>
          <w:rFonts w:eastAsia="Times New Roman" w:cs="Tahoma"/>
          <w:color w:val="auto"/>
          <w:sz w:val="20"/>
          <w:szCs w:val="20"/>
          <w:bdr w:val="none" w:sz="0" w:space="0" w:color="auto"/>
        </w:rPr>
        <w:t>fy all possible responsibility</w:t>
      </w:r>
      <w:r w:rsidR="00B03793" w:rsidRPr="00B26051">
        <w:rPr>
          <w:rFonts w:eastAsia="Times New Roman" w:cs="Tahoma"/>
          <w:color w:val="auto"/>
          <w:sz w:val="20"/>
          <w:szCs w:val="20"/>
          <w:bdr w:val="none" w:sz="0" w:space="0" w:color="auto"/>
        </w:rPr>
        <w:t xml:space="preserve"> and impose the </w:t>
      </w:r>
      <w:r w:rsidRPr="00B26051">
        <w:rPr>
          <w:rFonts w:eastAsia="Times New Roman" w:cs="Tahoma"/>
          <w:color w:val="auto"/>
          <w:sz w:val="20"/>
          <w:szCs w:val="20"/>
          <w:bdr w:val="none" w:sz="0" w:space="0" w:color="auto"/>
        </w:rPr>
        <w:t>appropriate</w:t>
      </w:r>
      <w:r w:rsidR="00B03793" w:rsidRPr="00B26051">
        <w:rPr>
          <w:rFonts w:eastAsia="Times New Roman" w:cs="Tahoma"/>
          <w:color w:val="auto"/>
          <w:sz w:val="20"/>
          <w:szCs w:val="20"/>
          <w:bdr w:val="none" w:sz="0" w:space="0" w:color="auto"/>
        </w:rPr>
        <w:t xml:space="preserve"> sanctions with respect to the human rights violations declared in the present report.</w:t>
      </w:r>
    </w:p>
    <w:p w14:paraId="6B6321DC" w14:textId="77777777" w:rsidR="00185D58" w:rsidRPr="00B26051" w:rsidRDefault="00185D58" w:rsidP="009A1742">
      <w:pPr>
        <w:pStyle w:val="ListParagraph"/>
        <w:ind w:left="0" w:firstLine="720"/>
        <w:rPr>
          <w:rFonts w:eastAsia="Times New Roman" w:cs="Tahoma"/>
          <w:color w:val="auto"/>
          <w:sz w:val="20"/>
          <w:szCs w:val="20"/>
          <w:bdr w:val="none" w:sz="0" w:space="0" w:color="auto"/>
        </w:rPr>
      </w:pPr>
    </w:p>
    <w:p w14:paraId="5516D295" w14:textId="534439ED" w:rsidR="00185D58" w:rsidRPr="00B26051" w:rsidRDefault="00B03793" w:rsidP="009A174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olor w:val="auto"/>
          <w:sz w:val="14"/>
          <w:szCs w:val="14"/>
          <w:bdr w:val="none" w:sz="0" w:space="0" w:color="auto"/>
        </w:rPr>
      </w:pPr>
      <w:r w:rsidRPr="00B26051">
        <w:rPr>
          <w:color w:val="auto"/>
          <w:sz w:val="20"/>
          <w:szCs w:val="20"/>
        </w:rPr>
        <w:t xml:space="preserve">Provide mechanisms of non-repetition </w:t>
      </w:r>
      <w:r w:rsidR="003C28DE" w:rsidRPr="00B26051">
        <w:rPr>
          <w:color w:val="auto"/>
          <w:sz w:val="20"/>
          <w:szCs w:val="20"/>
        </w:rPr>
        <w:t>including all</w:t>
      </w:r>
      <w:r w:rsidRPr="00B26051">
        <w:rPr>
          <w:color w:val="auto"/>
          <w:sz w:val="20"/>
          <w:szCs w:val="20"/>
        </w:rPr>
        <w:t xml:space="preserve"> necessary measures to eradicate the multiple risk factors identified in this report, in terms of infrastructure, effective control, </w:t>
      </w:r>
      <w:r w:rsidR="00A05604">
        <w:rPr>
          <w:color w:val="auto"/>
          <w:sz w:val="20"/>
          <w:szCs w:val="20"/>
        </w:rPr>
        <w:t xml:space="preserve">attention to emergency situations, </w:t>
      </w:r>
      <w:r w:rsidRPr="00B26051">
        <w:rPr>
          <w:color w:val="auto"/>
          <w:sz w:val="20"/>
          <w:szCs w:val="20"/>
        </w:rPr>
        <w:t xml:space="preserve">elimination of overcrowding, </w:t>
      </w:r>
      <w:r w:rsidR="003C28DE" w:rsidRPr="00B26051">
        <w:rPr>
          <w:color w:val="auto"/>
          <w:sz w:val="20"/>
          <w:szCs w:val="20"/>
        </w:rPr>
        <w:t>segregation</w:t>
      </w:r>
      <w:r w:rsidRPr="00B26051">
        <w:rPr>
          <w:color w:val="auto"/>
          <w:sz w:val="20"/>
          <w:szCs w:val="20"/>
        </w:rPr>
        <w:t xml:space="preserve"> and strict compliance with resocialization programs </w:t>
      </w:r>
      <w:r w:rsidR="003C28DE" w:rsidRPr="00B26051">
        <w:rPr>
          <w:color w:val="auto"/>
          <w:sz w:val="20"/>
          <w:szCs w:val="20"/>
        </w:rPr>
        <w:t>for</w:t>
      </w:r>
      <w:r w:rsidRPr="00B26051">
        <w:rPr>
          <w:color w:val="auto"/>
          <w:sz w:val="20"/>
          <w:szCs w:val="20"/>
        </w:rPr>
        <w:t xml:space="preserve"> adolescents deprived of their liberty at the INAM-San </w:t>
      </w:r>
      <w:r w:rsidR="002033A9" w:rsidRPr="00B26051">
        <w:rPr>
          <w:color w:val="auto"/>
          <w:sz w:val="20"/>
          <w:szCs w:val="20"/>
        </w:rPr>
        <w:t>Félix</w:t>
      </w:r>
      <w:r w:rsidRPr="00B26051">
        <w:rPr>
          <w:color w:val="auto"/>
          <w:sz w:val="20"/>
          <w:szCs w:val="20"/>
        </w:rPr>
        <w:t>.</w:t>
      </w:r>
    </w:p>
    <w:p w14:paraId="67997A10" w14:textId="77777777" w:rsidR="00C55560" w:rsidRPr="00B26051" w:rsidRDefault="00C55560" w:rsidP="00185D58">
      <w:pPr>
        <w:tabs>
          <w:tab w:val="center" w:pos="5400"/>
        </w:tabs>
        <w:suppressAutoHyphens/>
        <w:spacing w:line="276" w:lineRule="auto"/>
        <w:jc w:val="center"/>
        <w:rPr>
          <w:rFonts w:asciiTheme="majorHAnsi" w:hAnsiTheme="majorHAnsi"/>
          <w:sz w:val="20"/>
          <w:szCs w:val="20"/>
        </w:rPr>
      </w:pPr>
    </w:p>
    <w:sectPr w:rsidR="00C55560" w:rsidRPr="00B26051"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601A6" w14:textId="77777777" w:rsidR="00815504" w:rsidRDefault="00815504" w:rsidP="00036A8A">
      <w:r>
        <w:separator/>
      </w:r>
    </w:p>
  </w:endnote>
  <w:endnote w:type="continuationSeparator" w:id="0">
    <w:p w14:paraId="16FE9922" w14:textId="77777777" w:rsidR="00815504" w:rsidRDefault="0081550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4696913F" w14:textId="77777777" w:rsidR="00E966C2" w:rsidRPr="006311DA" w:rsidRDefault="00E966C2">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21C24">
          <w:rPr>
            <w:noProof/>
            <w:sz w:val="16"/>
          </w:rPr>
          <w:t>19</w:t>
        </w:r>
        <w:r w:rsidRPr="006311DA">
          <w:rPr>
            <w:noProof/>
            <w:sz w:val="16"/>
          </w:rPr>
          <w:fldChar w:fldCharType="end"/>
        </w:r>
      </w:p>
    </w:sdtContent>
  </w:sdt>
  <w:p w14:paraId="194EEFB6" w14:textId="77777777" w:rsidR="00E966C2" w:rsidRDefault="00E96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11D9C" w14:textId="77777777" w:rsidR="00E966C2" w:rsidRDefault="00E966C2">
    <w:pPr>
      <w:pStyle w:val="Footer"/>
      <w:jc w:val="center"/>
    </w:pPr>
  </w:p>
  <w:p w14:paraId="0BA9DC8A" w14:textId="77777777" w:rsidR="00E966C2" w:rsidRDefault="00E96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14:paraId="2111ED37" w14:textId="77777777" w:rsidR="00E966C2" w:rsidRDefault="00E966C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7C608E2" w14:textId="77777777" w:rsidR="00E966C2" w:rsidRDefault="00E96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A04CC" w14:textId="77777777" w:rsidR="00815504" w:rsidRPr="00036A8A" w:rsidRDefault="0081550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7F18EC9" w14:textId="77777777" w:rsidR="00815504" w:rsidRPr="00036A8A" w:rsidRDefault="00815504" w:rsidP="00036A8A">
      <w:pPr>
        <w:rPr>
          <w:rFonts w:asciiTheme="majorHAnsi" w:hAnsiTheme="majorHAnsi"/>
          <w:sz w:val="16"/>
          <w:szCs w:val="16"/>
        </w:rPr>
      </w:pPr>
      <w:r w:rsidRPr="00036A8A">
        <w:rPr>
          <w:rFonts w:asciiTheme="majorHAnsi" w:hAnsiTheme="majorHAnsi"/>
          <w:sz w:val="16"/>
          <w:szCs w:val="16"/>
        </w:rPr>
        <w:separator/>
      </w:r>
    </w:p>
    <w:p w14:paraId="18FF7E14" w14:textId="77777777" w:rsidR="00815504" w:rsidRPr="00036A8A" w:rsidRDefault="0081550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077B7C1A" w14:textId="77777777" w:rsidR="00815504" w:rsidRPr="0093441A" w:rsidRDefault="00815504"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4588A527" w14:textId="60356103"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Pr>
          <w:rFonts w:asciiTheme="majorHAnsi" w:hAnsiTheme="majorHAnsi"/>
          <w:sz w:val="16"/>
          <w:szCs w:val="16"/>
        </w:rPr>
        <w:t>T</w:t>
      </w:r>
      <w:r w:rsidRPr="00736447">
        <w:rPr>
          <w:rFonts w:asciiTheme="majorHAnsi" w:hAnsiTheme="majorHAnsi"/>
          <w:sz w:val="16"/>
          <w:szCs w:val="16"/>
        </w:rPr>
        <w:t xml:space="preserve">he Cyrus R. Vance Center for International Justice </w:t>
      </w:r>
      <w:r>
        <w:rPr>
          <w:rFonts w:asciiTheme="majorHAnsi" w:hAnsiTheme="majorHAnsi"/>
          <w:sz w:val="16"/>
          <w:szCs w:val="16"/>
        </w:rPr>
        <w:t>subsequently joined</w:t>
      </w:r>
      <w:r w:rsidRPr="00736447">
        <w:rPr>
          <w:rFonts w:asciiTheme="majorHAnsi" w:hAnsiTheme="majorHAnsi"/>
          <w:sz w:val="16"/>
          <w:szCs w:val="16"/>
        </w:rPr>
        <w:t xml:space="preserve"> as a petitioner.</w:t>
      </w:r>
    </w:p>
  </w:footnote>
  <w:footnote w:id="3">
    <w:p w14:paraId="5E9648EC" w14:textId="21C85AE3"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color w:val="auto"/>
          <w:sz w:val="16"/>
          <w:szCs w:val="16"/>
        </w:rPr>
        <w:footnoteRef/>
      </w:r>
      <w:r w:rsidRPr="000E15DA">
        <w:rPr>
          <w:rFonts w:asciiTheme="majorHAnsi" w:hAnsiTheme="majorHAnsi"/>
          <w:color w:val="auto"/>
          <w:sz w:val="16"/>
          <w:szCs w:val="16"/>
        </w:rPr>
        <w:t xml:space="preserve"> IACHR. Report No. 91/12. Case 12.890.</w:t>
      </w:r>
      <w:r>
        <w:rPr>
          <w:rFonts w:asciiTheme="majorHAnsi" w:hAnsiTheme="majorHAnsi"/>
          <w:color w:val="auto"/>
          <w:sz w:val="16"/>
          <w:szCs w:val="16"/>
        </w:rPr>
        <w:t xml:space="preserve"> Admissibility.</w:t>
      </w:r>
      <w:r w:rsidRPr="000E15DA">
        <w:rPr>
          <w:rFonts w:asciiTheme="majorHAnsi" w:hAnsiTheme="majorHAnsi"/>
          <w:color w:val="auto"/>
          <w:sz w:val="16"/>
          <w:szCs w:val="16"/>
        </w:rPr>
        <w:t xml:space="preserve"> José Gregorio </w:t>
      </w:r>
      <w:proofErr w:type="spellStart"/>
      <w:r w:rsidRPr="000E15DA">
        <w:rPr>
          <w:rFonts w:asciiTheme="majorHAnsi" w:hAnsiTheme="majorHAnsi"/>
          <w:color w:val="auto"/>
          <w:sz w:val="16"/>
          <w:szCs w:val="16"/>
        </w:rPr>
        <w:t>Mota</w:t>
      </w:r>
      <w:proofErr w:type="spellEnd"/>
      <w:r w:rsidRPr="000E15DA">
        <w:rPr>
          <w:rFonts w:asciiTheme="majorHAnsi" w:hAnsiTheme="majorHAnsi"/>
          <w:color w:val="auto"/>
          <w:sz w:val="16"/>
          <w:szCs w:val="16"/>
        </w:rPr>
        <w:t xml:space="preserve"> </w:t>
      </w:r>
      <w:proofErr w:type="spellStart"/>
      <w:r w:rsidRPr="000E15DA">
        <w:rPr>
          <w:rFonts w:asciiTheme="majorHAnsi" w:hAnsiTheme="majorHAnsi"/>
          <w:color w:val="auto"/>
          <w:sz w:val="16"/>
          <w:szCs w:val="16"/>
        </w:rPr>
        <w:t>Abarullo</w:t>
      </w:r>
      <w:proofErr w:type="spellEnd"/>
      <w:r w:rsidRPr="000E15DA">
        <w:rPr>
          <w:rFonts w:asciiTheme="majorHAnsi" w:hAnsiTheme="majorHAnsi"/>
          <w:color w:val="auto"/>
          <w:sz w:val="16"/>
          <w:szCs w:val="16"/>
        </w:rPr>
        <w:t xml:space="preserve"> et al. </w:t>
      </w:r>
      <w:r w:rsidRPr="00736447">
        <w:rPr>
          <w:rFonts w:asciiTheme="majorHAnsi" w:hAnsiTheme="majorHAnsi"/>
          <w:color w:val="auto"/>
          <w:sz w:val="16"/>
          <w:szCs w:val="16"/>
        </w:rPr>
        <w:t xml:space="preserve">(Deaths at the San Félix Prison) (Venezuela). November 8, 2012. </w:t>
      </w:r>
      <w:r>
        <w:rPr>
          <w:rFonts w:asciiTheme="majorHAnsi" w:hAnsiTheme="majorHAnsi"/>
          <w:color w:val="auto"/>
          <w:sz w:val="16"/>
          <w:szCs w:val="16"/>
        </w:rPr>
        <w:t>Admissible articles: 4, 5, 8, 19, and 25.</w:t>
      </w:r>
    </w:p>
  </w:footnote>
  <w:footnote w:id="4">
    <w:p w14:paraId="605A1D34" w14:textId="1B05E5A8"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w:t>
      </w:r>
      <w:r w:rsidRPr="00736447">
        <w:rPr>
          <w:rFonts w:asciiTheme="majorHAnsi" w:hAnsiTheme="majorHAnsi"/>
          <w:sz w:val="16"/>
          <w:szCs w:val="16"/>
        </w:rPr>
        <w:t>. Death Certificate. Annex B1 to the original petition.</w:t>
      </w:r>
      <w:r>
        <w:rPr>
          <w:rFonts w:asciiTheme="majorHAnsi" w:hAnsiTheme="majorHAnsi"/>
          <w:sz w:val="16"/>
          <w:szCs w:val="16"/>
        </w:rPr>
        <w:t xml:space="preserve"> </w:t>
      </w:r>
    </w:p>
  </w:footnote>
  <w:footnote w:id="5">
    <w:p w14:paraId="2A4D3011" w14:textId="66E5AD55"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2</w:t>
      </w:r>
      <w:r w:rsidRPr="00736447">
        <w:rPr>
          <w:rFonts w:asciiTheme="majorHAnsi" w:hAnsiTheme="majorHAnsi"/>
          <w:sz w:val="16"/>
          <w:szCs w:val="16"/>
        </w:rPr>
        <w:t>. Death Certificate. Annex B2 to the original petition.</w:t>
      </w:r>
    </w:p>
  </w:footnote>
  <w:footnote w:id="6">
    <w:p w14:paraId="55629963" w14:textId="2E55710D"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3</w:t>
      </w:r>
      <w:r w:rsidRPr="00736447">
        <w:rPr>
          <w:rFonts w:asciiTheme="majorHAnsi" w:hAnsiTheme="majorHAnsi"/>
          <w:sz w:val="16"/>
          <w:szCs w:val="16"/>
        </w:rPr>
        <w:t>. Death Certificate. Annex B3 to the original petition.</w:t>
      </w:r>
    </w:p>
  </w:footnote>
  <w:footnote w:id="7">
    <w:p w14:paraId="4F9204B2" w14:textId="27DA49DA"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4</w:t>
      </w:r>
      <w:r w:rsidRPr="00736447">
        <w:rPr>
          <w:rFonts w:asciiTheme="majorHAnsi" w:hAnsiTheme="majorHAnsi"/>
          <w:sz w:val="16"/>
          <w:szCs w:val="16"/>
        </w:rPr>
        <w:t>. Death Certificate. Annex B4 to the original petition.</w:t>
      </w:r>
    </w:p>
  </w:footnote>
  <w:footnote w:id="8">
    <w:p w14:paraId="7F607E5F" w14:textId="219E7AFC"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5</w:t>
      </w:r>
      <w:r w:rsidRPr="00736447">
        <w:rPr>
          <w:rFonts w:asciiTheme="majorHAnsi" w:hAnsiTheme="majorHAnsi"/>
          <w:sz w:val="16"/>
          <w:szCs w:val="16"/>
        </w:rPr>
        <w:t>. Death Certificate. Annex B5 to the original petition.</w:t>
      </w:r>
    </w:p>
  </w:footnote>
  <w:footnote w:id="9">
    <w:p w14:paraId="080DD613" w14:textId="330382CF"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Annexes </w:t>
      </w:r>
      <w:r>
        <w:rPr>
          <w:rFonts w:asciiTheme="majorHAnsi" w:hAnsiTheme="majorHAnsi"/>
          <w:sz w:val="16"/>
          <w:szCs w:val="16"/>
        </w:rPr>
        <w:t>1, 4, 5</w:t>
      </w:r>
      <w:r w:rsidRPr="00736447">
        <w:rPr>
          <w:rFonts w:asciiTheme="majorHAnsi" w:hAnsiTheme="majorHAnsi"/>
          <w:sz w:val="16"/>
          <w:szCs w:val="16"/>
        </w:rPr>
        <w:t xml:space="preserve">. Death Certificate. Annexes B1, B4, </w:t>
      </w:r>
      <w:proofErr w:type="gramStart"/>
      <w:r w:rsidRPr="00736447">
        <w:rPr>
          <w:rFonts w:asciiTheme="majorHAnsi" w:hAnsiTheme="majorHAnsi"/>
          <w:sz w:val="16"/>
          <w:szCs w:val="16"/>
        </w:rPr>
        <w:t>B5</w:t>
      </w:r>
      <w:proofErr w:type="gramEnd"/>
      <w:r w:rsidRPr="00736447">
        <w:rPr>
          <w:rFonts w:asciiTheme="majorHAnsi" w:hAnsiTheme="majorHAnsi"/>
          <w:sz w:val="16"/>
          <w:szCs w:val="16"/>
        </w:rPr>
        <w:t xml:space="preserve"> to the original petition.</w:t>
      </w:r>
    </w:p>
  </w:footnote>
  <w:footnote w:id="10">
    <w:p w14:paraId="30314F54" w14:textId="073A4C31"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2</w:t>
      </w:r>
      <w:r w:rsidRPr="00736447">
        <w:rPr>
          <w:rFonts w:asciiTheme="majorHAnsi" w:hAnsiTheme="majorHAnsi"/>
          <w:sz w:val="16"/>
          <w:szCs w:val="16"/>
        </w:rPr>
        <w:t>. Death Certificate. Annex B2 to the original petition.</w:t>
      </w:r>
    </w:p>
  </w:footnote>
  <w:footnote w:id="11">
    <w:p w14:paraId="19011607" w14:textId="57C32ADE"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3</w:t>
      </w:r>
      <w:r w:rsidRPr="00736447">
        <w:rPr>
          <w:rFonts w:asciiTheme="majorHAnsi" w:hAnsiTheme="majorHAnsi"/>
          <w:sz w:val="16"/>
          <w:szCs w:val="16"/>
        </w:rPr>
        <w:t>. Death Certificate. Annex B3 to the original petition.</w:t>
      </w:r>
    </w:p>
  </w:footnote>
  <w:footnote w:id="12">
    <w:p w14:paraId="0911AA6A" w14:textId="7B35B59E"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w:t>
      </w:r>
      <w:r>
        <w:rPr>
          <w:rFonts w:asciiTheme="majorHAnsi" w:hAnsiTheme="majorHAnsi"/>
          <w:sz w:val="16"/>
          <w:szCs w:val="16"/>
        </w:rPr>
        <w:t xml:space="preserve"> 6</w:t>
      </w:r>
      <w:r w:rsidRPr="00736447">
        <w:rPr>
          <w:rFonts w:asciiTheme="majorHAnsi" w:hAnsiTheme="majorHAnsi"/>
          <w:sz w:val="16"/>
          <w:szCs w:val="16"/>
        </w:rPr>
        <w:t xml:space="preserve">. Exhumation Report of January 25, 2006. Annexes Q1-Q4 to the original petition. Rafael Parra’s report not present. </w:t>
      </w:r>
    </w:p>
  </w:footnote>
  <w:footnote w:id="13">
    <w:p w14:paraId="7F526BCA" w14:textId="55AF15C3"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7</w:t>
      </w:r>
      <w:r w:rsidRPr="00736447">
        <w:rPr>
          <w:rFonts w:asciiTheme="majorHAnsi" w:hAnsiTheme="majorHAnsi"/>
          <w:sz w:val="16"/>
          <w:szCs w:val="16"/>
        </w:rPr>
        <w:t>. Exhumation Report of January 25, 2006. Annex Q5 to the original petition.</w:t>
      </w:r>
    </w:p>
  </w:footnote>
  <w:footnote w:id="14">
    <w:p w14:paraId="45285E81" w14:textId="21A27F44"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Petitioners’ additional brief dated July 20, 2015, para. 28.</w:t>
      </w:r>
    </w:p>
  </w:footnote>
  <w:footnote w:id="15">
    <w:p w14:paraId="04567D7A" w14:textId="6BC08FA2" w:rsidR="00E966C2" w:rsidRPr="00736447" w:rsidRDefault="00E966C2" w:rsidP="001A4533">
      <w:pPr>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8</w:t>
      </w:r>
      <w:r w:rsidRPr="00736447">
        <w:rPr>
          <w:rFonts w:asciiTheme="majorHAnsi" w:hAnsiTheme="majorHAnsi"/>
          <w:sz w:val="16"/>
          <w:szCs w:val="16"/>
        </w:rPr>
        <w:t xml:space="preserve">. Letter of Nerio Romero to Rafael </w:t>
      </w:r>
      <w:proofErr w:type="spellStart"/>
      <w:r w:rsidRPr="00736447">
        <w:rPr>
          <w:rFonts w:asciiTheme="majorHAnsi" w:hAnsiTheme="majorHAnsi"/>
          <w:sz w:val="16"/>
          <w:szCs w:val="16"/>
        </w:rPr>
        <w:t>Martínez</w:t>
      </w:r>
      <w:proofErr w:type="spellEnd"/>
      <w:r w:rsidRPr="00736447">
        <w:rPr>
          <w:rFonts w:asciiTheme="majorHAnsi" w:hAnsiTheme="majorHAnsi"/>
          <w:sz w:val="16"/>
          <w:szCs w:val="16"/>
        </w:rPr>
        <w:t>, Temporary Enforcement Judge (9.10.2004). Annex 01 to the additional brief of the petitioners of July 20, 2015 [hereinafter, “additional brief”].</w:t>
      </w:r>
    </w:p>
  </w:footnote>
  <w:footnote w:id="16">
    <w:p w14:paraId="79CCC329" w14:textId="45D7C575" w:rsidR="00E966C2" w:rsidRPr="00736447" w:rsidRDefault="00E966C2" w:rsidP="001A4533">
      <w:pPr>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8</w:t>
      </w:r>
      <w:r w:rsidRPr="00736447">
        <w:rPr>
          <w:rFonts w:asciiTheme="majorHAnsi" w:hAnsiTheme="majorHAnsi"/>
          <w:sz w:val="16"/>
          <w:szCs w:val="16"/>
        </w:rPr>
        <w:t xml:space="preserve">. Letter of Nerio Romero to Rafael </w:t>
      </w:r>
      <w:proofErr w:type="spellStart"/>
      <w:r w:rsidRPr="00736447">
        <w:rPr>
          <w:rFonts w:asciiTheme="majorHAnsi" w:hAnsiTheme="majorHAnsi"/>
          <w:sz w:val="16"/>
          <w:szCs w:val="16"/>
        </w:rPr>
        <w:t>Martínez</w:t>
      </w:r>
      <w:proofErr w:type="spellEnd"/>
      <w:r w:rsidRPr="00736447">
        <w:rPr>
          <w:rFonts w:asciiTheme="majorHAnsi" w:hAnsiTheme="majorHAnsi"/>
          <w:sz w:val="16"/>
          <w:szCs w:val="16"/>
        </w:rPr>
        <w:t xml:space="preserve">, Temporary Enforcement Judge (9.10.2004). Annex 01 to the additional brief; </w:t>
      </w:r>
      <w:r w:rsidRPr="00736447">
        <w:rPr>
          <w:rFonts w:asciiTheme="majorHAnsi" w:hAnsiTheme="majorHAnsi"/>
          <w:i/>
          <w:sz w:val="16"/>
          <w:szCs w:val="16"/>
        </w:rPr>
        <w:t>see also</w:t>
      </w:r>
      <w:r w:rsidRPr="00736447">
        <w:rPr>
          <w:rFonts w:asciiTheme="majorHAnsi" w:hAnsiTheme="majorHAnsi"/>
          <w:sz w:val="16"/>
          <w:szCs w:val="16"/>
        </w:rPr>
        <w:t xml:space="preserve"> Annex </w:t>
      </w:r>
      <w:r>
        <w:rPr>
          <w:rFonts w:asciiTheme="majorHAnsi" w:hAnsiTheme="majorHAnsi"/>
          <w:sz w:val="16"/>
          <w:szCs w:val="16"/>
        </w:rPr>
        <w:t>9</w:t>
      </w:r>
      <w:r w:rsidRPr="00736447">
        <w:rPr>
          <w:rFonts w:asciiTheme="majorHAnsi" w:hAnsiTheme="majorHAnsi"/>
          <w:sz w:val="16"/>
          <w:szCs w:val="16"/>
        </w:rPr>
        <w:t xml:space="preserve">. Letter </w:t>
      </w:r>
      <w:proofErr w:type="spellStart"/>
      <w:r w:rsidRPr="00736447">
        <w:rPr>
          <w:rFonts w:asciiTheme="majorHAnsi" w:hAnsiTheme="majorHAnsi"/>
          <w:sz w:val="16"/>
          <w:szCs w:val="16"/>
        </w:rPr>
        <w:t>Nerio</w:t>
      </w:r>
      <w:proofErr w:type="spellEnd"/>
      <w:r w:rsidRPr="00736447">
        <w:rPr>
          <w:rFonts w:asciiTheme="majorHAnsi" w:hAnsiTheme="majorHAnsi"/>
          <w:sz w:val="16"/>
          <w:szCs w:val="16"/>
        </w:rPr>
        <w:t xml:space="preserve"> Romero to </w:t>
      </w:r>
      <w:proofErr w:type="spellStart"/>
      <w:r w:rsidRPr="00736447">
        <w:rPr>
          <w:rFonts w:asciiTheme="majorHAnsi" w:hAnsiTheme="majorHAnsi"/>
          <w:sz w:val="16"/>
          <w:szCs w:val="16"/>
        </w:rPr>
        <w:t>Arquímedes</w:t>
      </w:r>
      <w:proofErr w:type="spellEnd"/>
      <w:r w:rsidRPr="00736447">
        <w:rPr>
          <w:rFonts w:asciiTheme="majorHAnsi" w:hAnsiTheme="majorHAnsi"/>
          <w:sz w:val="16"/>
          <w:szCs w:val="16"/>
        </w:rPr>
        <w:t xml:space="preserve"> </w:t>
      </w:r>
      <w:proofErr w:type="spellStart"/>
      <w:r w:rsidRPr="00736447">
        <w:rPr>
          <w:rFonts w:asciiTheme="majorHAnsi" w:hAnsiTheme="majorHAnsi"/>
          <w:sz w:val="16"/>
          <w:szCs w:val="16"/>
        </w:rPr>
        <w:t>Viamonte</w:t>
      </w:r>
      <w:proofErr w:type="spellEnd"/>
      <w:r w:rsidRPr="00736447">
        <w:rPr>
          <w:rFonts w:asciiTheme="majorHAnsi" w:hAnsiTheme="majorHAnsi"/>
          <w:sz w:val="16"/>
          <w:szCs w:val="16"/>
        </w:rPr>
        <w:t xml:space="preserve"> </w:t>
      </w:r>
      <w:proofErr w:type="spellStart"/>
      <w:r w:rsidRPr="00736447">
        <w:rPr>
          <w:rFonts w:asciiTheme="majorHAnsi" w:hAnsiTheme="majorHAnsi"/>
          <w:sz w:val="16"/>
          <w:szCs w:val="16"/>
        </w:rPr>
        <w:t>Carpio</w:t>
      </w:r>
      <w:proofErr w:type="spellEnd"/>
      <w:r w:rsidRPr="00736447">
        <w:rPr>
          <w:rFonts w:asciiTheme="majorHAnsi" w:hAnsiTheme="majorHAnsi"/>
          <w:sz w:val="16"/>
          <w:szCs w:val="16"/>
        </w:rPr>
        <w:t xml:space="preserve">, Chief of Police (9.10.2004). Annex 11 to the additional brief; Annex </w:t>
      </w:r>
      <w:r>
        <w:rPr>
          <w:rFonts w:asciiTheme="majorHAnsi" w:hAnsiTheme="majorHAnsi"/>
          <w:sz w:val="16"/>
          <w:szCs w:val="16"/>
        </w:rPr>
        <w:t>10</w:t>
      </w:r>
      <w:r w:rsidRPr="00736447">
        <w:rPr>
          <w:rFonts w:asciiTheme="majorHAnsi" w:hAnsiTheme="majorHAnsi"/>
          <w:sz w:val="16"/>
          <w:szCs w:val="16"/>
        </w:rPr>
        <w:t xml:space="preserve">. Inspection Report of the INAM-San Félix (21.4.2005). Annex 07 to the additional brief; Annex </w:t>
      </w:r>
      <w:r>
        <w:rPr>
          <w:rFonts w:asciiTheme="majorHAnsi" w:hAnsiTheme="majorHAnsi"/>
          <w:sz w:val="16"/>
          <w:szCs w:val="16"/>
        </w:rPr>
        <w:t>11</w:t>
      </w:r>
      <w:r w:rsidRPr="00736447">
        <w:rPr>
          <w:rFonts w:asciiTheme="majorHAnsi" w:hAnsiTheme="majorHAnsi"/>
          <w:sz w:val="16"/>
          <w:szCs w:val="16"/>
        </w:rPr>
        <w:t xml:space="preserve">. Statement of Fanny Ricardo (5.8.2005). Annex 02 to the additional brief. </w:t>
      </w:r>
    </w:p>
  </w:footnote>
  <w:footnote w:id="17">
    <w:p w14:paraId="070CF04D" w14:textId="37C8FA41"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12</w:t>
      </w:r>
      <w:r w:rsidRPr="00736447">
        <w:rPr>
          <w:rFonts w:asciiTheme="majorHAnsi" w:hAnsiTheme="majorHAnsi"/>
          <w:sz w:val="16"/>
          <w:szCs w:val="16"/>
        </w:rPr>
        <w:t>. Statement of Nerio Romero (7.29.2005). Annex 28 to the additional brief.</w:t>
      </w:r>
    </w:p>
  </w:footnote>
  <w:footnote w:id="18">
    <w:p w14:paraId="2EC53636" w14:textId="6E564324" w:rsidR="00E966C2" w:rsidRPr="00736447" w:rsidRDefault="00E966C2" w:rsidP="001A4533">
      <w:pPr>
        <w:pStyle w:val="FootnoteText"/>
        <w:jc w:val="both"/>
        <w:rPr>
          <w:rFonts w:asciiTheme="majorHAnsi" w:hAnsiTheme="majorHAnsi"/>
          <w: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12</w:t>
      </w:r>
      <w:r w:rsidRPr="00736447">
        <w:rPr>
          <w:rFonts w:asciiTheme="majorHAnsi" w:hAnsiTheme="majorHAnsi"/>
          <w:sz w:val="16"/>
          <w:szCs w:val="16"/>
        </w:rPr>
        <w:t xml:space="preserve">. Statement of Nerio Romero (7.29.2005). Annex 28 to the additional brief; </w:t>
      </w:r>
      <w:r w:rsidRPr="00736447">
        <w:rPr>
          <w:rFonts w:asciiTheme="majorHAnsi" w:hAnsiTheme="majorHAnsi"/>
          <w:i/>
          <w:sz w:val="16"/>
          <w:szCs w:val="16"/>
        </w:rPr>
        <w:t xml:space="preserve">see also </w:t>
      </w:r>
      <w:r w:rsidRPr="00736447">
        <w:rPr>
          <w:rFonts w:asciiTheme="majorHAnsi" w:hAnsiTheme="majorHAnsi"/>
          <w:sz w:val="16"/>
          <w:szCs w:val="16"/>
        </w:rPr>
        <w:t xml:space="preserve">Annex </w:t>
      </w:r>
      <w:r>
        <w:rPr>
          <w:rFonts w:asciiTheme="majorHAnsi" w:hAnsiTheme="majorHAnsi"/>
          <w:sz w:val="16"/>
          <w:szCs w:val="16"/>
        </w:rPr>
        <w:t>13</w:t>
      </w:r>
      <w:r w:rsidRPr="00736447">
        <w:rPr>
          <w:rFonts w:asciiTheme="majorHAnsi" w:hAnsiTheme="majorHAnsi"/>
          <w:sz w:val="16"/>
          <w:szCs w:val="16"/>
        </w:rPr>
        <w:t xml:space="preserve">. Interview of </w:t>
      </w:r>
      <w:proofErr w:type="spellStart"/>
      <w:r w:rsidRPr="00736447">
        <w:rPr>
          <w:rFonts w:asciiTheme="majorHAnsi" w:hAnsiTheme="majorHAnsi"/>
          <w:sz w:val="16"/>
          <w:szCs w:val="16"/>
        </w:rPr>
        <w:t>Brígida</w:t>
      </w:r>
      <w:proofErr w:type="spellEnd"/>
      <w:r w:rsidRPr="00736447">
        <w:rPr>
          <w:rFonts w:asciiTheme="majorHAnsi" w:hAnsiTheme="majorHAnsi"/>
          <w:sz w:val="16"/>
          <w:szCs w:val="16"/>
        </w:rPr>
        <w:t xml:space="preserve"> Hurtado (8.7.2005). Annex 29 to the additional brief.</w:t>
      </w:r>
    </w:p>
  </w:footnote>
  <w:footnote w:id="19">
    <w:p w14:paraId="35D8E045" w14:textId="765B317D"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11</w:t>
      </w:r>
      <w:r w:rsidRPr="00736447">
        <w:rPr>
          <w:rFonts w:asciiTheme="majorHAnsi" w:hAnsiTheme="majorHAnsi"/>
          <w:sz w:val="16"/>
          <w:szCs w:val="16"/>
        </w:rPr>
        <w:t>. Statement of Fanny Ricardo (5.8.2005). Annex 02 to the additional brief.</w:t>
      </w:r>
    </w:p>
  </w:footnote>
  <w:footnote w:id="20">
    <w:p w14:paraId="0A570C48" w14:textId="712BA7AC" w:rsidR="00E966C2" w:rsidRPr="00736447" w:rsidRDefault="00E966C2" w:rsidP="001A4533">
      <w:pPr>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i/>
          <w:sz w:val="16"/>
          <w:szCs w:val="16"/>
        </w:rPr>
        <w:t>See</w:t>
      </w:r>
      <w:r w:rsidRPr="00736447">
        <w:rPr>
          <w:rFonts w:asciiTheme="majorHAnsi" w:hAnsiTheme="majorHAnsi"/>
          <w:sz w:val="16"/>
          <w:szCs w:val="16"/>
        </w:rPr>
        <w:t xml:space="preserve"> Annexes </w:t>
      </w:r>
      <w:r>
        <w:rPr>
          <w:rFonts w:asciiTheme="majorHAnsi" w:hAnsiTheme="majorHAnsi"/>
          <w:sz w:val="16"/>
          <w:szCs w:val="16"/>
        </w:rPr>
        <w:t>8 and 9</w:t>
      </w:r>
      <w:r w:rsidRPr="00736447">
        <w:rPr>
          <w:rFonts w:asciiTheme="majorHAnsi" w:hAnsiTheme="majorHAnsi"/>
          <w:sz w:val="16"/>
          <w:szCs w:val="16"/>
        </w:rPr>
        <w:t>.</w:t>
      </w:r>
    </w:p>
  </w:footnote>
  <w:footnote w:id="21">
    <w:p w14:paraId="410BC051" w14:textId="7A424BA4"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11</w:t>
      </w:r>
      <w:r w:rsidRPr="00736447">
        <w:rPr>
          <w:rFonts w:asciiTheme="majorHAnsi" w:hAnsiTheme="majorHAnsi"/>
          <w:sz w:val="16"/>
          <w:szCs w:val="16"/>
        </w:rPr>
        <w:t>. Statement of Fanny Ricardo (5.8.2005). Annex 02 to the additional brief.</w:t>
      </w:r>
    </w:p>
  </w:footnote>
  <w:footnote w:id="22">
    <w:p w14:paraId="08B16CC0" w14:textId="56EE1B9C"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10</w:t>
      </w:r>
      <w:r w:rsidRPr="00736447">
        <w:rPr>
          <w:rFonts w:asciiTheme="majorHAnsi" w:hAnsiTheme="majorHAnsi"/>
          <w:sz w:val="16"/>
          <w:szCs w:val="16"/>
        </w:rPr>
        <w:t xml:space="preserve">. Inspection Report of the INAM-San Félix (21.4.2005). Annex 07 to the additional brief; Annex </w:t>
      </w:r>
      <w:r>
        <w:rPr>
          <w:rFonts w:asciiTheme="majorHAnsi" w:hAnsiTheme="majorHAnsi"/>
          <w:sz w:val="16"/>
          <w:szCs w:val="16"/>
        </w:rPr>
        <w:t>14</w:t>
      </w:r>
      <w:r w:rsidRPr="00736447">
        <w:rPr>
          <w:rFonts w:asciiTheme="majorHAnsi" w:hAnsiTheme="majorHAnsi"/>
          <w:sz w:val="16"/>
          <w:szCs w:val="16"/>
        </w:rPr>
        <w:t xml:space="preserve">. </w:t>
      </w:r>
      <w:r>
        <w:rPr>
          <w:rFonts w:asciiTheme="majorHAnsi" w:hAnsiTheme="majorHAnsi"/>
          <w:sz w:val="16"/>
          <w:szCs w:val="16"/>
        </w:rPr>
        <w:t xml:space="preserve">Inmate list of INAM-San Félix, April </w:t>
      </w:r>
      <w:r w:rsidRPr="00736447">
        <w:rPr>
          <w:rFonts w:asciiTheme="majorHAnsi" w:hAnsiTheme="majorHAnsi"/>
          <w:sz w:val="16"/>
          <w:szCs w:val="16"/>
        </w:rPr>
        <w:t>2005. Annex 09</w:t>
      </w:r>
      <w:r w:rsidRPr="00736447">
        <w:rPr>
          <w:rFonts w:asciiTheme="majorHAnsi" w:hAnsiTheme="majorHAnsi"/>
          <w:b/>
          <w:sz w:val="16"/>
          <w:szCs w:val="16"/>
        </w:rPr>
        <w:t xml:space="preserve"> </w:t>
      </w:r>
      <w:r w:rsidRPr="00736447">
        <w:rPr>
          <w:rFonts w:asciiTheme="majorHAnsi" w:hAnsiTheme="majorHAnsi"/>
          <w:sz w:val="16"/>
          <w:szCs w:val="16"/>
        </w:rPr>
        <w:t>to the additional brief.</w:t>
      </w:r>
    </w:p>
  </w:footnote>
  <w:footnote w:id="23">
    <w:p w14:paraId="1C3D31CC" w14:textId="0A291CD9"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15</w:t>
      </w:r>
      <w:r w:rsidRPr="00736447">
        <w:rPr>
          <w:rFonts w:asciiTheme="majorHAnsi" w:hAnsiTheme="majorHAnsi"/>
          <w:sz w:val="16"/>
          <w:szCs w:val="16"/>
        </w:rPr>
        <w:t>. Report of the Criminal Toxicological Laboratory (1.7.2005). Annex 51</w:t>
      </w:r>
      <w:r w:rsidRPr="00736447">
        <w:rPr>
          <w:rFonts w:asciiTheme="majorHAnsi" w:hAnsiTheme="majorHAnsi"/>
          <w:b/>
          <w:sz w:val="16"/>
          <w:szCs w:val="16"/>
        </w:rPr>
        <w:t xml:space="preserve"> </w:t>
      </w:r>
      <w:r w:rsidRPr="00736447">
        <w:rPr>
          <w:rFonts w:asciiTheme="majorHAnsi" w:hAnsiTheme="majorHAnsi"/>
          <w:sz w:val="16"/>
          <w:szCs w:val="16"/>
        </w:rPr>
        <w:t>to the additional brief.</w:t>
      </w:r>
    </w:p>
  </w:footnote>
  <w:footnote w:id="24">
    <w:p w14:paraId="14B66B58" w14:textId="6A052E25" w:rsidR="00E966C2" w:rsidRPr="00736447" w:rsidRDefault="00E966C2" w:rsidP="001A4533">
      <w:pPr>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8</w:t>
      </w:r>
      <w:r w:rsidRPr="00736447">
        <w:rPr>
          <w:rFonts w:asciiTheme="majorHAnsi" w:hAnsiTheme="majorHAnsi"/>
          <w:sz w:val="16"/>
          <w:szCs w:val="16"/>
        </w:rPr>
        <w:t xml:space="preserve">. Letter of Nerio Romero to Rafael </w:t>
      </w:r>
      <w:proofErr w:type="spellStart"/>
      <w:r w:rsidRPr="00736447">
        <w:rPr>
          <w:rFonts w:asciiTheme="majorHAnsi" w:hAnsiTheme="majorHAnsi"/>
          <w:sz w:val="16"/>
          <w:szCs w:val="16"/>
        </w:rPr>
        <w:t>Martínez</w:t>
      </w:r>
      <w:proofErr w:type="spellEnd"/>
      <w:r w:rsidRPr="00736447">
        <w:rPr>
          <w:rFonts w:asciiTheme="majorHAnsi" w:hAnsiTheme="majorHAnsi"/>
          <w:sz w:val="16"/>
          <w:szCs w:val="16"/>
        </w:rPr>
        <w:t>, Temporary Enforcement Judge (9.10.2004). Annex 01 to the additional brief.</w:t>
      </w:r>
    </w:p>
  </w:footnote>
  <w:footnote w:id="25">
    <w:p w14:paraId="46EC9508" w14:textId="0FC85F73"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10</w:t>
      </w:r>
      <w:r w:rsidRPr="00736447">
        <w:rPr>
          <w:rFonts w:asciiTheme="majorHAnsi" w:hAnsiTheme="majorHAnsi"/>
          <w:sz w:val="16"/>
          <w:szCs w:val="16"/>
        </w:rPr>
        <w:t>. Inspection Report of the INAM-San Félix (21.4.2005). Annex 07 to the additional brief.</w:t>
      </w:r>
    </w:p>
  </w:footnote>
  <w:footnote w:id="26">
    <w:p w14:paraId="6C8E2802" w14:textId="1CF995DA" w:rsidR="00E966C2" w:rsidRPr="00736447" w:rsidRDefault="00E966C2" w:rsidP="001A4533">
      <w:pPr>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16</w:t>
      </w:r>
      <w:r w:rsidRPr="00736447">
        <w:rPr>
          <w:rFonts w:asciiTheme="majorHAnsi" w:hAnsiTheme="majorHAnsi"/>
          <w:sz w:val="16"/>
          <w:szCs w:val="16"/>
        </w:rPr>
        <w:t xml:space="preserve">. Letter of José Gregorio Arteaga, Director of the INAM-San Félix, to </w:t>
      </w:r>
      <w:proofErr w:type="spellStart"/>
      <w:r w:rsidRPr="00736447">
        <w:rPr>
          <w:rFonts w:asciiTheme="majorHAnsi" w:hAnsiTheme="majorHAnsi"/>
          <w:sz w:val="16"/>
          <w:szCs w:val="16"/>
        </w:rPr>
        <w:t>Hernán</w:t>
      </w:r>
      <w:proofErr w:type="spellEnd"/>
      <w:r w:rsidRPr="00736447">
        <w:rPr>
          <w:rFonts w:asciiTheme="majorHAnsi" w:hAnsiTheme="majorHAnsi"/>
          <w:sz w:val="16"/>
          <w:szCs w:val="16"/>
        </w:rPr>
        <w:t xml:space="preserve"> </w:t>
      </w:r>
      <w:proofErr w:type="spellStart"/>
      <w:r w:rsidRPr="00736447">
        <w:rPr>
          <w:rFonts w:asciiTheme="majorHAnsi" w:hAnsiTheme="majorHAnsi"/>
          <w:sz w:val="16"/>
          <w:szCs w:val="16"/>
        </w:rPr>
        <w:t>Bogarín</w:t>
      </w:r>
      <w:proofErr w:type="spellEnd"/>
      <w:r w:rsidRPr="00736447">
        <w:rPr>
          <w:rFonts w:asciiTheme="majorHAnsi" w:hAnsiTheme="majorHAnsi"/>
          <w:sz w:val="16"/>
          <w:szCs w:val="16"/>
        </w:rPr>
        <w:t>, General Inspector IPOL Bolívar, (12.5.2004). Annex 10 to the additional brief.</w:t>
      </w:r>
    </w:p>
  </w:footnote>
  <w:footnote w:id="27">
    <w:p w14:paraId="2BA2614B" w14:textId="67BD166D"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17</w:t>
      </w:r>
      <w:r w:rsidRPr="00736447">
        <w:rPr>
          <w:rFonts w:asciiTheme="majorHAnsi" w:hAnsiTheme="majorHAnsi"/>
          <w:sz w:val="16"/>
          <w:szCs w:val="16"/>
        </w:rPr>
        <w:t xml:space="preserve">. Letter of Luis </w:t>
      </w:r>
      <w:proofErr w:type="spellStart"/>
      <w:r w:rsidRPr="00736447">
        <w:rPr>
          <w:rFonts w:asciiTheme="majorHAnsi" w:hAnsiTheme="majorHAnsi"/>
          <w:sz w:val="16"/>
          <w:szCs w:val="16"/>
        </w:rPr>
        <w:t>López</w:t>
      </w:r>
      <w:proofErr w:type="spellEnd"/>
      <w:r w:rsidRPr="00736447">
        <w:rPr>
          <w:rFonts w:asciiTheme="majorHAnsi" w:hAnsiTheme="majorHAnsi"/>
          <w:sz w:val="16"/>
          <w:szCs w:val="16"/>
        </w:rPr>
        <w:t>, Commander of the National Guard, to Franklin Rojas, Prosecutor (19.8.2005). Annex D to the original petition.</w:t>
      </w:r>
    </w:p>
  </w:footnote>
  <w:footnote w:id="28">
    <w:p w14:paraId="21BE085E" w14:textId="4329138C"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i/>
          <w:sz w:val="16"/>
          <w:szCs w:val="16"/>
        </w:rPr>
        <w:t>See</w:t>
      </w:r>
      <w:r w:rsidRPr="00736447">
        <w:rPr>
          <w:rFonts w:asciiTheme="majorHAnsi" w:hAnsiTheme="majorHAnsi"/>
          <w:sz w:val="16"/>
          <w:szCs w:val="16"/>
        </w:rPr>
        <w:t xml:space="preserve">, for example, Annex </w:t>
      </w:r>
      <w:r>
        <w:rPr>
          <w:rFonts w:asciiTheme="majorHAnsi" w:hAnsiTheme="majorHAnsi"/>
          <w:sz w:val="16"/>
          <w:szCs w:val="16"/>
        </w:rPr>
        <w:t>13</w:t>
      </w:r>
      <w:r w:rsidRPr="00736447">
        <w:rPr>
          <w:rFonts w:asciiTheme="majorHAnsi" w:hAnsiTheme="majorHAnsi"/>
          <w:sz w:val="16"/>
          <w:szCs w:val="16"/>
        </w:rPr>
        <w:t xml:space="preserve">. Interview of </w:t>
      </w:r>
      <w:proofErr w:type="spellStart"/>
      <w:r w:rsidRPr="00736447">
        <w:rPr>
          <w:rFonts w:asciiTheme="majorHAnsi" w:hAnsiTheme="majorHAnsi"/>
          <w:sz w:val="16"/>
          <w:szCs w:val="16"/>
        </w:rPr>
        <w:t>Brígida</w:t>
      </w:r>
      <w:proofErr w:type="spellEnd"/>
      <w:r w:rsidRPr="00736447">
        <w:rPr>
          <w:rFonts w:asciiTheme="majorHAnsi" w:hAnsiTheme="majorHAnsi"/>
          <w:sz w:val="16"/>
          <w:szCs w:val="16"/>
        </w:rPr>
        <w:t xml:space="preserve"> Hurtado (8.7.2005). Annex 29 to the additional brief.</w:t>
      </w:r>
    </w:p>
  </w:footnote>
  <w:footnote w:id="29">
    <w:p w14:paraId="62C97650" w14:textId="57F290AD"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10</w:t>
      </w:r>
      <w:r w:rsidRPr="00736447">
        <w:rPr>
          <w:rFonts w:asciiTheme="majorHAnsi" w:hAnsiTheme="majorHAnsi"/>
          <w:sz w:val="16"/>
          <w:szCs w:val="16"/>
        </w:rPr>
        <w:t xml:space="preserve">. Inspection Report of the INAM-San Félix (21.4.2005). Annex 07 to the additional brief; Annex </w:t>
      </w:r>
      <w:r>
        <w:rPr>
          <w:rFonts w:asciiTheme="majorHAnsi" w:hAnsiTheme="majorHAnsi"/>
          <w:sz w:val="16"/>
          <w:szCs w:val="16"/>
        </w:rPr>
        <w:t>18</w:t>
      </w:r>
      <w:r w:rsidRPr="00736447">
        <w:rPr>
          <w:rFonts w:asciiTheme="majorHAnsi" w:hAnsiTheme="majorHAnsi"/>
          <w:sz w:val="16"/>
          <w:szCs w:val="16"/>
        </w:rPr>
        <w:t>. Report of the National Council for the Rights of the Child and Adolescents, July 2005. Annex P to the original petition.</w:t>
      </w:r>
    </w:p>
  </w:footnote>
  <w:footnote w:id="30">
    <w:p w14:paraId="7257D3C1" w14:textId="0DC682E9"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19</w:t>
      </w:r>
      <w:r w:rsidRPr="00736447">
        <w:rPr>
          <w:rFonts w:asciiTheme="majorHAnsi" w:hAnsiTheme="majorHAnsi"/>
          <w:sz w:val="16"/>
          <w:szCs w:val="16"/>
        </w:rPr>
        <w:t xml:space="preserve">. </w:t>
      </w:r>
      <w:r>
        <w:rPr>
          <w:rFonts w:asciiTheme="majorHAnsi" w:hAnsiTheme="majorHAnsi"/>
          <w:sz w:val="16"/>
          <w:szCs w:val="16"/>
        </w:rPr>
        <w:t xml:space="preserve">CICPC </w:t>
      </w:r>
      <w:r w:rsidRPr="00736447">
        <w:rPr>
          <w:rFonts w:asciiTheme="majorHAnsi" w:hAnsiTheme="majorHAnsi"/>
          <w:sz w:val="16"/>
          <w:szCs w:val="16"/>
        </w:rPr>
        <w:t>Expert Report (31.8.2005). Annex 18 to the additional brief.</w:t>
      </w:r>
    </w:p>
  </w:footnote>
  <w:footnote w:id="31">
    <w:p w14:paraId="5DBF5B83" w14:textId="44DD7480"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20</w:t>
      </w:r>
      <w:r w:rsidRPr="00736447">
        <w:rPr>
          <w:rFonts w:asciiTheme="majorHAnsi" w:hAnsiTheme="majorHAnsi"/>
          <w:sz w:val="16"/>
          <w:szCs w:val="16"/>
        </w:rPr>
        <w:t xml:space="preserve">. Interview of Carlos </w:t>
      </w:r>
      <w:proofErr w:type="spellStart"/>
      <w:r w:rsidRPr="00736447">
        <w:rPr>
          <w:rFonts w:asciiTheme="majorHAnsi" w:hAnsiTheme="majorHAnsi"/>
          <w:sz w:val="16"/>
          <w:szCs w:val="16"/>
        </w:rPr>
        <w:t>Martes</w:t>
      </w:r>
      <w:proofErr w:type="spellEnd"/>
      <w:r w:rsidRPr="00736447">
        <w:rPr>
          <w:rFonts w:asciiTheme="majorHAnsi" w:hAnsiTheme="majorHAnsi"/>
          <w:sz w:val="16"/>
          <w:szCs w:val="16"/>
        </w:rPr>
        <w:t xml:space="preserve"> (3.8.2005). Annex 15 to the additional brief.</w:t>
      </w:r>
    </w:p>
  </w:footnote>
  <w:footnote w:id="32">
    <w:p w14:paraId="68E6716A" w14:textId="54D5473D" w:rsidR="00E966C2" w:rsidRPr="00736447" w:rsidRDefault="00E966C2" w:rsidP="001A4533">
      <w:pPr>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17</w:t>
      </w:r>
      <w:r w:rsidRPr="00736447">
        <w:rPr>
          <w:rFonts w:asciiTheme="majorHAnsi" w:hAnsiTheme="majorHAnsi"/>
          <w:sz w:val="16"/>
          <w:szCs w:val="16"/>
        </w:rPr>
        <w:t xml:space="preserve">. Letter of Luis </w:t>
      </w:r>
      <w:proofErr w:type="spellStart"/>
      <w:r w:rsidRPr="00736447">
        <w:rPr>
          <w:rFonts w:asciiTheme="majorHAnsi" w:hAnsiTheme="majorHAnsi"/>
          <w:sz w:val="16"/>
          <w:szCs w:val="16"/>
        </w:rPr>
        <w:t>López</w:t>
      </w:r>
      <w:proofErr w:type="spellEnd"/>
      <w:r w:rsidRPr="00736447">
        <w:rPr>
          <w:rFonts w:asciiTheme="majorHAnsi" w:hAnsiTheme="majorHAnsi"/>
          <w:sz w:val="16"/>
          <w:szCs w:val="16"/>
        </w:rPr>
        <w:t>, Commander of the National Guard, to Franklin Rojas, Prosecutor (19.8.2005). Annex D to the original petition.</w:t>
      </w:r>
    </w:p>
  </w:footnote>
  <w:footnote w:id="33">
    <w:p w14:paraId="382987BC" w14:textId="437AAA2F"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13</w:t>
      </w:r>
      <w:r w:rsidRPr="00736447">
        <w:rPr>
          <w:rFonts w:asciiTheme="majorHAnsi" w:hAnsiTheme="majorHAnsi"/>
          <w:sz w:val="16"/>
          <w:szCs w:val="16"/>
        </w:rPr>
        <w:t xml:space="preserve">. Interview of </w:t>
      </w:r>
      <w:proofErr w:type="spellStart"/>
      <w:r w:rsidRPr="00736447">
        <w:rPr>
          <w:rFonts w:asciiTheme="majorHAnsi" w:hAnsiTheme="majorHAnsi"/>
          <w:sz w:val="16"/>
          <w:szCs w:val="16"/>
        </w:rPr>
        <w:t>Brígida</w:t>
      </w:r>
      <w:proofErr w:type="spellEnd"/>
      <w:r w:rsidRPr="00736447">
        <w:rPr>
          <w:rFonts w:asciiTheme="majorHAnsi" w:hAnsiTheme="majorHAnsi"/>
          <w:sz w:val="16"/>
          <w:szCs w:val="16"/>
        </w:rPr>
        <w:t xml:space="preserve"> Hurtado (8.7.2005). Annex 29 to the additional brief.</w:t>
      </w:r>
    </w:p>
  </w:footnote>
  <w:footnote w:id="34">
    <w:p w14:paraId="5FA8B181" w14:textId="4646EE5A" w:rsidR="00E966C2" w:rsidRPr="00736447" w:rsidRDefault="00E966C2" w:rsidP="001A4533">
      <w:pPr>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17</w:t>
      </w:r>
      <w:r w:rsidRPr="00736447">
        <w:rPr>
          <w:rFonts w:asciiTheme="majorHAnsi" w:hAnsiTheme="majorHAnsi"/>
          <w:sz w:val="16"/>
          <w:szCs w:val="16"/>
        </w:rPr>
        <w:t xml:space="preserve">. Letter of Luis </w:t>
      </w:r>
      <w:proofErr w:type="spellStart"/>
      <w:r w:rsidRPr="00736447">
        <w:rPr>
          <w:rFonts w:asciiTheme="majorHAnsi" w:hAnsiTheme="majorHAnsi"/>
          <w:sz w:val="16"/>
          <w:szCs w:val="16"/>
        </w:rPr>
        <w:t>López</w:t>
      </w:r>
      <w:proofErr w:type="spellEnd"/>
      <w:r w:rsidRPr="00736447">
        <w:rPr>
          <w:rFonts w:asciiTheme="majorHAnsi" w:hAnsiTheme="majorHAnsi"/>
          <w:sz w:val="16"/>
          <w:szCs w:val="16"/>
        </w:rPr>
        <w:t>, Commander of the National Guard, to Franklin Rojas, Prosecutor (19.8.2005). Annex D to the original petition.</w:t>
      </w:r>
    </w:p>
  </w:footnote>
  <w:footnote w:id="35">
    <w:p w14:paraId="11691EF2" w14:textId="363A0807" w:rsidR="00E966C2" w:rsidRPr="00736447" w:rsidRDefault="00E966C2" w:rsidP="001A4533">
      <w:pPr>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10</w:t>
      </w:r>
      <w:r w:rsidRPr="00736447">
        <w:rPr>
          <w:rFonts w:asciiTheme="majorHAnsi" w:hAnsiTheme="majorHAnsi"/>
          <w:sz w:val="16"/>
          <w:szCs w:val="16"/>
        </w:rPr>
        <w:t xml:space="preserve">. Inspection Report of the INAM-San Félix (21.4.2005). Annex 07 to the additional brief; Annex </w:t>
      </w:r>
      <w:r>
        <w:rPr>
          <w:rFonts w:asciiTheme="majorHAnsi" w:hAnsiTheme="majorHAnsi"/>
          <w:sz w:val="16"/>
          <w:szCs w:val="16"/>
        </w:rPr>
        <w:t>18</w:t>
      </w:r>
      <w:r w:rsidRPr="00736447">
        <w:rPr>
          <w:rFonts w:asciiTheme="majorHAnsi" w:hAnsiTheme="majorHAnsi"/>
          <w:sz w:val="16"/>
          <w:szCs w:val="16"/>
        </w:rPr>
        <w:t>. Report of the National Council for the Rights of the Child and Adolescents, July 2005. Annex P to the original petition</w:t>
      </w:r>
      <w:r w:rsidRPr="00736447">
        <w:rPr>
          <w:rFonts w:asciiTheme="majorHAnsi" w:eastAsia="Calibri" w:hAnsiTheme="majorHAnsi" w:cs="Calibri"/>
          <w:color w:val="000000"/>
          <w:sz w:val="16"/>
          <w:szCs w:val="16"/>
          <w:u w:color="000000"/>
          <w:lang w:eastAsia="es-ES"/>
        </w:rPr>
        <w:t>.</w:t>
      </w:r>
    </w:p>
  </w:footnote>
  <w:footnote w:id="36">
    <w:p w14:paraId="3A4A99FA" w14:textId="642BA71B" w:rsidR="00E966C2" w:rsidRPr="00736447" w:rsidRDefault="00E966C2" w:rsidP="001A4533">
      <w:pPr>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10</w:t>
      </w:r>
      <w:r w:rsidRPr="00736447">
        <w:rPr>
          <w:rFonts w:asciiTheme="majorHAnsi" w:hAnsiTheme="majorHAnsi"/>
          <w:sz w:val="16"/>
          <w:szCs w:val="16"/>
        </w:rPr>
        <w:t>. Inspection Report of the INAM-San Félix (21.4.2005). Annex 07 to the additional brief.</w:t>
      </w:r>
    </w:p>
  </w:footnote>
  <w:footnote w:id="37">
    <w:p w14:paraId="0B0D9EC9" w14:textId="0EB015D1"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21</w:t>
      </w:r>
      <w:r w:rsidRPr="00736447">
        <w:rPr>
          <w:rFonts w:asciiTheme="majorHAnsi" w:hAnsiTheme="majorHAnsi"/>
          <w:sz w:val="16"/>
          <w:szCs w:val="16"/>
        </w:rPr>
        <w:t xml:space="preserve">. National Assembly (Press </w:t>
      </w:r>
      <w:r>
        <w:rPr>
          <w:rFonts w:asciiTheme="majorHAnsi" w:hAnsiTheme="majorHAnsi"/>
          <w:sz w:val="16"/>
          <w:szCs w:val="16"/>
        </w:rPr>
        <w:t>Release</w:t>
      </w:r>
      <w:r w:rsidRPr="00736447">
        <w:rPr>
          <w:rFonts w:asciiTheme="majorHAnsi" w:hAnsiTheme="majorHAnsi"/>
          <w:sz w:val="16"/>
          <w:szCs w:val="16"/>
        </w:rPr>
        <w:t>), “President of the Institution reported: Youths of INAM burned themselves” (10.8.2005). Annex U2 to the original petition.</w:t>
      </w:r>
    </w:p>
  </w:footnote>
  <w:footnote w:id="38">
    <w:p w14:paraId="2355C29C" w14:textId="35EFCB36"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18</w:t>
      </w:r>
      <w:r w:rsidRPr="00736447">
        <w:rPr>
          <w:rFonts w:asciiTheme="majorHAnsi" w:hAnsiTheme="majorHAnsi"/>
          <w:sz w:val="16"/>
          <w:szCs w:val="16"/>
        </w:rPr>
        <w:t>. Report of the National Council for the Rights of the Child and Adolescents, July 2005. Annex P to the original petition.</w:t>
      </w:r>
    </w:p>
  </w:footnote>
  <w:footnote w:id="39">
    <w:p w14:paraId="3BDE7DED" w14:textId="30938462"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Art. 641. Detention of Adolescents Reaching the Age of 18.</w:t>
      </w:r>
    </w:p>
  </w:footnote>
  <w:footnote w:id="40">
    <w:p w14:paraId="5F3BE4E1" w14:textId="4402F78D"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22</w:t>
      </w:r>
      <w:r w:rsidRPr="00736447">
        <w:rPr>
          <w:rFonts w:asciiTheme="majorHAnsi" w:hAnsiTheme="majorHAnsi"/>
          <w:sz w:val="16"/>
          <w:szCs w:val="16"/>
        </w:rPr>
        <w:t xml:space="preserve">. Letter of Nerio Romero a Hilda María Arteaga, Prosecutor (19.10.2004). Annex 05 to the additional brief; Annex </w:t>
      </w:r>
      <w:r>
        <w:rPr>
          <w:rFonts w:asciiTheme="majorHAnsi" w:hAnsiTheme="majorHAnsi"/>
          <w:sz w:val="16"/>
          <w:szCs w:val="16"/>
        </w:rPr>
        <w:t>23</w:t>
      </w:r>
      <w:r w:rsidRPr="00736447">
        <w:rPr>
          <w:rFonts w:asciiTheme="majorHAnsi" w:hAnsiTheme="majorHAnsi"/>
          <w:sz w:val="16"/>
          <w:szCs w:val="16"/>
        </w:rPr>
        <w:t xml:space="preserve">. Letter of José Gregorio Arteaga, Director of the INAM-San Félix, to </w:t>
      </w:r>
      <w:proofErr w:type="spellStart"/>
      <w:r w:rsidRPr="00736447">
        <w:rPr>
          <w:rFonts w:asciiTheme="majorHAnsi" w:hAnsiTheme="majorHAnsi"/>
          <w:sz w:val="16"/>
          <w:szCs w:val="16"/>
        </w:rPr>
        <w:t>Damelis</w:t>
      </w:r>
      <w:proofErr w:type="spellEnd"/>
      <w:r w:rsidRPr="00736447">
        <w:rPr>
          <w:rFonts w:asciiTheme="majorHAnsi" w:hAnsiTheme="majorHAnsi"/>
          <w:sz w:val="16"/>
          <w:szCs w:val="16"/>
        </w:rPr>
        <w:t xml:space="preserve"> </w:t>
      </w:r>
      <w:proofErr w:type="spellStart"/>
      <w:r w:rsidRPr="00736447">
        <w:rPr>
          <w:rFonts w:asciiTheme="majorHAnsi" w:hAnsiTheme="majorHAnsi"/>
          <w:sz w:val="16"/>
          <w:szCs w:val="16"/>
        </w:rPr>
        <w:t>Villalba</w:t>
      </w:r>
      <w:proofErr w:type="spellEnd"/>
      <w:r w:rsidRPr="00736447">
        <w:rPr>
          <w:rFonts w:asciiTheme="majorHAnsi" w:hAnsiTheme="majorHAnsi"/>
          <w:sz w:val="16"/>
          <w:szCs w:val="16"/>
        </w:rPr>
        <w:t xml:space="preserve">, Enforcement Judge (27.2.2004). Annex 04 to the additional brief; </w:t>
      </w:r>
      <w:r w:rsidRPr="00736447">
        <w:rPr>
          <w:rFonts w:asciiTheme="majorHAnsi" w:hAnsiTheme="majorHAnsi"/>
          <w:i/>
          <w:sz w:val="16"/>
          <w:szCs w:val="16"/>
        </w:rPr>
        <w:t>see also</w:t>
      </w:r>
      <w:r w:rsidRPr="00736447">
        <w:rPr>
          <w:rFonts w:asciiTheme="majorHAnsi" w:hAnsiTheme="majorHAnsi"/>
          <w:sz w:val="16"/>
          <w:szCs w:val="16"/>
        </w:rPr>
        <w:t xml:space="preserve"> Annex </w:t>
      </w:r>
      <w:r>
        <w:rPr>
          <w:rFonts w:asciiTheme="majorHAnsi" w:hAnsiTheme="majorHAnsi"/>
          <w:sz w:val="16"/>
          <w:szCs w:val="16"/>
        </w:rPr>
        <w:t>24</w:t>
      </w:r>
      <w:r w:rsidRPr="00736447">
        <w:rPr>
          <w:rFonts w:asciiTheme="majorHAnsi" w:hAnsiTheme="majorHAnsi"/>
          <w:sz w:val="16"/>
          <w:szCs w:val="16"/>
        </w:rPr>
        <w:t xml:space="preserve">. Statement of </w:t>
      </w:r>
      <w:proofErr w:type="spellStart"/>
      <w:r w:rsidRPr="00736447">
        <w:rPr>
          <w:rFonts w:asciiTheme="majorHAnsi" w:hAnsiTheme="majorHAnsi"/>
          <w:sz w:val="16"/>
          <w:szCs w:val="16"/>
        </w:rPr>
        <w:t>Yolaiza</w:t>
      </w:r>
      <w:proofErr w:type="spellEnd"/>
      <w:r w:rsidRPr="00736447">
        <w:rPr>
          <w:rFonts w:asciiTheme="majorHAnsi" w:hAnsiTheme="majorHAnsi"/>
          <w:sz w:val="16"/>
          <w:szCs w:val="16"/>
        </w:rPr>
        <w:t xml:space="preserve"> Boada (31.8.2005). Annex 14 to the additional brief.</w:t>
      </w:r>
    </w:p>
  </w:footnote>
  <w:footnote w:id="41">
    <w:p w14:paraId="59FD112D" w14:textId="47AEB33D"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24</w:t>
      </w:r>
      <w:r w:rsidRPr="00736447">
        <w:rPr>
          <w:rFonts w:asciiTheme="majorHAnsi" w:hAnsiTheme="majorHAnsi"/>
          <w:sz w:val="16"/>
          <w:szCs w:val="16"/>
        </w:rPr>
        <w:t xml:space="preserve">. Statement of </w:t>
      </w:r>
      <w:proofErr w:type="spellStart"/>
      <w:r w:rsidRPr="00736447">
        <w:rPr>
          <w:rFonts w:asciiTheme="majorHAnsi" w:hAnsiTheme="majorHAnsi"/>
          <w:sz w:val="16"/>
          <w:szCs w:val="16"/>
        </w:rPr>
        <w:t>Yolaiza</w:t>
      </w:r>
      <w:proofErr w:type="spellEnd"/>
      <w:r w:rsidRPr="00736447">
        <w:rPr>
          <w:rFonts w:asciiTheme="majorHAnsi" w:hAnsiTheme="majorHAnsi"/>
          <w:sz w:val="16"/>
          <w:szCs w:val="16"/>
        </w:rPr>
        <w:t xml:space="preserve"> Boada (31.8.2005). Annex 14 to the additional brief; </w:t>
      </w:r>
      <w:r w:rsidRPr="00736447">
        <w:rPr>
          <w:rFonts w:asciiTheme="majorHAnsi" w:hAnsiTheme="majorHAnsi"/>
          <w:i/>
          <w:sz w:val="16"/>
          <w:szCs w:val="16"/>
        </w:rPr>
        <w:t>see also</w:t>
      </w:r>
      <w:r w:rsidRPr="00736447">
        <w:rPr>
          <w:rFonts w:asciiTheme="majorHAnsi" w:hAnsiTheme="majorHAnsi"/>
          <w:sz w:val="16"/>
          <w:szCs w:val="16"/>
        </w:rPr>
        <w:t xml:space="preserve"> Annex </w:t>
      </w:r>
      <w:r>
        <w:rPr>
          <w:rFonts w:asciiTheme="majorHAnsi" w:hAnsiTheme="majorHAnsi"/>
          <w:sz w:val="16"/>
          <w:szCs w:val="16"/>
        </w:rPr>
        <w:t>11</w:t>
      </w:r>
      <w:r w:rsidRPr="00736447">
        <w:rPr>
          <w:rFonts w:asciiTheme="majorHAnsi" w:hAnsiTheme="majorHAnsi"/>
          <w:sz w:val="16"/>
          <w:szCs w:val="16"/>
        </w:rPr>
        <w:t>.</w:t>
      </w:r>
    </w:p>
  </w:footnote>
  <w:footnote w:id="42">
    <w:p w14:paraId="1F58FC88" w14:textId="25E27042"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21</w:t>
      </w:r>
      <w:r w:rsidRPr="00736447">
        <w:rPr>
          <w:rFonts w:asciiTheme="majorHAnsi" w:hAnsiTheme="majorHAnsi"/>
          <w:sz w:val="16"/>
          <w:szCs w:val="16"/>
        </w:rPr>
        <w:t xml:space="preserve">. National Assembly (Press </w:t>
      </w:r>
      <w:r>
        <w:rPr>
          <w:rFonts w:asciiTheme="majorHAnsi" w:hAnsiTheme="majorHAnsi"/>
          <w:sz w:val="16"/>
          <w:szCs w:val="16"/>
        </w:rPr>
        <w:t>Release</w:t>
      </w:r>
      <w:r w:rsidRPr="00736447">
        <w:rPr>
          <w:rFonts w:asciiTheme="majorHAnsi" w:hAnsiTheme="majorHAnsi"/>
          <w:sz w:val="16"/>
          <w:szCs w:val="16"/>
        </w:rPr>
        <w:t xml:space="preserve">), “President of the Institution reported: Youths of INAM burned themselves” (10.8.2005). Annex U2 to the original petition; </w:t>
      </w:r>
      <w:r w:rsidRPr="00736447">
        <w:rPr>
          <w:rFonts w:asciiTheme="majorHAnsi" w:hAnsiTheme="majorHAnsi"/>
          <w:i/>
          <w:sz w:val="16"/>
          <w:szCs w:val="16"/>
        </w:rPr>
        <w:t>see also</w:t>
      </w:r>
      <w:r w:rsidRPr="00736447">
        <w:rPr>
          <w:rFonts w:asciiTheme="majorHAnsi" w:hAnsiTheme="majorHAnsi"/>
          <w:sz w:val="16"/>
          <w:szCs w:val="16"/>
        </w:rPr>
        <w:t xml:space="preserve"> Annex </w:t>
      </w:r>
      <w:r>
        <w:rPr>
          <w:rFonts w:asciiTheme="majorHAnsi" w:hAnsiTheme="majorHAnsi"/>
          <w:sz w:val="16"/>
          <w:szCs w:val="16"/>
        </w:rPr>
        <w:t>25</w:t>
      </w:r>
      <w:r w:rsidRPr="00736447">
        <w:rPr>
          <w:rFonts w:asciiTheme="majorHAnsi" w:hAnsiTheme="majorHAnsi"/>
          <w:sz w:val="16"/>
          <w:szCs w:val="16"/>
        </w:rPr>
        <w:t>. Letter of José Gregorio Arteaga, Director of the INAM-San Félix, to Hilda Arteaga, Prosecutor (17.2.2004). Annex C1 to the original petition.</w:t>
      </w:r>
    </w:p>
  </w:footnote>
  <w:footnote w:id="43">
    <w:p w14:paraId="1AD28905" w14:textId="4D898183"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cstheme="minorHAnsi"/>
          <w:sz w:val="16"/>
          <w:szCs w:val="16"/>
        </w:rPr>
        <w:footnoteRef/>
      </w:r>
      <w:r w:rsidRPr="00736447">
        <w:rPr>
          <w:rFonts w:asciiTheme="majorHAnsi" w:hAnsiTheme="majorHAnsi" w:cstheme="minorHAnsi"/>
          <w:sz w:val="16"/>
          <w:szCs w:val="16"/>
        </w:rPr>
        <w:t xml:space="preserve"> Annex </w:t>
      </w:r>
      <w:r>
        <w:rPr>
          <w:rFonts w:asciiTheme="majorHAnsi" w:hAnsiTheme="majorHAnsi" w:cstheme="minorHAnsi"/>
          <w:sz w:val="16"/>
          <w:szCs w:val="16"/>
        </w:rPr>
        <w:t>26</w:t>
      </w:r>
      <w:r w:rsidRPr="00736447">
        <w:rPr>
          <w:rFonts w:asciiTheme="majorHAnsi" w:hAnsiTheme="majorHAnsi" w:cstheme="minorHAnsi"/>
          <w:sz w:val="16"/>
          <w:szCs w:val="16"/>
        </w:rPr>
        <w:t>. Statement of Francisco Gómez (8.8.2005). Annex 31 to the additional brief.</w:t>
      </w:r>
    </w:p>
  </w:footnote>
  <w:footnote w:id="44">
    <w:p w14:paraId="4F4A7341" w14:textId="6CC6C0FA"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11</w:t>
      </w:r>
      <w:r w:rsidRPr="00736447">
        <w:rPr>
          <w:rFonts w:asciiTheme="majorHAnsi" w:hAnsiTheme="majorHAnsi"/>
          <w:sz w:val="16"/>
          <w:szCs w:val="16"/>
        </w:rPr>
        <w:t>. Statement of Fanny Ricardo (5.8.2005). Annex 02 to the additional brief.</w:t>
      </w:r>
    </w:p>
  </w:footnote>
  <w:footnote w:id="45">
    <w:p w14:paraId="184E8EF8" w14:textId="14BC6D5E"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24</w:t>
      </w:r>
      <w:r w:rsidRPr="00736447">
        <w:rPr>
          <w:rFonts w:asciiTheme="majorHAnsi" w:hAnsiTheme="majorHAnsi"/>
          <w:sz w:val="16"/>
          <w:szCs w:val="16"/>
        </w:rPr>
        <w:t xml:space="preserve">. Statement of </w:t>
      </w:r>
      <w:proofErr w:type="spellStart"/>
      <w:r w:rsidRPr="00736447">
        <w:rPr>
          <w:rFonts w:asciiTheme="majorHAnsi" w:hAnsiTheme="majorHAnsi"/>
          <w:sz w:val="16"/>
          <w:szCs w:val="16"/>
        </w:rPr>
        <w:t>Yolaiza</w:t>
      </w:r>
      <w:proofErr w:type="spellEnd"/>
      <w:r w:rsidRPr="00736447">
        <w:rPr>
          <w:rFonts w:asciiTheme="majorHAnsi" w:hAnsiTheme="majorHAnsi"/>
          <w:sz w:val="16"/>
          <w:szCs w:val="16"/>
        </w:rPr>
        <w:t xml:space="preserve"> Boada (31.8.2005). Annex 14 to the additional brief</w:t>
      </w:r>
      <w:r w:rsidRPr="00736447">
        <w:rPr>
          <w:rFonts w:asciiTheme="majorHAnsi" w:eastAsia="Cambria" w:hAnsiTheme="majorHAnsi" w:cs="Cambria"/>
          <w:sz w:val="16"/>
          <w:szCs w:val="16"/>
        </w:rPr>
        <w:t>.</w:t>
      </w:r>
    </w:p>
  </w:footnote>
  <w:footnote w:id="46">
    <w:p w14:paraId="4C00C515" w14:textId="24D88908"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BE64BA">
        <w:rPr>
          <w:rFonts w:asciiTheme="majorHAnsi" w:hAnsiTheme="majorHAnsi"/>
          <w:sz w:val="16"/>
          <w:szCs w:val="16"/>
          <w:lang w:val="es-US"/>
        </w:rPr>
        <w:t xml:space="preserve"> </w:t>
      </w:r>
      <w:proofErr w:type="spellStart"/>
      <w:r w:rsidRPr="00BE64BA">
        <w:rPr>
          <w:rFonts w:asciiTheme="majorHAnsi" w:hAnsiTheme="majorHAnsi"/>
          <w:sz w:val="16"/>
          <w:szCs w:val="16"/>
          <w:lang w:val="es-US"/>
        </w:rPr>
        <w:t>Annex</w:t>
      </w:r>
      <w:proofErr w:type="spellEnd"/>
      <w:r w:rsidRPr="00BE64BA">
        <w:rPr>
          <w:rFonts w:asciiTheme="majorHAnsi" w:hAnsiTheme="majorHAnsi"/>
          <w:sz w:val="16"/>
          <w:szCs w:val="16"/>
          <w:lang w:val="es-US"/>
        </w:rPr>
        <w:t xml:space="preserve"> </w:t>
      </w:r>
      <w:r>
        <w:rPr>
          <w:rFonts w:asciiTheme="majorHAnsi" w:hAnsiTheme="majorHAnsi"/>
          <w:sz w:val="16"/>
          <w:szCs w:val="16"/>
          <w:lang w:val="es-US"/>
        </w:rPr>
        <w:t>27</w:t>
      </w:r>
      <w:r w:rsidRPr="00BE64BA">
        <w:rPr>
          <w:rFonts w:asciiTheme="majorHAnsi" w:hAnsiTheme="majorHAnsi"/>
          <w:sz w:val="16"/>
          <w:szCs w:val="16"/>
          <w:lang w:val="es-US"/>
        </w:rPr>
        <w:t xml:space="preserve">. </w:t>
      </w:r>
      <w:r w:rsidRPr="00BE64BA">
        <w:rPr>
          <w:rFonts w:asciiTheme="majorHAnsi" w:hAnsiTheme="majorHAnsi"/>
          <w:i/>
          <w:sz w:val="16"/>
          <w:szCs w:val="16"/>
          <w:lang w:val="es-US"/>
        </w:rPr>
        <w:t xml:space="preserve">El </w:t>
      </w:r>
      <w:proofErr w:type="spellStart"/>
      <w:r w:rsidRPr="00BE64BA">
        <w:rPr>
          <w:rFonts w:asciiTheme="majorHAnsi" w:hAnsiTheme="majorHAnsi"/>
          <w:i/>
          <w:sz w:val="16"/>
          <w:szCs w:val="16"/>
          <w:lang w:val="es-US"/>
        </w:rPr>
        <w:t>Guayanes</w:t>
      </w:r>
      <w:proofErr w:type="spellEnd"/>
      <w:r w:rsidRPr="00BE64BA">
        <w:rPr>
          <w:rFonts w:asciiTheme="majorHAnsi" w:hAnsiTheme="majorHAnsi"/>
          <w:sz w:val="16"/>
          <w:szCs w:val="16"/>
          <w:lang w:val="es-US"/>
        </w:rPr>
        <w:t>, “</w:t>
      </w:r>
      <w:r w:rsidRPr="00BE64BA">
        <w:rPr>
          <w:rFonts w:asciiTheme="majorHAnsi" w:hAnsiTheme="majorHAnsi"/>
          <w:i/>
          <w:sz w:val="16"/>
          <w:szCs w:val="16"/>
          <w:lang w:val="es-US"/>
        </w:rPr>
        <w:t xml:space="preserve">Familiares de los muchachos quemados habrían pagado por mantenerlos en el </w:t>
      </w:r>
      <w:proofErr w:type="spellStart"/>
      <w:r w:rsidRPr="00BE64BA">
        <w:rPr>
          <w:rFonts w:asciiTheme="majorHAnsi" w:hAnsiTheme="majorHAnsi"/>
          <w:i/>
          <w:sz w:val="16"/>
          <w:szCs w:val="16"/>
          <w:lang w:val="es-US"/>
        </w:rPr>
        <w:t>Inam</w:t>
      </w:r>
      <w:proofErr w:type="spellEnd"/>
      <w:r w:rsidRPr="00BE64BA">
        <w:rPr>
          <w:rFonts w:asciiTheme="majorHAnsi" w:hAnsiTheme="majorHAnsi"/>
          <w:sz w:val="16"/>
          <w:szCs w:val="16"/>
          <w:lang w:val="es-US"/>
        </w:rPr>
        <w:t xml:space="preserve">” (20.7.2005). </w:t>
      </w:r>
      <w:r w:rsidRPr="00736447">
        <w:rPr>
          <w:rFonts w:asciiTheme="majorHAnsi" w:hAnsiTheme="majorHAnsi"/>
          <w:sz w:val="16"/>
          <w:szCs w:val="16"/>
        </w:rPr>
        <w:t>Annex to the original petition.</w:t>
      </w:r>
    </w:p>
  </w:footnote>
  <w:footnote w:id="47">
    <w:p w14:paraId="09B95956" w14:textId="7879C38A"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28</w:t>
      </w:r>
      <w:r w:rsidRPr="00736447">
        <w:rPr>
          <w:rFonts w:asciiTheme="majorHAnsi" w:hAnsiTheme="majorHAnsi"/>
          <w:sz w:val="16"/>
          <w:szCs w:val="16"/>
        </w:rPr>
        <w:t xml:space="preserve">. Letter of </w:t>
      </w:r>
      <w:proofErr w:type="spellStart"/>
      <w:r w:rsidRPr="00736447">
        <w:rPr>
          <w:rFonts w:asciiTheme="majorHAnsi" w:hAnsiTheme="majorHAnsi"/>
          <w:sz w:val="16"/>
          <w:szCs w:val="16"/>
        </w:rPr>
        <w:t>Yolaiza</w:t>
      </w:r>
      <w:proofErr w:type="spellEnd"/>
      <w:r w:rsidRPr="00736447">
        <w:rPr>
          <w:rFonts w:asciiTheme="majorHAnsi" w:hAnsiTheme="majorHAnsi"/>
          <w:sz w:val="16"/>
          <w:szCs w:val="16"/>
        </w:rPr>
        <w:t xml:space="preserve"> Boada </w:t>
      </w:r>
      <w:r>
        <w:rPr>
          <w:rFonts w:asciiTheme="majorHAnsi" w:hAnsiTheme="majorHAnsi"/>
          <w:sz w:val="16"/>
          <w:szCs w:val="16"/>
        </w:rPr>
        <w:t>to</w:t>
      </w:r>
      <w:r w:rsidRPr="00736447">
        <w:rPr>
          <w:rFonts w:asciiTheme="majorHAnsi" w:hAnsiTheme="majorHAnsi"/>
          <w:sz w:val="16"/>
          <w:szCs w:val="16"/>
        </w:rPr>
        <w:t xml:space="preserve"> Director of INAM-San Félix (20.4.2005). Annex E1 to the original petition; Annex </w:t>
      </w:r>
      <w:r>
        <w:rPr>
          <w:rFonts w:asciiTheme="majorHAnsi" w:hAnsiTheme="majorHAnsi"/>
          <w:sz w:val="16"/>
          <w:szCs w:val="16"/>
        </w:rPr>
        <w:t>29</w:t>
      </w:r>
      <w:r w:rsidRPr="00736447">
        <w:rPr>
          <w:rFonts w:asciiTheme="majorHAnsi" w:hAnsiTheme="majorHAnsi"/>
          <w:sz w:val="16"/>
          <w:szCs w:val="16"/>
        </w:rPr>
        <w:t xml:space="preserve">. Minutes of the Hearing (21.4.2005). Annex E2 to the original petition; Annex </w:t>
      </w:r>
      <w:r>
        <w:rPr>
          <w:rFonts w:asciiTheme="majorHAnsi" w:hAnsiTheme="majorHAnsi"/>
          <w:sz w:val="16"/>
          <w:szCs w:val="16"/>
        </w:rPr>
        <w:t>24</w:t>
      </w:r>
      <w:r w:rsidRPr="00736447">
        <w:rPr>
          <w:rFonts w:asciiTheme="majorHAnsi" w:hAnsiTheme="majorHAnsi"/>
          <w:sz w:val="16"/>
          <w:szCs w:val="16"/>
        </w:rPr>
        <w:t xml:space="preserve">. Statement of </w:t>
      </w:r>
      <w:proofErr w:type="spellStart"/>
      <w:r w:rsidRPr="00736447">
        <w:rPr>
          <w:rFonts w:asciiTheme="majorHAnsi" w:hAnsiTheme="majorHAnsi"/>
          <w:sz w:val="16"/>
          <w:szCs w:val="16"/>
        </w:rPr>
        <w:t>Yolaiza</w:t>
      </w:r>
      <w:proofErr w:type="spellEnd"/>
      <w:r w:rsidRPr="00736447">
        <w:rPr>
          <w:rFonts w:asciiTheme="majorHAnsi" w:hAnsiTheme="majorHAnsi"/>
          <w:sz w:val="16"/>
          <w:szCs w:val="16"/>
        </w:rPr>
        <w:t xml:space="preserve"> Boada (31.8.2005). Annex 14 to the additional brief.</w:t>
      </w:r>
    </w:p>
  </w:footnote>
  <w:footnote w:id="48">
    <w:p w14:paraId="66345407" w14:textId="7133951F"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11</w:t>
      </w:r>
      <w:r w:rsidRPr="00736447">
        <w:rPr>
          <w:rFonts w:asciiTheme="majorHAnsi" w:hAnsiTheme="majorHAnsi"/>
          <w:sz w:val="16"/>
          <w:szCs w:val="16"/>
        </w:rPr>
        <w:t>. Statement of Fanny Ricardo (5.8.2005). Annex 02 to the additional brief.</w:t>
      </w:r>
    </w:p>
  </w:footnote>
  <w:footnote w:id="49">
    <w:p w14:paraId="6EE1C84F" w14:textId="009823F0"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21</w:t>
      </w:r>
      <w:r w:rsidRPr="00736447">
        <w:rPr>
          <w:rFonts w:asciiTheme="majorHAnsi" w:hAnsiTheme="majorHAnsi"/>
          <w:sz w:val="16"/>
          <w:szCs w:val="16"/>
        </w:rPr>
        <w:t xml:space="preserve">. National Assembly (Press </w:t>
      </w:r>
      <w:r>
        <w:rPr>
          <w:rFonts w:asciiTheme="majorHAnsi" w:hAnsiTheme="majorHAnsi"/>
          <w:sz w:val="16"/>
          <w:szCs w:val="16"/>
        </w:rPr>
        <w:t>Release</w:t>
      </w:r>
      <w:r w:rsidRPr="00736447">
        <w:rPr>
          <w:rFonts w:asciiTheme="majorHAnsi" w:hAnsiTheme="majorHAnsi"/>
          <w:sz w:val="16"/>
          <w:szCs w:val="16"/>
        </w:rPr>
        <w:t>), “President of the Institution reported: Youths of INAM burned themselves” (10.8.2005). Annex U2 to the original petition.</w:t>
      </w:r>
    </w:p>
  </w:footnote>
  <w:footnote w:id="50">
    <w:p w14:paraId="58A92D21" w14:textId="2DA87514"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24</w:t>
      </w:r>
      <w:r w:rsidRPr="00736447">
        <w:rPr>
          <w:rFonts w:asciiTheme="majorHAnsi" w:hAnsiTheme="majorHAnsi"/>
          <w:sz w:val="16"/>
          <w:szCs w:val="16"/>
        </w:rPr>
        <w:t xml:space="preserve">. Statement of </w:t>
      </w:r>
      <w:proofErr w:type="spellStart"/>
      <w:r w:rsidRPr="00736447">
        <w:rPr>
          <w:rFonts w:asciiTheme="majorHAnsi" w:hAnsiTheme="majorHAnsi"/>
          <w:sz w:val="16"/>
          <w:szCs w:val="16"/>
        </w:rPr>
        <w:t>Yolaiza</w:t>
      </w:r>
      <w:proofErr w:type="spellEnd"/>
      <w:r w:rsidRPr="00736447">
        <w:rPr>
          <w:rFonts w:asciiTheme="majorHAnsi" w:hAnsiTheme="majorHAnsi"/>
          <w:sz w:val="16"/>
          <w:szCs w:val="16"/>
        </w:rPr>
        <w:t xml:space="preserve"> Boada (31.8.2005). Annex 14 to the additional brief. </w:t>
      </w:r>
      <w:r w:rsidRPr="00736447">
        <w:rPr>
          <w:rFonts w:asciiTheme="majorHAnsi" w:hAnsiTheme="majorHAnsi"/>
          <w:i/>
          <w:sz w:val="16"/>
          <w:szCs w:val="16"/>
        </w:rPr>
        <w:t>See also</w:t>
      </w:r>
      <w:r w:rsidRPr="00736447">
        <w:rPr>
          <w:rFonts w:asciiTheme="majorHAnsi" w:hAnsiTheme="majorHAnsi"/>
          <w:sz w:val="16"/>
          <w:szCs w:val="16"/>
        </w:rPr>
        <w:t xml:space="preserve"> Annex </w:t>
      </w:r>
      <w:r>
        <w:rPr>
          <w:rFonts w:asciiTheme="majorHAnsi" w:hAnsiTheme="majorHAnsi"/>
          <w:sz w:val="16"/>
          <w:szCs w:val="16"/>
        </w:rPr>
        <w:t>30</w:t>
      </w:r>
      <w:r w:rsidRPr="00736447">
        <w:rPr>
          <w:rFonts w:asciiTheme="majorHAnsi" w:hAnsiTheme="majorHAnsi"/>
          <w:sz w:val="16"/>
          <w:szCs w:val="16"/>
        </w:rPr>
        <w:t xml:space="preserve">. Statement of Carlos </w:t>
      </w:r>
      <w:proofErr w:type="spellStart"/>
      <w:r w:rsidRPr="00736447">
        <w:rPr>
          <w:rFonts w:asciiTheme="majorHAnsi" w:hAnsiTheme="majorHAnsi"/>
          <w:sz w:val="16"/>
          <w:szCs w:val="16"/>
        </w:rPr>
        <w:t>Zabala</w:t>
      </w:r>
      <w:proofErr w:type="spellEnd"/>
      <w:r w:rsidRPr="00736447">
        <w:rPr>
          <w:rFonts w:asciiTheme="majorHAnsi" w:hAnsiTheme="majorHAnsi"/>
          <w:sz w:val="16"/>
          <w:szCs w:val="16"/>
        </w:rPr>
        <w:t xml:space="preserve"> (7.29.2005). Annex 37 to the additional brief; Annex </w:t>
      </w:r>
      <w:r>
        <w:rPr>
          <w:rFonts w:asciiTheme="majorHAnsi" w:hAnsiTheme="majorHAnsi"/>
          <w:sz w:val="16"/>
          <w:szCs w:val="16"/>
        </w:rPr>
        <w:t>31</w:t>
      </w:r>
      <w:r w:rsidRPr="00736447">
        <w:rPr>
          <w:rFonts w:asciiTheme="majorHAnsi" w:hAnsiTheme="majorHAnsi"/>
          <w:sz w:val="16"/>
          <w:szCs w:val="16"/>
        </w:rPr>
        <w:t>. Statement of José Alberto Lira (7.29.2005). Annex 17 to the additional brief.</w:t>
      </w:r>
    </w:p>
  </w:footnote>
  <w:footnote w:id="51">
    <w:p w14:paraId="56041FD4" w14:textId="72B37C22"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Pr>
          <w:rFonts w:asciiTheme="majorHAnsi" w:hAnsiTheme="majorHAnsi"/>
          <w:sz w:val="16"/>
          <w:szCs w:val="16"/>
        </w:rPr>
        <w:t xml:space="preserve"> Id.</w:t>
      </w:r>
      <w:r w:rsidRPr="00736447">
        <w:rPr>
          <w:rFonts w:asciiTheme="majorHAnsi" w:hAnsiTheme="majorHAnsi"/>
          <w:sz w:val="16"/>
          <w:szCs w:val="16"/>
        </w:rPr>
        <w:t xml:space="preserve"> </w:t>
      </w:r>
      <w:r w:rsidRPr="00736447">
        <w:rPr>
          <w:rFonts w:asciiTheme="majorHAnsi" w:hAnsiTheme="majorHAnsi"/>
          <w:i/>
          <w:sz w:val="16"/>
          <w:szCs w:val="16"/>
        </w:rPr>
        <w:t>See also</w:t>
      </w:r>
      <w:r w:rsidRPr="00736447">
        <w:rPr>
          <w:rFonts w:asciiTheme="majorHAnsi" w:hAnsiTheme="majorHAnsi"/>
          <w:sz w:val="16"/>
          <w:szCs w:val="16"/>
        </w:rPr>
        <w:t xml:space="preserve"> Annex </w:t>
      </w:r>
      <w:r>
        <w:rPr>
          <w:rFonts w:asciiTheme="majorHAnsi" w:hAnsiTheme="majorHAnsi"/>
          <w:sz w:val="16"/>
          <w:szCs w:val="16"/>
        </w:rPr>
        <w:t>30</w:t>
      </w:r>
      <w:r w:rsidRPr="00736447">
        <w:rPr>
          <w:rFonts w:asciiTheme="majorHAnsi" w:hAnsiTheme="majorHAnsi"/>
          <w:sz w:val="16"/>
          <w:szCs w:val="16"/>
        </w:rPr>
        <w:t>.</w:t>
      </w:r>
    </w:p>
  </w:footnote>
  <w:footnote w:id="52">
    <w:p w14:paraId="0C8C2B9E" w14:textId="632BFA83"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4B2B7B">
        <w:rPr>
          <w:rFonts w:asciiTheme="majorHAnsi" w:hAnsiTheme="majorHAnsi"/>
          <w:sz w:val="16"/>
          <w:szCs w:val="16"/>
        </w:rPr>
        <w:t xml:space="preserve"> Annex 32. </w:t>
      </w:r>
      <w:r w:rsidRPr="00BE64BA">
        <w:rPr>
          <w:rFonts w:asciiTheme="majorHAnsi" w:hAnsiTheme="majorHAnsi"/>
          <w:i/>
          <w:sz w:val="16"/>
          <w:szCs w:val="16"/>
          <w:lang w:val="es-US"/>
        </w:rPr>
        <w:t>Nueva Prensa</w:t>
      </w:r>
      <w:r w:rsidRPr="00BE64BA">
        <w:rPr>
          <w:rFonts w:asciiTheme="majorHAnsi" w:hAnsiTheme="majorHAnsi"/>
          <w:sz w:val="16"/>
          <w:szCs w:val="16"/>
          <w:lang w:val="es-US"/>
        </w:rPr>
        <w:t>, “</w:t>
      </w:r>
      <w:r w:rsidRPr="00BE64BA">
        <w:rPr>
          <w:rFonts w:asciiTheme="majorHAnsi" w:hAnsiTheme="majorHAnsi"/>
          <w:i/>
          <w:sz w:val="16"/>
          <w:szCs w:val="16"/>
          <w:lang w:val="es-US"/>
        </w:rPr>
        <w:t xml:space="preserve">Familiares de calcinados en </w:t>
      </w:r>
      <w:proofErr w:type="spellStart"/>
      <w:r w:rsidRPr="00BE64BA">
        <w:rPr>
          <w:rFonts w:asciiTheme="majorHAnsi" w:hAnsiTheme="majorHAnsi"/>
          <w:i/>
          <w:sz w:val="16"/>
          <w:szCs w:val="16"/>
          <w:lang w:val="es-US"/>
        </w:rPr>
        <w:t>Inam</w:t>
      </w:r>
      <w:proofErr w:type="spellEnd"/>
      <w:r w:rsidRPr="00BE64BA">
        <w:rPr>
          <w:rFonts w:asciiTheme="majorHAnsi" w:hAnsiTheme="majorHAnsi"/>
          <w:i/>
          <w:sz w:val="16"/>
          <w:szCs w:val="16"/>
          <w:lang w:val="es-US"/>
        </w:rPr>
        <w:t xml:space="preserve"> claman justicia ante la </w:t>
      </w:r>
      <w:r>
        <w:rPr>
          <w:rFonts w:asciiTheme="majorHAnsi" w:hAnsiTheme="majorHAnsi"/>
          <w:i/>
          <w:sz w:val="16"/>
          <w:szCs w:val="16"/>
          <w:lang w:val="es-US"/>
        </w:rPr>
        <w:t>Asamblea Nacional</w:t>
      </w:r>
      <w:r w:rsidRPr="00BE64BA">
        <w:rPr>
          <w:rFonts w:asciiTheme="majorHAnsi" w:hAnsiTheme="majorHAnsi"/>
          <w:sz w:val="16"/>
          <w:szCs w:val="16"/>
          <w:lang w:val="es-US"/>
        </w:rPr>
        <w:t xml:space="preserve">” (20.7.2005). </w:t>
      </w:r>
      <w:r w:rsidRPr="001A4533">
        <w:rPr>
          <w:rFonts w:asciiTheme="majorHAnsi" w:hAnsiTheme="majorHAnsi"/>
          <w:sz w:val="16"/>
          <w:szCs w:val="16"/>
        </w:rPr>
        <w:t xml:space="preserve">Annex to the original petition; Annex 33. </w:t>
      </w:r>
      <w:r w:rsidRPr="00736447">
        <w:rPr>
          <w:rFonts w:asciiTheme="majorHAnsi" w:hAnsiTheme="majorHAnsi"/>
          <w:sz w:val="16"/>
          <w:szCs w:val="16"/>
        </w:rPr>
        <w:t xml:space="preserve">Letter of María Carolina Pulido, Deputy Defender, to Víctor </w:t>
      </w:r>
      <w:proofErr w:type="spellStart"/>
      <w:r w:rsidRPr="00736447">
        <w:rPr>
          <w:rFonts w:asciiTheme="majorHAnsi" w:hAnsiTheme="majorHAnsi"/>
          <w:sz w:val="16"/>
          <w:szCs w:val="16"/>
        </w:rPr>
        <w:t>Sevilla</w:t>
      </w:r>
      <w:proofErr w:type="spellEnd"/>
      <w:r w:rsidRPr="00736447">
        <w:rPr>
          <w:rFonts w:asciiTheme="majorHAnsi" w:hAnsiTheme="majorHAnsi"/>
          <w:sz w:val="16"/>
          <w:szCs w:val="16"/>
        </w:rPr>
        <w:t>, Prosecutor (8.7.2005). Annex 16 to the additional brief.</w:t>
      </w:r>
    </w:p>
  </w:footnote>
  <w:footnote w:id="53">
    <w:p w14:paraId="68FF9239" w14:textId="4E930F2D" w:rsidR="00E966C2" w:rsidRPr="001A4533" w:rsidRDefault="00E966C2" w:rsidP="001A4533">
      <w:pPr>
        <w:pStyle w:val="FootnoteText"/>
        <w:jc w:val="both"/>
        <w:rPr>
          <w:rFonts w:asciiTheme="majorHAnsi" w:hAnsiTheme="majorHAnsi"/>
          <w:sz w:val="16"/>
          <w:szCs w:val="16"/>
          <w:lang w:val="es-US"/>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34</w:t>
      </w:r>
      <w:r w:rsidRPr="00736447">
        <w:rPr>
          <w:rFonts w:asciiTheme="majorHAnsi" w:hAnsiTheme="majorHAnsi"/>
          <w:sz w:val="16"/>
          <w:szCs w:val="16"/>
        </w:rPr>
        <w:t xml:space="preserve">. Brief by </w:t>
      </w:r>
      <w:proofErr w:type="spellStart"/>
      <w:r w:rsidRPr="00736447">
        <w:rPr>
          <w:rFonts w:asciiTheme="majorHAnsi" w:hAnsiTheme="majorHAnsi"/>
          <w:sz w:val="16"/>
          <w:szCs w:val="16"/>
        </w:rPr>
        <w:t>Nelys</w:t>
      </w:r>
      <w:proofErr w:type="spellEnd"/>
      <w:r w:rsidRPr="00736447">
        <w:rPr>
          <w:rFonts w:asciiTheme="majorHAnsi" w:hAnsiTheme="majorHAnsi"/>
          <w:sz w:val="16"/>
          <w:szCs w:val="16"/>
        </w:rPr>
        <w:t xml:space="preserve"> Correa before the General Prosecutor of the Republic and others (15.9.2005). Annex T1 to the original petition; Annex</w:t>
      </w:r>
      <w:r w:rsidRPr="00736447">
        <w:rPr>
          <w:rFonts w:asciiTheme="majorHAnsi" w:hAnsiTheme="majorHAnsi"/>
          <w:b/>
          <w:sz w:val="16"/>
          <w:szCs w:val="16"/>
        </w:rPr>
        <w:t xml:space="preserve"> </w:t>
      </w:r>
      <w:r>
        <w:rPr>
          <w:rFonts w:asciiTheme="majorHAnsi" w:hAnsiTheme="majorHAnsi"/>
          <w:sz w:val="16"/>
          <w:szCs w:val="16"/>
        </w:rPr>
        <w:t>35</w:t>
      </w:r>
      <w:r w:rsidRPr="00736447">
        <w:rPr>
          <w:rFonts w:asciiTheme="majorHAnsi" w:hAnsiTheme="majorHAnsi"/>
          <w:sz w:val="16"/>
          <w:szCs w:val="16"/>
        </w:rPr>
        <w:t xml:space="preserve">. Brief by Elvia de </w:t>
      </w:r>
      <w:proofErr w:type="spellStart"/>
      <w:r w:rsidRPr="00736447">
        <w:rPr>
          <w:rFonts w:asciiTheme="majorHAnsi" w:hAnsiTheme="majorHAnsi"/>
          <w:sz w:val="16"/>
          <w:szCs w:val="16"/>
        </w:rPr>
        <w:t>Jesús</w:t>
      </w:r>
      <w:proofErr w:type="spellEnd"/>
      <w:r w:rsidRPr="00736447">
        <w:rPr>
          <w:rFonts w:asciiTheme="majorHAnsi" w:hAnsiTheme="majorHAnsi"/>
          <w:sz w:val="16"/>
          <w:szCs w:val="16"/>
        </w:rPr>
        <w:t xml:space="preserve"> </w:t>
      </w:r>
      <w:proofErr w:type="spellStart"/>
      <w:r w:rsidRPr="00736447">
        <w:rPr>
          <w:rFonts w:asciiTheme="majorHAnsi" w:hAnsiTheme="majorHAnsi"/>
          <w:sz w:val="16"/>
          <w:szCs w:val="16"/>
        </w:rPr>
        <w:t>Abarullo</w:t>
      </w:r>
      <w:proofErr w:type="spellEnd"/>
      <w:r w:rsidRPr="00736447">
        <w:rPr>
          <w:rFonts w:asciiTheme="majorHAnsi" w:hAnsiTheme="majorHAnsi"/>
          <w:sz w:val="16"/>
          <w:szCs w:val="16"/>
        </w:rPr>
        <w:t xml:space="preserve"> de </w:t>
      </w:r>
      <w:proofErr w:type="spellStart"/>
      <w:r w:rsidRPr="00736447">
        <w:rPr>
          <w:rFonts w:asciiTheme="majorHAnsi" w:hAnsiTheme="majorHAnsi"/>
          <w:sz w:val="16"/>
          <w:szCs w:val="16"/>
        </w:rPr>
        <w:t>Mota</w:t>
      </w:r>
      <w:proofErr w:type="spellEnd"/>
      <w:r w:rsidRPr="00736447">
        <w:rPr>
          <w:rFonts w:asciiTheme="majorHAnsi" w:hAnsiTheme="majorHAnsi"/>
          <w:sz w:val="16"/>
          <w:szCs w:val="16"/>
        </w:rPr>
        <w:t xml:space="preserve"> to the Palace of </w:t>
      </w:r>
      <w:proofErr w:type="spellStart"/>
      <w:r w:rsidRPr="00736447">
        <w:rPr>
          <w:rFonts w:asciiTheme="majorHAnsi" w:hAnsiTheme="majorHAnsi"/>
          <w:sz w:val="16"/>
          <w:szCs w:val="16"/>
        </w:rPr>
        <w:t>Miraflores</w:t>
      </w:r>
      <w:proofErr w:type="spellEnd"/>
      <w:r w:rsidRPr="00736447">
        <w:rPr>
          <w:rFonts w:asciiTheme="majorHAnsi" w:hAnsiTheme="majorHAnsi"/>
          <w:sz w:val="16"/>
          <w:szCs w:val="16"/>
        </w:rPr>
        <w:t xml:space="preserve"> (15.9.2005). Annex T2</w:t>
      </w:r>
      <w:r w:rsidRPr="00736447">
        <w:rPr>
          <w:rFonts w:asciiTheme="majorHAnsi" w:hAnsiTheme="majorHAnsi"/>
          <w:b/>
          <w:sz w:val="16"/>
          <w:szCs w:val="16"/>
        </w:rPr>
        <w:t xml:space="preserve"> </w:t>
      </w:r>
      <w:r w:rsidRPr="00736447">
        <w:rPr>
          <w:rFonts w:asciiTheme="majorHAnsi" w:hAnsiTheme="majorHAnsi"/>
          <w:sz w:val="16"/>
          <w:szCs w:val="16"/>
        </w:rPr>
        <w:t xml:space="preserve">to the original petition; </w:t>
      </w:r>
      <w:r w:rsidRPr="00736447">
        <w:rPr>
          <w:rFonts w:asciiTheme="majorHAnsi" w:hAnsiTheme="majorHAnsi"/>
          <w:i/>
          <w:sz w:val="16"/>
          <w:szCs w:val="16"/>
        </w:rPr>
        <w:t xml:space="preserve">see also </w:t>
      </w:r>
      <w:r w:rsidRPr="00736447">
        <w:rPr>
          <w:rFonts w:asciiTheme="majorHAnsi" w:hAnsiTheme="majorHAnsi"/>
          <w:sz w:val="16"/>
          <w:szCs w:val="16"/>
        </w:rPr>
        <w:t xml:space="preserve">Annex </w:t>
      </w:r>
      <w:r>
        <w:rPr>
          <w:rFonts w:asciiTheme="majorHAnsi" w:hAnsiTheme="majorHAnsi"/>
          <w:sz w:val="16"/>
          <w:szCs w:val="16"/>
        </w:rPr>
        <w:t>36</w:t>
      </w:r>
      <w:r w:rsidRPr="00736447">
        <w:rPr>
          <w:rFonts w:asciiTheme="majorHAnsi" w:hAnsiTheme="majorHAnsi"/>
          <w:sz w:val="16"/>
          <w:szCs w:val="16"/>
        </w:rPr>
        <w:t xml:space="preserve">. </w:t>
      </w:r>
      <w:proofErr w:type="spellStart"/>
      <w:r w:rsidRPr="000E15DA">
        <w:rPr>
          <w:rFonts w:asciiTheme="majorHAnsi" w:hAnsiTheme="majorHAnsi"/>
          <w:i/>
          <w:sz w:val="16"/>
          <w:szCs w:val="16"/>
        </w:rPr>
        <w:t>Diario</w:t>
      </w:r>
      <w:proofErr w:type="spellEnd"/>
      <w:r w:rsidRPr="000E15DA">
        <w:rPr>
          <w:rFonts w:asciiTheme="majorHAnsi" w:hAnsiTheme="majorHAnsi"/>
          <w:i/>
          <w:sz w:val="16"/>
          <w:szCs w:val="16"/>
        </w:rPr>
        <w:t xml:space="preserve"> de </w:t>
      </w:r>
      <w:proofErr w:type="spellStart"/>
      <w:r w:rsidRPr="000E15DA">
        <w:rPr>
          <w:rFonts w:asciiTheme="majorHAnsi" w:hAnsiTheme="majorHAnsi"/>
          <w:i/>
          <w:sz w:val="16"/>
          <w:szCs w:val="16"/>
        </w:rPr>
        <w:t>Guayana</w:t>
      </w:r>
      <w:proofErr w:type="spellEnd"/>
      <w:r w:rsidRPr="000E15DA">
        <w:rPr>
          <w:rFonts w:asciiTheme="majorHAnsi" w:hAnsiTheme="majorHAnsi"/>
          <w:sz w:val="16"/>
          <w:szCs w:val="16"/>
        </w:rPr>
        <w:t>, “</w:t>
      </w:r>
      <w:proofErr w:type="spellStart"/>
      <w:r w:rsidRPr="000E15DA">
        <w:rPr>
          <w:rFonts w:asciiTheme="majorHAnsi" w:hAnsiTheme="majorHAnsi"/>
          <w:i/>
          <w:sz w:val="16"/>
          <w:szCs w:val="16"/>
        </w:rPr>
        <w:t>Ministerio</w:t>
      </w:r>
      <w:proofErr w:type="spellEnd"/>
      <w:r w:rsidRPr="000E15DA">
        <w:rPr>
          <w:rFonts w:asciiTheme="majorHAnsi" w:hAnsiTheme="majorHAnsi"/>
          <w:i/>
          <w:sz w:val="16"/>
          <w:szCs w:val="16"/>
        </w:rPr>
        <w:t xml:space="preserve"> </w:t>
      </w:r>
      <w:proofErr w:type="spellStart"/>
      <w:r w:rsidRPr="000E15DA">
        <w:rPr>
          <w:rFonts w:asciiTheme="majorHAnsi" w:hAnsiTheme="majorHAnsi"/>
          <w:i/>
          <w:sz w:val="16"/>
          <w:szCs w:val="16"/>
        </w:rPr>
        <w:t>Público</w:t>
      </w:r>
      <w:proofErr w:type="spellEnd"/>
      <w:r w:rsidRPr="000E15DA">
        <w:rPr>
          <w:rFonts w:asciiTheme="majorHAnsi" w:hAnsiTheme="majorHAnsi"/>
          <w:i/>
          <w:sz w:val="16"/>
          <w:szCs w:val="16"/>
        </w:rPr>
        <w:t xml:space="preserve"> </w:t>
      </w:r>
      <w:proofErr w:type="spellStart"/>
      <w:r w:rsidRPr="000E15DA">
        <w:rPr>
          <w:rFonts w:asciiTheme="majorHAnsi" w:hAnsiTheme="majorHAnsi"/>
          <w:i/>
          <w:sz w:val="16"/>
          <w:szCs w:val="16"/>
        </w:rPr>
        <w:t>citó</w:t>
      </w:r>
      <w:proofErr w:type="spellEnd"/>
      <w:r w:rsidRPr="000E15DA">
        <w:rPr>
          <w:rFonts w:asciiTheme="majorHAnsi" w:hAnsiTheme="majorHAnsi"/>
          <w:i/>
          <w:sz w:val="16"/>
          <w:szCs w:val="16"/>
        </w:rPr>
        <w:t xml:space="preserve"> </w:t>
      </w:r>
      <w:proofErr w:type="gramStart"/>
      <w:r w:rsidRPr="000E15DA">
        <w:rPr>
          <w:rFonts w:asciiTheme="majorHAnsi" w:hAnsiTheme="majorHAnsi"/>
          <w:i/>
          <w:sz w:val="16"/>
          <w:szCs w:val="16"/>
        </w:rPr>
        <w:t>a</w:t>
      </w:r>
      <w:proofErr w:type="gramEnd"/>
      <w:r w:rsidRPr="000E15DA">
        <w:rPr>
          <w:rFonts w:asciiTheme="majorHAnsi" w:hAnsiTheme="majorHAnsi"/>
          <w:i/>
          <w:sz w:val="16"/>
          <w:szCs w:val="16"/>
        </w:rPr>
        <w:t xml:space="preserve"> </w:t>
      </w:r>
      <w:proofErr w:type="spellStart"/>
      <w:r w:rsidRPr="000E15DA">
        <w:rPr>
          <w:rFonts w:asciiTheme="majorHAnsi" w:hAnsiTheme="majorHAnsi"/>
          <w:i/>
          <w:sz w:val="16"/>
          <w:szCs w:val="16"/>
        </w:rPr>
        <w:t>implicados</w:t>
      </w:r>
      <w:proofErr w:type="spellEnd"/>
      <w:r w:rsidRPr="000E15DA">
        <w:rPr>
          <w:rFonts w:asciiTheme="majorHAnsi" w:hAnsiTheme="majorHAnsi"/>
          <w:i/>
          <w:sz w:val="16"/>
          <w:szCs w:val="16"/>
        </w:rPr>
        <w:t xml:space="preserve"> </w:t>
      </w:r>
      <w:proofErr w:type="spellStart"/>
      <w:r w:rsidRPr="000E15DA">
        <w:rPr>
          <w:rFonts w:asciiTheme="majorHAnsi" w:hAnsiTheme="majorHAnsi"/>
          <w:i/>
          <w:sz w:val="16"/>
          <w:szCs w:val="16"/>
        </w:rPr>
        <w:t>en</w:t>
      </w:r>
      <w:proofErr w:type="spellEnd"/>
      <w:r w:rsidRPr="000E15DA">
        <w:rPr>
          <w:rFonts w:asciiTheme="majorHAnsi" w:hAnsiTheme="majorHAnsi"/>
          <w:i/>
          <w:sz w:val="16"/>
          <w:szCs w:val="16"/>
        </w:rPr>
        <w:t xml:space="preserve"> </w:t>
      </w:r>
      <w:proofErr w:type="spellStart"/>
      <w:r w:rsidRPr="000E15DA">
        <w:rPr>
          <w:rFonts w:asciiTheme="majorHAnsi" w:hAnsiTheme="majorHAnsi"/>
          <w:i/>
          <w:sz w:val="16"/>
          <w:szCs w:val="16"/>
        </w:rPr>
        <w:t>incendio</w:t>
      </w:r>
      <w:proofErr w:type="spellEnd"/>
      <w:r w:rsidRPr="000E15DA">
        <w:rPr>
          <w:rFonts w:asciiTheme="majorHAnsi" w:hAnsiTheme="majorHAnsi"/>
          <w:i/>
          <w:sz w:val="16"/>
          <w:szCs w:val="16"/>
        </w:rPr>
        <w:t xml:space="preserve"> of the INAM</w:t>
      </w:r>
      <w:r w:rsidRPr="000E15DA">
        <w:rPr>
          <w:rFonts w:asciiTheme="majorHAnsi" w:hAnsiTheme="majorHAnsi"/>
          <w:sz w:val="16"/>
          <w:szCs w:val="16"/>
        </w:rPr>
        <w:t xml:space="preserve">” (9.5.2006). </w:t>
      </w:r>
      <w:proofErr w:type="spellStart"/>
      <w:r w:rsidRPr="001A4533">
        <w:rPr>
          <w:rFonts w:asciiTheme="majorHAnsi" w:hAnsiTheme="majorHAnsi"/>
          <w:sz w:val="16"/>
          <w:szCs w:val="16"/>
          <w:lang w:val="es-US"/>
        </w:rPr>
        <w:t>Annex</w:t>
      </w:r>
      <w:proofErr w:type="spellEnd"/>
      <w:r w:rsidRPr="001A4533">
        <w:rPr>
          <w:rFonts w:asciiTheme="majorHAnsi" w:hAnsiTheme="majorHAnsi"/>
          <w:sz w:val="16"/>
          <w:szCs w:val="16"/>
          <w:lang w:val="es-US"/>
        </w:rPr>
        <w:t xml:space="preserve"> to the original </w:t>
      </w:r>
      <w:proofErr w:type="spellStart"/>
      <w:r w:rsidRPr="001A4533">
        <w:rPr>
          <w:rFonts w:asciiTheme="majorHAnsi" w:hAnsiTheme="majorHAnsi"/>
          <w:sz w:val="16"/>
          <w:szCs w:val="16"/>
          <w:lang w:val="es-US"/>
        </w:rPr>
        <w:t>petition</w:t>
      </w:r>
      <w:proofErr w:type="spellEnd"/>
      <w:r w:rsidRPr="001A4533">
        <w:rPr>
          <w:rFonts w:asciiTheme="majorHAnsi" w:hAnsiTheme="majorHAnsi"/>
          <w:sz w:val="16"/>
          <w:szCs w:val="16"/>
          <w:lang w:val="es-US"/>
        </w:rPr>
        <w:t>.</w:t>
      </w:r>
    </w:p>
  </w:footnote>
  <w:footnote w:id="54">
    <w:p w14:paraId="7C18D91C" w14:textId="160EDD80"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4B2B7B">
        <w:rPr>
          <w:rFonts w:asciiTheme="majorHAnsi" w:hAnsiTheme="majorHAnsi"/>
          <w:sz w:val="16"/>
          <w:szCs w:val="16"/>
          <w:lang w:val="es-US"/>
        </w:rPr>
        <w:t xml:space="preserve"> </w:t>
      </w:r>
      <w:proofErr w:type="spellStart"/>
      <w:r w:rsidRPr="004B2B7B">
        <w:rPr>
          <w:rFonts w:asciiTheme="majorHAnsi" w:hAnsiTheme="majorHAnsi"/>
          <w:sz w:val="16"/>
          <w:szCs w:val="16"/>
          <w:lang w:val="es-US"/>
        </w:rPr>
        <w:t>Annex</w:t>
      </w:r>
      <w:proofErr w:type="spellEnd"/>
      <w:r w:rsidRPr="004B2B7B">
        <w:rPr>
          <w:rFonts w:asciiTheme="majorHAnsi" w:hAnsiTheme="majorHAnsi"/>
          <w:sz w:val="16"/>
          <w:szCs w:val="16"/>
          <w:lang w:val="es-US"/>
        </w:rPr>
        <w:t xml:space="preserve"> 37. </w:t>
      </w:r>
      <w:r w:rsidRPr="00BE64BA">
        <w:rPr>
          <w:rFonts w:asciiTheme="majorHAnsi" w:hAnsiTheme="majorHAnsi"/>
          <w:i/>
          <w:sz w:val="16"/>
          <w:szCs w:val="16"/>
          <w:lang w:val="es-US"/>
        </w:rPr>
        <w:t>Correo del Caroní</w:t>
      </w:r>
      <w:r w:rsidRPr="00BE64BA">
        <w:rPr>
          <w:rFonts w:asciiTheme="majorHAnsi" w:hAnsiTheme="majorHAnsi"/>
          <w:sz w:val="16"/>
          <w:szCs w:val="16"/>
          <w:lang w:val="es-US"/>
        </w:rPr>
        <w:t>, “</w:t>
      </w:r>
      <w:r>
        <w:rPr>
          <w:rFonts w:asciiTheme="majorHAnsi" w:hAnsiTheme="majorHAnsi"/>
          <w:i/>
          <w:sz w:val="16"/>
          <w:szCs w:val="16"/>
          <w:lang w:val="es-US"/>
        </w:rPr>
        <w:t>Fiscalía</w:t>
      </w:r>
      <w:r w:rsidRPr="00BE64BA">
        <w:rPr>
          <w:rFonts w:asciiTheme="majorHAnsi" w:hAnsiTheme="majorHAnsi"/>
          <w:i/>
          <w:sz w:val="16"/>
          <w:szCs w:val="16"/>
          <w:lang w:val="es-US"/>
        </w:rPr>
        <w:t xml:space="preserve"> imputa por homicidio intencional a ex director </w:t>
      </w:r>
      <w:r>
        <w:rPr>
          <w:rFonts w:asciiTheme="majorHAnsi" w:hAnsiTheme="majorHAnsi"/>
          <w:i/>
          <w:sz w:val="16"/>
          <w:szCs w:val="16"/>
          <w:lang w:val="es-US"/>
        </w:rPr>
        <w:t xml:space="preserve">del </w:t>
      </w:r>
      <w:r w:rsidRPr="00BE64BA">
        <w:rPr>
          <w:rFonts w:asciiTheme="majorHAnsi" w:hAnsiTheme="majorHAnsi"/>
          <w:i/>
          <w:sz w:val="16"/>
          <w:szCs w:val="16"/>
          <w:lang w:val="es-US"/>
        </w:rPr>
        <w:t>INAM</w:t>
      </w:r>
      <w:r w:rsidRPr="00BE64BA">
        <w:rPr>
          <w:rFonts w:asciiTheme="majorHAnsi" w:hAnsiTheme="majorHAnsi"/>
          <w:sz w:val="16"/>
          <w:szCs w:val="16"/>
          <w:lang w:val="es-US"/>
        </w:rPr>
        <w:t xml:space="preserve">” (9.5.2006). </w:t>
      </w:r>
      <w:r w:rsidRPr="00736447">
        <w:rPr>
          <w:rFonts w:asciiTheme="majorHAnsi" w:hAnsiTheme="majorHAnsi"/>
          <w:sz w:val="16"/>
          <w:szCs w:val="16"/>
        </w:rPr>
        <w:t>Annex to the original petition.</w:t>
      </w:r>
    </w:p>
  </w:footnote>
  <w:footnote w:id="55">
    <w:p w14:paraId="730F3370" w14:textId="240B9DB6"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eastAsia="Cambria" w:hAnsiTheme="majorHAnsi" w:cs="Cambria"/>
          <w:sz w:val="16"/>
          <w:szCs w:val="16"/>
        </w:rPr>
        <w:t xml:space="preserve">Annex </w:t>
      </w:r>
      <w:r>
        <w:rPr>
          <w:rFonts w:asciiTheme="majorHAnsi" w:eastAsia="Cambria" w:hAnsiTheme="majorHAnsi" w:cs="Cambria"/>
          <w:sz w:val="16"/>
          <w:szCs w:val="16"/>
        </w:rPr>
        <w:t>38</w:t>
      </w:r>
      <w:r w:rsidRPr="00736447">
        <w:rPr>
          <w:rFonts w:asciiTheme="majorHAnsi" w:eastAsia="Cambria" w:hAnsiTheme="majorHAnsi" w:cs="Cambria"/>
          <w:sz w:val="16"/>
          <w:szCs w:val="16"/>
        </w:rPr>
        <w:t>. Personnel List of the INAM-San Félix and who was working on the day of the events. Annex F to the original petition.</w:t>
      </w:r>
    </w:p>
  </w:footnote>
  <w:footnote w:id="56">
    <w:p w14:paraId="6BD7229C" w14:textId="7F15CF37"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eastAsia="Cambria" w:hAnsiTheme="majorHAnsi" w:cs="Cambria"/>
          <w:sz w:val="16"/>
          <w:szCs w:val="16"/>
        </w:rPr>
        <w:t xml:space="preserve">Annex </w:t>
      </w:r>
      <w:r>
        <w:rPr>
          <w:rFonts w:asciiTheme="majorHAnsi" w:eastAsia="Cambria" w:hAnsiTheme="majorHAnsi" w:cs="Cambria"/>
          <w:sz w:val="16"/>
          <w:szCs w:val="16"/>
        </w:rPr>
        <w:t>38</w:t>
      </w:r>
      <w:r w:rsidRPr="00736447">
        <w:rPr>
          <w:rFonts w:asciiTheme="majorHAnsi" w:eastAsia="Cambria" w:hAnsiTheme="majorHAnsi" w:cs="Cambria"/>
          <w:sz w:val="16"/>
          <w:szCs w:val="16"/>
        </w:rPr>
        <w:t>. Personnel List of the INAM-San Félix and who was working on the day of the events. Annex F to the original petition</w:t>
      </w:r>
      <w:r w:rsidRPr="00736447">
        <w:rPr>
          <w:rFonts w:asciiTheme="majorHAnsi" w:hAnsiTheme="majorHAnsi"/>
          <w:sz w:val="16"/>
          <w:szCs w:val="16"/>
        </w:rPr>
        <w:t xml:space="preserve">; </w:t>
      </w:r>
      <w:r w:rsidRPr="00736447">
        <w:rPr>
          <w:rFonts w:asciiTheme="majorHAnsi" w:hAnsiTheme="majorHAnsi"/>
          <w:i/>
          <w:sz w:val="16"/>
          <w:szCs w:val="16"/>
        </w:rPr>
        <w:t xml:space="preserve">see also </w:t>
      </w:r>
      <w:r w:rsidRPr="00736447">
        <w:rPr>
          <w:rFonts w:asciiTheme="majorHAnsi" w:hAnsiTheme="majorHAnsi"/>
          <w:sz w:val="16"/>
          <w:szCs w:val="16"/>
        </w:rPr>
        <w:t xml:space="preserve">Annex </w:t>
      </w:r>
      <w:r>
        <w:rPr>
          <w:rFonts w:asciiTheme="majorHAnsi" w:hAnsiTheme="majorHAnsi"/>
          <w:sz w:val="16"/>
          <w:szCs w:val="16"/>
        </w:rPr>
        <w:t>39</w:t>
      </w:r>
      <w:r w:rsidRPr="00736447">
        <w:rPr>
          <w:rFonts w:asciiTheme="majorHAnsi" w:hAnsiTheme="majorHAnsi"/>
          <w:sz w:val="16"/>
          <w:szCs w:val="16"/>
        </w:rPr>
        <w:t>. Terms of reference for postings at the Centers for Attention and Treatment. Annexes K1-K5 to the original petition.</w:t>
      </w:r>
    </w:p>
  </w:footnote>
  <w:footnote w:id="57">
    <w:p w14:paraId="3020E4D0" w14:textId="691AAA9D" w:rsidR="00E966C2" w:rsidRPr="00736447" w:rsidRDefault="00E966C2" w:rsidP="001A4533">
      <w:pPr>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eastAsia="Cambria" w:hAnsiTheme="majorHAnsi" w:cs="Cambria"/>
          <w:sz w:val="16"/>
          <w:szCs w:val="16"/>
        </w:rPr>
        <w:t xml:space="preserve">Annex </w:t>
      </w:r>
      <w:r>
        <w:rPr>
          <w:rFonts w:asciiTheme="majorHAnsi" w:eastAsia="Cambria" w:hAnsiTheme="majorHAnsi" w:cs="Cambria"/>
          <w:sz w:val="16"/>
          <w:szCs w:val="16"/>
        </w:rPr>
        <w:t>38</w:t>
      </w:r>
      <w:r w:rsidRPr="00736447">
        <w:rPr>
          <w:rFonts w:asciiTheme="majorHAnsi" w:eastAsia="Cambria" w:hAnsiTheme="majorHAnsi" w:cs="Cambria"/>
          <w:sz w:val="16"/>
          <w:szCs w:val="16"/>
        </w:rPr>
        <w:t>. Personnel List of the INAM-San Félix and who was working on the day of the events. Annex F to the original petition</w:t>
      </w:r>
      <w:r w:rsidRPr="00736447">
        <w:rPr>
          <w:rFonts w:asciiTheme="majorHAnsi" w:eastAsia="Cambria" w:hAnsiTheme="majorHAnsi" w:cs="Cambria"/>
          <w:color w:val="000000"/>
          <w:sz w:val="16"/>
          <w:szCs w:val="16"/>
          <w:u w:color="000000"/>
          <w:lang w:eastAsia="es-ES"/>
        </w:rPr>
        <w:t>.</w:t>
      </w:r>
    </w:p>
  </w:footnote>
  <w:footnote w:id="58">
    <w:p w14:paraId="64BD1382" w14:textId="2796CD6F" w:rsidR="00E966C2" w:rsidRPr="00736447" w:rsidRDefault="00E966C2" w:rsidP="001A4533">
      <w:pPr>
        <w:jc w:val="both"/>
        <w:rPr>
          <w:rFonts w:asciiTheme="majorHAnsi" w:hAnsiTheme="majorHAnsi" w:cstheme="minorHAnsi"/>
          <w:sz w:val="16"/>
          <w:szCs w:val="16"/>
        </w:rPr>
      </w:pPr>
      <w:r w:rsidRPr="00736447">
        <w:rPr>
          <w:rStyle w:val="FootnoteReference"/>
          <w:rFonts w:asciiTheme="majorHAnsi" w:hAnsiTheme="majorHAnsi" w:cstheme="minorHAnsi"/>
          <w:sz w:val="16"/>
          <w:szCs w:val="16"/>
        </w:rPr>
        <w:footnoteRef/>
      </w:r>
      <w:r w:rsidRPr="00736447">
        <w:rPr>
          <w:rFonts w:asciiTheme="majorHAnsi" w:hAnsiTheme="majorHAnsi" w:cstheme="minorHAnsi"/>
          <w:sz w:val="16"/>
          <w:szCs w:val="16"/>
        </w:rPr>
        <w:t xml:space="preserve"> Annex </w:t>
      </w:r>
      <w:r>
        <w:rPr>
          <w:rFonts w:asciiTheme="majorHAnsi" w:hAnsiTheme="majorHAnsi" w:cstheme="minorHAnsi"/>
          <w:sz w:val="16"/>
          <w:szCs w:val="16"/>
        </w:rPr>
        <w:t>40</w:t>
      </w:r>
      <w:r w:rsidRPr="00736447">
        <w:rPr>
          <w:rFonts w:asciiTheme="majorHAnsi" w:hAnsiTheme="majorHAnsi" w:cstheme="minorHAnsi"/>
          <w:sz w:val="16"/>
          <w:szCs w:val="16"/>
        </w:rPr>
        <w:t xml:space="preserve">. Statement of José Luis </w:t>
      </w:r>
      <w:proofErr w:type="spellStart"/>
      <w:r w:rsidRPr="00736447">
        <w:rPr>
          <w:rFonts w:asciiTheme="majorHAnsi" w:hAnsiTheme="majorHAnsi" w:cstheme="minorHAnsi"/>
          <w:sz w:val="16"/>
          <w:szCs w:val="16"/>
        </w:rPr>
        <w:t>Chirinos</w:t>
      </w:r>
      <w:proofErr w:type="spellEnd"/>
      <w:r w:rsidRPr="00736447">
        <w:rPr>
          <w:rFonts w:asciiTheme="majorHAnsi" w:hAnsiTheme="majorHAnsi" w:cstheme="minorHAnsi"/>
          <w:sz w:val="16"/>
          <w:szCs w:val="16"/>
        </w:rPr>
        <w:t xml:space="preserve"> (7.29.2005).Annex 27 to the additional brief; </w:t>
      </w:r>
      <w:r w:rsidRPr="00736447">
        <w:rPr>
          <w:rFonts w:asciiTheme="majorHAnsi" w:hAnsiTheme="majorHAnsi" w:cstheme="minorHAnsi"/>
          <w:i/>
          <w:sz w:val="16"/>
          <w:szCs w:val="16"/>
        </w:rPr>
        <w:t>see also</w:t>
      </w:r>
      <w:r w:rsidRPr="00736447">
        <w:rPr>
          <w:rFonts w:asciiTheme="majorHAnsi" w:hAnsiTheme="majorHAnsi" w:cstheme="minorHAnsi"/>
          <w:sz w:val="16"/>
          <w:szCs w:val="16"/>
        </w:rPr>
        <w:t xml:space="preserve"> Annexes </w:t>
      </w:r>
      <w:r>
        <w:rPr>
          <w:rFonts w:asciiTheme="majorHAnsi" w:hAnsiTheme="majorHAnsi" w:cstheme="minorHAnsi"/>
          <w:sz w:val="16"/>
          <w:szCs w:val="16"/>
        </w:rPr>
        <w:t>42 and 43</w:t>
      </w:r>
      <w:r w:rsidRPr="00736447">
        <w:rPr>
          <w:rFonts w:asciiTheme="majorHAnsi" w:hAnsiTheme="majorHAnsi" w:cstheme="minorHAnsi"/>
          <w:sz w:val="16"/>
          <w:szCs w:val="16"/>
        </w:rPr>
        <w:t>.</w:t>
      </w:r>
    </w:p>
  </w:footnote>
  <w:footnote w:id="59">
    <w:p w14:paraId="0EEE1884" w14:textId="32924233"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24</w:t>
      </w:r>
      <w:r w:rsidRPr="00736447">
        <w:rPr>
          <w:rFonts w:asciiTheme="majorHAnsi" w:hAnsiTheme="majorHAnsi"/>
          <w:sz w:val="16"/>
          <w:szCs w:val="16"/>
        </w:rPr>
        <w:t xml:space="preserve">. Statement of </w:t>
      </w:r>
      <w:proofErr w:type="spellStart"/>
      <w:r w:rsidRPr="00736447">
        <w:rPr>
          <w:rFonts w:asciiTheme="majorHAnsi" w:hAnsiTheme="majorHAnsi"/>
          <w:sz w:val="16"/>
          <w:szCs w:val="16"/>
        </w:rPr>
        <w:t>Yolaiza</w:t>
      </w:r>
      <w:proofErr w:type="spellEnd"/>
      <w:r w:rsidRPr="00736447">
        <w:rPr>
          <w:rFonts w:asciiTheme="majorHAnsi" w:hAnsiTheme="majorHAnsi"/>
          <w:sz w:val="16"/>
          <w:szCs w:val="16"/>
        </w:rPr>
        <w:t xml:space="preserve"> Boada (31.8.2005). Annex 14 to the additional brief.</w:t>
      </w:r>
    </w:p>
  </w:footnote>
  <w:footnote w:id="60">
    <w:p w14:paraId="1DBCDAD1" w14:textId="67217EBA"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i/>
          <w:sz w:val="16"/>
          <w:szCs w:val="16"/>
        </w:rPr>
        <w:t>See</w:t>
      </w:r>
      <w:r w:rsidRPr="00736447">
        <w:rPr>
          <w:rFonts w:asciiTheme="majorHAnsi" w:hAnsiTheme="majorHAnsi"/>
          <w:sz w:val="16"/>
          <w:szCs w:val="16"/>
        </w:rPr>
        <w:t xml:space="preserve"> for example, Annex </w:t>
      </w:r>
      <w:r>
        <w:rPr>
          <w:rFonts w:asciiTheme="majorHAnsi" w:hAnsiTheme="majorHAnsi"/>
          <w:sz w:val="16"/>
          <w:szCs w:val="16"/>
        </w:rPr>
        <w:t>13</w:t>
      </w:r>
      <w:r w:rsidRPr="00736447">
        <w:rPr>
          <w:rFonts w:asciiTheme="majorHAnsi" w:hAnsiTheme="majorHAnsi"/>
          <w:sz w:val="16"/>
          <w:szCs w:val="16"/>
        </w:rPr>
        <w:t xml:space="preserve">. Interview of </w:t>
      </w:r>
      <w:proofErr w:type="spellStart"/>
      <w:r w:rsidRPr="00736447">
        <w:rPr>
          <w:rFonts w:asciiTheme="majorHAnsi" w:hAnsiTheme="majorHAnsi"/>
          <w:sz w:val="16"/>
          <w:szCs w:val="16"/>
        </w:rPr>
        <w:t>Brígida</w:t>
      </w:r>
      <w:proofErr w:type="spellEnd"/>
      <w:r w:rsidRPr="00736447">
        <w:rPr>
          <w:rFonts w:asciiTheme="majorHAnsi" w:hAnsiTheme="majorHAnsi"/>
          <w:sz w:val="16"/>
          <w:szCs w:val="16"/>
        </w:rPr>
        <w:t xml:space="preserve"> Hurtado (8.7.2005). Annex 29 to the additional brief.</w:t>
      </w:r>
    </w:p>
  </w:footnote>
  <w:footnote w:id="61">
    <w:p w14:paraId="61217A1C" w14:textId="3D7E24FA"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eastAsia="Cambria" w:hAnsiTheme="majorHAnsi" w:cs="Cambria"/>
          <w:sz w:val="16"/>
          <w:szCs w:val="16"/>
        </w:rPr>
        <w:t xml:space="preserve">Annex </w:t>
      </w:r>
      <w:r>
        <w:rPr>
          <w:rFonts w:asciiTheme="majorHAnsi" w:eastAsia="Cambria" w:hAnsiTheme="majorHAnsi" w:cs="Cambria"/>
          <w:sz w:val="16"/>
          <w:szCs w:val="16"/>
        </w:rPr>
        <w:t>41</w:t>
      </w:r>
      <w:r w:rsidRPr="00736447">
        <w:rPr>
          <w:rFonts w:asciiTheme="majorHAnsi" w:eastAsia="Cambria" w:hAnsiTheme="majorHAnsi" w:cs="Cambria"/>
          <w:sz w:val="16"/>
          <w:szCs w:val="16"/>
        </w:rPr>
        <w:t>. Log Book of the INAM-San Félix. Annex 44 to the additional brief.</w:t>
      </w:r>
    </w:p>
  </w:footnote>
  <w:footnote w:id="62">
    <w:p w14:paraId="63E5F13F" w14:textId="3675F564"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cstheme="minorHAnsi"/>
          <w:sz w:val="16"/>
          <w:szCs w:val="16"/>
        </w:rPr>
        <w:t xml:space="preserve">Annex </w:t>
      </w:r>
      <w:r>
        <w:rPr>
          <w:rFonts w:asciiTheme="majorHAnsi" w:hAnsiTheme="majorHAnsi" w:cstheme="minorHAnsi"/>
          <w:sz w:val="16"/>
          <w:szCs w:val="16"/>
        </w:rPr>
        <w:t>40</w:t>
      </w:r>
      <w:r w:rsidRPr="00736447">
        <w:rPr>
          <w:rFonts w:asciiTheme="majorHAnsi" w:hAnsiTheme="majorHAnsi" w:cstheme="minorHAnsi"/>
          <w:sz w:val="16"/>
          <w:szCs w:val="16"/>
        </w:rPr>
        <w:t xml:space="preserve">. Statement of José Luis </w:t>
      </w:r>
      <w:proofErr w:type="spellStart"/>
      <w:r w:rsidRPr="00736447">
        <w:rPr>
          <w:rFonts w:asciiTheme="majorHAnsi" w:hAnsiTheme="majorHAnsi" w:cstheme="minorHAnsi"/>
          <w:sz w:val="16"/>
          <w:szCs w:val="16"/>
        </w:rPr>
        <w:t>Chirinos</w:t>
      </w:r>
      <w:proofErr w:type="spellEnd"/>
      <w:r w:rsidRPr="00736447">
        <w:rPr>
          <w:rFonts w:asciiTheme="majorHAnsi" w:hAnsiTheme="majorHAnsi" w:cstheme="minorHAnsi"/>
          <w:sz w:val="16"/>
          <w:szCs w:val="16"/>
        </w:rPr>
        <w:t xml:space="preserve"> (7.29.2005). Annex 27 to the additional brief</w:t>
      </w:r>
      <w:r w:rsidRPr="00736447">
        <w:rPr>
          <w:rFonts w:asciiTheme="majorHAnsi" w:hAnsiTheme="majorHAnsi"/>
          <w:sz w:val="16"/>
          <w:szCs w:val="16"/>
        </w:rPr>
        <w:t>.</w:t>
      </w:r>
    </w:p>
  </w:footnote>
  <w:footnote w:id="63">
    <w:p w14:paraId="52624125" w14:textId="36A69E7F"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cstheme="minorHAnsi"/>
          <w:sz w:val="16"/>
          <w:szCs w:val="16"/>
        </w:rPr>
        <w:t xml:space="preserve">Annex </w:t>
      </w:r>
      <w:r>
        <w:rPr>
          <w:rFonts w:asciiTheme="majorHAnsi" w:hAnsiTheme="majorHAnsi" w:cstheme="minorHAnsi"/>
          <w:sz w:val="16"/>
          <w:szCs w:val="16"/>
        </w:rPr>
        <w:t>42</w:t>
      </w:r>
      <w:r w:rsidRPr="00736447">
        <w:rPr>
          <w:rFonts w:asciiTheme="majorHAnsi" w:hAnsiTheme="majorHAnsi" w:cstheme="minorHAnsi"/>
          <w:b/>
          <w:sz w:val="16"/>
          <w:szCs w:val="16"/>
        </w:rPr>
        <w:t>.</w:t>
      </w:r>
      <w:r w:rsidRPr="00736447">
        <w:rPr>
          <w:rFonts w:asciiTheme="majorHAnsi" w:hAnsiTheme="majorHAnsi" w:cstheme="minorHAnsi"/>
          <w:sz w:val="16"/>
          <w:szCs w:val="16"/>
        </w:rPr>
        <w:t xml:space="preserve"> Interview of </w:t>
      </w:r>
      <w:proofErr w:type="spellStart"/>
      <w:r w:rsidRPr="00736447">
        <w:rPr>
          <w:rFonts w:asciiTheme="majorHAnsi" w:hAnsiTheme="majorHAnsi" w:cstheme="minorHAnsi"/>
          <w:sz w:val="16"/>
          <w:szCs w:val="16"/>
        </w:rPr>
        <w:t>Osmely</w:t>
      </w:r>
      <w:proofErr w:type="spellEnd"/>
      <w:r w:rsidRPr="00736447">
        <w:rPr>
          <w:rFonts w:asciiTheme="majorHAnsi" w:hAnsiTheme="majorHAnsi" w:cstheme="minorHAnsi"/>
          <w:sz w:val="16"/>
          <w:szCs w:val="16"/>
        </w:rPr>
        <w:t xml:space="preserve"> </w:t>
      </w:r>
      <w:proofErr w:type="spellStart"/>
      <w:r w:rsidRPr="00736447">
        <w:rPr>
          <w:rFonts w:asciiTheme="majorHAnsi" w:hAnsiTheme="majorHAnsi" w:cstheme="minorHAnsi"/>
          <w:sz w:val="16"/>
          <w:szCs w:val="16"/>
        </w:rPr>
        <w:t>Mota</w:t>
      </w:r>
      <w:proofErr w:type="spellEnd"/>
      <w:r w:rsidRPr="00736447">
        <w:rPr>
          <w:rFonts w:asciiTheme="majorHAnsi" w:hAnsiTheme="majorHAnsi" w:cstheme="minorHAnsi"/>
          <w:sz w:val="16"/>
          <w:szCs w:val="16"/>
        </w:rPr>
        <w:t xml:space="preserve"> (8.7.2005). Annex 25 to the additional brief</w:t>
      </w:r>
      <w:r w:rsidRPr="00736447">
        <w:rPr>
          <w:rFonts w:asciiTheme="majorHAnsi" w:hAnsiTheme="majorHAnsi"/>
          <w:sz w:val="16"/>
          <w:szCs w:val="16"/>
        </w:rPr>
        <w:t>.</w:t>
      </w:r>
    </w:p>
  </w:footnote>
  <w:footnote w:id="64">
    <w:p w14:paraId="0DE2A5F8" w14:textId="7D2104F3"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cstheme="minorHAnsi"/>
          <w:sz w:val="16"/>
          <w:szCs w:val="16"/>
        </w:rPr>
        <w:t xml:space="preserve">Annex </w:t>
      </w:r>
      <w:r>
        <w:rPr>
          <w:rFonts w:asciiTheme="majorHAnsi" w:hAnsiTheme="majorHAnsi" w:cstheme="minorHAnsi"/>
          <w:sz w:val="16"/>
          <w:szCs w:val="16"/>
        </w:rPr>
        <w:t>42</w:t>
      </w:r>
      <w:r w:rsidRPr="00736447">
        <w:rPr>
          <w:rFonts w:asciiTheme="majorHAnsi" w:hAnsiTheme="majorHAnsi" w:cstheme="minorHAnsi"/>
          <w:b/>
          <w:sz w:val="16"/>
          <w:szCs w:val="16"/>
        </w:rPr>
        <w:t>.</w:t>
      </w:r>
      <w:r w:rsidRPr="00736447">
        <w:rPr>
          <w:rFonts w:asciiTheme="majorHAnsi" w:hAnsiTheme="majorHAnsi" w:cstheme="minorHAnsi"/>
          <w:sz w:val="16"/>
          <w:szCs w:val="16"/>
        </w:rPr>
        <w:t xml:space="preserve"> Interview of </w:t>
      </w:r>
      <w:proofErr w:type="spellStart"/>
      <w:r w:rsidRPr="00736447">
        <w:rPr>
          <w:rFonts w:asciiTheme="majorHAnsi" w:hAnsiTheme="majorHAnsi" w:cstheme="minorHAnsi"/>
          <w:sz w:val="16"/>
          <w:szCs w:val="16"/>
        </w:rPr>
        <w:t>Osmely</w:t>
      </w:r>
      <w:proofErr w:type="spellEnd"/>
      <w:r w:rsidRPr="00736447">
        <w:rPr>
          <w:rFonts w:asciiTheme="majorHAnsi" w:hAnsiTheme="majorHAnsi" w:cstheme="minorHAnsi"/>
          <w:sz w:val="16"/>
          <w:szCs w:val="16"/>
        </w:rPr>
        <w:t xml:space="preserve"> </w:t>
      </w:r>
      <w:proofErr w:type="spellStart"/>
      <w:r w:rsidRPr="00736447">
        <w:rPr>
          <w:rFonts w:asciiTheme="majorHAnsi" w:hAnsiTheme="majorHAnsi" w:cstheme="minorHAnsi"/>
          <w:sz w:val="16"/>
          <w:szCs w:val="16"/>
        </w:rPr>
        <w:t>Mota</w:t>
      </w:r>
      <w:proofErr w:type="spellEnd"/>
      <w:r w:rsidRPr="00736447">
        <w:rPr>
          <w:rFonts w:asciiTheme="majorHAnsi" w:hAnsiTheme="majorHAnsi" w:cstheme="minorHAnsi"/>
          <w:sz w:val="16"/>
          <w:szCs w:val="16"/>
        </w:rPr>
        <w:t xml:space="preserve"> (8.7.2005). Annex 25 to the additional brief</w:t>
      </w:r>
      <w:r w:rsidRPr="00736447">
        <w:rPr>
          <w:rFonts w:asciiTheme="majorHAnsi" w:hAnsiTheme="majorHAnsi"/>
          <w:sz w:val="16"/>
          <w:szCs w:val="16"/>
        </w:rPr>
        <w:t>.</w:t>
      </w:r>
    </w:p>
  </w:footnote>
  <w:footnote w:id="65">
    <w:p w14:paraId="04B65217" w14:textId="5C5842AC" w:rsidR="00E966C2" w:rsidRPr="00736447" w:rsidRDefault="00E966C2" w:rsidP="001A4533">
      <w:pPr>
        <w:jc w:val="both"/>
        <w:rPr>
          <w:rFonts w:asciiTheme="majorHAnsi" w:hAnsiTheme="majorHAnsi" w:cstheme="minorHAnsi"/>
          <w:sz w:val="16"/>
          <w:szCs w:val="16"/>
        </w:rPr>
      </w:pPr>
      <w:r w:rsidRPr="00736447">
        <w:rPr>
          <w:rStyle w:val="FootnoteReference"/>
          <w:rFonts w:asciiTheme="majorHAnsi" w:hAnsiTheme="majorHAnsi" w:cstheme="minorHAnsi"/>
          <w:sz w:val="16"/>
          <w:szCs w:val="16"/>
        </w:rPr>
        <w:footnoteRef/>
      </w:r>
      <w:r w:rsidRPr="00736447">
        <w:rPr>
          <w:rFonts w:asciiTheme="majorHAnsi" w:hAnsiTheme="majorHAnsi" w:cstheme="minorHAnsi"/>
          <w:sz w:val="16"/>
          <w:szCs w:val="16"/>
        </w:rPr>
        <w:t xml:space="preserve"> </w:t>
      </w:r>
      <w:r w:rsidRPr="00736447">
        <w:rPr>
          <w:rFonts w:asciiTheme="majorHAnsi" w:hAnsiTheme="majorHAnsi"/>
          <w:sz w:val="16"/>
          <w:szCs w:val="16"/>
        </w:rPr>
        <w:t xml:space="preserve">Annex </w:t>
      </w:r>
      <w:r>
        <w:rPr>
          <w:rFonts w:asciiTheme="majorHAnsi" w:hAnsiTheme="majorHAnsi"/>
          <w:sz w:val="16"/>
          <w:szCs w:val="16"/>
        </w:rPr>
        <w:t>12</w:t>
      </w:r>
      <w:r w:rsidRPr="00736447">
        <w:rPr>
          <w:rFonts w:asciiTheme="majorHAnsi" w:hAnsiTheme="majorHAnsi"/>
          <w:sz w:val="16"/>
          <w:szCs w:val="16"/>
        </w:rPr>
        <w:t>. Statement of Nerio Romero (7.29.2005). Annex 28 to the additional brief</w:t>
      </w:r>
      <w:r w:rsidRPr="00736447">
        <w:rPr>
          <w:rFonts w:asciiTheme="majorHAnsi" w:hAnsiTheme="majorHAnsi" w:cstheme="minorHAnsi"/>
          <w:sz w:val="16"/>
          <w:szCs w:val="16"/>
        </w:rPr>
        <w:t xml:space="preserve">; </w:t>
      </w:r>
      <w:r w:rsidRPr="00736447">
        <w:rPr>
          <w:rFonts w:asciiTheme="majorHAnsi" w:hAnsiTheme="majorHAnsi" w:cstheme="minorHAnsi"/>
          <w:i/>
          <w:sz w:val="16"/>
          <w:szCs w:val="16"/>
        </w:rPr>
        <w:t>see also</w:t>
      </w:r>
      <w:r w:rsidRPr="00736447">
        <w:rPr>
          <w:rFonts w:asciiTheme="majorHAnsi" w:hAnsiTheme="majorHAnsi" w:cstheme="minorHAnsi"/>
          <w:sz w:val="16"/>
          <w:szCs w:val="16"/>
        </w:rPr>
        <w:t xml:space="preserve"> </w:t>
      </w:r>
      <w:r w:rsidRPr="00736447">
        <w:rPr>
          <w:rFonts w:asciiTheme="majorHAnsi" w:hAnsiTheme="majorHAnsi"/>
          <w:sz w:val="16"/>
          <w:szCs w:val="16"/>
        </w:rPr>
        <w:t xml:space="preserve">Annex </w:t>
      </w:r>
      <w:r>
        <w:rPr>
          <w:rFonts w:asciiTheme="majorHAnsi" w:hAnsiTheme="majorHAnsi"/>
          <w:sz w:val="16"/>
          <w:szCs w:val="16"/>
        </w:rPr>
        <w:t>13</w:t>
      </w:r>
      <w:r w:rsidRPr="00736447">
        <w:rPr>
          <w:rFonts w:asciiTheme="majorHAnsi" w:hAnsiTheme="majorHAnsi" w:cstheme="minorHAnsi"/>
          <w:sz w:val="16"/>
          <w:szCs w:val="16"/>
        </w:rPr>
        <w:t>.</w:t>
      </w:r>
    </w:p>
  </w:footnote>
  <w:footnote w:id="66">
    <w:p w14:paraId="2BA9AF92" w14:textId="1BAAD68B"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cstheme="minorHAnsi"/>
          <w:sz w:val="16"/>
          <w:szCs w:val="16"/>
        </w:rPr>
        <w:t xml:space="preserve">Annex </w:t>
      </w:r>
      <w:r>
        <w:rPr>
          <w:rFonts w:asciiTheme="majorHAnsi" w:hAnsiTheme="majorHAnsi" w:cstheme="minorHAnsi"/>
          <w:sz w:val="16"/>
          <w:szCs w:val="16"/>
        </w:rPr>
        <w:t>40</w:t>
      </w:r>
      <w:r w:rsidRPr="00736447">
        <w:rPr>
          <w:rFonts w:asciiTheme="majorHAnsi" w:hAnsiTheme="majorHAnsi" w:cstheme="minorHAnsi"/>
          <w:sz w:val="16"/>
          <w:szCs w:val="16"/>
        </w:rPr>
        <w:t xml:space="preserve">. Statement of José Luis </w:t>
      </w:r>
      <w:proofErr w:type="spellStart"/>
      <w:r w:rsidRPr="00736447">
        <w:rPr>
          <w:rFonts w:asciiTheme="majorHAnsi" w:hAnsiTheme="majorHAnsi" w:cstheme="minorHAnsi"/>
          <w:sz w:val="16"/>
          <w:szCs w:val="16"/>
        </w:rPr>
        <w:t>Chirinos</w:t>
      </w:r>
      <w:proofErr w:type="spellEnd"/>
      <w:r w:rsidRPr="00736447">
        <w:rPr>
          <w:rFonts w:asciiTheme="majorHAnsi" w:hAnsiTheme="majorHAnsi" w:cstheme="minorHAnsi"/>
          <w:sz w:val="16"/>
          <w:szCs w:val="16"/>
        </w:rPr>
        <w:t xml:space="preserve"> (7.29.2005). Annex 27 to the additional brief</w:t>
      </w:r>
      <w:r w:rsidRPr="00736447">
        <w:rPr>
          <w:rFonts w:asciiTheme="majorHAnsi" w:hAnsiTheme="majorHAnsi"/>
          <w:sz w:val="16"/>
          <w:szCs w:val="16"/>
        </w:rPr>
        <w:t>;</w:t>
      </w:r>
      <w:r w:rsidRPr="00736447">
        <w:rPr>
          <w:rFonts w:asciiTheme="majorHAnsi" w:hAnsiTheme="majorHAnsi" w:cstheme="minorHAnsi"/>
          <w:sz w:val="16"/>
          <w:szCs w:val="16"/>
        </w:rPr>
        <w:t xml:space="preserve"> see also Annexes </w:t>
      </w:r>
      <w:r>
        <w:rPr>
          <w:rFonts w:asciiTheme="majorHAnsi" w:hAnsiTheme="majorHAnsi" w:cstheme="minorHAnsi"/>
          <w:sz w:val="16"/>
          <w:szCs w:val="16"/>
        </w:rPr>
        <w:t>26 and 43</w:t>
      </w:r>
      <w:r w:rsidRPr="00736447">
        <w:rPr>
          <w:rFonts w:asciiTheme="majorHAnsi" w:hAnsiTheme="majorHAnsi" w:cstheme="minorHAnsi"/>
          <w:sz w:val="16"/>
          <w:szCs w:val="16"/>
        </w:rPr>
        <w:t>.</w:t>
      </w:r>
    </w:p>
  </w:footnote>
  <w:footnote w:id="67">
    <w:p w14:paraId="4CDAC52E" w14:textId="74F182F6"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cstheme="minorHAnsi"/>
          <w:sz w:val="16"/>
          <w:szCs w:val="16"/>
        </w:rPr>
        <w:t xml:space="preserve">Annex </w:t>
      </w:r>
      <w:r>
        <w:rPr>
          <w:rFonts w:asciiTheme="majorHAnsi" w:hAnsiTheme="majorHAnsi" w:cstheme="minorHAnsi"/>
          <w:sz w:val="16"/>
          <w:szCs w:val="16"/>
        </w:rPr>
        <w:t>42</w:t>
      </w:r>
      <w:r w:rsidRPr="00736447">
        <w:rPr>
          <w:rFonts w:asciiTheme="majorHAnsi" w:hAnsiTheme="majorHAnsi" w:cstheme="minorHAnsi"/>
          <w:b/>
          <w:sz w:val="16"/>
          <w:szCs w:val="16"/>
        </w:rPr>
        <w:t>.</w:t>
      </w:r>
      <w:r w:rsidRPr="00736447">
        <w:rPr>
          <w:rFonts w:asciiTheme="majorHAnsi" w:hAnsiTheme="majorHAnsi" w:cstheme="minorHAnsi"/>
          <w:sz w:val="16"/>
          <w:szCs w:val="16"/>
        </w:rPr>
        <w:t xml:space="preserve"> Interview of </w:t>
      </w:r>
      <w:proofErr w:type="spellStart"/>
      <w:r w:rsidRPr="00736447">
        <w:rPr>
          <w:rFonts w:asciiTheme="majorHAnsi" w:hAnsiTheme="majorHAnsi" w:cstheme="minorHAnsi"/>
          <w:sz w:val="16"/>
          <w:szCs w:val="16"/>
        </w:rPr>
        <w:t>Osmely</w:t>
      </w:r>
      <w:proofErr w:type="spellEnd"/>
      <w:r w:rsidRPr="00736447">
        <w:rPr>
          <w:rFonts w:asciiTheme="majorHAnsi" w:hAnsiTheme="majorHAnsi" w:cstheme="minorHAnsi"/>
          <w:sz w:val="16"/>
          <w:szCs w:val="16"/>
        </w:rPr>
        <w:t xml:space="preserve"> </w:t>
      </w:r>
      <w:proofErr w:type="spellStart"/>
      <w:r w:rsidRPr="00736447">
        <w:rPr>
          <w:rFonts w:asciiTheme="majorHAnsi" w:hAnsiTheme="majorHAnsi" w:cstheme="minorHAnsi"/>
          <w:sz w:val="16"/>
          <w:szCs w:val="16"/>
        </w:rPr>
        <w:t>Mota</w:t>
      </w:r>
      <w:proofErr w:type="spellEnd"/>
      <w:r w:rsidRPr="00736447">
        <w:rPr>
          <w:rFonts w:asciiTheme="majorHAnsi" w:hAnsiTheme="majorHAnsi" w:cstheme="minorHAnsi"/>
          <w:sz w:val="16"/>
          <w:szCs w:val="16"/>
        </w:rPr>
        <w:t xml:space="preserve"> (8.7.2005). Annex 25 to the additional brief</w:t>
      </w:r>
      <w:r w:rsidRPr="00736447">
        <w:rPr>
          <w:rFonts w:asciiTheme="majorHAnsi" w:hAnsiTheme="majorHAnsi"/>
          <w:sz w:val="16"/>
          <w:szCs w:val="16"/>
        </w:rPr>
        <w:t xml:space="preserve">; </w:t>
      </w:r>
      <w:r w:rsidRPr="00736447">
        <w:rPr>
          <w:rFonts w:asciiTheme="majorHAnsi" w:hAnsiTheme="majorHAnsi"/>
          <w:i/>
          <w:sz w:val="16"/>
          <w:szCs w:val="16"/>
        </w:rPr>
        <w:t>see also</w:t>
      </w:r>
      <w:r w:rsidRPr="00736447">
        <w:rPr>
          <w:rFonts w:asciiTheme="majorHAnsi" w:hAnsiTheme="majorHAnsi"/>
          <w:sz w:val="16"/>
          <w:szCs w:val="16"/>
        </w:rPr>
        <w:t xml:space="preserve">. </w:t>
      </w:r>
      <w:r w:rsidRPr="00736447">
        <w:rPr>
          <w:rFonts w:asciiTheme="majorHAnsi" w:hAnsiTheme="majorHAnsi" w:cstheme="minorHAnsi"/>
          <w:sz w:val="16"/>
          <w:szCs w:val="16"/>
        </w:rPr>
        <w:t xml:space="preserve">Annex </w:t>
      </w:r>
      <w:r>
        <w:rPr>
          <w:rFonts w:asciiTheme="majorHAnsi" w:hAnsiTheme="majorHAnsi" w:cstheme="minorHAnsi"/>
          <w:sz w:val="16"/>
          <w:szCs w:val="16"/>
        </w:rPr>
        <w:t>40</w:t>
      </w:r>
      <w:r w:rsidRPr="00736447">
        <w:rPr>
          <w:rFonts w:asciiTheme="majorHAnsi" w:hAnsiTheme="majorHAnsi"/>
          <w:sz w:val="16"/>
          <w:szCs w:val="16"/>
        </w:rPr>
        <w:t>.</w:t>
      </w:r>
    </w:p>
  </w:footnote>
  <w:footnote w:id="68">
    <w:p w14:paraId="75321745" w14:textId="7D204AF5"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cstheme="minorHAnsi"/>
          <w:sz w:val="16"/>
          <w:szCs w:val="16"/>
        </w:rPr>
        <w:t xml:space="preserve">Annex </w:t>
      </w:r>
      <w:r>
        <w:rPr>
          <w:rFonts w:asciiTheme="majorHAnsi" w:hAnsiTheme="majorHAnsi" w:cstheme="minorHAnsi"/>
          <w:sz w:val="16"/>
          <w:szCs w:val="16"/>
        </w:rPr>
        <w:t>26</w:t>
      </w:r>
      <w:r w:rsidRPr="00736447">
        <w:rPr>
          <w:rFonts w:asciiTheme="majorHAnsi" w:hAnsiTheme="majorHAnsi" w:cstheme="minorHAnsi"/>
          <w:sz w:val="16"/>
          <w:szCs w:val="16"/>
        </w:rPr>
        <w:t>. Statement of Francisco Gómez (8.8.2005). Annex 31 to the additional brief</w:t>
      </w:r>
      <w:r w:rsidRPr="00736447">
        <w:rPr>
          <w:rFonts w:asciiTheme="majorHAnsi" w:hAnsiTheme="majorHAnsi"/>
          <w:sz w:val="16"/>
          <w:szCs w:val="16"/>
        </w:rPr>
        <w:t>.</w:t>
      </w:r>
    </w:p>
  </w:footnote>
  <w:footnote w:id="69">
    <w:p w14:paraId="3F935718" w14:textId="1FC6732F"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cstheme="minorHAnsi"/>
          <w:sz w:val="16"/>
          <w:szCs w:val="16"/>
        </w:rPr>
        <w:t xml:space="preserve">Annex </w:t>
      </w:r>
      <w:r>
        <w:rPr>
          <w:rFonts w:asciiTheme="majorHAnsi" w:hAnsiTheme="majorHAnsi" w:cstheme="minorHAnsi"/>
          <w:sz w:val="16"/>
          <w:szCs w:val="16"/>
        </w:rPr>
        <w:t>42</w:t>
      </w:r>
      <w:r w:rsidRPr="00736447">
        <w:rPr>
          <w:rFonts w:asciiTheme="majorHAnsi" w:hAnsiTheme="majorHAnsi" w:cstheme="minorHAnsi"/>
          <w:sz w:val="16"/>
          <w:szCs w:val="16"/>
        </w:rPr>
        <w:t xml:space="preserve">. Statement of </w:t>
      </w:r>
      <w:proofErr w:type="spellStart"/>
      <w:r w:rsidRPr="00736447">
        <w:rPr>
          <w:rFonts w:asciiTheme="majorHAnsi" w:hAnsiTheme="majorHAnsi" w:cstheme="minorHAnsi"/>
          <w:sz w:val="16"/>
          <w:szCs w:val="16"/>
        </w:rPr>
        <w:t>Brígida</w:t>
      </w:r>
      <w:proofErr w:type="spellEnd"/>
      <w:r w:rsidRPr="00736447">
        <w:rPr>
          <w:rFonts w:asciiTheme="majorHAnsi" w:hAnsiTheme="majorHAnsi" w:cstheme="minorHAnsi"/>
          <w:sz w:val="16"/>
          <w:szCs w:val="16"/>
        </w:rPr>
        <w:t xml:space="preserve"> Hurtado (7.29.2005). Annex 32 to the additional brief</w:t>
      </w:r>
      <w:r w:rsidRPr="00736447">
        <w:rPr>
          <w:rFonts w:asciiTheme="majorHAnsi" w:hAnsiTheme="majorHAnsi"/>
          <w:sz w:val="16"/>
          <w:szCs w:val="16"/>
        </w:rPr>
        <w:t>.</w:t>
      </w:r>
    </w:p>
  </w:footnote>
  <w:footnote w:id="70">
    <w:p w14:paraId="5DCB432F" w14:textId="234A579C"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eastAsia="Cambria" w:hAnsiTheme="majorHAnsi" w:cs="Cambria"/>
          <w:sz w:val="16"/>
          <w:szCs w:val="16"/>
        </w:rPr>
        <w:t xml:space="preserve">Annex </w:t>
      </w:r>
      <w:r>
        <w:rPr>
          <w:rFonts w:asciiTheme="majorHAnsi" w:eastAsia="Cambria" w:hAnsiTheme="majorHAnsi" w:cs="Cambria"/>
          <w:sz w:val="16"/>
          <w:szCs w:val="16"/>
        </w:rPr>
        <w:t>38</w:t>
      </w:r>
      <w:r w:rsidRPr="00736447">
        <w:rPr>
          <w:rFonts w:asciiTheme="majorHAnsi" w:eastAsia="Cambria" w:hAnsiTheme="majorHAnsi" w:cs="Cambria"/>
          <w:sz w:val="16"/>
          <w:szCs w:val="16"/>
        </w:rPr>
        <w:t>. Personnel List of the INAM-San Félix and who was working on the day of the events. Annex F to the original petition</w:t>
      </w:r>
      <w:r w:rsidRPr="00736447">
        <w:rPr>
          <w:rFonts w:asciiTheme="majorHAnsi" w:hAnsiTheme="majorHAnsi"/>
          <w:sz w:val="16"/>
          <w:szCs w:val="16"/>
        </w:rPr>
        <w:t>.</w:t>
      </w:r>
    </w:p>
  </w:footnote>
  <w:footnote w:id="71">
    <w:p w14:paraId="23B34DA4" w14:textId="342FD886"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cstheme="minorHAnsi"/>
          <w:sz w:val="16"/>
          <w:szCs w:val="16"/>
        </w:rPr>
        <w:t xml:space="preserve">Annex </w:t>
      </w:r>
      <w:r>
        <w:rPr>
          <w:rFonts w:asciiTheme="majorHAnsi" w:hAnsiTheme="majorHAnsi" w:cstheme="minorHAnsi"/>
          <w:sz w:val="16"/>
          <w:szCs w:val="16"/>
        </w:rPr>
        <w:t>40</w:t>
      </w:r>
      <w:r w:rsidRPr="00736447">
        <w:rPr>
          <w:rFonts w:asciiTheme="majorHAnsi" w:hAnsiTheme="majorHAnsi" w:cstheme="minorHAnsi"/>
          <w:sz w:val="16"/>
          <w:szCs w:val="16"/>
        </w:rPr>
        <w:t xml:space="preserve">. Statement of José Luis </w:t>
      </w:r>
      <w:proofErr w:type="spellStart"/>
      <w:r w:rsidRPr="00736447">
        <w:rPr>
          <w:rFonts w:asciiTheme="majorHAnsi" w:hAnsiTheme="majorHAnsi" w:cstheme="minorHAnsi"/>
          <w:sz w:val="16"/>
          <w:szCs w:val="16"/>
        </w:rPr>
        <w:t>Chirinos</w:t>
      </w:r>
      <w:proofErr w:type="spellEnd"/>
      <w:r w:rsidRPr="00736447">
        <w:rPr>
          <w:rFonts w:asciiTheme="majorHAnsi" w:hAnsiTheme="majorHAnsi" w:cstheme="minorHAnsi"/>
          <w:sz w:val="16"/>
          <w:szCs w:val="16"/>
        </w:rPr>
        <w:t xml:space="preserve"> (7.29.2005). Annex 27 to the additional brief</w:t>
      </w:r>
      <w:r w:rsidRPr="00736447">
        <w:rPr>
          <w:rFonts w:asciiTheme="majorHAnsi" w:hAnsiTheme="majorHAnsi"/>
          <w:sz w:val="16"/>
          <w:szCs w:val="16"/>
        </w:rPr>
        <w:t xml:space="preserve">; </w:t>
      </w:r>
      <w:r w:rsidRPr="00736447">
        <w:rPr>
          <w:rFonts w:asciiTheme="majorHAnsi" w:hAnsiTheme="majorHAnsi" w:cstheme="minorHAnsi"/>
          <w:sz w:val="16"/>
          <w:szCs w:val="16"/>
        </w:rPr>
        <w:t xml:space="preserve">Annex </w:t>
      </w:r>
      <w:r>
        <w:rPr>
          <w:rFonts w:asciiTheme="majorHAnsi" w:hAnsiTheme="majorHAnsi" w:cstheme="minorHAnsi"/>
          <w:sz w:val="16"/>
          <w:szCs w:val="16"/>
        </w:rPr>
        <w:t>26</w:t>
      </w:r>
      <w:r w:rsidRPr="00736447">
        <w:rPr>
          <w:rFonts w:asciiTheme="majorHAnsi" w:hAnsiTheme="majorHAnsi" w:cstheme="minorHAnsi"/>
          <w:sz w:val="16"/>
          <w:szCs w:val="16"/>
        </w:rPr>
        <w:t>. Statement of Francisco Gómez (8.8.2005). Annex 31 to the additional brief</w:t>
      </w:r>
      <w:r w:rsidRPr="00736447">
        <w:rPr>
          <w:rFonts w:asciiTheme="majorHAnsi" w:hAnsiTheme="majorHAnsi"/>
          <w:sz w:val="16"/>
          <w:szCs w:val="16"/>
        </w:rPr>
        <w:t>.</w:t>
      </w:r>
    </w:p>
  </w:footnote>
  <w:footnote w:id="72">
    <w:p w14:paraId="1CB5C2D2" w14:textId="4BD020DF"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13</w:t>
      </w:r>
      <w:r w:rsidRPr="00736447">
        <w:rPr>
          <w:rFonts w:asciiTheme="majorHAnsi" w:hAnsiTheme="majorHAnsi"/>
          <w:sz w:val="16"/>
          <w:szCs w:val="16"/>
        </w:rPr>
        <w:t xml:space="preserve">. Interview of </w:t>
      </w:r>
      <w:proofErr w:type="spellStart"/>
      <w:r w:rsidRPr="00736447">
        <w:rPr>
          <w:rFonts w:asciiTheme="majorHAnsi" w:hAnsiTheme="majorHAnsi"/>
          <w:sz w:val="16"/>
          <w:szCs w:val="16"/>
        </w:rPr>
        <w:t>Brígida</w:t>
      </w:r>
      <w:proofErr w:type="spellEnd"/>
      <w:r w:rsidRPr="00736447">
        <w:rPr>
          <w:rFonts w:asciiTheme="majorHAnsi" w:hAnsiTheme="majorHAnsi"/>
          <w:sz w:val="16"/>
          <w:szCs w:val="16"/>
        </w:rPr>
        <w:t xml:space="preserve"> Hurtado (8.7.2005). Annex 29 to the additional brief.</w:t>
      </w:r>
    </w:p>
  </w:footnote>
  <w:footnote w:id="73">
    <w:p w14:paraId="4D262384" w14:textId="27F992CB"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cstheme="minorHAnsi"/>
          <w:sz w:val="16"/>
          <w:szCs w:val="16"/>
        </w:rPr>
        <w:t xml:space="preserve">Annex </w:t>
      </w:r>
      <w:r>
        <w:rPr>
          <w:rFonts w:asciiTheme="majorHAnsi" w:hAnsiTheme="majorHAnsi" w:cstheme="minorHAnsi"/>
          <w:sz w:val="16"/>
          <w:szCs w:val="16"/>
        </w:rPr>
        <w:t>40</w:t>
      </w:r>
      <w:r w:rsidRPr="00736447">
        <w:rPr>
          <w:rFonts w:asciiTheme="majorHAnsi" w:hAnsiTheme="majorHAnsi" w:cstheme="minorHAnsi"/>
          <w:sz w:val="16"/>
          <w:szCs w:val="16"/>
        </w:rPr>
        <w:t xml:space="preserve">. Statement of José Luis </w:t>
      </w:r>
      <w:proofErr w:type="spellStart"/>
      <w:r w:rsidRPr="00736447">
        <w:rPr>
          <w:rFonts w:asciiTheme="majorHAnsi" w:hAnsiTheme="majorHAnsi" w:cstheme="minorHAnsi"/>
          <w:sz w:val="16"/>
          <w:szCs w:val="16"/>
        </w:rPr>
        <w:t>Chirinos</w:t>
      </w:r>
      <w:proofErr w:type="spellEnd"/>
      <w:r w:rsidRPr="00736447">
        <w:rPr>
          <w:rFonts w:asciiTheme="majorHAnsi" w:hAnsiTheme="majorHAnsi" w:cstheme="minorHAnsi"/>
          <w:sz w:val="16"/>
          <w:szCs w:val="16"/>
        </w:rPr>
        <w:t xml:space="preserve"> (7.29.2005). Annex 27 to the additional brief</w:t>
      </w:r>
      <w:r w:rsidRPr="00736447">
        <w:rPr>
          <w:rFonts w:asciiTheme="majorHAnsi" w:hAnsiTheme="majorHAnsi"/>
          <w:sz w:val="16"/>
          <w:szCs w:val="16"/>
        </w:rPr>
        <w:t xml:space="preserve">; </w:t>
      </w:r>
      <w:r w:rsidRPr="00736447">
        <w:rPr>
          <w:rFonts w:asciiTheme="majorHAnsi" w:hAnsiTheme="majorHAnsi"/>
          <w:i/>
          <w:sz w:val="16"/>
          <w:szCs w:val="16"/>
        </w:rPr>
        <w:t xml:space="preserve">see also </w:t>
      </w:r>
      <w:r w:rsidRPr="00736447">
        <w:rPr>
          <w:rFonts w:asciiTheme="majorHAnsi" w:hAnsiTheme="majorHAnsi"/>
          <w:sz w:val="16"/>
          <w:szCs w:val="16"/>
        </w:rPr>
        <w:t xml:space="preserve">Annex </w:t>
      </w:r>
      <w:r>
        <w:rPr>
          <w:rFonts w:asciiTheme="majorHAnsi" w:hAnsiTheme="majorHAnsi"/>
          <w:sz w:val="16"/>
          <w:szCs w:val="16"/>
        </w:rPr>
        <w:t>12</w:t>
      </w:r>
      <w:r w:rsidRPr="00736447">
        <w:rPr>
          <w:rFonts w:asciiTheme="majorHAnsi" w:hAnsiTheme="majorHAnsi"/>
          <w:sz w:val="16"/>
          <w:szCs w:val="16"/>
        </w:rPr>
        <w:t>.</w:t>
      </w:r>
    </w:p>
  </w:footnote>
  <w:footnote w:id="74">
    <w:p w14:paraId="1B228E49" w14:textId="74842571"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cstheme="minorHAnsi"/>
          <w:sz w:val="16"/>
          <w:szCs w:val="16"/>
        </w:rPr>
        <w:t xml:space="preserve">Annex </w:t>
      </w:r>
      <w:r>
        <w:rPr>
          <w:rFonts w:asciiTheme="majorHAnsi" w:hAnsiTheme="majorHAnsi" w:cstheme="minorHAnsi"/>
          <w:sz w:val="16"/>
          <w:szCs w:val="16"/>
        </w:rPr>
        <w:t>40</w:t>
      </w:r>
      <w:r w:rsidRPr="00736447">
        <w:rPr>
          <w:rFonts w:asciiTheme="majorHAnsi" w:hAnsiTheme="majorHAnsi" w:cstheme="minorHAnsi"/>
          <w:sz w:val="16"/>
          <w:szCs w:val="16"/>
        </w:rPr>
        <w:t xml:space="preserve">. Statement of José Luis </w:t>
      </w:r>
      <w:proofErr w:type="spellStart"/>
      <w:r w:rsidRPr="00736447">
        <w:rPr>
          <w:rFonts w:asciiTheme="majorHAnsi" w:hAnsiTheme="majorHAnsi" w:cstheme="minorHAnsi"/>
          <w:sz w:val="16"/>
          <w:szCs w:val="16"/>
        </w:rPr>
        <w:t>Chirinos</w:t>
      </w:r>
      <w:proofErr w:type="spellEnd"/>
      <w:r w:rsidRPr="00736447">
        <w:rPr>
          <w:rFonts w:asciiTheme="majorHAnsi" w:hAnsiTheme="majorHAnsi" w:cstheme="minorHAnsi"/>
          <w:sz w:val="16"/>
          <w:szCs w:val="16"/>
        </w:rPr>
        <w:t xml:space="preserve"> (7.29.2005). Annex 27 to the additional brief</w:t>
      </w:r>
      <w:r w:rsidRPr="00736447">
        <w:rPr>
          <w:rFonts w:asciiTheme="majorHAnsi" w:hAnsiTheme="majorHAnsi"/>
          <w:sz w:val="16"/>
          <w:szCs w:val="16"/>
        </w:rPr>
        <w:t xml:space="preserve">; </w:t>
      </w:r>
      <w:r w:rsidRPr="00736447">
        <w:rPr>
          <w:rFonts w:asciiTheme="majorHAnsi" w:hAnsiTheme="majorHAnsi"/>
          <w:i/>
          <w:sz w:val="16"/>
          <w:szCs w:val="16"/>
        </w:rPr>
        <w:t xml:space="preserve">see also </w:t>
      </w:r>
      <w:r w:rsidRPr="00736447">
        <w:rPr>
          <w:rFonts w:asciiTheme="majorHAnsi" w:hAnsiTheme="majorHAnsi" w:cstheme="minorHAnsi"/>
          <w:sz w:val="16"/>
          <w:szCs w:val="16"/>
        </w:rPr>
        <w:t xml:space="preserve">Annex </w:t>
      </w:r>
      <w:r>
        <w:rPr>
          <w:rFonts w:asciiTheme="majorHAnsi" w:hAnsiTheme="majorHAnsi" w:cstheme="minorHAnsi"/>
          <w:sz w:val="16"/>
          <w:szCs w:val="16"/>
        </w:rPr>
        <w:t>26</w:t>
      </w:r>
      <w:r w:rsidRPr="00736447">
        <w:rPr>
          <w:rFonts w:asciiTheme="majorHAnsi" w:hAnsiTheme="majorHAnsi" w:cstheme="minorHAnsi"/>
          <w:sz w:val="16"/>
          <w:szCs w:val="16"/>
        </w:rPr>
        <w:t>.</w:t>
      </w:r>
    </w:p>
  </w:footnote>
  <w:footnote w:id="75">
    <w:p w14:paraId="7355B1DF" w14:textId="4625029E"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12</w:t>
      </w:r>
      <w:r w:rsidRPr="00736447">
        <w:rPr>
          <w:rFonts w:asciiTheme="majorHAnsi" w:hAnsiTheme="majorHAnsi"/>
          <w:sz w:val="16"/>
          <w:szCs w:val="16"/>
        </w:rPr>
        <w:t>. Statement of Nerio Romero (7.29.2005). Annex 28 to the additional brief.</w:t>
      </w:r>
    </w:p>
  </w:footnote>
  <w:footnote w:id="76">
    <w:p w14:paraId="036E4CCA" w14:textId="47DC2819"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cstheme="minorHAnsi"/>
          <w:sz w:val="16"/>
          <w:szCs w:val="16"/>
        </w:rPr>
        <w:t xml:space="preserve">Annex </w:t>
      </w:r>
      <w:r>
        <w:rPr>
          <w:rFonts w:asciiTheme="majorHAnsi" w:hAnsiTheme="majorHAnsi" w:cstheme="minorHAnsi"/>
          <w:sz w:val="16"/>
          <w:szCs w:val="16"/>
        </w:rPr>
        <w:t>26</w:t>
      </w:r>
      <w:r w:rsidRPr="00736447">
        <w:rPr>
          <w:rFonts w:asciiTheme="majorHAnsi" w:hAnsiTheme="majorHAnsi" w:cstheme="minorHAnsi"/>
          <w:sz w:val="16"/>
          <w:szCs w:val="16"/>
        </w:rPr>
        <w:t>. Statement of Francisco Gómez (8.8.2005). Annex 31 to the additional brief</w:t>
      </w:r>
      <w:r w:rsidRPr="00736447">
        <w:rPr>
          <w:rFonts w:asciiTheme="majorHAnsi" w:hAnsiTheme="majorHAnsi"/>
          <w:sz w:val="16"/>
          <w:szCs w:val="16"/>
        </w:rPr>
        <w:t>.</w:t>
      </w:r>
    </w:p>
  </w:footnote>
  <w:footnote w:id="77">
    <w:p w14:paraId="1CB26ED1" w14:textId="34952A9F"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cstheme="minorHAnsi"/>
          <w:sz w:val="16"/>
          <w:szCs w:val="16"/>
        </w:rPr>
        <w:t xml:space="preserve">Annex </w:t>
      </w:r>
      <w:r>
        <w:rPr>
          <w:rFonts w:asciiTheme="majorHAnsi" w:hAnsiTheme="majorHAnsi" w:cstheme="minorHAnsi"/>
          <w:sz w:val="16"/>
          <w:szCs w:val="16"/>
        </w:rPr>
        <w:t>40</w:t>
      </w:r>
      <w:r w:rsidRPr="00736447">
        <w:rPr>
          <w:rFonts w:asciiTheme="majorHAnsi" w:hAnsiTheme="majorHAnsi" w:cstheme="minorHAnsi"/>
          <w:sz w:val="16"/>
          <w:szCs w:val="16"/>
        </w:rPr>
        <w:t xml:space="preserve">. Statement of José Luis </w:t>
      </w:r>
      <w:proofErr w:type="spellStart"/>
      <w:r w:rsidRPr="00736447">
        <w:rPr>
          <w:rFonts w:asciiTheme="majorHAnsi" w:hAnsiTheme="majorHAnsi" w:cstheme="minorHAnsi"/>
          <w:sz w:val="16"/>
          <w:szCs w:val="16"/>
        </w:rPr>
        <w:t>Chirinos</w:t>
      </w:r>
      <w:proofErr w:type="spellEnd"/>
      <w:r w:rsidRPr="00736447">
        <w:rPr>
          <w:rFonts w:asciiTheme="majorHAnsi" w:hAnsiTheme="majorHAnsi" w:cstheme="minorHAnsi"/>
          <w:sz w:val="16"/>
          <w:szCs w:val="16"/>
        </w:rPr>
        <w:t xml:space="preserve"> (7.29.2005). Annex 27 to the additional brief</w:t>
      </w:r>
      <w:r w:rsidRPr="00736447">
        <w:rPr>
          <w:rFonts w:asciiTheme="majorHAnsi" w:hAnsiTheme="majorHAnsi"/>
          <w:sz w:val="16"/>
          <w:szCs w:val="16"/>
        </w:rPr>
        <w:t>.</w:t>
      </w:r>
    </w:p>
  </w:footnote>
  <w:footnote w:id="78">
    <w:p w14:paraId="489C7350" w14:textId="2858D7B7"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12</w:t>
      </w:r>
      <w:r w:rsidRPr="00736447">
        <w:rPr>
          <w:rFonts w:asciiTheme="majorHAnsi" w:hAnsiTheme="majorHAnsi"/>
          <w:sz w:val="16"/>
          <w:szCs w:val="16"/>
        </w:rPr>
        <w:t>. Statement of Nerio Romero (7.29.2005). Annex 28 to the additional brief.</w:t>
      </w:r>
    </w:p>
  </w:footnote>
  <w:footnote w:id="79">
    <w:p w14:paraId="64B77F38" w14:textId="2959D061"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cstheme="minorHAnsi"/>
          <w:sz w:val="16"/>
          <w:szCs w:val="16"/>
        </w:rPr>
        <w:t xml:space="preserve">Annex </w:t>
      </w:r>
      <w:r>
        <w:rPr>
          <w:rFonts w:asciiTheme="majorHAnsi" w:hAnsiTheme="majorHAnsi" w:cstheme="minorHAnsi"/>
          <w:sz w:val="16"/>
          <w:szCs w:val="16"/>
        </w:rPr>
        <w:t>42</w:t>
      </w:r>
      <w:r w:rsidRPr="00736447">
        <w:rPr>
          <w:rFonts w:asciiTheme="majorHAnsi" w:hAnsiTheme="majorHAnsi" w:cstheme="minorHAnsi"/>
          <w:b/>
          <w:sz w:val="16"/>
          <w:szCs w:val="16"/>
        </w:rPr>
        <w:t>.</w:t>
      </w:r>
      <w:r w:rsidRPr="00736447">
        <w:rPr>
          <w:rFonts w:asciiTheme="majorHAnsi" w:hAnsiTheme="majorHAnsi" w:cstheme="minorHAnsi"/>
          <w:sz w:val="16"/>
          <w:szCs w:val="16"/>
        </w:rPr>
        <w:t xml:space="preserve"> Interview of </w:t>
      </w:r>
      <w:proofErr w:type="spellStart"/>
      <w:r w:rsidRPr="00736447">
        <w:rPr>
          <w:rFonts w:asciiTheme="majorHAnsi" w:hAnsiTheme="majorHAnsi" w:cstheme="minorHAnsi"/>
          <w:sz w:val="16"/>
          <w:szCs w:val="16"/>
        </w:rPr>
        <w:t>Osmely</w:t>
      </w:r>
      <w:proofErr w:type="spellEnd"/>
      <w:r w:rsidRPr="00736447">
        <w:rPr>
          <w:rFonts w:asciiTheme="majorHAnsi" w:hAnsiTheme="majorHAnsi" w:cstheme="minorHAnsi"/>
          <w:sz w:val="16"/>
          <w:szCs w:val="16"/>
        </w:rPr>
        <w:t xml:space="preserve"> </w:t>
      </w:r>
      <w:proofErr w:type="spellStart"/>
      <w:r w:rsidRPr="00736447">
        <w:rPr>
          <w:rFonts w:asciiTheme="majorHAnsi" w:hAnsiTheme="majorHAnsi" w:cstheme="minorHAnsi"/>
          <w:sz w:val="16"/>
          <w:szCs w:val="16"/>
        </w:rPr>
        <w:t>Mota</w:t>
      </w:r>
      <w:proofErr w:type="spellEnd"/>
      <w:r w:rsidRPr="00736447">
        <w:rPr>
          <w:rFonts w:asciiTheme="majorHAnsi" w:hAnsiTheme="majorHAnsi" w:cstheme="minorHAnsi"/>
          <w:sz w:val="16"/>
          <w:szCs w:val="16"/>
        </w:rPr>
        <w:t xml:space="preserve"> (8.7.2005). Annex 25 to the additional brief</w:t>
      </w:r>
      <w:r w:rsidRPr="00736447">
        <w:rPr>
          <w:rFonts w:asciiTheme="majorHAnsi" w:hAnsiTheme="majorHAnsi"/>
          <w:sz w:val="16"/>
          <w:szCs w:val="16"/>
        </w:rPr>
        <w:t xml:space="preserve">; </w:t>
      </w:r>
      <w:r w:rsidRPr="00736447">
        <w:rPr>
          <w:rFonts w:asciiTheme="majorHAnsi" w:hAnsiTheme="majorHAnsi"/>
          <w:i/>
          <w:sz w:val="16"/>
          <w:szCs w:val="16"/>
        </w:rPr>
        <w:t>see also</w:t>
      </w:r>
      <w:r w:rsidRPr="00736447">
        <w:rPr>
          <w:rFonts w:asciiTheme="majorHAnsi" w:hAnsiTheme="majorHAnsi"/>
          <w:sz w:val="16"/>
          <w:szCs w:val="16"/>
        </w:rPr>
        <w:t xml:space="preserve"> Annex </w:t>
      </w:r>
      <w:r>
        <w:rPr>
          <w:rFonts w:asciiTheme="majorHAnsi" w:hAnsiTheme="majorHAnsi"/>
          <w:sz w:val="16"/>
          <w:szCs w:val="16"/>
        </w:rPr>
        <w:t>51</w:t>
      </w:r>
      <w:r w:rsidRPr="00736447">
        <w:rPr>
          <w:rFonts w:asciiTheme="majorHAnsi" w:hAnsiTheme="majorHAnsi"/>
          <w:sz w:val="16"/>
          <w:szCs w:val="16"/>
        </w:rPr>
        <w:t>. On challenges to</w:t>
      </w:r>
      <w:r>
        <w:rPr>
          <w:rFonts w:asciiTheme="majorHAnsi" w:hAnsiTheme="majorHAnsi"/>
          <w:sz w:val="16"/>
          <w:szCs w:val="16"/>
        </w:rPr>
        <w:t xml:space="preserve"> the official version see: Annexes 33 and 34</w:t>
      </w:r>
      <w:r w:rsidRPr="00736447">
        <w:rPr>
          <w:rFonts w:asciiTheme="majorHAnsi" w:hAnsiTheme="majorHAnsi"/>
          <w:sz w:val="16"/>
          <w:szCs w:val="16"/>
        </w:rPr>
        <w:t>.</w:t>
      </w:r>
    </w:p>
  </w:footnote>
  <w:footnote w:id="80">
    <w:p w14:paraId="5FB7CF8F" w14:textId="05BB5D8E"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13</w:t>
      </w:r>
      <w:r w:rsidRPr="00736447">
        <w:rPr>
          <w:rFonts w:asciiTheme="majorHAnsi" w:hAnsiTheme="majorHAnsi"/>
          <w:sz w:val="16"/>
          <w:szCs w:val="16"/>
        </w:rPr>
        <w:t xml:space="preserve">. Interview of </w:t>
      </w:r>
      <w:proofErr w:type="spellStart"/>
      <w:r w:rsidRPr="00736447">
        <w:rPr>
          <w:rFonts w:asciiTheme="majorHAnsi" w:hAnsiTheme="majorHAnsi"/>
          <w:sz w:val="16"/>
          <w:szCs w:val="16"/>
        </w:rPr>
        <w:t>Brígida</w:t>
      </w:r>
      <w:proofErr w:type="spellEnd"/>
      <w:r w:rsidRPr="00736447">
        <w:rPr>
          <w:rFonts w:asciiTheme="majorHAnsi" w:hAnsiTheme="majorHAnsi"/>
          <w:sz w:val="16"/>
          <w:szCs w:val="16"/>
        </w:rPr>
        <w:t xml:space="preserve"> Hurtado (8.7.2005). Annex 29 to the additional brief; </w:t>
      </w:r>
      <w:r w:rsidRPr="00736447">
        <w:rPr>
          <w:rFonts w:asciiTheme="majorHAnsi" w:hAnsiTheme="majorHAnsi"/>
          <w:i/>
          <w:sz w:val="16"/>
          <w:szCs w:val="16"/>
        </w:rPr>
        <w:t>see also</w:t>
      </w:r>
      <w:r w:rsidRPr="00736447">
        <w:rPr>
          <w:rFonts w:asciiTheme="majorHAnsi" w:hAnsiTheme="majorHAnsi"/>
          <w:sz w:val="16"/>
          <w:szCs w:val="16"/>
        </w:rPr>
        <w:t xml:space="preserve"> Annex </w:t>
      </w:r>
      <w:r w:rsidR="001A4533">
        <w:rPr>
          <w:rFonts w:asciiTheme="majorHAnsi" w:hAnsiTheme="majorHAnsi"/>
          <w:sz w:val="16"/>
          <w:szCs w:val="16"/>
        </w:rPr>
        <w:t>44</w:t>
      </w:r>
      <w:r w:rsidRPr="00736447">
        <w:rPr>
          <w:rFonts w:asciiTheme="majorHAnsi" w:hAnsiTheme="majorHAnsi"/>
          <w:sz w:val="16"/>
          <w:szCs w:val="16"/>
        </w:rPr>
        <w:t>. Report of the Bolívar Autonomous Emergency Services 171 (3.8.2005). Annex 47 to the additional brief.</w:t>
      </w:r>
    </w:p>
  </w:footnote>
  <w:footnote w:id="81">
    <w:p w14:paraId="575C1DAA" w14:textId="559774B0"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45</w:t>
      </w:r>
      <w:r w:rsidRPr="00736447">
        <w:rPr>
          <w:rFonts w:asciiTheme="majorHAnsi" w:hAnsiTheme="majorHAnsi"/>
          <w:sz w:val="16"/>
          <w:szCs w:val="16"/>
        </w:rPr>
        <w:t>. Interview by Norman Richards Correa (2.8.2005). Annex 48 to the additional brief.</w:t>
      </w:r>
    </w:p>
  </w:footnote>
  <w:footnote w:id="82">
    <w:p w14:paraId="4A214C7E" w14:textId="327AB60C"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46</w:t>
      </w:r>
      <w:r w:rsidRPr="00736447">
        <w:rPr>
          <w:rFonts w:asciiTheme="majorHAnsi" w:hAnsiTheme="majorHAnsi"/>
          <w:sz w:val="16"/>
          <w:szCs w:val="16"/>
        </w:rPr>
        <w:t xml:space="preserve">. Interview by Luis </w:t>
      </w:r>
      <w:proofErr w:type="spellStart"/>
      <w:r w:rsidRPr="00736447">
        <w:rPr>
          <w:rFonts w:asciiTheme="majorHAnsi" w:hAnsiTheme="majorHAnsi"/>
          <w:sz w:val="16"/>
          <w:szCs w:val="16"/>
        </w:rPr>
        <w:t>Catilo</w:t>
      </w:r>
      <w:proofErr w:type="spellEnd"/>
      <w:r w:rsidRPr="00736447">
        <w:rPr>
          <w:rFonts w:asciiTheme="majorHAnsi" w:hAnsiTheme="majorHAnsi"/>
          <w:sz w:val="16"/>
          <w:szCs w:val="16"/>
        </w:rPr>
        <w:t xml:space="preserve"> Jiménez (9.8.2005). Annex 33 to the additional brief; </w:t>
      </w:r>
      <w:r w:rsidRPr="00736447">
        <w:rPr>
          <w:rFonts w:asciiTheme="majorHAnsi" w:hAnsiTheme="majorHAnsi"/>
          <w:i/>
          <w:sz w:val="16"/>
          <w:szCs w:val="16"/>
        </w:rPr>
        <w:t xml:space="preserve">see also </w:t>
      </w:r>
      <w:r w:rsidRPr="00736447">
        <w:rPr>
          <w:rFonts w:asciiTheme="majorHAnsi" w:hAnsiTheme="majorHAnsi"/>
          <w:sz w:val="16"/>
          <w:szCs w:val="16"/>
        </w:rPr>
        <w:t xml:space="preserve">Annex </w:t>
      </w:r>
      <w:r>
        <w:rPr>
          <w:rFonts w:asciiTheme="majorHAnsi" w:hAnsiTheme="majorHAnsi"/>
          <w:sz w:val="16"/>
          <w:szCs w:val="16"/>
        </w:rPr>
        <w:t>47</w:t>
      </w:r>
      <w:r w:rsidRPr="00736447">
        <w:rPr>
          <w:rFonts w:asciiTheme="majorHAnsi" w:hAnsiTheme="majorHAnsi"/>
          <w:sz w:val="16"/>
          <w:szCs w:val="16"/>
        </w:rPr>
        <w:t>. Interview by Osman Rojas (10.8.2005). Annex 34 to the additional brief (The</w:t>
      </w:r>
      <w:r>
        <w:rPr>
          <w:rFonts w:asciiTheme="majorHAnsi" w:hAnsiTheme="majorHAnsi"/>
          <w:sz w:val="16"/>
          <w:szCs w:val="16"/>
        </w:rPr>
        <w:t>y</w:t>
      </w:r>
      <w:r w:rsidRPr="00736447">
        <w:rPr>
          <w:rFonts w:asciiTheme="majorHAnsi" w:hAnsiTheme="majorHAnsi"/>
          <w:sz w:val="16"/>
          <w:szCs w:val="16"/>
        </w:rPr>
        <w:t xml:space="preserve"> wanted to protest “because the older ones in that cell [four] had had it with us, they wanted to impose on us [...] they wanted to rule the INAM”); Annex </w:t>
      </w:r>
      <w:r>
        <w:rPr>
          <w:rFonts w:asciiTheme="majorHAnsi" w:hAnsiTheme="majorHAnsi"/>
          <w:sz w:val="16"/>
          <w:szCs w:val="16"/>
        </w:rPr>
        <w:t>48</w:t>
      </w:r>
      <w:r w:rsidRPr="00736447">
        <w:rPr>
          <w:rFonts w:asciiTheme="majorHAnsi" w:hAnsiTheme="majorHAnsi"/>
          <w:sz w:val="16"/>
          <w:szCs w:val="16"/>
        </w:rPr>
        <w:t xml:space="preserve">. Interview by Christian Rocca (8.8.2005). Annex 38 to the additional brief; Annex </w:t>
      </w:r>
      <w:r>
        <w:rPr>
          <w:rFonts w:asciiTheme="majorHAnsi" w:hAnsiTheme="majorHAnsi"/>
          <w:sz w:val="16"/>
          <w:szCs w:val="16"/>
        </w:rPr>
        <w:t>49</w:t>
      </w:r>
      <w:r w:rsidRPr="00736447">
        <w:rPr>
          <w:rFonts w:asciiTheme="majorHAnsi" w:hAnsiTheme="majorHAnsi"/>
          <w:sz w:val="16"/>
          <w:szCs w:val="16"/>
        </w:rPr>
        <w:t xml:space="preserve">. Interview by Carlos </w:t>
      </w:r>
      <w:proofErr w:type="spellStart"/>
      <w:r w:rsidRPr="00736447">
        <w:rPr>
          <w:rFonts w:asciiTheme="majorHAnsi" w:hAnsiTheme="majorHAnsi"/>
          <w:sz w:val="16"/>
          <w:szCs w:val="16"/>
        </w:rPr>
        <w:t>Lemis</w:t>
      </w:r>
      <w:proofErr w:type="spellEnd"/>
      <w:r w:rsidRPr="00736447">
        <w:rPr>
          <w:rFonts w:asciiTheme="majorHAnsi" w:hAnsiTheme="majorHAnsi"/>
          <w:sz w:val="16"/>
          <w:szCs w:val="16"/>
        </w:rPr>
        <w:t xml:space="preserve"> (8.8.2005). Annex 40 to the additional brief; Annex </w:t>
      </w:r>
      <w:r>
        <w:rPr>
          <w:rFonts w:asciiTheme="majorHAnsi" w:hAnsiTheme="majorHAnsi"/>
          <w:sz w:val="16"/>
          <w:szCs w:val="16"/>
        </w:rPr>
        <w:t>50</w:t>
      </w:r>
      <w:r w:rsidRPr="00736447">
        <w:rPr>
          <w:rFonts w:asciiTheme="majorHAnsi" w:hAnsiTheme="majorHAnsi"/>
          <w:sz w:val="16"/>
          <w:szCs w:val="16"/>
        </w:rPr>
        <w:t xml:space="preserve">. Interview by José Luis </w:t>
      </w:r>
      <w:proofErr w:type="spellStart"/>
      <w:r w:rsidRPr="00736447">
        <w:rPr>
          <w:rFonts w:asciiTheme="majorHAnsi" w:hAnsiTheme="majorHAnsi"/>
          <w:sz w:val="16"/>
          <w:szCs w:val="16"/>
        </w:rPr>
        <w:t>Pulgarita</w:t>
      </w:r>
      <w:proofErr w:type="spellEnd"/>
      <w:r w:rsidRPr="00736447">
        <w:rPr>
          <w:rFonts w:asciiTheme="majorHAnsi" w:hAnsiTheme="majorHAnsi"/>
          <w:sz w:val="16"/>
          <w:szCs w:val="16"/>
        </w:rPr>
        <w:t xml:space="preserve"> (88.8.2005). Annex 42 to the additional brief.</w:t>
      </w:r>
    </w:p>
  </w:footnote>
  <w:footnote w:id="83">
    <w:p w14:paraId="0F852906" w14:textId="1D7A4FF7"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46</w:t>
      </w:r>
      <w:r w:rsidRPr="00736447">
        <w:rPr>
          <w:rFonts w:asciiTheme="majorHAnsi" w:hAnsiTheme="majorHAnsi"/>
          <w:sz w:val="16"/>
          <w:szCs w:val="16"/>
        </w:rPr>
        <w:t xml:space="preserve">. Interview by Luis </w:t>
      </w:r>
      <w:proofErr w:type="spellStart"/>
      <w:r w:rsidRPr="00736447">
        <w:rPr>
          <w:rFonts w:asciiTheme="majorHAnsi" w:hAnsiTheme="majorHAnsi"/>
          <w:sz w:val="16"/>
          <w:szCs w:val="16"/>
        </w:rPr>
        <w:t>Catilo</w:t>
      </w:r>
      <w:proofErr w:type="spellEnd"/>
      <w:r w:rsidRPr="00736447">
        <w:rPr>
          <w:rFonts w:asciiTheme="majorHAnsi" w:hAnsiTheme="majorHAnsi"/>
          <w:sz w:val="16"/>
          <w:szCs w:val="16"/>
        </w:rPr>
        <w:t xml:space="preserve"> Jiménez (9.8.2005). Annex 33 to the additional brief; </w:t>
      </w:r>
      <w:r w:rsidRPr="00736447">
        <w:rPr>
          <w:rFonts w:asciiTheme="majorHAnsi" w:hAnsiTheme="majorHAnsi"/>
          <w:i/>
          <w:sz w:val="16"/>
          <w:szCs w:val="16"/>
        </w:rPr>
        <w:t>see also</w:t>
      </w:r>
      <w:r w:rsidRPr="00736447">
        <w:rPr>
          <w:rFonts w:asciiTheme="majorHAnsi" w:hAnsiTheme="majorHAnsi"/>
          <w:sz w:val="16"/>
          <w:szCs w:val="16"/>
        </w:rPr>
        <w:t xml:space="preserve"> Annexes </w:t>
      </w:r>
      <w:r>
        <w:rPr>
          <w:rFonts w:asciiTheme="majorHAnsi" w:hAnsiTheme="majorHAnsi"/>
          <w:sz w:val="16"/>
          <w:szCs w:val="16"/>
        </w:rPr>
        <w:t>47, 50</w:t>
      </w:r>
      <w:r w:rsidRPr="00736447">
        <w:rPr>
          <w:rFonts w:asciiTheme="majorHAnsi" w:hAnsiTheme="majorHAnsi"/>
          <w:sz w:val="16"/>
          <w:szCs w:val="16"/>
        </w:rPr>
        <w:t>.</w:t>
      </w:r>
    </w:p>
  </w:footnote>
  <w:footnote w:id="84">
    <w:p w14:paraId="03A3F465" w14:textId="41B46D63"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46</w:t>
      </w:r>
      <w:r w:rsidRPr="00736447">
        <w:rPr>
          <w:rFonts w:asciiTheme="majorHAnsi" w:hAnsiTheme="majorHAnsi"/>
          <w:sz w:val="16"/>
          <w:szCs w:val="16"/>
        </w:rPr>
        <w:t xml:space="preserve">. Interview by Luis </w:t>
      </w:r>
      <w:proofErr w:type="spellStart"/>
      <w:r w:rsidRPr="00736447">
        <w:rPr>
          <w:rFonts w:asciiTheme="majorHAnsi" w:hAnsiTheme="majorHAnsi"/>
          <w:sz w:val="16"/>
          <w:szCs w:val="16"/>
        </w:rPr>
        <w:t>Catilo</w:t>
      </w:r>
      <w:proofErr w:type="spellEnd"/>
      <w:r w:rsidRPr="00736447">
        <w:rPr>
          <w:rFonts w:asciiTheme="majorHAnsi" w:hAnsiTheme="majorHAnsi"/>
          <w:sz w:val="16"/>
          <w:szCs w:val="16"/>
        </w:rPr>
        <w:t xml:space="preserve"> Jiménez (9.8.2005). Annex 33 to the additional brief; Annexes </w:t>
      </w:r>
      <w:r>
        <w:rPr>
          <w:rFonts w:asciiTheme="majorHAnsi" w:hAnsiTheme="majorHAnsi"/>
          <w:sz w:val="16"/>
          <w:szCs w:val="16"/>
        </w:rPr>
        <w:t>47, 48, 49, 50</w:t>
      </w:r>
      <w:r w:rsidRPr="00736447">
        <w:rPr>
          <w:rFonts w:asciiTheme="majorHAnsi" w:hAnsiTheme="majorHAnsi"/>
          <w:sz w:val="16"/>
          <w:szCs w:val="16"/>
        </w:rPr>
        <w:t>.</w:t>
      </w:r>
    </w:p>
  </w:footnote>
  <w:footnote w:id="85">
    <w:p w14:paraId="2CD6FDF4" w14:textId="30DABB8A" w:rsidR="00E966C2" w:rsidRPr="00736447" w:rsidRDefault="00E966C2" w:rsidP="001A4533">
      <w:pPr>
        <w:pStyle w:val="FootnoteText"/>
        <w:jc w:val="both"/>
        <w:rPr>
          <w:rFonts w:asciiTheme="majorHAnsi" w:hAnsiTheme="majorHAnsi"/>
          <w: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49</w:t>
      </w:r>
      <w:r w:rsidRPr="00736447">
        <w:rPr>
          <w:rFonts w:asciiTheme="majorHAnsi" w:hAnsiTheme="majorHAnsi"/>
          <w:sz w:val="16"/>
          <w:szCs w:val="16"/>
        </w:rPr>
        <w:t xml:space="preserve">. Interview by Carlos </w:t>
      </w:r>
      <w:proofErr w:type="spellStart"/>
      <w:r w:rsidRPr="00736447">
        <w:rPr>
          <w:rFonts w:asciiTheme="majorHAnsi" w:hAnsiTheme="majorHAnsi"/>
          <w:sz w:val="16"/>
          <w:szCs w:val="16"/>
        </w:rPr>
        <w:t>Lemis</w:t>
      </w:r>
      <w:proofErr w:type="spellEnd"/>
      <w:r w:rsidRPr="00736447">
        <w:rPr>
          <w:rFonts w:asciiTheme="majorHAnsi" w:hAnsiTheme="majorHAnsi"/>
          <w:sz w:val="16"/>
          <w:szCs w:val="16"/>
        </w:rPr>
        <w:t xml:space="preserve"> (8.8.2005). Annex 40 to the additional brief; </w:t>
      </w:r>
      <w:r w:rsidRPr="00736447">
        <w:rPr>
          <w:rFonts w:asciiTheme="majorHAnsi" w:hAnsiTheme="majorHAnsi"/>
          <w:i/>
          <w:sz w:val="16"/>
          <w:szCs w:val="16"/>
        </w:rPr>
        <w:t xml:space="preserve">see also </w:t>
      </w:r>
      <w:r w:rsidRPr="00736447">
        <w:rPr>
          <w:rFonts w:asciiTheme="majorHAnsi" w:hAnsiTheme="majorHAnsi"/>
          <w:sz w:val="16"/>
          <w:szCs w:val="16"/>
        </w:rPr>
        <w:t xml:space="preserve">Annex </w:t>
      </w:r>
      <w:r>
        <w:rPr>
          <w:rFonts w:asciiTheme="majorHAnsi" w:hAnsiTheme="majorHAnsi"/>
          <w:sz w:val="16"/>
          <w:szCs w:val="16"/>
        </w:rPr>
        <w:t>50</w:t>
      </w:r>
      <w:r w:rsidRPr="00736447">
        <w:rPr>
          <w:rFonts w:asciiTheme="majorHAnsi" w:hAnsiTheme="majorHAnsi"/>
          <w:sz w:val="16"/>
          <w:szCs w:val="16"/>
        </w:rPr>
        <w:t xml:space="preserve"> (</w:t>
      </w:r>
      <w:proofErr w:type="spellStart"/>
      <w:r w:rsidRPr="00736447">
        <w:rPr>
          <w:rFonts w:asciiTheme="majorHAnsi" w:hAnsiTheme="majorHAnsi"/>
          <w:sz w:val="16"/>
          <w:szCs w:val="16"/>
        </w:rPr>
        <w:t>Chirinos</w:t>
      </w:r>
      <w:proofErr w:type="spellEnd"/>
      <w:r w:rsidRPr="00736447">
        <w:rPr>
          <w:rFonts w:asciiTheme="majorHAnsi" w:hAnsiTheme="majorHAnsi"/>
          <w:sz w:val="16"/>
          <w:szCs w:val="16"/>
        </w:rPr>
        <w:t xml:space="preserve"> “arrived at our cell and told us that those lads were kicking up a fuss and that it was our fault”).</w:t>
      </w:r>
    </w:p>
  </w:footnote>
  <w:footnote w:id="86">
    <w:p w14:paraId="39F9B4E3" w14:textId="5EF0D815"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20</w:t>
      </w:r>
      <w:r w:rsidRPr="00736447">
        <w:rPr>
          <w:rFonts w:asciiTheme="majorHAnsi" w:hAnsiTheme="majorHAnsi"/>
          <w:sz w:val="16"/>
          <w:szCs w:val="16"/>
        </w:rPr>
        <w:t xml:space="preserve">. Interview of Carlos </w:t>
      </w:r>
      <w:proofErr w:type="spellStart"/>
      <w:r w:rsidRPr="00736447">
        <w:rPr>
          <w:rFonts w:asciiTheme="majorHAnsi" w:hAnsiTheme="majorHAnsi"/>
          <w:sz w:val="16"/>
          <w:szCs w:val="16"/>
        </w:rPr>
        <w:t>Martes</w:t>
      </w:r>
      <w:proofErr w:type="spellEnd"/>
      <w:r w:rsidRPr="00736447">
        <w:rPr>
          <w:rFonts w:asciiTheme="majorHAnsi" w:hAnsiTheme="majorHAnsi"/>
          <w:sz w:val="16"/>
          <w:szCs w:val="16"/>
        </w:rPr>
        <w:t xml:space="preserve"> (3.8.2005). Annex 15 to the additional brief.</w:t>
      </w:r>
    </w:p>
  </w:footnote>
  <w:footnote w:id="87">
    <w:p w14:paraId="3DDA53FB" w14:textId="55D8000B"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12</w:t>
      </w:r>
      <w:r w:rsidRPr="00736447">
        <w:rPr>
          <w:rFonts w:asciiTheme="majorHAnsi" w:hAnsiTheme="majorHAnsi"/>
          <w:sz w:val="16"/>
          <w:szCs w:val="16"/>
        </w:rPr>
        <w:t>. Statement of Nerio Romero (7.29.2005). Annex 28 to the additional brief.</w:t>
      </w:r>
    </w:p>
  </w:footnote>
  <w:footnote w:id="88">
    <w:p w14:paraId="53155A48" w14:textId="7838C000"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cstheme="minorHAnsi"/>
          <w:sz w:val="16"/>
          <w:szCs w:val="16"/>
        </w:rPr>
        <w:t xml:space="preserve">Annex </w:t>
      </w:r>
      <w:r>
        <w:rPr>
          <w:rFonts w:asciiTheme="majorHAnsi" w:hAnsiTheme="majorHAnsi" w:cstheme="minorHAnsi"/>
          <w:sz w:val="16"/>
          <w:szCs w:val="16"/>
        </w:rPr>
        <w:t>40</w:t>
      </w:r>
      <w:r w:rsidRPr="00736447">
        <w:rPr>
          <w:rFonts w:asciiTheme="majorHAnsi" w:hAnsiTheme="majorHAnsi" w:cstheme="minorHAnsi"/>
          <w:sz w:val="16"/>
          <w:szCs w:val="16"/>
        </w:rPr>
        <w:t xml:space="preserve">. Statement of José Luis </w:t>
      </w:r>
      <w:proofErr w:type="spellStart"/>
      <w:r w:rsidRPr="00736447">
        <w:rPr>
          <w:rFonts w:asciiTheme="majorHAnsi" w:hAnsiTheme="majorHAnsi" w:cstheme="minorHAnsi"/>
          <w:sz w:val="16"/>
          <w:szCs w:val="16"/>
        </w:rPr>
        <w:t>Chirinos</w:t>
      </w:r>
      <w:proofErr w:type="spellEnd"/>
      <w:r w:rsidRPr="00736447">
        <w:rPr>
          <w:rFonts w:asciiTheme="majorHAnsi" w:hAnsiTheme="majorHAnsi" w:cstheme="minorHAnsi"/>
          <w:sz w:val="16"/>
          <w:szCs w:val="16"/>
        </w:rPr>
        <w:t xml:space="preserve"> (7.29.2005). Annex 27 to the additional brief</w:t>
      </w:r>
      <w:r w:rsidRPr="00736447">
        <w:rPr>
          <w:rFonts w:asciiTheme="majorHAnsi" w:hAnsiTheme="majorHAnsi"/>
          <w:sz w:val="16"/>
          <w:szCs w:val="16"/>
        </w:rPr>
        <w:t>.</w:t>
      </w:r>
    </w:p>
  </w:footnote>
  <w:footnote w:id="89">
    <w:p w14:paraId="73152EF3" w14:textId="6797F726"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cstheme="minorHAnsi"/>
          <w:sz w:val="16"/>
          <w:szCs w:val="16"/>
        </w:rPr>
        <w:t xml:space="preserve">Annex </w:t>
      </w:r>
      <w:r>
        <w:rPr>
          <w:rFonts w:asciiTheme="majorHAnsi" w:hAnsiTheme="majorHAnsi" w:cstheme="minorHAnsi"/>
          <w:sz w:val="16"/>
          <w:szCs w:val="16"/>
        </w:rPr>
        <w:t>40</w:t>
      </w:r>
      <w:r w:rsidRPr="00736447">
        <w:rPr>
          <w:rFonts w:asciiTheme="majorHAnsi" w:hAnsiTheme="majorHAnsi" w:cstheme="minorHAnsi"/>
          <w:sz w:val="16"/>
          <w:szCs w:val="16"/>
        </w:rPr>
        <w:t xml:space="preserve">. Statement of José Luis </w:t>
      </w:r>
      <w:proofErr w:type="spellStart"/>
      <w:r w:rsidRPr="00736447">
        <w:rPr>
          <w:rFonts w:asciiTheme="majorHAnsi" w:hAnsiTheme="majorHAnsi" w:cstheme="minorHAnsi"/>
          <w:sz w:val="16"/>
          <w:szCs w:val="16"/>
        </w:rPr>
        <w:t>Chirinos</w:t>
      </w:r>
      <w:proofErr w:type="spellEnd"/>
      <w:r w:rsidRPr="00736447">
        <w:rPr>
          <w:rFonts w:asciiTheme="majorHAnsi" w:hAnsiTheme="majorHAnsi" w:cstheme="minorHAnsi"/>
          <w:sz w:val="16"/>
          <w:szCs w:val="16"/>
        </w:rPr>
        <w:t xml:space="preserve"> (7.29.2005). Annex 27 to the additional brief</w:t>
      </w:r>
      <w:r w:rsidRPr="00736447">
        <w:rPr>
          <w:rFonts w:asciiTheme="majorHAnsi" w:hAnsiTheme="majorHAnsi"/>
          <w:sz w:val="16"/>
          <w:szCs w:val="16"/>
        </w:rPr>
        <w:t>.</w:t>
      </w:r>
    </w:p>
  </w:footnote>
  <w:footnote w:id="90">
    <w:p w14:paraId="2BF7478E" w14:textId="1BDD00DD"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51</w:t>
      </w:r>
      <w:r w:rsidRPr="00736447">
        <w:rPr>
          <w:rFonts w:asciiTheme="majorHAnsi" w:hAnsiTheme="majorHAnsi"/>
          <w:sz w:val="16"/>
          <w:szCs w:val="16"/>
        </w:rPr>
        <w:t>. Reconstruction of Events (31.10.2006). Annex O to the original petition.</w:t>
      </w:r>
    </w:p>
  </w:footnote>
  <w:footnote w:id="91">
    <w:p w14:paraId="755B8AE0" w14:textId="702A1BC0"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cstheme="minorHAnsi"/>
          <w:sz w:val="16"/>
          <w:szCs w:val="16"/>
        </w:rPr>
        <w:t xml:space="preserve">Annex </w:t>
      </w:r>
      <w:r>
        <w:rPr>
          <w:rFonts w:asciiTheme="majorHAnsi" w:hAnsiTheme="majorHAnsi" w:cstheme="minorHAnsi"/>
          <w:sz w:val="16"/>
          <w:szCs w:val="16"/>
        </w:rPr>
        <w:t>40</w:t>
      </w:r>
      <w:r w:rsidRPr="00736447">
        <w:rPr>
          <w:rFonts w:asciiTheme="majorHAnsi" w:hAnsiTheme="majorHAnsi" w:cstheme="minorHAnsi"/>
          <w:sz w:val="16"/>
          <w:szCs w:val="16"/>
        </w:rPr>
        <w:t xml:space="preserve">. Statement of José Luis </w:t>
      </w:r>
      <w:proofErr w:type="spellStart"/>
      <w:r w:rsidRPr="00736447">
        <w:rPr>
          <w:rFonts w:asciiTheme="majorHAnsi" w:hAnsiTheme="majorHAnsi" w:cstheme="minorHAnsi"/>
          <w:sz w:val="16"/>
          <w:szCs w:val="16"/>
        </w:rPr>
        <w:t>Chirinos</w:t>
      </w:r>
      <w:proofErr w:type="spellEnd"/>
      <w:r w:rsidRPr="00736447">
        <w:rPr>
          <w:rFonts w:asciiTheme="majorHAnsi" w:hAnsiTheme="majorHAnsi" w:cstheme="minorHAnsi"/>
          <w:sz w:val="16"/>
          <w:szCs w:val="16"/>
        </w:rPr>
        <w:t xml:space="preserve"> (7.29.2005). Annex 27 to the additional brief</w:t>
      </w:r>
      <w:r w:rsidRPr="00736447">
        <w:rPr>
          <w:rFonts w:asciiTheme="majorHAnsi" w:hAnsiTheme="majorHAnsi"/>
          <w:sz w:val="16"/>
          <w:szCs w:val="16"/>
        </w:rPr>
        <w:t xml:space="preserve">; </w:t>
      </w:r>
      <w:r w:rsidRPr="00736447">
        <w:rPr>
          <w:rFonts w:asciiTheme="majorHAnsi" w:hAnsiTheme="majorHAnsi"/>
          <w:i/>
          <w:sz w:val="16"/>
          <w:szCs w:val="16"/>
        </w:rPr>
        <w:t>see also</w:t>
      </w:r>
      <w:r w:rsidRPr="00736447">
        <w:rPr>
          <w:rFonts w:asciiTheme="majorHAnsi" w:hAnsiTheme="majorHAnsi"/>
          <w:sz w:val="16"/>
          <w:szCs w:val="16"/>
        </w:rPr>
        <w:t xml:space="preserve"> Annexes </w:t>
      </w:r>
      <w:r>
        <w:rPr>
          <w:rFonts w:asciiTheme="majorHAnsi" w:hAnsiTheme="majorHAnsi"/>
          <w:sz w:val="16"/>
          <w:szCs w:val="16"/>
        </w:rPr>
        <w:t>12, 20, 42, 48</w:t>
      </w:r>
      <w:r w:rsidRPr="00736447">
        <w:rPr>
          <w:rFonts w:asciiTheme="majorHAnsi" w:hAnsiTheme="majorHAnsi"/>
          <w:sz w:val="16"/>
          <w:szCs w:val="16"/>
        </w:rPr>
        <w:t>.</w:t>
      </w:r>
    </w:p>
  </w:footnote>
  <w:footnote w:id="92">
    <w:p w14:paraId="6794A3BD" w14:textId="62A03EA0"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1A4533">
        <w:rPr>
          <w:rFonts w:asciiTheme="majorHAnsi" w:hAnsiTheme="majorHAnsi" w:cstheme="minorHAnsi"/>
          <w:sz w:val="16"/>
          <w:szCs w:val="16"/>
        </w:rPr>
        <w:t>Annex</w:t>
      </w:r>
      <w:r w:rsidRPr="00736447">
        <w:rPr>
          <w:rFonts w:asciiTheme="majorHAnsi" w:hAnsiTheme="majorHAnsi" w:cstheme="minorHAnsi"/>
          <w:sz w:val="16"/>
          <w:szCs w:val="16"/>
        </w:rPr>
        <w:t xml:space="preserve"> </w:t>
      </w:r>
      <w:r>
        <w:rPr>
          <w:rFonts w:asciiTheme="majorHAnsi" w:hAnsiTheme="majorHAnsi" w:cstheme="minorHAnsi"/>
          <w:sz w:val="16"/>
          <w:szCs w:val="16"/>
        </w:rPr>
        <w:t>43</w:t>
      </w:r>
      <w:r w:rsidRPr="00736447">
        <w:rPr>
          <w:rFonts w:asciiTheme="majorHAnsi" w:hAnsiTheme="majorHAnsi" w:cstheme="minorHAnsi"/>
          <w:sz w:val="16"/>
          <w:szCs w:val="16"/>
        </w:rPr>
        <w:t xml:space="preserve">. Statement of </w:t>
      </w:r>
      <w:proofErr w:type="spellStart"/>
      <w:r w:rsidRPr="00736447">
        <w:rPr>
          <w:rFonts w:asciiTheme="majorHAnsi" w:hAnsiTheme="majorHAnsi" w:cstheme="minorHAnsi"/>
          <w:sz w:val="16"/>
          <w:szCs w:val="16"/>
        </w:rPr>
        <w:t>Brígida</w:t>
      </w:r>
      <w:proofErr w:type="spellEnd"/>
      <w:r w:rsidRPr="00736447">
        <w:rPr>
          <w:rFonts w:asciiTheme="majorHAnsi" w:hAnsiTheme="majorHAnsi" w:cstheme="minorHAnsi"/>
          <w:sz w:val="16"/>
          <w:szCs w:val="16"/>
        </w:rPr>
        <w:t xml:space="preserve"> Hurtado (7.29.2005). Annex 32 to the additional brief</w:t>
      </w:r>
      <w:r w:rsidRPr="00736447">
        <w:rPr>
          <w:rFonts w:asciiTheme="majorHAnsi" w:hAnsiTheme="majorHAnsi"/>
          <w:sz w:val="16"/>
          <w:szCs w:val="16"/>
        </w:rPr>
        <w:t xml:space="preserve">; </w:t>
      </w:r>
      <w:r w:rsidRPr="00736447">
        <w:rPr>
          <w:rFonts w:asciiTheme="majorHAnsi" w:hAnsiTheme="majorHAnsi"/>
          <w:i/>
          <w:sz w:val="16"/>
          <w:szCs w:val="16"/>
        </w:rPr>
        <w:t>see also</w:t>
      </w:r>
      <w:r w:rsidRPr="00736447">
        <w:rPr>
          <w:rFonts w:asciiTheme="majorHAnsi" w:hAnsiTheme="majorHAnsi"/>
          <w:sz w:val="16"/>
          <w:szCs w:val="16"/>
        </w:rPr>
        <w:t xml:space="preserve"> Annexes </w:t>
      </w:r>
      <w:r w:rsidRPr="00E966C2">
        <w:rPr>
          <w:rFonts w:asciiTheme="majorHAnsi" w:hAnsiTheme="majorHAnsi"/>
          <w:sz w:val="16"/>
          <w:szCs w:val="16"/>
        </w:rPr>
        <w:t>48, 50, 55</w:t>
      </w:r>
      <w:r w:rsidRPr="00736447">
        <w:rPr>
          <w:rFonts w:asciiTheme="majorHAnsi" w:hAnsiTheme="majorHAnsi"/>
          <w:sz w:val="16"/>
          <w:szCs w:val="16"/>
        </w:rPr>
        <w:t>.</w:t>
      </w:r>
    </w:p>
  </w:footnote>
  <w:footnote w:id="93">
    <w:p w14:paraId="411242A4" w14:textId="6FEB19D9"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cstheme="minorHAnsi"/>
          <w:sz w:val="16"/>
          <w:szCs w:val="16"/>
        </w:rPr>
        <w:t xml:space="preserve">Annex </w:t>
      </w:r>
      <w:r>
        <w:rPr>
          <w:rFonts w:asciiTheme="majorHAnsi" w:hAnsiTheme="majorHAnsi" w:cstheme="minorHAnsi"/>
          <w:sz w:val="16"/>
          <w:szCs w:val="16"/>
        </w:rPr>
        <w:t>43</w:t>
      </w:r>
      <w:r w:rsidRPr="00736447">
        <w:rPr>
          <w:rFonts w:asciiTheme="majorHAnsi" w:hAnsiTheme="majorHAnsi" w:cstheme="minorHAnsi"/>
          <w:sz w:val="16"/>
          <w:szCs w:val="16"/>
        </w:rPr>
        <w:t xml:space="preserve">. Statement of </w:t>
      </w:r>
      <w:proofErr w:type="spellStart"/>
      <w:r w:rsidRPr="00736447">
        <w:rPr>
          <w:rFonts w:asciiTheme="majorHAnsi" w:hAnsiTheme="majorHAnsi" w:cstheme="minorHAnsi"/>
          <w:sz w:val="16"/>
          <w:szCs w:val="16"/>
        </w:rPr>
        <w:t>Brígida</w:t>
      </w:r>
      <w:proofErr w:type="spellEnd"/>
      <w:r w:rsidRPr="00736447">
        <w:rPr>
          <w:rFonts w:asciiTheme="majorHAnsi" w:hAnsiTheme="majorHAnsi" w:cstheme="minorHAnsi"/>
          <w:sz w:val="16"/>
          <w:szCs w:val="16"/>
        </w:rPr>
        <w:t xml:space="preserve"> Hurtado (7.29.2005). Annex 32 to the additional brief; </w:t>
      </w:r>
      <w:r w:rsidRPr="00736447">
        <w:rPr>
          <w:rFonts w:asciiTheme="majorHAnsi" w:hAnsiTheme="majorHAnsi" w:cstheme="minorHAnsi"/>
          <w:i/>
          <w:sz w:val="16"/>
          <w:szCs w:val="16"/>
        </w:rPr>
        <w:t>see also</w:t>
      </w:r>
      <w:r w:rsidRPr="00736447">
        <w:rPr>
          <w:rFonts w:asciiTheme="majorHAnsi" w:hAnsiTheme="majorHAnsi" w:cstheme="minorHAnsi"/>
          <w:sz w:val="16"/>
          <w:szCs w:val="16"/>
        </w:rPr>
        <w:t xml:space="preserve"> Annex </w:t>
      </w:r>
      <w:r>
        <w:rPr>
          <w:rFonts w:asciiTheme="majorHAnsi" w:hAnsiTheme="majorHAnsi" w:cstheme="minorHAnsi"/>
          <w:sz w:val="16"/>
          <w:szCs w:val="16"/>
        </w:rPr>
        <w:t>40</w:t>
      </w:r>
      <w:r w:rsidRPr="00736447">
        <w:rPr>
          <w:rFonts w:asciiTheme="majorHAnsi" w:hAnsiTheme="majorHAnsi" w:cstheme="minorHAnsi"/>
          <w:sz w:val="16"/>
          <w:szCs w:val="16"/>
        </w:rPr>
        <w:t>.</w:t>
      </w:r>
    </w:p>
  </w:footnote>
  <w:footnote w:id="94">
    <w:p w14:paraId="5E14AFC9" w14:textId="7E6D8096"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i/>
          <w:sz w:val="16"/>
          <w:szCs w:val="16"/>
        </w:rPr>
        <w:t>See</w:t>
      </w:r>
      <w:r w:rsidRPr="00736447">
        <w:rPr>
          <w:rFonts w:asciiTheme="majorHAnsi" w:hAnsiTheme="majorHAnsi"/>
          <w:sz w:val="16"/>
          <w:szCs w:val="16"/>
        </w:rPr>
        <w:t xml:space="preserve">, for example, Annex </w:t>
      </w:r>
      <w:r>
        <w:rPr>
          <w:rFonts w:asciiTheme="majorHAnsi" w:hAnsiTheme="majorHAnsi"/>
          <w:sz w:val="16"/>
          <w:szCs w:val="16"/>
        </w:rPr>
        <w:t>52</w:t>
      </w:r>
      <w:r w:rsidRPr="00736447">
        <w:rPr>
          <w:rFonts w:asciiTheme="majorHAnsi" w:hAnsiTheme="majorHAnsi"/>
          <w:sz w:val="16"/>
          <w:szCs w:val="16"/>
        </w:rPr>
        <w:t xml:space="preserve">. Procedural Steps Order of CICPC (30.6.2005). Annex 46 to the additional brief; Annexes </w:t>
      </w:r>
      <w:r>
        <w:rPr>
          <w:rFonts w:asciiTheme="majorHAnsi" w:hAnsiTheme="majorHAnsi"/>
          <w:sz w:val="16"/>
          <w:szCs w:val="16"/>
        </w:rPr>
        <w:t>12, 13</w:t>
      </w:r>
      <w:r w:rsidRPr="00736447">
        <w:rPr>
          <w:rFonts w:asciiTheme="majorHAnsi" w:hAnsiTheme="majorHAnsi"/>
          <w:sz w:val="16"/>
          <w:szCs w:val="16"/>
        </w:rPr>
        <w:t>.</w:t>
      </w:r>
    </w:p>
  </w:footnote>
  <w:footnote w:id="95">
    <w:p w14:paraId="7519F178" w14:textId="155C51D4"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color w:val="auto"/>
          <w:sz w:val="16"/>
          <w:szCs w:val="16"/>
        </w:rPr>
        <w:footnoteRef/>
      </w:r>
      <w:r w:rsidRPr="00736447">
        <w:rPr>
          <w:rFonts w:asciiTheme="majorHAnsi" w:hAnsiTheme="majorHAnsi"/>
          <w:color w:val="auto"/>
          <w:sz w:val="16"/>
          <w:szCs w:val="16"/>
        </w:rPr>
        <w:t xml:space="preserve"> Annex </w:t>
      </w:r>
      <w:r>
        <w:rPr>
          <w:rFonts w:asciiTheme="majorHAnsi" w:hAnsiTheme="majorHAnsi"/>
          <w:color w:val="auto"/>
          <w:sz w:val="16"/>
          <w:szCs w:val="16"/>
        </w:rPr>
        <w:t>53</w:t>
      </w:r>
      <w:r w:rsidRPr="00736447">
        <w:rPr>
          <w:rFonts w:asciiTheme="majorHAnsi" w:hAnsiTheme="majorHAnsi"/>
          <w:color w:val="auto"/>
          <w:sz w:val="16"/>
          <w:szCs w:val="16"/>
        </w:rPr>
        <w:t xml:space="preserve">. Autopsies and Medical Examinations. Annex 57 to the additional brief; Annex </w:t>
      </w:r>
      <w:r>
        <w:rPr>
          <w:rFonts w:asciiTheme="majorHAnsi" w:hAnsiTheme="majorHAnsi"/>
          <w:color w:val="auto"/>
          <w:sz w:val="16"/>
          <w:szCs w:val="16"/>
        </w:rPr>
        <w:t>54</w:t>
      </w:r>
      <w:r w:rsidRPr="00736447">
        <w:rPr>
          <w:rFonts w:asciiTheme="majorHAnsi" w:hAnsiTheme="majorHAnsi"/>
          <w:color w:val="auto"/>
          <w:sz w:val="16"/>
          <w:szCs w:val="16"/>
        </w:rPr>
        <w:t xml:space="preserve">. “CICPC: Transcription of </w:t>
      </w:r>
      <w:r>
        <w:rPr>
          <w:rFonts w:asciiTheme="majorHAnsi" w:hAnsiTheme="majorHAnsi"/>
          <w:color w:val="auto"/>
          <w:sz w:val="16"/>
          <w:szCs w:val="16"/>
        </w:rPr>
        <w:t>Event</w:t>
      </w:r>
      <w:r w:rsidRPr="00736447">
        <w:rPr>
          <w:rFonts w:asciiTheme="majorHAnsi" w:hAnsiTheme="majorHAnsi"/>
          <w:color w:val="auto"/>
          <w:sz w:val="16"/>
          <w:szCs w:val="16"/>
        </w:rPr>
        <w:t xml:space="preserve">” (30.6.2005). Annex A to the original petition. The IACHR does not have the results of these autopsies. </w:t>
      </w:r>
      <w:r w:rsidRPr="00736447">
        <w:rPr>
          <w:rFonts w:asciiTheme="majorHAnsi" w:hAnsiTheme="majorHAnsi"/>
          <w:i/>
          <w:sz w:val="16"/>
          <w:szCs w:val="16"/>
        </w:rPr>
        <w:t>See supra</w:t>
      </w:r>
      <w:r w:rsidRPr="00736447">
        <w:rPr>
          <w:rFonts w:asciiTheme="majorHAnsi" w:hAnsiTheme="majorHAnsi"/>
          <w:sz w:val="16"/>
          <w:szCs w:val="16"/>
        </w:rPr>
        <w:t xml:space="preserve"> para</w:t>
      </w:r>
      <w:r w:rsidRPr="00E966C2">
        <w:rPr>
          <w:rFonts w:asciiTheme="majorHAnsi" w:hAnsiTheme="majorHAnsi"/>
          <w:color w:val="auto"/>
          <w:sz w:val="16"/>
          <w:szCs w:val="16"/>
        </w:rPr>
        <w:t>. 18.</w:t>
      </w:r>
    </w:p>
  </w:footnote>
  <w:footnote w:id="96">
    <w:p w14:paraId="356FACA8" w14:textId="73D53C9C"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eastAsia="Cambria" w:hAnsiTheme="majorHAnsi" w:cs="Cambria"/>
          <w:sz w:val="16"/>
          <w:szCs w:val="16"/>
        </w:rPr>
        <w:t xml:space="preserve">Annex </w:t>
      </w:r>
      <w:r>
        <w:rPr>
          <w:rFonts w:asciiTheme="majorHAnsi" w:eastAsia="Cambria" w:hAnsiTheme="majorHAnsi" w:cs="Cambria"/>
          <w:sz w:val="16"/>
          <w:szCs w:val="16"/>
        </w:rPr>
        <w:t>38</w:t>
      </w:r>
      <w:r w:rsidRPr="00736447">
        <w:rPr>
          <w:rFonts w:asciiTheme="majorHAnsi" w:eastAsia="Cambria" w:hAnsiTheme="majorHAnsi" w:cs="Cambria"/>
          <w:sz w:val="16"/>
          <w:szCs w:val="16"/>
        </w:rPr>
        <w:t>. Personnel List of the INAM-San Félix and who was working on the day of the events. Annex F to the original petition</w:t>
      </w:r>
      <w:r w:rsidRPr="00736447">
        <w:rPr>
          <w:rFonts w:asciiTheme="majorHAnsi" w:hAnsiTheme="majorHAnsi"/>
          <w:sz w:val="16"/>
          <w:szCs w:val="16"/>
        </w:rPr>
        <w:t xml:space="preserve">; </w:t>
      </w:r>
      <w:r w:rsidRPr="00736447">
        <w:rPr>
          <w:rFonts w:asciiTheme="majorHAnsi" w:hAnsiTheme="majorHAnsi"/>
          <w:i/>
          <w:sz w:val="16"/>
          <w:szCs w:val="16"/>
        </w:rPr>
        <w:t xml:space="preserve">see also </w:t>
      </w:r>
      <w:r w:rsidRPr="00736447">
        <w:rPr>
          <w:rFonts w:asciiTheme="majorHAnsi" w:hAnsiTheme="majorHAnsi"/>
          <w:sz w:val="16"/>
          <w:szCs w:val="16"/>
        </w:rPr>
        <w:t xml:space="preserve">Annex </w:t>
      </w:r>
      <w:r>
        <w:rPr>
          <w:rFonts w:asciiTheme="majorHAnsi" w:hAnsiTheme="majorHAnsi"/>
          <w:sz w:val="16"/>
          <w:szCs w:val="16"/>
        </w:rPr>
        <w:t>21</w:t>
      </w:r>
      <w:r w:rsidRPr="00736447">
        <w:rPr>
          <w:rFonts w:asciiTheme="majorHAnsi" w:hAnsiTheme="majorHAnsi"/>
          <w:sz w:val="16"/>
          <w:szCs w:val="16"/>
        </w:rPr>
        <w:t>.</w:t>
      </w:r>
    </w:p>
  </w:footnote>
  <w:footnote w:id="97">
    <w:p w14:paraId="6F5ECE4A" w14:textId="6665F632"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54</w:t>
      </w:r>
      <w:r w:rsidRPr="00736447">
        <w:rPr>
          <w:rFonts w:asciiTheme="majorHAnsi" w:hAnsiTheme="majorHAnsi"/>
          <w:sz w:val="16"/>
          <w:szCs w:val="16"/>
        </w:rPr>
        <w:t>. “CICPC: Transcription of News” (30.6.2005). Annex A to the original petition.</w:t>
      </w:r>
    </w:p>
  </w:footnote>
  <w:footnote w:id="98">
    <w:p w14:paraId="00873A18" w14:textId="2E49A93C"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18</w:t>
      </w:r>
      <w:r w:rsidRPr="00736447">
        <w:rPr>
          <w:rFonts w:asciiTheme="majorHAnsi" w:hAnsiTheme="majorHAnsi"/>
          <w:sz w:val="16"/>
          <w:szCs w:val="16"/>
        </w:rPr>
        <w:t>. Report of the Report of the National Council for the Rights of the Child and Adolescents, July 2005. Annex P to the original petition.</w:t>
      </w:r>
    </w:p>
  </w:footnote>
  <w:footnote w:id="99">
    <w:p w14:paraId="7F8A5D7C" w14:textId="7CB4F835" w:rsidR="00E966C2" w:rsidRPr="00736447" w:rsidRDefault="00E966C2" w:rsidP="001A4533">
      <w:pPr>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72</w:t>
      </w:r>
      <w:r w:rsidRPr="00736447">
        <w:rPr>
          <w:rFonts w:asciiTheme="majorHAnsi" w:hAnsiTheme="majorHAnsi"/>
          <w:sz w:val="16"/>
          <w:szCs w:val="16"/>
        </w:rPr>
        <w:t xml:space="preserve">. National Assembly (Press </w:t>
      </w:r>
      <w:r>
        <w:rPr>
          <w:rFonts w:asciiTheme="majorHAnsi" w:hAnsiTheme="majorHAnsi"/>
          <w:sz w:val="16"/>
          <w:szCs w:val="16"/>
        </w:rPr>
        <w:t>Release</w:t>
      </w:r>
      <w:r w:rsidRPr="00736447">
        <w:rPr>
          <w:rFonts w:asciiTheme="majorHAnsi" w:hAnsiTheme="majorHAnsi"/>
          <w:sz w:val="16"/>
          <w:szCs w:val="16"/>
        </w:rPr>
        <w:t>), “Investigation into deaths of 5 youths burned in the INAM detention center.” (27.7.2005). Annex U1</w:t>
      </w:r>
      <w:r>
        <w:rPr>
          <w:rFonts w:asciiTheme="majorHAnsi" w:hAnsiTheme="majorHAnsi"/>
          <w:sz w:val="16"/>
          <w:szCs w:val="16"/>
        </w:rPr>
        <w:t xml:space="preserve"> </w:t>
      </w:r>
      <w:r w:rsidRPr="00736447">
        <w:rPr>
          <w:rFonts w:asciiTheme="majorHAnsi" w:hAnsiTheme="majorHAnsi"/>
          <w:sz w:val="16"/>
          <w:szCs w:val="16"/>
        </w:rPr>
        <w:t>to the original petition.</w:t>
      </w:r>
    </w:p>
  </w:footnote>
  <w:footnote w:id="100">
    <w:p w14:paraId="46A2354F" w14:textId="18B999BE" w:rsidR="00E966C2" w:rsidRPr="00736447" w:rsidRDefault="00E966C2" w:rsidP="001A4533">
      <w:pPr>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19</w:t>
      </w:r>
      <w:r w:rsidRPr="00736447">
        <w:rPr>
          <w:rFonts w:asciiTheme="majorHAnsi" w:hAnsiTheme="majorHAnsi"/>
          <w:sz w:val="16"/>
          <w:szCs w:val="16"/>
        </w:rPr>
        <w:t xml:space="preserve">. </w:t>
      </w:r>
      <w:r>
        <w:rPr>
          <w:rFonts w:asciiTheme="majorHAnsi" w:hAnsiTheme="majorHAnsi"/>
          <w:sz w:val="16"/>
          <w:szCs w:val="16"/>
        </w:rPr>
        <w:t xml:space="preserve">CICPC </w:t>
      </w:r>
      <w:r w:rsidRPr="00736447">
        <w:rPr>
          <w:rFonts w:asciiTheme="majorHAnsi" w:hAnsiTheme="majorHAnsi"/>
          <w:sz w:val="16"/>
          <w:szCs w:val="16"/>
        </w:rPr>
        <w:t>Expert Report (31.8.2005). Annex 18 to the additional brief.</w:t>
      </w:r>
    </w:p>
  </w:footnote>
  <w:footnote w:id="101">
    <w:p w14:paraId="4BBA754E" w14:textId="0673425C"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12</w:t>
      </w:r>
      <w:r w:rsidRPr="00736447">
        <w:rPr>
          <w:rFonts w:asciiTheme="majorHAnsi" w:hAnsiTheme="majorHAnsi"/>
          <w:sz w:val="16"/>
          <w:szCs w:val="16"/>
        </w:rPr>
        <w:t xml:space="preserve">. Statement of Nerio Romero (7.29.2005). Annex 28 to the additional brief; </w:t>
      </w:r>
      <w:r w:rsidRPr="00736447">
        <w:rPr>
          <w:rFonts w:asciiTheme="majorHAnsi" w:hAnsiTheme="majorHAnsi"/>
          <w:i/>
          <w:sz w:val="16"/>
          <w:szCs w:val="16"/>
        </w:rPr>
        <w:t>see also</w:t>
      </w:r>
      <w:r w:rsidRPr="00736447">
        <w:rPr>
          <w:rFonts w:asciiTheme="majorHAnsi" w:hAnsiTheme="majorHAnsi"/>
          <w:sz w:val="16"/>
          <w:szCs w:val="16"/>
        </w:rPr>
        <w:t xml:space="preserve"> </w:t>
      </w:r>
      <w:r w:rsidRPr="00736447">
        <w:rPr>
          <w:rFonts w:asciiTheme="majorHAnsi" w:hAnsiTheme="majorHAnsi" w:cstheme="minorHAnsi"/>
          <w:sz w:val="16"/>
          <w:szCs w:val="16"/>
        </w:rPr>
        <w:t xml:space="preserve">Annex </w:t>
      </w:r>
      <w:r>
        <w:rPr>
          <w:rFonts w:asciiTheme="majorHAnsi" w:hAnsiTheme="majorHAnsi" w:cstheme="minorHAnsi"/>
          <w:sz w:val="16"/>
          <w:szCs w:val="16"/>
        </w:rPr>
        <w:t>40</w:t>
      </w:r>
      <w:r w:rsidRPr="00736447">
        <w:rPr>
          <w:rFonts w:asciiTheme="majorHAnsi" w:hAnsiTheme="majorHAnsi"/>
          <w:sz w:val="16"/>
          <w:szCs w:val="16"/>
        </w:rPr>
        <w:t>.</w:t>
      </w:r>
    </w:p>
  </w:footnote>
  <w:footnote w:id="102">
    <w:p w14:paraId="46DC6F0B" w14:textId="4A942E86"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20</w:t>
      </w:r>
      <w:r w:rsidRPr="00736447">
        <w:rPr>
          <w:rFonts w:asciiTheme="majorHAnsi" w:hAnsiTheme="majorHAnsi"/>
          <w:sz w:val="16"/>
          <w:szCs w:val="16"/>
        </w:rPr>
        <w:t xml:space="preserve">. Interview of Carlos </w:t>
      </w:r>
      <w:proofErr w:type="spellStart"/>
      <w:r w:rsidRPr="00736447">
        <w:rPr>
          <w:rFonts w:asciiTheme="majorHAnsi" w:hAnsiTheme="majorHAnsi"/>
          <w:sz w:val="16"/>
          <w:szCs w:val="16"/>
        </w:rPr>
        <w:t>Martes</w:t>
      </w:r>
      <w:proofErr w:type="spellEnd"/>
      <w:r w:rsidRPr="00736447">
        <w:rPr>
          <w:rFonts w:asciiTheme="majorHAnsi" w:hAnsiTheme="majorHAnsi"/>
          <w:sz w:val="16"/>
          <w:szCs w:val="16"/>
        </w:rPr>
        <w:t xml:space="preserve"> (3.8.2005). Annex 15 to the additional brief. </w:t>
      </w:r>
      <w:r w:rsidRPr="00736447">
        <w:rPr>
          <w:rFonts w:asciiTheme="majorHAnsi" w:hAnsiTheme="majorHAnsi"/>
          <w:i/>
          <w:sz w:val="16"/>
          <w:szCs w:val="16"/>
        </w:rPr>
        <w:t xml:space="preserve">See also </w:t>
      </w:r>
      <w:r w:rsidRPr="00736447">
        <w:rPr>
          <w:rFonts w:asciiTheme="majorHAnsi" w:hAnsiTheme="majorHAnsi"/>
          <w:sz w:val="16"/>
          <w:szCs w:val="16"/>
        </w:rPr>
        <w:t xml:space="preserve">Annex </w:t>
      </w:r>
      <w:r>
        <w:rPr>
          <w:rFonts w:asciiTheme="majorHAnsi" w:hAnsiTheme="majorHAnsi"/>
          <w:sz w:val="16"/>
          <w:szCs w:val="16"/>
        </w:rPr>
        <w:t>13</w:t>
      </w:r>
      <w:r w:rsidRPr="00736447">
        <w:rPr>
          <w:rFonts w:asciiTheme="majorHAnsi" w:hAnsiTheme="majorHAnsi"/>
          <w:sz w:val="16"/>
          <w:szCs w:val="16"/>
        </w:rPr>
        <w:t>.</w:t>
      </w:r>
    </w:p>
  </w:footnote>
  <w:footnote w:id="103">
    <w:p w14:paraId="620AF72C" w14:textId="226E14D3"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cstheme="minorHAnsi"/>
          <w:sz w:val="16"/>
          <w:szCs w:val="16"/>
        </w:rPr>
        <w:t xml:space="preserve">Annex </w:t>
      </w:r>
      <w:r>
        <w:rPr>
          <w:rFonts w:asciiTheme="majorHAnsi" w:hAnsiTheme="majorHAnsi" w:cstheme="minorHAnsi"/>
          <w:sz w:val="16"/>
          <w:szCs w:val="16"/>
        </w:rPr>
        <w:t>40</w:t>
      </w:r>
      <w:r w:rsidRPr="00736447">
        <w:rPr>
          <w:rFonts w:asciiTheme="majorHAnsi" w:hAnsiTheme="majorHAnsi" w:cstheme="minorHAnsi"/>
          <w:sz w:val="16"/>
          <w:szCs w:val="16"/>
        </w:rPr>
        <w:t xml:space="preserve">. Statement of José Luis </w:t>
      </w:r>
      <w:proofErr w:type="spellStart"/>
      <w:r w:rsidRPr="00736447">
        <w:rPr>
          <w:rFonts w:asciiTheme="majorHAnsi" w:hAnsiTheme="majorHAnsi" w:cstheme="minorHAnsi"/>
          <w:sz w:val="16"/>
          <w:szCs w:val="16"/>
        </w:rPr>
        <w:t>Chirinos</w:t>
      </w:r>
      <w:proofErr w:type="spellEnd"/>
      <w:r w:rsidRPr="00736447">
        <w:rPr>
          <w:rFonts w:asciiTheme="majorHAnsi" w:hAnsiTheme="majorHAnsi" w:cstheme="minorHAnsi"/>
          <w:sz w:val="16"/>
          <w:szCs w:val="16"/>
        </w:rPr>
        <w:t xml:space="preserve"> (7.29.2005). Annex 27 to the additional brief</w:t>
      </w:r>
      <w:r w:rsidRPr="00736447">
        <w:rPr>
          <w:rFonts w:asciiTheme="majorHAnsi" w:hAnsiTheme="majorHAnsi"/>
          <w:sz w:val="16"/>
          <w:szCs w:val="16"/>
        </w:rPr>
        <w:t>.</w:t>
      </w:r>
    </w:p>
  </w:footnote>
  <w:footnote w:id="104">
    <w:p w14:paraId="119B5E9A" w14:textId="481BDB10"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48</w:t>
      </w:r>
      <w:r w:rsidRPr="00736447">
        <w:rPr>
          <w:rFonts w:asciiTheme="majorHAnsi" w:hAnsiTheme="majorHAnsi"/>
          <w:sz w:val="16"/>
          <w:szCs w:val="16"/>
        </w:rPr>
        <w:t>. Interview by Christian Rocca (8.8.2005). Annex 38 to the additional brief.</w:t>
      </w:r>
    </w:p>
  </w:footnote>
  <w:footnote w:id="105">
    <w:p w14:paraId="4D333116" w14:textId="4988CC75"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13</w:t>
      </w:r>
      <w:r w:rsidRPr="00736447">
        <w:rPr>
          <w:rFonts w:asciiTheme="majorHAnsi" w:hAnsiTheme="majorHAnsi"/>
          <w:sz w:val="16"/>
          <w:szCs w:val="16"/>
        </w:rPr>
        <w:t xml:space="preserve">. Interview of </w:t>
      </w:r>
      <w:proofErr w:type="spellStart"/>
      <w:r w:rsidRPr="00736447">
        <w:rPr>
          <w:rFonts w:asciiTheme="majorHAnsi" w:hAnsiTheme="majorHAnsi"/>
          <w:sz w:val="16"/>
          <w:szCs w:val="16"/>
        </w:rPr>
        <w:t>Brígida</w:t>
      </w:r>
      <w:proofErr w:type="spellEnd"/>
      <w:r w:rsidRPr="00736447">
        <w:rPr>
          <w:rFonts w:asciiTheme="majorHAnsi" w:hAnsiTheme="majorHAnsi"/>
          <w:sz w:val="16"/>
          <w:szCs w:val="16"/>
        </w:rPr>
        <w:t xml:space="preserve"> Hurtado (8.7.2005). Annex 29 to the additional brief.</w:t>
      </w:r>
    </w:p>
  </w:footnote>
  <w:footnote w:id="106">
    <w:p w14:paraId="35F41444" w14:textId="5A09A8C6"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55</w:t>
      </w:r>
      <w:r w:rsidRPr="00736447">
        <w:rPr>
          <w:rFonts w:asciiTheme="majorHAnsi" w:hAnsiTheme="majorHAnsi"/>
          <w:sz w:val="16"/>
          <w:szCs w:val="16"/>
        </w:rPr>
        <w:t xml:space="preserve">. Interview by </w:t>
      </w:r>
      <w:proofErr w:type="spellStart"/>
      <w:r w:rsidRPr="00736447">
        <w:rPr>
          <w:rFonts w:asciiTheme="majorHAnsi" w:hAnsiTheme="majorHAnsi"/>
          <w:sz w:val="16"/>
          <w:szCs w:val="16"/>
        </w:rPr>
        <w:t>Jhorwis</w:t>
      </w:r>
      <w:proofErr w:type="spellEnd"/>
      <w:r w:rsidRPr="00736447">
        <w:rPr>
          <w:rFonts w:asciiTheme="majorHAnsi" w:hAnsiTheme="majorHAnsi"/>
          <w:sz w:val="16"/>
          <w:szCs w:val="16"/>
        </w:rPr>
        <w:t xml:space="preserve"> Machado (12.8.2005). Annex 39 to the additional brief; </w:t>
      </w:r>
      <w:r w:rsidRPr="00736447">
        <w:rPr>
          <w:rFonts w:asciiTheme="majorHAnsi" w:hAnsiTheme="majorHAnsi"/>
          <w:i/>
          <w:sz w:val="16"/>
          <w:szCs w:val="16"/>
        </w:rPr>
        <w:t>see also</w:t>
      </w:r>
      <w:r w:rsidRPr="00736447">
        <w:rPr>
          <w:rFonts w:asciiTheme="majorHAnsi" w:hAnsiTheme="majorHAnsi"/>
          <w:sz w:val="16"/>
          <w:szCs w:val="16"/>
        </w:rPr>
        <w:t xml:space="preserve"> Annexes </w:t>
      </w:r>
      <w:r>
        <w:rPr>
          <w:rFonts w:asciiTheme="majorHAnsi" w:hAnsiTheme="majorHAnsi"/>
          <w:sz w:val="16"/>
          <w:szCs w:val="16"/>
        </w:rPr>
        <w:t>49, 50</w:t>
      </w:r>
      <w:r w:rsidRPr="00736447">
        <w:rPr>
          <w:rFonts w:asciiTheme="majorHAnsi" w:hAnsiTheme="majorHAnsi"/>
          <w:sz w:val="16"/>
          <w:szCs w:val="16"/>
        </w:rPr>
        <w:t>.</w:t>
      </w:r>
    </w:p>
  </w:footnote>
  <w:footnote w:id="107">
    <w:p w14:paraId="273BF226" w14:textId="540B6319"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56</w:t>
      </w:r>
      <w:r w:rsidRPr="00736447">
        <w:rPr>
          <w:rFonts w:asciiTheme="majorHAnsi" w:hAnsiTheme="majorHAnsi"/>
          <w:sz w:val="16"/>
          <w:szCs w:val="16"/>
        </w:rPr>
        <w:t xml:space="preserve">. Interview by Carlos </w:t>
      </w:r>
      <w:proofErr w:type="spellStart"/>
      <w:r w:rsidRPr="00736447">
        <w:rPr>
          <w:rFonts w:asciiTheme="majorHAnsi" w:hAnsiTheme="majorHAnsi"/>
          <w:sz w:val="16"/>
          <w:szCs w:val="16"/>
        </w:rPr>
        <w:t>Zabala</w:t>
      </w:r>
      <w:proofErr w:type="spellEnd"/>
      <w:r w:rsidRPr="00736447">
        <w:rPr>
          <w:rFonts w:asciiTheme="majorHAnsi" w:hAnsiTheme="majorHAnsi"/>
          <w:sz w:val="16"/>
          <w:szCs w:val="16"/>
        </w:rPr>
        <w:t xml:space="preserve"> (8.7.2005). Annex 35 to the additional brief.</w:t>
      </w:r>
    </w:p>
  </w:footnote>
  <w:footnote w:id="108">
    <w:p w14:paraId="051A5511" w14:textId="28ACA3F6"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56</w:t>
      </w:r>
      <w:r w:rsidRPr="00736447">
        <w:rPr>
          <w:rFonts w:asciiTheme="majorHAnsi" w:hAnsiTheme="majorHAnsi"/>
          <w:sz w:val="16"/>
          <w:szCs w:val="16"/>
        </w:rPr>
        <w:t xml:space="preserve">. Interview by Carlos </w:t>
      </w:r>
      <w:proofErr w:type="spellStart"/>
      <w:r w:rsidRPr="00736447">
        <w:rPr>
          <w:rFonts w:asciiTheme="majorHAnsi" w:hAnsiTheme="majorHAnsi"/>
          <w:sz w:val="16"/>
          <w:szCs w:val="16"/>
        </w:rPr>
        <w:t>Zabala</w:t>
      </w:r>
      <w:proofErr w:type="spellEnd"/>
      <w:r w:rsidRPr="00736447">
        <w:rPr>
          <w:rFonts w:asciiTheme="majorHAnsi" w:hAnsiTheme="majorHAnsi"/>
          <w:sz w:val="16"/>
          <w:szCs w:val="16"/>
        </w:rPr>
        <w:t xml:space="preserve"> (8.7.2005). Annex 35 to the additional brief.</w:t>
      </w:r>
    </w:p>
  </w:footnote>
  <w:footnote w:id="109">
    <w:p w14:paraId="250AC8F7" w14:textId="7830769D"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cstheme="minorHAnsi"/>
          <w:sz w:val="16"/>
          <w:szCs w:val="16"/>
        </w:rPr>
        <w:t xml:space="preserve">Annex </w:t>
      </w:r>
      <w:r>
        <w:rPr>
          <w:rFonts w:asciiTheme="majorHAnsi" w:hAnsiTheme="majorHAnsi" w:cstheme="minorHAnsi"/>
          <w:sz w:val="16"/>
          <w:szCs w:val="16"/>
        </w:rPr>
        <w:t>43</w:t>
      </w:r>
      <w:r w:rsidRPr="00736447">
        <w:rPr>
          <w:rFonts w:asciiTheme="majorHAnsi" w:hAnsiTheme="majorHAnsi" w:cstheme="minorHAnsi"/>
          <w:sz w:val="16"/>
          <w:szCs w:val="16"/>
        </w:rPr>
        <w:t xml:space="preserve">. Statement of </w:t>
      </w:r>
      <w:proofErr w:type="spellStart"/>
      <w:r w:rsidRPr="00736447">
        <w:rPr>
          <w:rFonts w:asciiTheme="majorHAnsi" w:hAnsiTheme="majorHAnsi" w:cstheme="minorHAnsi"/>
          <w:sz w:val="16"/>
          <w:szCs w:val="16"/>
        </w:rPr>
        <w:t>Brígida</w:t>
      </w:r>
      <w:proofErr w:type="spellEnd"/>
      <w:r w:rsidRPr="00736447">
        <w:rPr>
          <w:rFonts w:asciiTheme="majorHAnsi" w:hAnsiTheme="majorHAnsi" w:cstheme="minorHAnsi"/>
          <w:sz w:val="16"/>
          <w:szCs w:val="16"/>
        </w:rPr>
        <w:t xml:space="preserve"> Hurtado (7.29.2005). Annex 32 to the additional brief</w:t>
      </w:r>
      <w:r w:rsidRPr="00736447">
        <w:rPr>
          <w:rFonts w:asciiTheme="majorHAnsi" w:hAnsiTheme="majorHAnsi"/>
          <w:sz w:val="16"/>
          <w:szCs w:val="16"/>
        </w:rPr>
        <w:t>.</w:t>
      </w:r>
    </w:p>
  </w:footnote>
  <w:footnote w:id="110">
    <w:p w14:paraId="4D6BF852" w14:textId="0EE3B120"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57</w:t>
      </w:r>
      <w:r w:rsidRPr="00736447">
        <w:rPr>
          <w:rFonts w:asciiTheme="majorHAnsi" w:hAnsiTheme="majorHAnsi"/>
          <w:sz w:val="16"/>
          <w:szCs w:val="16"/>
        </w:rPr>
        <w:t>. Preliminary Report of the CICPC (1.8.2005). Annex 19 to the additional brief.</w:t>
      </w:r>
    </w:p>
  </w:footnote>
  <w:footnote w:id="111">
    <w:p w14:paraId="1642FE18" w14:textId="1D792034"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i/>
          <w:sz w:val="16"/>
          <w:szCs w:val="16"/>
        </w:rPr>
        <w:t>See</w:t>
      </w:r>
      <w:r w:rsidRPr="00736447">
        <w:rPr>
          <w:rFonts w:asciiTheme="majorHAnsi" w:hAnsiTheme="majorHAnsi"/>
          <w:sz w:val="16"/>
          <w:szCs w:val="16"/>
        </w:rPr>
        <w:t xml:space="preserve">, for example, Annex </w:t>
      </w:r>
      <w:r>
        <w:rPr>
          <w:rFonts w:asciiTheme="majorHAnsi" w:hAnsiTheme="majorHAnsi"/>
          <w:sz w:val="16"/>
          <w:szCs w:val="16"/>
        </w:rPr>
        <w:t>37</w:t>
      </w:r>
      <w:r w:rsidRPr="00736447">
        <w:rPr>
          <w:rFonts w:asciiTheme="majorHAnsi" w:hAnsiTheme="majorHAnsi"/>
          <w:sz w:val="16"/>
          <w:szCs w:val="16"/>
        </w:rPr>
        <w:t xml:space="preserve">. </w:t>
      </w:r>
      <w:proofErr w:type="spellStart"/>
      <w:r w:rsidRPr="00736447">
        <w:rPr>
          <w:rFonts w:asciiTheme="majorHAnsi" w:hAnsiTheme="majorHAnsi"/>
          <w:i/>
          <w:sz w:val="16"/>
          <w:szCs w:val="16"/>
        </w:rPr>
        <w:t>Correo</w:t>
      </w:r>
      <w:proofErr w:type="spellEnd"/>
      <w:r w:rsidRPr="00736447">
        <w:rPr>
          <w:rFonts w:asciiTheme="majorHAnsi" w:hAnsiTheme="majorHAnsi"/>
          <w:i/>
          <w:sz w:val="16"/>
          <w:szCs w:val="16"/>
        </w:rPr>
        <w:t xml:space="preserve"> </w:t>
      </w:r>
      <w:proofErr w:type="gramStart"/>
      <w:r w:rsidRPr="00736447">
        <w:rPr>
          <w:rFonts w:asciiTheme="majorHAnsi" w:hAnsiTheme="majorHAnsi"/>
          <w:i/>
          <w:sz w:val="16"/>
          <w:szCs w:val="16"/>
        </w:rPr>
        <w:t>del</w:t>
      </w:r>
      <w:proofErr w:type="gramEnd"/>
      <w:r w:rsidRPr="00736447">
        <w:rPr>
          <w:rFonts w:asciiTheme="majorHAnsi" w:hAnsiTheme="majorHAnsi"/>
          <w:i/>
          <w:sz w:val="16"/>
          <w:szCs w:val="16"/>
        </w:rPr>
        <w:t xml:space="preserve"> </w:t>
      </w:r>
      <w:proofErr w:type="spellStart"/>
      <w:r w:rsidRPr="00736447">
        <w:rPr>
          <w:rFonts w:asciiTheme="majorHAnsi" w:hAnsiTheme="majorHAnsi"/>
          <w:i/>
          <w:sz w:val="16"/>
          <w:szCs w:val="16"/>
        </w:rPr>
        <w:t>Caroní</w:t>
      </w:r>
      <w:proofErr w:type="spellEnd"/>
      <w:r w:rsidRPr="00736447">
        <w:rPr>
          <w:rFonts w:asciiTheme="majorHAnsi" w:hAnsiTheme="majorHAnsi"/>
          <w:sz w:val="16"/>
          <w:szCs w:val="16"/>
        </w:rPr>
        <w:t xml:space="preserve">, “Prosecutor indicts former Warden of INAM for intentional homicide” (9.5.2006). Annex to the original petition (indicating that Humberto Prado [petitioner in the present case], “added that this same situation has occurred in many detention centers in Venezuela where the inmates die from being burnt”. The petitioner has not referred to the alleged existence of this practice in its </w:t>
      </w:r>
      <w:r>
        <w:rPr>
          <w:rFonts w:asciiTheme="majorHAnsi" w:hAnsiTheme="majorHAnsi"/>
          <w:sz w:val="16"/>
          <w:szCs w:val="16"/>
        </w:rPr>
        <w:t>briefs</w:t>
      </w:r>
      <w:r w:rsidRPr="00736447">
        <w:rPr>
          <w:rFonts w:asciiTheme="majorHAnsi" w:hAnsiTheme="majorHAnsi"/>
          <w:sz w:val="16"/>
          <w:szCs w:val="16"/>
        </w:rPr>
        <w:t xml:space="preserve"> in the present case); Annex </w:t>
      </w:r>
      <w:r>
        <w:rPr>
          <w:rFonts w:asciiTheme="majorHAnsi" w:hAnsiTheme="majorHAnsi"/>
          <w:sz w:val="16"/>
          <w:szCs w:val="16"/>
        </w:rPr>
        <w:t>72</w:t>
      </w:r>
      <w:r w:rsidRPr="00736447">
        <w:rPr>
          <w:rFonts w:asciiTheme="majorHAnsi" w:hAnsiTheme="majorHAnsi"/>
          <w:sz w:val="16"/>
          <w:szCs w:val="16"/>
        </w:rPr>
        <w:t xml:space="preserve">. National Assembly (Press Communiqué), “Investigation in the deaths of 5 youths burnt in the INAM detention center.” (27.7.2005). Annex </w:t>
      </w:r>
      <w:r>
        <w:rPr>
          <w:rFonts w:asciiTheme="majorHAnsi" w:hAnsiTheme="majorHAnsi"/>
          <w:sz w:val="16"/>
          <w:szCs w:val="16"/>
        </w:rPr>
        <w:t xml:space="preserve">U1 </w:t>
      </w:r>
      <w:r w:rsidRPr="00736447">
        <w:rPr>
          <w:rFonts w:asciiTheme="majorHAnsi" w:hAnsiTheme="majorHAnsi"/>
          <w:sz w:val="16"/>
          <w:szCs w:val="16"/>
        </w:rPr>
        <w:t xml:space="preserve">to the original petition (“the fact </w:t>
      </w:r>
      <w:r>
        <w:rPr>
          <w:rFonts w:asciiTheme="majorHAnsi" w:hAnsiTheme="majorHAnsi"/>
          <w:sz w:val="16"/>
          <w:szCs w:val="16"/>
        </w:rPr>
        <w:t>of</w:t>
      </w:r>
      <w:r w:rsidRPr="00736447">
        <w:rPr>
          <w:rFonts w:asciiTheme="majorHAnsi" w:hAnsiTheme="majorHAnsi"/>
          <w:sz w:val="16"/>
          <w:szCs w:val="16"/>
        </w:rPr>
        <w:t xml:space="preserve"> burning another human being has become a recurring practice”).</w:t>
      </w:r>
    </w:p>
  </w:footnote>
  <w:footnote w:id="112">
    <w:p w14:paraId="71F5629A" w14:textId="412C3A9B"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55</w:t>
      </w:r>
      <w:r w:rsidRPr="00736447">
        <w:rPr>
          <w:rFonts w:asciiTheme="majorHAnsi" w:hAnsiTheme="majorHAnsi"/>
          <w:sz w:val="16"/>
          <w:szCs w:val="16"/>
        </w:rPr>
        <w:t xml:space="preserve">. Interview by </w:t>
      </w:r>
      <w:proofErr w:type="spellStart"/>
      <w:r w:rsidRPr="00736447">
        <w:rPr>
          <w:rFonts w:asciiTheme="majorHAnsi" w:hAnsiTheme="majorHAnsi"/>
          <w:sz w:val="16"/>
          <w:szCs w:val="16"/>
        </w:rPr>
        <w:t>Jhorwis</w:t>
      </w:r>
      <w:proofErr w:type="spellEnd"/>
      <w:r w:rsidRPr="00736447">
        <w:rPr>
          <w:rFonts w:asciiTheme="majorHAnsi" w:hAnsiTheme="majorHAnsi"/>
          <w:sz w:val="16"/>
          <w:szCs w:val="16"/>
        </w:rPr>
        <w:t xml:space="preserve"> Machado (12.8.2005). Annex 39 to the additional brief; </w:t>
      </w:r>
      <w:r w:rsidRPr="00736447">
        <w:rPr>
          <w:rFonts w:asciiTheme="majorHAnsi" w:hAnsiTheme="majorHAnsi"/>
          <w:i/>
          <w:sz w:val="16"/>
          <w:szCs w:val="16"/>
        </w:rPr>
        <w:t>see also</w:t>
      </w:r>
      <w:r w:rsidRPr="00736447">
        <w:rPr>
          <w:rFonts w:asciiTheme="majorHAnsi" w:hAnsiTheme="majorHAnsi"/>
          <w:sz w:val="16"/>
          <w:szCs w:val="16"/>
        </w:rPr>
        <w:t xml:space="preserve"> Annexes </w:t>
      </w:r>
      <w:r>
        <w:rPr>
          <w:rFonts w:asciiTheme="majorHAnsi" w:hAnsiTheme="majorHAnsi"/>
          <w:sz w:val="16"/>
          <w:szCs w:val="16"/>
        </w:rPr>
        <w:t>20, 49, 50</w:t>
      </w:r>
      <w:r w:rsidRPr="00736447">
        <w:rPr>
          <w:rFonts w:asciiTheme="majorHAnsi" w:hAnsiTheme="majorHAnsi"/>
          <w:sz w:val="16"/>
          <w:szCs w:val="16"/>
        </w:rPr>
        <w:t>.</w:t>
      </w:r>
    </w:p>
  </w:footnote>
  <w:footnote w:id="113">
    <w:p w14:paraId="60B31E66" w14:textId="6D0FD630"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58</w:t>
      </w:r>
      <w:r w:rsidRPr="00736447">
        <w:rPr>
          <w:rFonts w:asciiTheme="majorHAnsi" w:hAnsiTheme="majorHAnsi"/>
          <w:sz w:val="16"/>
          <w:szCs w:val="16"/>
        </w:rPr>
        <w:t>. Exhumation Request (5.12.2005). Annex 55 to the additional brief.</w:t>
      </w:r>
    </w:p>
  </w:footnote>
  <w:footnote w:id="114">
    <w:p w14:paraId="0EF7261B" w14:textId="6948C520"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58</w:t>
      </w:r>
      <w:r w:rsidRPr="00736447">
        <w:rPr>
          <w:rFonts w:asciiTheme="majorHAnsi" w:hAnsiTheme="majorHAnsi"/>
          <w:sz w:val="16"/>
          <w:szCs w:val="16"/>
        </w:rPr>
        <w:t>. Exhumation Request (5.12.2005). Annex 55 to the additional brief.</w:t>
      </w:r>
    </w:p>
  </w:footnote>
  <w:footnote w:id="115">
    <w:p w14:paraId="035CBF24" w14:textId="6F1D5371"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59</w:t>
      </w:r>
      <w:r w:rsidRPr="00736447">
        <w:rPr>
          <w:rFonts w:asciiTheme="majorHAnsi" w:hAnsiTheme="majorHAnsi"/>
          <w:sz w:val="16"/>
          <w:szCs w:val="16"/>
        </w:rPr>
        <w:t>. Post Exhumation Examination Report (25.1.2006). Annex 56 to the additional brief. Results of the exhumation and autopsy of Rafael Parra unavailable.</w:t>
      </w:r>
    </w:p>
  </w:footnote>
  <w:footnote w:id="116">
    <w:p w14:paraId="7347E0BB" w14:textId="34C98F4D"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i/>
          <w:sz w:val="16"/>
          <w:szCs w:val="16"/>
        </w:rPr>
        <w:t>See</w:t>
      </w:r>
      <w:r w:rsidRPr="00736447">
        <w:rPr>
          <w:rFonts w:asciiTheme="majorHAnsi" w:hAnsiTheme="majorHAnsi"/>
          <w:sz w:val="16"/>
          <w:szCs w:val="16"/>
        </w:rPr>
        <w:t xml:space="preserve"> Annex </w:t>
      </w:r>
      <w:r>
        <w:rPr>
          <w:rFonts w:asciiTheme="majorHAnsi" w:hAnsiTheme="majorHAnsi"/>
          <w:sz w:val="16"/>
          <w:szCs w:val="16"/>
        </w:rPr>
        <w:t>7</w:t>
      </w:r>
      <w:r w:rsidRPr="00736447">
        <w:rPr>
          <w:rFonts w:asciiTheme="majorHAnsi" w:hAnsiTheme="majorHAnsi"/>
          <w:sz w:val="16"/>
          <w:szCs w:val="16"/>
        </w:rPr>
        <w:t xml:space="preserve">. Order for Exhumation (25.1.2006). Annex Q5 to the original petition. </w:t>
      </w:r>
    </w:p>
  </w:footnote>
  <w:footnote w:id="117">
    <w:p w14:paraId="72CF3B70" w14:textId="7E328EC8"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i/>
          <w:sz w:val="16"/>
          <w:szCs w:val="16"/>
        </w:rPr>
        <w:t>See supra</w:t>
      </w:r>
      <w:r w:rsidRPr="00736447">
        <w:rPr>
          <w:rFonts w:asciiTheme="majorHAnsi" w:hAnsiTheme="majorHAnsi"/>
          <w:sz w:val="16"/>
          <w:szCs w:val="16"/>
        </w:rPr>
        <w:t xml:space="preserve"> </w:t>
      </w:r>
      <w:r w:rsidRPr="00E966C2">
        <w:rPr>
          <w:rFonts w:asciiTheme="majorHAnsi" w:hAnsiTheme="majorHAnsi"/>
          <w:color w:val="auto"/>
          <w:sz w:val="16"/>
          <w:szCs w:val="16"/>
        </w:rPr>
        <w:t xml:space="preserve">para. 7; </w:t>
      </w:r>
      <w:proofErr w:type="gramStart"/>
      <w:r>
        <w:rPr>
          <w:rFonts w:asciiTheme="majorHAnsi" w:hAnsiTheme="majorHAnsi"/>
          <w:i/>
          <w:color w:val="auto"/>
          <w:sz w:val="16"/>
          <w:szCs w:val="16"/>
        </w:rPr>
        <w:t>accord.</w:t>
      </w:r>
      <w:r w:rsidRPr="00736447">
        <w:rPr>
          <w:rFonts w:asciiTheme="majorHAnsi" w:hAnsiTheme="majorHAnsi"/>
          <w:sz w:val="16"/>
          <w:szCs w:val="16"/>
        </w:rPr>
        <w:t>,</w:t>
      </w:r>
      <w:proofErr w:type="gramEnd"/>
      <w:r w:rsidRPr="00736447">
        <w:rPr>
          <w:rFonts w:asciiTheme="majorHAnsi" w:hAnsiTheme="majorHAnsi"/>
          <w:sz w:val="16"/>
          <w:szCs w:val="16"/>
        </w:rPr>
        <w:t xml:space="preserve"> Annex</w:t>
      </w:r>
      <w:r w:rsidRPr="00736447">
        <w:rPr>
          <w:rFonts w:asciiTheme="majorHAnsi" w:hAnsiTheme="majorHAnsi" w:cstheme="minorHAnsi"/>
          <w:sz w:val="16"/>
          <w:szCs w:val="16"/>
        </w:rPr>
        <w:t xml:space="preserve"> </w:t>
      </w:r>
      <w:r>
        <w:rPr>
          <w:rFonts w:asciiTheme="majorHAnsi" w:hAnsiTheme="majorHAnsi" w:cstheme="minorHAnsi"/>
          <w:sz w:val="16"/>
          <w:szCs w:val="16"/>
        </w:rPr>
        <w:t>42</w:t>
      </w:r>
      <w:r w:rsidRPr="00736447">
        <w:rPr>
          <w:rFonts w:asciiTheme="majorHAnsi" w:hAnsiTheme="majorHAnsi" w:cstheme="minorHAnsi"/>
          <w:b/>
          <w:sz w:val="16"/>
          <w:szCs w:val="16"/>
        </w:rPr>
        <w:t>.</w:t>
      </w:r>
      <w:r w:rsidRPr="00736447">
        <w:rPr>
          <w:rFonts w:asciiTheme="majorHAnsi" w:hAnsiTheme="majorHAnsi" w:cstheme="minorHAnsi"/>
          <w:sz w:val="16"/>
          <w:szCs w:val="16"/>
        </w:rPr>
        <w:t xml:space="preserve"> Interview of </w:t>
      </w:r>
      <w:proofErr w:type="spellStart"/>
      <w:r w:rsidRPr="00736447">
        <w:rPr>
          <w:rFonts w:asciiTheme="majorHAnsi" w:hAnsiTheme="majorHAnsi" w:cstheme="minorHAnsi"/>
          <w:sz w:val="16"/>
          <w:szCs w:val="16"/>
        </w:rPr>
        <w:t>Osmely</w:t>
      </w:r>
      <w:proofErr w:type="spellEnd"/>
      <w:r w:rsidRPr="00736447">
        <w:rPr>
          <w:rFonts w:asciiTheme="majorHAnsi" w:hAnsiTheme="majorHAnsi" w:cstheme="minorHAnsi"/>
          <w:sz w:val="16"/>
          <w:szCs w:val="16"/>
        </w:rPr>
        <w:t xml:space="preserve"> </w:t>
      </w:r>
      <w:proofErr w:type="spellStart"/>
      <w:r w:rsidRPr="00736447">
        <w:rPr>
          <w:rFonts w:asciiTheme="majorHAnsi" w:hAnsiTheme="majorHAnsi" w:cstheme="minorHAnsi"/>
          <w:sz w:val="16"/>
          <w:szCs w:val="16"/>
        </w:rPr>
        <w:t>Mota</w:t>
      </w:r>
      <w:proofErr w:type="spellEnd"/>
      <w:r w:rsidRPr="00736447">
        <w:rPr>
          <w:rFonts w:asciiTheme="majorHAnsi" w:hAnsiTheme="majorHAnsi" w:cstheme="minorHAnsi"/>
          <w:sz w:val="16"/>
          <w:szCs w:val="16"/>
        </w:rPr>
        <w:t xml:space="preserve"> (8.7.2005). Annex 25 to the additional brief</w:t>
      </w:r>
      <w:r w:rsidRPr="00736447">
        <w:rPr>
          <w:rFonts w:asciiTheme="majorHAnsi" w:hAnsiTheme="majorHAnsi"/>
          <w:sz w:val="16"/>
          <w:szCs w:val="16"/>
        </w:rPr>
        <w:t>.</w:t>
      </w:r>
    </w:p>
  </w:footnote>
  <w:footnote w:id="118">
    <w:p w14:paraId="49A0F09F" w14:textId="2EEC5359"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60</w:t>
      </w:r>
      <w:r w:rsidRPr="00736447">
        <w:rPr>
          <w:rFonts w:asciiTheme="majorHAnsi" w:hAnsiTheme="majorHAnsi"/>
          <w:sz w:val="16"/>
          <w:szCs w:val="16"/>
        </w:rPr>
        <w:t xml:space="preserve">. Statement of Orlando </w:t>
      </w:r>
      <w:proofErr w:type="spellStart"/>
      <w:r w:rsidRPr="00736447">
        <w:rPr>
          <w:rFonts w:asciiTheme="majorHAnsi" w:hAnsiTheme="majorHAnsi"/>
          <w:sz w:val="16"/>
          <w:szCs w:val="16"/>
        </w:rPr>
        <w:t>Rondón</w:t>
      </w:r>
      <w:proofErr w:type="spellEnd"/>
      <w:r w:rsidRPr="00736447">
        <w:rPr>
          <w:rFonts w:asciiTheme="majorHAnsi" w:hAnsiTheme="majorHAnsi"/>
          <w:sz w:val="16"/>
          <w:szCs w:val="16"/>
        </w:rPr>
        <w:t xml:space="preserve"> (31.8.2005). Annex 53 to the additional brief; Annex </w:t>
      </w:r>
      <w:r>
        <w:rPr>
          <w:rFonts w:asciiTheme="majorHAnsi" w:hAnsiTheme="majorHAnsi"/>
          <w:sz w:val="16"/>
          <w:szCs w:val="16"/>
        </w:rPr>
        <w:t>61</w:t>
      </w:r>
      <w:r w:rsidRPr="00736447">
        <w:rPr>
          <w:rFonts w:asciiTheme="majorHAnsi" w:hAnsiTheme="majorHAnsi"/>
          <w:sz w:val="16"/>
          <w:szCs w:val="16"/>
        </w:rPr>
        <w:t xml:space="preserve">. Statement of Alexander </w:t>
      </w:r>
      <w:proofErr w:type="spellStart"/>
      <w:r w:rsidRPr="00736447">
        <w:rPr>
          <w:rFonts w:asciiTheme="majorHAnsi" w:hAnsiTheme="majorHAnsi"/>
          <w:sz w:val="16"/>
          <w:szCs w:val="16"/>
        </w:rPr>
        <w:t>López</w:t>
      </w:r>
      <w:proofErr w:type="spellEnd"/>
      <w:r w:rsidRPr="00736447">
        <w:rPr>
          <w:rFonts w:asciiTheme="majorHAnsi" w:hAnsiTheme="majorHAnsi"/>
          <w:sz w:val="16"/>
          <w:szCs w:val="16"/>
        </w:rPr>
        <w:t xml:space="preserve"> (31.8.2005). Annex 54 to the additional brief.</w:t>
      </w:r>
    </w:p>
  </w:footnote>
  <w:footnote w:id="119">
    <w:p w14:paraId="2C335316" w14:textId="431FAEFB"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62</w:t>
      </w:r>
      <w:r w:rsidRPr="00736447">
        <w:rPr>
          <w:rFonts w:asciiTheme="majorHAnsi" w:hAnsiTheme="majorHAnsi"/>
          <w:sz w:val="16"/>
          <w:szCs w:val="16"/>
        </w:rPr>
        <w:t xml:space="preserve">. Statement of Marlene </w:t>
      </w:r>
      <w:proofErr w:type="spellStart"/>
      <w:r w:rsidRPr="00736447">
        <w:rPr>
          <w:rFonts w:asciiTheme="majorHAnsi" w:hAnsiTheme="majorHAnsi"/>
          <w:sz w:val="16"/>
          <w:szCs w:val="16"/>
        </w:rPr>
        <w:t>López</w:t>
      </w:r>
      <w:proofErr w:type="spellEnd"/>
      <w:r w:rsidRPr="00736447">
        <w:rPr>
          <w:rFonts w:asciiTheme="majorHAnsi" w:hAnsiTheme="majorHAnsi"/>
          <w:sz w:val="16"/>
          <w:szCs w:val="16"/>
        </w:rPr>
        <w:t xml:space="preserve"> (18.10.2005). Annex 52 to the additional brief; </w:t>
      </w:r>
      <w:r w:rsidRPr="00736447">
        <w:rPr>
          <w:rFonts w:asciiTheme="majorHAnsi" w:hAnsiTheme="majorHAnsi"/>
          <w:i/>
          <w:sz w:val="16"/>
          <w:szCs w:val="16"/>
        </w:rPr>
        <w:t>see also</w:t>
      </w:r>
      <w:r w:rsidRPr="00736447">
        <w:rPr>
          <w:rFonts w:asciiTheme="majorHAnsi" w:hAnsiTheme="majorHAnsi"/>
          <w:sz w:val="16"/>
          <w:szCs w:val="16"/>
        </w:rPr>
        <w:t xml:space="preserve"> Annex </w:t>
      </w:r>
      <w:r>
        <w:rPr>
          <w:rFonts w:asciiTheme="majorHAnsi" w:hAnsiTheme="majorHAnsi"/>
          <w:sz w:val="16"/>
          <w:szCs w:val="16"/>
        </w:rPr>
        <w:t>20</w:t>
      </w:r>
      <w:r w:rsidRPr="00736447">
        <w:rPr>
          <w:rFonts w:asciiTheme="majorHAnsi" w:hAnsiTheme="majorHAnsi"/>
          <w:sz w:val="16"/>
          <w:szCs w:val="16"/>
        </w:rPr>
        <w:t>.</w:t>
      </w:r>
    </w:p>
  </w:footnote>
  <w:footnote w:id="120">
    <w:p w14:paraId="55B5850D" w14:textId="625FDC7D"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63</w:t>
      </w:r>
      <w:r w:rsidRPr="00736447">
        <w:rPr>
          <w:rFonts w:asciiTheme="majorHAnsi" w:hAnsiTheme="majorHAnsi"/>
          <w:sz w:val="16"/>
          <w:szCs w:val="16"/>
        </w:rPr>
        <w:t xml:space="preserve">. Letter of </w:t>
      </w:r>
      <w:proofErr w:type="spellStart"/>
      <w:r w:rsidRPr="00736447">
        <w:rPr>
          <w:rFonts w:asciiTheme="majorHAnsi" w:hAnsiTheme="majorHAnsi"/>
          <w:sz w:val="16"/>
          <w:szCs w:val="16"/>
        </w:rPr>
        <w:t>Héctor</w:t>
      </w:r>
      <w:proofErr w:type="spellEnd"/>
      <w:r w:rsidRPr="00736447">
        <w:rPr>
          <w:rFonts w:asciiTheme="majorHAnsi" w:hAnsiTheme="majorHAnsi"/>
          <w:sz w:val="16"/>
          <w:szCs w:val="16"/>
        </w:rPr>
        <w:t xml:space="preserve"> </w:t>
      </w:r>
      <w:proofErr w:type="spellStart"/>
      <w:r w:rsidRPr="00736447">
        <w:rPr>
          <w:rFonts w:asciiTheme="majorHAnsi" w:hAnsiTheme="majorHAnsi"/>
          <w:sz w:val="16"/>
          <w:szCs w:val="16"/>
        </w:rPr>
        <w:t>Morillo</w:t>
      </w:r>
      <w:proofErr w:type="spellEnd"/>
      <w:r w:rsidRPr="00736447">
        <w:rPr>
          <w:rFonts w:asciiTheme="majorHAnsi" w:hAnsiTheme="majorHAnsi"/>
          <w:sz w:val="16"/>
          <w:szCs w:val="16"/>
        </w:rPr>
        <w:t>, Chief Fire Fighter, to Francisco Ávila, Prosecutor (31.5.2007). Annex I2 to the original petition.</w:t>
      </w:r>
    </w:p>
  </w:footnote>
  <w:footnote w:id="121">
    <w:p w14:paraId="19E12BF9" w14:textId="50231A78"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64</w:t>
      </w:r>
      <w:r w:rsidRPr="00736447">
        <w:rPr>
          <w:rFonts w:asciiTheme="majorHAnsi" w:hAnsiTheme="majorHAnsi"/>
          <w:sz w:val="16"/>
          <w:szCs w:val="16"/>
        </w:rPr>
        <w:t>. Report on Reconstruction of Events. Annex 63 to the additional brief.</w:t>
      </w:r>
    </w:p>
  </w:footnote>
  <w:footnote w:id="122">
    <w:p w14:paraId="4C063B6A" w14:textId="441505FB"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65</w:t>
      </w:r>
      <w:r w:rsidRPr="00736447">
        <w:rPr>
          <w:rFonts w:asciiTheme="majorHAnsi" w:hAnsiTheme="majorHAnsi"/>
          <w:sz w:val="16"/>
          <w:szCs w:val="16"/>
        </w:rPr>
        <w:t xml:space="preserve">. Proof of Service on José Luis </w:t>
      </w:r>
      <w:proofErr w:type="spellStart"/>
      <w:r w:rsidRPr="00736447">
        <w:rPr>
          <w:rFonts w:asciiTheme="majorHAnsi" w:hAnsiTheme="majorHAnsi"/>
          <w:sz w:val="16"/>
          <w:szCs w:val="16"/>
        </w:rPr>
        <w:t>Chirinos</w:t>
      </w:r>
      <w:proofErr w:type="spellEnd"/>
      <w:r w:rsidRPr="00736447">
        <w:rPr>
          <w:rFonts w:asciiTheme="majorHAnsi" w:hAnsiTheme="majorHAnsi"/>
          <w:sz w:val="16"/>
          <w:szCs w:val="16"/>
        </w:rPr>
        <w:t>, Francisco Gómez and Nerio Romero (6.4.2006).Annexes M1-M3 to the original petition.</w:t>
      </w:r>
    </w:p>
  </w:footnote>
  <w:footnote w:id="123">
    <w:p w14:paraId="686A738F" w14:textId="2D086DD2"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66</w:t>
      </w:r>
      <w:r w:rsidRPr="00736447">
        <w:rPr>
          <w:rFonts w:asciiTheme="majorHAnsi" w:hAnsiTheme="majorHAnsi"/>
          <w:sz w:val="16"/>
          <w:szCs w:val="16"/>
        </w:rPr>
        <w:t>. Appointment of Public Defender for the three accused, (28.4.2006). Annex M4 to the original petition.</w:t>
      </w:r>
    </w:p>
  </w:footnote>
  <w:footnote w:id="124">
    <w:p w14:paraId="54B4C5B9" w14:textId="1ACAFE8C"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E966C2">
        <w:rPr>
          <w:rFonts w:asciiTheme="majorHAnsi" w:hAnsiTheme="majorHAnsi"/>
          <w:sz w:val="16"/>
          <w:szCs w:val="16"/>
          <w:lang w:val="es-US"/>
        </w:rPr>
        <w:t xml:space="preserve"> </w:t>
      </w:r>
      <w:proofErr w:type="spellStart"/>
      <w:r w:rsidRPr="00E966C2">
        <w:rPr>
          <w:rFonts w:asciiTheme="majorHAnsi" w:hAnsiTheme="majorHAnsi"/>
          <w:sz w:val="16"/>
          <w:szCs w:val="16"/>
          <w:lang w:val="es-US"/>
        </w:rPr>
        <w:t>Annex</w:t>
      </w:r>
      <w:proofErr w:type="spellEnd"/>
      <w:r w:rsidRPr="00E966C2">
        <w:rPr>
          <w:rFonts w:asciiTheme="majorHAnsi" w:hAnsiTheme="majorHAnsi"/>
          <w:sz w:val="16"/>
          <w:szCs w:val="16"/>
          <w:lang w:val="es-US"/>
        </w:rPr>
        <w:t xml:space="preserve"> </w:t>
      </w:r>
      <w:r>
        <w:rPr>
          <w:rFonts w:asciiTheme="majorHAnsi" w:hAnsiTheme="majorHAnsi"/>
          <w:sz w:val="16"/>
          <w:szCs w:val="16"/>
          <w:lang w:val="es-US"/>
        </w:rPr>
        <w:t>37</w:t>
      </w:r>
      <w:r w:rsidRPr="00E966C2">
        <w:rPr>
          <w:rFonts w:asciiTheme="majorHAnsi" w:hAnsiTheme="majorHAnsi"/>
          <w:sz w:val="16"/>
          <w:szCs w:val="16"/>
          <w:lang w:val="es-US"/>
        </w:rPr>
        <w:t xml:space="preserve">. </w:t>
      </w:r>
      <w:r w:rsidRPr="00E966C2">
        <w:rPr>
          <w:rFonts w:asciiTheme="majorHAnsi" w:hAnsiTheme="majorHAnsi"/>
          <w:i/>
          <w:sz w:val="16"/>
          <w:szCs w:val="16"/>
          <w:lang w:val="es-US"/>
        </w:rPr>
        <w:t>Correo del Caroní</w:t>
      </w:r>
      <w:r w:rsidRPr="00E966C2">
        <w:rPr>
          <w:rFonts w:asciiTheme="majorHAnsi" w:hAnsiTheme="majorHAnsi"/>
          <w:sz w:val="16"/>
          <w:szCs w:val="16"/>
          <w:lang w:val="es-US"/>
        </w:rPr>
        <w:t>, “</w:t>
      </w:r>
      <w:r>
        <w:rPr>
          <w:rFonts w:asciiTheme="majorHAnsi" w:hAnsiTheme="majorHAnsi"/>
          <w:sz w:val="16"/>
          <w:szCs w:val="16"/>
          <w:lang w:val="es-US"/>
        </w:rPr>
        <w:t>Fiscalía</w:t>
      </w:r>
      <w:r w:rsidRPr="00E966C2">
        <w:rPr>
          <w:rFonts w:asciiTheme="majorHAnsi" w:hAnsiTheme="majorHAnsi"/>
          <w:sz w:val="16"/>
          <w:szCs w:val="16"/>
          <w:lang w:val="es-US"/>
        </w:rPr>
        <w:t xml:space="preserve"> imputa por homicidio intencional a ex director of the INAM” (9.5.2006). </w:t>
      </w:r>
      <w:proofErr w:type="spellStart"/>
      <w:r w:rsidRPr="00BE64BA">
        <w:rPr>
          <w:rFonts w:asciiTheme="majorHAnsi" w:hAnsiTheme="majorHAnsi"/>
          <w:i/>
          <w:sz w:val="16"/>
          <w:szCs w:val="16"/>
          <w:lang w:val="es-US"/>
        </w:rPr>
        <w:t>See</w:t>
      </w:r>
      <w:proofErr w:type="spellEnd"/>
      <w:r w:rsidRPr="00BE64BA">
        <w:rPr>
          <w:rFonts w:asciiTheme="majorHAnsi" w:hAnsiTheme="majorHAnsi"/>
          <w:i/>
          <w:sz w:val="16"/>
          <w:szCs w:val="16"/>
          <w:lang w:val="es-US"/>
        </w:rPr>
        <w:t xml:space="preserve"> </w:t>
      </w:r>
      <w:proofErr w:type="spellStart"/>
      <w:r w:rsidRPr="00BE64BA">
        <w:rPr>
          <w:rFonts w:asciiTheme="majorHAnsi" w:hAnsiTheme="majorHAnsi"/>
          <w:i/>
          <w:sz w:val="16"/>
          <w:szCs w:val="16"/>
          <w:lang w:val="es-US"/>
        </w:rPr>
        <w:t>also</w:t>
      </w:r>
      <w:proofErr w:type="spellEnd"/>
      <w:r w:rsidRPr="00BE64BA">
        <w:rPr>
          <w:rFonts w:asciiTheme="majorHAnsi" w:hAnsiTheme="majorHAnsi"/>
          <w:sz w:val="16"/>
          <w:szCs w:val="16"/>
          <w:lang w:val="es-US"/>
        </w:rPr>
        <w:t xml:space="preserve"> </w:t>
      </w:r>
      <w:proofErr w:type="spellStart"/>
      <w:r w:rsidRPr="00BE64BA">
        <w:rPr>
          <w:rFonts w:asciiTheme="majorHAnsi" w:hAnsiTheme="majorHAnsi"/>
          <w:sz w:val="16"/>
          <w:szCs w:val="16"/>
          <w:lang w:val="es-US"/>
        </w:rPr>
        <w:t>Annex</w:t>
      </w:r>
      <w:proofErr w:type="spellEnd"/>
      <w:r w:rsidRPr="00BE64BA">
        <w:rPr>
          <w:rFonts w:asciiTheme="majorHAnsi" w:hAnsiTheme="majorHAnsi"/>
          <w:sz w:val="16"/>
          <w:szCs w:val="16"/>
          <w:lang w:val="es-US"/>
        </w:rPr>
        <w:t xml:space="preserve"> </w:t>
      </w:r>
      <w:r>
        <w:rPr>
          <w:rFonts w:asciiTheme="majorHAnsi" w:hAnsiTheme="majorHAnsi"/>
          <w:sz w:val="16"/>
          <w:szCs w:val="16"/>
          <w:lang w:val="es-US"/>
        </w:rPr>
        <w:t>67</w:t>
      </w:r>
      <w:r w:rsidRPr="00BE64BA">
        <w:rPr>
          <w:rFonts w:asciiTheme="majorHAnsi" w:hAnsiTheme="majorHAnsi"/>
          <w:sz w:val="16"/>
          <w:szCs w:val="16"/>
          <w:lang w:val="es-US"/>
        </w:rPr>
        <w:t xml:space="preserve">. </w:t>
      </w:r>
      <w:r w:rsidRPr="00BE64BA">
        <w:rPr>
          <w:rFonts w:asciiTheme="majorHAnsi" w:hAnsiTheme="majorHAnsi"/>
          <w:i/>
          <w:sz w:val="16"/>
          <w:szCs w:val="16"/>
          <w:lang w:val="es-US"/>
        </w:rPr>
        <w:t>Nueva Prensa</w:t>
      </w:r>
      <w:r w:rsidRPr="00BE64BA">
        <w:rPr>
          <w:rFonts w:asciiTheme="majorHAnsi" w:hAnsiTheme="majorHAnsi"/>
          <w:sz w:val="16"/>
          <w:szCs w:val="16"/>
          <w:lang w:val="es-US"/>
        </w:rPr>
        <w:t>, “</w:t>
      </w:r>
      <w:r w:rsidRPr="00BE64BA">
        <w:rPr>
          <w:rFonts w:asciiTheme="majorHAnsi" w:hAnsiTheme="majorHAnsi"/>
          <w:i/>
          <w:sz w:val="16"/>
          <w:szCs w:val="16"/>
          <w:lang w:val="es-US"/>
        </w:rPr>
        <w:t>Imputan a ex director and maestros por muerte de 5 jóvenes en el INAM</w:t>
      </w:r>
      <w:r w:rsidRPr="00BE64BA">
        <w:rPr>
          <w:rFonts w:asciiTheme="majorHAnsi" w:hAnsiTheme="majorHAnsi"/>
          <w:sz w:val="16"/>
          <w:szCs w:val="16"/>
          <w:lang w:val="es-US"/>
        </w:rPr>
        <w:t xml:space="preserve">”, (9.5.2006). </w:t>
      </w:r>
      <w:r w:rsidRPr="00736447">
        <w:rPr>
          <w:rFonts w:asciiTheme="majorHAnsi" w:hAnsiTheme="majorHAnsi"/>
          <w:sz w:val="16"/>
          <w:szCs w:val="16"/>
        </w:rPr>
        <w:t>Annexes to the original petition.</w:t>
      </w:r>
    </w:p>
  </w:footnote>
  <w:footnote w:id="125">
    <w:p w14:paraId="6DD9CD34" w14:textId="60700922"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Pr>
          <w:rFonts w:asciiTheme="majorHAnsi" w:hAnsiTheme="majorHAnsi"/>
          <w:sz w:val="16"/>
          <w:szCs w:val="16"/>
        </w:rPr>
        <w:t>68</w:t>
      </w:r>
      <w:r w:rsidRPr="00736447">
        <w:rPr>
          <w:rFonts w:asciiTheme="majorHAnsi" w:hAnsiTheme="majorHAnsi"/>
          <w:sz w:val="16"/>
          <w:szCs w:val="16"/>
        </w:rPr>
        <w:t>. Formal Charges and Request for Indictment (29.9.2008). Annex 62 to the additional brief.</w:t>
      </w:r>
    </w:p>
  </w:footnote>
  <w:footnote w:id="126">
    <w:p w14:paraId="6D384F38" w14:textId="2B5BB395"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hAnsiTheme="majorHAnsi"/>
          <w:i/>
          <w:sz w:val="16"/>
          <w:szCs w:val="16"/>
        </w:rPr>
        <w:t>See</w:t>
      </w:r>
      <w:r w:rsidRPr="00736447">
        <w:rPr>
          <w:rFonts w:asciiTheme="majorHAnsi" w:hAnsiTheme="majorHAnsi"/>
          <w:sz w:val="16"/>
          <w:szCs w:val="16"/>
        </w:rPr>
        <w:t xml:space="preserve"> Annex </w:t>
      </w:r>
      <w:r w:rsidR="001A4533">
        <w:rPr>
          <w:rFonts w:asciiTheme="majorHAnsi" w:hAnsiTheme="majorHAnsi"/>
          <w:sz w:val="16"/>
          <w:szCs w:val="16"/>
        </w:rPr>
        <w:t>69</w:t>
      </w:r>
      <w:r w:rsidRPr="00736447">
        <w:rPr>
          <w:rFonts w:asciiTheme="majorHAnsi" w:hAnsiTheme="majorHAnsi"/>
          <w:sz w:val="16"/>
          <w:szCs w:val="16"/>
        </w:rPr>
        <w:t xml:space="preserve">. Order for Adjournment (9.6.2010) and Annex </w:t>
      </w:r>
      <w:r w:rsidR="001A4533">
        <w:rPr>
          <w:rFonts w:asciiTheme="majorHAnsi" w:hAnsiTheme="majorHAnsi"/>
          <w:sz w:val="16"/>
          <w:szCs w:val="16"/>
        </w:rPr>
        <w:t>70</w:t>
      </w:r>
      <w:r w:rsidRPr="00736447">
        <w:rPr>
          <w:rFonts w:asciiTheme="majorHAnsi" w:hAnsiTheme="majorHAnsi"/>
          <w:sz w:val="16"/>
          <w:szCs w:val="16"/>
        </w:rPr>
        <w:t xml:space="preserve">. Court Decision (9.6.2010). Annexes to the petitioners’ admissibility brief; Annex </w:t>
      </w:r>
      <w:r w:rsidR="001A4533">
        <w:rPr>
          <w:rFonts w:asciiTheme="majorHAnsi" w:hAnsiTheme="majorHAnsi"/>
          <w:sz w:val="16"/>
          <w:szCs w:val="16"/>
        </w:rPr>
        <w:t>71</w:t>
      </w:r>
      <w:r w:rsidRPr="00736447">
        <w:rPr>
          <w:rFonts w:asciiTheme="majorHAnsi" w:hAnsiTheme="majorHAnsi"/>
          <w:sz w:val="16"/>
          <w:szCs w:val="16"/>
        </w:rPr>
        <w:t>. Five Adjournment Decisions of Public and Oral Trial of 2014-2015. Annex 64 to the additional brief.</w:t>
      </w:r>
    </w:p>
  </w:footnote>
  <w:footnote w:id="127">
    <w:p w14:paraId="377E3BA8" w14:textId="0174FAE3"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Brief on Merits of the petitioners.</w:t>
      </w:r>
    </w:p>
  </w:footnote>
  <w:footnote w:id="128">
    <w:p w14:paraId="153439CA" w14:textId="76DFCD07" w:rsidR="00E966C2" w:rsidRPr="00736447" w:rsidRDefault="00E966C2" w:rsidP="001A4533">
      <w:pPr>
        <w:pStyle w:val="FootnoteText"/>
        <w:jc w:val="both"/>
        <w:rPr>
          <w:rFonts w:asciiTheme="majorHAnsi"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Annex </w:t>
      </w:r>
      <w:r w:rsidR="001A4533">
        <w:rPr>
          <w:rFonts w:asciiTheme="majorHAnsi" w:hAnsiTheme="majorHAnsi"/>
          <w:sz w:val="16"/>
          <w:szCs w:val="16"/>
        </w:rPr>
        <w:t>71</w:t>
      </w:r>
      <w:r w:rsidRPr="00736447">
        <w:rPr>
          <w:rFonts w:asciiTheme="majorHAnsi" w:hAnsiTheme="majorHAnsi"/>
          <w:sz w:val="16"/>
          <w:szCs w:val="16"/>
        </w:rPr>
        <w:t>. Five Adjournment Decisions of Public and Oral Trial of 2014-2015. Annex 64 to the additional brief.</w:t>
      </w:r>
    </w:p>
  </w:footnote>
  <w:footnote w:id="129">
    <w:p w14:paraId="7AF1E1A0" w14:textId="5F38AD3A" w:rsidR="00E966C2" w:rsidRPr="00736447" w:rsidRDefault="00E966C2" w:rsidP="001A4533">
      <w:pPr>
        <w:jc w:val="both"/>
        <w:rPr>
          <w:rFonts w:asciiTheme="majorHAnsi" w:eastAsia="Times New Roman" w:hAnsiTheme="majorHAnsi"/>
          <w:sz w:val="16"/>
          <w:szCs w:val="16"/>
          <w:bdr w:val="none" w:sz="0" w:space="0" w:color="auto"/>
          <w:lang w:eastAsia="es-ES"/>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Article 4 establishes: 1. “</w:t>
      </w:r>
      <w:r w:rsidRPr="00736447">
        <w:rPr>
          <w:rFonts w:asciiTheme="majorHAnsi" w:eastAsia="Times New Roman" w:hAnsiTheme="majorHAnsi" w:cs="Tahoma"/>
          <w:color w:val="000000"/>
          <w:sz w:val="16"/>
          <w:szCs w:val="16"/>
          <w:bdr w:val="none" w:sz="0" w:space="0" w:color="auto"/>
          <w:lang w:eastAsia="es-ES"/>
        </w:rPr>
        <w:t>Every person has the right to have his life respected. [..]. No one shall be arbitrarily deprived of his life</w:t>
      </w:r>
      <w:r w:rsidRPr="00736447">
        <w:rPr>
          <w:rFonts w:asciiTheme="majorHAnsi" w:hAnsiTheme="majorHAnsi"/>
          <w:sz w:val="16"/>
          <w:szCs w:val="16"/>
        </w:rPr>
        <w:t>”.</w:t>
      </w:r>
    </w:p>
  </w:footnote>
  <w:footnote w:id="130">
    <w:p w14:paraId="7983C8E2" w14:textId="74BA30D5" w:rsidR="00E966C2" w:rsidRPr="00736447" w:rsidRDefault="00E966C2" w:rsidP="001A4533">
      <w:pPr>
        <w:jc w:val="both"/>
        <w:rPr>
          <w:rFonts w:asciiTheme="majorHAnsi" w:eastAsia="Times New Roman" w:hAnsiTheme="majorHAnsi"/>
          <w:sz w:val="16"/>
          <w:szCs w:val="16"/>
          <w:bdr w:val="none" w:sz="0" w:space="0" w:color="auto"/>
          <w:lang w:eastAsia="es-ES"/>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Article 5 establishes, </w:t>
      </w:r>
      <w:r>
        <w:rPr>
          <w:rFonts w:asciiTheme="majorHAnsi" w:hAnsiTheme="majorHAnsi"/>
          <w:sz w:val="16"/>
          <w:szCs w:val="16"/>
        </w:rPr>
        <w:t>in relevant part</w:t>
      </w:r>
      <w:r w:rsidRPr="00736447">
        <w:rPr>
          <w:rFonts w:asciiTheme="majorHAnsi" w:hAnsiTheme="majorHAnsi"/>
          <w:sz w:val="16"/>
          <w:szCs w:val="16"/>
        </w:rPr>
        <w:t xml:space="preserve">: “1. </w:t>
      </w:r>
      <w:proofErr w:type="gramStart"/>
      <w:r w:rsidRPr="00736447">
        <w:rPr>
          <w:rFonts w:asciiTheme="majorHAnsi" w:eastAsia="Times New Roman" w:hAnsiTheme="majorHAnsi" w:cs="Tahoma"/>
          <w:color w:val="000000"/>
          <w:sz w:val="16"/>
          <w:szCs w:val="16"/>
          <w:bdr w:val="none" w:sz="0" w:space="0" w:color="auto"/>
          <w:lang w:eastAsia="es-ES"/>
        </w:rPr>
        <w:t>Every</w:t>
      </w:r>
      <w:proofErr w:type="gramEnd"/>
      <w:r w:rsidRPr="00736447">
        <w:rPr>
          <w:rFonts w:asciiTheme="majorHAnsi" w:eastAsia="Times New Roman" w:hAnsiTheme="majorHAnsi" w:cs="Tahoma"/>
          <w:color w:val="000000"/>
          <w:sz w:val="16"/>
          <w:szCs w:val="16"/>
          <w:bdr w:val="none" w:sz="0" w:space="0" w:color="auto"/>
          <w:lang w:eastAsia="es-ES"/>
        </w:rPr>
        <w:t xml:space="preserve"> person has the right to have his physical, mental, and moral integrity respected</w:t>
      </w:r>
      <w:r w:rsidRPr="00736447">
        <w:rPr>
          <w:rFonts w:asciiTheme="majorHAnsi" w:hAnsiTheme="majorHAnsi"/>
          <w:sz w:val="16"/>
          <w:szCs w:val="16"/>
        </w:rPr>
        <w:t xml:space="preserve">. […] 4. </w:t>
      </w:r>
      <w:r w:rsidRPr="00736447">
        <w:rPr>
          <w:rFonts w:asciiTheme="majorHAnsi" w:eastAsia="Times New Roman" w:hAnsiTheme="majorHAnsi" w:cs="Tahoma"/>
          <w:color w:val="000000"/>
          <w:sz w:val="16"/>
          <w:szCs w:val="16"/>
          <w:bdr w:val="none" w:sz="0" w:space="0" w:color="auto"/>
          <w:lang w:eastAsia="es-ES"/>
        </w:rPr>
        <w:t xml:space="preserve">Accused persons shall, save in exceptional circumstances, be segregated from convicted persons, and shall be subject to separate treatment appropriate to their status as </w:t>
      </w:r>
      <w:proofErr w:type="spellStart"/>
      <w:r w:rsidRPr="00736447">
        <w:rPr>
          <w:rFonts w:asciiTheme="majorHAnsi" w:eastAsia="Times New Roman" w:hAnsiTheme="majorHAnsi" w:cs="Tahoma"/>
          <w:color w:val="000000"/>
          <w:sz w:val="16"/>
          <w:szCs w:val="16"/>
          <w:bdr w:val="none" w:sz="0" w:space="0" w:color="auto"/>
          <w:lang w:eastAsia="es-ES"/>
        </w:rPr>
        <w:t>unconvicted</w:t>
      </w:r>
      <w:proofErr w:type="spellEnd"/>
      <w:r w:rsidRPr="00736447">
        <w:rPr>
          <w:rFonts w:asciiTheme="majorHAnsi" w:eastAsia="Times New Roman" w:hAnsiTheme="majorHAnsi" w:cs="Tahoma"/>
          <w:color w:val="000000"/>
          <w:sz w:val="16"/>
          <w:szCs w:val="16"/>
          <w:bdr w:val="none" w:sz="0" w:space="0" w:color="auto"/>
          <w:lang w:eastAsia="es-ES"/>
        </w:rPr>
        <w:t xml:space="preserve"> persons</w:t>
      </w:r>
      <w:r w:rsidRPr="00736447">
        <w:rPr>
          <w:rFonts w:asciiTheme="majorHAnsi" w:hAnsiTheme="majorHAnsi"/>
          <w:sz w:val="16"/>
          <w:szCs w:val="16"/>
        </w:rPr>
        <w:t xml:space="preserve">. 5. </w:t>
      </w:r>
      <w:r w:rsidRPr="00736447">
        <w:rPr>
          <w:rFonts w:asciiTheme="majorHAnsi" w:eastAsia="Times New Roman" w:hAnsiTheme="majorHAnsi" w:cs="Tahoma"/>
          <w:color w:val="000000"/>
          <w:sz w:val="16"/>
          <w:szCs w:val="16"/>
          <w:bdr w:val="none" w:sz="0" w:space="0" w:color="auto"/>
          <w:lang w:eastAsia="es-ES"/>
        </w:rPr>
        <w:t>Minors while subject to criminal proceedings shall be separated from adults and brought before specialized tribunals, as speedily as possible, so that they may be treated in accordance with their status as minors</w:t>
      </w:r>
      <w:r w:rsidRPr="00736447">
        <w:rPr>
          <w:rFonts w:asciiTheme="majorHAnsi" w:hAnsiTheme="majorHAnsi"/>
          <w:sz w:val="16"/>
          <w:szCs w:val="16"/>
        </w:rPr>
        <w:t xml:space="preserve">. 6. </w:t>
      </w:r>
      <w:r w:rsidRPr="00736447">
        <w:rPr>
          <w:rFonts w:asciiTheme="majorHAnsi" w:eastAsia="Times New Roman" w:hAnsiTheme="majorHAnsi" w:cs="Tahoma"/>
          <w:color w:val="000000"/>
          <w:sz w:val="16"/>
          <w:szCs w:val="16"/>
          <w:bdr w:val="none" w:sz="0" w:space="0" w:color="auto"/>
          <w:lang w:eastAsia="es-ES"/>
        </w:rPr>
        <w:t xml:space="preserve">Punishments consisting of deprivation of liberty shall have as an essential aim the reform and social </w:t>
      </w:r>
      <w:proofErr w:type="spellStart"/>
      <w:r w:rsidRPr="00736447">
        <w:rPr>
          <w:rFonts w:asciiTheme="majorHAnsi" w:eastAsia="Times New Roman" w:hAnsiTheme="majorHAnsi" w:cs="Tahoma"/>
          <w:color w:val="000000"/>
          <w:sz w:val="16"/>
          <w:szCs w:val="16"/>
          <w:bdr w:val="none" w:sz="0" w:space="0" w:color="auto"/>
          <w:lang w:eastAsia="es-ES"/>
        </w:rPr>
        <w:t>readaptation</w:t>
      </w:r>
      <w:proofErr w:type="spellEnd"/>
      <w:r w:rsidRPr="00736447">
        <w:rPr>
          <w:rFonts w:asciiTheme="majorHAnsi" w:eastAsia="Times New Roman" w:hAnsiTheme="majorHAnsi" w:cs="Tahoma"/>
          <w:color w:val="000000"/>
          <w:sz w:val="16"/>
          <w:szCs w:val="16"/>
          <w:bdr w:val="none" w:sz="0" w:space="0" w:color="auto"/>
          <w:lang w:eastAsia="es-ES"/>
        </w:rPr>
        <w:t xml:space="preserve"> of the prisoners</w:t>
      </w:r>
      <w:r w:rsidRPr="00736447">
        <w:rPr>
          <w:rFonts w:asciiTheme="majorHAnsi" w:hAnsiTheme="majorHAnsi"/>
          <w:sz w:val="16"/>
          <w:szCs w:val="16"/>
        </w:rPr>
        <w:t>”.</w:t>
      </w:r>
    </w:p>
  </w:footnote>
  <w:footnote w:id="131">
    <w:p w14:paraId="49E62AA9" w14:textId="1BD9F7BC" w:rsidR="00E966C2" w:rsidRPr="00736447" w:rsidRDefault="00E966C2" w:rsidP="001A4533">
      <w:pPr>
        <w:jc w:val="both"/>
        <w:rPr>
          <w:rFonts w:asciiTheme="majorHAnsi" w:eastAsia="Times New Roman" w:hAnsiTheme="majorHAnsi"/>
          <w:sz w:val="16"/>
          <w:szCs w:val="16"/>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Article 1.1 establishes, </w:t>
      </w:r>
      <w:r>
        <w:rPr>
          <w:rFonts w:asciiTheme="majorHAnsi" w:hAnsiTheme="majorHAnsi"/>
          <w:sz w:val="16"/>
          <w:szCs w:val="16"/>
        </w:rPr>
        <w:t>in relevant part</w:t>
      </w:r>
      <w:r w:rsidRPr="00736447">
        <w:rPr>
          <w:rFonts w:asciiTheme="majorHAnsi" w:hAnsiTheme="majorHAnsi"/>
          <w:sz w:val="16"/>
          <w:szCs w:val="16"/>
        </w:rPr>
        <w:t>: 1. “</w:t>
      </w:r>
      <w:r w:rsidRPr="00736447">
        <w:rPr>
          <w:rFonts w:asciiTheme="majorHAnsi" w:eastAsia="Times New Roman" w:hAnsiTheme="majorHAnsi" w:cs="Tahoma"/>
          <w:color w:val="000000"/>
          <w:sz w:val="16"/>
          <w:szCs w:val="16"/>
        </w:rPr>
        <w:t>The States Parties [...] undertake to respect the rights and freedoms recognized herein and to ensure to all persons subject to their jurisdiction the free and full exercise of those rights and freedoms, without any discrimination [...]</w:t>
      </w:r>
      <w:r w:rsidRPr="00736447">
        <w:rPr>
          <w:rFonts w:ascii="Cambria" w:hAnsi="Cambria"/>
          <w:sz w:val="16"/>
          <w:szCs w:val="16"/>
        </w:rPr>
        <w:t>”.</w:t>
      </w:r>
    </w:p>
  </w:footnote>
  <w:footnote w:id="132">
    <w:p w14:paraId="73C5BEC4" w14:textId="1401A8A3" w:rsidR="00E966C2" w:rsidRPr="00736447" w:rsidRDefault="00E966C2" w:rsidP="001A4533">
      <w:pPr>
        <w:jc w:val="both"/>
        <w:rPr>
          <w:rFonts w:asciiTheme="majorHAnsi" w:eastAsia="Times New Roman" w:hAnsiTheme="majorHAnsi"/>
          <w:sz w:val="16"/>
          <w:szCs w:val="16"/>
        </w:rPr>
      </w:pPr>
      <w:r w:rsidRPr="00736447">
        <w:rPr>
          <w:rStyle w:val="FootnoteReference"/>
          <w:rFonts w:ascii="Cambria" w:hAnsi="Cambria"/>
          <w:sz w:val="16"/>
          <w:szCs w:val="16"/>
        </w:rPr>
        <w:footnoteRef/>
      </w:r>
      <w:r w:rsidRPr="00736447">
        <w:rPr>
          <w:rFonts w:ascii="Cambria" w:hAnsi="Cambria"/>
          <w:sz w:val="16"/>
          <w:szCs w:val="16"/>
        </w:rPr>
        <w:t xml:space="preserve"> Article 19 </w:t>
      </w:r>
      <w:r w:rsidRPr="00736447">
        <w:rPr>
          <w:rFonts w:asciiTheme="majorHAnsi" w:hAnsiTheme="majorHAnsi"/>
          <w:sz w:val="16"/>
          <w:szCs w:val="16"/>
        </w:rPr>
        <w:t>establishes: “</w:t>
      </w:r>
      <w:r w:rsidRPr="00736447">
        <w:rPr>
          <w:rFonts w:asciiTheme="majorHAnsi" w:eastAsia="Times New Roman" w:hAnsiTheme="majorHAnsi" w:cs="Tahoma"/>
          <w:color w:val="000000"/>
          <w:sz w:val="16"/>
          <w:szCs w:val="16"/>
        </w:rPr>
        <w:t>Every minor child has the right to the measures of protection required by his condition as a minor on the part of his family, society, and the state</w:t>
      </w:r>
      <w:r w:rsidRPr="00736447">
        <w:rPr>
          <w:rFonts w:asciiTheme="majorHAnsi" w:eastAsia="Times New Roman" w:hAnsiTheme="majorHAnsi"/>
          <w:sz w:val="16"/>
          <w:szCs w:val="16"/>
        </w:rPr>
        <w:t>.”</w:t>
      </w:r>
      <w:r w:rsidRPr="00736447">
        <w:rPr>
          <w:rFonts w:asciiTheme="majorHAnsi" w:hAnsiTheme="majorHAnsi"/>
          <w:sz w:val="16"/>
          <w:szCs w:val="16"/>
        </w:rPr>
        <w:t xml:space="preserve"> </w:t>
      </w:r>
    </w:p>
  </w:footnote>
  <w:footnote w:id="133">
    <w:p w14:paraId="490E72E8" w14:textId="77D56808" w:rsidR="00E966C2" w:rsidRPr="00736447" w:rsidRDefault="00E966C2" w:rsidP="001A4533">
      <w:pPr>
        <w:jc w:val="both"/>
        <w:rPr>
          <w:rFonts w:eastAsia="Times New Roman"/>
          <w:sz w:val="20"/>
          <w:szCs w:val="20"/>
          <w:bdr w:val="none" w:sz="0" w:space="0" w:color="auto"/>
          <w:lang w:eastAsia="es-ES"/>
        </w:rPr>
      </w:pPr>
      <w:r w:rsidRPr="00736447">
        <w:rPr>
          <w:rStyle w:val="FootnoteReference"/>
          <w:rFonts w:ascii="Cambria" w:hAnsi="Cambria"/>
          <w:sz w:val="16"/>
          <w:szCs w:val="16"/>
        </w:rPr>
        <w:footnoteRef/>
      </w:r>
      <w:r w:rsidRPr="00736447">
        <w:rPr>
          <w:rFonts w:ascii="Cambria" w:hAnsi="Cambria"/>
          <w:sz w:val="16"/>
          <w:szCs w:val="16"/>
        </w:rPr>
        <w:t xml:space="preserve"> I/A </w:t>
      </w:r>
      <w:r w:rsidRPr="00736447">
        <w:rPr>
          <w:rFonts w:asciiTheme="majorHAnsi" w:hAnsiTheme="majorHAnsi"/>
          <w:sz w:val="16"/>
          <w:szCs w:val="16"/>
        </w:rPr>
        <w:t xml:space="preserve">Court H.R., </w:t>
      </w:r>
      <w:r w:rsidRPr="00736447">
        <w:rPr>
          <w:rFonts w:asciiTheme="majorHAnsi" w:eastAsia="Times New Roman" w:hAnsiTheme="majorHAnsi"/>
          <w:bCs/>
          <w:i/>
          <w:color w:val="000000"/>
          <w:sz w:val="16"/>
          <w:szCs w:val="16"/>
          <w:bdr w:val="none" w:sz="0" w:space="0" w:color="auto"/>
          <w:lang w:eastAsia="es-ES"/>
        </w:rPr>
        <w:t>Case of the "Juvenile Reeducation Institute" v. Paraguay</w:t>
      </w:r>
      <w:r w:rsidRPr="00736447">
        <w:rPr>
          <w:rFonts w:asciiTheme="majorHAnsi" w:eastAsia="Times New Roman" w:hAnsiTheme="majorHAnsi"/>
          <w:bCs/>
          <w:color w:val="000000"/>
          <w:sz w:val="16"/>
          <w:szCs w:val="16"/>
          <w:bdr w:val="none" w:sz="0" w:space="0" w:color="auto"/>
          <w:lang w:eastAsia="es-ES"/>
        </w:rPr>
        <w:t>. Judgment of September 2, 2004</w:t>
      </w:r>
      <w:r w:rsidRPr="00736447">
        <w:rPr>
          <w:rFonts w:asciiTheme="majorHAnsi" w:hAnsiTheme="majorHAnsi"/>
          <w:sz w:val="16"/>
          <w:szCs w:val="16"/>
        </w:rPr>
        <w:t>, para. 15</w:t>
      </w:r>
      <w:r w:rsidRPr="00736447">
        <w:rPr>
          <w:rFonts w:ascii="Cambria" w:hAnsi="Cambria"/>
          <w:sz w:val="16"/>
          <w:szCs w:val="16"/>
        </w:rPr>
        <w:t xml:space="preserve">2; </w:t>
      </w:r>
      <w:r w:rsidR="00494F36">
        <w:rPr>
          <w:rFonts w:ascii="Cambria" w:hAnsi="Cambria"/>
          <w:i/>
          <w:sz w:val="16"/>
          <w:szCs w:val="16"/>
        </w:rPr>
        <w:t>Case of Mendoza et</w:t>
      </w:r>
      <w:r w:rsidRPr="00736447">
        <w:rPr>
          <w:rFonts w:ascii="Cambria" w:hAnsi="Cambria"/>
          <w:i/>
          <w:sz w:val="16"/>
          <w:szCs w:val="16"/>
        </w:rPr>
        <w:t xml:space="preserve"> al. v. Argentina</w:t>
      </w:r>
      <w:r w:rsidRPr="00736447">
        <w:rPr>
          <w:rFonts w:ascii="Cambria" w:hAnsi="Cambria"/>
          <w:sz w:val="16"/>
          <w:szCs w:val="16"/>
        </w:rPr>
        <w:t>. Judgment of May 14, 2013, para. 188 (</w:t>
      </w:r>
      <w:r w:rsidRPr="00736447">
        <w:rPr>
          <w:rFonts w:ascii="Cambria" w:hAnsi="Cambria"/>
          <w:i/>
          <w:sz w:val="16"/>
          <w:szCs w:val="16"/>
        </w:rPr>
        <w:t>see also Case of Caesar v. Trinidad and Tobago</w:t>
      </w:r>
      <w:r w:rsidRPr="00736447">
        <w:rPr>
          <w:rFonts w:ascii="Cambria" w:hAnsi="Cambria"/>
          <w:sz w:val="16"/>
          <w:szCs w:val="16"/>
        </w:rPr>
        <w:t xml:space="preserve">. Judgment of March 11, 2005, para. 97; </w:t>
      </w:r>
      <w:r w:rsidRPr="00736447">
        <w:rPr>
          <w:rFonts w:asciiTheme="majorHAnsi" w:hAnsiTheme="majorHAnsi"/>
          <w:i/>
          <w:sz w:val="16"/>
          <w:szCs w:val="16"/>
        </w:rPr>
        <w:t>Case of Fermín Ramírez v. Guatemala</w:t>
      </w:r>
      <w:r w:rsidRPr="00736447">
        <w:rPr>
          <w:rFonts w:asciiTheme="majorHAnsi" w:hAnsiTheme="majorHAnsi"/>
          <w:sz w:val="16"/>
          <w:szCs w:val="16"/>
        </w:rPr>
        <w:t xml:space="preserve">. Judgment of 20 June, 2005, para. 118). In this sense, the Commission established two decades ago that: </w:t>
      </w:r>
      <w:r w:rsidR="005C6AA9">
        <w:rPr>
          <w:rFonts w:asciiTheme="majorHAnsi" w:hAnsiTheme="majorHAnsi"/>
          <w:sz w:val="16"/>
          <w:szCs w:val="16"/>
        </w:rPr>
        <w:t>“</w:t>
      </w:r>
      <w:r w:rsidRPr="00736447">
        <w:rPr>
          <w:rFonts w:asciiTheme="majorHAnsi" w:eastAsia="Times New Roman" w:hAnsiTheme="majorHAnsi"/>
          <w:color w:val="000000"/>
          <w:sz w:val="16"/>
          <w:szCs w:val="16"/>
          <w:bdr w:val="none" w:sz="0" w:space="0" w:color="auto"/>
          <w:lang w:eastAsia="es-ES"/>
        </w:rPr>
        <w:t>When it detains an individual, the State introduces that individual into a "total institution"--such as a prison--where the various aspects of his life are subject to an established regimen; where the prisoner is removed from his natural and social milieu; where the established regimen is one of absolute control, a loss of privacy, limitation of living space and, above all, a radical decline in the individual's means of defending himself. All this means that the act of imprisonment carries with it a specific and material commitment to protect the prisoner's human dignity so long as that individual is in the custody of the State, which includes protecting him from possible circumstances that could imperil his life, health and personal integrity, among other rights</w:t>
      </w:r>
      <w:r w:rsidRPr="00736447">
        <w:rPr>
          <w:rFonts w:asciiTheme="majorHAnsi" w:hAnsiTheme="majorHAnsi"/>
          <w:sz w:val="16"/>
          <w:szCs w:val="16"/>
        </w:rPr>
        <w:t>.</w:t>
      </w:r>
      <w:r w:rsidR="005C6AA9">
        <w:rPr>
          <w:rFonts w:asciiTheme="majorHAnsi" w:hAnsiTheme="majorHAnsi"/>
          <w:sz w:val="16"/>
          <w:szCs w:val="16"/>
        </w:rPr>
        <w:t>”</w:t>
      </w:r>
      <w:r w:rsidRPr="00736447">
        <w:rPr>
          <w:rFonts w:asciiTheme="majorHAnsi" w:hAnsiTheme="majorHAnsi"/>
          <w:sz w:val="16"/>
          <w:szCs w:val="16"/>
        </w:rPr>
        <w:t xml:space="preserve"> IACHR</w:t>
      </w:r>
      <w:r w:rsidRPr="00736447">
        <w:rPr>
          <w:rFonts w:ascii="Cambria" w:hAnsi="Cambria"/>
          <w:sz w:val="16"/>
          <w:szCs w:val="16"/>
        </w:rPr>
        <w:t xml:space="preserve">, Report No. 41/99, Merits, </w:t>
      </w:r>
      <w:r w:rsidRPr="00736447">
        <w:rPr>
          <w:rFonts w:ascii="Cambria" w:hAnsi="Cambria"/>
          <w:i/>
          <w:sz w:val="16"/>
          <w:szCs w:val="16"/>
        </w:rPr>
        <w:t>Minors in Detention</w:t>
      </w:r>
      <w:r w:rsidRPr="00736447">
        <w:rPr>
          <w:rFonts w:ascii="Cambria" w:hAnsi="Cambria"/>
          <w:sz w:val="16"/>
          <w:szCs w:val="16"/>
        </w:rPr>
        <w:t xml:space="preserve"> (Honduras), March 10, 1999. Para. 135.</w:t>
      </w:r>
    </w:p>
  </w:footnote>
  <w:footnote w:id="134">
    <w:p w14:paraId="7EE6F7D7" w14:textId="29793A00" w:rsidR="00E966C2" w:rsidRPr="00736447" w:rsidRDefault="00E966C2" w:rsidP="001A4533">
      <w:pPr>
        <w:pStyle w:val="FootnoteText"/>
        <w:jc w:val="both"/>
        <w:rPr>
          <w:rFonts w:ascii="Cambria" w:hAnsi="Cambria"/>
          <w:sz w:val="16"/>
          <w:szCs w:val="16"/>
        </w:rPr>
      </w:pPr>
      <w:r w:rsidRPr="00736447">
        <w:rPr>
          <w:rStyle w:val="FootnoteReference"/>
          <w:rFonts w:ascii="Cambria" w:hAnsi="Cambria"/>
          <w:sz w:val="16"/>
          <w:szCs w:val="16"/>
        </w:rPr>
        <w:footnoteRef/>
      </w:r>
      <w:r w:rsidRPr="00736447">
        <w:rPr>
          <w:rFonts w:ascii="Cambria" w:hAnsi="Cambria"/>
          <w:sz w:val="16"/>
          <w:szCs w:val="16"/>
        </w:rPr>
        <w:t xml:space="preserve"> I/A Court H.R., </w:t>
      </w:r>
      <w:r w:rsidRPr="00736447">
        <w:rPr>
          <w:rFonts w:ascii="Cambria" w:hAnsi="Cambria"/>
          <w:i/>
          <w:sz w:val="16"/>
          <w:szCs w:val="16"/>
        </w:rPr>
        <w:t xml:space="preserve">Case of </w:t>
      </w:r>
      <w:proofErr w:type="spellStart"/>
      <w:r w:rsidRPr="00736447">
        <w:rPr>
          <w:rFonts w:ascii="Cambria" w:hAnsi="Cambria"/>
          <w:i/>
          <w:sz w:val="16"/>
          <w:szCs w:val="16"/>
        </w:rPr>
        <w:t>Bulacio</w:t>
      </w:r>
      <w:proofErr w:type="spellEnd"/>
      <w:r w:rsidRPr="00736447">
        <w:rPr>
          <w:rFonts w:ascii="Cambria" w:hAnsi="Cambria"/>
          <w:i/>
          <w:sz w:val="16"/>
          <w:szCs w:val="16"/>
        </w:rPr>
        <w:t xml:space="preserve"> v. Argentina</w:t>
      </w:r>
      <w:r w:rsidRPr="00736447">
        <w:rPr>
          <w:rFonts w:ascii="Cambria" w:hAnsi="Cambria"/>
          <w:sz w:val="16"/>
          <w:szCs w:val="16"/>
        </w:rPr>
        <w:t>. Judgment of September 18, 2003, para. 126.</w:t>
      </w:r>
    </w:p>
  </w:footnote>
  <w:footnote w:id="135">
    <w:p w14:paraId="2E7E0D15" w14:textId="353B3FB1" w:rsidR="00E966C2" w:rsidRPr="00736447" w:rsidRDefault="00E966C2" w:rsidP="001A4533">
      <w:pPr>
        <w:pStyle w:val="FootnoteText"/>
        <w:jc w:val="both"/>
        <w:rPr>
          <w:rFonts w:ascii="Cambria" w:hAnsi="Cambria"/>
          <w:color w:val="auto"/>
          <w:sz w:val="16"/>
          <w:szCs w:val="16"/>
        </w:rPr>
      </w:pPr>
      <w:r w:rsidRPr="00736447">
        <w:rPr>
          <w:rStyle w:val="FootnoteReference"/>
          <w:rFonts w:ascii="Cambria" w:hAnsi="Cambria"/>
          <w:color w:val="auto"/>
          <w:sz w:val="16"/>
          <w:szCs w:val="16"/>
        </w:rPr>
        <w:footnoteRef/>
      </w:r>
      <w:r w:rsidRPr="00736447">
        <w:rPr>
          <w:rFonts w:ascii="Cambria" w:hAnsi="Cambria"/>
          <w:color w:val="auto"/>
          <w:sz w:val="16"/>
          <w:szCs w:val="16"/>
        </w:rPr>
        <w:t xml:space="preserve"> I/A Court H.R., </w:t>
      </w:r>
      <w:r w:rsidRPr="00736447">
        <w:rPr>
          <w:rFonts w:ascii="Cambria" w:hAnsi="Cambria"/>
          <w:i/>
          <w:color w:val="auto"/>
          <w:sz w:val="16"/>
          <w:szCs w:val="16"/>
        </w:rPr>
        <w:t>Case of Mendoza v. Argentina</w:t>
      </w:r>
      <w:r w:rsidRPr="00736447">
        <w:rPr>
          <w:rFonts w:ascii="Cambria" w:hAnsi="Cambria"/>
          <w:color w:val="auto"/>
          <w:sz w:val="16"/>
          <w:szCs w:val="16"/>
        </w:rPr>
        <w:t xml:space="preserve">. Judgment of May 14, 2013, para. 203 (citing cf. </w:t>
      </w:r>
      <w:r w:rsidRPr="00736447">
        <w:rPr>
          <w:rFonts w:ascii="Cambria" w:hAnsi="Cambria"/>
          <w:i/>
          <w:color w:val="auto"/>
          <w:sz w:val="16"/>
          <w:szCs w:val="16"/>
        </w:rPr>
        <w:t>Case of Juan Humberto Sánchez v. Honduras</w:t>
      </w:r>
      <w:r w:rsidRPr="00736447">
        <w:rPr>
          <w:rFonts w:ascii="Cambria" w:hAnsi="Cambria"/>
          <w:color w:val="auto"/>
          <w:sz w:val="16"/>
          <w:szCs w:val="16"/>
        </w:rPr>
        <w:t>, para</w:t>
      </w:r>
      <w:r>
        <w:rPr>
          <w:rFonts w:ascii="Cambria" w:hAnsi="Cambria"/>
          <w:color w:val="auto"/>
          <w:sz w:val="16"/>
          <w:szCs w:val="16"/>
        </w:rPr>
        <w:t>s</w:t>
      </w:r>
      <w:r w:rsidRPr="00736447">
        <w:rPr>
          <w:rFonts w:ascii="Cambria" w:hAnsi="Cambria"/>
          <w:color w:val="auto"/>
          <w:sz w:val="16"/>
          <w:szCs w:val="16"/>
        </w:rPr>
        <w:t>.</w:t>
      </w:r>
      <w:r>
        <w:rPr>
          <w:rFonts w:ascii="Cambria" w:hAnsi="Cambria"/>
          <w:color w:val="auto"/>
          <w:sz w:val="16"/>
          <w:szCs w:val="16"/>
        </w:rPr>
        <w:t xml:space="preserve"> 100,</w:t>
      </w:r>
      <w:r w:rsidRPr="00736447">
        <w:rPr>
          <w:rFonts w:ascii="Cambria" w:hAnsi="Cambria"/>
          <w:color w:val="auto"/>
          <w:sz w:val="16"/>
          <w:szCs w:val="16"/>
        </w:rPr>
        <w:t xml:space="preserve"> 111, and </w:t>
      </w:r>
      <w:r w:rsidR="00494F36">
        <w:rPr>
          <w:rFonts w:ascii="Cambria" w:hAnsi="Cambria"/>
          <w:i/>
          <w:color w:val="auto"/>
          <w:sz w:val="16"/>
          <w:szCs w:val="16"/>
        </w:rPr>
        <w:t>Case of Fleury et</w:t>
      </w:r>
      <w:r w:rsidRPr="00736447">
        <w:rPr>
          <w:rFonts w:ascii="Cambria" w:hAnsi="Cambria"/>
          <w:i/>
          <w:color w:val="auto"/>
          <w:sz w:val="16"/>
          <w:szCs w:val="16"/>
        </w:rPr>
        <w:t xml:space="preserve"> al. v. Haiti</w:t>
      </w:r>
      <w:r w:rsidRPr="00736447">
        <w:rPr>
          <w:rFonts w:ascii="Cambria" w:hAnsi="Cambria"/>
          <w:color w:val="auto"/>
          <w:sz w:val="16"/>
          <w:szCs w:val="16"/>
        </w:rPr>
        <w:t>, para. 77).</w:t>
      </w:r>
    </w:p>
  </w:footnote>
  <w:footnote w:id="136">
    <w:p w14:paraId="65EE7C20" w14:textId="17A05EC1" w:rsidR="00E966C2" w:rsidRPr="00F50A22" w:rsidRDefault="00E966C2" w:rsidP="001A4533">
      <w:pPr>
        <w:pStyle w:val="FootnoteText"/>
        <w:jc w:val="both"/>
        <w:rPr>
          <w:rFonts w:asciiTheme="majorHAnsi" w:hAnsiTheme="majorHAnsi"/>
          <w:color w:val="auto"/>
          <w:sz w:val="16"/>
          <w:szCs w:val="16"/>
        </w:rPr>
      </w:pPr>
      <w:r w:rsidRPr="00F50A22">
        <w:rPr>
          <w:rStyle w:val="FootnoteReference"/>
          <w:rFonts w:asciiTheme="majorHAnsi" w:hAnsiTheme="majorHAnsi"/>
          <w:color w:val="auto"/>
          <w:sz w:val="16"/>
          <w:szCs w:val="16"/>
        </w:rPr>
        <w:footnoteRef/>
      </w:r>
      <w:r w:rsidRPr="00F50A22">
        <w:rPr>
          <w:rFonts w:asciiTheme="majorHAnsi" w:hAnsiTheme="majorHAnsi"/>
          <w:color w:val="auto"/>
          <w:sz w:val="16"/>
          <w:szCs w:val="16"/>
        </w:rPr>
        <w:t xml:space="preserve"> I/A Court H.R., </w:t>
      </w:r>
      <w:r w:rsidRPr="00F50A22">
        <w:rPr>
          <w:rFonts w:asciiTheme="majorHAnsi" w:hAnsiTheme="majorHAnsi"/>
          <w:i/>
          <w:color w:val="auto"/>
          <w:sz w:val="16"/>
          <w:szCs w:val="16"/>
        </w:rPr>
        <w:t>Case of Mendoza v. Argentina</w:t>
      </w:r>
      <w:r w:rsidRPr="00F50A22">
        <w:rPr>
          <w:rFonts w:asciiTheme="majorHAnsi" w:hAnsiTheme="majorHAnsi"/>
          <w:color w:val="auto"/>
          <w:sz w:val="16"/>
          <w:szCs w:val="16"/>
        </w:rPr>
        <w:t xml:space="preserve">. Judgment of May 14, 2013, para. 203 (citing cf. </w:t>
      </w:r>
      <w:r w:rsidRPr="00F50A22">
        <w:rPr>
          <w:rFonts w:asciiTheme="majorHAnsi" w:hAnsiTheme="majorHAnsi"/>
          <w:i/>
          <w:color w:val="auto"/>
          <w:sz w:val="16"/>
          <w:szCs w:val="16"/>
        </w:rPr>
        <w:t>Case of the “Street Children” (</w:t>
      </w:r>
      <w:proofErr w:type="spellStart"/>
      <w:r w:rsidRPr="00F50A22">
        <w:rPr>
          <w:rFonts w:asciiTheme="majorHAnsi" w:hAnsiTheme="majorHAnsi"/>
          <w:i/>
          <w:color w:val="auto"/>
          <w:sz w:val="16"/>
          <w:szCs w:val="16"/>
        </w:rPr>
        <w:t>Villagrán</w:t>
      </w:r>
      <w:proofErr w:type="spellEnd"/>
      <w:r w:rsidRPr="00F50A22">
        <w:rPr>
          <w:rFonts w:asciiTheme="majorHAnsi" w:hAnsiTheme="majorHAnsi"/>
          <w:i/>
          <w:color w:val="auto"/>
          <w:sz w:val="16"/>
          <w:szCs w:val="16"/>
        </w:rPr>
        <w:t xml:space="preserve"> Morales et al.) v. Guatemala</w:t>
      </w:r>
      <w:r w:rsidRPr="00F50A22">
        <w:rPr>
          <w:rFonts w:asciiTheme="majorHAnsi" w:hAnsiTheme="majorHAnsi"/>
          <w:color w:val="auto"/>
          <w:sz w:val="16"/>
          <w:szCs w:val="16"/>
        </w:rPr>
        <w:t xml:space="preserve">. Merits, paras. 95, 170, and </w:t>
      </w:r>
      <w:r w:rsidR="00494F36">
        <w:rPr>
          <w:rFonts w:asciiTheme="majorHAnsi" w:hAnsiTheme="majorHAnsi"/>
          <w:i/>
          <w:color w:val="auto"/>
          <w:sz w:val="16"/>
          <w:szCs w:val="16"/>
        </w:rPr>
        <w:t>Case of Fleury et</w:t>
      </w:r>
      <w:r w:rsidRPr="00F50A22">
        <w:rPr>
          <w:rFonts w:asciiTheme="majorHAnsi" w:hAnsiTheme="majorHAnsi"/>
          <w:i/>
          <w:color w:val="auto"/>
          <w:sz w:val="16"/>
          <w:szCs w:val="16"/>
        </w:rPr>
        <w:t xml:space="preserve"> al. v. Haiti</w:t>
      </w:r>
      <w:r w:rsidRPr="00F50A22">
        <w:rPr>
          <w:rFonts w:asciiTheme="majorHAnsi" w:hAnsiTheme="majorHAnsi"/>
          <w:color w:val="auto"/>
          <w:sz w:val="16"/>
          <w:szCs w:val="16"/>
        </w:rPr>
        <w:t>, para. 77).</w:t>
      </w:r>
    </w:p>
  </w:footnote>
  <w:footnote w:id="137">
    <w:p w14:paraId="08DCD1C3" w14:textId="76233C73" w:rsidR="00E966C2" w:rsidRPr="00F50A22" w:rsidRDefault="00E966C2" w:rsidP="001A4533">
      <w:pPr>
        <w:pStyle w:val="FootnoteText"/>
        <w:jc w:val="both"/>
        <w:rPr>
          <w:rFonts w:asciiTheme="majorHAnsi" w:hAnsiTheme="majorHAnsi"/>
          <w:sz w:val="16"/>
          <w:szCs w:val="16"/>
        </w:rPr>
      </w:pPr>
      <w:r w:rsidRPr="00F50A22">
        <w:rPr>
          <w:rStyle w:val="FootnoteReference"/>
          <w:rFonts w:asciiTheme="majorHAnsi" w:hAnsiTheme="majorHAnsi"/>
          <w:sz w:val="16"/>
          <w:szCs w:val="16"/>
        </w:rPr>
        <w:footnoteRef/>
      </w:r>
      <w:r w:rsidRPr="00F50A22">
        <w:rPr>
          <w:rFonts w:asciiTheme="majorHAnsi" w:hAnsiTheme="majorHAnsi"/>
          <w:sz w:val="16"/>
          <w:szCs w:val="16"/>
        </w:rPr>
        <w:t xml:space="preserve"> Id. at para. 191.</w:t>
      </w:r>
    </w:p>
  </w:footnote>
  <w:footnote w:id="138">
    <w:p w14:paraId="736594C1" w14:textId="4A3B9F9E" w:rsidR="00E966C2" w:rsidRPr="009A1742" w:rsidRDefault="00E966C2" w:rsidP="001A4533">
      <w:pPr>
        <w:pStyle w:val="FootnoteText"/>
        <w:jc w:val="both"/>
        <w:rPr>
          <w:rFonts w:asciiTheme="majorHAnsi" w:hAnsiTheme="majorHAnsi"/>
          <w:sz w:val="16"/>
          <w:szCs w:val="16"/>
        </w:rPr>
      </w:pPr>
      <w:r w:rsidRPr="00F50A22">
        <w:rPr>
          <w:rStyle w:val="FootnoteReference"/>
          <w:rFonts w:asciiTheme="majorHAnsi" w:hAnsiTheme="majorHAnsi"/>
          <w:sz w:val="16"/>
          <w:szCs w:val="16"/>
        </w:rPr>
        <w:footnoteRef/>
      </w:r>
      <w:r w:rsidRPr="00F50A22">
        <w:rPr>
          <w:rFonts w:asciiTheme="majorHAnsi" w:hAnsiTheme="majorHAnsi"/>
          <w:sz w:val="16"/>
          <w:szCs w:val="16"/>
        </w:rPr>
        <w:t xml:space="preserve"> I/A Court H.R. </w:t>
      </w:r>
      <w:r w:rsidRPr="00F50A22">
        <w:rPr>
          <w:rFonts w:asciiTheme="majorHAnsi" w:hAnsiTheme="majorHAnsi"/>
          <w:i/>
          <w:sz w:val="16"/>
          <w:szCs w:val="16"/>
        </w:rPr>
        <w:t xml:space="preserve">Case of </w:t>
      </w:r>
      <w:proofErr w:type="spellStart"/>
      <w:r w:rsidRPr="00F50A22">
        <w:rPr>
          <w:rFonts w:asciiTheme="majorHAnsi" w:hAnsiTheme="majorHAnsi"/>
          <w:bCs/>
          <w:i/>
          <w:sz w:val="16"/>
          <w:szCs w:val="16"/>
        </w:rPr>
        <w:t>Servellón</w:t>
      </w:r>
      <w:proofErr w:type="spellEnd"/>
      <w:r w:rsidRPr="00F50A22">
        <w:rPr>
          <w:rFonts w:asciiTheme="majorHAnsi" w:hAnsiTheme="majorHAnsi"/>
          <w:bCs/>
          <w:i/>
          <w:sz w:val="16"/>
          <w:szCs w:val="16"/>
        </w:rPr>
        <w:t xml:space="preserve"> </w:t>
      </w:r>
      <w:proofErr w:type="spellStart"/>
      <w:r w:rsidRPr="00F50A22">
        <w:rPr>
          <w:rFonts w:asciiTheme="majorHAnsi" w:hAnsiTheme="majorHAnsi"/>
          <w:bCs/>
          <w:i/>
          <w:sz w:val="16"/>
          <w:szCs w:val="16"/>
        </w:rPr>
        <w:t>García</w:t>
      </w:r>
      <w:proofErr w:type="spellEnd"/>
      <w:r w:rsidRPr="00F50A22">
        <w:rPr>
          <w:rFonts w:asciiTheme="majorHAnsi" w:hAnsiTheme="majorHAnsi"/>
          <w:bCs/>
          <w:i/>
          <w:sz w:val="16"/>
          <w:szCs w:val="16"/>
        </w:rPr>
        <w:t xml:space="preserve"> and others </w:t>
      </w:r>
      <w:r>
        <w:rPr>
          <w:rFonts w:asciiTheme="majorHAnsi" w:hAnsiTheme="majorHAnsi"/>
          <w:bCs/>
          <w:i/>
          <w:sz w:val="16"/>
          <w:szCs w:val="16"/>
        </w:rPr>
        <w:t>v</w:t>
      </w:r>
      <w:r w:rsidRPr="00F50A22">
        <w:rPr>
          <w:rFonts w:asciiTheme="majorHAnsi" w:hAnsiTheme="majorHAnsi"/>
          <w:bCs/>
          <w:i/>
          <w:sz w:val="16"/>
          <w:szCs w:val="16"/>
        </w:rPr>
        <w:t>. Honduras</w:t>
      </w:r>
      <w:r w:rsidRPr="00F50A22">
        <w:rPr>
          <w:rFonts w:asciiTheme="majorHAnsi" w:hAnsiTheme="majorHAnsi"/>
          <w:bCs/>
          <w:sz w:val="16"/>
          <w:szCs w:val="16"/>
        </w:rPr>
        <w:t>. Judgment of September 21, 2006, para.</w:t>
      </w:r>
      <w:r w:rsidRPr="00F50A22">
        <w:rPr>
          <w:rFonts w:asciiTheme="majorHAnsi" w:hAnsiTheme="majorHAnsi"/>
          <w:sz w:val="16"/>
          <w:szCs w:val="16"/>
        </w:rPr>
        <w:t xml:space="preserve"> </w:t>
      </w:r>
      <w:r w:rsidRPr="009A1742">
        <w:rPr>
          <w:rFonts w:asciiTheme="majorHAnsi" w:hAnsiTheme="majorHAnsi"/>
          <w:sz w:val="16"/>
          <w:szCs w:val="16"/>
        </w:rPr>
        <w:t>116.</w:t>
      </w:r>
    </w:p>
  </w:footnote>
  <w:footnote w:id="139">
    <w:p w14:paraId="4E2EDCEE" w14:textId="60C1A5D7" w:rsidR="00E966C2" w:rsidRPr="00F50A22" w:rsidRDefault="00E966C2" w:rsidP="001A4533">
      <w:pPr>
        <w:jc w:val="both"/>
        <w:rPr>
          <w:rFonts w:asciiTheme="majorHAnsi" w:eastAsia="Times New Roman" w:hAnsiTheme="majorHAnsi"/>
          <w:sz w:val="16"/>
          <w:szCs w:val="16"/>
          <w:bdr w:val="none" w:sz="0" w:space="0" w:color="auto"/>
          <w:lang w:eastAsia="es-ES"/>
        </w:rPr>
      </w:pPr>
      <w:r w:rsidRPr="00F50A22">
        <w:rPr>
          <w:rStyle w:val="FootnoteReference"/>
          <w:rFonts w:asciiTheme="majorHAnsi" w:hAnsiTheme="majorHAnsi"/>
          <w:sz w:val="16"/>
          <w:szCs w:val="16"/>
        </w:rPr>
        <w:footnoteRef/>
      </w:r>
      <w:r w:rsidRPr="00F50A22">
        <w:rPr>
          <w:rFonts w:asciiTheme="majorHAnsi" w:hAnsiTheme="majorHAnsi"/>
          <w:sz w:val="16"/>
          <w:szCs w:val="16"/>
        </w:rPr>
        <w:t xml:space="preserve"> I/A Court H.R., </w:t>
      </w:r>
      <w:r w:rsidRPr="00F50A22">
        <w:rPr>
          <w:rFonts w:asciiTheme="majorHAnsi" w:eastAsia="Times New Roman" w:hAnsiTheme="majorHAnsi"/>
          <w:bCs/>
          <w:i/>
          <w:color w:val="000000"/>
          <w:sz w:val="16"/>
          <w:szCs w:val="16"/>
          <w:bdr w:val="none" w:sz="0" w:space="0" w:color="auto"/>
          <w:lang w:eastAsia="es-ES"/>
        </w:rPr>
        <w:t xml:space="preserve">Case of Pacheco </w:t>
      </w:r>
      <w:proofErr w:type="spellStart"/>
      <w:r w:rsidRPr="00F50A22">
        <w:rPr>
          <w:rFonts w:asciiTheme="majorHAnsi" w:eastAsia="Times New Roman" w:hAnsiTheme="majorHAnsi"/>
          <w:bCs/>
          <w:i/>
          <w:color w:val="000000"/>
          <w:sz w:val="16"/>
          <w:szCs w:val="16"/>
          <w:bdr w:val="none" w:sz="0" w:space="0" w:color="auto"/>
          <w:lang w:eastAsia="es-ES"/>
        </w:rPr>
        <w:t>Teruel</w:t>
      </w:r>
      <w:proofErr w:type="spellEnd"/>
      <w:r w:rsidRPr="00F50A22">
        <w:rPr>
          <w:rFonts w:asciiTheme="majorHAnsi" w:eastAsia="Times New Roman" w:hAnsiTheme="majorHAnsi"/>
          <w:bCs/>
          <w:i/>
          <w:color w:val="000000"/>
          <w:sz w:val="16"/>
          <w:szCs w:val="16"/>
          <w:bdr w:val="none" w:sz="0" w:space="0" w:color="auto"/>
          <w:lang w:eastAsia="es-ES"/>
        </w:rPr>
        <w:t xml:space="preserve"> et al. v. Honduras</w:t>
      </w:r>
      <w:r w:rsidRPr="00F50A22">
        <w:rPr>
          <w:rFonts w:asciiTheme="majorHAnsi" w:eastAsia="Times New Roman" w:hAnsiTheme="majorHAnsi"/>
          <w:bCs/>
          <w:color w:val="000000"/>
          <w:sz w:val="16"/>
          <w:szCs w:val="16"/>
          <w:bdr w:val="none" w:sz="0" w:space="0" w:color="auto"/>
          <w:lang w:eastAsia="es-ES"/>
        </w:rPr>
        <w:t>. Judgment of April 27, 2012</w:t>
      </w:r>
      <w:r w:rsidRPr="00F50A22">
        <w:rPr>
          <w:rFonts w:asciiTheme="majorHAnsi" w:hAnsiTheme="majorHAnsi"/>
          <w:sz w:val="16"/>
          <w:szCs w:val="16"/>
        </w:rPr>
        <w:t xml:space="preserve">, para. 64 (citing c.f. </w:t>
      </w:r>
      <w:r w:rsidRPr="00F50A22">
        <w:rPr>
          <w:rFonts w:asciiTheme="majorHAnsi" w:eastAsia="Times New Roman" w:hAnsiTheme="majorHAnsi"/>
          <w:bCs/>
          <w:i/>
          <w:color w:val="000000"/>
          <w:sz w:val="16"/>
          <w:szCs w:val="16"/>
          <w:bdr w:val="none" w:sz="0" w:space="0" w:color="auto"/>
          <w:lang w:eastAsia="es-ES"/>
        </w:rPr>
        <w:t>Case of the "Juvenile Reeducation Institute" v. Paraguay</w:t>
      </w:r>
      <w:r w:rsidRPr="00F50A22">
        <w:rPr>
          <w:rFonts w:asciiTheme="majorHAnsi" w:hAnsiTheme="majorHAnsi"/>
          <w:sz w:val="16"/>
          <w:szCs w:val="16"/>
        </w:rPr>
        <w:t>, para. 153).</w:t>
      </w:r>
    </w:p>
  </w:footnote>
  <w:footnote w:id="140">
    <w:p w14:paraId="3A629001" w14:textId="4CAC38E0" w:rsidR="00E966C2" w:rsidRPr="00736447" w:rsidRDefault="00E966C2" w:rsidP="001A4533">
      <w:pPr>
        <w:pStyle w:val="FootnoteText"/>
        <w:jc w:val="both"/>
        <w:rPr>
          <w:rFonts w:ascii="Cambria" w:hAnsi="Cambria"/>
          <w:i/>
          <w:color w:val="auto"/>
          <w:sz w:val="16"/>
          <w:szCs w:val="16"/>
        </w:rPr>
      </w:pPr>
      <w:r w:rsidRPr="00F50A22">
        <w:rPr>
          <w:rStyle w:val="FootnoteReference"/>
          <w:rFonts w:asciiTheme="majorHAnsi" w:hAnsiTheme="majorHAnsi"/>
          <w:color w:val="auto"/>
          <w:sz w:val="16"/>
          <w:szCs w:val="16"/>
        </w:rPr>
        <w:footnoteRef/>
      </w:r>
      <w:r w:rsidRPr="00F50A22">
        <w:rPr>
          <w:rFonts w:asciiTheme="majorHAnsi" w:hAnsiTheme="majorHAnsi"/>
          <w:color w:val="auto"/>
          <w:sz w:val="16"/>
          <w:szCs w:val="16"/>
        </w:rPr>
        <w:t xml:space="preserve"> I/A Court H.R., </w:t>
      </w:r>
      <w:r w:rsidRPr="00F50A22">
        <w:rPr>
          <w:rFonts w:asciiTheme="majorHAnsi" w:eastAsia="Times New Roman" w:hAnsiTheme="majorHAnsi"/>
          <w:bCs/>
          <w:i/>
          <w:sz w:val="16"/>
          <w:szCs w:val="16"/>
          <w:bdr w:val="none" w:sz="0" w:space="0" w:color="auto"/>
        </w:rPr>
        <w:t xml:space="preserve">Case of the "Juvenile </w:t>
      </w:r>
      <w:r w:rsidR="005C6AA9">
        <w:rPr>
          <w:rFonts w:asciiTheme="majorHAnsi" w:eastAsia="Times New Roman" w:hAnsiTheme="majorHAnsi"/>
          <w:bCs/>
          <w:i/>
          <w:sz w:val="16"/>
          <w:szCs w:val="16"/>
          <w:bdr w:val="none" w:sz="0" w:space="0" w:color="auto"/>
        </w:rPr>
        <w:t>Reeducation Institute."</w:t>
      </w:r>
      <w:r w:rsidRPr="00736447">
        <w:rPr>
          <w:rFonts w:asciiTheme="majorHAnsi" w:eastAsia="Times New Roman" w:hAnsiTheme="majorHAnsi"/>
          <w:bCs/>
          <w:sz w:val="16"/>
          <w:szCs w:val="16"/>
          <w:bdr w:val="none" w:sz="0" w:space="0" w:color="auto"/>
        </w:rPr>
        <w:t xml:space="preserve"> Judgment of September 2, 2004</w:t>
      </w:r>
      <w:r w:rsidRPr="00736447">
        <w:rPr>
          <w:rFonts w:ascii="Cambria" w:hAnsi="Cambria"/>
          <w:color w:val="auto"/>
          <w:sz w:val="16"/>
          <w:szCs w:val="16"/>
        </w:rPr>
        <w:t xml:space="preserve">, para. 160. </w:t>
      </w:r>
    </w:p>
    <w:p w14:paraId="723B49E8" w14:textId="36B38B2A" w:rsidR="00E966C2" w:rsidRPr="00736447" w:rsidRDefault="00E966C2" w:rsidP="001A4533">
      <w:pPr>
        <w:pStyle w:val="FootnoteText"/>
        <w:ind w:firstLine="720"/>
        <w:jc w:val="both"/>
        <w:rPr>
          <w:rFonts w:ascii="Cambria" w:hAnsi="Cambria"/>
          <w:color w:val="auto"/>
          <w:sz w:val="16"/>
          <w:szCs w:val="16"/>
        </w:rPr>
      </w:pPr>
      <w:r w:rsidRPr="00736447">
        <w:rPr>
          <w:rFonts w:ascii="Cambria" w:hAnsi="Cambria"/>
          <w:color w:val="auto"/>
          <w:sz w:val="16"/>
          <w:szCs w:val="16"/>
        </w:rPr>
        <w:t>This</w:t>
      </w:r>
      <w:r w:rsidR="005C6AA9">
        <w:rPr>
          <w:rFonts w:ascii="Cambria" w:hAnsi="Cambria"/>
          <w:color w:val="auto"/>
          <w:sz w:val="16"/>
          <w:szCs w:val="16"/>
        </w:rPr>
        <w:t>,</w:t>
      </w:r>
      <w:r w:rsidRPr="00736447">
        <w:rPr>
          <w:rFonts w:ascii="Cambria" w:hAnsi="Cambria"/>
          <w:color w:val="auto"/>
          <w:sz w:val="16"/>
          <w:szCs w:val="16"/>
        </w:rPr>
        <w:t xml:space="preserve"> </w:t>
      </w:r>
      <w:r w:rsidR="005C6AA9">
        <w:rPr>
          <w:rFonts w:ascii="Cambria" w:hAnsi="Cambria"/>
          <w:color w:val="auto"/>
          <w:sz w:val="16"/>
          <w:szCs w:val="16"/>
        </w:rPr>
        <w:t>given</w:t>
      </w:r>
      <w:r w:rsidRPr="00736447">
        <w:rPr>
          <w:rFonts w:ascii="Cambria" w:hAnsi="Cambria"/>
          <w:color w:val="auto"/>
          <w:sz w:val="16"/>
          <w:szCs w:val="16"/>
        </w:rPr>
        <w:t xml:space="preserve"> that “Articles 6 and 27 of the Convention on the Rights of the Child include in the right to life the obligation of State to ensure ‘the maximum degree possible of survival</w:t>
      </w:r>
      <w:r>
        <w:rPr>
          <w:rFonts w:ascii="Cambria" w:hAnsi="Cambria"/>
          <w:color w:val="auto"/>
          <w:sz w:val="16"/>
          <w:szCs w:val="16"/>
        </w:rPr>
        <w:t xml:space="preserve"> and development of the child.’”</w:t>
      </w:r>
      <w:r w:rsidRPr="00736447">
        <w:rPr>
          <w:rFonts w:ascii="Cambria" w:hAnsi="Cambria"/>
          <w:color w:val="auto"/>
          <w:sz w:val="16"/>
          <w:szCs w:val="16"/>
        </w:rPr>
        <w:t xml:space="preserve"> </w:t>
      </w:r>
      <w:r>
        <w:rPr>
          <w:rFonts w:ascii="Cambria" w:hAnsi="Cambria"/>
          <w:i/>
          <w:color w:val="auto"/>
          <w:sz w:val="16"/>
          <w:szCs w:val="16"/>
        </w:rPr>
        <w:t>I</w:t>
      </w:r>
      <w:r w:rsidRPr="00736447">
        <w:rPr>
          <w:rFonts w:ascii="Cambria" w:hAnsi="Cambria"/>
          <w:i/>
          <w:color w:val="auto"/>
          <w:sz w:val="16"/>
          <w:szCs w:val="16"/>
        </w:rPr>
        <w:t>d.</w:t>
      </w:r>
      <w:r w:rsidRPr="00736447">
        <w:rPr>
          <w:rFonts w:ascii="Cambria" w:hAnsi="Cambria"/>
          <w:color w:val="auto"/>
          <w:sz w:val="16"/>
          <w:szCs w:val="16"/>
        </w:rPr>
        <w:t>, para. 161.</w:t>
      </w:r>
    </w:p>
  </w:footnote>
  <w:footnote w:id="141">
    <w:p w14:paraId="54810B1C" w14:textId="412EFEA7" w:rsidR="00E966C2" w:rsidRPr="00736447" w:rsidRDefault="00E966C2" w:rsidP="001A4533">
      <w:pPr>
        <w:jc w:val="both"/>
        <w:rPr>
          <w:rFonts w:asciiTheme="majorHAnsi" w:eastAsia="Times New Roman" w:hAnsiTheme="majorHAnsi"/>
          <w:sz w:val="16"/>
          <w:szCs w:val="16"/>
          <w:bdr w:val="none" w:sz="0" w:space="0" w:color="auto"/>
          <w:lang w:eastAsia="es-ES"/>
        </w:rPr>
      </w:pPr>
      <w:r w:rsidRPr="00736447">
        <w:rPr>
          <w:rStyle w:val="FootnoteReference"/>
          <w:rFonts w:ascii="Cambria" w:hAnsi="Cambria"/>
          <w:sz w:val="16"/>
          <w:szCs w:val="16"/>
        </w:rPr>
        <w:footnoteRef/>
      </w:r>
      <w:r w:rsidRPr="00736447">
        <w:rPr>
          <w:rFonts w:ascii="Cambria" w:hAnsi="Cambria"/>
          <w:sz w:val="16"/>
          <w:szCs w:val="16"/>
        </w:rPr>
        <w:t xml:space="preserve"> I/A Court H.R., </w:t>
      </w:r>
      <w:r w:rsidRPr="00736447">
        <w:rPr>
          <w:rFonts w:ascii="Cambria" w:hAnsi="Cambria"/>
          <w:i/>
          <w:sz w:val="16"/>
          <w:szCs w:val="16"/>
        </w:rPr>
        <w:t>Case of the “Juvenile Reeducation Institute</w:t>
      </w:r>
      <w:r w:rsidR="005C6AA9">
        <w:rPr>
          <w:rFonts w:ascii="Cambria" w:hAnsi="Cambria"/>
          <w:i/>
          <w:sz w:val="16"/>
          <w:szCs w:val="16"/>
        </w:rPr>
        <w:t>.</w:t>
      </w:r>
      <w:r w:rsidRPr="00736447">
        <w:rPr>
          <w:rFonts w:ascii="Cambria" w:hAnsi="Cambria"/>
          <w:i/>
          <w:sz w:val="16"/>
          <w:szCs w:val="16"/>
        </w:rPr>
        <w:t>”</w:t>
      </w:r>
      <w:r w:rsidRPr="00736447">
        <w:rPr>
          <w:rFonts w:ascii="Cambria" w:hAnsi="Cambria"/>
          <w:sz w:val="16"/>
          <w:szCs w:val="16"/>
        </w:rPr>
        <w:t xml:space="preserve"> Judgment of September 2, 2004, para. 161. </w:t>
      </w:r>
      <w:r w:rsidRPr="00736447">
        <w:rPr>
          <w:rFonts w:ascii="Cambria" w:hAnsi="Cambria"/>
          <w:i/>
          <w:sz w:val="16"/>
          <w:szCs w:val="16"/>
        </w:rPr>
        <w:t>See also</w:t>
      </w:r>
      <w:r w:rsidRPr="00736447">
        <w:rPr>
          <w:rFonts w:ascii="Cambria" w:hAnsi="Cambria"/>
          <w:sz w:val="16"/>
          <w:szCs w:val="16"/>
        </w:rPr>
        <w:t xml:space="preserve"> UN Rules for the Protection of Juveniles Deprived of their </w:t>
      </w:r>
      <w:r w:rsidRPr="00736447">
        <w:rPr>
          <w:rFonts w:asciiTheme="majorHAnsi" w:hAnsiTheme="majorHAnsi"/>
          <w:sz w:val="16"/>
          <w:szCs w:val="16"/>
        </w:rPr>
        <w:t>Liberty, Rule 13 (“</w:t>
      </w:r>
      <w:r w:rsidRPr="00736447">
        <w:rPr>
          <w:rFonts w:asciiTheme="majorHAnsi" w:eastAsia="Times New Roman" w:hAnsiTheme="majorHAnsi"/>
          <w:color w:val="000000"/>
          <w:sz w:val="16"/>
          <w:szCs w:val="16"/>
          <w:bdr w:val="none" w:sz="0" w:space="0" w:color="auto"/>
          <w:shd w:val="clear" w:color="auto" w:fill="FFFFFF"/>
          <w:lang w:eastAsia="es-ES"/>
        </w:rPr>
        <w:t>Juveniles deprived of their liberty shall not for any reason related to their status be denied the civil, economic, political, social or cultural rights to which they are entitled under national or international law, and which are compatible with the deprivation of liberty</w:t>
      </w:r>
      <w:r w:rsidRPr="00736447">
        <w:rPr>
          <w:rFonts w:asciiTheme="majorHAnsi" w:hAnsiTheme="majorHAnsi"/>
          <w:sz w:val="16"/>
          <w:szCs w:val="16"/>
        </w:rPr>
        <w:t>”).</w:t>
      </w:r>
    </w:p>
  </w:footnote>
  <w:footnote w:id="142">
    <w:p w14:paraId="7D422268" w14:textId="664ECC53" w:rsidR="00E966C2" w:rsidRPr="00736447" w:rsidRDefault="00E966C2" w:rsidP="001A4533">
      <w:pPr>
        <w:pStyle w:val="FootnoteText"/>
        <w:jc w:val="both"/>
        <w:rPr>
          <w:rFonts w:ascii="Cambria" w:hAnsi="Cambria"/>
          <w:color w:val="auto"/>
          <w:sz w:val="16"/>
          <w:szCs w:val="16"/>
        </w:rPr>
      </w:pPr>
      <w:r w:rsidRPr="00736447">
        <w:rPr>
          <w:rStyle w:val="FootnoteReference"/>
          <w:rFonts w:asciiTheme="majorHAnsi" w:hAnsiTheme="majorHAnsi"/>
          <w:color w:val="auto"/>
          <w:sz w:val="16"/>
          <w:szCs w:val="16"/>
        </w:rPr>
        <w:footnoteRef/>
      </w:r>
      <w:r w:rsidRPr="00736447">
        <w:rPr>
          <w:rFonts w:asciiTheme="majorHAnsi" w:hAnsiTheme="majorHAnsi"/>
          <w:color w:val="auto"/>
          <w:sz w:val="16"/>
          <w:szCs w:val="16"/>
        </w:rPr>
        <w:t xml:space="preserve"> I/A Court H.R., </w:t>
      </w:r>
      <w:r w:rsidRPr="00736447">
        <w:rPr>
          <w:rFonts w:ascii="Cambria" w:hAnsi="Cambria"/>
          <w:i/>
          <w:color w:val="auto"/>
          <w:sz w:val="16"/>
          <w:szCs w:val="16"/>
        </w:rPr>
        <w:t>Case of the “J</w:t>
      </w:r>
      <w:r w:rsidR="005C6AA9">
        <w:rPr>
          <w:rFonts w:ascii="Cambria" w:hAnsi="Cambria"/>
          <w:i/>
          <w:color w:val="auto"/>
          <w:sz w:val="16"/>
          <w:szCs w:val="16"/>
        </w:rPr>
        <w:t>uvenile Reeducation Institute.”</w:t>
      </w:r>
      <w:r w:rsidRPr="00736447">
        <w:rPr>
          <w:rFonts w:ascii="Cambria" w:hAnsi="Cambria"/>
          <w:color w:val="auto"/>
          <w:sz w:val="16"/>
          <w:szCs w:val="16"/>
        </w:rPr>
        <w:t xml:space="preserve"> Judgment of September 2, 2004, para. 163. (</w:t>
      </w:r>
      <w:proofErr w:type="gramStart"/>
      <w:r w:rsidRPr="00736447">
        <w:rPr>
          <w:rFonts w:ascii="Cambria" w:hAnsi="Cambria"/>
          <w:color w:val="auto"/>
          <w:sz w:val="16"/>
          <w:szCs w:val="16"/>
        </w:rPr>
        <w:t>citing</w:t>
      </w:r>
      <w:proofErr w:type="gramEnd"/>
      <w:r w:rsidRPr="00736447">
        <w:rPr>
          <w:rFonts w:ascii="Cambria" w:hAnsi="Cambria"/>
          <w:color w:val="auto"/>
          <w:sz w:val="16"/>
          <w:szCs w:val="16"/>
        </w:rPr>
        <w:t xml:space="preserve"> UN Standard Minimum Rules for the Administration of Juvenile Justice (Beijing Rules)).</w:t>
      </w:r>
    </w:p>
  </w:footnote>
  <w:footnote w:id="143">
    <w:p w14:paraId="2B44093A" w14:textId="078D4FC9" w:rsidR="00E966C2" w:rsidRPr="00736447" w:rsidRDefault="00E966C2" w:rsidP="001A4533">
      <w:pPr>
        <w:jc w:val="both"/>
        <w:rPr>
          <w:rFonts w:asciiTheme="majorHAnsi" w:eastAsia="Times New Roman" w:hAnsiTheme="majorHAnsi"/>
          <w:sz w:val="16"/>
          <w:szCs w:val="16"/>
          <w:bdr w:val="none" w:sz="0" w:space="0" w:color="auto"/>
          <w:lang w:eastAsia="es-ES"/>
        </w:rPr>
      </w:pPr>
      <w:r w:rsidRPr="00736447">
        <w:rPr>
          <w:rStyle w:val="FootnoteReference"/>
          <w:rFonts w:ascii="Cambria" w:hAnsi="Cambria"/>
          <w:sz w:val="16"/>
          <w:szCs w:val="16"/>
        </w:rPr>
        <w:footnoteRef/>
      </w:r>
      <w:r w:rsidRPr="00736447">
        <w:rPr>
          <w:rFonts w:ascii="Cambria" w:hAnsi="Cambria"/>
          <w:sz w:val="16"/>
          <w:szCs w:val="16"/>
        </w:rPr>
        <w:t xml:space="preserve"> IACHR. Report No. 118/10. Case 12.680. Merits</w:t>
      </w:r>
      <w:r w:rsidR="00494F36">
        <w:rPr>
          <w:rFonts w:ascii="Cambria" w:hAnsi="Cambria"/>
          <w:sz w:val="16"/>
          <w:szCs w:val="16"/>
        </w:rPr>
        <w:t xml:space="preserve">. Pacheco </w:t>
      </w:r>
      <w:proofErr w:type="spellStart"/>
      <w:r w:rsidR="00494F36">
        <w:rPr>
          <w:rFonts w:ascii="Cambria" w:hAnsi="Cambria"/>
          <w:sz w:val="16"/>
          <w:szCs w:val="16"/>
        </w:rPr>
        <w:t>Teruel</w:t>
      </w:r>
      <w:proofErr w:type="spellEnd"/>
      <w:r w:rsidR="00494F36">
        <w:rPr>
          <w:rFonts w:ascii="Cambria" w:hAnsi="Cambria"/>
          <w:sz w:val="16"/>
          <w:szCs w:val="16"/>
        </w:rPr>
        <w:t xml:space="preserve"> et</w:t>
      </w:r>
      <w:r w:rsidR="005C6AA9">
        <w:rPr>
          <w:rFonts w:ascii="Cambria" w:hAnsi="Cambria"/>
          <w:sz w:val="16"/>
          <w:szCs w:val="16"/>
        </w:rPr>
        <w:t xml:space="preserve"> al. (Deaths in </w:t>
      </w:r>
      <w:r w:rsidRPr="00736447">
        <w:rPr>
          <w:rFonts w:ascii="Cambria" w:hAnsi="Cambria"/>
          <w:sz w:val="16"/>
          <w:szCs w:val="16"/>
        </w:rPr>
        <w:t xml:space="preserve">Fire at San Pedro Sula Prison) (Honduras). October 22, 2010, para. 64; I/A Court </w:t>
      </w:r>
      <w:r w:rsidRPr="00736447">
        <w:rPr>
          <w:rFonts w:asciiTheme="majorHAnsi" w:hAnsiTheme="majorHAnsi"/>
          <w:sz w:val="16"/>
          <w:szCs w:val="16"/>
        </w:rPr>
        <w:t xml:space="preserve">H.R., </w:t>
      </w:r>
      <w:r w:rsidRPr="00736447">
        <w:rPr>
          <w:rFonts w:asciiTheme="majorHAnsi" w:eastAsia="Times New Roman" w:hAnsiTheme="majorHAnsi"/>
          <w:bCs/>
          <w:color w:val="000000"/>
          <w:sz w:val="16"/>
          <w:szCs w:val="16"/>
          <w:bdr w:val="none" w:sz="0" w:space="0" w:color="auto"/>
          <w:lang w:eastAsia="es-ES"/>
        </w:rPr>
        <w:t xml:space="preserve">Matter of </w:t>
      </w:r>
      <w:proofErr w:type="spellStart"/>
      <w:r w:rsidRPr="00736447">
        <w:rPr>
          <w:rFonts w:asciiTheme="majorHAnsi" w:eastAsia="Times New Roman" w:hAnsiTheme="majorHAnsi"/>
          <w:bCs/>
          <w:color w:val="000000"/>
          <w:sz w:val="16"/>
          <w:szCs w:val="16"/>
          <w:bdr w:val="none" w:sz="0" w:space="0" w:color="auto"/>
          <w:lang w:eastAsia="es-ES"/>
        </w:rPr>
        <w:t>Urso</w:t>
      </w:r>
      <w:proofErr w:type="spellEnd"/>
      <w:r w:rsidRPr="00736447">
        <w:rPr>
          <w:rFonts w:asciiTheme="majorHAnsi" w:eastAsia="Times New Roman" w:hAnsiTheme="majorHAnsi"/>
          <w:bCs/>
          <w:color w:val="000000"/>
          <w:sz w:val="16"/>
          <w:szCs w:val="16"/>
          <w:bdr w:val="none" w:sz="0" w:space="0" w:color="auto"/>
          <w:lang w:eastAsia="es-ES"/>
        </w:rPr>
        <w:t xml:space="preserve"> </w:t>
      </w:r>
      <w:proofErr w:type="spellStart"/>
      <w:r w:rsidRPr="00736447">
        <w:rPr>
          <w:rFonts w:asciiTheme="majorHAnsi" w:eastAsia="Times New Roman" w:hAnsiTheme="majorHAnsi"/>
          <w:bCs/>
          <w:color w:val="000000"/>
          <w:sz w:val="16"/>
          <w:szCs w:val="16"/>
          <w:bdr w:val="none" w:sz="0" w:space="0" w:color="auto"/>
          <w:lang w:eastAsia="es-ES"/>
        </w:rPr>
        <w:t>Branco</w:t>
      </w:r>
      <w:proofErr w:type="spellEnd"/>
      <w:r w:rsidRPr="00736447">
        <w:rPr>
          <w:rFonts w:asciiTheme="majorHAnsi" w:eastAsia="Times New Roman" w:hAnsiTheme="majorHAnsi"/>
          <w:bCs/>
          <w:color w:val="000000"/>
          <w:sz w:val="16"/>
          <w:szCs w:val="16"/>
          <w:bdr w:val="none" w:sz="0" w:space="0" w:color="auto"/>
          <w:lang w:eastAsia="es-ES"/>
        </w:rPr>
        <w:t xml:space="preserve"> Prison regarding Brazil. Provisional Measures. Order of the Inter-American Court of Human Rights of April 22, 2004</w:t>
      </w:r>
      <w:r w:rsidRPr="00736447">
        <w:rPr>
          <w:rFonts w:asciiTheme="majorHAnsi" w:eastAsia="Times New Roman" w:hAnsiTheme="majorHAnsi"/>
          <w:sz w:val="16"/>
          <w:szCs w:val="16"/>
          <w:bdr w:val="none" w:sz="0" w:space="0" w:color="auto"/>
          <w:lang w:eastAsia="es-ES"/>
        </w:rPr>
        <w:t>, consider</w:t>
      </w:r>
      <w:r w:rsidR="005C6AA9">
        <w:rPr>
          <w:rFonts w:asciiTheme="majorHAnsi" w:eastAsia="Times New Roman" w:hAnsiTheme="majorHAnsi"/>
          <w:sz w:val="16"/>
          <w:szCs w:val="16"/>
          <w:bdr w:val="none" w:sz="0" w:space="0" w:color="auto"/>
          <w:lang w:eastAsia="es-ES"/>
        </w:rPr>
        <w:t>ing no.</w:t>
      </w:r>
      <w:r w:rsidRPr="00736447">
        <w:rPr>
          <w:rFonts w:asciiTheme="majorHAnsi" w:hAnsiTheme="majorHAnsi"/>
          <w:sz w:val="16"/>
          <w:szCs w:val="16"/>
        </w:rPr>
        <w:t xml:space="preserve"> 11; I/A Court H.R., </w:t>
      </w:r>
      <w:r w:rsidRPr="00736447">
        <w:rPr>
          <w:rFonts w:asciiTheme="majorHAnsi" w:eastAsia="Times New Roman" w:hAnsiTheme="majorHAnsi"/>
          <w:bCs/>
          <w:i/>
          <w:color w:val="000000"/>
          <w:sz w:val="16"/>
          <w:szCs w:val="16"/>
          <w:bdr w:val="none" w:sz="0" w:space="0" w:color="auto"/>
          <w:lang w:eastAsia="es-ES"/>
        </w:rPr>
        <w:t>Case of the "J</w:t>
      </w:r>
      <w:r w:rsidR="005C6AA9">
        <w:rPr>
          <w:rFonts w:asciiTheme="majorHAnsi" w:eastAsia="Times New Roman" w:hAnsiTheme="majorHAnsi"/>
          <w:bCs/>
          <w:i/>
          <w:color w:val="000000"/>
          <w:sz w:val="16"/>
          <w:szCs w:val="16"/>
          <w:bdr w:val="none" w:sz="0" w:space="0" w:color="auto"/>
          <w:lang w:eastAsia="es-ES"/>
        </w:rPr>
        <w:t>uvenile Reeducation Institute</w:t>
      </w:r>
      <w:r w:rsidRPr="00736447">
        <w:rPr>
          <w:rFonts w:asciiTheme="majorHAnsi" w:eastAsia="Times New Roman" w:hAnsiTheme="majorHAnsi"/>
          <w:bCs/>
          <w:color w:val="000000"/>
          <w:sz w:val="16"/>
          <w:szCs w:val="16"/>
          <w:bdr w:val="none" w:sz="0" w:space="0" w:color="auto"/>
          <w:lang w:eastAsia="es-ES"/>
        </w:rPr>
        <w:t>.</w:t>
      </w:r>
      <w:r w:rsidR="005C6AA9">
        <w:rPr>
          <w:rFonts w:asciiTheme="majorHAnsi" w:eastAsia="Times New Roman" w:hAnsiTheme="majorHAnsi"/>
          <w:bCs/>
          <w:color w:val="000000"/>
          <w:sz w:val="16"/>
          <w:szCs w:val="16"/>
          <w:bdr w:val="none" w:sz="0" w:space="0" w:color="auto"/>
          <w:lang w:eastAsia="es-ES"/>
        </w:rPr>
        <w:t>”</w:t>
      </w:r>
      <w:r w:rsidRPr="00736447">
        <w:rPr>
          <w:rFonts w:asciiTheme="majorHAnsi" w:eastAsia="Times New Roman" w:hAnsiTheme="majorHAnsi"/>
          <w:bCs/>
          <w:color w:val="000000"/>
          <w:sz w:val="16"/>
          <w:szCs w:val="16"/>
          <w:bdr w:val="none" w:sz="0" w:space="0" w:color="auto"/>
          <w:lang w:eastAsia="es-ES"/>
        </w:rPr>
        <w:t xml:space="preserve"> Judgment of September 2, 2004</w:t>
      </w:r>
      <w:r w:rsidRPr="00736447">
        <w:rPr>
          <w:rFonts w:asciiTheme="majorHAnsi" w:hAnsiTheme="majorHAnsi"/>
          <w:sz w:val="16"/>
          <w:szCs w:val="16"/>
        </w:rPr>
        <w:t xml:space="preserve">, para. 178; </w:t>
      </w:r>
      <w:r w:rsidRPr="00736447">
        <w:rPr>
          <w:rFonts w:asciiTheme="majorHAnsi" w:eastAsia="Times New Roman" w:hAnsiTheme="majorHAnsi"/>
          <w:bCs/>
          <w:color w:val="000000"/>
          <w:sz w:val="16"/>
          <w:szCs w:val="16"/>
          <w:bdr w:val="none" w:sz="0" w:space="0" w:color="auto"/>
          <w:lang w:eastAsia="es-ES"/>
        </w:rPr>
        <w:t>Matter of Monagas Judicial Confinement Center ("La Pica") regarding Venezuela. Provisional Measures. Order of the President of the Inter-American Court of Human Rights of January 13, 2006</w:t>
      </w:r>
      <w:r w:rsidRPr="00736447">
        <w:rPr>
          <w:rFonts w:asciiTheme="majorHAnsi" w:eastAsia="Times New Roman" w:hAnsiTheme="majorHAnsi"/>
          <w:sz w:val="16"/>
          <w:szCs w:val="16"/>
          <w:bdr w:val="none" w:sz="0" w:space="0" w:color="auto"/>
          <w:lang w:eastAsia="es-ES"/>
        </w:rPr>
        <w:t>, consideration</w:t>
      </w:r>
      <w:r w:rsidRPr="00736447">
        <w:rPr>
          <w:rFonts w:asciiTheme="majorHAnsi" w:hAnsiTheme="majorHAnsi"/>
          <w:sz w:val="16"/>
          <w:szCs w:val="16"/>
        </w:rPr>
        <w:t xml:space="preserve"> 15; </w:t>
      </w:r>
      <w:r w:rsidRPr="00736447">
        <w:rPr>
          <w:rFonts w:asciiTheme="majorHAnsi" w:eastAsia="Times New Roman" w:hAnsiTheme="majorHAnsi"/>
          <w:bCs/>
          <w:color w:val="000000"/>
          <w:sz w:val="16"/>
          <w:szCs w:val="16"/>
          <w:bdr w:val="none" w:sz="0" w:space="0" w:color="auto"/>
          <w:lang w:eastAsia="es-ES"/>
        </w:rPr>
        <w:t>Matter of Yare I and Yare II Capital Region Penitentiary Center regarding Venezuela. Provisional Measures. Order of the Inter-American Court of Human Rights of March 30, 2006</w:t>
      </w:r>
      <w:r w:rsidRPr="00736447">
        <w:rPr>
          <w:rFonts w:asciiTheme="majorHAnsi" w:eastAsia="Times New Roman" w:hAnsiTheme="majorHAnsi"/>
          <w:sz w:val="16"/>
          <w:szCs w:val="16"/>
          <w:bdr w:val="none" w:sz="0" w:space="0" w:color="auto"/>
          <w:lang w:eastAsia="es-ES"/>
        </w:rPr>
        <w:t>, consideration</w:t>
      </w:r>
      <w:r w:rsidRPr="00736447">
        <w:rPr>
          <w:rFonts w:asciiTheme="majorHAnsi" w:hAnsiTheme="majorHAnsi"/>
          <w:sz w:val="16"/>
          <w:szCs w:val="16"/>
        </w:rPr>
        <w:t xml:space="preserve"> 18; </w:t>
      </w:r>
      <w:r w:rsidRPr="00736447">
        <w:rPr>
          <w:rFonts w:asciiTheme="majorHAnsi" w:eastAsia="Times New Roman" w:hAnsiTheme="majorHAnsi"/>
          <w:bCs/>
          <w:color w:val="000000"/>
          <w:sz w:val="16"/>
          <w:szCs w:val="16"/>
          <w:bdr w:val="none" w:sz="0" w:space="0" w:color="auto"/>
          <w:lang w:eastAsia="es-ES"/>
        </w:rPr>
        <w:t xml:space="preserve">Matter of the persons imprisoned in the "Dr. </w:t>
      </w:r>
      <w:proofErr w:type="spellStart"/>
      <w:r w:rsidRPr="00736447">
        <w:rPr>
          <w:rFonts w:asciiTheme="majorHAnsi" w:eastAsia="Times New Roman" w:hAnsiTheme="majorHAnsi"/>
          <w:bCs/>
          <w:color w:val="000000"/>
          <w:sz w:val="16"/>
          <w:szCs w:val="16"/>
          <w:bdr w:val="none" w:sz="0" w:space="0" w:color="auto"/>
          <w:lang w:eastAsia="es-ES"/>
        </w:rPr>
        <w:t>Sebastião</w:t>
      </w:r>
      <w:proofErr w:type="spellEnd"/>
      <w:r w:rsidRPr="00736447">
        <w:rPr>
          <w:rFonts w:asciiTheme="majorHAnsi" w:eastAsia="Times New Roman" w:hAnsiTheme="majorHAnsi"/>
          <w:bCs/>
          <w:color w:val="000000"/>
          <w:sz w:val="16"/>
          <w:szCs w:val="16"/>
          <w:bdr w:val="none" w:sz="0" w:space="0" w:color="auto"/>
          <w:lang w:eastAsia="es-ES"/>
        </w:rPr>
        <w:t xml:space="preserve"> Martins </w:t>
      </w:r>
      <w:proofErr w:type="spellStart"/>
      <w:r w:rsidRPr="00736447">
        <w:rPr>
          <w:rFonts w:asciiTheme="majorHAnsi" w:eastAsia="Times New Roman" w:hAnsiTheme="majorHAnsi"/>
          <w:bCs/>
          <w:color w:val="000000"/>
          <w:sz w:val="16"/>
          <w:szCs w:val="16"/>
          <w:bdr w:val="none" w:sz="0" w:space="0" w:color="auto"/>
          <w:lang w:eastAsia="es-ES"/>
        </w:rPr>
        <w:t>Silveira</w:t>
      </w:r>
      <w:proofErr w:type="spellEnd"/>
      <w:r w:rsidRPr="00736447">
        <w:rPr>
          <w:rFonts w:asciiTheme="majorHAnsi" w:eastAsia="Times New Roman" w:hAnsiTheme="majorHAnsi"/>
          <w:bCs/>
          <w:color w:val="000000"/>
          <w:sz w:val="16"/>
          <w:szCs w:val="16"/>
          <w:bdr w:val="none" w:sz="0" w:space="0" w:color="auto"/>
          <w:lang w:eastAsia="es-ES"/>
        </w:rPr>
        <w:t xml:space="preserve">" Penitentiary in </w:t>
      </w:r>
      <w:proofErr w:type="spellStart"/>
      <w:r w:rsidRPr="00736447">
        <w:rPr>
          <w:rFonts w:asciiTheme="majorHAnsi" w:eastAsia="Times New Roman" w:hAnsiTheme="majorHAnsi"/>
          <w:bCs/>
          <w:color w:val="000000"/>
          <w:sz w:val="16"/>
          <w:szCs w:val="16"/>
          <w:bdr w:val="none" w:sz="0" w:space="0" w:color="auto"/>
          <w:lang w:eastAsia="es-ES"/>
        </w:rPr>
        <w:t>Araraquara</w:t>
      </w:r>
      <w:proofErr w:type="spellEnd"/>
      <w:r w:rsidRPr="00736447">
        <w:rPr>
          <w:rFonts w:asciiTheme="majorHAnsi" w:eastAsia="Times New Roman" w:hAnsiTheme="majorHAnsi"/>
          <w:bCs/>
          <w:color w:val="000000"/>
          <w:sz w:val="16"/>
          <w:szCs w:val="16"/>
          <w:bdr w:val="none" w:sz="0" w:space="0" w:color="auto"/>
          <w:lang w:eastAsia="es-ES"/>
        </w:rPr>
        <w:t>, São Paulo regarding Brazil. Provisional Measures. Order of the President of the Inter-American Court of Human Rights of July 28, 2006</w:t>
      </w:r>
      <w:r w:rsidRPr="00736447">
        <w:rPr>
          <w:rFonts w:asciiTheme="majorHAnsi" w:eastAsia="Times New Roman" w:hAnsiTheme="majorHAnsi"/>
          <w:sz w:val="16"/>
          <w:szCs w:val="16"/>
          <w:bdr w:val="none" w:sz="0" w:space="0" w:color="auto"/>
          <w:lang w:eastAsia="es-ES"/>
        </w:rPr>
        <w:t>, consideration</w:t>
      </w:r>
      <w:r w:rsidRPr="00736447">
        <w:rPr>
          <w:rFonts w:asciiTheme="majorHAnsi" w:hAnsiTheme="majorHAnsi"/>
          <w:sz w:val="16"/>
          <w:szCs w:val="16"/>
        </w:rPr>
        <w:t xml:space="preserve"> 18.</w:t>
      </w:r>
    </w:p>
  </w:footnote>
  <w:footnote w:id="144">
    <w:p w14:paraId="60419569" w14:textId="6B265AB2" w:rsidR="00E966C2" w:rsidRPr="00736447" w:rsidRDefault="00E966C2" w:rsidP="001A4533">
      <w:pPr>
        <w:jc w:val="both"/>
        <w:rPr>
          <w:rFonts w:asciiTheme="majorHAnsi" w:eastAsia="Times New Roman" w:hAnsiTheme="majorHAnsi"/>
          <w:sz w:val="16"/>
          <w:szCs w:val="16"/>
          <w:bdr w:val="none" w:sz="0" w:space="0" w:color="auto"/>
          <w:lang w:eastAsia="es-ES"/>
        </w:rPr>
      </w:pPr>
      <w:r w:rsidRPr="00736447">
        <w:rPr>
          <w:rStyle w:val="FootnoteReference"/>
          <w:rFonts w:ascii="Cambria" w:hAnsi="Cambria"/>
          <w:sz w:val="16"/>
          <w:szCs w:val="16"/>
        </w:rPr>
        <w:footnoteRef/>
      </w:r>
      <w:r w:rsidRPr="00736447">
        <w:rPr>
          <w:rFonts w:ascii="Cambria" w:hAnsi="Cambria"/>
          <w:sz w:val="16"/>
          <w:szCs w:val="16"/>
        </w:rPr>
        <w:t xml:space="preserve"> I/A Court H.R., </w:t>
      </w:r>
      <w:r w:rsidRPr="00736447">
        <w:rPr>
          <w:rFonts w:ascii="Cambria" w:hAnsi="Cambria"/>
          <w:i/>
          <w:sz w:val="16"/>
          <w:szCs w:val="16"/>
        </w:rPr>
        <w:t>Case of the "Juvenile Reeducation Institute</w:t>
      </w:r>
      <w:r w:rsidR="005C6AA9">
        <w:rPr>
          <w:rFonts w:ascii="Cambria" w:hAnsi="Cambria"/>
          <w:i/>
          <w:sz w:val="16"/>
          <w:szCs w:val="16"/>
        </w:rPr>
        <w:t>.</w:t>
      </w:r>
      <w:r w:rsidRPr="00736447">
        <w:rPr>
          <w:rFonts w:ascii="Cambria" w:hAnsi="Cambria"/>
          <w:i/>
          <w:sz w:val="16"/>
          <w:szCs w:val="16"/>
        </w:rPr>
        <w:t>"</w:t>
      </w:r>
      <w:r w:rsidRPr="00736447">
        <w:rPr>
          <w:rFonts w:ascii="Cambria" w:hAnsi="Cambria"/>
          <w:sz w:val="16"/>
          <w:szCs w:val="16"/>
        </w:rPr>
        <w:t xml:space="preserve"> Judgment of September 2, 2004, para. 184; </w:t>
      </w:r>
      <w:r w:rsidRPr="00736447">
        <w:rPr>
          <w:rFonts w:ascii="Cambria" w:hAnsi="Cambria"/>
          <w:i/>
          <w:sz w:val="16"/>
          <w:szCs w:val="16"/>
        </w:rPr>
        <w:t>see also</w:t>
      </w:r>
      <w:r w:rsidRPr="00736447">
        <w:rPr>
          <w:rFonts w:ascii="Cambria" w:hAnsi="Cambria"/>
          <w:sz w:val="16"/>
          <w:szCs w:val="16"/>
        </w:rPr>
        <w:t xml:space="preserve"> </w:t>
      </w:r>
      <w:r w:rsidRPr="00736447">
        <w:rPr>
          <w:rFonts w:asciiTheme="majorHAnsi" w:eastAsia="Times New Roman" w:hAnsiTheme="majorHAnsi"/>
          <w:bCs/>
          <w:color w:val="000000"/>
          <w:sz w:val="16"/>
          <w:szCs w:val="16"/>
          <w:bdr w:val="none" w:sz="0" w:space="0" w:color="auto"/>
          <w:lang w:eastAsia="es-ES"/>
        </w:rPr>
        <w:t xml:space="preserve">Matter of Judicial Penitentiary of Ciudad Bolívar "Vista Hermosa </w:t>
      </w:r>
      <w:r w:rsidR="005C6AA9">
        <w:rPr>
          <w:rFonts w:asciiTheme="majorHAnsi" w:eastAsia="Times New Roman" w:hAnsiTheme="majorHAnsi"/>
          <w:bCs/>
          <w:color w:val="000000"/>
          <w:sz w:val="16"/>
          <w:szCs w:val="16"/>
          <w:bdr w:val="none" w:sz="0" w:space="0" w:color="auto"/>
          <w:lang w:eastAsia="es-ES"/>
        </w:rPr>
        <w:t>Prison</w:t>
      </w:r>
      <w:r w:rsidRPr="00736447">
        <w:rPr>
          <w:rFonts w:asciiTheme="majorHAnsi" w:eastAsia="Times New Roman" w:hAnsiTheme="majorHAnsi"/>
          <w:bCs/>
          <w:color w:val="000000"/>
          <w:sz w:val="16"/>
          <w:szCs w:val="16"/>
          <w:bdr w:val="none" w:sz="0" w:space="0" w:color="auto"/>
          <w:lang w:eastAsia="es-ES"/>
        </w:rPr>
        <w:t>" regarding Venezuela. Provisional Measures. Order of the Inter-American Court of Human Rights of May 15, 2011.</w:t>
      </w:r>
    </w:p>
  </w:footnote>
  <w:footnote w:id="145">
    <w:p w14:paraId="4D268FF2" w14:textId="0C700499" w:rsidR="00E966C2" w:rsidRPr="00736447" w:rsidRDefault="00E966C2" w:rsidP="001A4533">
      <w:pPr>
        <w:pStyle w:val="FootnoteText"/>
        <w:jc w:val="both"/>
        <w:rPr>
          <w:rFonts w:ascii="Cambria" w:hAnsi="Cambria"/>
          <w:color w:val="auto"/>
          <w:sz w:val="16"/>
          <w:szCs w:val="16"/>
        </w:rPr>
      </w:pPr>
      <w:r w:rsidRPr="00736447">
        <w:rPr>
          <w:rStyle w:val="FootnoteReference"/>
          <w:rFonts w:ascii="Cambria" w:hAnsi="Cambria"/>
          <w:color w:val="auto"/>
          <w:sz w:val="16"/>
          <w:szCs w:val="16"/>
        </w:rPr>
        <w:footnoteRef/>
      </w:r>
      <w:r w:rsidRPr="00736447">
        <w:rPr>
          <w:rFonts w:ascii="Cambria" w:hAnsi="Cambria"/>
          <w:color w:val="auto"/>
          <w:sz w:val="16"/>
          <w:szCs w:val="16"/>
        </w:rPr>
        <w:t xml:space="preserve"> </w:t>
      </w:r>
      <w:r w:rsidRPr="00736447">
        <w:rPr>
          <w:rFonts w:ascii="Cambria" w:hAnsi="Cambria"/>
          <w:sz w:val="16"/>
          <w:szCs w:val="16"/>
        </w:rPr>
        <w:t xml:space="preserve">IACHR. Report No. 118/10. Case 12.680. Merits. </w:t>
      </w:r>
      <w:r w:rsidR="00494F36">
        <w:rPr>
          <w:rFonts w:ascii="Cambria" w:hAnsi="Cambria"/>
          <w:sz w:val="16"/>
          <w:szCs w:val="16"/>
          <w:lang w:val="es-US"/>
        </w:rPr>
        <w:t>Pacheco Teruel et</w:t>
      </w:r>
      <w:r w:rsidRPr="00BE64BA">
        <w:rPr>
          <w:rFonts w:ascii="Cambria" w:hAnsi="Cambria"/>
          <w:sz w:val="16"/>
          <w:szCs w:val="16"/>
          <w:lang w:val="es-US"/>
        </w:rPr>
        <w:t xml:space="preserve"> al. (Honduras). </w:t>
      </w:r>
      <w:r w:rsidRPr="00736447">
        <w:rPr>
          <w:rFonts w:ascii="Cambria" w:hAnsi="Cambria"/>
          <w:sz w:val="16"/>
          <w:szCs w:val="16"/>
        </w:rPr>
        <w:t xml:space="preserve">October 22, 2010, para. </w:t>
      </w:r>
      <w:r w:rsidRPr="00736447">
        <w:rPr>
          <w:rFonts w:ascii="Cambria" w:hAnsi="Cambria"/>
          <w:color w:val="auto"/>
          <w:sz w:val="16"/>
          <w:szCs w:val="16"/>
        </w:rPr>
        <w:t xml:space="preserve">63. </w:t>
      </w:r>
    </w:p>
  </w:footnote>
  <w:footnote w:id="146">
    <w:p w14:paraId="5EA81666" w14:textId="744AE173" w:rsidR="00E966C2" w:rsidRPr="00736447" w:rsidRDefault="00E966C2" w:rsidP="001A4533">
      <w:pPr>
        <w:pStyle w:val="FootnoteText"/>
        <w:jc w:val="both"/>
      </w:pPr>
      <w:r w:rsidRPr="00736447">
        <w:rPr>
          <w:rStyle w:val="FootnoteReference"/>
          <w:rFonts w:ascii="Cambria" w:hAnsi="Cambria"/>
          <w:sz w:val="16"/>
          <w:szCs w:val="16"/>
        </w:rPr>
        <w:footnoteRef/>
      </w:r>
      <w:r w:rsidRPr="00736447">
        <w:rPr>
          <w:rFonts w:ascii="Cambria" w:hAnsi="Cambria"/>
          <w:sz w:val="16"/>
          <w:szCs w:val="16"/>
        </w:rPr>
        <w:t xml:space="preserve"> </w:t>
      </w:r>
      <w:r w:rsidRPr="00736447">
        <w:rPr>
          <w:rFonts w:ascii="Cambria" w:hAnsi="Cambria"/>
          <w:color w:val="auto"/>
          <w:sz w:val="16"/>
          <w:szCs w:val="16"/>
        </w:rPr>
        <w:t xml:space="preserve">I/A Court H.R., </w:t>
      </w:r>
      <w:r w:rsidR="005C6AA9">
        <w:rPr>
          <w:rFonts w:ascii="Cambria" w:hAnsi="Cambria"/>
          <w:i/>
          <w:color w:val="auto"/>
          <w:sz w:val="16"/>
          <w:szCs w:val="16"/>
        </w:rPr>
        <w:t xml:space="preserve">Pacheco </w:t>
      </w:r>
      <w:proofErr w:type="spellStart"/>
      <w:r w:rsidR="005C6AA9">
        <w:rPr>
          <w:rFonts w:ascii="Cambria" w:hAnsi="Cambria"/>
          <w:i/>
          <w:color w:val="auto"/>
          <w:sz w:val="16"/>
          <w:szCs w:val="16"/>
        </w:rPr>
        <w:t>Teruel</w:t>
      </w:r>
      <w:proofErr w:type="spellEnd"/>
      <w:r w:rsidR="005C6AA9">
        <w:rPr>
          <w:rFonts w:ascii="Cambria" w:hAnsi="Cambria"/>
          <w:i/>
          <w:color w:val="auto"/>
          <w:sz w:val="16"/>
          <w:szCs w:val="16"/>
        </w:rPr>
        <w:t xml:space="preserve"> et al</w:t>
      </w:r>
      <w:r w:rsidRPr="00736447">
        <w:rPr>
          <w:rFonts w:ascii="Cambria" w:hAnsi="Cambria"/>
          <w:color w:val="auto"/>
          <w:sz w:val="16"/>
          <w:szCs w:val="16"/>
        </w:rPr>
        <w:t>. Judgment of April 22, 2012, para. 64.</w:t>
      </w:r>
    </w:p>
  </w:footnote>
  <w:footnote w:id="147">
    <w:p w14:paraId="20C65A16" w14:textId="77B7E1AD" w:rsidR="00E966C2" w:rsidRPr="00736447" w:rsidRDefault="00E966C2" w:rsidP="001A4533">
      <w:pPr>
        <w:pStyle w:val="FootnoteText"/>
        <w:jc w:val="both"/>
        <w:rPr>
          <w:rFonts w:ascii="Cambria" w:hAnsi="Cambria"/>
          <w:color w:val="auto"/>
          <w:sz w:val="16"/>
          <w:szCs w:val="16"/>
        </w:rPr>
      </w:pPr>
      <w:r w:rsidRPr="00736447">
        <w:rPr>
          <w:rStyle w:val="FootnoteReference"/>
          <w:rFonts w:ascii="Cambria" w:hAnsi="Cambria"/>
          <w:color w:val="auto"/>
          <w:sz w:val="16"/>
          <w:szCs w:val="16"/>
        </w:rPr>
        <w:footnoteRef/>
      </w:r>
      <w:r w:rsidRPr="00736447">
        <w:rPr>
          <w:rFonts w:ascii="Cambria" w:hAnsi="Cambria"/>
          <w:color w:val="auto"/>
          <w:sz w:val="16"/>
          <w:szCs w:val="16"/>
        </w:rPr>
        <w:t xml:space="preserve"> I/A Court H.R., </w:t>
      </w:r>
      <w:r w:rsidR="005C6AA9">
        <w:rPr>
          <w:rFonts w:ascii="Cambria" w:hAnsi="Cambria"/>
          <w:i/>
          <w:color w:val="auto"/>
          <w:sz w:val="16"/>
          <w:szCs w:val="16"/>
        </w:rPr>
        <w:t xml:space="preserve">Pacheco </w:t>
      </w:r>
      <w:proofErr w:type="spellStart"/>
      <w:r w:rsidR="005C6AA9">
        <w:rPr>
          <w:rFonts w:ascii="Cambria" w:hAnsi="Cambria"/>
          <w:i/>
          <w:color w:val="auto"/>
          <w:sz w:val="16"/>
          <w:szCs w:val="16"/>
        </w:rPr>
        <w:t>Teruel</w:t>
      </w:r>
      <w:proofErr w:type="spellEnd"/>
      <w:r w:rsidR="005C6AA9">
        <w:rPr>
          <w:rFonts w:ascii="Cambria" w:hAnsi="Cambria"/>
          <w:i/>
          <w:color w:val="auto"/>
          <w:sz w:val="16"/>
          <w:szCs w:val="16"/>
        </w:rPr>
        <w:t xml:space="preserve"> et al</w:t>
      </w:r>
      <w:r w:rsidRPr="00736447">
        <w:rPr>
          <w:rFonts w:ascii="Cambria" w:hAnsi="Cambria"/>
          <w:color w:val="auto"/>
          <w:sz w:val="16"/>
          <w:szCs w:val="16"/>
        </w:rPr>
        <w:t>. Judgment of April 22, 2012, para. 77 (footnotes omitted).</w:t>
      </w:r>
    </w:p>
  </w:footnote>
  <w:footnote w:id="148">
    <w:p w14:paraId="142A0939" w14:textId="406D07A5" w:rsidR="00E966C2" w:rsidRPr="00736447" w:rsidRDefault="00E966C2" w:rsidP="001A4533">
      <w:pPr>
        <w:pStyle w:val="FootnoteText"/>
        <w:jc w:val="both"/>
        <w:rPr>
          <w:rFonts w:ascii="Cambria" w:hAnsi="Cambria"/>
          <w:color w:val="auto"/>
          <w:sz w:val="16"/>
          <w:szCs w:val="16"/>
        </w:rPr>
      </w:pPr>
      <w:r w:rsidRPr="00736447">
        <w:rPr>
          <w:rStyle w:val="FootnoteReference"/>
          <w:rFonts w:ascii="Cambria" w:hAnsi="Cambria"/>
          <w:color w:val="auto"/>
          <w:sz w:val="16"/>
          <w:szCs w:val="16"/>
        </w:rPr>
        <w:footnoteRef/>
      </w:r>
      <w:r w:rsidRPr="00736447">
        <w:rPr>
          <w:rFonts w:ascii="Cambria" w:hAnsi="Cambria"/>
          <w:color w:val="auto"/>
          <w:sz w:val="16"/>
          <w:szCs w:val="16"/>
        </w:rPr>
        <w:t xml:space="preserve"> </w:t>
      </w:r>
      <w:r w:rsidRPr="00736447">
        <w:rPr>
          <w:rFonts w:ascii="Cambria" w:hAnsi="Cambria"/>
          <w:sz w:val="16"/>
          <w:szCs w:val="16"/>
        </w:rPr>
        <w:t xml:space="preserve">IACHR. Report No. 118/10. Case 12.680. Merits. </w:t>
      </w:r>
      <w:r w:rsidRPr="001A4533">
        <w:rPr>
          <w:rFonts w:ascii="Cambria" w:hAnsi="Cambria"/>
          <w:sz w:val="16"/>
          <w:szCs w:val="16"/>
          <w:lang w:val="es-US"/>
        </w:rPr>
        <w:t xml:space="preserve">Pacheco Teruel et al. </w:t>
      </w:r>
      <w:r w:rsidRPr="009A1742">
        <w:rPr>
          <w:rFonts w:ascii="Cambria" w:hAnsi="Cambria"/>
          <w:sz w:val="16"/>
          <w:szCs w:val="16"/>
          <w:lang w:val="es-US"/>
        </w:rPr>
        <w:t xml:space="preserve">(Honduras). </w:t>
      </w:r>
      <w:r w:rsidRPr="00736447">
        <w:rPr>
          <w:rFonts w:ascii="Cambria" w:hAnsi="Cambria"/>
          <w:sz w:val="16"/>
          <w:szCs w:val="16"/>
        </w:rPr>
        <w:t xml:space="preserve">October 22, 2010, para. </w:t>
      </w:r>
      <w:r w:rsidRPr="00736447">
        <w:rPr>
          <w:rFonts w:ascii="Cambria" w:hAnsi="Cambria"/>
          <w:color w:val="auto"/>
          <w:sz w:val="16"/>
          <w:szCs w:val="16"/>
        </w:rPr>
        <w:t>65.</w:t>
      </w:r>
    </w:p>
  </w:footnote>
  <w:footnote w:id="149">
    <w:p w14:paraId="3D72AA14" w14:textId="1C4C894B" w:rsidR="00E966C2" w:rsidRPr="00736447" w:rsidRDefault="00E966C2" w:rsidP="001A4533">
      <w:pPr>
        <w:jc w:val="both"/>
        <w:rPr>
          <w:rFonts w:asciiTheme="majorHAnsi" w:eastAsia="Times New Roman" w:hAnsiTheme="majorHAnsi"/>
          <w:sz w:val="16"/>
          <w:szCs w:val="16"/>
          <w:bdr w:val="none" w:sz="0" w:space="0" w:color="auto"/>
          <w:lang w:eastAsia="es-ES"/>
        </w:rPr>
      </w:pPr>
      <w:r w:rsidRPr="00736447">
        <w:rPr>
          <w:rStyle w:val="FootnoteReference"/>
          <w:rFonts w:ascii="Cambria" w:hAnsi="Cambria"/>
          <w:sz w:val="16"/>
          <w:szCs w:val="16"/>
        </w:rPr>
        <w:footnoteRef/>
      </w:r>
      <w:r w:rsidRPr="00736447">
        <w:rPr>
          <w:rFonts w:ascii="Cambria" w:hAnsi="Cambria"/>
          <w:sz w:val="16"/>
          <w:szCs w:val="16"/>
        </w:rPr>
        <w:t xml:space="preserve"> I/A </w:t>
      </w:r>
      <w:r w:rsidRPr="00736447">
        <w:rPr>
          <w:rFonts w:asciiTheme="majorHAnsi" w:hAnsiTheme="majorHAnsi"/>
          <w:sz w:val="16"/>
          <w:szCs w:val="16"/>
        </w:rPr>
        <w:t xml:space="preserve">Court H.R., </w:t>
      </w:r>
      <w:r w:rsidRPr="00736447">
        <w:rPr>
          <w:rFonts w:asciiTheme="majorHAnsi" w:eastAsia="Times New Roman" w:hAnsiTheme="majorHAnsi"/>
          <w:bCs/>
          <w:i/>
          <w:color w:val="000000"/>
          <w:sz w:val="16"/>
          <w:szCs w:val="16"/>
          <w:bdr w:val="none" w:sz="0" w:space="0" w:color="auto"/>
          <w:lang w:eastAsia="es-ES"/>
        </w:rPr>
        <w:t>Case of the "Juvenile Reeducation Institute</w:t>
      </w:r>
      <w:r w:rsidR="005C6AA9">
        <w:rPr>
          <w:rFonts w:asciiTheme="majorHAnsi" w:eastAsia="Times New Roman" w:hAnsiTheme="majorHAnsi"/>
          <w:bCs/>
          <w:i/>
          <w:color w:val="000000"/>
          <w:sz w:val="16"/>
          <w:szCs w:val="16"/>
          <w:bdr w:val="none" w:sz="0" w:space="0" w:color="auto"/>
          <w:lang w:eastAsia="es-ES"/>
        </w:rPr>
        <w:t>.</w:t>
      </w:r>
      <w:r w:rsidRPr="00736447">
        <w:rPr>
          <w:rFonts w:asciiTheme="majorHAnsi" w:eastAsia="Times New Roman" w:hAnsiTheme="majorHAnsi"/>
          <w:bCs/>
          <w:i/>
          <w:color w:val="000000"/>
          <w:sz w:val="16"/>
          <w:szCs w:val="16"/>
          <w:bdr w:val="none" w:sz="0" w:space="0" w:color="auto"/>
          <w:lang w:eastAsia="es-ES"/>
        </w:rPr>
        <w:t>"</w:t>
      </w:r>
      <w:r w:rsidRPr="00736447">
        <w:rPr>
          <w:rFonts w:asciiTheme="majorHAnsi" w:eastAsia="Times New Roman" w:hAnsiTheme="majorHAnsi"/>
          <w:bCs/>
          <w:color w:val="000000"/>
          <w:sz w:val="16"/>
          <w:szCs w:val="16"/>
          <w:bdr w:val="none" w:sz="0" w:space="0" w:color="auto"/>
          <w:lang w:eastAsia="es-ES"/>
        </w:rPr>
        <w:t xml:space="preserve"> Judgment of September 2, 2004</w:t>
      </w:r>
      <w:r w:rsidRPr="00736447">
        <w:rPr>
          <w:rFonts w:asciiTheme="majorHAnsi" w:hAnsiTheme="majorHAnsi"/>
          <w:sz w:val="16"/>
          <w:szCs w:val="16"/>
        </w:rPr>
        <w:t>, para. 174.</w:t>
      </w:r>
    </w:p>
  </w:footnote>
  <w:footnote w:id="150">
    <w:p w14:paraId="347CC2B7" w14:textId="64598F13" w:rsidR="00E966C2" w:rsidRPr="00736447" w:rsidRDefault="00E966C2" w:rsidP="001A4533">
      <w:pPr>
        <w:pStyle w:val="FootnoteText"/>
        <w:jc w:val="both"/>
        <w:rPr>
          <w:rFonts w:ascii="Cambria" w:hAnsi="Cambria"/>
          <w:color w:val="auto"/>
          <w:sz w:val="16"/>
          <w:szCs w:val="16"/>
        </w:rPr>
      </w:pPr>
      <w:r w:rsidRPr="00736447">
        <w:rPr>
          <w:rStyle w:val="FootnoteReference"/>
          <w:rFonts w:ascii="Cambria" w:hAnsi="Cambria"/>
          <w:color w:val="auto"/>
          <w:sz w:val="16"/>
          <w:szCs w:val="16"/>
        </w:rPr>
        <w:footnoteRef/>
      </w:r>
      <w:r w:rsidRPr="00736447">
        <w:rPr>
          <w:rFonts w:ascii="Cambria" w:hAnsi="Cambria"/>
          <w:color w:val="auto"/>
          <w:sz w:val="16"/>
          <w:szCs w:val="16"/>
        </w:rPr>
        <w:t xml:space="preserve"> </w:t>
      </w:r>
      <w:r w:rsidRPr="00736447">
        <w:rPr>
          <w:rFonts w:ascii="Cambria" w:hAnsi="Cambria"/>
          <w:i/>
          <w:color w:val="auto"/>
          <w:sz w:val="16"/>
          <w:szCs w:val="16"/>
        </w:rPr>
        <w:t>See</w:t>
      </w:r>
      <w:r w:rsidRPr="00736447">
        <w:rPr>
          <w:rFonts w:ascii="Cambria" w:hAnsi="Cambria"/>
          <w:color w:val="auto"/>
          <w:sz w:val="16"/>
          <w:szCs w:val="16"/>
        </w:rPr>
        <w:t xml:space="preserve"> </w:t>
      </w:r>
      <w:r w:rsidRPr="00736447">
        <w:rPr>
          <w:rFonts w:ascii="Cambria" w:hAnsi="Cambria"/>
          <w:sz w:val="16"/>
          <w:szCs w:val="16"/>
        </w:rPr>
        <w:t xml:space="preserve">IACHR. Report No. 118/10. Case 12.680. Merits. </w:t>
      </w:r>
      <w:r w:rsidRPr="00BE64BA">
        <w:rPr>
          <w:rFonts w:ascii="Cambria" w:hAnsi="Cambria"/>
          <w:sz w:val="16"/>
          <w:szCs w:val="16"/>
          <w:lang w:val="es-US"/>
        </w:rPr>
        <w:t xml:space="preserve">Pacheco Teruel et al. (Honduras). </w:t>
      </w:r>
      <w:r w:rsidRPr="00736447">
        <w:rPr>
          <w:rFonts w:ascii="Cambria" w:hAnsi="Cambria"/>
          <w:sz w:val="16"/>
          <w:szCs w:val="16"/>
        </w:rPr>
        <w:t xml:space="preserve">October 22, 2010, para. </w:t>
      </w:r>
      <w:r w:rsidRPr="00736447">
        <w:rPr>
          <w:rFonts w:ascii="Cambria" w:hAnsi="Cambria"/>
          <w:color w:val="auto"/>
          <w:sz w:val="16"/>
          <w:szCs w:val="16"/>
        </w:rPr>
        <w:t>81.</w:t>
      </w:r>
    </w:p>
  </w:footnote>
  <w:footnote w:id="151">
    <w:p w14:paraId="35623E45" w14:textId="5230D1AD" w:rsidR="00E966C2" w:rsidRPr="00736447" w:rsidRDefault="00E966C2" w:rsidP="001A4533">
      <w:pPr>
        <w:jc w:val="both"/>
        <w:rPr>
          <w:rFonts w:asciiTheme="majorHAnsi" w:eastAsia="Times New Roman" w:hAnsiTheme="majorHAnsi"/>
          <w:sz w:val="16"/>
          <w:szCs w:val="16"/>
          <w:bdr w:val="none" w:sz="0" w:space="0" w:color="auto"/>
          <w:lang w:eastAsia="es-ES"/>
        </w:rPr>
      </w:pPr>
      <w:r w:rsidRPr="00736447">
        <w:rPr>
          <w:rStyle w:val="FootnoteReference"/>
          <w:rFonts w:ascii="Cambria" w:hAnsi="Cambria"/>
          <w:sz w:val="16"/>
          <w:szCs w:val="16"/>
        </w:rPr>
        <w:footnoteRef/>
      </w:r>
      <w:r w:rsidRPr="00736447">
        <w:rPr>
          <w:rFonts w:ascii="Cambria" w:hAnsi="Cambria"/>
          <w:sz w:val="16"/>
          <w:szCs w:val="16"/>
        </w:rPr>
        <w:t xml:space="preserve"> I/A </w:t>
      </w:r>
      <w:r w:rsidRPr="00736447">
        <w:rPr>
          <w:rFonts w:asciiTheme="majorHAnsi" w:hAnsiTheme="majorHAnsi"/>
          <w:sz w:val="16"/>
          <w:szCs w:val="16"/>
        </w:rPr>
        <w:t xml:space="preserve">Court H.R., </w:t>
      </w:r>
      <w:r w:rsidRPr="00736447">
        <w:rPr>
          <w:rFonts w:asciiTheme="majorHAnsi" w:eastAsia="Times New Roman" w:hAnsiTheme="majorHAnsi"/>
          <w:bCs/>
          <w:i/>
          <w:color w:val="000000"/>
          <w:sz w:val="16"/>
          <w:szCs w:val="16"/>
          <w:bdr w:val="none" w:sz="0" w:space="0" w:color="auto"/>
          <w:lang w:eastAsia="es-ES"/>
        </w:rPr>
        <w:t>Case of the "Juvenile Re</w:t>
      </w:r>
      <w:r w:rsidR="005C6AA9">
        <w:rPr>
          <w:rFonts w:asciiTheme="majorHAnsi" w:eastAsia="Times New Roman" w:hAnsiTheme="majorHAnsi"/>
          <w:bCs/>
          <w:i/>
          <w:color w:val="000000"/>
          <w:sz w:val="16"/>
          <w:szCs w:val="16"/>
          <w:bdr w:val="none" w:sz="0" w:space="0" w:color="auto"/>
          <w:lang w:eastAsia="es-ES"/>
        </w:rPr>
        <w:t>education Institute."</w:t>
      </w:r>
      <w:r w:rsidRPr="00736447">
        <w:rPr>
          <w:rFonts w:asciiTheme="majorHAnsi" w:eastAsia="Times New Roman" w:hAnsiTheme="majorHAnsi"/>
          <w:bCs/>
          <w:color w:val="000000"/>
          <w:sz w:val="16"/>
          <w:szCs w:val="16"/>
          <w:bdr w:val="none" w:sz="0" w:space="0" w:color="auto"/>
          <w:lang w:eastAsia="es-ES"/>
        </w:rPr>
        <w:t xml:space="preserve"> Judgment of September 2, 2004</w:t>
      </w:r>
      <w:r w:rsidRPr="00736447">
        <w:rPr>
          <w:rFonts w:asciiTheme="majorHAnsi" w:hAnsiTheme="majorHAnsi"/>
          <w:sz w:val="16"/>
          <w:szCs w:val="16"/>
        </w:rPr>
        <w:t>, para. 176</w:t>
      </w:r>
    </w:p>
  </w:footnote>
  <w:footnote w:id="152">
    <w:p w14:paraId="172CC02D" w14:textId="081A6CE5" w:rsidR="00E966C2" w:rsidRPr="00736447" w:rsidRDefault="00E966C2" w:rsidP="001A4533">
      <w:pPr>
        <w:jc w:val="both"/>
        <w:rPr>
          <w:rFonts w:asciiTheme="majorHAnsi" w:eastAsia="Times New Roman" w:hAnsiTheme="majorHAnsi"/>
          <w:sz w:val="16"/>
          <w:szCs w:val="16"/>
          <w:bdr w:val="none" w:sz="0" w:space="0" w:color="auto"/>
          <w:lang w:eastAsia="es-ES"/>
        </w:rPr>
      </w:pPr>
      <w:r w:rsidRPr="00736447">
        <w:rPr>
          <w:rStyle w:val="FootnoteReference"/>
          <w:rFonts w:ascii="Cambria" w:hAnsi="Cambria"/>
          <w:sz w:val="16"/>
          <w:szCs w:val="16"/>
        </w:rPr>
        <w:footnoteRef/>
      </w:r>
      <w:r w:rsidRPr="00736447">
        <w:rPr>
          <w:rFonts w:ascii="Cambria" w:hAnsi="Cambria"/>
          <w:sz w:val="16"/>
          <w:szCs w:val="16"/>
        </w:rPr>
        <w:t xml:space="preserve"> </w:t>
      </w:r>
      <w:r w:rsidRPr="00736447">
        <w:rPr>
          <w:rFonts w:ascii="Cambria" w:hAnsi="Cambria"/>
          <w:i/>
          <w:sz w:val="16"/>
          <w:szCs w:val="16"/>
        </w:rPr>
        <w:t>See also</w:t>
      </w:r>
      <w:r w:rsidRPr="00736447">
        <w:rPr>
          <w:rFonts w:ascii="Cambria" w:hAnsi="Cambria"/>
          <w:sz w:val="16"/>
          <w:szCs w:val="16"/>
        </w:rPr>
        <w:t xml:space="preserve">, in this sense, I/A Court </w:t>
      </w:r>
      <w:r w:rsidRPr="00736447">
        <w:rPr>
          <w:rFonts w:asciiTheme="majorHAnsi" w:hAnsiTheme="majorHAnsi"/>
          <w:sz w:val="16"/>
          <w:szCs w:val="16"/>
        </w:rPr>
        <w:t xml:space="preserve">H.R., </w:t>
      </w:r>
      <w:r w:rsidRPr="00736447">
        <w:rPr>
          <w:rFonts w:asciiTheme="majorHAnsi" w:eastAsia="Times New Roman" w:hAnsiTheme="majorHAnsi"/>
          <w:bCs/>
          <w:i/>
          <w:color w:val="000000"/>
          <w:sz w:val="16"/>
          <w:szCs w:val="16"/>
          <w:bdr w:val="none" w:sz="0" w:space="0" w:color="auto"/>
          <w:lang w:eastAsia="es-ES"/>
        </w:rPr>
        <w:t>Case of the "J</w:t>
      </w:r>
      <w:r w:rsidR="005C6AA9">
        <w:rPr>
          <w:rFonts w:asciiTheme="majorHAnsi" w:eastAsia="Times New Roman" w:hAnsiTheme="majorHAnsi"/>
          <w:bCs/>
          <w:i/>
          <w:color w:val="000000"/>
          <w:sz w:val="16"/>
          <w:szCs w:val="16"/>
          <w:bdr w:val="none" w:sz="0" w:space="0" w:color="auto"/>
          <w:lang w:eastAsia="es-ES"/>
        </w:rPr>
        <w:t>uvenile Reeducation Institute."</w:t>
      </w:r>
      <w:r w:rsidRPr="00736447">
        <w:rPr>
          <w:rFonts w:asciiTheme="majorHAnsi" w:eastAsia="Times New Roman" w:hAnsiTheme="majorHAnsi"/>
          <w:bCs/>
          <w:color w:val="000000"/>
          <w:sz w:val="16"/>
          <w:szCs w:val="16"/>
          <w:bdr w:val="none" w:sz="0" w:space="0" w:color="auto"/>
          <w:lang w:eastAsia="es-ES"/>
        </w:rPr>
        <w:t xml:space="preserve"> Judgment of September 2, 2004</w:t>
      </w:r>
      <w:r w:rsidRPr="00736447">
        <w:rPr>
          <w:rFonts w:ascii="Cambria" w:hAnsi="Cambria"/>
          <w:sz w:val="16"/>
          <w:szCs w:val="16"/>
        </w:rPr>
        <w:t xml:space="preserve">, para. 187; I/A Court </w:t>
      </w:r>
      <w:r w:rsidRPr="00736447">
        <w:rPr>
          <w:rFonts w:asciiTheme="majorHAnsi" w:hAnsiTheme="majorHAnsi"/>
          <w:sz w:val="16"/>
          <w:szCs w:val="16"/>
        </w:rPr>
        <w:t xml:space="preserve">H.R., </w:t>
      </w:r>
      <w:r w:rsidRPr="00736447">
        <w:rPr>
          <w:rFonts w:asciiTheme="majorHAnsi" w:eastAsia="Times New Roman" w:hAnsiTheme="majorHAnsi"/>
          <w:bCs/>
          <w:i/>
          <w:color w:val="000000"/>
          <w:sz w:val="16"/>
          <w:szCs w:val="16"/>
          <w:bdr w:val="none" w:sz="0" w:space="0" w:color="auto"/>
          <w:lang w:eastAsia="es-ES"/>
        </w:rPr>
        <w:t xml:space="preserve">Case of Pacheco </w:t>
      </w:r>
      <w:proofErr w:type="spellStart"/>
      <w:r w:rsidRPr="00736447">
        <w:rPr>
          <w:rFonts w:asciiTheme="majorHAnsi" w:eastAsia="Times New Roman" w:hAnsiTheme="majorHAnsi"/>
          <w:bCs/>
          <w:i/>
          <w:color w:val="000000"/>
          <w:sz w:val="16"/>
          <w:szCs w:val="16"/>
          <w:bdr w:val="none" w:sz="0" w:space="0" w:color="auto"/>
          <w:lang w:eastAsia="es-ES"/>
        </w:rPr>
        <w:t>Teruel</w:t>
      </w:r>
      <w:proofErr w:type="spellEnd"/>
      <w:r w:rsidRPr="00736447">
        <w:rPr>
          <w:rFonts w:asciiTheme="majorHAnsi" w:eastAsia="Times New Roman" w:hAnsiTheme="majorHAnsi"/>
          <w:bCs/>
          <w:i/>
          <w:color w:val="000000"/>
          <w:sz w:val="16"/>
          <w:szCs w:val="16"/>
          <w:bdr w:val="none" w:sz="0" w:space="0" w:color="auto"/>
          <w:lang w:eastAsia="es-ES"/>
        </w:rPr>
        <w:t xml:space="preserve"> et al.</w:t>
      </w:r>
      <w:r w:rsidRPr="00736447">
        <w:rPr>
          <w:rFonts w:asciiTheme="majorHAnsi" w:eastAsia="Times New Roman" w:hAnsiTheme="majorHAnsi"/>
          <w:bCs/>
          <w:color w:val="000000"/>
          <w:sz w:val="16"/>
          <w:szCs w:val="16"/>
          <w:bdr w:val="none" w:sz="0" w:space="0" w:color="auto"/>
          <w:lang w:eastAsia="es-ES"/>
        </w:rPr>
        <w:t xml:space="preserve"> Judgment of April 27, 2012</w:t>
      </w:r>
      <w:r w:rsidRPr="00736447">
        <w:rPr>
          <w:rFonts w:asciiTheme="majorHAnsi" w:hAnsiTheme="majorHAnsi"/>
          <w:sz w:val="16"/>
          <w:szCs w:val="16"/>
        </w:rPr>
        <w:t>, para. 69.</w:t>
      </w:r>
    </w:p>
  </w:footnote>
  <w:footnote w:id="153">
    <w:p w14:paraId="737BC8E4" w14:textId="78D0386C" w:rsidR="00E966C2" w:rsidRPr="00736447" w:rsidRDefault="00E966C2" w:rsidP="001A4533">
      <w:pPr>
        <w:jc w:val="both"/>
        <w:rPr>
          <w:rFonts w:asciiTheme="majorHAnsi" w:eastAsia="Times New Roman" w:hAnsiTheme="majorHAnsi"/>
          <w:sz w:val="16"/>
          <w:szCs w:val="16"/>
          <w:bdr w:val="none" w:sz="0" w:space="0" w:color="auto"/>
          <w:lang w:eastAsia="es-ES"/>
        </w:rPr>
      </w:pPr>
      <w:r w:rsidRPr="00736447">
        <w:rPr>
          <w:rStyle w:val="FootnoteReference"/>
          <w:rFonts w:ascii="Cambria" w:hAnsi="Cambria"/>
          <w:sz w:val="16"/>
          <w:szCs w:val="16"/>
        </w:rPr>
        <w:footnoteRef/>
      </w:r>
      <w:r w:rsidRPr="00736447">
        <w:rPr>
          <w:rFonts w:ascii="Cambria" w:hAnsi="Cambria"/>
          <w:sz w:val="16"/>
          <w:szCs w:val="16"/>
        </w:rPr>
        <w:t xml:space="preserve"> Article 8.1 establishes</w:t>
      </w:r>
      <w:r w:rsidRPr="00736447">
        <w:rPr>
          <w:rFonts w:asciiTheme="majorHAnsi" w:hAnsiTheme="majorHAnsi"/>
          <w:sz w:val="16"/>
          <w:szCs w:val="16"/>
        </w:rPr>
        <w:t>: 1. “</w:t>
      </w:r>
      <w:r w:rsidRPr="000A4B93">
        <w:rPr>
          <w:rFonts w:asciiTheme="majorHAnsi" w:eastAsia="Times New Roman" w:hAnsiTheme="majorHAnsi" w:cs="Tahoma"/>
          <w:color w:val="000000"/>
          <w:sz w:val="16"/>
          <w:szCs w:val="16"/>
          <w:bdr w:val="none" w:sz="0" w:space="0" w:color="auto"/>
          <w:lang w:eastAsia="es-ES"/>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sidRPr="00736447">
        <w:rPr>
          <w:rFonts w:asciiTheme="majorHAnsi" w:hAnsiTheme="majorHAnsi"/>
          <w:sz w:val="16"/>
          <w:szCs w:val="16"/>
        </w:rPr>
        <w:t>”</w:t>
      </w:r>
    </w:p>
  </w:footnote>
  <w:footnote w:id="154">
    <w:p w14:paraId="39DC519F" w14:textId="67118004" w:rsidR="00E966C2" w:rsidRPr="00736447" w:rsidRDefault="00E966C2" w:rsidP="001A4533">
      <w:pPr>
        <w:jc w:val="both"/>
        <w:rPr>
          <w:rFonts w:asciiTheme="majorHAnsi" w:eastAsia="Times New Roman" w:hAnsiTheme="majorHAnsi"/>
          <w:sz w:val="16"/>
          <w:szCs w:val="16"/>
          <w:bdr w:val="none" w:sz="0" w:space="0" w:color="auto"/>
          <w:lang w:eastAsia="es-ES"/>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Article 25 establishes, </w:t>
      </w:r>
      <w:r>
        <w:rPr>
          <w:rFonts w:asciiTheme="majorHAnsi" w:hAnsiTheme="majorHAnsi"/>
          <w:sz w:val="16"/>
          <w:szCs w:val="16"/>
        </w:rPr>
        <w:t>in relevant part</w:t>
      </w:r>
      <w:r w:rsidRPr="00736447">
        <w:rPr>
          <w:rFonts w:asciiTheme="majorHAnsi" w:hAnsiTheme="majorHAnsi"/>
          <w:sz w:val="16"/>
          <w:szCs w:val="16"/>
        </w:rPr>
        <w:t>: 1. “</w:t>
      </w:r>
      <w:r w:rsidRPr="000A4B93">
        <w:rPr>
          <w:rFonts w:asciiTheme="majorHAnsi" w:eastAsia="Times New Roman" w:hAnsiTheme="majorHAnsi" w:cs="Tahoma"/>
          <w:color w:val="000000"/>
          <w:sz w:val="16"/>
          <w:szCs w:val="16"/>
          <w:bdr w:val="none" w:sz="0" w:space="0" w:color="auto"/>
          <w:lang w:eastAsia="es-ES"/>
        </w:rPr>
        <w:t xml:space="preserve">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w:t>
      </w:r>
      <w:r>
        <w:rPr>
          <w:rFonts w:asciiTheme="majorHAnsi" w:eastAsia="Times New Roman" w:hAnsiTheme="majorHAnsi" w:cs="Tahoma"/>
          <w:color w:val="000000"/>
          <w:sz w:val="16"/>
          <w:szCs w:val="16"/>
          <w:bdr w:val="none" w:sz="0" w:space="0" w:color="auto"/>
          <w:lang w:eastAsia="es-ES"/>
        </w:rPr>
        <w:t>course of their official duties</w:t>
      </w:r>
      <w:r w:rsidRPr="00736447">
        <w:rPr>
          <w:rFonts w:asciiTheme="majorHAnsi" w:hAnsiTheme="majorHAnsi"/>
          <w:sz w:val="16"/>
          <w:szCs w:val="16"/>
        </w:rPr>
        <w:t>.”</w:t>
      </w:r>
    </w:p>
  </w:footnote>
  <w:footnote w:id="155">
    <w:p w14:paraId="4691733D" w14:textId="2009E6C0" w:rsidR="00E966C2" w:rsidRPr="00736447" w:rsidRDefault="00E966C2" w:rsidP="001A4533">
      <w:pPr>
        <w:jc w:val="both"/>
        <w:rPr>
          <w:rFonts w:asciiTheme="majorHAnsi" w:eastAsia="Times New Roman" w:hAnsiTheme="majorHAnsi"/>
          <w:sz w:val="16"/>
          <w:szCs w:val="16"/>
          <w:bdr w:val="none" w:sz="0" w:space="0" w:color="auto"/>
          <w:lang w:eastAsia="es-ES"/>
        </w:rPr>
      </w:pPr>
      <w:r w:rsidRPr="00736447">
        <w:rPr>
          <w:rFonts w:asciiTheme="majorHAnsi" w:hAnsiTheme="majorHAnsi"/>
          <w:sz w:val="16"/>
          <w:szCs w:val="16"/>
          <w:vertAlign w:val="superscript"/>
        </w:rPr>
        <w:footnoteRef/>
      </w:r>
      <w:r w:rsidRPr="00736447">
        <w:rPr>
          <w:rFonts w:asciiTheme="majorHAnsi" w:eastAsia="Cambria" w:hAnsiTheme="majorHAnsi" w:cs="Cambria"/>
          <w:sz w:val="16"/>
          <w:szCs w:val="16"/>
        </w:rPr>
        <w:t xml:space="preserve"> I/A Court H.R., </w:t>
      </w:r>
      <w:r w:rsidRPr="00736447">
        <w:rPr>
          <w:rFonts w:asciiTheme="majorHAnsi" w:eastAsia="Times New Roman" w:hAnsiTheme="majorHAnsi"/>
          <w:bCs/>
          <w:i/>
          <w:color w:val="000000"/>
          <w:sz w:val="16"/>
          <w:szCs w:val="16"/>
          <w:bdr w:val="none" w:sz="0" w:space="0" w:color="auto"/>
          <w:lang w:eastAsia="es-ES"/>
        </w:rPr>
        <w:t xml:space="preserve">Case of </w:t>
      </w:r>
      <w:proofErr w:type="spellStart"/>
      <w:r w:rsidRPr="00736447">
        <w:rPr>
          <w:rFonts w:asciiTheme="majorHAnsi" w:eastAsia="Times New Roman" w:hAnsiTheme="majorHAnsi"/>
          <w:bCs/>
          <w:i/>
          <w:color w:val="000000"/>
          <w:sz w:val="16"/>
          <w:szCs w:val="16"/>
          <w:bdr w:val="none" w:sz="0" w:space="0" w:color="auto"/>
          <w:lang w:eastAsia="es-ES"/>
        </w:rPr>
        <w:t>Cantoral</w:t>
      </w:r>
      <w:proofErr w:type="spellEnd"/>
      <w:r w:rsidRPr="00736447">
        <w:rPr>
          <w:rFonts w:asciiTheme="majorHAnsi" w:eastAsia="Times New Roman" w:hAnsiTheme="majorHAnsi"/>
          <w:bCs/>
          <w:i/>
          <w:color w:val="000000"/>
          <w:sz w:val="16"/>
          <w:szCs w:val="16"/>
          <w:bdr w:val="none" w:sz="0" w:space="0" w:color="auto"/>
          <w:lang w:eastAsia="es-ES"/>
        </w:rPr>
        <w:t xml:space="preserve"> </w:t>
      </w:r>
      <w:proofErr w:type="spellStart"/>
      <w:r w:rsidRPr="00736447">
        <w:rPr>
          <w:rFonts w:asciiTheme="majorHAnsi" w:eastAsia="Times New Roman" w:hAnsiTheme="majorHAnsi"/>
          <w:bCs/>
          <w:i/>
          <w:color w:val="000000"/>
          <w:sz w:val="16"/>
          <w:szCs w:val="16"/>
          <w:bdr w:val="none" w:sz="0" w:space="0" w:color="auto"/>
          <w:lang w:eastAsia="es-ES"/>
        </w:rPr>
        <w:t>Huamaní</w:t>
      </w:r>
      <w:proofErr w:type="spellEnd"/>
      <w:r w:rsidRPr="00736447">
        <w:rPr>
          <w:rFonts w:asciiTheme="majorHAnsi" w:eastAsia="Times New Roman" w:hAnsiTheme="majorHAnsi"/>
          <w:bCs/>
          <w:i/>
          <w:color w:val="000000"/>
          <w:sz w:val="16"/>
          <w:szCs w:val="16"/>
          <w:bdr w:val="none" w:sz="0" w:space="0" w:color="auto"/>
          <w:lang w:eastAsia="es-ES"/>
        </w:rPr>
        <w:t xml:space="preserve"> and </w:t>
      </w:r>
      <w:proofErr w:type="spellStart"/>
      <w:r w:rsidRPr="00736447">
        <w:rPr>
          <w:rFonts w:asciiTheme="majorHAnsi" w:eastAsia="Times New Roman" w:hAnsiTheme="majorHAnsi"/>
          <w:bCs/>
          <w:i/>
          <w:color w:val="000000"/>
          <w:sz w:val="16"/>
          <w:szCs w:val="16"/>
          <w:bdr w:val="none" w:sz="0" w:space="0" w:color="auto"/>
          <w:lang w:eastAsia="es-ES"/>
        </w:rPr>
        <w:t>García</w:t>
      </w:r>
      <w:proofErr w:type="spellEnd"/>
      <w:r w:rsidRPr="00736447">
        <w:rPr>
          <w:rFonts w:asciiTheme="majorHAnsi" w:eastAsia="Times New Roman" w:hAnsiTheme="majorHAnsi"/>
          <w:bCs/>
          <w:i/>
          <w:color w:val="000000"/>
          <w:sz w:val="16"/>
          <w:szCs w:val="16"/>
          <w:bdr w:val="none" w:sz="0" w:space="0" w:color="auto"/>
          <w:lang w:eastAsia="es-ES"/>
        </w:rPr>
        <w:t xml:space="preserve"> Santa Cruz v. Peru</w:t>
      </w:r>
      <w:r w:rsidRPr="00736447">
        <w:rPr>
          <w:rFonts w:asciiTheme="majorHAnsi" w:eastAsia="Times New Roman" w:hAnsiTheme="majorHAnsi"/>
          <w:bCs/>
          <w:color w:val="000000"/>
          <w:sz w:val="16"/>
          <w:szCs w:val="16"/>
          <w:bdr w:val="none" w:sz="0" w:space="0" w:color="auto"/>
          <w:lang w:eastAsia="es-ES"/>
        </w:rPr>
        <w:t>. Judgment of July 10, 2007</w:t>
      </w:r>
      <w:r w:rsidRPr="00736447">
        <w:rPr>
          <w:rFonts w:asciiTheme="majorHAnsi" w:eastAsia="Cambria" w:hAnsiTheme="majorHAnsi" w:cs="Cambria"/>
          <w:sz w:val="16"/>
          <w:szCs w:val="16"/>
        </w:rPr>
        <w:t xml:space="preserve">, para. 124; </w:t>
      </w:r>
      <w:r w:rsidRPr="00736447">
        <w:rPr>
          <w:rFonts w:asciiTheme="majorHAnsi" w:eastAsia="Times New Roman" w:hAnsiTheme="majorHAnsi"/>
          <w:bCs/>
          <w:i/>
          <w:color w:val="000000"/>
          <w:sz w:val="16"/>
          <w:szCs w:val="16"/>
          <w:bdr w:val="none" w:sz="0" w:space="0" w:color="auto"/>
          <w:lang w:eastAsia="es-ES"/>
        </w:rPr>
        <w:t xml:space="preserve">Case of the </w:t>
      </w:r>
      <w:proofErr w:type="spellStart"/>
      <w:r w:rsidRPr="00736447">
        <w:rPr>
          <w:rFonts w:asciiTheme="majorHAnsi" w:eastAsia="Times New Roman" w:hAnsiTheme="majorHAnsi"/>
          <w:bCs/>
          <w:i/>
          <w:color w:val="000000"/>
          <w:sz w:val="16"/>
          <w:szCs w:val="16"/>
          <w:bdr w:val="none" w:sz="0" w:space="0" w:color="auto"/>
          <w:lang w:eastAsia="es-ES"/>
        </w:rPr>
        <w:t>Rochela</w:t>
      </w:r>
      <w:proofErr w:type="spellEnd"/>
      <w:r w:rsidRPr="00736447">
        <w:rPr>
          <w:rFonts w:asciiTheme="majorHAnsi" w:eastAsia="Times New Roman" w:hAnsiTheme="majorHAnsi"/>
          <w:bCs/>
          <w:i/>
          <w:color w:val="000000"/>
          <w:sz w:val="16"/>
          <w:szCs w:val="16"/>
          <w:bdr w:val="none" w:sz="0" w:space="0" w:color="auto"/>
          <w:lang w:eastAsia="es-ES"/>
        </w:rPr>
        <w:t xml:space="preserve"> Massacre v. Colombia</w:t>
      </w:r>
      <w:r w:rsidRPr="00736447">
        <w:rPr>
          <w:rFonts w:asciiTheme="majorHAnsi" w:eastAsia="Times New Roman" w:hAnsiTheme="majorHAnsi"/>
          <w:bCs/>
          <w:color w:val="000000"/>
          <w:sz w:val="16"/>
          <w:szCs w:val="16"/>
          <w:bdr w:val="none" w:sz="0" w:space="0" w:color="auto"/>
          <w:lang w:eastAsia="es-ES"/>
        </w:rPr>
        <w:t>. Judgment of May 11, 2007</w:t>
      </w:r>
      <w:r w:rsidRPr="00736447">
        <w:rPr>
          <w:rFonts w:asciiTheme="majorHAnsi" w:eastAsia="Cambria" w:hAnsiTheme="majorHAnsi" w:cs="Cambria"/>
          <w:sz w:val="16"/>
          <w:szCs w:val="16"/>
        </w:rPr>
        <w:t xml:space="preserve">, para. 145; </w:t>
      </w:r>
      <w:r w:rsidRPr="00736447">
        <w:rPr>
          <w:rFonts w:asciiTheme="majorHAnsi" w:eastAsia="Times New Roman" w:hAnsiTheme="majorHAnsi"/>
          <w:bCs/>
          <w:i/>
          <w:color w:val="000000"/>
          <w:sz w:val="16"/>
          <w:szCs w:val="16"/>
          <w:bdr w:val="none" w:sz="0" w:space="0" w:color="auto"/>
          <w:lang w:eastAsia="es-ES"/>
        </w:rPr>
        <w:t xml:space="preserve">Case of the Miguel Castro </w:t>
      </w:r>
      <w:proofErr w:type="spellStart"/>
      <w:r w:rsidRPr="00736447">
        <w:rPr>
          <w:rFonts w:asciiTheme="majorHAnsi" w:eastAsia="Times New Roman" w:hAnsiTheme="majorHAnsi"/>
          <w:bCs/>
          <w:i/>
          <w:color w:val="000000"/>
          <w:sz w:val="16"/>
          <w:szCs w:val="16"/>
          <w:bdr w:val="none" w:sz="0" w:space="0" w:color="auto"/>
          <w:lang w:eastAsia="es-ES"/>
        </w:rPr>
        <w:t>Castro</w:t>
      </w:r>
      <w:proofErr w:type="spellEnd"/>
      <w:r w:rsidRPr="00736447">
        <w:rPr>
          <w:rFonts w:asciiTheme="majorHAnsi" w:eastAsia="Times New Roman" w:hAnsiTheme="majorHAnsi"/>
          <w:bCs/>
          <w:i/>
          <w:color w:val="000000"/>
          <w:sz w:val="16"/>
          <w:szCs w:val="16"/>
          <w:bdr w:val="none" w:sz="0" w:space="0" w:color="auto"/>
          <w:lang w:eastAsia="es-ES"/>
        </w:rPr>
        <w:t xml:space="preserve"> Prison v. Peru</w:t>
      </w:r>
      <w:r w:rsidRPr="00736447">
        <w:rPr>
          <w:rFonts w:asciiTheme="majorHAnsi" w:eastAsia="Times New Roman" w:hAnsiTheme="majorHAnsi"/>
          <w:bCs/>
          <w:color w:val="000000"/>
          <w:sz w:val="16"/>
          <w:szCs w:val="16"/>
          <w:bdr w:val="none" w:sz="0" w:space="0" w:color="auto"/>
          <w:lang w:eastAsia="es-ES"/>
        </w:rPr>
        <w:t>. Judgment of November 25, 2006</w:t>
      </w:r>
      <w:r w:rsidRPr="00736447">
        <w:rPr>
          <w:rFonts w:asciiTheme="majorHAnsi" w:eastAsia="Cambria" w:hAnsiTheme="majorHAnsi" w:cs="Cambria"/>
          <w:sz w:val="16"/>
          <w:szCs w:val="16"/>
        </w:rPr>
        <w:t xml:space="preserve">, para. 381; and </w:t>
      </w:r>
      <w:r w:rsidRPr="00736447">
        <w:rPr>
          <w:rFonts w:asciiTheme="majorHAnsi" w:eastAsia="Times New Roman" w:hAnsiTheme="majorHAnsi"/>
          <w:bCs/>
          <w:i/>
          <w:color w:val="000000"/>
          <w:sz w:val="16"/>
          <w:szCs w:val="16"/>
          <w:bdr w:val="none" w:sz="0" w:space="0" w:color="auto"/>
          <w:lang w:eastAsia="es-ES"/>
        </w:rPr>
        <w:t>Case of the Dismissed Congressional Employees (</w:t>
      </w:r>
      <w:proofErr w:type="spellStart"/>
      <w:r w:rsidRPr="00736447">
        <w:rPr>
          <w:rFonts w:asciiTheme="majorHAnsi" w:eastAsia="Times New Roman" w:hAnsiTheme="majorHAnsi"/>
          <w:bCs/>
          <w:i/>
          <w:color w:val="000000"/>
          <w:sz w:val="16"/>
          <w:szCs w:val="16"/>
          <w:bdr w:val="none" w:sz="0" w:space="0" w:color="auto"/>
          <w:lang w:eastAsia="es-ES"/>
        </w:rPr>
        <w:t>Aguado</w:t>
      </w:r>
      <w:proofErr w:type="spellEnd"/>
      <w:r w:rsidRPr="00736447">
        <w:rPr>
          <w:rFonts w:asciiTheme="majorHAnsi" w:eastAsia="Times New Roman" w:hAnsiTheme="majorHAnsi"/>
          <w:bCs/>
          <w:i/>
          <w:color w:val="000000"/>
          <w:sz w:val="16"/>
          <w:szCs w:val="16"/>
          <w:bdr w:val="none" w:sz="0" w:space="0" w:color="auto"/>
          <w:lang w:eastAsia="es-ES"/>
        </w:rPr>
        <w:t xml:space="preserve"> - Alfaro et al.) v. Peru</w:t>
      </w:r>
      <w:r w:rsidRPr="00736447">
        <w:rPr>
          <w:rFonts w:asciiTheme="majorHAnsi" w:eastAsia="Times New Roman" w:hAnsiTheme="majorHAnsi"/>
          <w:bCs/>
          <w:color w:val="000000"/>
          <w:sz w:val="16"/>
          <w:szCs w:val="16"/>
          <w:bdr w:val="none" w:sz="0" w:space="0" w:color="auto"/>
          <w:lang w:eastAsia="es-ES"/>
        </w:rPr>
        <w:t>. Judgment of November 24, 2006</w:t>
      </w:r>
      <w:r w:rsidRPr="00736447">
        <w:rPr>
          <w:rFonts w:asciiTheme="majorHAnsi" w:eastAsia="Cambria" w:hAnsiTheme="majorHAnsi" w:cs="Cambria"/>
          <w:sz w:val="16"/>
          <w:szCs w:val="16"/>
        </w:rPr>
        <w:t>, para. 106.</w:t>
      </w:r>
    </w:p>
  </w:footnote>
  <w:footnote w:id="156">
    <w:p w14:paraId="7D191DA3" w14:textId="26215CB7" w:rsidR="00E966C2" w:rsidRPr="00736447" w:rsidRDefault="00E966C2" w:rsidP="001A4533">
      <w:pPr>
        <w:tabs>
          <w:tab w:val="left" w:pos="360"/>
          <w:tab w:val="left" w:pos="720"/>
          <w:tab w:val="left" w:pos="900"/>
          <w:tab w:val="left" w:pos="1080"/>
        </w:tabs>
        <w:jc w:val="both"/>
        <w:rPr>
          <w:rFonts w:ascii="Cambria" w:eastAsia="Cambria" w:hAnsi="Cambria" w:cs="Cambria"/>
          <w:sz w:val="16"/>
          <w:szCs w:val="16"/>
        </w:rPr>
      </w:pPr>
      <w:r w:rsidRPr="00736447">
        <w:rPr>
          <w:rFonts w:asciiTheme="majorHAnsi" w:hAnsiTheme="majorHAnsi"/>
          <w:sz w:val="16"/>
          <w:szCs w:val="16"/>
          <w:vertAlign w:val="superscript"/>
        </w:rPr>
        <w:footnoteRef/>
      </w:r>
      <w:r w:rsidRPr="00736447">
        <w:rPr>
          <w:rFonts w:asciiTheme="majorHAnsi" w:eastAsia="Cambria" w:hAnsiTheme="majorHAnsi" w:cs="Cambria"/>
          <w:sz w:val="16"/>
          <w:szCs w:val="16"/>
        </w:rPr>
        <w:t xml:space="preserve"> I/A Court H.R., </w:t>
      </w:r>
      <w:r w:rsidRPr="00736447">
        <w:rPr>
          <w:rFonts w:asciiTheme="majorHAnsi" w:eastAsia="Times New Roman" w:hAnsiTheme="majorHAnsi"/>
          <w:bCs/>
          <w:i/>
          <w:color w:val="000000"/>
          <w:sz w:val="16"/>
          <w:szCs w:val="16"/>
          <w:bdr w:val="none" w:sz="0" w:space="0" w:color="auto"/>
          <w:lang w:eastAsia="es-ES"/>
        </w:rPr>
        <w:t xml:space="preserve">Case of </w:t>
      </w:r>
      <w:proofErr w:type="spellStart"/>
      <w:r w:rsidRPr="00736447">
        <w:rPr>
          <w:rFonts w:asciiTheme="majorHAnsi" w:eastAsia="Times New Roman" w:hAnsiTheme="majorHAnsi"/>
          <w:bCs/>
          <w:i/>
          <w:color w:val="000000"/>
          <w:sz w:val="16"/>
          <w:szCs w:val="16"/>
          <w:bdr w:val="none" w:sz="0" w:space="0" w:color="auto"/>
          <w:lang w:eastAsia="es-ES"/>
        </w:rPr>
        <w:t>Cantoral</w:t>
      </w:r>
      <w:proofErr w:type="spellEnd"/>
      <w:r w:rsidR="005C6AA9">
        <w:rPr>
          <w:rFonts w:asciiTheme="majorHAnsi" w:eastAsia="Times New Roman" w:hAnsiTheme="majorHAnsi"/>
          <w:bCs/>
          <w:i/>
          <w:color w:val="000000"/>
          <w:sz w:val="16"/>
          <w:szCs w:val="16"/>
          <w:bdr w:val="none" w:sz="0" w:space="0" w:color="auto"/>
          <w:lang w:eastAsia="es-ES"/>
        </w:rPr>
        <w:t xml:space="preserve"> </w:t>
      </w:r>
      <w:proofErr w:type="spellStart"/>
      <w:r w:rsidR="005C6AA9">
        <w:rPr>
          <w:rFonts w:asciiTheme="majorHAnsi" w:eastAsia="Times New Roman" w:hAnsiTheme="majorHAnsi"/>
          <w:bCs/>
          <w:i/>
          <w:color w:val="000000"/>
          <w:sz w:val="16"/>
          <w:szCs w:val="16"/>
          <w:bdr w:val="none" w:sz="0" w:space="0" w:color="auto"/>
          <w:lang w:eastAsia="es-ES"/>
        </w:rPr>
        <w:t>Huamaní</w:t>
      </w:r>
      <w:proofErr w:type="spellEnd"/>
      <w:r w:rsidR="005C6AA9">
        <w:rPr>
          <w:rFonts w:asciiTheme="majorHAnsi" w:eastAsia="Times New Roman" w:hAnsiTheme="majorHAnsi"/>
          <w:bCs/>
          <w:i/>
          <w:color w:val="000000"/>
          <w:sz w:val="16"/>
          <w:szCs w:val="16"/>
          <w:bdr w:val="none" w:sz="0" w:space="0" w:color="auto"/>
          <w:lang w:eastAsia="es-ES"/>
        </w:rPr>
        <w:t xml:space="preserve"> and </w:t>
      </w:r>
      <w:proofErr w:type="spellStart"/>
      <w:r w:rsidR="005C6AA9">
        <w:rPr>
          <w:rFonts w:asciiTheme="majorHAnsi" w:eastAsia="Times New Roman" w:hAnsiTheme="majorHAnsi"/>
          <w:bCs/>
          <w:i/>
          <w:color w:val="000000"/>
          <w:sz w:val="16"/>
          <w:szCs w:val="16"/>
          <w:bdr w:val="none" w:sz="0" w:space="0" w:color="auto"/>
          <w:lang w:eastAsia="es-ES"/>
        </w:rPr>
        <w:t>García</w:t>
      </w:r>
      <w:proofErr w:type="spellEnd"/>
      <w:r w:rsidR="005C6AA9">
        <w:rPr>
          <w:rFonts w:asciiTheme="majorHAnsi" w:eastAsia="Times New Roman" w:hAnsiTheme="majorHAnsi"/>
          <w:bCs/>
          <w:i/>
          <w:color w:val="000000"/>
          <w:sz w:val="16"/>
          <w:szCs w:val="16"/>
          <w:bdr w:val="none" w:sz="0" w:space="0" w:color="auto"/>
          <w:lang w:eastAsia="es-ES"/>
        </w:rPr>
        <w:t xml:space="preserve"> Santa Cruz</w:t>
      </w:r>
      <w:r w:rsidRPr="00736447">
        <w:rPr>
          <w:rFonts w:asciiTheme="majorHAnsi" w:eastAsia="Times New Roman" w:hAnsiTheme="majorHAnsi"/>
          <w:bCs/>
          <w:color w:val="000000"/>
          <w:sz w:val="16"/>
          <w:szCs w:val="16"/>
          <w:bdr w:val="none" w:sz="0" w:space="0" w:color="auto"/>
          <w:lang w:eastAsia="es-ES"/>
        </w:rPr>
        <w:t>. Judgment of July 10, 2007</w:t>
      </w:r>
      <w:r w:rsidRPr="00736447">
        <w:rPr>
          <w:rFonts w:ascii="Cambria" w:eastAsia="Cambria" w:hAnsi="Cambria" w:cs="Cambria"/>
          <w:sz w:val="16"/>
          <w:szCs w:val="16"/>
        </w:rPr>
        <w:t>, para. 100.</w:t>
      </w:r>
    </w:p>
  </w:footnote>
  <w:footnote w:id="157">
    <w:p w14:paraId="71370606" w14:textId="064E260F" w:rsidR="00E966C2" w:rsidRPr="00736447" w:rsidRDefault="00E966C2" w:rsidP="001A4533">
      <w:pPr>
        <w:jc w:val="both"/>
        <w:rPr>
          <w:rFonts w:eastAsia="Times New Roman"/>
          <w:sz w:val="20"/>
          <w:szCs w:val="20"/>
          <w:bdr w:val="none" w:sz="0" w:space="0" w:color="auto"/>
          <w:lang w:eastAsia="es-ES"/>
        </w:rPr>
      </w:pPr>
      <w:r w:rsidRPr="00736447">
        <w:rPr>
          <w:rFonts w:ascii="Cambria" w:hAnsi="Cambria"/>
          <w:sz w:val="16"/>
          <w:szCs w:val="16"/>
          <w:vertAlign w:val="superscript"/>
        </w:rPr>
        <w:footnoteRef/>
      </w:r>
      <w:r w:rsidRPr="00736447">
        <w:rPr>
          <w:rFonts w:ascii="Cambria" w:eastAsia="Cambria" w:hAnsi="Cambria" w:cs="Cambria"/>
          <w:sz w:val="16"/>
          <w:szCs w:val="16"/>
        </w:rPr>
        <w:t xml:space="preserve"> I/A Court H</w:t>
      </w:r>
      <w:r w:rsidRPr="00736447">
        <w:rPr>
          <w:rFonts w:asciiTheme="majorHAnsi" w:eastAsia="Cambria" w:hAnsiTheme="majorHAnsi" w:cs="Cambria"/>
          <w:sz w:val="16"/>
          <w:szCs w:val="16"/>
        </w:rPr>
        <w:t xml:space="preserve">.R., </w:t>
      </w:r>
      <w:r w:rsidRPr="00736447">
        <w:rPr>
          <w:rFonts w:asciiTheme="majorHAnsi" w:eastAsia="Times New Roman" w:hAnsiTheme="majorHAnsi"/>
          <w:bCs/>
          <w:i/>
          <w:color w:val="000000"/>
          <w:sz w:val="16"/>
          <w:szCs w:val="16"/>
          <w:bdr w:val="none" w:sz="0" w:space="0" w:color="auto"/>
          <w:lang w:eastAsia="es-ES"/>
        </w:rPr>
        <w:t xml:space="preserve">Case of </w:t>
      </w:r>
      <w:proofErr w:type="spellStart"/>
      <w:r w:rsidR="005C6AA9" w:rsidRPr="00736447">
        <w:rPr>
          <w:rFonts w:asciiTheme="majorHAnsi" w:eastAsia="Times New Roman" w:hAnsiTheme="majorHAnsi"/>
          <w:bCs/>
          <w:i/>
          <w:color w:val="000000"/>
          <w:sz w:val="16"/>
          <w:szCs w:val="16"/>
          <w:bdr w:val="none" w:sz="0" w:space="0" w:color="auto"/>
          <w:lang w:eastAsia="es-ES"/>
        </w:rPr>
        <w:t>García</w:t>
      </w:r>
      <w:proofErr w:type="spellEnd"/>
      <w:r w:rsidR="005C6AA9" w:rsidRPr="00736447">
        <w:rPr>
          <w:rFonts w:asciiTheme="majorHAnsi" w:eastAsia="Times New Roman" w:hAnsiTheme="majorHAnsi"/>
          <w:bCs/>
          <w:i/>
          <w:color w:val="000000"/>
          <w:sz w:val="16"/>
          <w:szCs w:val="16"/>
          <w:bdr w:val="none" w:sz="0" w:space="0" w:color="auto"/>
          <w:lang w:eastAsia="es-ES"/>
        </w:rPr>
        <w:t xml:space="preserve"> Prieto et al. v. El Salvador</w:t>
      </w:r>
      <w:r w:rsidR="005C6AA9" w:rsidRPr="00736447">
        <w:rPr>
          <w:rFonts w:asciiTheme="majorHAnsi" w:eastAsia="Times New Roman" w:hAnsiTheme="majorHAnsi"/>
          <w:bCs/>
          <w:color w:val="000000"/>
          <w:sz w:val="16"/>
          <w:szCs w:val="16"/>
          <w:bdr w:val="none" w:sz="0" w:space="0" w:color="auto"/>
          <w:lang w:eastAsia="es-ES"/>
        </w:rPr>
        <w:t>.</w:t>
      </w:r>
      <w:r w:rsidRPr="00736447">
        <w:rPr>
          <w:rFonts w:asciiTheme="majorHAnsi" w:eastAsia="Times New Roman" w:hAnsiTheme="majorHAnsi"/>
          <w:bCs/>
          <w:color w:val="000000"/>
          <w:sz w:val="16"/>
          <w:szCs w:val="16"/>
          <w:bdr w:val="none" w:sz="0" w:space="0" w:color="auto"/>
          <w:lang w:eastAsia="es-ES"/>
        </w:rPr>
        <w:t xml:space="preserve"> Judgment of November 20, 2007</w:t>
      </w:r>
      <w:r w:rsidRPr="00736447">
        <w:rPr>
          <w:rFonts w:asciiTheme="majorHAnsi" w:eastAsia="Cambria" w:hAnsiTheme="majorHAnsi" w:cs="Cambria"/>
          <w:sz w:val="16"/>
          <w:szCs w:val="16"/>
        </w:rPr>
        <w:t xml:space="preserve">, para. 101; </w:t>
      </w:r>
      <w:r w:rsidRPr="00736447">
        <w:rPr>
          <w:rFonts w:asciiTheme="majorHAnsi" w:eastAsia="Times New Roman" w:hAnsiTheme="majorHAnsi"/>
          <w:bCs/>
          <w:i/>
          <w:color w:val="000000"/>
          <w:sz w:val="16"/>
          <w:szCs w:val="16"/>
          <w:bdr w:val="none" w:sz="0" w:space="0" w:color="auto"/>
          <w:lang w:eastAsia="es-ES"/>
        </w:rPr>
        <w:t xml:space="preserve">Case of the Gómez </w:t>
      </w:r>
      <w:proofErr w:type="spellStart"/>
      <w:r w:rsidRPr="00736447">
        <w:rPr>
          <w:rFonts w:asciiTheme="majorHAnsi" w:eastAsia="Times New Roman" w:hAnsiTheme="majorHAnsi"/>
          <w:bCs/>
          <w:i/>
          <w:color w:val="000000"/>
          <w:sz w:val="16"/>
          <w:szCs w:val="16"/>
          <w:bdr w:val="none" w:sz="0" w:space="0" w:color="auto"/>
          <w:lang w:eastAsia="es-ES"/>
        </w:rPr>
        <w:t>Paquiyauri</w:t>
      </w:r>
      <w:proofErr w:type="spellEnd"/>
      <w:r w:rsidRPr="00736447">
        <w:rPr>
          <w:rFonts w:asciiTheme="majorHAnsi" w:eastAsia="Times New Roman" w:hAnsiTheme="majorHAnsi"/>
          <w:bCs/>
          <w:i/>
          <w:color w:val="000000"/>
          <w:sz w:val="16"/>
          <w:szCs w:val="16"/>
          <w:bdr w:val="none" w:sz="0" w:space="0" w:color="auto"/>
          <w:lang w:eastAsia="es-ES"/>
        </w:rPr>
        <w:t xml:space="preserve"> Brothers v. Peru</w:t>
      </w:r>
      <w:r w:rsidRPr="00736447">
        <w:rPr>
          <w:rFonts w:asciiTheme="majorHAnsi" w:eastAsia="Times New Roman" w:hAnsiTheme="majorHAnsi"/>
          <w:bCs/>
          <w:color w:val="000000"/>
          <w:sz w:val="16"/>
          <w:szCs w:val="16"/>
          <w:bdr w:val="none" w:sz="0" w:space="0" w:color="auto"/>
          <w:lang w:eastAsia="es-ES"/>
        </w:rPr>
        <w:t>. Judgment of July 8, 2004</w:t>
      </w:r>
      <w:r w:rsidRPr="00736447">
        <w:rPr>
          <w:rFonts w:asciiTheme="majorHAnsi" w:eastAsia="Cambria" w:hAnsiTheme="majorHAnsi" w:cs="Cambria"/>
          <w:sz w:val="16"/>
          <w:szCs w:val="16"/>
        </w:rPr>
        <w:t xml:space="preserve">, para. 146; </w:t>
      </w:r>
      <w:r w:rsidRPr="00736447">
        <w:rPr>
          <w:rFonts w:asciiTheme="majorHAnsi" w:eastAsia="Times New Roman" w:hAnsiTheme="majorHAnsi"/>
          <w:bCs/>
          <w:i/>
          <w:color w:val="000000"/>
          <w:sz w:val="16"/>
          <w:szCs w:val="16"/>
          <w:bdr w:val="none" w:sz="0" w:space="0" w:color="auto"/>
          <w:lang w:eastAsia="es-ES"/>
        </w:rPr>
        <w:t xml:space="preserve">Case of </w:t>
      </w:r>
      <w:proofErr w:type="spellStart"/>
      <w:r w:rsidRPr="00736447">
        <w:rPr>
          <w:rFonts w:asciiTheme="majorHAnsi" w:eastAsia="Times New Roman" w:hAnsiTheme="majorHAnsi"/>
          <w:bCs/>
          <w:i/>
          <w:color w:val="000000"/>
          <w:sz w:val="16"/>
          <w:szCs w:val="16"/>
          <w:bdr w:val="none" w:sz="0" w:space="0" w:color="auto"/>
          <w:lang w:eastAsia="es-ES"/>
        </w:rPr>
        <w:t>Cantoral</w:t>
      </w:r>
      <w:proofErr w:type="spellEnd"/>
      <w:r w:rsidRPr="00736447">
        <w:rPr>
          <w:rFonts w:asciiTheme="majorHAnsi" w:eastAsia="Times New Roman" w:hAnsiTheme="majorHAnsi"/>
          <w:bCs/>
          <w:i/>
          <w:color w:val="000000"/>
          <w:sz w:val="16"/>
          <w:szCs w:val="16"/>
          <w:bdr w:val="none" w:sz="0" w:space="0" w:color="auto"/>
          <w:lang w:eastAsia="es-ES"/>
        </w:rPr>
        <w:t xml:space="preserve"> </w:t>
      </w:r>
      <w:proofErr w:type="spellStart"/>
      <w:r w:rsidRPr="00736447">
        <w:rPr>
          <w:rFonts w:asciiTheme="majorHAnsi" w:eastAsia="Times New Roman" w:hAnsiTheme="majorHAnsi"/>
          <w:bCs/>
          <w:i/>
          <w:color w:val="000000"/>
          <w:sz w:val="16"/>
          <w:szCs w:val="16"/>
          <w:bdr w:val="none" w:sz="0" w:space="0" w:color="auto"/>
          <w:lang w:eastAsia="es-ES"/>
        </w:rPr>
        <w:t>Huamaní</w:t>
      </w:r>
      <w:proofErr w:type="spellEnd"/>
      <w:r w:rsidRPr="00736447">
        <w:rPr>
          <w:rFonts w:asciiTheme="majorHAnsi" w:eastAsia="Times New Roman" w:hAnsiTheme="majorHAnsi"/>
          <w:bCs/>
          <w:i/>
          <w:color w:val="000000"/>
          <w:sz w:val="16"/>
          <w:szCs w:val="16"/>
          <w:bdr w:val="none" w:sz="0" w:space="0" w:color="auto"/>
          <w:lang w:eastAsia="es-ES"/>
        </w:rPr>
        <w:t xml:space="preserve"> and </w:t>
      </w:r>
      <w:proofErr w:type="spellStart"/>
      <w:r w:rsidRPr="00736447">
        <w:rPr>
          <w:rFonts w:asciiTheme="majorHAnsi" w:eastAsia="Times New Roman" w:hAnsiTheme="majorHAnsi"/>
          <w:bCs/>
          <w:i/>
          <w:color w:val="000000"/>
          <w:sz w:val="16"/>
          <w:szCs w:val="16"/>
          <w:bdr w:val="none" w:sz="0" w:space="0" w:color="auto"/>
          <w:lang w:eastAsia="es-ES"/>
        </w:rPr>
        <w:t>García</w:t>
      </w:r>
      <w:proofErr w:type="spellEnd"/>
      <w:r w:rsidRPr="00736447">
        <w:rPr>
          <w:rFonts w:asciiTheme="majorHAnsi" w:eastAsia="Times New Roman" w:hAnsiTheme="majorHAnsi"/>
          <w:bCs/>
          <w:i/>
          <w:color w:val="000000"/>
          <w:sz w:val="16"/>
          <w:szCs w:val="16"/>
          <w:bdr w:val="none" w:sz="0" w:space="0" w:color="auto"/>
          <w:lang w:eastAsia="es-ES"/>
        </w:rPr>
        <w:t xml:space="preserve"> Santa Cruz</w:t>
      </w:r>
      <w:r w:rsidRPr="00736447">
        <w:rPr>
          <w:rFonts w:asciiTheme="majorHAnsi" w:eastAsia="Times New Roman" w:hAnsiTheme="majorHAnsi"/>
          <w:bCs/>
          <w:color w:val="000000"/>
          <w:sz w:val="16"/>
          <w:szCs w:val="16"/>
          <w:bdr w:val="none" w:sz="0" w:space="0" w:color="auto"/>
          <w:lang w:eastAsia="es-ES"/>
        </w:rPr>
        <w:t>. Judgment of July 10, 2007</w:t>
      </w:r>
      <w:r w:rsidRPr="00736447">
        <w:rPr>
          <w:rFonts w:ascii="Cambria" w:eastAsia="Cambria" w:hAnsi="Cambria" w:cs="Cambria"/>
          <w:sz w:val="16"/>
          <w:szCs w:val="16"/>
        </w:rPr>
        <w:t>, para. 130.</w:t>
      </w:r>
      <w:r w:rsidRPr="00736447">
        <w:rPr>
          <w:rFonts w:ascii="Cambria" w:eastAsia="Cambria" w:hAnsi="Cambria" w:cs="Cambria"/>
          <w:i/>
          <w:sz w:val="16"/>
          <w:szCs w:val="16"/>
        </w:rPr>
        <w:t xml:space="preserve"> </w:t>
      </w:r>
    </w:p>
  </w:footnote>
  <w:footnote w:id="158">
    <w:p w14:paraId="4C24C82C" w14:textId="26A0B7F5" w:rsidR="00E966C2" w:rsidRPr="00736447" w:rsidRDefault="00E966C2" w:rsidP="001A4533">
      <w:pPr>
        <w:jc w:val="both"/>
        <w:rPr>
          <w:rFonts w:eastAsia="Times New Roman"/>
          <w:sz w:val="20"/>
          <w:szCs w:val="20"/>
          <w:bdr w:val="none" w:sz="0" w:space="0" w:color="auto"/>
          <w:lang w:eastAsia="es-ES"/>
        </w:rPr>
      </w:pPr>
      <w:r w:rsidRPr="00736447">
        <w:rPr>
          <w:rFonts w:ascii="Cambria" w:hAnsi="Cambria"/>
          <w:sz w:val="16"/>
          <w:szCs w:val="16"/>
          <w:vertAlign w:val="superscript"/>
        </w:rPr>
        <w:footnoteRef/>
      </w:r>
      <w:r w:rsidRPr="00736447">
        <w:rPr>
          <w:rFonts w:ascii="Cambria" w:eastAsia="Cambria" w:hAnsi="Cambria" w:cs="Cambria"/>
          <w:sz w:val="16"/>
          <w:szCs w:val="16"/>
        </w:rPr>
        <w:t xml:space="preserve"> I/A Court </w:t>
      </w:r>
      <w:r w:rsidRPr="00736447">
        <w:rPr>
          <w:rFonts w:asciiTheme="majorHAnsi" w:eastAsia="Cambria" w:hAnsiTheme="majorHAnsi" w:cs="Cambria"/>
          <w:sz w:val="16"/>
          <w:szCs w:val="16"/>
        </w:rPr>
        <w:t xml:space="preserve">H.R., </w:t>
      </w:r>
      <w:r w:rsidRPr="00736447">
        <w:rPr>
          <w:rFonts w:asciiTheme="majorHAnsi" w:eastAsia="Times New Roman" w:hAnsiTheme="majorHAnsi"/>
          <w:bCs/>
          <w:i/>
          <w:color w:val="000000"/>
          <w:sz w:val="16"/>
          <w:szCs w:val="16"/>
          <w:bdr w:val="none" w:sz="0" w:space="0" w:color="auto"/>
          <w:lang w:eastAsia="es-ES"/>
        </w:rPr>
        <w:t xml:space="preserve">Case of </w:t>
      </w:r>
      <w:proofErr w:type="spellStart"/>
      <w:r w:rsidRPr="00736447">
        <w:rPr>
          <w:rFonts w:asciiTheme="majorHAnsi" w:eastAsia="Times New Roman" w:hAnsiTheme="majorHAnsi"/>
          <w:bCs/>
          <w:i/>
          <w:color w:val="000000"/>
          <w:sz w:val="16"/>
          <w:szCs w:val="16"/>
          <w:bdr w:val="none" w:sz="0" w:space="0" w:color="auto"/>
          <w:lang w:eastAsia="es-ES"/>
        </w:rPr>
        <w:t>Bulacio</w:t>
      </w:r>
      <w:proofErr w:type="spellEnd"/>
      <w:r w:rsidRPr="00736447">
        <w:rPr>
          <w:rFonts w:asciiTheme="majorHAnsi" w:eastAsia="Times New Roman" w:hAnsiTheme="majorHAnsi"/>
          <w:bCs/>
          <w:i/>
          <w:color w:val="000000"/>
          <w:sz w:val="16"/>
          <w:szCs w:val="16"/>
          <w:bdr w:val="none" w:sz="0" w:space="0" w:color="auto"/>
          <w:lang w:eastAsia="es-ES"/>
        </w:rPr>
        <w:t xml:space="preserve"> v. Argentina</w:t>
      </w:r>
      <w:r w:rsidRPr="00736447">
        <w:rPr>
          <w:rFonts w:asciiTheme="majorHAnsi" w:eastAsia="Times New Roman" w:hAnsiTheme="majorHAnsi"/>
          <w:bCs/>
          <w:color w:val="000000"/>
          <w:sz w:val="16"/>
          <w:szCs w:val="16"/>
          <w:bdr w:val="none" w:sz="0" w:space="0" w:color="auto"/>
          <w:lang w:eastAsia="es-ES"/>
        </w:rPr>
        <w:t>. Judgment of September 18, 2003</w:t>
      </w:r>
      <w:r w:rsidRPr="00736447">
        <w:rPr>
          <w:rFonts w:asciiTheme="majorHAnsi" w:eastAsia="Cambria" w:hAnsiTheme="majorHAnsi" w:cs="Cambria"/>
          <w:sz w:val="16"/>
          <w:szCs w:val="16"/>
        </w:rPr>
        <w:t xml:space="preserve">, para. 114; </w:t>
      </w:r>
      <w:r w:rsidRPr="00736447">
        <w:rPr>
          <w:rFonts w:asciiTheme="majorHAnsi" w:eastAsia="Times New Roman" w:hAnsiTheme="majorHAnsi"/>
          <w:bCs/>
          <w:i/>
          <w:color w:val="000000"/>
          <w:sz w:val="16"/>
          <w:szCs w:val="16"/>
          <w:bdr w:val="none" w:sz="0" w:space="0" w:color="auto"/>
          <w:lang w:eastAsia="es-ES"/>
        </w:rPr>
        <w:t xml:space="preserve">Case of the </w:t>
      </w:r>
      <w:proofErr w:type="spellStart"/>
      <w:r w:rsidRPr="00736447">
        <w:rPr>
          <w:rFonts w:asciiTheme="majorHAnsi" w:eastAsia="Times New Roman" w:hAnsiTheme="majorHAnsi"/>
          <w:bCs/>
          <w:i/>
          <w:color w:val="000000"/>
          <w:sz w:val="16"/>
          <w:szCs w:val="16"/>
          <w:bdr w:val="none" w:sz="0" w:space="0" w:color="auto"/>
          <w:lang w:eastAsia="es-ES"/>
        </w:rPr>
        <w:t>Rochela</w:t>
      </w:r>
      <w:proofErr w:type="spellEnd"/>
      <w:r w:rsidRPr="00736447">
        <w:rPr>
          <w:rFonts w:asciiTheme="majorHAnsi" w:eastAsia="Times New Roman" w:hAnsiTheme="majorHAnsi"/>
          <w:bCs/>
          <w:i/>
          <w:color w:val="000000"/>
          <w:sz w:val="16"/>
          <w:szCs w:val="16"/>
          <w:bdr w:val="none" w:sz="0" w:space="0" w:color="auto"/>
          <w:lang w:eastAsia="es-ES"/>
        </w:rPr>
        <w:t xml:space="preserve"> Massacre</w:t>
      </w:r>
      <w:r w:rsidRPr="00736447">
        <w:rPr>
          <w:rFonts w:asciiTheme="majorHAnsi" w:eastAsia="Times New Roman" w:hAnsiTheme="majorHAnsi"/>
          <w:bCs/>
          <w:color w:val="000000"/>
          <w:sz w:val="16"/>
          <w:szCs w:val="16"/>
          <w:bdr w:val="none" w:sz="0" w:space="0" w:color="auto"/>
          <w:lang w:eastAsia="es-ES"/>
        </w:rPr>
        <w:t>. Judgment of May 11, 2007</w:t>
      </w:r>
      <w:r w:rsidRPr="00736447">
        <w:rPr>
          <w:rFonts w:asciiTheme="majorHAnsi" w:eastAsia="Cambria" w:hAnsiTheme="majorHAnsi" w:cs="Cambria"/>
          <w:sz w:val="16"/>
          <w:szCs w:val="16"/>
        </w:rPr>
        <w:t xml:space="preserve">, para. 146; </w:t>
      </w:r>
      <w:r w:rsidRPr="00736447">
        <w:rPr>
          <w:rFonts w:asciiTheme="majorHAnsi" w:eastAsia="Times New Roman" w:hAnsiTheme="majorHAnsi"/>
          <w:bCs/>
          <w:i/>
          <w:color w:val="000000"/>
          <w:sz w:val="16"/>
          <w:szCs w:val="16"/>
          <w:bdr w:val="none" w:sz="0" w:space="0" w:color="auto"/>
          <w:lang w:eastAsia="es-ES"/>
        </w:rPr>
        <w:t xml:space="preserve">Case of the Miguel Castro </w:t>
      </w:r>
      <w:proofErr w:type="spellStart"/>
      <w:r w:rsidRPr="00736447">
        <w:rPr>
          <w:rFonts w:asciiTheme="majorHAnsi" w:eastAsia="Times New Roman" w:hAnsiTheme="majorHAnsi"/>
          <w:bCs/>
          <w:i/>
          <w:color w:val="000000"/>
          <w:sz w:val="16"/>
          <w:szCs w:val="16"/>
          <w:bdr w:val="none" w:sz="0" w:space="0" w:color="auto"/>
          <w:lang w:eastAsia="es-ES"/>
        </w:rPr>
        <w:t>Castro</w:t>
      </w:r>
      <w:proofErr w:type="spellEnd"/>
      <w:r w:rsidRPr="00736447">
        <w:rPr>
          <w:rFonts w:asciiTheme="majorHAnsi" w:eastAsia="Times New Roman" w:hAnsiTheme="majorHAnsi"/>
          <w:bCs/>
          <w:i/>
          <w:color w:val="000000"/>
          <w:sz w:val="16"/>
          <w:szCs w:val="16"/>
          <w:bdr w:val="none" w:sz="0" w:space="0" w:color="auto"/>
          <w:lang w:eastAsia="es-ES"/>
        </w:rPr>
        <w:t xml:space="preserve"> Prison</w:t>
      </w:r>
      <w:r w:rsidRPr="00736447">
        <w:rPr>
          <w:rFonts w:asciiTheme="majorHAnsi" w:eastAsia="Times New Roman" w:hAnsiTheme="majorHAnsi"/>
          <w:bCs/>
          <w:color w:val="000000"/>
          <w:sz w:val="16"/>
          <w:szCs w:val="16"/>
          <w:bdr w:val="none" w:sz="0" w:space="0" w:color="auto"/>
          <w:lang w:eastAsia="es-ES"/>
        </w:rPr>
        <w:t>. Judgment of November 25, 2006</w:t>
      </w:r>
      <w:r w:rsidRPr="00736447">
        <w:rPr>
          <w:rFonts w:asciiTheme="majorHAnsi" w:eastAsia="Cambria" w:hAnsiTheme="majorHAnsi" w:cs="Cambria"/>
          <w:sz w:val="16"/>
          <w:szCs w:val="16"/>
        </w:rPr>
        <w:t>, para.</w:t>
      </w:r>
      <w:r w:rsidRPr="00736447">
        <w:rPr>
          <w:rFonts w:ascii="Cambria" w:eastAsia="Cambria" w:hAnsi="Cambria" w:cs="Cambria"/>
          <w:sz w:val="16"/>
          <w:szCs w:val="16"/>
        </w:rPr>
        <w:t xml:space="preserve"> 382.</w:t>
      </w:r>
    </w:p>
  </w:footnote>
  <w:footnote w:id="159">
    <w:p w14:paraId="06B8A846" w14:textId="0E3121B7" w:rsidR="00E966C2" w:rsidRPr="00736447" w:rsidRDefault="00E966C2" w:rsidP="001A4533">
      <w:pPr>
        <w:jc w:val="both"/>
        <w:rPr>
          <w:rFonts w:eastAsia="Times New Roman"/>
          <w:sz w:val="20"/>
          <w:szCs w:val="20"/>
          <w:bdr w:val="none" w:sz="0" w:space="0" w:color="auto"/>
          <w:lang w:eastAsia="es-ES"/>
        </w:rPr>
      </w:pPr>
      <w:r w:rsidRPr="00736447">
        <w:rPr>
          <w:rFonts w:ascii="Cambria" w:hAnsi="Cambria"/>
          <w:sz w:val="16"/>
          <w:szCs w:val="16"/>
          <w:vertAlign w:val="superscript"/>
        </w:rPr>
        <w:footnoteRef/>
      </w:r>
      <w:r w:rsidRPr="00736447">
        <w:rPr>
          <w:rFonts w:ascii="Cambria" w:eastAsia="Cambria" w:hAnsi="Cambria" w:cs="Cambria"/>
          <w:sz w:val="16"/>
          <w:szCs w:val="16"/>
        </w:rPr>
        <w:t xml:space="preserve"> I/A </w:t>
      </w:r>
      <w:r w:rsidRPr="00736447">
        <w:rPr>
          <w:rFonts w:asciiTheme="majorHAnsi" w:eastAsia="Cambria" w:hAnsiTheme="majorHAnsi" w:cs="Cambria"/>
          <w:sz w:val="16"/>
          <w:szCs w:val="16"/>
        </w:rPr>
        <w:t xml:space="preserve">Court H.R., </w:t>
      </w:r>
      <w:r w:rsidRPr="00736447">
        <w:rPr>
          <w:rFonts w:asciiTheme="majorHAnsi" w:eastAsia="Times New Roman" w:hAnsiTheme="majorHAnsi"/>
          <w:bCs/>
          <w:i/>
          <w:color w:val="000000"/>
          <w:sz w:val="16"/>
          <w:szCs w:val="16"/>
          <w:bdr w:val="none" w:sz="0" w:space="0" w:color="auto"/>
          <w:lang w:eastAsia="es-ES"/>
        </w:rPr>
        <w:t xml:space="preserve">Case of </w:t>
      </w:r>
      <w:proofErr w:type="spellStart"/>
      <w:r w:rsidRPr="00736447">
        <w:rPr>
          <w:rFonts w:asciiTheme="majorHAnsi" w:eastAsia="Times New Roman" w:hAnsiTheme="majorHAnsi"/>
          <w:bCs/>
          <w:i/>
          <w:color w:val="000000"/>
          <w:sz w:val="16"/>
          <w:szCs w:val="16"/>
          <w:bdr w:val="none" w:sz="0" w:space="0" w:color="auto"/>
          <w:lang w:eastAsia="es-ES"/>
        </w:rPr>
        <w:t>García</w:t>
      </w:r>
      <w:proofErr w:type="spellEnd"/>
      <w:r w:rsidRPr="00736447">
        <w:rPr>
          <w:rFonts w:asciiTheme="majorHAnsi" w:eastAsia="Times New Roman" w:hAnsiTheme="majorHAnsi"/>
          <w:bCs/>
          <w:i/>
          <w:color w:val="000000"/>
          <w:sz w:val="16"/>
          <w:szCs w:val="16"/>
          <w:bdr w:val="none" w:sz="0" w:space="0" w:color="auto"/>
          <w:lang w:eastAsia="es-ES"/>
        </w:rPr>
        <w:t xml:space="preserve"> Prieto et al.</w:t>
      </w:r>
      <w:r w:rsidRPr="00736447">
        <w:rPr>
          <w:rFonts w:asciiTheme="majorHAnsi" w:eastAsia="Times New Roman" w:hAnsiTheme="majorHAnsi"/>
          <w:bCs/>
          <w:color w:val="000000"/>
          <w:sz w:val="16"/>
          <w:szCs w:val="16"/>
          <w:bdr w:val="none" w:sz="0" w:space="0" w:color="auto"/>
          <w:lang w:eastAsia="es-ES"/>
        </w:rPr>
        <w:t xml:space="preserve"> Judgment of November 20, 2007</w:t>
      </w:r>
      <w:r w:rsidRPr="00736447">
        <w:rPr>
          <w:rFonts w:asciiTheme="majorHAnsi" w:eastAsia="Cambria" w:hAnsiTheme="majorHAnsi" w:cs="Cambria"/>
          <w:sz w:val="16"/>
          <w:szCs w:val="16"/>
        </w:rPr>
        <w:t xml:space="preserve">, para. 103; </w:t>
      </w:r>
      <w:r w:rsidRPr="00736447">
        <w:rPr>
          <w:rFonts w:asciiTheme="majorHAnsi" w:eastAsia="Times New Roman" w:hAnsiTheme="majorHAnsi"/>
          <w:bCs/>
          <w:i/>
          <w:color w:val="000000"/>
          <w:sz w:val="16"/>
          <w:szCs w:val="16"/>
          <w:bdr w:val="none" w:sz="0" w:space="0" w:color="auto"/>
          <w:lang w:eastAsia="es-ES"/>
        </w:rPr>
        <w:t xml:space="preserve">Case of </w:t>
      </w:r>
      <w:proofErr w:type="spellStart"/>
      <w:r w:rsidRPr="00736447">
        <w:rPr>
          <w:rFonts w:asciiTheme="majorHAnsi" w:eastAsia="Times New Roman" w:hAnsiTheme="majorHAnsi"/>
          <w:bCs/>
          <w:i/>
          <w:color w:val="000000"/>
          <w:sz w:val="16"/>
          <w:szCs w:val="16"/>
          <w:bdr w:val="none" w:sz="0" w:space="0" w:color="auto"/>
          <w:lang w:eastAsia="es-ES"/>
        </w:rPr>
        <w:t>Bulacio</w:t>
      </w:r>
      <w:proofErr w:type="spellEnd"/>
      <w:r w:rsidRPr="00736447">
        <w:rPr>
          <w:rFonts w:asciiTheme="majorHAnsi" w:eastAsia="Times New Roman" w:hAnsiTheme="majorHAnsi"/>
          <w:bCs/>
          <w:i/>
          <w:color w:val="000000"/>
          <w:sz w:val="16"/>
          <w:szCs w:val="16"/>
          <w:bdr w:val="none" w:sz="0" w:space="0" w:color="auto"/>
          <w:lang w:eastAsia="es-ES"/>
        </w:rPr>
        <w:t xml:space="preserve"> v. Argentina</w:t>
      </w:r>
      <w:r w:rsidRPr="00736447">
        <w:rPr>
          <w:rFonts w:asciiTheme="majorHAnsi" w:eastAsia="Times New Roman" w:hAnsiTheme="majorHAnsi"/>
          <w:bCs/>
          <w:color w:val="000000"/>
          <w:sz w:val="16"/>
          <w:szCs w:val="16"/>
          <w:bdr w:val="none" w:sz="0" w:space="0" w:color="auto"/>
          <w:lang w:eastAsia="es-ES"/>
        </w:rPr>
        <w:t>. Judgment of September 18, 2003</w:t>
      </w:r>
      <w:r w:rsidRPr="00736447">
        <w:rPr>
          <w:rFonts w:ascii="Cambria" w:eastAsia="Cambria" w:hAnsi="Cambria" w:cs="Cambria"/>
          <w:sz w:val="16"/>
          <w:szCs w:val="16"/>
        </w:rPr>
        <w:t xml:space="preserve">, para. 114; and </w:t>
      </w:r>
      <w:r w:rsidRPr="00736447">
        <w:rPr>
          <w:rFonts w:asciiTheme="majorHAnsi" w:eastAsia="Times New Roman" w:hAnsiTheme="majorHAnsi"/>
          <w:bCs/>
          <w:i/>
          <w:color w:val="000000"/>
          <w:sz w:val="16"/>
          <w:szCs w:val="16"/>
          <w:bdr w:val="none" w:sz="0" w:space="0" w:color="auto"/>
          <w:lang w:eastAsia="es-ES"/>
        </w:rPr>
        <w:t xml:space="preserve">Case of the Miguel Castro </w:t>
      </w:r>
      <w:proofErr w:type="spellStart"/>
      <w:r w:rsidRPr="00736447">
        <w:rPr>
          <w:rFonts w:asciiTheme="majorHAnsi" w:eastAsia="Times New Roman" w:hAnsiTheme="majorHAnsi"/>
          <w:bCs/>
          <w:i/>
          <w:color w:val="000000"/>
          <w:sz w:val="16"/>
          <w:szCs w:val="16"/>
          <w:bdr w:val="none" w:sz="0" w:space="0" w:color="auto"/>
          <w:lang w:eastAsia="es-ES"/>
        </w:rPr>
        <w:t>Castro</w:t>
      </w:r>
      <w:proofErr w:type="spellEnd"/>
      <w:r w:rsidRPr="00736447">
        <w:rPr>
          <w:rFonts w:asciiTheme="majorHAnsi" w:eastAsia="Times New Roman" w:hAnsiTheme="majorHAnsi"/>
          <w:bCs/>
          <w:i/>
          <w:color w:val="000000"/>
          <w:sz w:val="16"/>
          <w:szCs w:val="16"/>
          <w:bdr w:val="none" w:sz="0" w:space="0" w:color="auto"/>
          <w:lang w:eastAsia="es-ES"/>
        </w:rPr>
        <w:t xml:space="preserve"> Prison</w:t>
      </w:r>
      <w:r w:rsidRPr="00736447">
        <w:rPr>
          <w:rFonts w:asciiTheme="majorHAnsi" w:eastAsia="Times New Roman" w:hAnsiTheme="majorHAnsi"/>
          <w:bCs/>
          <w:color w:val="000000"/>
          <w:sz w:val="16"/>
          <w:szCs w:val="16"/>
          <w:bdr w:val="none" w:sz="0" w:space="0" w:color="auto"/>
          <w:lang w:eastAsia="es-ES"/>
        </w:rPr>
        <w:t>. Judgment of November 25, 2006</w:t>
      </w:r>
      <w:r w:rsidRPr="00736447">
        <w:rPr>
          <w:rFonts w:ascii="Cambria" w:eastAsia="Cambria" w:hAnsi="Cambria" w:cs="Cambria"/>
          <w:sz w:val="16"/>
          <w:szCs w:val="16"/>
        </w:rPr>
        <w:t>, para. 382.</w:t>
      </w:r>
    </w:p>
  </w:footnote>
  <w:footnote w:id="160">
    <w:p w14:paraId="659A7248" w14:textId="5C65E40A" w:rsidR="00E966C2" w:rsidRPr="00736447" w:rsidRDefault="00E966C2" w:rsidP="001A4533">
      <w:pPr>
        <w:jc w:val="both"/>
        <w:rPr>
          <w:rFonts w:asciiTheme="majorHAnsi" w:eastAsia="Times New Roman" w:hAnsiTheme="majorHAnsi"/>
          <w:sz w:val="16"/>
          <w:szCs w:val="16"/>
          <w:bdr w:val="none" w:sz="0" w:space="0" w:color="auto"/>
          <w:lang w:eastAsia="es-ES"/>
        </w:rPr>
      </w:pPr>
      <w:r w:rsidRPr="00736447">
        <w:rPr>
          <w:rStyle w:val="FootnoteReference"/>
          <w:rFonts w:ascii="Cambria" w:hAnsi="Cambria"/>
          <w:sz w:val="16"/>
          <w:szCs w:val="16"/>
        </w:rPr>
        <w:footnoteRef/>
      </w:r>
      <w:r w:rsidRPr="00736447">
        <w:rPr>
          <w:rFonts w:ascii="Cambria" w:hAnsi="Cambria"/>
          <w:sz w:val="16"/>
          <w:szCs w:val="16"/>
        </w:rPr>
        <w:t xml:space="preserve"> I/A Court H.</w:t>
      </w:r>
      <w:r w:rsidRPr="00736447">
        <w:rPr>
          <w:rFonts w:asciiTheme="majorHAnsi" w:hAnsiTheme="majorHAnsi"/>
          <w:sz w:val="16"/>
          <w:szCs w:val="16"/>
        </w:rPr>
        <w:t xml:space="preserve">R. </w:t>
      </w:r>
      <w:r w:rsidRPr="00736447">
        <w:rPr>
          <w:rFonts w:asciiTheme="majorHAnsi" w:eastAsia="Times New Roman" w:hAnsiTheme="majorHAnsi"/>
          <w:bCs/>
          <w:i/>
          <w:color w:val="000000"/>
          <w:sz w:val="16"/>
          <w:szCs w:val="16"/>
          <w:bdr w:val="none" w:sz="0" w:space="0" w:color="auto"/>
          <w:lang w:eastAsia="es-ES"/>
        </w:rPr>
        <w:t xml:space="preserve">Case of </w:t>
      </w:r>
      <w:proofErr w:type="spellStart"/>
      <w:r w:rsidRPr="00736447">
        <w:rPr>
          <w:rFonts w:asciiTheme="majorHAnsi" w:eastAsia="Times New Roman" w:hAnsiTheme="majorHAnsi"/>
          <w:bCs/>
          <w:i/>
          <w:color w:val="000000"/>
          <w:sz w:val="16"/>
          <w:szCs w:val="16"/>
          <w:bdr w:val="none" w:sz="0" w:space="0" w:color="auto"/>
          <w:lang w:eastAsia="es-ES"/>
        </w:rPr>
        <w:t>Velásquez</w:t>
      </w:r>
      <w:proofErr w:type="spellEnd"/>
      <w:r w:rsidRPr="00736447">
        <w:rPr>
          <w:rFonts w:asciiTheme="majorHAnsi" w:eastAsia="Times New Roman" w:hAnsiTheme="majorHAnsi"/>
          <w:bCs/>
          <w:i/>
          <w:color w:val="000000"/>
          <w:sz w:val="16"/>
          <w:szCs w:val="16"/>
          <w:bdr w:val="none" w:sz="0" w:space="0" w:color="auto"/>
          <w:lang w:eastAsia="es-ES"/>
        </w:rPr>
        <w:t xml:space="preserve"> Rodríguez v. Honduras</w:t>
      </w:r>
      <w:r w:rsidRPr="00736447">
        <w:rPr>
          <w:rFonts w:asciiTheme="majorHAnsi" w:eastAsia="Times New Roman" w:hAnsiTheme="majorHAnsi"/>
          <w:bCs/>
          <w:color w:val="000000"/>
          <w:sz w:val="16"/>
          <w:szCs w:val="16"/>
          <w:bdr w:val="none" w:sz="0" w:space="0" w:color="auto"/>
          <w:lang w:eastAsia="es-ES"/>
        </w:rPr>
        <w:t>. Judgment of July 29, 1988</w:t>
      </w:r>
      <w:r w:rsidRPr="00736447">
        <w:rPr>
          <w:rFonts w:ascii="Cambria" w:hAnsi="Cambria"/>
          <w:sz w:val="16"/>
          <w:szCs w:val="16"/>
        </w:rPr>
        <w:t xml:space="preserve">, para. 177; </w:t>
      </w:r>
      <w:r w:rsidRPr="00736447">
        <w:rPr>
          <w:rFonts w:asciiTheme="majorHAnsi" w:eastAsia="Times New Roman" w:hAnsiTheme="majorHAnsi"/>
          <w:bCs/>
          <w:i/>
          <w:color w:val="000000"/>
          <w:sz w:val="16"/>
          <w:szCs w:val="16"/>
          <w:bdr w:val="none" w:sz="0" w:space="0" w:color="auto"/>
          <w:lang w:eastAsia="es-ES"/>
        </w:rPr>
        <w:t xml:space="preserve">Case of </w:t>
      </w:r>
      <w:proofErr w:type="spellStart"/>
      <w:r w:rsidRPr="00736447">
        <w:rPr>
          <w:rFonts w:asciiTheme="majorHAnsi" w:eastAsia="Times New Roman" w:hAnsiTheme="majorHAnsi"/>
          <w:bCs/>
          <w:i/>
          <w:color w:val="000000"/>
          <w:sz w:val="16"/>
          <w:szCs w:val="16"/>
          <w:bdr w:val="none" w:sz="0" w:space="0" w:color="auto"/>
          <w:lang w:eastAsia="es-ES"/>
        </w:rPr>
        <w:t>Cantoral</w:t>
      </w:r>
      <w:proofErr w:type="spellEnd"/>
      <w:r w:rsidRPr="00736447">
        <w:rPr>
          <w:rFonts w:asciiTheme="majorHAnsi" w:eastAsia="Times New Roman" w:hAnsiTheme="majorHAnsi"/>
          <w:bCs/>
          <w:i/>
          <w:color w:val="000000"/>
          <w:sz w:val="16"/>
          <w:szCs w:val="16"/>
          <w:bdr w:val="none" w:sz="0" w:space="0" w:color="auto"/>
          <w:lang w:eastAsia="es-ES"/>
        </w:rPr>
        <w:t xml:space="preserve"> </w:t>
      </w:r>
      <w:proofErr w:type="spellStart"/>
      <w:r w:rsidRPr="00736447">
        <w:rPr>
          <w:rFonts w:asciiTheme="majorHAnsi" w:eastAsia="Times New Roman" w:hAnsiTheme="majorHAnsi"/>
          <w:bCs/>
          <w:i/>
          <w:color w:val="000000"/>
          <w:sz w:val="16"/>
          <w:szCs w:val="16"/>
          <w:bdr w:val="none" w:sz="0" w:space="0" w:color="auto"/>
          <w:lang w:eastAsia="es-ES"/>
        </w:rPr>
        <w:t>Huamaní</w:t>
      </w:r>
      <w:proofErr w:type="spellEnd"/>
      <w:r w:rsidRPr="00736447">
        <w:rPr>
          <w:rFonts w:asciiTheme="majorHAnsi" w:eastAsia="Times New Roman" w:hAnsiTheme="majorHAnsi"/>
          <w:bCs/>
          <w:i/>
          <w:color w:val="000000"/>
          <w:sz w:val="16"/>
          <w:szCs w:val="16"/>
          <w:bdr w:val="none" w:sz="0" w:space="0" w:color="auto"/>
          <w:lang w:eastAsia="es-ES"/>
        </w:rPr>
        <w:t xml:space="preserve"> and </w:t>
      </w:r>
      <w:proofErr w:type="spellStart"/>
      <w:r w:rsidRPr="00736447">
        <w:rPr>
          <w:rFonts w:asciiTheme="majorHAnsi" w:eastAsia="Times New Roman" w:hAnsiTheme="majorHAnsi"/>
          <w:bCs/>
          <w:i/>
          <w:color w:val="000000"/>
          <w:sz w:val="16"/>
          <w:szCs w:val="16"/>
          <w:bdr w:val="none" w:sz="0" w:space="0" w:color="auto"/>
          <w:lang w:eastAsia="es-ES"/>
        </w:rPr>
        <w:t>García</w:t>
      </w:r>
      <w:proofErr w:type="spellEnd"/>
      <w:r w:rsidRPr="00736447">
        <w:rPr>
          <w:rFonts w:asciiTheme="majorHAnsi" w:eastAsia="Times New Roman" w:hAnsiTheme="majorHAnsi"/>
          <w:bCs/>
          <w:i/>
          <w:color w:val="000000"/>
          <w:sz w:val="16"/>
          <w:szCs w:val="16"/>
          <w:bdr w:val="none" w:sz="0" w:space="0" w:color="auto"/>
          <w:lang w:eastAsia="es-ES"/>
        </w:rPr>
        <w:t xml:space="preserve"> Santa Cruz</w:t>
      </w:r>
      <w:r w:rsidRPr="00736447">
        <w:rPr>
          <w:rFonts w:asciiTheme="majorHAnsi" w:eastAsia="Times New Roman" w:hAnsiTheme="majorHAnsi"/>
          <w:bCs/>
          <w:color w:val="000000"/>
          <w:sz w:val="16"/>
          <w:szCs w:val="16"/>
          <w:bdr w:val="none" w:sz="0" w:space="0" w:color="auto"/>
          <w:lang w:eastAsia="es-ES"/>
        </w:rPr>
        <w:t>. Judgment of July 10, 2007</w:t>
      </w:r>
      <w:r w:rsidRPr="00736447">
        <w:rPr>
          <w:rFonts w:asciiTheme="majorHAnsi" w:hAnsiTheme="majorHAnsi"/>
          <w:sz w:val="16"/>
          <w:szCs w:val="16"/>
        </w:rPr>
        <w:t xml:space="preserve">, para. 131; </w:t>
      </w:r>
      <w:r w:rsidRPr="00736447">
        <w:rPr>
          <w:rFonts w:asciiTheme="majorHAnsi" w:eastAsia="Times New Roman" w:hAnsiTheme="majorHAnsi"/>
          <w:bCs/>
          <w:i/>
          <w:color w:val="000000"/>
          <w:sz w:val="16"/>
          <w:szCs w:val="16"/>
          <w:bdr w:val="none" w:sz="0" w:space="0" w:color="auto"/>
          <w:lang w:eastAsia="es-ES"/>
        </w:rPr>
        <w:t xml:space="preserve">Case of Zambrano </w:t>
      </w:r>
      <w:proofErr w:type="spellStart"/>
      <w:r w:rsidRPr="00736447">
        <w:rPr>
          <w:rFonts w:asciiTheme="majorHAnsi" w:eastAsia="Times New Roman" w:hAnsiTheme="majorHAnsi"/>
          <w:bCs/>
          <w:i/>
          <w:color w:val="000000"/>
          <w:sz w:val="16"/>
          <w:szCs w:val="16"/>
          <w:bdr w:val="none" w:sz="0" w:space="0" w:color="auto"/>
          <w:lang w:eastAsia="es-ES"/>
        </w:rPr>
        <w:t>Vélez</w:t>
      </w:r>
      <w:proofErr w:type="spellEnd"/>
      <w:r w:rsidRPr="00736447">
        <w:rPr>
          <w:rFonts w:asciiTheme="majorHAnsi" w:eastAsia="Times New Roman" w:hAnsiTheme="majorHAnsi"/>
          <w:bCs/>
          <w:i/>
          <w:color w:val="000000"/>
          <w:sz w:val="16"/>
          <w:szCs w:val="16"/>
          <w:bdr w:val="none" w:sz="0" w:space="0" w:color="auto"/>
          <w:lang w:eastAsia="es-ES"/>
        </w:rPr>
        <w:t xml:space="preserve"> et al</w:t>
      </w:r>
      <w:r w:rsidRPr="00736447">
        <w:rPr>
          <w:rFonts w:asciiTheme="majorHAnsi" w:eastAsia="Times New Roman" w:hAnsiTheme="majorHAnsi"/>
          <w:bCs/>
          <w:color w:val="000000"/>
          <w:sz w:val="16"/>
          <w:szCs w:val="16"/>
          <w:bdr w:val="none" w:sz="0" w:space="0" w:color="auto"/>
          <w:lang w:eastAsia="es-ES"/>
        </w:rPr>
        <w:t>. Judgment of July 4, 2007</w:t>
      </w:r>
      <w:r w:rsidRPr="00736447">
        <w:rPr>
          <w:rFonts w:ascii="Cambria" w:hAnsi="Cambria"/>
          <w:sz w:val="16"/>
          <w:szCs w:val="16"/>
        </w:rPr>
        <w:t xml:space="preserve">, para. 120. </w:t>
      </w:r>
    </w:p>
  </w:footnote>
  <w:footnote w:id="161">
    <w:p w14:paraId="44D78CD3" w14:textId="19A16DA2" w:rsidR="00E966C2" w:rsidRPr="00736447" w:rsidRDefault="00E966C2" w:rsidP="001A4533">
      <w:pPr>
        <w:tabs>
          <w:tab w:val="left" w:pos="360"/>
          <w:tab w:val="left" w:pos="720"/>
          <w:tab w:val="left" w:pos="900"/>
          <w:tab w:val="left" w:pos="1080"/>
        </w:tabs>
        <w:jc w:val="both"/>
        <w:rPr>
          <w:rFonts w:ascii="Cambria" w:hAnsi="Cambria"/>
          <w:sz w:val="16"/>
          <w:szCs w:val="16"/>
        </w:rPr>
      </w:pPr>
      <w:r w:rsidRPr="00736447">
        <w:rPr>
          <w:rStyle w:val="FootnoteReference"/>
          <w:rFonts w:ascii="Cambria" w:hAnsi="Cambria"/>
          <w:sz w:val="16"/>
          <w:szCs w:val="16"/>
        </w:rPr>
        <w:footnoteRef/>
      </w:r>
      <w:r w:rsidRPr="00736447">
        <w:rPr>
          <w:rFonts w:ascii="Cambria" w:hAnsi="Cambria"/>
          <w:sz w:val="16"/>
          <w:szCs w:val="16"/>
        </w:rPr>
        <w:t xml:space="preserve"> I/A Court H.R., </w:t>
      </w:r>
      <w:r w:rsidRPr="00736447">
        <w:rPr>
          <w:rFonts w:asciiTheme="majorHAnsi" w:eastAsia="Times New Roman" w:hAnsiTheme="majorHAnsi"/>
          <w:bCs/>
          <w:i/>
          <w:color w:val="000000"/>
          <w:sz w:val="16"/>
          <w:szCs w:val="16"/>
          <w:bdr w:val="none" w:sz="0" w:space="0" w:color="auto"/>
          <w:lang w:eastAsia="es-ES"/>
        </w:rPr>
        <w:t xml:space="preserve">Case of </w:t>
      </w:r>
      <w:proofErr w:type="spellStart"/>
      <w:r w:rsidRPr="00736447">
        <w:rPr>
          <w:rFonts w:asciiTheme="majorHAnsi" w:eastAsia="Times New Roman" w:hAnsiTheme="majorHAnsi"/>
          <w:bCs/>
          <w:i/>
          <w:color w:val="000000"/>
          <w:sz w:val="16"/>
          <w:szCs w:val="16"/>
          <w:bdr w:val="none" w:sz="0" w:space="0" w:color="auto"/>
          <w:lang w:eastAsia="es-ES"/>
        </w:rPr>
        <w:t>Velásquez</w:t>
      </w:r>
      <w:proofErr w:type="spellEnd"/>
      <w:r w:rsidRPr="00736447">
        <w:rPr>
          <w:rFonts w:asciiTheme="majorHAnsi" w:eastAsia="Times New Roman" w:hAnsiTheme="majorHAnsi"/>
          <w:bCs/>
          <w:i/>
          <w:color w:val="000000"/>
          <w:sz w:val="16"/>
          <w:szCs w:val="16"/>
          <w:bdr w:val="none" w:sz="0" w:space="0" w:color="auto"/>
          <w:lang w:eastAsia="es-ES"/>
        </w:rPr>
        <w:t xml:space="preserve"> Rodríguez v. Honduras</w:t>
      </w:r>
      <w:r w:rsidRPr="00736447">
        <w:rPr>
          <w:rFonts w:asciiTheme="majorHAnsi" w:eastAsia="Times New Roman" w:hAnsiTheme="majorHAnsi"/>
          <w:bCs/>
          <w:color w:val="000000"/>
          <w:sz w:val="16"/>
          <w:szCs w:val="16"/>
          <w:bdr w:val="none" w:sz="0" w:space="0" w:color="auto"/>
          <w:lang w:eastAsia="es-ES"/>
        </w:rPr>
        <w:t>. Judgment of July 29, 1988</w:t>
      </w:r>
      <w:r w:rsidRPr="00736447">
        <w:rPr>
          <w:rFonts w:ascii="Cambria" w:hAnsi="Cambria"/>
          <w:sz w:val="16"/>
          <w:szCs w:val="16"/>
        </w:rPr>
        <w:t xml:space="preserve">, para. 177; </w:t>
      </w:r>
      <w:r w:rsidRPr="00736447">
        <w:rPr>
          <w:rFonts w:asciiTheme="majorHAnsi" w:eastAsia="Times New Roman" w:hAnsiTheme="majorHAnsi"/>
          <w:bCs/>
          <w:i/>
          <w:color w:val="000000"/>
          <w:sz w:val="16"/>
          <w:szCs w:val="16"/>
          <w:bdr w:val="none" w:sz="0" w:space="0" w:color="auto"/>
          <w:lang w:eastAsia="es-ES"/>
        </w:rPr>
        <w:t xml:space="preserve">Case of Zambrano </w:t>
      </w:r>
      <w:proofErr w:type="spellStart"/>
      <w:r w:rsidRPr="00736447">
        <w:rPr>
          <w:rFonts w:asciiTheme="majorHAnsi" w:eastAsia="Times New Roman" w:hAnsiTheme="majorHAnsi"/>
          <w:bCs/>
          <w:i/>
          <w:color w:val="000000"/>
          <w:sz w:val="16"/>
          <w:szCs w:val="16"/>
          <w:bdr w:val="none" w:sz="0" w:space="0" w:color="auto"/>
          <w:lang w:eastAsia="es-ES"/>
        </w:rPr>
        <w:t>Vélez</w:t>
      </w:r>
      <w:proofErr w:type="spellEnd"/>
      <w:r w:rsidRPr="00736447">
        <w:rPr>
          <w:rFonts w:asciiTheme="majorHAnsi" w:eastAsia="Times New Roman" w:hAnsiTheme="majorHAnsi"/>
          <w:bCs/>
          <w:i/>
          <w:color w:val="000000"/>
          <w:sz w:val="16"/>
          <w:szCs w:val="16"/>
          <w:bdr w:val="none" w:sz="0" w:space="0" w:color="auto"/>
          <w:lang w:eastAsia="es-ES"/>
        </w:rPr>
        <w:t xml:space="preserve"> et al</w:t>
      </w:r>
      <w:r w:rsidRPr="00736447">
        <w:rPr>
          <w:rFonts w:asciiTheme="majorHAnsi" w:eastAsia="Times New Roman" w:hAnsiTheme="majorHAnsi"/>
          <w:bCs/>
          <w:color w:val="000000"/>
          <w:sz w:val="16"/>
          <w:szCs w:val="16"/>
          <w:bdr w:val="none" w:sz="0" w:space="0" w:color="auto"/>
          <w:lang w:eastAsia="es-ES"/>
        </w:rPr>
        <w:t>. Judgment of July 4, 2007</w:t>
      </w:r>
      <w:r w:rsidRPr="00736447">
        <w:rPr>
          <w:rFonts w:ascii="Cambria" w:hAnsi="Cambria"/>
          <w:sz w:val="16"/>
          <w:szCs w:val="16"/>
        </w:rPr>
        <w:t>, para. 120.</w:t>
      </w:r>
    </w:p>
  </w:footnote>
  <w:footnote w:id="162">
    <w:p w14:paraId="387B2E6C" w14:textId="7457B02D" w:rsidR="00E966C2" w:rsidRPr="001A4533" w:rsidRDefault="00E966C2" w:rsidP="001A4533">
      <w:pPr>
        <w:tabs>
          <w:tab w:val="left" w:pos="360"/>
          <w:tab w:val="left" w:pos="720"/>
          <w:tab w:val="left" w:pos="900"/>
          <w:tab w:val="left" w:pos="1080"/>
        </w:tabs>
        <w:jc w:val="both"/>
        <w:rPr>
          <w:rFonts w:ascii="Cambria" w:eastAsia="Cambria" w:hAnsi="Cambria" w:cs="Cambria"/>
          <w:sz w:val="16"/>
          <w:szCs w:val="16"/>
        </w:rPr>
      </w:pPr>
      <w:r w:rsidRPr="00736447">
        <w:rPr>
          <w:rFonts w:ascii="Cambria" w:hAnsi="Cambria"/>
          <w:sz w:val="16"/>
          <w:szCs w:val="16"/>
          <w:vertAlign w:val="superscript"/>
        </w:rPr>
        <w:footnoteRef/>
      </w:r>
      <w:r w:rsidRPr="00736447">
        <w:rPr>
          <w:rFonts w:ascii="Cambria" w:eastAsia="Cambria" w:hAnsi="Cambria" w:cs="Cambria"/>
          <w:sz w:val="16"/>
          <w:szCs w:val="16"/>
        </w:rPr>
        <w:t xml:space="preserve"> </w:t>
      </w:r>
      <w:r w:rsidRPr="00736447">
        <w:rPr>
          <w:rFonts w:ascii="Cambria" w:hAnsi="Cambria"/>
          <w:sz w:val="16"/>
          <w:szCs w:val="16"/>
        </w:rPr>
        <w:t xml:space="preserve">I/A Court H.R., </w:t>
      </w:r>
      <w:r w:rsidRPr="00736447">
        <w:rPr>
          <w:rFonts w:asciiTheme="majorHAnsi" w:eastAsia="Times New Roman" w:hAnsiTheme="majorHAnsi"/>
          <w:bCs/>
          <w:i/>
          <w:color w:val="000000"/>
          <w:sz w:val="16"/>
          <w:szCs w:val="16"/>
          <w:bdr w:val="none" w:sz="0" w:space="0" w:color="auto"/>
          <w:lang w:eastAsia="es-ES"/>
        </w:rPr>
        <w:t xml:space="preserve">Case of </w:t>
      </w:r>
      <w:proofErr w:type="spellStart"/>
      <w:r w:rsidRPr="00736447">
        <w:rPr>
          <w:rFonts w:asciiTheme="majorHAnsi" w:eastAsia="Times New Roman" w:hAnsiTheme="majorHAnsi"/>
          <w:bCs/>
          <w:i/>
          <w:color w:val="000000"/>
          <w:sz w:val="16"/>
          <w:szCs w:val="16"/>
          <w:bdr w:val="none" w:sz="0" w:space="0" w:color="auto"/>
          <w:lang w:eastAsia="es-ES"/>
        </w:rPr>
        <w:t>García</w:t>
      </w:r>
      <w:proofErr w:type="spellEnd"/>
      <w:r w:rsidRPr="00736447">
        <w:rPr>
          <w:rFonts w:asciiTheme="majorHAnsi" w:eastAsia="Times New Roman" w:hAnsiTheme="majorHAnsi"/>
          <w:bCs/>
          <w:i/>
          <w:color w:val="000000"/>
          <w:sz w:val="16"/>
          <w:szCs w:val="16"/>
          <w:bdr w:val="none" w:sz="0" w:space="0" w:color="auto"/>
          <w:lang w:eastAsia="es-ES"/>
        </w:rPr>
        <w:t xml:space="preserve"> Prieto et al.</w:t>
      </w:r>
      <w:r w:rsidRPr="00736447">
        <w:rPr>
          <w:rFonts w:asciiTheme="majorHAnsi" w:eastAsia="Times New Roman" w:hAnsiTheme="majorHAnsi"/>
          <w:bCs/>
          <w:color w:val="000000"/>
          <w:sz w:val="16"/>
          <w:szCs w:val="16"/>
          <w:bdr w:val="none" w:sz="0" w:space="0" w:color="auto"/>
          <w:lang w:eastAsia="es-ES"/>
        </w:rPr>
        <w:t xml:space="preserve"> Judgment of November 20, 2007</w:t>
      </w:r>
      <w:r w:rsidRPr="00736447">
        <w:rPr>
          <w:rFonts w:ascii="Cambria" w:eastAsia="Cambria" w:hAnsi="Cambria" w:cs="Cambria"/>
          <w:sz w:val="16"/>
          <w:szCs w:val="16"/>
        </w:rPr>
        <w:t xml:space="preserve">, para. </w:t>
      </w:r>
      <w:r w:rsidRPr="001A4533">
        <w:rPr>
          <w:rFonts w:ascii="Cambria" w:eastAsia="Cambria" w:hAnsi="Cambria" w:cs="Cambria"/>
          <w:sz w:val="16"/>
          <w:szCs w:val="16"/>
        </w:rPr>
        <w:t xml:space="preserve">101.  </w:t>
      </w:r>
    </w:p>
  </w:footnote>
  <w:footnote w:id="163">
    <w:p w14:paraId="1648C048" w14:textId="419693A6" w:rsidR="00E966C2" w:rsidRPr="00736447" w:rsidRDefault="00E966C2" w:rsidP="001A4533">
      <w:pPr>
        <w:jc w:val="both"/>
        <w:rPr>
          <w:rFonts w:asciiTheme="majorHAnsi" w:eastAsia="Times New Roman" w:hAnsiTheme="majorHAnsi"/>
          <w:sz w:val="16"/>
          <w:szCs w:val="16"/>
          <w:bdr w:val="none" w:sz="0" w:space="0" w:color="auto"/>
          <w:lang w:eastAsia="es-ES"/>
        </w:rPr>
      </w:pPr>
      <w:r w:rsidRPr="00736447">
        <w:rPr>
          <w:rStyle w:val="FootnoteReference"/>
          <w:rFonts w:ascii="Cambria" w:hAnsi="Cambria"/>
          <w:sz w:val="16"/>
          <w:szCs w:val="16"/>
        </w:rPr>
        <w:footnoteRef/>
      </w:r>
      <w:r w:rsidRPr="001A4533">
        <w:rPr>
          <w:rFonts w:ascii="Cambria" w:hAnsi="Cambria"/>
          <w:sz w:val="16"/>
          <w:szCs w:val="16"/>
        </w:rPr>
        <w:t xml:space="preserve"> IACHR. </w:t>
      </w:r>
      <w:r w:rsidRPr="00BE64BA">
        <w:rPr>
          <w:rFonts w:ascii="Cambria" w:hAnsi="Cambria"/>
          <w:sz w:val="16"/>
          <w:szCs w:val="16"/>
          <w:lang w:val="pt-BR"/>
        </w:rPr>
        <w:t xml:space="preserve">Report No. 25/09 </w:t>
      </w:r>
      <w:r w:rsidRPr="00BE64BA">
        <w:rPr>
          <w:rFonts w:asciiTheme="majorHAnsi" w:hAnsiTheme="majorHAnsi"/>
          <w:sz w:val="16"/>
          <w:szCs w:val="16"/>
          <w:lang w:val="pt-BR"/>
        </w:rPr>
        <w:t xml:space="preserve">Merits (Sebastião Camargo Filho) Brazil, March 19, 2009, para. </w:t>
      </w:r>
      <w:r w:rsidRPr="00736447">
        <w:rPr>
          <w:rFonts w:asciiTheme="majorHAnsi" w:hAnsiTheme="majorHAnsi"/>
          <w:sz w:val="16"/>
          <w:szCs w:val="16"/>
        </w:rPr>
        <w:t xml:space="preserve">109; </w:t>
      </w:r>
      <w:r w:rsidRPr="00736447">
        <w:rPr>
          <w:rFonts w:asciiTheme="majorHAnsi" w:hAnsiTheme="majorHAnsi" w:cs="Arial"/>
          <w:sz w:val="16"/>
          <w:szCs w:val="16"/>
        </w:rPr>
        <w:t xml:space="preserve">I/A Court H.R., </w:t>
      </w:r>
      <w:r w:rsidRPr="00736447">
        <w:rPr>
          <w:rFonts w:asciiTheme="majorHAnsi" w:eastAsia="Times New Roman" w:hAnsiTheme="majorHAnsi"/>
          <w:bCs/>
          <w:i/>
          <w:color w:val="000000"/>
          <w:sz w:val="16"/>
          <w:szCs w:val="16"/>
          <w:bdr w:val="none" w:sz="0" w:space="0" w:color="auto"/>
          <w:lang w:eastAsia="es-ES"/>
        </w:rPr>
        <w:t>Case of the “Street Children” (</w:t>
      </w:r>
      <w:proofErr w:type="spellStart"/>
      <w:r w:rsidRPr="00736447">
        <w:rPr>
          <w:rFonts w:asciiTheme="majorHAnsi" w:eastAsia="Times New Roman" w:hAnsiTheme="majorHAnsi"/>
          <w:bCs/>
          <w:i/>
          <w:color w:val="000000"/>
          <w:sz w:val="16"/>
          <w:szCs w:val="16"/>
          <w:bdr w:val="none" w:sz="0" w:space="0" w:color="auto"/>
          <w:lang w:eastAsia="es-ES"/>
        </w:rPr>
        <w:t>Villagrán</w:t>
      </w:r>
      <w:proofErr w:type="spellEnd"/>
      <w:r w:rsidRPr="00736447">
        <w:rPr>
          <w:rFonts w:asciiTheme="majorHAnsi" w:eastAsia="Times New Roman" w:hAnsiTheme="majorHAnsi"/>
          <w:bCs/>
          <w:i/>
          <w:color w:val="000000"/>
          <w:sz w:val="16"/>
          <w:szCs w:val="16"/>
          <w:bdr w:val="none" w:sz="0" w:space="0" w:color="auto"/>
          <w:lang w:eastAsia="es-ES"/>
        </w:rPr>
        <w:t>-Morales et al.)</w:t>
      </w:r>
      <w:r w:rsidRPr="00736447">
        <w:rPr>
          <w:rFonts w:asciiTheme="majorHAnsi" w:eastAsia="Times New Roman" w:hAnsiTheme="majorHAnsi"/>
          <w:bCs/>
          <w:color w:val="000000"/>
          <w:sz w:val="16"/>
          <w:szCs w:val="16"/>
          <w:bdr w:val="none" w:sz="0" w:space="0" w:color="auto"/>
          <w:lang w:eastAsia="es-ES"/>
        </w:rPr>
        <w:t>. Judgment of November 19, 1999</w:t>
      </w:r>
      <w:r w:rsidRPr="00736447">
        <w:rPr>
          <w:rFonts w:asciiTheme="majorHAnsi" w:hAnsiTheme="majorHAnsi" w:cs="Arial"/>
          <w:sz w:val="16"/>
          <w:szCs w:val="16"/>
        </w:rPr>
        <w:t>, para. 230;</w:t>
      </w:r>
      <w:r w:rsidRPr="00736447">
        <w:rPr>
          <w:rFonts w:asciiTheme="majorHAnsi" w:hAnsiTheme="majorHAnsi"/>
          <w:spacing w:val="-4"/>
          <w:sz w:val="16"/>
          <w:szCs w:val="16"/>
        </w:rPr>
        <w:t xml:space="preserve"> </w:t>
      </w:r>
      <w:r w:rsidRPr="00736447">
        <w:rPr>
          <w:rFonts w:asciiTheme="majorHAnsi" w:eastAsia="Times New Roman" w:hAnsiTheme="majorHAnsi"/>
          <w:bCs/>
          <w:i/>
          <w:color w:val="000000"/>
          <w:sz w:val="16"/>
          <w:szCs w:val="16"/>
          <w:bdr w:val="none" w:sz="0" w:space="0" w:color="auto"/>
          <w:lang w:eastAsia="es-ES"/>
        </w:rPr>
        <w:t>Case of J. v. Peru</w:t>
      </w:r>
      <w:r w:rsidRPr="00736447">
        <w:rPr>
          <w:rFonts w:asciiTheme="majorHAnsi" w:eastAsia="Times New Roman" w:hAnsiTheme="majorHAnsi"/>
          <w:bCs/>
          <w:color w:val="000000"/>
          <w:sz w:val="16"/>
          <w:szCs w:val="16"/>
          <w:bdr w:val="none" w:sz="0" w:space="0" w:color="auto"/>
          <w:lang w:eastAsia="es-ES"/>
        </w:rPr>
        <w:t>. Judgment of November 27, 2013</w:t>
      </w:r>
      <w:r w:rsidRPr="00736447">
        <w:rPr>
          <w:rFonts w:asciiTheme="majorHAnsi" w:hAnsiTheme="majorHAnsi"/>
          <w:sz w:val="16"/>
          <w:szCs w:val="16"/>
        </w:rPr>
        <w:t xml:space="preserve">, para. </w:t>
      </w:r>
      <w:r w:rsidRPr="00736447">
        <w:rPr>
          <w:rFonts w:asciiTheme="majorHAnsi" w:hAnsiTheme="majorHAnsi"/>
          <w:spacing w:val="-4"/>
          <w:sz w:val="16"/>
          <w:szCs w:val="16"/>
        </w:rPr>
        <w:t xml:space="preserve">344 (citing </w:t>
      </w:r>
      <w:r w:rsidRPr="00736447">
        <w:rPr>
          <w:rFonts w:asciiTheme="majorHAnsi" w:eastAsia="Times New Roman" w:hAnsiTheme="majorHAnsi"/>
          <w:bCs/>
          <w:i/>
          <w:color w:val="000000"/>
          <w:sz w:val="16"/>
          <w:szCs w:val="16"/>
          <w:bdr w:val="none" w:sz="0" w:space="0" w:color="auto"/>
          <w:lang w:eastAsia="es-ES"/>
        </w:rPr>
        <w:t>Case of Juan Humberto Sánchez</w:t>
      </w:r>
      <w:r w:rsidRPr="00736447">
        <w:rPr>
          <w:rFonts w:asciiTheme="majorHAnsi" w:eastAsia="Times New Roman" w:hAnsiTheme="majorHAnsi"/>
          <w:bCs/>
          <w:color w:val="000000"/>
          <w:sz w:val="16"/>
          <w:szCs w:val="16"/>
          <w:bdr w:val="none" w:sz="0" w:space="0" w:color="auto"/>
          <w:lang w:eastAsia="es-ES"/>
        </w:rPr>
        <w:t>. Judgment of June 7, 2003</w:t>
      </w:r>
      <w:r w:rsidRPr="00736447">
        <w:rPr>
          <w:rFonts w:asciiTheme="majorHAnsi" w:hAnsiTheme="majorHAnsi"/>
          <w:spacing w:val="-4"/>
          <w:sz w:val="16"/>
          <w:szCs w:val="16"/>
        </w:rPr>
        <w:t>, para. 128).</w:t>
      </w:r>
    </w:p>
  </w:footnote>
  <w:footnote w:id="164">
    <w:p w14:paraId="623697DC" w14:textId="5E1F9FB6" w:rsidR="00E966C2" w:rsidRPr="00736447" w:rsidRDefault="00E966C2" w:rsidP="001A4533">
      <w:pPr>
        <w:jc w:val="both"/>
        <w:rPr>
          <w:rFonts w:eastAsia="Times New Roman"/>
          <w:sz w:val="20"/>
          <w:szCs w:val="20"/>
          <w:bdr w:val="none" w:sz="0" w:space="0" w:color="auto"/>
          <w:lang w:eastAsia="es-ES"/>
        </w:rPr>
      </w:pPr>
      <w:r w:rsidRPr="00736447">
        <w:rPr>
          <w:rStyle w:val="FootnoteReference"/>
          <w:rFonts w:asciiTheme="majorHAnsi" w:hAnsiTheme="majorHAnsi"/>
          <w:sz w:val="16"/>
          <w:szCs w:val="16"/>
        </w:rPr>
        <w:footnoteRef/>
      </w:r>
      <w:r w:rsidRPr="00736447">
        <w:rPr>
          <w:rFonts w:asciiTheme="majorHAnsi" w:hAnsiTheme="majorHAnsi"/>
          <w:sz w:val="16"/>
          <w:szCs w:val="16"/>
        </w:rPr>
        <w:t xml:space="preserve"> </w:t>
      </w:r>
      <w:r w:rsidRPr="00736447">
        <w:rPr>
          <w:rFonts w:asciiTheme="majorHAnsi" w:eastAsia="Times New Roman" w:hAnsiTheme="majorHAnsi"/>
          <w:bCs/>
          <w:i/>
          <w:color w:val="000000"/>
          <w:sz w:val="16"/>
          <w:szCs w:val="16"/>
          <w:bdr w:val="none" w:sz="0" w:space="0" w:color="auto"/>
          <w:lang w:eastAsia="es-ES"/>
        </w:rPr>
        <w:t xml:space="preserve">Case of Vargas </w:t>
      </w:r>
      <w:proofErr w:type="spellStart"/>
      <w:r w:rsidRPr="00736447">
        <w:rPr>
          <w:rFonts w:asciiTheme="majorHAnsi" w:eastAsia="Times New Roman" w:hAnsiTheme="majorHAnsi"/>
          <w:bCs/>
          <w:i/>
          <w:color w:val="000000"/>
          <w:sz w:val="16"/>
          <w:szCs w:val="16"/>
          <w:bdr w:val="none" w:sz="0" w:space="0" w:color="auto"/>
          <w:lang w:eastAsia="es-ES"/>
        </w:rPr>
        <w:t>Areco</w:t>
      </w:r>
      <w:proofErr w:type="spellEnd"/>
      <w:r w:rsidRPr="00736447">
        <w:rPr>
          <w:rFonts w:asciiTheme="majorHAnsi" w:eastAsia="Times New Roman" w:hAnsiTheme="majorHAnsi"/>
          <w:bCs/>
          <w:i/>
          <w:color w:val="000000"/>
          <w:sz w:val="16"/>
          <w:szCs w:val="16"/>
          <w:bdr w:val="none" w:sz="0" w:space="0" w:color="auto"/>
          <w:lang w:eastAsia="es-ES"/>
        </w:rPr>
        <w:t xml:space="preserve"> v. Paraguay</w:t>
      </w:r>
      <w:r w:rsidRPr="00736447">
        <w:rPr>
          <w:rFonts w:asciiTheme="majorHAnsi" w:eastAsia="Times New Roman" w:hAnsiTheme="majorHAnsi"/>
          <w:bCs/>
          <w:color w:val="000000"/>
          <w:sz w:val="16"/>
          <w:szCs w:val="16"/>
          <w:bdr w:val="none" w:sz="0" w:space="0" w:color="auto"/>
          <w:lang w:eastAsia="es-ES"/>
        </w:rPr>
        <w:t>. Judgment of September 26, 2006</w:t>
      </w:r>
      <w:r w:rsidRPr="00736447">
        <w:rPr>
          <w:rStyle w:val="FootnoteTextChar"/>
          <w:rFonts w:asciiTheme="majorHAnsi" w:hAnsiTheme="majorHAnsi"/>
          <w:color w:val="auto"/>
          <w:sz w:val="16"/>
          <w:szCs w:val="16"/>
        </w:rPr>
        <w:t xml:space="preserve">, para. 102; </w:t>
      </w:r>
      <w:r w:rsidRPr="00736447">
        <w:rPr>
          <w:rFonts w:asciiTheme="majorHAnsi" w:eastAsia="Times New Roman" w:hAnsiTheme="majorHAnsi"/>
          <w:bCs/>
          <w:i/>
          <w:color w:val="000000"/>
          <w:sz w:val="16"/>
          <w:szCs w:val="16"/>
          <w:bdr w:val="none" w:sz="0" w:space="0" w:color="auto"/>
          <w:lang w:eastAsia="es-ES"/>
        </w:rPr>
        <w:t xml:space="preserve">Case of the </w:t>
      </w:r>
      <w:proofErr w:type="spellStart"/>
      <w:r w:rsidRPr="00736447">
        <w:rPr>
          <w:rFonts w:asciiTheme="majorHAnsi" w:eastAsia="Times New Roman" w:hAnsiTheme="majorHAnsi"/>
          <w:bCs/>
          <w:i/>
          <w:color w:val="000000"/>
          <w:sz w:val="16"/>
          <w:szCs w:val="16"/>
          <w:bdr w:val="none" w:sz="0" w:space="0" w:color="auto"/>
          <w:lang w:eastAsia="es-ES"/>
        </w:rPr>
        <w:t>Ituango</w:t>
      </w:r>
      <w:proofErr w:type="spellEnd"/>
      <w:r w:rsidRPr="00736447">
        <w:rPr>
          <w:rFonts w:asciiTheme="majorHAnsi" w:eastAsia="Times New Roman" w:hAnsiTheme="majorHAnsi"/>
          <w:bCs/>
          <w:i/>
          <w:color w:val="000000"/>
          <w:sz w:val="16"/>
          <w:szCs w:val="16"/>
          <w:bdr w:val="none" w:sz="0" w:space="0" w:color="auto"/>
          <w:lang w:eastAsia="es-ES"/>
        </w:rPr>
        <w:t xml:space="preserve"> Massacres v. Colombia</w:t>
      </w:r>
      <w:r w:rsidRPr="00736447">
        <w:rPr>
          <w:rFonts w:asciiTheme="majorHAnsi" w:eastAsia="Times New Roman" w:hAnsiTheme="majorHAnsi"/>
          <w:bCs/>
          <w:color w:val="000000"/>
          <w:sz w:val="16"/>
          <w:szCs w:val="16"/>
          <w:bdr w:val="none" w:sz="0" w:space="0" w:color="auto"/>
          <w:lang w:eastAsia="es-ES"/>
        </w:rPr>
        <w:t>. Judgment of July 1, 2006</w:t>
      </w:r>
      <w:r w:rsidRPr="00736447">
        <w:rPr>
          <w:rStyle w:val="FootnoteTextChar"/>
          <w:rFonts w:asciiTheme="majorHAnsi" w:hAnsiTheme="majorHAnsi"/>
          <w:color w:val="auto"/>
          <w:sz w:val="16"/>
          <w:szCs w:val="16"/>
        </w:rPr>
        <w:t xml:space="preserve">, para. 289; </w:t>
      </w:r>
      <w:r w:rsidRPr="00736447">
        <w:rPr>
          <w:rFonts w:asciiTheme="majorHAnsi" w:eastAsia="Times New Roman" w:hAnsiTheme="majorHAnsi"/>
          <w:bCs/>
          <w:i/>
          <w:color w:val="000000"/>
          <w:sz w:val="16"/>
          <w:szCs w:val="16"/>
          <w:bdr w:val="none" w:sz="0" w:space="0" w:color="auto"/>
          <w:lang w:eastAsia="es-ES"/>
        </w:rPr>
        <w:t xml:space="preserve">Case of </w:t>
      </w:r>
      <w:proofErr w:type="spellStart"/>
      <w:r w:rsidRPr="00736447">
        <w:rPr>
          <w:rFonts w:asciiTheme="majorHAnsi" w:eastAsia="Times New Roman" w:hAnsiTheme="majorHAnsi"/>
          <w:bCs/>
          <w:i/>
          <w:color w:val="000000"/>
          <w:sz w:val="16"/>
          <w:szCs w:val="16"/>
          <w:bdr w:val="none" w:sz="0" w:space="0" w:color="auto"/>
          <w:lang w:eastAsia="es-ES"/>
        </w:rPr>
        <w:t>Baldeón</w:t>
      </w:r>
      <w:proofErr w:type="spellEnd"/>
      <w:r w:rsidRPr="00736447">
        <w:rPr>
          <w:rFonts w:asciiTheme="majorHAnsi" w:eastAsia="Times New Roman" w:hAnsiTheme="majorHAnsi"/>
          <w:bCs/>
          <w:i/>
          <w:color w:val="000000"/>
          <w:sz w:val="16"/>
          <w:szCs w:val="16"/>
          <w:bdr w:val="none" w:sz="0" w:space="0" w:color="auto"/>
          <w:lang w:eastAsia="es-ES"/>
        </w:rPr>
        <w:t xml:space="preserve"> </w:t>
      </w:r>
      <w:proofErr w:type="spellStart"/>
      <w:r w:rsidRPr="00736447">
        <w:rPr>
          <w:rFonts w:asciiTheme="majorHAnsi" w:eastAsia="Times New Roman" w:hAnsiTheme="majorHAnsi"/>
          <w:bCs/>
          <w:i/>
          <w:color w:val="000000"/>
          <w:sz w:val="16"/>
          <w:szCs w:val="16"/>
          <w:bdr w:val="none" w:sz="0" w:space="0" w:color="auto"/>
          <w:lang w:eastAsia="es-ES"/>
        </w:rPr>
        <w:t>García</w:t>
      </w:r>
      <w:proofErr w:type="spellEnd"/>
      <w:r w:rsidRPr="00736447">
        <w:rPr>
          <w:rFonts w:asciiTheme="majorHAnsi" w:eastAsia="Times New Roman" w:hAnsiTheme="majorHAnsi"/>
          <w:bCs/>
          <w:i/>
          <w:color w:val="000000"/>
          <w:sz w:val="16"/>
          <w:szCs w:val="16"/>
          <w:bdr w:val="none" w:sz="0" w:space="0" w:color="auto"/>
          <w:lang w:eastAsia="es-ES"/>
        </w:rPr>
        <w:t xml:space="preserve"> v. Peru</w:t>
      </w:r>
      <w:r w:rsidRPr="00736447">
        <w:rPr>
          <w:rFonts w:asciiTheme="majorHAnsi" w:eastAsia="Times New Roman" w:hAnsiTheme="majorHAnsi"/>
          <w:bCs/>
          <w:color w:val="000000"/>
          <w:sz w:val="16"/>
          <w:szCs w:val="16"/>
          <w:bdr w:val="none" w:sz="0" w:space="0" w:color="auto"/>
          <w:lang w:eastAsia="es-ES"/>
        </w:rPr>
        <w:t>. Judgment of April 6, 2006</w:t>
      </w:r>
      <w:r w:rsidRPr="00736447">
        <w:rPr>
          <w:rStyle w:val="FootnoteTextChar"/>
          <w:rFonts w:asciiTheme="majorHAnsi" w:hAnsiTheme="majorHAnsi"/>
          <w:color w:val="auto"/>
          <w:sz w:val="16"/>
          <w:szCs w:val="16"/>
        </w:rPr>
        <w:t>, para. 151.</w:t>
      </w:r>
    </w:p>
  </w:footnote>
  <w:footnote w:id="165">
    <w:p w14:paraId="3D1F1F53" w14:textId="4EF9C2D0" w:rsidR="00E966C2" w:rsidRPr="00736447" w:rsidRDefault="00E966C2" w:rsidP="001A4533">
      <w:pPr>
        <w:jc w:val="both"/>
        <w:rPr>
          <w:rFonts w:eastAsia="Times New Roman"/>
          <w:sz w:val="20"/>
          <w:szCs w:val="20"/>
          <w:bdr w:val="none" w:sz="0" w:space="0" w:color="auto"/>
          <w:lang w:eastAsia="es-ES"/>
        </w:rPr>
      </w:pPr>
      <w:r w:rsidRPr="00736447">
        <w:rPr>
          <w:rStyle w:val="FootnoteReference"/>
          <w:rFonts w:ascii="Cambria" w:hAnsi="Cambria"/>
          <w:sz w:val="16"/>
          <w:szCs w:val="16"/>
        </w:rPr>
        <w:footnoteRef/>
      </w:r>
      <w:r w:rsidRPr="00736447">
        <w:rPr>
          <w:rFonts w:ascii="Cambria" w:hAnsi="Cambria"/>
          <w:sz w:val="16"/>
          <w:szCs w:val="16"/>
        </w:rPr>
        <w:t xml:space="preserve"> </w:t>
      </w:r>
      <w:r w:rsidRPr="00736447">
        <w:rPr>
          <w:rFonts w:ascii="Cambria" w:hAnsi="Cambria"/>
          <w:noProof/>
          <w:sz w:val="16"/>
          <w:szCs w:val="16"/>
        </w:rPr>
        <w:t xml:space="preserve">I/A Court </w:t>
      </w:r>
      <w:r w:rsidRPr="00736447">
        <w:rPr>
          <w:rFonts w:asciiTheme="majorHAnsi" w:hAnsiTheme="majorHAnsi"/>
          <w:noProof/>
          <w:sz w:val="16"/>
          <w:szCs w:val="16"/>
        </w:rPr>
        <w:t xml:space="preserve">H.R., </w:t>
      </w:r>
      <w:r w:rsidRPr="00736447">
        <w:rPr>
          <w:rFonts w:asciiTheme="majorHAnsi" w:eastAsia="Times New Roman" w:hAnsiTheme="majorHAnsi"/>
          <w:bCs/>
          <w:i/>
          <w:color w:val="000000"/>
          <w:sz w:val="16"/>
          <w:szCs w:val="16"/>
          <w:bdr w:val="none" w:sz="0" w:space="0" w:color="auto"/>
          <w:lang w:eastAsia="es-ES"/>
        </w:rPr>
        <w:t>Case of Valle Jaramillo et al. v. Colombia</w:t>
      </w:r>
      <w:r w:rsidRPr="00736447">
        <w:rPr>
          <w:rFonts w:asciiTheme="majorHAnsi" w:eastAsia="Times New Roman" w:hAnsiTheme="majorHAnsi"/>
          <w:bCs/>
          <w:color w:val="000000"/>
          <w:sz w:val="16"/>
          <w:szCs w:val="16"/>
          <w:bdr w:val="none" w:sz="0" w:space="0" w:color="auto"/>
          <w:lang w:eastAsia="es-ES"/>
        </w:rPr>
        <w:t>. Judgment of November 27, 2008</w:t>
      </w:r>
      <w:r w:rsidRPr="00736447">
        <w:rPr>
          <w:rFonts w:asciiTheme="majorHAnsi" w:hAnsiTheme="majorHAnsi"/>
          <w:noProof/>
          <w:sz w:val="16"/>
          <w:szCs w:val="16"/>
        </w:rPr>
        <w:t>,</w:t>
      </w:r>
      <w:r w:rsidRPr="00736447">
        <w:rPr>
          <w:rFonts w:ascii="Cambria" w:hAnsi="Cambria"/>
          <w:noProof/>
          <w:sz w:val="16"/>
          <w:szCs w:val="16"/>
        </w:rPr>
        <w:t xml:space="preserve"> para. 155.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7DF25" w14:textId="77777777" w:rsidR="00E966C2" w:rsidRDefault="00E966C2" w:rsidP="00D0446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588649D" w14:textId="77777777" w:rsidR="00E966C2" w:rsidRDefault="00E96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950C4" w14:textId="77777777" w:rsidR="00E966C2" w:rsidRDefault="00E966C2" w:rsidP="002C1641">
    <w:pPr>
      <w:pStyle w:val="Header"/>
      <w:tabs>
        <w:tab w:val="clear" w:pos="4320"/>
        <w:tab w:val="clear" w:pos="8640"/>
      </w:tabs>
      <w:jc w:val="center"/>
      <w:rPr>
        <w:sz w:val="22"/>
        <w:szCs w:val="22"/>
      </w:rPr>
    </w:pPr>
    <w:r>
      <w:rPr>
        <w:noProof/>
        <w:sz w:val="22"/>
        <w:szCs w:val="22"/>
        <w:lang w:val="es-UY" w:eastAsia="es-UY"/>
      </w:rPr>
      <w:drawing>
        <wp:inline distT="0" distB="0" distL="0" distR="0" wp14:anchorId="4A6343A0" wp14:editId="5D26408B">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50C2B13" w14:textId="77777777" w:rsidR="00E966C2" w:rsidRPr="00EC7D62" w:rsidRDefault="00815504" w:rsidP="002C1641">
    <w:pPr>
      <w:pStyle w:val="Header"/>
      <w:tabs>
        <w:tab w:val="clear" w:pos="4320"/>
        <w:tab w:val="clear" w:pos="8640"/>
      </w:tabs>
      <w:jc w:val="center"/>
      <w:rPr>
        <w:sz w:val="22"/>
        <w:szCs w:val="22"/>
      </w:rPr>
    </w:pPr>
    <w:r>
      <w:rPr>
        <w:sz w:val="22"/>
        <w:szCs w:val="22"/>
      </w:rPr>
      <w:pict w14:anchorId="1F86F229">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7B37FE0"/>
    <w:multiLevelType w:val="hybridMultilevel"/>
    <w:tmpl w:val="02DAAEF6"/>
    <w:lvl w:ilvl="0" w:tplc="844E2F8A">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40127D8"/>
    <w:multiLevelType w:val="hybridMultilevel"/>
    <w:tmpl w:val="31167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08793E"/>
    <w:multiLevelType w:val="hybridMultilevel"/>
    <w:tmpl w:val="9E964F4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1B68F9"/>
    <w:multiLevelType w:val="hybridMultilevel"/>
    <w:tmpl w:val="3CE0E556"/>
    <w:lvl w:ilvl="0" w:tplc="18921E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B66050"/>
    <w:multiLevelType w:val="hybridMultilevel"/>
    <w:tmpl w:val="E304D6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4F38BE"/>
    <w:multiLevelType w:val="hybridMultilevel"/>
    <w:tmpl w:val="33F6D05E"/>
    <w:lvl w:ilvl="0" w:tplc="8F367900">
      <w:start w:val="1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2A0BA1"/>
    <w:multiLevelType w:val="hybridMultilevel"/>
    <w:tmpl w:val="6B8E9E86"/>
    <w:lvl w:ilvl="0" w:tplc="B21693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3F310000"/>
    <w:multiLevelType w:val="hybridMultilevel"/>
    <w:tmpl w:val="FC96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88456B"/>
    <w:multiLevelType w:val="multilevel"/>
    <w:tmpl w:val="B310DD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2D85E8A"/>
    <w:multiLevelType w:val="hybridMultilevel"/>
    <w:tmpl w:val="1DB659DA"/>
    <w:lvl w:ilvl="0" w:tplc="40AA409A">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5D7D4B9D"/>
    <w:multiLevelType w:val="hybridMultilevel"/>
    <w:tmpl w:val="E7949874"/>
    <w:lvl w:ilvl="0" w:tplc="325A0D32">
      <w:start w:val="1"/>
      <w:numFmt w:val="decimal"/>
      <w:lvlText w:val="%1."/>
      <w:lvlJc w:val="left"/>
      <w:pPr>
        <w:ind w:left="720" w:hanging="360"/>
      </w:pPr>
      <w:rPr>
        <w:rFonts w:ascii="Cambria" w:hAnsi="Cambria"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nsid w:val="663976B6"/>
    <w:multiLevelType w:val="multilevel"/>
    <w:tmpl w:val="F8321D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5B56445"/>
    <w:multiLevelType w:val="hybridMultilevel"/>
    <w:tmpl w:val="87BA723C"/>
    <w:lvl w:ilvl="0" w:tplc="B5E0C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62"/>
  </w:num>
  <w:num w:numId="4">
    <w:abstractNumId w:val="24"/>
  </w:num>
  <w:num w:numId="5">
    <w:abstractNumId w:val="54"/>
  </w:num>
  <w:num w:numId="6">
    <w:abstractNumId w:val="31"/>
  </w:num>
  <w:num w:numId="7">
    <w:abstractNumId w:val="7"/>
  </w:num>
  <w:num w:numId="8">
    <w:abstractNumId w:val="19"/>
  </w:num>
  <w:num w:numId="9">
    <w:abstractNumId w:val="48"/>
  </w:num>
  <w:num w:numId="10">
    <w:abstractNumId w:val="0"/>
  </w:num>
  <w:num w:numId="11">
    <w:abstractNumId w:val="41"/>
  </w:num>
  <w:num w:numId="12">
    <w:abstractNumId w:val="43"/>
  </w:num>
  <w:num w:numId="13">
    <w:abstractNumId w:val="50"/>
  </w:num>
  <w:num w:numId="14">
    <w:abstractNumId w:val="1"/>
  </w:num>
  <w:num w:numId="15">
    <w:abstractNumId w:val="3"/>
  </w:num>
  <w:num w:numId="16">
    <w:abstractNumId w:val="8"/>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20"/>
  </w:num>
  <w:num w:numId="26">
    <w:abstractNumId w:val="21"/>
  </w:num>
  <w:num w:numId="27">
    <w:abstractNumId w:val="25"/>
  </w:num>
  <w:num w:numId="28">
    <w:abstractNumId w:val="26"/>
  </w:num>
  <w:num w:numId="29">
    <w:abstractNumId w:val="27"/>
  </w:num>
  <w:num w:numId="30">
    <w:abstractNumId w:val="30"/>
  </w:num>
  <w:num w:numId="31">
    <w:abstractNumId w:val="32"/>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4"/>
  </w:num>
  <w:num w:numId="40">
    <w:abstractNumId w:val="45"/>
  </w:num>
  <w:num w:numId="41">
    <w:abstractNumId w:val="53"/>
  </w:num>
  <w:num w:numId="42">
    <w:abstractNumId w:val="56"/>
  </w:num>
  <w:num w:numId="43">
    <w:abstractNumId w:val="57"/>
  </w:num>
  <w:num w:numId="44">
    <w:abstractNumId w:val="59"/>
  </w:num>
  <w:num w:numId="45">
    <w:abstractNumId w:val="61"/>
  </w:num>
  <w:num w:numId="46">
    <w:abstractNumId w:val="63"/>
  </w:num>
  <w:num w:numId="47">
    <w:abstractNumId w:val="64"/>
  </w:num>
  <w:num w:numId="48">
    <w:abstractNumId w:val="65"/>
  </w:num>
  <w:num w:numId="49">
    <w:abstractNumId w:val="66"/>
  </w:num>
  <w:num w:numId="50">
    <w:abstractNumId w:val="67"/>
  </w:num>
  <w:num w:numId="51">
    <w:abstractNumId w:val="23"/>
  </w:num>
  <w:num w:numId="52">
    <w:abstractNumId w:val="46"/>
  </w:num>
  <w:num w:numId="53">
    <w:abstractNumId w:val="58"/>
  </w:num>
  <w:num w:numId="54">
    <w:abstractNumId w:val="51"/>
  </w:num>
  <w:num w:numId="55">
    <w:abstractNumId w:val="29"/>
  </w:num>
  <w:num w:numId="56">
    <w:abstractNumId w:val="18"/>
  </w:num>
  <w:num w:numId="57">
    <w:abstractNumId w:val="52"/>
  </w:num>
  <w:num w:numId="58">
    <w:abstractNumId w:val="22"/>
  </w:num>
  <w:num w:numId="59">
    <w:abstractNumId w:val="6"/>
  </w:num>
  <w:num w:numId="60">
    <w:abstractNumId w:val="49"/>
  </w:num>
  <w:num w:numId="61">
    <w:abstractNumId w:val="9"/>
  </w:num>
  <w:num w:numId="62">
    <w:abstractNumId w:val="2"/>
  </w:num>
  <w:num w:numId="63">
    <w:abstractNumId w:val="47"/>
  </w:num>
  <w:num w:numId="64">
    <w:abstractNumId w:val="28"/>
  </w:num>
  <w:num w:numId="65">
    <w:abstractNumId w:val="33"/>
  </w:num>
  <w:num w:numId="66">
    <w:abstractNumId w:val="42"/>
  </w:num>
  <w:num w:numId="67">
    <w:abstractNumId w:val="55"/>
  </w:num>
  <w:num w:numId="68">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4B15"/>
    <w:rsid w:val="000070D7"/>
    <w:rsid w:val="00007889"/>
    <w:rsid w:val="000111A8"/>
    <w:rsid w:val="0001788C"/>
    <w:rsid w:val="00036A8A"/>
    <w:rsid w:val="00040C3A"/>
    <w:rsid w:val="0004538A"/>
    <w:rsid w:val="00045C23"/>
    <w:rsid w:val="0005548C"/>
    <w:rsid w:val="00057988"/>
    <w:rsid w:val="00057A54"/>
    <w:rsid w:val="000639C0"/>
    <w:rsid w:val="000639DA"/>
    <w:rsid w:val="00070F3A"/>
    <w:rsid w:val="000716C5"/>
    <w:rsid w:val="00075E23"/>
    <w:rsid w:val="0008062E"/>
    <w:rsid w:val="00085DB9"/>
    <w:rsid w:val="00086EF9"/>
    <w:rsid w:val="00092F32"/>
    <w:rsid w:val="0009344A"/>
    <w:rsid w:val="000A32C0"/>
    <w:rsid w:val="000A4B93"/>
    <w:rsid w:val="000A575F"/>
    <w:rsid w:val="000B4689"/>
    <w:rsid w:val="000D10DB"/>
    <w:rsid w:val="000D5CE6"/>
    <w:rsid w:val="000E15DA"/>
    <w:rsid w:val="000F6AD2"/>
    <w:rsid w:val="001022ED"/>
    <w:rsid w:val="00106716"/>
    <w:rsid w:val="0013104F"/>
    <w:rsid w:val="0013338B"/>
    <w:rsid w:val="00137EBA"/>
    <w:rsid w:val="00140CA5"/>
    <w:rsid w:val="00145EDC"/>
    <w:rsid w:val="001532B8"/>
    <w:rsid w:val="00167A34"/>
    <w:rsid w:val="00167C6B"/>
    <w:rsid w:val="0018037F"/>
    <w:rsid w:val="00185D58"/>
    <w:rsid w:val="00195705"/>
    <w:rsid w:val="001A1AED"/>
    <w:rsid w:val="001A4533"/>
    <w:rsid w:val="001A5F27"/>
    <w:rsid w:val="001A7870"/>
    <w:rsid w:val="001B12F8"/>
    <w:rsid w:val="001C1B41"/>
    <w:rsid w:val="001C70AA"/>
    <w:rsid w:val="001D4402"/>
    <w:rsid w:val="001F0D4E"/>
    <w:rsid w:val="001F0F5F"/>
    <w:rsid w:val="002033A9"/>
    <w:rsid w:val="00210E0E"/>
    <w:rsid w:val="0021785E"/>
    <w:rsid w:val="002225FF"/>
    <w:rsid w:val="00243F1C"/>
    <w:rsid w:val="00247403"/>
    <w:rsid w:val="00247542"/>
    <w:rsid w:val="00257893"/>
    <w:rsid w:val="002659B9"/>
    <w:rsid w:val="00266092"/>
    <w:rsid w:val="00266B61"/>
    <w:rsid w:val="0026712A"/>
    <w:rsid w:val="002704DB"/>
    <w:rsid w:val="0027280F"/>
    <w:rsid w:val="00283F72"/>
    <w:rsid w:val="002A1109"/>
    <w:rsid w:val="002B12D1"/>
    <w:rsid w:val="002C1641"/>
    <w:rsid w:val="002C31E7"/>
    <w:rsid w:val="002C39C5"/>
    <w:rsid w:val="002D535B"/>
    <w:rsid w:val="002D7EA2"/>
    <w:rsid w:val="002E15DF"/>
    <w:rsid w:val="002E187C"/>
    <w:rsid w:val="002E370E"/>
    <w:rsid w:val="002E6E57"/>
    <w:rsid w:val="002F3881"/>
    <w:rsid w:val="002F7601"/>
    <w:rsid w:val="00301075"/>
    <w:rsid w:val="00302733"/>
    <w:rsid w:val="00310B3E"/>
    <w:rsid w:val="00311A4F"/>
    <w:rsid w:val="00313901"/>
    <w:rsid w:val="00314078"/>
    <w:rsid w:val="00316B96"/>
    <w:rsid w:val="00322450"/>
    <w:rsid w:val="003246B5"/>
    <w:rsid w:val="003300DC"/>
    <w:rsid w:val="0033169F"/>
    <w:rsid w:val="00333B09"/>
    <w:rsid w:val="00340E0A"/>
    <w:rsid w:val="003414AC"/>
    <w:rsid w:val="003521CC"/>
    <w:rsid w:val="00356185"/>
    <w:rsid w:val="00360380"/>
    <w:rsid w:val="00363854"/>
    <w:rsid w:val="003717EE"/>
    <w:rsid w:val="00386CF0"/>
    <w:rsid w:val="00387A0E"/>
    <w:rsid w:val="003B3B49"/>
    <w:rsid w:val="003C28DE"/>
    <w:rsid w:val="003C2E08"/>
    <w:rsid w:val="003C32BC"/>
    <w:rsid w:val="003D540B"/>
    <w:rsid w:val="003E5138"/>
    <w:rsid w:val="003F1BBF"/>
    <w:rsid w:val="003F3C22"/>
    <w:rsid w:val="00402045"/>
    <w:rsid w:val="0040234F"/>
    <w:rsid w:val="004165C2"/>
    <w:rsid w:val="004218F4"/>
    <w:rsid w:val="00427737"/>
    <w:rsid w:val="0043531F"/>
    <w:rsid w:val="004377CC"/>
    <w:rsid w:val="00440CC4"/>
    <w:rsid w:val="00447CA4"/>
    <w:rsid w:val="00450A4A"/>
    <w:rsid w:val="004666FB"/>
    <w:rsid w:val="00467B7E"/>
    <w:rsid w:val="004832F1"/>
    <w:rsid w:val="00486817"/>
    <w:rsid w:val="00487836"/>
    <w:rsid w:val="004935DA"/>
    <w:rsid w:val="0049419D"/>
    <w:rsid w:val="00494F36"/>
    <w:rsid w:val="004968B4"/>
    <w:rsid w:val="00497F4C"/>
    <w:rsid w:val="004A0AFC"/>
    <w:rsid w:val="004A3773"/>
    <w:rsid w:val="004A52CC"/>
    <w:rsid w:val="004A5F27"/>
    <w:rsid w:val="004B2762"/>
    <w:rsid w:val="004B2B7B"/>
    <w:rsid w:val="004B4D58"/>
    <w:rsid w:val="004B70B9"/>
    <w:rsid w:val="004B710D"/>
    <w:rsid w:val="004B7EB6"/>
    <w:rsid w:val="004C4B62"/>
    <w:rsid w:val="004D3A1B"/>
    <w:rsid w:val="004D40CD"/>
    <w:rsid w:val="004D4A80"/>
    <w:rsid w:val="004D6025"/>
    <w:rsid w:val="004D72BC"/>
    <w:rsid w:val="00501399"/>
    <w:rsid w:val="00503366"/>
    <w:rsid w:val="00507BC4"/>
    <w:rsid w:val="005128E4"/>
    <w:rsid w:val="00521BB1"/>
    <w:rsid w:val="005242AC"/>
    <w:rsid w:val="00525560"/>
    <w:rsid w:val="005310B9"/>
    <w:rsid w:val="005357A6"/>
    <w:rsid w:val="00544C49"/>
    <w:rsid w:val="0054685D"/>
    <w:rsid w:val="0055692C"/>
    <w:rsid w:val="005678C6"/>
    <w:rsid w:val="0057402A"/>
    <w:rsid w:val="00574227"/>
    <w:rsid w:val="005771D0"/>
    <w:rsid w:val="00584098"/>
    <w:rsid w:val="0058733E"/>
    <w:rsid w:val="0059191A"/>
    <w:rsid w:val="005921FF"/>
    <w:rsid w:val="00593AB3"/>
    <w:rsid w:val="0059573F"/>
    <w:rsid w:val="005A6D0E"/>
    <w:rsid w:val="005B222D"/>
    <w:rsid w:val="005B52B0"/>
    <w:rsid w:val="005B6806"/>
    <w:rsid w:val="005B7707"/>
    <w:rsid w:val="005C00F9"/>
    <w:rsid w:val="005C4225"/>
    <w:rsid w:val="005C6AA9"/>
    <w:rsid w:val="005E54D7"/>
    <w:rsid w:val="005F0F33"/>
    <w:rsid w:val="005F784F"/>
    <w:rsid w:val="00600DEB"/>
    <w:rsid w:val="00605330"/>
    <w:rsid w:val="006102B9"/>
    <w:rsid w:val="00613027"/>
    <w:rsid w:val="00615E48"/>
    <w:rsid w:val="00627C9F"/>
    <w:rsid w:val="006311DA"/>
    <w:rsid w:val="006311E9"/>
    <w:rsid w:val="00632354"/>
    <w:rsid w:val="006409F6"/>
    <w:rsid w:val="00642810"/>
    <w:rsid w:val="0064520C"/>
    <w:rsid w:val="00652333"/>
    <w:rsid w:val="00663BCA"/>
    <w:rsid w:val="0066772E"/>
    <w:rsid w:val="00671616"/>
    <w:rsid w:val="00671AF6"/>
    <w:rsid w:val="0068009E"/>
    <w:rsid w:val="00692457"/>
    <w:rsid w:val="0069402F"/>
    <w:rsid w:val="00695943"/>
    <w:rsid w:val="006A03BC"/>
    <w:rsid w:val="006A17D2"/>
    <w:rsid w:val="006A73E6"/>
    <w:rsid w:val="006B2D5C"/>
    <w:rsid w:val="006C2EF3"/>
    <w:rsid w:val="006C4EB1"/>
    <w:rsid w:val="006D39A5"/>
    <w:rsid w:val="006D7265"/>
    <w:rsid w:val="006E0166"/>
    <w:rsid w:val="006E05E4"/>
    <w:rsid w:val="006E7B34"/>
    <w:rsid w:val="00701B24"/>
    <w:rsid w:val="0071744F"/>
    <w:rsid w:val="007177B7"/>
    <w:rsid w:val="007271F4"/>
    <w:rsid w:val="0072755D"/>
    <w:rsid w:val="0073281D"/>
    <w:rsid w:val="00736447"/>
    <w:rsid w:val="0074082E"/>
    <w:rsid w:val="007454ED"/>
    <w:rsid w:val="00745899"/>
    <w:rsid w:val="00755321"/>
    <w:rsid w:val="007607C4"/>
    <w:rsid w:val="007616DF"/>
    <w:rsid w:val="00763B2F"/>
    <w:rsid w:val="0076643F"/>
    <w:rsid w:val="00767075"/>
    <w:rsid w:val="00774344"/>
    <w:rsid w:val="0078125B"/>
    <w:rsid w:val="00785C4B"/>
    <w:rsid w:val="00793EE9"/>
    <w:rsid w:val="007A2F70"/>
    <w:rsid w:val="007A3EE8"/>
    <w:rsid w:val="007C3334"/>
    <w:rsid w:val="007C52BB"/>
    <w:rsid w:val="007C68A0"/>
    <w:rsid w:val="007D2B98"/>
    <w:rsid w:val="007D62D1"/>
    <w:rsid w:val="007E2BF5"/>
    <w:rsid w:val="007E6EE0"/>
    <w:rsid w:val="007F4FA0"/>
    <w:rsid w:val="00803F1C"/>
    <w:rsid w:val="0080600E"/>
    <w:rsid w:val="008100CB"/>
    <w:rsid w:val="00815504"/>
    <w:rsid w:val="00817612"/>
    <w:rsid w:val="008237CC"/>
    <w:rsid w:val="008269E1"/>
    <w:rsid w:val="00837C45"/>
    <w:rsid w:val="00840816"/>
    <w:rsid w:val="00853419"/>
    <w:rsid w:val="00861EF2"/>
    <w:rsid w:val="008627DC"/>
    <w:rsid w:val="0086313C"/>
    <w:rsid w:val="00881708"/>
    <w:rsid w:val="00883867"/>
    <w:rsid w:val="008930F6"/>
    <w:rsid w:val="00897E12"/>
    <w:rsid w:val="008D1395"/>
    <w:rsid w:val="008D43BA"/>
    <w:rsid w:val="008D6D89"/>
    <w:rsid w:val="008E3759"/>
    <w:rsid w:val="008E4AD4"/>
    <w:rsid w:val="008F4245"/>
    <w:rsid w:val="009041DC"/>
    <w:rsid w:val="009104B4"/>
    <w:rsid w:val="00925CEC"/>
    <w:rsid w:val="00925E9A"/>
    <w:rsid w:val="00925FCD"/>
    <w:rsid w:val="0093441A"/>
    <w:rsid w:val="00952C13"/>
    <w:rsid w:val="00954BF7"/>
    <w:rsid w:val="009550ED"/>
    <w:rsid w:val="0096005B"/>
    <w:rsid w:val="009644F7"/>
    <w:rsid w:val="0096706E"/>
    <w:rsid w:val="00967FAB"/>
    <w:rsid w:val="00974172"/>
    <w:rsid w:val="00975215"/>
    <w:rsid w:val="00975DAA"/>
    <w:rsid w:val="00981FBA"/>
    <w:rsid w:val="009A1742"/>
    <w:rsid w:val="009B301E"/>
    <w:rsid w:val="009B381B"/>
    <w:rsid w:val="009D7611"/>
    <w:rsid w:val="009D7C7F"/>
    <w:rsid w:val="009E53DE"/>
    <w:rsid w:val="009E703D"/>
    <w:rsid w:val="009E7BED"/>
    <w:rsid w:val="009F1BEB"/>
    <w:rsid w:val="00A05604"/>
    <w:rsid w:val="00A114DC"/>
    <w:rsid w:val="00A1185A"/>
    <w:rsid w:val="00A24BA9"/>
    <w:rsid w:val="00A25772"/>
    <w:rsid w:val="00A4167D"/>
    <w:rsid w:val="00A43458"/>
    <w:rsid w:val="00A528D1"/>
    <w:rsid w:val="00A549AB"/>
    <w:rsid w:val="00A64F05"/>
    <w:rsid w:val="00A65340"/>
    <w:rsid w:val="00A66BE5"/>
    <w:rsid w:val="00A77573"/>
    <w:rsid w:val="00A83FCE"/>
    <w:rsid w:val="00A860EF"/>
    <w:rsid w:val="00AC1063"/>
    <w:rsid w:val="00AC6DC5"/>
    <w:rsid w:val="00AD0062"/>
    <w:rsid w:val="00AD37C1"/>
    <w:rsid w:val="00AE66EC"/>
    <w:rsid w:val="00AE6F91"/>
    <w:rsid w:val="00AF17AD"/>
    <w:rsid w:val="00AF5571"/>
    <w:rsid w:val="00B018C6"/>
    <w:rsid w:val="00B03793"/>
    <w:rsid w:val="00B03C46"/>
    <w:rsid w:val="00B13D53"/>
    <w:rsid w:val="00B167E9"/>
    <w:rsid w:val="00B1786E"/>
    <w:rsid w:val="00B17B6B"/>
    <w:rsid w:val="00B2118E"/>
    <w:rsid w:val="00B26051"/>
    <w:rsid w:val="00B314DB"/>
    <w:rsid w:val="00B31EBE"/>
    <w:rsid w:val="00B36211"/>
    <w:rsid w:val="00B3718B"/>
    <w:rsid w:val="00B37228"/>
    <w:rsid w:val="00B4099E"/>
    <w:rsid w:val="00B4632A"/>
    <w:rsid w:val="00B54BA0"/>
    <w:rsid w:val="00B57F92"/>
    <w:rsid w:val="00B61CDB"/>
    <w:rsid w:val="00B735F5"/>
    <w:rsid w:val="00B84341"/>
    <w:rsid w:val="00B852CB"/>
    <w:rsid w:val="00B94A53"/>
    <w:rsid w:val="00BA276C"/>
    <w:rsid w:val="00BB2E80"/>
    <w:rsid w:val="00BB306F"/>
    <w:rsid w:val="00BB77A6"/>
    <w:rsid w:val="00BD232B"/>
    <w:rsid w:val="00BD4B89"/>
    <w:rsid w:val="00BE64BA"/>
    <w:rsid w:val="00BF02F9"/>
    <w:rsid w:val="00BF0B3E"/>
    <w:rsid w:val="00BF1631"/>
    <w:rsid w:val="00BF2217"/>
    <w:rsid w:val="00BF312A"/>
    <w:rsid w:val="00BF6905"/>
    <w:rsid w:val="00C05F88"/>
    <w:rsid w:val="00C13125"/>
    <w:rsid w:val="00C21762"/>
    <w:rsid w:val="00C23B25"/>
    <w:rsid w:val="00C24543"/>
    <w:rsid w:val="00C25088"/>
    <w:rsid w:val="00C256A2"/>
    <w:rsid w:val="00C3492D"/>
    <w:rsid w:val="00C43735"/>
    <w:rsid w:val="00C55560"/>
    <w:rsid w:val="00C56F7F"/>
    <w:rsid w:val="00C66B41"/>
    <w:rsid w:val="00C66B72"/>
    <w:rsid w:val="00C82A7E"/>
    <w:rsid w:val="00C9567A"/>
    <w:rsid w:val="00CB2660"/>
    <w:rsid w:val="00CB371B"/>
    <w:rsid w:val="00CB3AA0"/>
    <w:rsid w:val="00CB4C24"/>
    <w:rsid w:val="00CB76CA"/>
    <w:rsid w:val="00CC5E90"/>
    <w:rsid w:val="00CC723D"/>
    <w:rsid w:val="00CD046C"/>
    <w:rsid w:val="00CD06A7"/>
    <w:rsid w:val="00CD17B6"/>
    <w:rsid w:val="00CD427D"/>
    <w:rsid w:val="00CE005D"/>
    <w:rsid w:val="00CE049A"/>
    <w:rsid w:val="00CE5199"/>
    <w:rsid w:val="00CE66D5"/>
    <w:rsid w:val="00CE74AF"/>
    <w:rsid w:val="00CF3AE1"/>
    <w:rsid w:val="00CF54A4"/>
    <w:rsid w:val="00D00DB7"/>
    <w:rsid w:val="00D0249A"/>
    <w:rsid w:val="00D04460"/>
    <w:rsid w:val="00D060ED"/>
    <w:rsid w:val="00D21C24"/>
    <w:rsid w:val="00D30469"/>
    <w:rsid w:val="00D34786"/>
    <w:rsid w:val="00D35FB2"/>
    <w:rsid w:val="00D40A1E"/>
    <w:rsid w:val="00D42817"/>
    <w:rsid w:val="00D654DD"/>
    <w:rsid w:val="00D712D3"/>
    <w:rsid w:val="00D71422"/>
    <w:rsid w:val="00D7145E"/>
    <w:rsid w:val="00D727F2"/>
    <w:rsid w:val="00D7558D"/>
    <w:rsid w:val="00D81D92"/>
    <w:rsid w:val="00D93446"/>
    <w:rsid w:val="00D96A9E"/>
    <w:rsid w:val="00DA30D3"/>
    <w:rsid w:val="00DA4E58"/>
    <w:rsid w:val="00DA7B5F"/>
    <w:rsid w:val="00DB0400"/>
    <w:rsid w:val="00DD1859"/>
    <w:rsid w:val="00DD7050"/>
    <w:rsid w:val="00DE4E65"/>
    <w:rsid w:val="00DF55FF"/>
    <w:rsid w:val="00DF66A9"/>
    <w:rsid w:val="00E21327"/>
    <w:rsid w:val="00E23EE4"/>
    <w:rsid w:val="00E243BB"/>
    <w:rsid w:val="00E3041D"/>
    <w:rsid w:val="00E343C3"/>
    <w:rsid w:val="00E37780"/>
    <w:rsid w:val="00E43157"/>
    <w:rsid w:val="00E533FF"/>
    <w:rsid w:val="00E636E7"/>
    <w:rsid w:val="00E709B3"/>
    <w:rsid w:val="00E832F9"/>
    <w:rsid w:val="00E8789F"/>
    <w:rsid w:val="00E966C2"/>
    <w:rsid w:val="00E97B71"/>
    <w:rsid w:val="00EA4C8C"/>
    <w:rsid w:val="00EB454D"/>
    <w:rsid w:val="00EB4934"/>
    <w:rsid w:val="00EC70F2"/>
    <w:rsid w:val="00EE3483"/>
    <w:rsid w:val="00EE3522"/>
    <w:rsid w:val="00EE5236"/>
    <w:rsid w:val="00EF619B"/>
    <w:rsid w:val="00EF66FE"/>
    <w:rsid w:val="00F00B55"/>
    <w:rsid w:val="00F00DB6"/>
    <w:rsid w:val="00F04E15"/>
    <w:rsid w:val="00F06ED7"/>
    <w:rsid w:val="00F10393"/>
    <w:rsid w:val="00F1380F"/>
    <w:rsid w:val="00F14F0E"/>
    <w:rsid w:val="00F161CE"/>
    <w:rsid w:val="00F24C29"/>
    <w:rsid w:val="00F253CC"/>
    <w:rsid w:val="00F44787"/>
    <w:rsid w:val="00F44994"/>
    <w:rsid w:val="00F4595F"/>
    <w:rsid w:val="00F467A3"/>
    <w:rsid w:val="00F50A22"/>
    <w:rsid w:val="00F56BA5"/>
    <w:rsid w:val="00F63C9B"/>
    <w:rsid w:val="00F644E6"/>
    <w:rsid w:val="00F724F9"/>
    <w:rsid w:val="00F84831"/>
    <w:rsid w:val="00F84E7A"/>
    <w:rsid w:val="00F90B60"/>
    <w:rsid w:val="00F91E5E"/>
    <w:rsid w:val="00F92E76"/>
    <w:rsid w:val="00F9653B"/>
    <w:rsid w:val="00FA2EEC"/>
    <w:rsid w:val="00FB0042"/>
    <w:rsid w:val="00FB49F9"/>
    <w:rsid w:val="00FB62CF"/>
    <w:rsid w:val="00FB645D"/>
    <w:rsid w:val="00FC0C4F"/>
    <w:rsid w:val="00FC3EB4"/>
    <w:rsid w:val="00FC6C58"/>
    <w:rsid w:val="00FE6B45"/>
    <w:rsid w:val="00FF274F"/>
    <w:rsid w:val="00FF2B67"/>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E7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85D5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185D5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185D58"/>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185D58"/>
    <w:rPr>
      <w:rFonts w:ascii="Arial" w:eastAsia="Times New Roman" w:hAnsi="Arial" w:cs="Arial"/>
      <w:b/>
      <w:bCs/>
      <w:sz w:val="26"/>
      <w:szCs w:val="26"/>
      <w:bdr w:val="none" w:sz="0" w:space="0" w:color="auto"/>
      <w:lang w:val="en-US" w:eastAsia="en-US"/>
    </w:rPr>
  </w:style>
  <w:style w:type="paragraph" w:styleId="BodyTextIndent2">
    <w:name w:val="Body Text Indent 2"/>
    <w:basedOn w:val="Normal"/>
    <w:link w:val="BodyTextIndent2Char"/>
    <w:uiPriority w:val="99"/>
    <w:semiHidden/>
    <w:unhideWhenUsed/>
    <w:rsid w:val="00185D58"/>
    <w:pPr>
      <w:spacing w:after="120" w:line="480" w:lineRule="auto"/>
      <w:ind w:left="360"/>
    </w:pPr>
  </w:style>
  <w:style w:type="character" w:customStyle="1" w:styleId="BodyTextIndent2Char">
    <w:name w:val="Body Text Indent 2 Char"/>
    <w:basedOn w:val="DefaultParagraphFont"/>
    <w:link w:val="BodyTextIndent2"/>
    <w:uiPriority w:val="99"/>
    <w:semiHidden/>
    <w:rsid w:val="00185D58"/>
    <w:rPr>
      <w:sz w:val="24"/>
      <w:szCs w:val="24"/>
      <w:lang w:val="en-US" w:eastAsia="en-US"/>
    </w:rPr>
  </w:style>
  <w:style w:type="paragraph" w:customStyle="1" w:styleId="Default">
    <w:name w:val="Default"/>
    <w:link w:val="DefaultChar"/>
    <w:rsid w:val="00185D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185D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185D58"/>
    <w:rPr>
      <w:rFonts w:eastAsia="Times New Roman"/>
      <w:sz w:val="24"/>
      <w:szCs w:val="24"/>
      <w:bdr w:val="none" w:sz="0" w:space="0" w:color="auto"/>
      <w:lang w:val="en-US" w:eastAsia="en-US"/>
    </w:rPr>
  </w:style>
  <w:style w:type="character" w:customStyle="1" w:styleId="DefaultChar">
    <w:name w:val="Default Char"/>
    <w:link w:val="Default"/>
    <w:rsid w:val="00185D58"/>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185D5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85D5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locked/>
    <w:rsid w:val="00185D58"/>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185D58"/>
  </w:style>
  <w:style w:type="paragraph" w:styleId="BodyTextIndent3">
    <w:name w:val="Body Text Indent 3"/>
    <w:basedOn w:val="Normal"/>
    <w:link w:val="BodyTextIndent3Char"/>
    <w:uiPriority w:val="99"/>
    <w:semiHidden/>
    <w:unhideWhenUsed/>
    <w:rsid w:val="00185D5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85D58"/>
    <w:rPr>
      <w:sz w:val="16"/>
      <w:szCs w:val="16"/>
      <w:lang w:val="en-US" w:eastAsia="en-US"/>
    </w:rPr>
  </w:style>
  <w:style w:type="character" w:styleId="CommentReference">
    <w:name w:val="annotation reference"/>
    <w:basedOn w:val="DefaultParagraphFont"/>
    <w:uiPriority w:val="99"/>
    <w:semiHidden/>
    <w:unhideWhenUsed/>
    <w:rsid w:val="00185D58"/>
    <w:rPr>
      <w:sz w:val="18"/>
      <w:szCs w:val="18"/>
    </w:rPr>
  </w:style>
  <w:style w:type="paragraph" w:styleId="CommentText">
    <w:name w:val="annotation text"/>
    <w:basedOn w:val="Normal"/>
    <w:link w:val="CommentTextChar"/>
    <w:uiPriority w:val="99"/>
    <w:semiHidden/>
    <w:unhideWhenUsed/>
    <w:rsid w:val="00185D58"/>
  </w:style>
  <w:style w:type="character" w:customStyle="1" w:styleId="CommentTextChar">
    <w:name w:val="Comment Text Char"/>
    <w:basedOn w:val="DefaultParagraphFont"/>
    <w:link w:val="CommentText"/>
    <w:uiPriority w:val="99"/>
    <w:semiHidden/>
    <w:rsid w:val="00185D58"/>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185D58"/>
    <w:rPr>
      <w:b/>
      <w:bCs/>
      <w:sz w:val="20"/>
      <w:szCs w:val="20"/>
    </w:rPr>
  </w:style>
  <w:style w:type="character" w:customStyle="1" w:styleId="CommentSubjectChar">
    <w:name w:val="Comment Subject Char"/>
    <w:basedOn w:val="CommentTextChar"/>
    <w:link w:val="CommentSubject"/>
    <w:uiPriority w:val="99"/>
    <w:semiHidden/>
    <w:rsid w:val="00185D58"/>
    <w:rPr>
      <w:b/>
      <w:bCs/>
      <w:sz w:val="24"/>
      <w:szCs w:val="24"/>
      <w:lang w:val="en-US" w:eastAsia="en-US"/>
    </w:rPr>
  </w:style>
  <w:style w:type="character" w:styleId="Strong">
    <w:name w:val="Strong"/>
    <w:basedOn w:val="DefaultParagraphFont"/>
    <w:uiPriority w:val="22"/>
    <w:qFormat/>
    <w:rsid w:val="008838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85D5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185D5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185D58"/>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185D58"/>
    <w:rPr>
      <w:rFonts w:ascii="Arial" w:eastAsia="Times New Roman" w:hAnsi="Arial" w:cs="Arial"/>
      <w:b/>
      <w:bCs/>
      <w:sz w:val="26"/>
      <w:szCs w:val="26"/>
      <w:bdr w:val="none" w:sz="0" w:space="0" w:color="auto"/>
      <w:lang w:val="en-US" w:eastAsia="en-US"/>
    </w:rPr>
  </w:style>
  <w:style w:type="paragraph" w:styleId="BodyTextIndent2">
    <w:name w:val="Body Text Indent 2"/>
    <w:basedOn w:val="Normal"/>
    <w:link w:val="BodyTextIndent2Char"/>
    <w:uiPriority w:val="99"/>
    <w:semiHidden/>
    <w:unhideWhenUsed/>
    <w:rsid w:val="00185D58"/>
    <w:pPr>
      <w:spacing w:after="120" w:line="480" w:lineRule="auto"/>
      <w:ind w:left="360"/>
    </w:pPr>
  </w:style>
  <w:style w:type="character" w:customStyle="1" w:styleId="BodyTextIndent2Char">
    <w:name w:val="Body Text Indent 2 Char"/>
    <w:basedOn w:val="DefaultParagraphFont"/>
    <w:link w:val="BodyTextIndent2"/>
    <w:uiPriority w:val="99"/>
    <w:semiHidden/>
    <w:rsid w:val="00185D58"/>
    <w:rPr>
      <w:sz w:val="24"/>
      <w:szCs w:val="24"/>
      <w:lang w:val="en-US" w:eastAsia="en-US"/>
    </w:rPr>
  </w:style>
  <w:style w:type="paragraph" w:customStyle="1" w:styleId="Default">
    <w:name w:val="Default"/>
    <w:link w:val="DefaultChar"/>
    <w:rsid w:val="00185D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185D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185D58"/>
    <w:rPr>
      <w:rFonts w:eastAsia="Times New Roman"/>
      <w:sz w:val="24"/>
      <w:szCs w:val="24"/>
      <w:bdr w:val="none" w:sz="0" w:space="0" w:color="auto"/>
      <w:lang w:val="en-US" w:eastAsia="en-US"/>
    </w:rPr>
  </w:style>
  <w:style w:type="character" w:customStyle="1" w:styleId="DefaultChar">
    <w:name w:val="Default Char"/>
    <w:link w:val="Default"/>
    <w:rsid w:val="00185D58"/>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185D5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85D5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locked/>
    <w:rsid w:val="00185D58"/>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185D58"/>
  </w:style>
  <w:style w:type="paragraph" w:styleId="BodyTextIndent3">
    <w:name w:val="Body Text Indent 3"/>
    <w:basedOn w:val="Normal"/>
    <w:link w:val="BodyTextIndent3Char"/>
    <w:uiPriority w:val="99"/>
    <w:semiHidden/>
    <w:unhideWhenUsed/>
    <w:rsid w:val="00185D5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85D58"/>
    <w:rPr>
      <w:sz w:val="16"/>
      <w:szCs w:val="16"/>
      <w:lang w:val="en-US" w:eastAsia="en-US"/>
    </w:rPr>
  </w:style>
  <w:style w:type="character" w:styleId="CommentReference">
    <w:name w:val="annotation reference"/>
    <w:basedOn w:val="DefaultParagraphFont"/>
    <w:uiPriority w:val="99"/>
    <w:semiHidden/>
    <w:unhideWhenUsed/>
    <w:rsid w:val="00185D58"/>
    <w:rPr>
      <w:sz w:val="18"/>
      <w:szCs w:val="18"/>
    </w:rPr>
  </w:style>
  <w:style w:type="paragraph" w:styleId="CommentText">
    <w:name w:val="annotation text"/>
    <w:basedOn w:val="Normal"/>
    <w:link w:val="CommentTextChar"/>
    <w:uiPriority w:val="99"/>
    <w:semiHidden/>
    <w:unhideWhenUsed/>
    <w:rsid w:val="00185D58"/>
  </w:style>
  <w:style w:type="character" w:customStyle="1" w:styleId="CommentTextChar">
    <w:name w:val="Comment Text Char"/>
    <w:basedOn w:val="DefaultParagraphFont"/>
    <w:link w:val="CommentText"/>
    <w:uiPriority w:val="99"/>
    <w:semiHidden/>
    <w:rsid w:val="00185D58"/>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185D58"/>
    <w:rPr>
      <w:b/>
      <w:bCs/>
      <w:sz w:val="20"/>
      <w:szCs w:val="20"/>
    </w:rPr>
  </w:style>
  <w:style w:type="character" w:customStyle="1" w:styleId="CommentSubjectChar">
    <w:name w:val="Comment Subject Char"/>
    <w:basedOn w:val="CommentTextChar"/>
    <w:link w:val="CommentSubject"/>
    <w:uiPriority w:val="99"/>
    <w:semiHidden/>
    <w:rsid w:val="00185D58"/>
    <w:rPr>
      <w:b/>
      <w:bCs/>
      <w:sz w:val="24"/>
      <w:szCs w:val="24"/>
      <w:lang w:val="en-US" w:eastAsia="en-US"/>
    </w:rPr>
  </w:style>
  <w:style w:type="character" w:styleId="Strong">
    <w:name w:val="Strong"/>
    <w:basedOn w:val="DefaultParagraphFont"/>
    <w:uiPriority w:val="22"/>
    <w:qFormat/>
    <w:rsid w:val="00883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69">
      <w:bodyDiv w:val="1"/>
      <w:marLeft w:val="0"/>
      <w:marRight w:val="0"/>
      <w:marTop w:val="0"/>
      <w:marBottom w:val="0"/>
      <w:divBdr>
        <w:top w:val="none" w:sz="0" w:space="0" w:color="auto"/>
        <w:left w:val="none" w:sz="0" w:space="0" w:color="auto"/>
        <w:bottom w:val="none" w:sz="0" w:space="0" w:color="auto"/>
        <w:right w:val="none" w:sz="0" w:space="0" w:color="auto"/>
      </w:divBdr>
    </w:div>
    <w:div w:id="50003997">
      <w:bodyDiv w:val="1"/>
      <w:marLeft w:val="0"/>
      <w:marRight w:val="0"/>
      <w:marTop w:val="0"/>
      <w:marBottom w:val="0"/>
      <w:divBdr>
        <w:top w:val="none" w:sz="0" w:space="0" w:color="auto"/>
        <w:left w:val="none" w:sz="0" w:space="0" w:color="auto"/>
        <w:bottom w:val="none" w:sz="0" w:space="0" w:color="auto"/>
        <w:right w:val="none" w:sz="0" w:space="0" w:color="auto"/>
      </w:divBdr>
    </w:div>
    <w:div w:id="137847406">
      <w:bodyDiv w:val="1"/>
      <w:marLeft w:val="0"/>
      <w:marRight w:val="0"/>
      <w:marTop w:val="0"/>
      <w:marBottom w:val="0"/>
      <w:divBdr>
        <w:top w:val="none" w:sz="0" w:space="0" w:color="auto"/>
        <w:left w:val="none" w:sz="0" w:space="0" w:color="auto"/>
        <w:bottom w:val="none" w:sz="0" w:space="0" w:color="auto"/>
        <w:right w:val="none" w:sz="0" w:space="0" w:color="auto"/>
      </w:divBdr>
    </w:div>
    <w:div w:id="159202206">
      <w:bodyDiv w:val="1"/>
      <w:marLeft w:val="0"/>
      <w:marRight w:val="0"/>
      <w:marTop w:val="0"/>
      <w:marBottom w:val="0"/>
      <w:divBdr>
        <w:top w:val="none" w:sz="0" w:space="0" w:color="auto"/>
        <w:left w:val="none" w:sz="0" w:space="0" w:color="auto"/>
        <w:bottom w:val="none" w:sz="0" w:space="0" w:color="auto"/>
        <w:right w:val="none" w:sz="0" w:space="0" w:color="auto"/>
      </w:divBdr>
    </w:div>
    <w:div w:id="202865669">
      <w:bodyDiv w:val="1"/>
      <w:marLeft w:val="0"/>
      <w:marRight w:val="0"/>
      <w:marTop w:val="0"/>
      <w:marBottom w:val="0"/>
      <w:divBdr>
        <w:top w:val="none" w:sz="0" w:space="0" w:color="auto"/>
        <w:left w:val="none" w:sz="0" w:space="0" w:color="auto"/>
        <w:bottom w:val="none" w:sz="0" w:space="0" w:color="auto"/>
        <w:right w:val="none" w:sz="0" w:space="0" w:color="auto"/>
      </w:divBdr>
    </w:div>
    <w:div w:id="289094249">
      <w:bodyDiv w:val="1"/>
      <w:marLeft w:val="0"/>
      <w:marRight w:val="0"/>
      <w:marTop w:val="0"/>
      <w:marBottom w:val="0"/>
      <w:divBdr>
        <w:top w:val="none" w:sz="0" w:space="0" w:color="auto"/>
        <w:left w:val="none" w:sz="0" w:space="0" w:color="auto"/>
        <w:bottom w:val="none" w:sz="0" w:space="0" w:color="auto"/>
        <w:right w:val="none" w:sz="0" w:space="0" w:color="auto"/>
      </w:divBdr>
    </w:div>
    <w:div w:id="319047140">
      <w:bodyDiv w:val="1"/>
      <w:marLeft w:val="0"/>
      <w:marRight w:val="0"/>
      <w:marTop w:val="0"/>
      <w:marBottom w:val="0"/>
      <w:divBdr>
        <w:top w:val="none" w:sz="0" w:space="0" w:color="auto"/>
        <w:left w:val="none" w:sz="0" w:space="0" w:color="auto"/>
        <w:bottom w:val="none" w:sz="0" w:space="0" w:color="auto"/>
        <w:right w:val="none" w:sz="0" w:space="0" w:color="auto"/>
      </w:divBdr>
    </w:div>
    <w:div w:id="323897252">
      <w:bodyDiv w:val="1"/>
      <w:marLeft w:val="0"/>
      <w:marRight w:val="0"/>
      <w:marTop w:val="0"/>
      <w:marBottom w:val="0"/>
      <w:divBdr>
        <w:top w:val="none" w:sz="0" w:space="0" w:color="auto"/>
        <w:left w:val="none" w:sz="0" w:space="0" w:color="auto"/>
        <w:bottom w:val="none" w:sz="0" w:space="0" w:color="auto"/>
        <w:right w:val="none" w:sz="0" w:space="0" w:color="auto"/>
      </w:divBdr>
    </w:div>
    <w:div w:id="350110308">
      <w:bodyDiv w:val="1"/>
      <w:marLeft w:val="0"/>
      <w:marRight w:val="0"/>
      <w:marTop w:val="0"/>
      <w:marBottom w:val="0"/>
      <w:divBdr>
        <w:top w:val="none" w:sz="0" w:space="0" w:color="auto"/>
        <w:left w:val="none" w:sz="0" w:space="0" w:color="auto"/>
        <w:bottom w:val="none" w:sz="0" w:space="0" w:color="auto"/>
        <w:right w:val="none" w:sz="0" w:space="0" w:color="auto"/>
      </w:divBdr>
    </w:div>
    <w:div w:id="403184790">
      <w:bodyDiv w:val="1"/>
      <w:marLeft w:val="0"/>
      <w:marRight w:val="0"/>
      <w:marTop w:val="0"/>
      <w:marBottom w:val="0"/>
      <w:divBdr>
        <w:top w:val="none" w:sz="0" w:space="0" w:color="auto"/>
        <w:left w:val="none" w:sz="0" w:space="0" w:color="auto"/>
        <w:bottom w:val="none" w:sz="0" w:space="0" w:color="auto"/>
        <w:right w:val="none" w:sz="0" w:space="0" w:color="auto"/>
      </w:divBdr>
    </w:div>
    <w:div w:id="524754209">
      <w:bodyDiv w:val="1"/>
      <w:marLeft w:val="0"/>
      <w:marRight w:val="0"/>
      <w:marTop w:val="0"/>
      <w:marBottom w:val="0"/>
      <w:divBdr>
        <w:top w:val="none" w:sz="0" w:space="0" w:color="auto"/>
        <w:left w:val="none" w:sz="0" w:space="0" w:color="auto"/>
        <w:bottom w:val="none" w:sz="0" w:space="0" w:color="auto"/>
        <w:right w:val="none" w:sz="0" w:space="0" w:color="auto"/>
      </w:divBdr>
    </w:div>
    <w:div w:id="575742794">
      <w:bodyDiv w:val="1"/>
      <w:marLeft w:val="0"/>
      <w:marRight w:val="0"/>
      <w:marTop w:val="0"/>
      <w:marBottom w:val="0"/>
      <w:divBdr>
        <w:top w:val="none" w:sz="0" w:space="0" w:color="auto"/>
        <w:left w:val="none" w:sz="0" w:space="0" w:color="auto"/>
        <w:bottom w:val="none" w:sz="0" w:space="0" w:color="auto"/>
        <w:right w:val="none" w:sz="0" w:space="0" w:color="auto"/>
      </w:divBdr>
    </w:div>
    <w:div w:id="675546357">
      <w:bodyDiv w:val="1"/>
      <w:marLeft w:val="0"/>
      <w:marRight w:val="0"/>
      <w:marTop w:val="0"/>
      <w:marBottom w:val="0"/>
      <w:divBdr>
        <w:top w:val="none" w:sz="0" w:space="0" w:color="auto"/>
        <w:left w:val="none" w:sz="0" w:space="0" w:color="auto"/>
        <w:bottom w:val="none" w:sz="0" w:space="0" w:color="auto"/>
        <w:right w:val="none" w:sz="0" w:space="0" w:color="auto"/>
      </w:divBdr>
    </w:div>
    <w:div w:id="703017816">
      <w:bodyDiv w:val="1"/>
      <w:marLeft w:val="0"/>
      <w:marRight w:val="0"/>
      <w:marTop w:val="0"/>
      <w:marBottom w:val="0"/>
      <w:divBdr>
        <w:top w:val="none" w:sz="0" w:space="0" w:color="auto"/>
        <w:left w:val="none" w:sz="0" w:space="0" w:color="auto"/>
        <w:bottom w:val="none" w:sz="0" w:space="0" w:color="auto"/>
        <w:right w:val="none" w:sz="0" w:space="0" w:color="auto"/>
      </w:divBdr>
    </w:div>
    <w:div w:id="764419382">
      <w:bodyDiv w:val="1"/>
      <w:marLeft w:val="0"/>
      <w:marRight w:val="0"/>
      <w:marTop w:val="0"/>
      <w:marBottom w:val="0"/>
      <w:divBdr>
        <w:top w:val="none" w:sz="0" w:space="0" w:color="auto"/>
        <w:left w:val="none" w:sz="0" w:space="0" w:color="auto"/>
        <w:bottom w:val="none" w:sz="0" w:space="0" w:color="auto"/>
        <w:right w:val="none" w:sz="0" w:space="0" w:color="auto"/>
      </w:divBdr>
    </w:div>
    <w:div w:id="889608156">
      <w:bodyDiv w:val="1"/>
      <w:marLeft w:val="0"/>
      <w:marRight w:val="0"/>
      <w:marTop w:val="0"/>
      <w:marBottom w:val="0"/>
      <w:divBdr>
        <w:top w:val="none" w:sz="0" w:space="0" w:color="auto"/>
        <w:left w:val="none" w:sz="0" w:space="0" w:color="auto"/>
        <w:bottom w:val="none" w:sz="0" w:space="0" w:color="auto"/>
        <w:right w:val="none" w:sz="0" w:space="0" w:color="auto"/>
      </w:divBdr>
    </w:div>
    <w:div w:id="963536422">
      <w:bodyDiv w:val="1"/>
      <w:marLeft w:val="0"/>
      <w:marRight w:val="0"/>
      <w:marTop w:val="0"/>
      <w:marBottom w:val="0"/>
      <w:divBdr>
        <w:top w:val="none" w:sz="0" w:space="0" w:color="auto"/>
        <w:left w:val="none" w:sz="0" w:space="0" w:color="auto"/>
        <w:bottom w:val="none" w:sz="0" w:space="0" w:color="auto"/>
        <w:right w:val="none" w:sz="0" w:space="0" w:color="auto"/>
      </w:divBdr>
    </w:div>
    <w:div w:id="993337072">
      <w:bodyDiv w:val="1"/>
      <w:marLeft w:val="0"/>
      <w:marRight w:val="0"/>
      <w:marTop w:val="0"/>
      <w:marBottom w:val="0"/>
      <w:divBdr>
        <w:top w:val="none" w:sz="0" w:space="0" w:color="auto"/>
        <w:left w:val="none" w:sz="0" w:space="0" w:color="auto"/>
        <w:bottom w:val="none" w:sz="0" w:space="0" w:color="auto"/>
        <w:right w:val="none" w:sz="0" w:space="0" w:color="auto"/>
      </w:divBdr>
    </w:div>
    <w:div w:id="1020551687">
      <w:bodyDiv w:val="1"/>
      <w:marLeft w:val="0"/>
      <w:marRight w:val="0"/>
      <w:marTop w:val="0"/>
      <w:marBottom w:val="0"/>
      <w:divBdr>
        <w:top w:val="none" w:sz="0" w:space="0" w:color="auto"/>
        <w:left w:val="none" w:sz="0" w:space="0" w:color="auto"/>
        <w:bottom w:val="none" w:sz="0" w:space="0" w:color="auto"/>
        <w:right w:val="none" w:sz="0" w:space="0" w:color="auto"/>
      </w:divBdr>
    </w:div>
    <w:div w:id="1049111323">
      <w:bodyDiv w:val="1"/>
      <w:marLeft w:val="0"/>
      <w:marRight w:val="0"/>
      <w:marTop w:val="0"/>
      <w:marBottom w:val="0"/>
      <w:divBdr>
        <w:top w:val="none" w:sz="0" w:space="0" w:color="auto"/>
        <w:left w:val="none" w:sz="0" w:space="0" w:color="auto"/>
        <w:bottom w:val="none" w:sz="0" w:space="0" w:color="auto"/>
        <w:right w:val="none" w:sz="0" w:space="0" w:color="auto"/>
      </w:divBdr>
    </w:div>
    <w:div w:id="1137145704">
      <w:bodyDiv w:val="1"/>
      <w:marLeft w:val="0"/>
      <w:marRight w:val="0"/>
      <w:marTop w:val="0"/>
      <w:marBottom w:val="0"/>
      <w:divBdr>
        <w:top w:val="none" w:sz="0" w:space="0" w:color="auto"/>
        <w:left w:val="none" w:sz="0" w:space="0" w:color="auto"/>
        <w:bottom w:val="none" w:sz="0" w:space="0" w:color="auto"/>
        <w:right w:val="none" w:sz="0" w:space="0" w:color="auto"/>
      </w:divBdr>
    </w:div>
    <w:div w:id="1259825347">
      <w:bodyDiv w:val="1"/>
      <w:marLeft w:val="0"/>
      <w:marRight w:val="0"/>
      <w:marTop w:val="0"/>
      <w:marBottom w:val="0"/>
      <w:divBdr>
        <w:top w:val="none" w:sz="0" w:space="0" w:color="auto"/>
        <w:left w:val="none" w:sz="0" w:space="0" w:color="auto"/>
        <w:bottom w:val="none" w:sz="0" w:space="0" w:color="auto"/>
        <w:right w:val="none" w:sz="0" w:space="0" w:color="auto"/>
      </w:divBdr>
    </w:div>
    <w:div w:id="1267732731">
      <w:bodyDiv w:val="1"/>
      <w:marLeft w:val="0"/>
      <w:marRight w:val="0"/>
      <w:marTop w:val="0"/>
      <w:marBottom w:val="0"/>
      <w:divBdr>
        <w:top w:val="none" w:sz="0" w:space="0" w:color="auto"/>
        <w:left w:val="none" w:sz="0" w:space="0" w:color="auto"/>
        <w:bottom w:val="none" w:sz="0" w:space="0" w:color="auto"/>
        <w:right w:val="none" w:sz="0" w:space="0" w:color="auto"/>
      </w:divBdr>
    </w:div>
    <w:div w:id="1427724492">
      <w:bodyDiv w:val="1"/>
      <w:marLeft w:val="0"/>
      <w:marRight w:val="0"/>
      <w:marTop w:val="0"/>
      <w:marBottom w:val="0"/>
      <w:divBdr>
        <w:top w:val="none" w:sz="0" w:space="0" w:color="auto"/>
        <w:left w:val="none" w:sz="0" w:space="0" w:color="auto"/>
        <w:bottom w:val="none" w:sz="0" w:space="0" w:color="auto"/>
        <w:right w:val="none" w:sz="0" w:space="0" w:color="auto"/>
      </w:divBdr>
    </w:div>
    <w:div w:id="1431508666">
      <w:bodyDiv w:val="1"/>
      <w:marLeft w:val="0"/>
      <w:marRight w:val="0"/>
      <w:marTop w:val="0"/>
      <w:marBottom w:val="0"/>
      <w:divBdr>
        <w:top w:val="none" w:sz="0" w:space="0" w:color="auto"/>
        <w:left w:val="none" w:sz="0" w:space="0" w:color="auto"/>
        <w:bottom w:val="none" w:sz="0" w:space="0" w:color="auto"/>
        <w:right w:val="none" w:sz="0" w:space="0" w:color="auto"/>
      </w:divBdr>
    </w:div>
    <w:div w:id="1488667945">
      <w:bodyDiv w:val="1"/>
      <w:marLeft w:val="0"/>
      <w:marRight w:val="0"/>
      <w:marTop w:val="0"/>
      <w:marBottom w:val="0"/>
      <w:divBdr>
        <w:top w:val="none" w:sz="0" w:space="0" w:color="auto"/>
        <w:left w:val="none" w:sz="0" w:space="0" w:color="auto"/>
        <w:bottom w:val="none" w:sz="0" w:space="0" w:color="auto"/>
        <w:right w:val="none" w:sz="0" w:space="0" w:color="auto"/>
      </w:divBdr>
    </w:div>
    <w:div w:id="1511918126">
      <w:bodyDiv w:val="1"/>
      <w:marLeft w:val="0"/>
      <w:marRight w:val="0"/>
      <w:marTop w:val="0"/>
      <w:marBottom w:val="0"/>
      <w:divBdr>
        <w:top w:val="none" w:sz="0" w:space="0" w:color="auto"/>
        <w:left w:val="none" w:sz="0" w:space="0" w:color="auto"/>
        <w:bottom w:val="none" w:sz="0" w:space="0" w:color="auto"/>
        <w:right w:val="none" w:sz="0" w:space="0" w:color="auto"/>
      </w:divBdr>
    </w:div>
    <w:div w:id="1556504172">
      <w:bodyDiv w:val="1"/>
      <w:marLeft w:val="0"/>
      <w:marRight w:val="0"/>
      <w:marTop w:val="0"/>
      <w:marBottom w:val="0"/>
      <w:divBdr>
        <w:top w:val="none" w:sz="0" w:space="0" w:color="auto"/>
        <w:left w:val="none" w:sz="0" w:space="0" w:color="auto"/>
        <w:bottom w:val="none" w:sz="0" w:space="0" w:color="auto"/>
        <w:right w:val="none" w:sz="0" w:space="0" w:color="auto"/>
      </w:divBdr>
    </w:div>
    <w:div w:id="1565792989">
      <w:bodyDiv w:val="1"/>
      <w:marLeft w:val="0"/>
      <w:marRight w:val="0"/>
      <w:marTop w:val="0"/>
      <w:marBottom w:val="0"/>
      <w:divBdr>
        <w:top w:val="none" w:sz="0" w:space="0" w:color="auto"/>
        <w:left w:val="none" w:sz="0" w:space="0" w:color="auto"/>
        <w:bottom w:val="none" w:sz="0" w:space="0" w:color="auto"/>
        <w:right w:val="none" w:sz="0" w:space="0" w:color="auto"/>
      </w:divBdr>
    </w:div>
    <w:div w:id="1614092256">
      <w:bodyDiv w:val="1"/>
      <w:marLeft w:val="0"/>
      <w:marRight w:val="0"/>
      <w:marTop w:val="0"/>
      <w:marBottom w:val="0"/>
      <w:divBdr>
        <w:top w:val="none" w:sz="0" w:space="0" w:color="auto"/>
        <w:left w:val="none" w:sz="0" w:space="0" w:color="auto"/>
        <w:bottom w:val="none" w:sz="0" w:space="0" w:color="auto"/>
        <w:right w:val="none" w:sz="0" w:space="0" w:color="auto"/>
      </w:divBdr>
    </w:div>
    <w:div w:id="1634483497">
      <w:bodyDiv w:val="1"/>
      <w:marLeft w:val="0"/>
      <w:marRight w:val="0"/>
      <w:marTop w:val="0"/>
      <w:marBottom w:val="0"/>
      <w:divBdr>
        <w:top w:val="none" w:sz="0" w:space="0" w:color="auto"/>
        <w:left w:val="none" w:sz="0" w:space="0" w:color="auto"/>
        <w:bottom w:val="none" w:sz="0" w:space="0" w:color="auto"/>
        <w:right w:val="none" w:sz="0" w:space="0" w:color="auto"/>
      </w:divBdr>
    </w:div>
    <w:div w:id="1634672091">
      <w:bodyDiv w:val="1"/>
      <w:marLeft w:val="0"/>
      <w:marRight w:val="0"/>
      <w:marTop w:val="0"/>
      <w:marBottom w:val="0"/>
      <w:divBdr>
        <w:top w:val="none" w:sz="0" w:space="0" w:color="auto"/>
        <w:left w:val="none" w:sz="0" w:space="0" w:color="auto"/>
        <w:bottom w:val="none" w:sz="0" w:space="0" w:color="auto"/>
        <w:right w:val="none" w:sz="0" w:space="0" w:color="auto"/>
      </w:divBdr>
    </w:div>
    <w:div w:id="1645040481">
      <w:bodyDiv w:val="1"/>
      <w:marLeft w:val="0"/>
      <w:marRight w:val="0"/>
      <w:marTop w:val="0"/>
      <w:marBottom w:val="0"/>
      <w:divBdr>
        <w:top w:val="none" w:sz="0" w:space="0" w:color="auto"/>
        <w:left w:val="none" w:sz="0" w:space="0" w:color="auto"/>
        <w:bottom w:val="none" w:sz="0" w:space="0" w:color="auto"/>
        <w:right w:val="none" w:sz="0" w:space="0" w:color="auto"/>
      </w:divBdr>
    </w:div>
    <w:div w:id="1686326093">
      <w:bodyDiv w:val="1"/>
      <w:marLeft w:val="0"/>
      <w:marRight w:val="0"/>
      <w:marTop w:val="0"/>
      <w:marBottom w:val="0"/>
      <w:divBdr>
        <w:top w:val="none" w:sz="0" w:space="0" w:color="auto"/>
        <w:left w:val="none" w:sz="0" w:space="0" w:color="auto"/>
        <w:bottom w:val="none" w:sz="0" w:space="0" w:color="auto"/>
        <w:right w:val="none" w:sz="0" w:space="0" w:color="auto"/>
      </w:divBdr>
    </w:div>
    <w:div w:id="1690764372">
      <w:bodyDiv w:val="1"/>
      <w:marLeft w:val="0"/>
      <w:marRight w:val="0"/>
      <w:marTop w:val="0"/>
      <w:marBottom w:val="0"/>
      <w:divBdr>
        <w:top w:val="none" w:sz="0" w:space="0" w:color="auto"/>
        <w:left w:val="none" w:sz="0" w:space="0" w:color="auto"/>
        <w:bottom w:val="none" w:sz="0" w:space="0" w:color="auto"/>
        <w:right w:val="none" w:sz="0" w:space="0" w:color="auto"/>
      </w:divBdr>
    </w:div>
    <w:div w:id="1700618439">
      <w:bodyDiv w:val="1"/>
      <w:marLeft w:val="0"/>
      <w:marRight w:val="0"/>
      <w:marTop w:val="0"/>
      <w:marBottom w:val="0"/>
      <w:divBdr>
        <w:top w:val="none" w:sz="0" w:space="0" w:color="auto"/>
        <w:left w:val="none" w:sz="0" w:space="0" w:color="auto"/>
        <w:bottom w:val="none" w:sz="0" w:space="0" w:color="auto"/>
        <w:right w:val="none" w:sz="0" w:space="0" w:color="auto"/>
      </w:divBdr>
    </w:div>
    <w:div w:id="175912933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1069381">
      <w:bodyDiv w:val="1"/>
      <w:marLeft w:val="0"/>
      <w:marRight w:val="0"/>
      <w:marTop w:val="0"/>
      <w:marBottom w:val="0"/>
      <w:divBdr>
        <w:top w:val="none" w:sz="0" w:space="0" w:color="auto"/>
        <w:left w:val="none" w:sz="0" w:space="0" w:color="auto"/>
        <w:bottom w:val="none" w:sz="0" w:space="0" w:color="auto"/>
        <w:right w:val="none" w:sz="0" w:space="0" w:color="auto"/>
      </w:divBdr>
    </w:div>
    <w:div w:id="1855340856">
      <w:bodyDiv w:val="1"/>
      <w:marLeft w:val="0"/>
      <w:marRight w:val="0"/>
      <w:marTop w:val="0"/>
      <w:marBottom w:val="0"/>
      <w:divBdr>
        <w:top w:val="none" w:sz="0" w:space="0" w:color="auto"/>
        <w:left w:val="none" w:sz="0" w:space="0" w:color="auto"/>
        <w:bottom w:val="none" w:sz="0" w:space="0" w:color="auto"/>
        <w:right w:val="none" w:sz="0" w:space="0" w:color="auto"/>
      </w:divBdr>
    </w:div>
    <w:div w:id="1971128444">
      <w:bodyDiv w:val="1"/>
      <w:marLeft w:val="0"/>
      <w:marRight w:val="0"/>
      <w:marTop w:val="0"/>
      <w:marBottom w:val="0"/>
      <w:divBdr>
        <w:top w:val="none" w:sz="0" w:space="0" w:color="auto"/>
        <w:left w:val="none" w:sz="0" w:space="0" w:color="auto"/>
        <w:bottom w:val="none" w:sz="0" w:space="0" w:color="auto"/>
        <w:right w:val="none" w:sz="0" w:space="0" w:color="auto"/>
      </w:divBdr>
    </w:div>
    <w:div w:id="2007895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BF43F-EEDD-44E6-8BA8-500961E0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9461</Words>
  <Characters>50998</Characters>
  <Application>Microsoft Office Word</Application>
  <DocSecurity>0</DocSecurity>
  <Lines>894</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IACHR</dc:creator>
  <cp:lastModifiedBy>Fontana, Maria Eva</cp:lastModifiedBy>
  <cp:revision>10</cp:revision>
  <cp:lastPrinted>2014-06-04T21:22:00Z</cp:lastPrinted>
  <dcterms:created xsi:type="dcterms:W3CDTF">2018-10-18T20:27:00Z</dcterms:created>
  <dcterms:modified xsi:type="dcterms:W3CDTF">2019-07-31T14:53:00Z</dcterms:modified>
</cp:coreProperties>
</file>