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61" w:rsidRPr="00B8721C" w:rsidRDefault="00122D28" w:rsidP="00AF2F61">
      <w:pPr>
        <w:jc w:val="both"/>
        <w:rPr>
          <w:rFonts w:ascii="Calibri Light" w:hAnsi="Calibri Light" w:cs="Univers"/>
          <w:b/>
          <w:bCs/>
          <w:sz w:val="22"/>
          <w:szCs w:val="22"/>
        </w:rPr>
      </w:pPr>
      <w:r w:rsidRPr="00B8721C">
        <w:rPr>
          <w:noProof/>
          <w:lang w:eastAsia="zh-CN"/>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E6FA10"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" fillcolor="#67ae3c" stroked="f" strokeweight="1pt">
                <v:path arrowok="t"/>
              </v:rect>
            </w:pict>
          </mc:Fallback>
        </mc:AlternateContent>
      </w:r>
      <w:r w:rsidRPr="00B8721C">
        <w:rPr>
          <w:noProof/>
          <w:lang w:eastAsia="zh-CN"/>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637A06" w:rsidRDefault="00637A06" w:rsidP="00AF2F61">
                            <w:r w:rsidRPr="00AF2F61">
                              <w:rPr>
                                <w:noProof/>
                                <w:lang w:eastAsia="zh-CN"/>
                              </w:rPr>
                              <w:drawing>
                                <wp:inline distT="0" distB="0" distL="0" distR="0">
                                  <wp:extent cx="2519045" cy="48323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" filled="f" stroked="f" strokeweight=".5pt">
                <v:path arrowok="t"/>
                <v:textbox>
                  <w:txbxContent>
                    <w:p w:rsidR="00637A06" w:rsidRDefault="00637A06" w:rsidP="00AF2F61">
                      <w:r w:rsidRPr="00AF2F61">
                        <w:rPr>
                          <w:noProof/>
                          <w:lang w:val="es-MX" w:eastAsia="es-MX"/>
                        </w:rPr>
                        <w:drawing>
                          <wp:inline distT="0" distB="0" distL="0" distR="0">
                            <wp:extent cx="2519045" cy="483235"/>
                            <wp:effectExtent l="0" t="0" r="0" b="0"/>
                            <wp:docPr id="2"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t xml:space="preserve">                                               </w:t>
                      </w:r>
                    </w:p>
                  </w:txbxContent>
                </v:textbox>
              </v:shape>
            </w:pict>
          </mc:Fallback>
        </mc:AlternateContent>
      </w:r>
    </w:p>
    <w:p w:rsidR="00AF2F61" w:rsidRPr="00B8721C" w:rsidRDefault="00AF2F61" w:rsidP="00AF2F61">
      <w:pPr>
        <w:tabs>
          <w:tab w:val="center" w:pos="5400"/>
        </w:tabs>
        <w:suppressAutoHyphens/>
        <w:jc w:val="both"/>
        <w:rPr>
          <w:rFonts w:ascii="Calibri Light" w:hAnsi="Calibri Light"/>
          <w:sz w:val="22"/>
          <w:szCs w:val="22"/>
        </w:rPr>
      </w:pPr>
    </w:p>
    <w:p w:rsidR="00AF2F61" w:rsidRPr="00B8721C" w:rsidRDefault="00AF2F61" w:rsidP="00AF2F61">
      <w:pPr>
        <w:tabs>
          <w:tab w:val="center" w:pos="5400"/>
        </w:tabs>
        <w:suppressAutoHyphens/>
        <w:jc w:val="both"/>
        <w:rPr>
          <w:rFonts w:ascii="Calibri Light" w:hAnsi="Calibri Light"/>
          <w:sz w:val="22"/>
          <w:szCs w:val="22"/>
        </w:rPr>
      </w:pPr>
    </w:p>
    <w:p w:rsidR="00AF2F61" w:rsidRPr="00B8721C" w:rsidRDefault="003C37D2" w:rsidP="00AF2F61">
      <w:pPr>
        <w:tabs>
          <w:tab w:val="center" w:pos="5400"/>
        </w:tabs>
        <w:suppressAutoHyphens/>
        <w:rPr>
          <w:rFonts w:ascii="Calibri Light" w:hAnsi="Calibri Light"/>
          <w:sz w:val="22"/>
          <w:szCs w:val="22"/>
        </w:rPr>
      </w:pPr>
      <w:proofErr w:type="spellStart"/>
      <w:r w:rsidRPr="00B8721C">
        <w:rPr>
          <w:rFonts w:ascii="Calibri Light" w:hAnsi="Calibri Light"/>
          <w:sz w:val="22"/>
          <w:szCs w:val="22"/>
        </w:rPr>
        <w:t>posecu</w:t>
      </w:r>
      <w:proofErr w:type="spellEnd"/>
    </w:p>
    <w:p w:rsidR="00AF2F61" w:rsidRPr="00B8721C" w:rsidRDefault="00AF2F61" w:rsidP="00AF2F61">
      <w:pPr>
        <w:tabs>
          <w:tab w:val="center" w:pos="5400"/>
        </w:tabs>
        <w:suppressAutoHyphens/>
        <w:rPr>
          <w:rFonts w:ascii="Calibri Light" w:hAnsi="Calibri Light"/>
          <w:sz w:val="22"/>
          <w:szCs w:val="22"/>
        </w:rPr>
      </w:pPr>
    </w:p>
    <w:p w:rsidR="00AF2F61" w:rsidRPr="00B8721C" w:rsidRDefault="00AF2F61" w:rsidP="00AF2F61">
      <w:pPr>
        <w:tabs>
          <w:tab w:val="center" w:pos="5400"/>
        </w:tabs>
        <w:suppressAutoHyphens/>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122D28" w:rsidP="00AF2F61">
      <w:pPr>
        <w:tabs>
          <w:tab w:val="center" w:pos="5400"/>
        </w:tabs>
        <w:suppressAutoHyphens/>
        <w:jc w:val="center"/>
        <w:rPr>
          <w:rFonts w:ascii="Calibri Light" w:hAnsi="Calibri Light"/>
          <w:sz w:val="22"/>
          <w:szCs w:val="22"/>
        </w:rPr>
      </w:pPr>
      <w:r w:rsidRPr="00B8721C">
        <w:rPr>
          <w:noProof/>
          <w:lang w:eastAsia="zh-CN"/>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rsidR="00637A06" w:rsidRPr="00AF2F61" w:rsidRDefault="00637A06" w:rsidP="00AF2F61">
                            <w:pPr>
                              <w:spacing w:line="276" w:lineRule="auto"/>
                              <w:rPr>
                                <w:rFonts w:ascii="Cambria" w:hAnsi="Cambria" w:cs="Arial"/>
                                <w:b/>
                                <w:bCs/>
                                <w:color w:val="0D0D0D"/>
                                <w:sz w:val="36"/>
                                <w:szCs w:val="40"/>
                              </w:rPr>
                            </w:pPr>
                            <w:r w:rsidRPr="00AF2F61">
                              <w:rPr>
                                <w:rFonts w:ascii="Cambria" w:hAnsi="Cambria" w:cs="Arial"/>
                                <w:b/>
                                <w:bCs/>
                                <w:color w:val="0D0D0D"/>
                                <w:sz w:val="36"/>
                                <w:szCs w:val="40"/>
                              </w:rPr>
                              <w:t xml:space="preserve">REPORT No. </w:t>
                            </w:r>
                            <w:r>
                              <w:rPr>
                                <w:rFonts w:ascii="Cambria" w:hAnsi="Cambria" w:cs="Arial"/>
                                <w:b/>
                                <w:bCs/>
                                <w:color w:val="0D0D0D"/>
                                <w:sz w:val="36"/>
                                <w:szCs w:val="40"/>
                              </w:rPr>
                              <w:t>150/18</w:t>
                            </w:r>
                          </w:p>
                          <w:p w:rsidR="00637A06" w:rsidRPr="00AF2F61" w:rsidRDefault="00637A06" w:rsidP="00AF2F61">
                            <w:pPr>
                              <w:spacing w:line="276" w:lineRule="auto"/>
                              <w:rPr>
                                <w:rFonts w:ascii="Cambria" w:hAnsi="Cambria" w:cs="Arial"/>
                                <w:b/>
                                <w:bCs/>
                                <w:color w:val="0D0D0D"/>
                                <w:sz w:val="36"/>
                                <w:szCs w:val="40"/>
                              </w:rPr>
                            </w:pPr>
                            <w:r w:rsidRPr="00AF2F61">
                              <w:rPr>
                                <w:rFonts w:ascii="Cambria" w:hAnsi="Cambria" w:cs="Arial"/>
                                <w:b/>
                                <w:bCs/>
                                <w:color w:val="0D0D0D"/>
                                <w:sz w:val="36"/>
                                <w:szCs w:val="40"/>
                              </w:rPr>
                              <w:t>CASE 12.</w:t>
                            </w:r>
                            <w:r>
                              <w:rPr>
                                <w:rFonts w:ascii="Cambria" w:hAnsi="Cambria" w:cs="Arial"/>
                                <w:b/>
                                <w:bCs/>
                                <w:color w:val="0D0D0D"/>
                                <w:sz w:val="36"/>
                                <w:szCs w:val="40"/>
                              </w:rPr>
                              <w:t>954</w:t>
                            </w:r>
                          </w:p>
                          <w:p w:rsidR="00637A06" w:rsidRPr="00AF2F61" w:rsidRDefault="00637A06" w:rsidP="00AF2F61">
                            <w:pPr>
                              <w:spacing w:line="276" w:lineRule="auto"/>
                              <w:rPr>
                                <w:rFonts w:ascii="Cambria" w:hAnsi="Cambria" w:cs="Arial"/>
                                <w:color w:val="0D0D0D"/>
                                <w:szCs w:val="22"/>
                              </w:rPr>
                            </w:pPr>
                            <w:r w:rsidRPr="00AF2F61">
                              <w:rPr>
                                <w:rFonts w:ascii="Cambria" w:hAnsi="Cambria" w:cs="Arial"/>
                                <w:color w:val="0D0D0D"/>
                                <w:szCs w:val="22"/>
                              </w:rPr>
                              <w:t xml:space="preserve">MERITS </w:t>
                            </w:r>
                          </w:p>
                          <w:p w:rsidR="00637A06" w:rsidRPr="00AF2F61" w:rsidRDefault="00637A06" w:rsidP="00AF2F61">
                            <w:pPr>
                              <w:spacing w:line="276" w:lineRule="auto"/>
                              <w:rPr>
                                <w:rFonts w:ascii="Cambria" w:hAnsi="Cambria" w:cs="Arial"/>
                                <w:color w:val="0D0D0D"/>
                                <w:szCs w:val="22"/>
                              </w:rPr>
                            </w:pPr>
                          </w:p>
                          <w:p w:rsidR="00637A06" w:rsidRPr="00635B5B" w:rsidRDefault="00637A06" w:rsidP="00AF2F61">
                            <w:pPr>
                              <w:spacing w:line="276" w:lineRule="auto"/>
                              <w:rPr>
                                <w:rFonts w:ascii="Cambria" w:hAnsi="Cambria" w:cs="Arial"/>
                                <w:color w:val="0D0D0D"/>
                                <w:szCs w:val="22"/>
                              </w:rPr>
                            </w:pPr>
                            <w:r w:rsidRPr="00122D28">
                              <w:rPr>
                                <w:rFonts w:ascii="Cambria" w:hAnsi="Cambria" w:cs="Arial"/>
                                <w:color w:val="0D0D0D"/>
                                <w:szCs w:val="22"/>
                              </w:rPr>
                              <w:t>JINETH BEDOYA LIMA</w:t>
                            </w:r>
                            <w:r>
                              <w:rPr>
                                <w:rFonts w:ascii="Cambria" w:hAnsi="Cambria" w:cs="Arial"/>
                                <w:color w:val="0D0D0D"/>
                                <w:szCs w:val="22"/>
                              </w:rPr>
                              <w:t xml:space="preserve"> </w:t>
                            </w:r>
                            <w:r w:rsidRPr="00635B5B">
                              <w:rPr>
                                <w:rFonts w:ascii="Cambria" w:hAnsi="Cambria" w:cs="Arial"/>
                                <w:color w:val="0D0D0D"/>
                                <w:szCs w:val="22"/>
                              </w:rPr>
                              <w:t>AND OTHER</w:t>
                            </w:r>
                          </w:p>
                          <w:p w:rsidR="00637A06" w:rsidRPr="00AF2F61" w:rsidRDefault="00637A06" w:rsidP="00AF2F61">
                            <w:pPr>
                              <w:spacing w:line="276" w:lineRule="auto"/>
                              <w:rPr>
                                <w:rFonts w:ascii="Cambria" w:hAnsi="Cambria"/>
                                <w:color w:val="0D0D0D"/>
                                <w:lang w:val="es-ES_tradnl"/>
                              </w:rPr>
                            </w:pPr>
                            <w:r w:rsidRPr="00635B5B">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" filled="f" stroked="f" strokeweight=".5pt">
                <v:path arrowok="t"/>
                <v:textbox>
                  <w:txbxContent>
                    <w:p w:rsidR="00637A06" w:rsidRPr="00AF2F61" w:rsidRDefault="00637A06" w:rsidP="00AF2F61">
                      <w:pPr>
                        <w:spacing w:line="276" w:lineRule="auto"/>
                        <w:rPr>
                          <w:rFonts w:ascii="Cambria" w:hAnsi="Cambria" w:cs="Arial"/>
                          <w:b/>
                          <w:bCs/>
                          <w:color w:val="0D0D0D"/>
                          <w:sz w:val="36"/>
                          <w:szCs w:val="40"/>
                        </w:rPr>
                      </w:pPr>
                      <w:r w:rsidRPr="00AF2F61">
                        <w:rPr>
                          <w:rFonts w:ascii="Cambria" w:hAnsi="Cambria" w:cs="Arial"/>
                          <w:b/>
                          <w:bCs/>
                          <w:color w:val="0D0D0D"/>
                          <w:sz w:val="36"/>
                          <w:szCs w:val="40"/>
                        </w:rPr>
                        <w:t xml:space="preserve">REPORT No. </w:t>
                      </w:r>
                      <w:r>
                        <w:rPr>
                          <w:rFonts w:ascii="Cambria" w:hAnsi="Cambria" w:cs="Arial"/>
                          <w:b/>
                          <w:bCs/>
                          <w:color w:val="0D0D0D"/>
                          <w:sz w:val="36"/>
                          <w:szCs w:val="40"/>
                        </w:rPr>
                        <w:t>150/18</w:t>
                      </w:r>
                    </w:p>
                    <w:p w:rsidR="00637A06" w:rsidRPr="00AF2F61" w:rsidRDefault="00637A06" w:rsidP="00AF2F61">
                      <w:pPr>
                        <w:spacing w:line="276" w:lineRule="auto"/>
                        <w:rPr>
                          <w:rFonts w:ascii="Cambria" w:hAnsi="Cambria" w:cs="Arial"/>
                          <w:b/>
                          <w:bCs/>
                          <w:color w:val="0D0D0D"/>
                          <w:sz w:val="36"/>
                          <w:szCs w:val="40"/>
                        </w:rPr>
                      </w:pPr>
                      <w:r w:rsidRPr="00AF2F61">
                        <w:rPr>
                          <w:rFonts w:ascii="Cambria" w:hAnsi="Cambria" w:cs="Arial"/>
                          <w:b/>
                          <w:bCs/>
                          <w:color w:val="0D0D0D"/>
                          <w:sz w:val="36"/>
                          <w:szCs w:val="40"/>
                        </w:rPr>
                        <w:t>CASE 12.</w:t>
                      </w:r>
                      <w:r>
                        <w:rPr>
                          <w:rFonts w:ascii="Cambria" w:hAnsi="Cambria" w:cs="Arial"/>
                          <w:b/>
                          <w:bCs/>
                          <w:color w:val="0D0D0D"/>
                          <w:sz w:val="36"/>
                          <w:szCs w:val="40"/>
                        </w:rPr>
                        <w:t>954</w:t>
                      </w:r>
                    </w:p>
                    <w:p w:rsidR="00637A06" w:rsidRPr="00AF2F61" w:rsidRDefault="00637A06" w:rsidP="00AF2F61">
                      <w:pPr>
                        <w:spacing w:line="276" w:lineRule="auto"/>
                        <w:rPr>
                          <w:rFonts w:ascii="Cambria" w:hAnsi="Cambria" w:cs="Arial"/>
                          <w:color w:val="0D0D0D"/>
                          <w:szCs w:val="22"/>
                        </w:rPr>
                      </w:pPr>
                      <w:r w:rsidRPr="00AF2F61">
                        <w:rPr>
                          <w:rFonts w:ascii="Cambria" w:hAnsi="Cambria" w:cs="Arial"/>
                          <w:color w:val="0D0D0D"/>
                          <w:szCs w:val="22"/>
                        </w:rPr>
                        <w:t xml:space="preserve">MERITS </w:t>
                      </w:r>
                    </w:p>
                    <w:p w:rsidR="00637A06" w:rsidRPr="00AF2F61" w:rsidRDefault="00637A06" w:rsidP="00AF2F61">
                      <w:pPr>
                        <w:spacing w:line="276" w:lineRule="auto"/>
                        <w:rPr>
                          <w:rFonts w:ascii="Cambria" w:hAnsi="Cambria" w:cs="Arial"/>
                          <w:color w:val="0D0D0D"/>
                          <w:szCs w:val="22"/>
                        </w:rPr>
                      </w:pPr>
                    </w:p>
                    <w:p w:rsidR="00637A06" w:rsidRPr="00635B5B" w:rsidRDefault="00637A06" w:rsidP="00AF2F61">
                      <w:pPr>
                        <w:spacing w:line="276" w:lineRule="auto"/>
                        <w:rPr>
                          <w:rFonts w:ascii="Cambria" w:hAnsi="Cambria" w:cs="Arial"/>
                          <w:color w:val="0D0D0D"/>
                          <w:szCs w:val="22"/>
                        </w:rPr>
                      </w:pPr>
                      <w:r w:rsidRPr="00122D28">
                        <w:rPr>
                          <w:rFonts w:ascii="Cambria" w:hAnsi="Cambria" w:cs="Arial"/>
                          <w:color w:val="0D0D0D"/>
                          <w:szCs w:val="22"/>
                        </w:rPr>
                        <w:t>JINETH BEDOYA LIMA</w:t>
                      </w:r>
                      <w:r>
                        <w:rPr>
                          <w:rFonts w:ascii="Cambria" w:hAnsi="Cambria" w:cs="Arial"/>
                          <w:color w:val="0D0D0D"/>
                          <w:szCs w:val="22"/>
                        </w:rPr>
                        <w:t xml:space="preserve"> </w:t>
                      </w:r>
                      <w:r w:rsidRPr="00635B5B">
                        <w:rPr>
                          <w:rFonts w:ascii="Cambria" w:hAnsi="Cambria" w:cs="Arial"/>
                          <w:color w:val="0D0D0D"/>
                          <w:szCs w:val="22"/>
                        </w:rPr>
                        <w:t>AND OTHER</w:t>
                      </w:r>
                    </w:p>
                    <w:p w:rsidR="00637A06" w:rsidRPr="00AF2F61" w:rsidRDefault="00637A06" w:rsidP="00AF2F61">
                      <w:pPr>
                        <w:spacing w:line="276" w:lineRule="auto"/>
                        <w:rPr>
                          <w:rFonts w:ascii="Cambria" w:hAnsi="Cambria"/>
                          <w:color w:val="0D0D0D"/>
                          <w:lang w:val="es-ES_tradnl"/>
                        </w:rPr>
                      </w:pPr>
                      <w:r w:rsidRPr="00635B5B">
                        <w:rPr>
                          <w:rFonts w:ascii="Cambria" w:hAnsi="Cambria" w:cs="Arial"/>
                          <w:color w:val="0D0D0D"/>
                          <w:szCs w:val="22"/>
                          <w:lang w:val="es-ES_tradnl"/>
                        </w:rPr>
                        <w:t>COLOMBIA</w:t>
                      </w:r>
                    </w:p>
                  </w:txbxContent>
                </v:textbox>
              </v:shape>
            </w:pict>
          </mc:Fallback>
        </mc:AlternateContent>
      </w:r>
      <w:r w:rsidRPr="00B8721C">
        <w:rPr>
          <w:noProof/>
          <w:lang w:eastAsia="zh-CN"/>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637A06" w:rsidRPr="005D26D9" w:rsidRDefault="00637A06" w:rsidP="00AF2F61">
                            <w:pPr>
                              <w:jc w:val="right"/>
                              <w:rPr>
                                <w:rFonts w:ascii="Calibri" w:hAnsi="Calibri"/>
                                <w:color w:val="FFFFFF"/>
                                <w:sz w:val="22"/>
                                <w:lang w:val="pt-BR"/>
                              </w:rPr>
                            </w:pPr>
                            <w:r w:rsidRPr="005D26D9">
                              <w:rPr>
                                <w:rFonts w:ascii="Calibri" w:hAnsi="Calibri"/>
                                <w:color w:val="FFFFFF"/>
                                <w:sz w:val="22"/>
                                <w:lang w:val="pt-BR"/>
                              </w:rPr>
                              <w:t>OEA/Ser.L/V/II.</w:t>
                            </w:r>
                          </w:p>
                          <w:p w:rsidR="00637A06" w:rsidRPr="005D26D9" w:rsidRDefault="00637A06" w:rsidP="00AF2F61">
                            <w:pPr>
                              <w:jc w:val="right"/>
                              <w:rPr>
                                <w:rFonts w:ascii="Calibri" w:hAnsi="Calibri"/>
                                <w:color w:val="FFFFFF"/>
                                <w:sz w:val="22"/>
                                <w:lang w:val="pt-BR"/>
                              </w:rPr>
                            </w:pPr>
                            <w:r w:rsidRPr="005D26D9">
                              <w:rPr>
                                <w:rFonts w:ascii="Calibri" w:hAnsi="Calibri"/>
                                <w:color w:val="FFFFFF"/>
                                <w:sz w:val="22"/>
                                <w:lang w:val="pt-BR"/>
                              </w:rPr>
                              <w:t>Doc. 172</w:t>
                            </w:r>
                          </w:p>
                          <w:p w:rsidR="00637A06" w:rsidRPr="00972A92" w:rsidRDefault="00637A06" w:rsidP="00AF2F61">
                            <w:pPr>
                              <w:jc w:val="right"/>
                              <w:rPr>
                                <w:rFonts w:ascii="Calibri" w:hAnsi="Calibri"/>
                                <w:color w:val="FFFFFF"/>
                                <w:sz w:val="22"/>
                              </w:rPr>
                            </w:pPr>
                            <w:r w:rsidRPr="00972A92">
                              <w:rPr>
                                <w:rFonts w:ascii="Calibri" w:hAnsi="Calibri"/>
                                <w:color w:val="FFFFFF"/>
                                <w:sz w:val="22"/>
                              </w:rPr>
                              <w:t>7 December 2018</w:t>
                            </w:r>
                          </w:p>
                          <w:p w:rsidR="00637A06" w:rsidRPr="00AF2F61" w:rsidRDefault="00637A06" w:rsidP="00AF2F61">
                            <w:pPr>
                              <w:jc w:val="right"/>
                              <w:rPr>
                                <w:rFonts w:ascii="Calibri" w:hAnsi="Calibri"/>
                                <w:color w:val="FFFFFF"/>
                                <w:sz w:val="22"/>
                              </w:rPr>
                            </w:pPr>
                            <w:r w:rsidRPr="00972A92">
                              <w:rPr>
                                <w:rFonts w:ascii="Calibri" w:hAnsi="Calibri"/>
                                <w:color w:val="FFFFFF"/>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R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YmZx52UJ6QBgt9GznDVzVmtGbOvzCLfYMF4iz4Z1xkAxgZhh0l&#10;Fdhff7sPeJQTrZS02IcFdT8PzApKmm8ahf6cTqehceNhOrud4MFeW3bXFn1QD4CtnuLUGR63Ae+b&#10;81ZaUK84MssQFU1Mc4xdUH/ePvh+OnDkuFguIwhb1TC/1hvDz+oHvrfdK7NmEMWjnk9w7liWv9Om&#10;x/bqLA8eZB2FCzz3rA5thG0epR9GMszR9Tmi3n4ci9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BFKRRFBAgAAgAQA&#10;AA4AAAAAAAAAAAAAAAAALgIAAGRycy9lMm9Eb2MueG1sUEsBAi0AFAAGAAgAAAAhAGKknRffAAAA&#10;CgEAAA8AAAAAAAAAAAAAAAAAmwQAAGRycy9kb3ducmV2LnhtbFBLBQYAAAAABAAEAPMAAACnBQAA&#10;AAA=&#10;" filled="f" stroked="f" strokeweight=".5pt">
                <v:path arrowok="t"/>
                <v:textbox>
                  <w:txbxContent>
                    <w:p w:rsidR="00637A06" w:rsidRPr="005D26D9" w:rsidRDefault="00637A06" w:rsidP="00AF2F61">
                      <w:pPr>
                        <w:jc w:val="right"/>
                        <w:rPr>
                          <w:rFonts w:ascii="Calibri" w:hAnsi="Calibri"/>
                          <w:color w:val="FFFFFF"/>
                          <w:sz w:val="22"/>
                          <w:lang w:val="pt-BR"/>
                        </w:rPr>
                      </w:pPr>
                      <w:r w:rsidRPr="005D26D9">
                        <w:rPr>
                          <w:rFonts w:ascii="Calibri" w:hAnsi="Calibri"/>
                          <w:color w:val="FFFFFF"/>
                          <w:sz w:val="22"/>
                          <w:lang w:val="pt-BR"/>
                        </w:rPr>
                        <w:t>OEA/Ser.L/V/II.</w:t>
                      </w:r>
                    </w:p>
                    <w:p w:rsidR="00637A06" w:rsidRPr="005D26D9" w:rsidRDefault="00637A06" w:rsidP="00AF2F61">
                      <w:pPr>
                        <w:jc w:val="right"/>
                        <w:rPr>
                          <w:rFonts w:ascii="Calibri" w:hAnsi="Calibri"/>
                          <w:color w:val="FFFFFF"/>
                          <w:sz w:val="22"/>
                          <w:lang w:val="pt-BR"/>
                        </w:rPr>
                      </w:pPr>
                      <w:r w:rsidRPr="005D26D9">
                        <w:rPr>
                          <w:rFonts w:ascii="Calibri" w:hAnsi="Calibri"/>
                          <w:color w:val="FFFFFF"/>
                          <w:sz w:val="22"/>
                          <w:lang w:val="pt-BR"/>
                        </w:rPr>
                        <w:t>Doc. 172</w:t>
                      </w:r>
                    </w:p>
                    <w:p w:rsidR="00637A06" w:rsidRPr="00972A92" w:rsidRDefault="00637A06" w:rsidP="00AF2F61">
                      <w:pPr>
                        <w:jc w:val="right"/>
                        <w:rPr>
                          <w:rFonts w:ascii="Calibri" w:hAnsi="Calibri"/>
                          <w:color w:val="FFFFFF"/>
                          <w:sz w:val="22"/>
                        </w:rPr>
                      </w:pPr>
                      <w:r w:rsidRPr="00972A92">
                        <w:rPr>
                          <w:rFonts w:ascii="Calibri" w:hAnsi="Calibri"/>
                          <w:color w:val="FFFFFF"/>
                          <w:sz w:val="22"/>
                        </w:rPr>
                        <w:t>7 December 2018</w:t>
                      </w:r>
                    </w:p>
                    <w:p w:rsidR="00637A06" w:rsidRPr="00AF2F61" w:rsidRDefault="00637A06" w:rsidP="00AF2F61">
                      <w:pPr>
                        <w:jc w:val="right"/>
                        <w:rPr>
                          <w:rFonts w:ascii="Calibri" w:hAnsi="Calibri"/>
                          <w:color w:val="FFFFFF"/>
                          <w:sz w:val="22"/>
                        </w:rPr>
                      </w:pPr>
                      <w:r w:rsidRPr="00972A92">
                        <w:rPr>
                          <w:rFonts w:ascii="Calibri" w:hAnsi="Calibri"/>
                          <w:color w:val="FFFFFF"/>
                          <w:sz w:val="22"/>
                        </w:rPr>
                        <w:t>Original: Spanish</w:t>
                      </w:r>
                    </w:p>
                  </w:txbxContent>
                </v:textbox>
              </v:shape>
            </w:pict>
          </mc:Fallback>
        </mc:AlternateContent>
      </w: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cs="Arial"/>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22"/>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122D28" w:rsidP="00AF2F61">
      <w:pPr>
        <w:tabs>
          <w:tab w:val="center" w:pos="5400"/>
        </w:tabs>
        <w:suppressAutoHyphens/>
        <w:jc w:val="center"/>
        <w:rPr>
          <w:rFonts w:ascii="Calibri Light" w:hAnsi="Calibri Light"/>
          <w:sz w:val="18"/>
          <w:szCs w:val="22"/>
        </w:rPr>
      </w:pPr>
      <w:r w:rsidRPr="00B8721C">
        <w:rPr>
          <w:noProof/>
          <w:lang w:eastAsia="zh-CN"/>
        </w:rPr>
        <mc:AlternateContent>
          <mc:Choice Requires="wps">
            <w:drawing>
              <wp:anchor distT="0" distB="0" distL="114300" distR="114300" simplePos="0" relativeHeight="251656192" behindDoc="0" locked="0" layoutInCell="1" allowOverlap="1">
                <wp:simplePos x="0" y="0"/>
                <wp:positionH relativeFrom="column">
                  <wp:posOffset>1208405</wp:posOffset>
                </wp:positionH>
                <wp:positionV relativeFrom="paragraph">
                  <wp:posOffset>47625</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637A06" w:rsidRPr="00122D28" w:rsidRDefault="00637A06" w:rsidP="00AF2F61">
                            <w:pPr>
                              <w:tabs>
                                <w:tab w:val="center" w:pos="5400"/>
                              </w:tabs>
                              <w:suppressAutoHyphens/>
                              <w:spacing w:before="60"/>
                              <w:jc w:val="both"/>
                              <w:rPr>
                                <w:rFonts w:ascii="Cambria" w:hAnsi="Cambria"/>
                                <w:color w:val="0D0D0D"/>
                                <w:sz w:val="18"/>
                                <w:szCs w:val="22"/>
                              </w:rPr>
                            </w:pPr>
                            <w:r w:rsidRPr="00122D28">
                              <w:rPr>
                                <w:rFonts w:ascii="Cambria" w:hAnsi="Cambria"/>
                                <w:color w:val="0D0D0D"/>
                                <w:sz w:val="18"/>
                                <w:szCs w:val="20"/>
                              </w:rPr>
                              <w:t xml:space="preserve">Approved by the </w:t>
                            </w:r>
                            <w:r>
                              <w:rPr>
                                <w:rFonts w:ascii="Cambria" w:hAnsi="Cambria"/>
                                <w:color w:val="0D0D0D"/>
                                <w:sz w:val="18"/>
                                <w:szCs w:val="20"/>
                              </w:rPr>
                              <w:t>Commission at its session No. 2142 held on December 7, 2018</w:t>
                            </w:r>
                            <w:r w:rsidRPr="00122D28">
                              <w:rPr>
                                <w:rFonts w:ascii="Cambria" w:hAnsi="Cambria"/>
                                <w:color w:val="0D0D0D"/>
                                <w:sz w:val="18"/>
                                <w:szCs w:val="20"/>
                              </w:rPr>
                              <w:br/>
                            </w:r>
                            <w:r>
                              <w:rPr>
                                <w:rFonts w:ascii="Cambria" w:hAnsi="Cambria" w:cs="Univers"/>
                                <w:color w:val="0D0D0D"/>
                                <w:sz w:val="18"/>
                                <w:szCs w:val="20"/>
                              </w:rPr>
                              <w:t>170</w:t>
                            </w:r>
                            <w:r w:rsidRPr="00122D28">
                              <w:rPr>
                                <w:rFonts w:ascii="Cambria" w:hAnsi="Cambria" w:cs="Univers"/>
                                <w:color w:val="0D0D0D"/>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3.75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" filled="f" stroked="f" strokeweight=".5pt">
                <v:path arrowok="t"/>
                <v:textbox>
                  <w:txbxContent>
                    <w:p w:rsidR="00637A06" w:rsidRPr="00122D28" w:rsidRDefault="00637A06" w:rsidP="00AF2F61">
                      <w:pPr>
                        <w:tabs>
                          <w:tab w:val="center" w:pos="5400"/>
                        </w:tabs>
                        <w:suppressAutoHyphens/>
                        <w:spacing w:before="60"/>
                        <w:jc w:val="both"/>
                        <w:rPr>
                          <w:rFonts w:ascii="Cambria" w:hAnsi="Cambria"/>
                          <w:color w:val="0D0D0D"/>
                          <w:sz w:val="18"/>
                          <w:szCs w:val="22"/>
                        </w:rPr>
                      </w:pPr>
                      <w:r w:rsidRPr="00122D28">
                        <w:rPr>
                          <w:rFonts w:ascii="Cambria" w:hAnsi="Cambria"/>
                          <w:color w:val="0D0D0D"/>
                          <w:sz w:val="18"/>
                          <w:szCs w:val="20"/>
                        </w:rPr>
                        <w:t xml:space="preserve">Approved by the </w:t>
                      </w:r>
                      <w:r>
                        <w:rPr>
                          <w:rFonts w:ascii="Cambria" w:hAnsi="Cambria"/>
                          <w:color w:val="0D0D0D"/>
                          <w:sz w:val="18"/>
                          <w:szCs w:val="20"/>
                        </w:rPr>
                        <w:t>Commission at its session No. 2142 held on December 7, 2018</w:t>
                      </w:r>
                      <w:r w:rsidRPr="00122D28">
                        <w:rPr>
                          <w:rFonts w:ascii="Cambria" w:hAnsi="Cambria"/>
                          <w:color w:val="0D0D0D"/>
                          <w:sz w:val="18"/>
                          <w:szCs w:val="20"/>
                        </w:rPr>
                        <w:br/>
                      </w:r>
                      <w:r>
                        <w:rPr>
                          <w:rFonts w:ascii="Cambria" w:hAnsi="Cambria" w:cs="Univers"/>
                          <w:color w:val="0D0D0D"/>
                          <w:sz w:val="18"/>
                          <w:szCs w:val="20"/>
                        </w:rPr>
                        <w:t>170</w:t>
                      </w:r>
                      <w:r w:rsidRPr="00122D28">
                        <w:rPr>
                          <w:rFonts w:ascii="Cambria" w:hAnsi="Cambria" w:cs="Univers"/>
                          <w:color w:val="0D0D0D"/>
                          <w:sz w:val="18"/>
                          <w:szCs w:val="20"/>
                        </w:rPr>
                        <w:t xml:space="preserve"> Regular Period of Sessions</w:t>
                      </w:r>
                    </w:p>
                  </w:txbxContent>
                </v:textbox>
              </v:shape>
            </w:pict>
          </mc:Fallback>
        </mc:AlternateContent>
      </w: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7C1BF9" w:rsidP="00AF2F61">
      <w:pPr>
        <w:tabs>
          <w:tab w:val="center" w:pos="5400"/>
        </w:tabs>
        <w:suppressAutoHyphens/>
        <w:jc w:val="center"/>
        <w:rPr>
          <w:rFonts w:ascii="Calibri Light" w:hAnsi="Calibri Light"/>
          <w:sz w:val="18"/>
          <w:szCs w:val="22"/>
        </w:rPr>
      </w:pPr>
      <w:r w:rsidRPr="00B8721C">
        <w:rPr>
          <w:noProof/>
          <w:lang w:eastAsia="zh-CN"/>
        </w:rPr>
        <mc:AlternateContent>
          <mc:Choice Requires="wps">
            <w:drawing>
              <wp:anchor distT="0" distB="0" distL="114300" distR="114300" simplePos="0" relativeHeight="251659264" behindDoc="0" locked="0" layoutInCell="1" allowOverlap="1" wp14:anchorId="3D1EF4C1" wp14:editId="67A06D8C">
                <wp:simplePos x="0" y="0"/>
                <wp:positionH relativeFrom="column">
                  <wp:posOffset>1253490</wp:posOffset>
                </wp:positionH>
                <wp:positionV relativeFrom="paragraph">
                  <wp:posOffset>20056</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637A06" w:rsidRDefault="00637A06" w:rsidP="00AF2F61">
                            <w:pPr>
                              <w:spacing w:line="276" w:lineRule="auto"/>
                              <w:jc w:val="both"/>
                              <w:rPr>
                                <w:rFonts w:ascii="Cambria" w:hAnsi="Cambria"/>
                                <w:color w:val="595959"/>
                                <w:sz w:val="18"/>
                              </w:rPr>
                            </w:pPr>
                            <w:r w:rsidRPr="00122D28">
                              <w:rPr>
                                <w:rFonts w:ascii="Cambria" w:hAnsi="Cambria"/>
                                <w:b/>
                                <w:color w:val="595959"/>
                                <w:sz w:val="18"/>
                              </w:rPr>
                              <w:t xml:space="preserve">Cite as: </w:t>
                            </w:r>
                            <w:r>
                              <w:rPr>
                                <w:rFonts w:ascii="Cambria" w:hAnsi="Cambria"/>
                                <w:color w:val="595959"/>
                                <w:sz w:val="18"/>
                              </w:rPr>
                              <w:t xml:space="preserve">IACHR, </w:t>
                            </w:r>
                            <w:r w:rsidRPr="00635B5B">
                              <w:rPr>
                                <w:rFonts w:ascii="Cambria" w:hAnsi="Cambria"/>
                                <w:color w:val="595959"/>
                                <w:sz w:val="18"/>
                              </w:rPr>
                              <w:t xml:space="preserve">Report No. 150/18, Case 12.954. Merits. </w:t>
                            </w:r>
                            <w:proofErr w:type="spellStart"/>
                            <w:r w:rsidRPr="00635B5B">
                              <w:rPr>
                                <w:rFonts w:ascii="Cambria" w:hAnsi="Cambria"/>
                                <w:color w:val="595959"/>
                                <w:sz w:val="18"/>
                              </w:rPr>
                              <w:t>Jineth</w:t>
                            </w:r>
                            <w:proofErr w:type="spellEnd"/>
                            <w:r w:rsidRPr="00635B5B">
                              <w:rPr>
                                <w:rFonts w:ascii="Cambria" w:hAnsi="Cambria"/>
                                <w:color w:val="595959"/>
                                <w:sz w:val="18"/>
                              </w:rPr>
                              <w:t xml:space="preserve"> Bedoya Lima and other. </w:t>
                            </w:r>
                            <w:r w:rsidRPr="00635B5B">
                              <w:rPr>
                                <w:rFonts w:ascii="Cambria" w:hAnsi="Cambria"/>
                                <w:color w:val="595959"/>
                                <w:sz w:val="18"/>
                                <w:lang w:val="es-ES"/>
                              </w:rPr>
                              <w:t xml:space="preserve">Colombia. </w:t>
                            </w:r>
                            <w:r w:rsidRPr="00635B5B">
                              <w:rPr>
                                <w:rFonts w:ascii="Cambria" w:hAnsi="Cambria"/>
                                <w:color w:val="595959"/>
                                <w:sz w:val="18"/>
                              </w:rPr>
                              <w:t>December 7, 2018.</w:t>
                            </w:r>
                          </w:p>
                          <w:p w:rsidR="007C1BF9" w:rsidRDefault="007C1BF9" w:rsidP="00AF2F61">
                            <w:pPr>
                              <w:spacing w:line="276" w:lineRule="auto"/>
                              <w:jc w:val="both"/>
                              <w:rPr>
                                <w:rFonts w:ascii="Cambria" w:hAnsi="Cambria"/>
                                <w:color w:val="595959"/>
                                <w:sz w:val="18"/>
                              </w:rPr>
                            </w:pPr>
                          </w:p>
                          <w:p w:rsidR="007C1BF9" w:rsidRDefault="007C1BF9" w:rsidP="00AF2F61">
                            <w:pPr>
                              <w:spacing w:line="276" w:lineRule="auto"/>
                              <w:jc w:val="both"/>
                              <w:rPr>
                                <w:rFonts w:ascii="Cambria" w:hAnsi="Cambria"/>
                                <w:color w:val="595959"/>
                                <w:sz w:val="18"/>
                              </w:rPr>
                            </w:pPr>
                          </w:p>
                          <w:p w:rsidR="007C1BF9" w:rsidRDefault="007C1BF9" w:rsidP="00AF2F61">
                            <w:pPr>
                              <w:spacing w:line="276" w:lineRule="auto"/>
                              <w:jc w:val="both"/>
                              <w:rPr>
                                <w:rFonts w:ascii="Cambria" w:hAnsi="Cambria"/>
                                <w:color w:val="595959"/>
                                <w:sz w:val="18"/>
                              </w:rPr>
                            </w:pPr>
                          </w:p>
                          <w:p w:rsidR="007C1BF9" w:rsidRDefault="007C1BF9" w:rsidP="00AF2F61">
                            <w:pPr>
                              <w:spacing w:line="276" w:lineRule="auto"/>
                              <w:jc w:val="both"/>
                              <w:rPr>
                                <w:rFonts w:ascii="Cambria" w:hAnsi="Cambria"/>
                                <w:color w:val="595959"/>
                                <w:sz w:val="18"/>
                              </w:rPr>
                            </w:pPr>
                          </w:p>
                          <w:p w:rsidR="007C1BF9" w:rsidRPr="00122D28" w:rsidRDefault="007C1BF9" w:rsidP="00AF2F61">
                            <w:pPr>
                              <w:spacing w:line="276" w:lineRule="auto"/>
                              <w:jc w:val="both"/>
                              <w:rPr>
                                <w:rFonts w:ascii="Cambria" w:hAnsi="Cambria"/>
                                <w:color w:val="595959"/>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8.7pt;margin-top:1.6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" filled="f" stroked="f" strokeweight=".5pt">
                <v:path arrowok="t"/>
                <v:textbox>
                  <w:txbxContent>
                    <w:p w:rsidR="00637A06" w:rsidRDefault="00637A06" w:rsidP="00AF2F61">
                      <w:pPr>
                        <w:spacing w:line="276" w:lineRule="auto"/>
                        <w:jc w:val="both"/>
                        <w:rPr>
                          <w:rFonts w:ascii="Cambria" w:hAnsi="Cambria"/>
                          <w:color w:val="595959"/>
                          <w:sz w:val="18"/>
                        </w:rPr>
                      </w:pPr>
                      <w:r w:rsidRPr="00122D28">
                        <w:rPr>
                          <w:rFonts w:ascii="Cambria" w:hAnsi="Cambria"/>
                          <w:b/>
                          <w:color w:val="595959"/>
                          <w:sz w:val="18"/>
                        </w:rPr>
                        <w:t xml:space="preserve">Cite as: </w:t>
                      </w:r>
                      <w:r>
                        <w:rPr>
                          <w:rFonts w:ascii="Cambria" w:hAnsi="Cambria"/>
                          <w:color w:val="595959"/>
                          <w:sz w:val="18"/>
                        </w:rPr>
                        <w:t xml:space="preserve">IACHR, </w:t>
                      </w:r>
                      <w:r w:rsidRPr="00635B5B">
                        <w:rPr>
                          <w:rFonts w:ascii="Cambria" w:hAnsi="Cambria"/>
                          <w:color w:val="595959"/>
                          <w:sz w:val="18"/>
                        </w:rPr>
                        <w:t xml:space="preserve">Report No. 150/18, Case 12.954. </w:t>
                      </w:r>
                      <w:proofErr w:type="gramStart"/>
                      <w:r w:rsidRPr="00635B5B">
                        <w:rPr>
                          <w:rFonts w:ascii="Cambria" w:hAnsi="Cambria"/>
                          <w:color w:val="595959"/>
                          <w:sz w:val="18"/>
                        </w:rPr>
                        <w:t>Merits.</w:t>
                      </w:r>
                      <w:proofErr w:type="gramEnd"/>
                      <w:r w:rsidRPr="00635B5B">
                        <w:rPr>
                          <w:rFonts w:ascii="Cambria" w:hAnsi="Cambria"/>
                          <w:color w:val="595959"/>
                          <w:sz w:val="18"/>
                        </w:rPr>
                        <w:t xml:space="preserve"> </w:t>
                      </w:r>
                      <w:proofErr w:type="spellStart"/>
                      <w:proofErr w:type="gramStart"/>
                      <w:r w:rsidRPr="00635B5B">
                        <w:rPr>
                          <w:rFonts w:ascii="Cambria" w:hAnsi="Cambria"/>
                          <w:color w:val="595959"/>
                          <w:sz w:val="18"/>
                        </w:rPr>
                        <w:t>Jineth</w:t>
                      </w:r>
                      <w:proofErr w:type="spellEnd"/>
                      <w:r w:rsidRPr="00635B5B">
                        <w:rPr>
                          <w:rFonts w:ascii="Cambria" w:hAnsi="Cambria"/>
                          <w:color w:val="595959"/>
                          <w:sz w:val="18"/>
                        </w:rPr>
                        <w:t xml:space="preserve"> Bedoya Lima and other.</w:t>
                      </w:r>
                      <w:proofErr w:type="gramEnd"/>
                      <w:r w:rsidRPr="00635B5B">
                        <w:rPr>
                          <w:rFonts w:ascii="Cambria" w:hAnsi="Cambria"/>
                          <w:color w:val="595959"/>
                          <w:sz w:val="18"/>
                        </w:rPr>
                        <w:t xml:space="preserve"> </w:t>
                      </w:r>
                      <w:r w:rsidRPr="00635B5B">
                        <w:rPr>
                          <w:rFonts w:ascii="Cambria" w:hAnsi="Cambria"/>
                          <w:color w:val="595959"/>
                          <w:sz w:val="18"/>
                          <w:lang w:val="es-ES"/>
                        </w:rPr>
                        <w:t xml:space="preserve">Colombia. </w:t>
                      </w:r>
                      <w:r w:rsidRPr="00635B5B">
                        <w:rPr>
                          <w:rFonts w:ascii="Cambria" w:hAnsi="Cambria"/>
                          <w:color w:val="595959"/>
                          <w:sz w:val="18"/>
                        </w:rPr>
                        <w:t>December 7, 2018.</w:t>
                      </w:r>
                    </w:p>
                    <w:p w:rsidR="007C1BF9" w:rsidRDefault="007C1BF9" w:rsidP="00AF2F61">
                      <w:pPr>
                        <w:spacing w:line="276" w:lineRule="auto"/>
                        <w:jc w:val="both"/>
                        <w:rPr>
                          <w:rFonts w:ascii="Cambria" w:hAnsi="Cambria"/>
                          <w:color w:val="595959"/>
                          <w:sz w:val="18"/>
                        </w:rPr>
                      </w:pPr>
                    </w:p>
                    <w:p w:rsidR="007C1BF9" w:rsidRDefault="007C1BF9" w:rsidP="00AF2F61">
                      <w:pPr>
                        <w:spacing w:line="276" w:lineRule="auto"/>
                        <w:jc w:val="both"/>
                        <w:rPr>
                          <w:rFonts w:ascii="Cambria" w:hAnsi="Cambria"/>
                          <w:color w:val="595959"/>
                          <w:sz w:val="18"/>
                        </w:rPr>
                      </w:pPr>
                    </w:p>
                    <w:p w:rsidR="007C1BF9" w:rsidRDefault="007C1BF9" w:rsidP="00AF2F61">
                      <w:pPr>
                        <w:spacing w:line="276" w:lineRule="auto"/>
                        <w:jc w:val="both"/>
                        <w:rPr>
                          <w:rFonts w:ascii="Cambria" w:hAnsi="Cambria"/>
                          <w:color w:val="595959"/>
                          <w:sz w:val="18"/>
                        </w:rPr>
                      </w:pPr>
                    </w:p>
                    <w:p w:rsidR="007C1BF9" w:rsidRDefault="007C1BF9" w:rsidP="00AF2F61">
                      <w:pPr>
                        <w:spacing w:line="276" w:lineRule="auto"/>
                        <w:jc w:val="both"/>
                        <w:rPr>
                          <w:rFonts w:ascii="Cambria" w:hAnsi="Cambria"/>
                          <w:color w:val="595959"/>
                          <w:sz w:val="18"/>
                        </w:rPr>
                      </w:pPr>
                    </w:p>
                    <w:p w:rsidR="007C1BF9" w:rsidRPr="00122D28" w:rsidRDefault="007C1BF9" w:rsidP="00AF2F61">
                      <w:pPr>
                        <w:spacing w:line="276" w:lineRule="auto"/>
                        <w:jc w:val="both"/>
                        <w:rPr>
                          <w:rFonts w:ascii="Cambria" w:hAnsi="Cambria"/>
                          <w:color w:val="595959"/>
                          <w:sz w:val="18"/>
                        </w:rPr>
                      </w:pPr>
                    </w:p>
                  </w:txbxContent>
                </v:textbox>
              </v:shape>
            </w:pict>
          </mc:Fallback>
        </mc:AlternateContent>
      </w: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AF2F61" w:rsidP="00AF2F61">
      <w:pPr>
        <w:tabs>
          <w:tab w:val="center" w:pos="5400"/>
        </w:tabs>
        <w:suppressAutoHyphens/>
        <w:jc w:val="center"/>
        <w:rPr>
          <w:rFonts w:ascii="Calibri Light" w:hAnsi="Calibri Light"/>
          <w:sz w:val="18"/>
          <w:szCs w:val="22"/>
        </w:rPr>
      </w:pPr>
    </w:p>
    <w:p w:rsidR="00AF2F61" w:rsidRPr="00B8721C" w:rsidRDefault="00122D28" w:rsidP="00AF2F61">
      <w:pPr>
        <w:tabs>
          <w:tab w:val="center" w:pos="5400"/>
        </w:tabs>
        <w:suppressAutoHyphens/>
        <w:jc w:val="center"/>
        <w:rPr>
          <w:rFonts w:ascii="Calibri Light" w:hAnsi="Calibri Light"/>
          <w:sz w:val="18"/>
          <w:szCs w:val="22"/>
        </w:rPr>
      </w:pPr>
      <w:r w:rsidRPr="00B8721C">
        <w:rPr>
          <w:noProof/>
          <w:lang w:eastAsia="zh-CN"/>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637A06" w:rsidRPr="00AF2F61" w:rsidRDefault="00637A06" w:rsidP="00AF2F61">
                            <w:pPr>
                              <w:jc w:val="center"/>
                              <w:rPr>
                                <w:rFonts w:ascii="Calibri" w:hAnsi="Calibri"/>
                                <w:b/>
                                <w:color w:val="FFFFFF"/>
                              </w:rPr>
                            </w:pPr>
                            <w:r w:rsidRPr="00AF2F61">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Ja6yJD8CAAB/BAAA&#10;DgAAAAAAAAAAAAAAAAAuAgAAZHJzL2Uyb0RvYy54bWxQSwECLQAUAAYACAAAACEAPoC6aOAAAAAL&#10;AQAADwAAAAAAAAAAAAAAAACZBAAAZHJzL2Rvd25yZXYueG1sUEsFBgAAAAAEAAQA8wAAAKYFAAAA&#10;AA==&#10;" filled="f" stroked="f" strokeweight=".5pt">
                <v:path arrowok="t"/>
                <v:textbox>
                  <w:txbxContent>
                    <w:p w:rsidR="00637A06" w:rsidRPr="00AF2F61" w:rsidRDefault="00637A06" w:rsidP="00AF2F61">
                      <w:pPr>
                        <w:jc w:val="center"/>
                        <w:rPr>
                          <w:rFonts w:ascii="Calibri" w:hAnsi="Calibri"/>
                          <w:b/>
                          <w:color w:val="FFFFFF"/>
                        </w:rPr>
                      </w:pPr>
                      <w:r w:rsidRPr="00AF2F61">
                        <w:rPr>
                          <w:rFonts w:ascii="Calibri" w:hAnsi="Calibri"/>
                          <w:b/>
                          <w:color w:val="FFFFFF"/>
                          <w:lang w:val="pt-BR"/>
                        </w:rPr>
                        <w:t>www.cidh.org</w:t>
                      </w:r>
                    </w:p>
                  </w:txbxContent>
                </v:textbox>
              </v:shape>
            </w:pict>
          </mc:Fallback>
        </mc:AlternateContent>
      </w:r>
      <w:r w:rsidRPr="00B8721C">
        <w:rPr>
          <w:noProof/>
          <w:lang w:eastAsia="zh-CN"/>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637A06" w:rsidRDefault="00637A06" w:rsidP="00AF2F61">
                            <w:r w:rsidRPr="00AF2F61">
                              <w:rPr>
                                <w:noProof/>
                                <w:lang w:eastAsia="zh-CN"/>
                              </w:rPr>
                              <w:drawing>
                                <wp:inline distT="0" distB="0" distL="0" distR="0">
                                  <wp:extent cx="1121410" cy="379730"/>
                                  <wp:effectExtent l="0" t="0" r="2540" b="1270"/>
                                  <wp:docPr id="3"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" fillcolor="window" stroked="f" strokeweight=".5pt">
                <v:path arrowok="t"/>
                <v:textbox>
                  <w:txbxContent>
                    <w:p w:rsidR="00637A06" w:rsidRDefault="00637A06" w:rsidP="00AF2F61">
                      <w:r w:rsidRPr="00AF2F61">
                        <w:rPr>
                          <w:noProof/>
                          <w:lang w:val="es-MX" w:eastAsia="es-MX"/>
                        </w:rPr>
                        <w:drawing>
                          <wp:inline distT="0" distB="0" distL="0" distR="0">
                            <wp:extent cx="1121410" cy="379730"/>
                            <wp:effectExtent l="0" t="0" r="2540" b="1270"/>
                            <wp:docPr id="3"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v:textbox>
              </v:shape>
            </w:pict>
          </mc:Fallback>
        </mc:AlternateContent>
      </w:r>
    </w:p>
    <w:p w:rsidR="00AF2F61" w:rsidRPr="00B8721C" w:rsidRDefault="00AF2F61" w:rsidP="00AF2F61">
      <w:pPr>
        <w:tabs>
          <w:tab w:val="center" w:pos="5400"/>
        </w:tabs>
        <w:suppressAutoHyphens/>
        <w:jc w:val="center"/>
        <w:rPr>
          <w:rFonts w:ascii="Calibri Light" w:hAnsi="Calibri Light"/>
          <w:sz w:val="18"/>
          <w:szCs w:val="22"/>
        </w:rPr>
        <w:sectPr w:rsidR="00AF2F61" w:rsidRPr="00B8721C" w:rsidSect="003A235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C1BF9" w:rsidRDefault="007C1BF9" w:rsidP="005A03C0">
      <w:pPr>
        <w:suppressAutoHyphens/>
        <w:jc w:val="center"/>
        <w:rPr>
          <w:rFonts w:ascii="Cambria" w:hAnsi="Cambria"/>
          <w:b/>
          <w:sz w:val="18"/>
          <w:szCs w:val="20"/>
        </w:rPr>
      </w:pPr>
    </w:p>
    <w:p w:rsidR="007C1BF9" w:rsidRDefault="007C1BF9" w:rsidP="005A03C0">
      <w:pPr>
        <w:suppressAutoHyphens/>
        <w:jc w:val="center"/>
        <w:rPr>
          <w:rFonts w:ascii="Cambria" w:hAnsi="Cambria"/>
          <w:b/>
          <w:sz w:val="18"/>
          <w:szCs w:val="20"/>
        </w:rPr>
      </w:pPr>
    </w:p>
    <w:p w:rsidR="009F11F2" w:rsidRPr="00122D28" w:rsidRDefault="00716276" w:rsidP="005A03C0">
      <w:pPr>
        <w:suppressAutoHyphens/>
        <w:jc w:val="center"/>
        <w:rPr>
          <w:rFonts w:ascii="Cambria" w:hAnsi="Cambria"/>
          <w:b/>
          <w:sz w:val="18"/>
          <w:szCs w:val="20"/>
        </w:rPr>
      </w:pPr>
      <w:r w:rsidRPr="00122D28">
        <w:rPr>
          <w:rFonts w:ascii="Cambria" w:hAnsi="Cambria"/>
          <w:b/>
          <w:sz w:val="18"/>
          <w:szCs w:val="20"/>
        </w:rPr>
        <w:lastRenderedPageBreak/>
        <w:t>REPORT</w:t>
      </w:r>
      <w:r w:rsidR="009F11F2" w:rsidRPr="00122D28">
        <w:rPr>
          <w:rFonts w:ascii="Cambria" w:hAnsi="Cambria"/>
          <w:b/>
          <w:sz w:val="18"/>
          <w:szCs w:val="20"/>
        </w:rPr>
        <w:t xml:space="preserve"> No.</w:t>
      </w:r>
      <w:r w:rsidR="00972A92">
        <w:rPr>
          <w:rFonts w:ascii="Cambria" w:hAnsi="Cambria"/>
          <w:b/>
          <w:sz w:val="18"/>
          <w:szCs w:val="20"/>
        </w:rPr>
        <w:t xml:space="preserve"> 150</w:t>
      </w:r>
      <w:r w:rsidR="00122D28" w:rsidRPr="00122D28">
        <w:rPr>
          <w:rFonts w:ascii="Cambria" w:hAnsi="Cambria"/>
          <w:b/>
          <w:sz w:val="18"/>
          <w:szCs w:val="20"/>
        </w:rPr>
        <w:t>/18</w:t>
      </w:r>
    </w:p>
    <w:p w:rsidR="009F11F2" w:rsidRPr="00122D28" w:rsidRDefault="00716276" w:rsidP="005A03C0">
      <w:pPr>
        <w:suppressAutoHyphens/>
        <w:jc w:val="center"/>
        <w:rPr>
          <w:rFonts w:ascii="Cambria" w:hAnsi="Cambria"/>
          <w:b/>
          <w:sz w:val="18"/>
          <w:szCs w:val="20"/>
        </w:rPr>
      </w:pPr>
      <w:r w:rsidRPr="00122D28">
        <w:rPr>
          <w:rFonts w:ascii="Cambria" w:hAnsi="Cambria"/>
          <w:b/>
          <w:sz w:val="18"/>
          <w:szCs w:val="20"/>
        </w:rPr>
        <w:t>CASE</w:t>
      </w:r>
      <w:r w:rsidR="009F11F2" w:rsidRPr="00122D28">
        <w:rPr>
          <w:rFonts w:ascii="Cambria" w:hAnsi="Cambria"/>
          <w:b/>
          <w:sz w:val="18"/>
          <w:szCs w:val="20"/>
        </w:rPr>
        <w:t xml:space="preserve"> 12.</w:t>
      </w:r>
      <w:r w:rsidR="006649CD" w:rsidRPr="00122D28">
        <w:rPr>
          <w:rFonts w:ascii="Cambria" w:hAnsi="Cambria"/>
          <w:b/>
          <w:sz w:val="18"/>
          <w:szCs w:val="20"/>
        </w:rPr>
        <w:t>954</w:t>
      </w:r>
    </w:p>
    <w:p w:rsidR="009F11F2" w:rsidRPr="00122D28" w:rsidRDefault="00716276" w:rsidP="005A03C0">
      <w:pPr>
        <w:suppressAutoHyphens/>
        <w:jc w:val="center"/>
        <w:rPr>
          <w:rFonts w:ascii="Cambria" w:hAnsi="Cambria"/>
          <w:sz w:val="18"/>
          <w:szCs w:val="20"/>
        </w:rPr>
      </w:pPr>
      <w:r w:rsidRPr="00122D28">
        <w:rPr>
          <w:rFonts w:ascii="Cambria" w:hAnsi="Cambria"/>
          <w:sz w:val="18"/>
          <w:szCs w:val="20"/>
        </w:rPr>
        <w:t>MERITS</w:t>
      </w:r>
    </w:p>
    <w:p w:rsidR="009F11F2" w:rsidRPr="00122D28" w:rsidRDefault="006649CD" w:rsidP="005A03C0">
      <w:pPr>
        <w:suppressAutoHyphens/>
        <w:jc w:val="center"/>
        <w:rPr>
          <w:rFonts w:ascii="Cambria" w:hAnsi="Cambria"/>
          <w:sz w:val="18"/>
          <w:szCs w:val="20"/>
        </w:rPr>
      </w:pPr>
      <w:r w:rsidRPr="00122D28">
        <w:rPr>
          <w:rFonts w:ascii="Cambria" w:hAnsi="Cambria"/>
          <w:sz w:val="18"/>
          <w:szCs w:val="20"/>
        </w:rPr>
        <w:t xml:space="preserve">JINETH </w:t>
      </w:r>
      <w:r w:rsidRPr="00635B5B">
        <w:rPr>
          <w:rFonts w:ascii="Cambria" w:hAnsi="Cambria"/>
          <w:sz w:val="18"/>
          <w:szCs w:val="20"/>
        </w:rPr>
        <w:t>BEDOYA LIMA</w:t>
      </w:r>
      <w:r w:rsidR="00690F7B" w:rsidRPr="00635B5B">
        <w:rPr>
          <w:rFonts w:ascii="Cambria" w:hAnsi="Cambria"/>
          <w:sz w:val="18"/>
          <w:szCs w:val="20"/>
        </w:rPr>
        <w:t xml:space="preserve"> AND OTHER</w:t>
      </w:r>
    </w:p>
    <w:p w:rsidR="006649CD" w:rsidRPr="00122D28" w:rsidRDefault="006649CD" w:rsidP="005A03C0">
      <w:pPr>
        <w:suppressAutoHyphens/>
        <w:jc w:val="center"/>
        <w:rPr>
          <w:rFonts w:ascii="Cambria" w:hAnsi="Cambria"/>
          <w:sz w:val="18"/>
          <w:szCs w:val="20"/>
        </w:rPr>
      </w:pPr>
      <w:r w:rsidRPr="00122D28">
        <w:rPr>
          <w:rFonts w:ascii="Cambria" w:hAnsi="Cambria"/>
          <w:sz w:val="18"/>
          <w:szCs w:val="20"/>
        </w:rPr>
        <w:t>COLOMBIA</w:t>
      </w:r>
    </w:p>
    <w:p w:rsidR="009A3AF5" w:rsidRPr="00B8721C" w:rsidRDefault="009A3AF5" w:rsidP="005A03C0">
      <w:pPr>
        <w:suppressAutoHyphens/>
        <w:jc w:val="center"/>
        <w:rPr>
          <w:rFonts w:ascii="Cambria" w:hAnsi="Cambria"/>
          <w:sz w:val="20"/>
          <w:szCs w:val="20"/>
        </w:rPr>
      </w:pPr>
    </w:p>
    <w:p w:rsidR="009A3AF5" w:rsidRPr="00B8721C" w:rsidRDefault="00716276" w:rsidP="005A03C0">
      <w:pPr>
        <w:suppressAutoHyphens/>
        <w:jc w:val="center"/>
        <w:rPr>
          <w:rFonts w:ascii="Cambria" w:hAnsi="Cambria"/>
          <w:b/>
          <w:sz w:val="20"/>
          <w:szCs w:val="20"/>
        </w:rPr>
      </w:pPr>
      <w:r w:rsidRPr="00B8721C">
        <w:rPr>
          <w:rFonts w:ascii="Cambria" w:hAnsi="Cambria"/>
          <w:b/>
          <w:sz w:val="20"/>
          <w:szCs w:val="20"/>
        </w:rPr>
        <w:t>INDEX</w:t>
      </w:r>
    </w:p>
    <w:p w:rsidR="009F11F2" w:rsidRPr="00B8721C" w:rsidRDefault="009F11F2" w:rsidP="005A03C0">
      <w:pPr>
        <w:jc w:val="both"/>
        <w:rPr>
          <w:rFonts w:ascii="Cambria" w:hAnsi="Cambria"/>
          <w:b/>
          <w:sz w:val="20"/>
          <w:szCs w:val="20"/>
        </w:rPr>
      </w:pPr>
    </w:p>
    <w:p w:rsidR="00637A06" w:rsidRPr="007C1BF9" w:rsidRDefault="00723C4B">
      <w:pPr>
        <w:pStyle w:val="TOC1"/>
        <w:rPr>
          <w:rFonts w:eastAsiaTheme="minorEastAsia" w:cstheme="minorBidi"/>
          <w:b/>
          <w:bdr w:val="none" w:sz="0" w:space="0" w:color="auto"/>
        </w:rPr>
      </w:pPr>
      <w:r w:rsidRPr="00B8721C">
        <w:fldChar w:fldCharType="begin"/>
      </w:r>
      <w:r w:rsidRPr="00B8721C">
        <w:instrText xml:space="preserve"> TOC \o "1-3" \h \z \u </w:instrText>
      </w:r>
      <w:r w:rsidRPr="00B8721C">
        <w:fldChar w:fldCharType="separate"/>
      </w:r>
      <w:hyperlink w:anchor="_Toc534731298" w:history="1">
        <w:r w:rsidR="00637A06" w:rsidRPr="007C1BF9">
          <w:rPr>
            <w:rStyle w:val="Hyperlink"/>
            <w:b/>
          </w:rPr>
          <w:t>I.</w:t>
        </w:r>
        <w:r w:rsidR="00637A06" w:rsidRPr="007C1BF9">
          <w:rPr>
            <w:rFonts w:eastAsiaTheme="minorEastAsia" w:cstheme="minorBidi"/>
            <w:b/>
            <w:bdr w:val="none" w:sz="0" w:space="0" w:color="auto"/>
          </w:rPr>
          <w:tab/>
        </w:r>
        <w:r w:rsidR="00637A06" w:rsidRPr="007C1BF9">
          <w:rPr>
            <w:rStyle w:val="Hyperlink"/>
            <w:b/>
          </w:rPr>
          <w:t>SUMMARY</w:t>
        </w:r>
        <w:r w:rsidR="00637A06" w:rsidRPr="007C1BF9">
          <w:rPr>
            <w:b/>
            <w:webHidden/>
          </w:rPr>
          <w:tab/>
        </w:r>
        <w:r w:rsidR="00637A06" w:rsidRPr="007C1BF9">
          <w:rPr>
            <w:b/>
            <w:webHidden/>
          </w:rPr>
          <w:fldChar w:fldCharType="begin"/>
        </w:r>
        <w:r w:rsidR="00637A06" w:rsidRPr="007C1BF9">
          <w:rPr>
            <w:b/>
            <w:webHidden/>
          </w:rPr>
          <w:instrText xml:space="preserve"> PAGEREF _Toc534731298 \h </w:instrText>
        </w:r>
        <w:r w:rsidR="00637A06" w:rsidRPr="007C1BF9">
          <w:rPr>
            <w:b/>
            <w:webHidden/>
          </w:rPr>
        </w:r>
        <w:r w:rsidR="00637A06" w:rsidRPr="007C1BF9">
          <w:rPr>
            <w:b/>
            <w:webHidden/>
          </w:rPr>
          <w:fldChar w:fldCharType="separate"/>
        </w:r>
        <w:r w:rsidR="002066E1">
          <w:rPr>
            <w:b/>
            <w:webHidden/>
          </w:rPr>
          <w:t>3</w:t>
        </w:r>
        <w:r w:rsidR="00637A06" w:rsidRPr="007C1BF9">
          <w:rPr>
            <w:b/>
            <w:webHidden/>
          </w:rPr>
          <w:fldChar w:fldCharType="end"/>
        </w:r>
      </w:hyperlink>
    </w:p>
    <w:p w:rsidR="00637A06" w:rsidRPr="007C1BF9" w:rsidRDefault="00533B49">
      <w:pPr>
        <w:pStyle w:val="TOC1"/>
        <w:rPr>
          <w:rFonts w:eastAsiaTheme="minorEastAsia" w:cstheme="minorBidi"/>
          <w:b/>
          <w:bdr w:val="none" w:sz="0" w:space="0" w:color="auto"/>
        </w:rPr>
      </w:pPr>
      <w:hyperlink w:anchor="_Toc534731299" w:history="1">
        <w:r w:rsidR="00637A06" w:rsidRPr="007C1BF9">
          <w:rPr>
            <w:rStyle w:val="Hyperlink"/>
            <w:b/>
          </w:rPr>
          <w:t>II.</w:t>
        </w:r>
        <w:r w:rsidR="00637A06" w:rsidRPr="007C1BF9">
          <w:rPr>
            <w:rFonts w:eastAsiaTheme="minorEastAsia" w:cstheme="minorBidi"/>
            <w:b/>
            <w:bdr w:val="none" w:sz="0" w:space="0" w:color="auto"/>
          </w:rPr>
          <w:tab/>
        </w:r>
        <w:r w:rsidR="00637A06" w:rsidRPr="007C1BF9">
          <w:rPr>
            <w:rStyle w:val="Hyperlink"/>
            <w:b/>
          </w:rPr>
          <w:t>POSITIONS OF THE PARTIES</w:t>
        </w:r>
        <w:r w:rsidR="00637A06" w:rsidRPr="007C1BF9">
          <w:rPr>
            <w:b/>
            <w:webHidden/>
          </w:rPr>
          <w:tab/>
        </w:r>
        <w:r w:rsidR="00637A06" w:rsidRPr="007C1BF9">
          <w:rPr>
            <w:b/>
            <w:webHidden/>
          </w:rPr>
          <w:fldChar w:fldCharType="begin"/>
        </w:r>
        <w:r w:rsidR="00637A06" w:rsidRPr="007C1BF9">
          <w:rPr>
            <w:b/>
            <w:webHidden/>
          </w:rPr>
          <w:instrText xml:space="preserve"> PAGEREF _Toc534731299 \h </w:instrText>
        </w:r>
        <w:r w:rsidR="00637A06" w:rsidRPr="007C1BF9">
          <w:rPr>
            <w:b/>
            <w:webHidden/>
          </w:rPr>
        </w:r>
        <w:r w:rsidR="00637A06" w:rsidRPr="007C1BF9">
          <w:rPr>
            <w:b/>
            <w:webHidden/>
          </w:rPr>
          <w:fldChar w:fldCharType="separate"/>
        </w:r>
        <w:r w:rsidR="002066E1">
          <w:rPr>
            <w:b/>
            <w:webHidden/>
          </w:rPr>
          <w:t>4</w:t>
        </w:r>
        <w:r w:rsidR="00637A06" w:rsidRPr="007C1BF9">
          <w:rPr>
            <w:b/>
            <w:webHidden/>
          </w:rPr>
          <w:fldChar w:fldCharType="end"/>
        </w:r>
      </w:hyperlink>
    </w:p>
    <w:p w:rsidR="00637A06" w:rsidRPr="007C1BF9" w:rsidRDefault="00533B49">
      <w:pPr>
        <w:pStyle w:val="TOC2"/>
        <w:rPr>
          <w:rFonts w:ascii="Cambria" w:eastAsiaTheme="minorEastAsia" w:hAnsi="Cambria" w:cstheme="minorBidi"/>
          <w:b/>
          <w:noProof/>
          <w:sz w:val="20"/>
          <w:szCs w:val="20"/>
          <w:bdr w:val="none" w:sz="0" w:space="0" w:color="auto"/>
        </w:rPr>
      </w:pPr>
      <w:hyperlink w:anchor="_Toc534731300" w:history="1">
        <w:r w:rsidR="00637A06" w:rsidRPr="007C1BF9">
          <w:rPr>
            <w:rStyle w:val="Hyperlink"/>
            <w:rFonts w:ascii="Cambria" w:hAnsi="Cambria"/>
            <w:b/>
            <w:noProof/>
            <w:sz w:val="20"/>
            <w:szCs w:val="20"/>
            <w:lang w:val="es-VE"/>
          </w:rPr>
          <w:t>A.</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b/>
            <w:noProof/>
            <w:sz w:val="20"/>
            <w:szCs w:val="20"/>
          </w:rPr>
          <w:t>The petitioner</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_Toc534731300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4</w:t>
        </w:r>
        <w:r w:rsidR="00637A06" w:rsidRPr="007C1BF9">
          <w:rPr>
            <w:rFonts w:ascii="Cambria" w:hAnsi="Cambria"/>
            <w:b/>
            <w:noProof/>
            <w:webHidden/>
            <w:sz w:val="20"/>
            <w:szCs w:val="20"/>
          </w:rPr>
          <w:fldChar w:fldCharType="end"/>
        </w:r>
      </w:hyperlink>
    </w:p>
    <w:p w:rsidR="00637A06" w:rsidRPr="007C1BF9" w:rsidRDefault="00533B49">
      <w:pPr>
        <w:pStyle w:val="TOC2"/>
        <w:rPr>
          <w:rFonts w:ascii="Cambria" w:eastAsiaTheme="minorEastAsia" w:hAnsi="Cambria" w:cstheme="minorBidi"/>
          <w:b/>
          <w:noProof/>
          <w:sz w:val="20"/>
          <w:szCs w:val="20"/>
          <w:bdr w:val="none" w:sz="0" w:space="0" w:color="auto"/>
        </w:rPr>
      </w:pPr>
      <w:hyperlink w:anchor="_Toc534731301" w:history="1">
        <w:r w:rsidR="00637A06" w:rsidRPr="007C1BF9">
          <w:rPr>
            <w:rStyle w:val="Hyperlink"/>
            <w:rFonts w:ascii="Cambria" w:hAnsi="Cambria"/>
            <w:b/>
            <w:noProof/>
            <w:sz w:val="20"/>
            <w:szCs w:val="20"/>
            <w:lang w:val="es-VE"/>
          </w:rPr>
          <w:t>B.</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b/>
            <w:noProof/>
            <w:sz w:val="20"/>
            <w:szCs w:val="20"/>
          </w:rPr>
          <w:t>The State</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_Toc534731301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5</w:t>
        </w:r>
        <w:r w:rsidR="00637A06" w:rsidRPr="007C1BF9">
          <w:rPr>
            <w:rFonts w:ascii="Cambria" w:hAnsi="Cambria"/>
            <w:b/>
            <w:noProof/>
            <w:webHidden/>
            <w:sz w:val="20"/>
            <w:szCs w:val="20"/>
          </w:rPr>
          <w:fldChar w:fldCharType="end"/>
        </w:r>
      </w:hyperlink>
    </w:p>
    <w:p w:rsidR="00637A06" w:rsidRPr="007C1BF9" w:rsidRDefault="00533B49">
      <w:pPr>
        <w:pStyle w:val="TOC1"/>
        <w:rPr>
          <w:rFonts w:eastAsiaTheme="minorEastAsia" w:cstheme="minorBidi"/>
          <w:b/>
          <w:bdr w:val="none" w:sz="0" w:space="0" w:color="auto"/>
        </w:rPr>
      </w:pPr>
      <w:hyperlink w:anchor="_Toc534731302" w:history="1">
        <w:r w:rsidR="00637A06" w:rsidRPr="007C1BF9">
          <w:rPr>
            <w:rStyle w:val="Hyperlink"/>
            <w:b/>
          </w:rPr>
          <w:t>III.</w:t>
        </w:r>
        <w:r w:rsidR="00637A06" w:rsidRPr="007C1BF9">
          <w:rPr>
            <w:rFonts w:eastAsiaTheme="minorEastAsia" w:cstheme="minorBidi"/>
            <w:b/>
            <w:bdr w:val="none" w:sz="0" w:space="0" w:color="auto"/>
          </w:rPr>
          <w:tab/>
        </w:r>
        <w:r w:rsidR="00637A06" w:rsidRPr="007C1BF9">
          <w:rPr>
            <w:rStyle w:val="Hyperlink"/>
            <w:b/>
          </w:rPr>
          <w:t>ESTABLISHED FACTS</w:t>
        </w:r>
        <w:r w:rsidR="00637A06" w:rsidRPr="007C1BF9">
          <w:rPr>
            <w:b/>
            <w:webHidden/>
          </w:rPr>
          <w:tab/>
        </w:r>
        <w:r w:rsidR="00637A06" w:rsidRPr="007C1BF9">
          <w:rPr>
            <w:b/>
            <w:webHidden/>
          </w:rPr>
          <w:fldChar w:fldCharType="begin"/>
        </w:r>
        <w:r w:rsidR="00637A06" w:rsidRPr="007C1BF9">
          <w:rPr>
            <w:b/>
            <w:webHidden/>
          </w:rPr>
          <w:instrText xml:space="preserve"> PAGEREF _Toc534731302 \h </w:instrText>
        </w:r>
        <w:r w:rsidR="00637A06" w:rsidRPr="007C1BF9">
          <w:rPr>
            <w:b/>
            <w:webHidden/>
          </w:rPr>
        </w:r>
        <w:r w:rsidR="00637A06" w:rsidRPr="007C1BF9">
          <w:rPr>
            <w:b/>
            <w:webHidden/>
          </w:rPr>
          <w:fldChar w:fldCharType="separate"/>
        </w:r>
        <w:r w:rsidR="002066E1">
          <w:rPr>
            <w:b/>
            <w:webHidden/>
          </w:rPr>
          <w:t>6</w:t>
        </w:r>
        <w:r w:rsidR="00637A06" w:rsidRPr="007C1BF9">
          <w:rPr>
            <w:b/>
            <w:webHidden/>
          </w:rPr>
          <w:fldChar w:fldCharType="end"/>
        </w:r>
      </w:hyperlink>
    </w:p>
    <w:p w:rsidR="00637A06" w:rsidRPr="007C1BF9" w:rsidRDefault="00533B49">
      <w:pPr>
        <w:pStyle w:val="TOC1"/>
        <w:rPr>
          <w:rFonts w:eastAsiaTheme="minorEastAsia" w:cstheme="minorBidi"/>
          <w:b/>
          <w:bdr w:val="none" w:sz="0" w:space="0" w:color="auto"/>
        </w:rPr>
      </w:pPr>
      <w:hyperlink w:anchor="_Toc534731303" w:history="1">
        <w:r w:rsidR="00637A06" w:rsidRPr="007C1BF9">
          <w:rPr>
            <w:rStyle w:val="Hyperlink"/>
            <w:b/>
          </w:rPr>
          <w:t>IV.</w:t>
        </w:r>
        <w:r w:rsidR="00637A06" w:rsidRPr="007C1BF9">
          <w:rPr>
            <w:rFonts w:eastAsiaTheme="minorEastAsia" w:cstheme="minorBidi"/>
            <w:b/>
            <w:bdr w:val="none" w:sz="0" w:space="0" w:color="auto"/>
          </w:rPr>
          <w:tab/>
        </w:r>
        <w:r w:rsidR="00637A06" w:rsidRPr="007C1BF9">
          <w:rPr>
            <w:rStyle w:val="Hyperlink"/>
            <w:b/>
          </w:rPr>
          <w:t>LEGAL ANALYSIS</w:t>
        </w:r>
        <w:r w:rsidR="00637A06" w:rsidRPr="007C1BF9">
          <w:rPr>
            <w:b/>
            <w:webHidden/>
          </w:rPr>
          <w:tab/>
        </w:r>
        <w:r w:rsidR="00637A06" w:rsidRPr="007C1BF9">
          <w:rPr>
            <w:b/>
            <w:webHidden/>
          </w:rPr>
          <w:fldChar w:fldCharType="begin"/>
        </w:r>
        <w:r w:rsidR="00637A06" w:rsidRPr="007C1BF9">
          <w:rPr>
            <w:b/>
            <w:webHidden/>
          </w:rPr>
          <w:instrText xml:space="preserve"> PAGEREF _Toc534731303 \h </w:instrText>
        </w:r>
        <w:r w:rsidR="00637A06" w:rsidRPr="007C1BF9">
          <w:rPr>
            <w:b/>
            <w:webHidden/>
          </w:rPr>
        </w:r>
        <w:r w:rsidR="00637A06" w:rsidRPr="007C1BF9">
          <w:rPr>
            <w:b/>
            <w:webHidden/>
          </w:rPr>
          <w:fldChar w:fldCharType="separate"/>
        </w:r>
        <w:r w:rsidR="002066E1">
          <w:rPr>
            <w:b/>
            <w:webHidden/>
          </w:rPr>
          <w:t>21</w:t>
        </w:r>
        <w:r w:rsidR="00637A06" w:rsidRPr="007C1BF9">
          <w:rPr>
            <w:b/>
            <w:webHidden/>
          </w:rPr>
          <w:fldChar w:fldCharType="end"/>
        </w:r>
      </w:hyperlink>
    </w:p>
    <w:p w:rsidR="00637A06" w:rsidRPr="007C1BF9" w:rsidRDefault="00533B49" w:rsidP="00637A06">
      <w:pPr>
        <w:pStyle w:val="TOC3"/>
        <w:rPr>
          <w:rFonts w:ascii="Cambria" w:eastAsiaTheme="minorEastAsia" w:hAnsi="Cambria" w:cstheme="minorBidi"/>
          <w:b/>
          <w:noProof/>
          <w:sz w:val="20"/>
          <w:szCs w:val="20"/>
          <w:bdr w:val="none" w:sz="0" w:space="0" w:color="auto"/>
        </w:rPr>
      </w:pPr>
      <w:hyperlink w:anchor="_Toc534731304" w:history="1">
        <w:r w:rsidR="00637A06" w:rsidRPr="007C1BF9">
          <w:rPr>
            <w:rStyle w:val="Hyperlink"/>
            <w:rFonts w:ascii="Cambria" w:hAnsi="Cambria"/>
            <w:b/>
            <w:noProof/>
            <w:sz w:val="20"/>
            <w:szCs w:val="20"/>
            <w:u w:color="000000"/>
            <w:lang w:eastAsia="es-ES"/>
          </w:rPr>
          <w:t>A.</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b/>
            <w:noProof/>
            <w:sz w:val="20"/>
            <w:szCs w:val="20"/>
          </w:rPr>
          <w:t xml:space="preserve">Analysis of the alleged violation of the rights to life, humane treatment, personal freedom, privacy, dignity and autonomy, freedom of thought and expression, and equality and non-discrimination (Articles 4, </w:t>
        </w:r>
        <w:r w:rsidR="005E08D6">
          <w:rPr>
            <w:rStyle w:val="Hyperlink"/>
            <w:rFonts w:ascii="Cambria" w:hAnsi="Cambria" w:cs="Cambria"/>
            <w:b/>
            <w:noProof/>
            <w:sz w:val="20"/>
            <w:szCs w:val="20"/>
            <w:u w:color="000000"/>
            <w:lang w:eastAsia="es-ES"/>
          </w:rPr>
          <w:t xml:space="preserve">5, </w:t>
        </w:r>
        <w:r w:rsidR="00637A06" w:rsidRPr="007C1BF9">
          <w:rPr>
            <w:rStyle w:val="Hyperlink"/>
            <w:rFonts w:ascii="Cambria" w:hAnsi="Cambria" w:cs="Cambria"/>
            <w:b/>
            <w:noProof/>
            <w:sz w:val="20"/>
            <w:szCs w:val="20"/>
            <w:u w:color="000000"/>
            <w:lang w:eastAsia="es-ES"/>
          </w:rPr>
          <w:t>7</w:t>
        </w:r>
        <w:r w:rsidR="005E08D6">
          <w:rPr>
            <w:rStyle w:val="Hyperlink"/>
            <w:rFonts w:ascii="Cambria" w:hAnsi="Cambria" w:cs="Cambria"/>
            <w:b/>
            <w:noProof/>
            <w:sz w:val="20"/>
            <w:szCs w:val="20"/>
            <w:u w:color="000000"/>
            <w:lang w:eastAsia="es-ES"/>
          </w:rPr>
          <w:t>,</w:t>
        </w:r>
        <w:r w:rsidR="00637A06" w:rsidRPr="007C1BF9">
          <w:rPr>
            <w:rStyle w:val="Hyperlink"/>
            <w:rFonts w:ascii="Cambria" w:hAnsi="Cambria" w:cs="Cambria"/>
            <w:b/>
            <w:noProof/>
            <w:sz w:val="20"/>
            <w:szCs w:val="20"/>
            <w:u w:color="000000"/>
            <w:lang w:eastAsia="es-ES"/>
          </w:rPr>
          <w:t xml:space="preserve"> 11, </w:t>
        </w:r>
        <w:r w:rsidR="00637A06" w:rsidRPr="007C1BF9">
          <w:rPr>
            <w:rStyle w:val="Hyperlink"/>
            <w:rFonts w:ascii="Cambria" w:hAnsi="Cambria"/>
            <w:b/>
            <w:noProof/>
            <w:sz w:val="20"/>
            <w:szCs w:val="20"/>
          </w:rPr>
          <w:t xml:space="preserve">13, and </w:t>
        </w:r>
        <w:r w:rsidR="00637A06" w:rsidRPr="007C1BF9">
          <w:rPr>
            <w:rStyle w:val="Hyperlink"/>
            <w:rFonts w:ascii="Cambria" w:hAnsi="Cambria" w:cs="Cambria"/>
            <w:b/>
            <w:noProof/>
            <w:sz w:val="20"/>
            <w:szCs w:val="20"/>
            <w:u w:color="000000"/>
            <w:lang w:eastAsia="es-ES"/>
          </w:rPr>
          <w:t>24 of the American Convention), in relation to the obligation to respect and protect rights (Articles 1.1 of the American Convention, 7 of the Convention of Belém do Pará, and 1 and 6 of the IACPPT)</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_Toc534731304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21</w:t>
        </w:r>
        <w:r w:rsidR="00637A06" w:rsidRPr="007C1BF9">
          <w:rPr>
            <w:rFonts w:ascii="Cambria" w:hAnsi="Cambria"/>
            <w:b/>
            <w:noProof/>
            <w:webHidden/>
            <w:sz w:val="20"/>
            <w:szCs w:val="20"/>
          </w:rPr>
          <w:fldChar w:fldCharType="end"/>
        </w:r>
      </w:hyperlink>
    </w:p>
    <w:p w:rsidR="00637A06" w:rsidRPr="007C1BF9" w:rsidRDefault="00533B49" w:rsidP="00637A06">
      <w:pPr>
        <w:pStyle w:val="TOC3"/>
        <w:ind w:hanging="900"/>
        <w:rPr>
          <w:rFonts w:ascii="Cambria" w:eastAsiaTheme="minorEastAsia" w:hAnsi="Cambria" w:cstheme="minorBidi"/>
          <w:b/>
          <w:noProof/>
          <w:sz w:val="20"/>
          <w:szCs w:val="20"/>
          <w:bdr w:val="none" w:sz="0" w:space="0" w:color="auto"/>
        </w:rPr>
      </w:pPr>
      <w:hyperlink w:anchor="_Toc534731305" w:history="1">
        <w:r w:rsidR="00637A06" w:rsidRPr="007C1BF9">
          <w:rPr>
            <w:rStyle w:val="Hyperlink"/>
            <w:rFonts w:ascii="Cambria" w:hAnsi="Cambria"/>
            <w:b/>
            <w:noProof/>
            <w:sz w:val="20"/>
            <w:szCs w:val="20"/>
          </w:rPr>
          <w:t>1.</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b/>
            <w:noProof/>
            <w:sz w:val="20"/>
            <w:szCs w:val="20"/>
          </w:rPr>
          <w:t>General considerations on the obligation to protect journalists at particular risk</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_Toc534731305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22</w:t>
        </w:r>
        <w:r w:rsidR="00637A06" w:rsidRPr="007C1BF9">
          <w:rPr>
            <w:rFonts w:ascii="Cambria" w:hAnsi="Cambria"/>
            <w:b/>
            <w:noProof/>
            <w:webHidden/>
            <w:sz w:val="20"/>
            <w:szCs w:val="20"/>
          </w:rPr>
          <w:fldChar w:fldCharType="end"/>
        </w:r>
      </w:hyperlink>
    </w:p>
    <w:p w:rsidR="00637A06" w:rsidRPr="007C1BF9" w:rsidRDefault="00533B49" w:rsidP="00637A06">
      <w:pPr>
        <w:pStyle w:val="TOC3"/>
        <w:ind w:hanging="900"/>
        <w:rPr>
          <w:rFonts w:ascii="Cambria" w:eastAsiaTheme="minorEastAsia" w:hAnsi="Cambria" w:cstheme="minorBidi"/>
          <w:b/>
          <w:noProof/>
          <w:sz w:val="20"/>
          <w:szCs w:val="20"/>
          <w:bdr w:val="none" w:sz="0" w:space="0" w:color="auto"/>
        </w:rPr>
      </w:pPr>
      <w:hyperlink w:anchor="_Toc534731306" w:history="1">
        <w:r w:rsidR="00637A06" w:rsidRPr="007C1BF9">
          <w:rPr>
            <w:rStyle w:val="Hyperlink"/>
            <w:rFonts w:ascii="Cambria" w:hAnsi="Cambria" w:cs="Arial"/>
            <w:b/>
            <w:noProof/>
            <w:sz w:val="20"/>
            <w:szCs w:val="20"/>
          </w:rPr>
          <w:t>2.</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cs="Arial"/>
            <w:b/>
            <w:noProof/>
            <w:sz w:val="20"/>
            <w:szCs w:val="20"/>
          </w:rPr>
          <w:t>Specific considerations on the special duties to protect women journalists</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_Toc534731306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23</w:t>
        </w:r>
        <w:r w:rsidR="00637A06" w:rsidRPr="007C1BF9">
          <w:rPr>
            <w:rFonts w:ascii="Cambria" w:hAnsi="Cambria"/>
            <w:b/>
            <w:noProof/>
            <w:webHidden/>
            <w:sz w:val="20"/>
            <w:szCs w:val="20"/>
          </w:rPr>
          <w:fldChar w:fldCharType="end"/>
        </w:r>
      </w:hyperlink>
    </w:p>
    <w:p w:rsidR="00637A06" w:rsidRPr="007C1BF9" w:rsidRDefault="00533B49" w:rsidP="00637A06">
      <w:pPr>
        <w:pStyle w:val="TOC3"/>
        <w:ind w:hanging="900"/>
        <w:rPr>
          <w:rFonts w:ascii="Cambria" w:eastAsiaTheme="minorEastAsia" w:hAnsi="Cambria" w:cstheme="minorBidi"/>
          <w:b/>
          <w:noProof/>
          <w:sz w:val="20"/>
          <w:szCs w:val="20"/>
          <w:bdr w:val="none" w:sz="0" w:space="0" w:color="auto"/>
        </w:rPr>
      </w:pPr>
      <w:hyperlink w:anchor="_Toc534731307" w:history="1">
        <w:r w:rsidR="00637A06" w:rsidRPr="007C1BF9">
          <w:rPr>
            <w:rStyle w:val="Hyperlink"/>
            <w:rFonts w:ascii="Cambria" w:hAnsi="Cambria" w:cs="Arial"/>
            <w:b/>
            <w:noProof/>
            <w:sz w:val="20"/>
            <w:szCs w:val="20"/>
          </w:rPr>
          <w:t>3.</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cs="Arial"/>
            <w:b/>
            <w:noProof/>
            <w:sz w:val="20"/>
            <w:szCs w:val="20"/>
          </w:rPr>
          <w:t>Considerations on violence and rape in light of the American Convention, the IACPPT, and the Convention of Belém do Pará</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_Toc534731307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24</w:t>
        </w:r>
        <w:r w:rsidR="00637A06" w:rsidRPr="007C1BF9">
          <w:rPr>
            <w:rFonts w:ascii="Cambria" w:hAnsi="Cambria"/>
            <w:b/>
            <w:noProof/>
            <w:webHidden/>
            <w:sz w:val="20"/>
            <w:szCs w:val="20"/>
          </w:rPr>
          <w:fldChar w:fldCharType="end"/>
        </w:r>
      </w:hyperlink>
    </w:p>
    <w:p w:rsidR="00637A06" w:rsidRPr="007C1BF9" w:rsidRDefault="00533B49" w:rsidP="00637A06">
      <w:pPr>
        <w:pStyle w:val="TOC3"/>
        <w:ind w:hanging="900"/>
        <w:rPr>
          <w:rFonts w:ascii="Cambria" w:eastAsiaTheme="minorEastAsia" w:hAnsi="Cambria" w:cstheme="minorBidi"/>
          <w:b/>
          <w:noProof/>
          <w:sz w:val="20"/>
          <w:szCs w:val="20"/>
          <w:bdr w:val="none" w:sz="0" w:space="0" w:color="auto"/>
        </w:rPr>
      </w:pPr>
      <w:hyperlink w:anchor="_Toc534731308" w:history="1">
        <w:r w:rsidR="00637A06" w:rsidRPr="007C1BF9">
          <w:rPr>
            <w:rStyle w:val="Hyperlink"/>
            <w:rFonts w:ascii="Cambria" w:hAnsi="Cambria"/>
            <w:b/>
            <w:noProof/>
            <w:sz w:val="20"/>
            <w:szCs w:val="20"/>
          </w:rPr>
          <w:t>4.</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b/>
            <w:noProof/>
            <w:sz w:val="20"/>
            <w:szCs w:val="20"/>
          </w:rPr>
          <w:t>Application of the above considerations to the facts of the case</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_Toc534731308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26</w:t>
        </w:r>
        <w:r w:rsidR="00637A06" w:rsidRPr="007C1BF9">
          <w:rPr>
            <w:rFonts w:ascii="Cambria" w:hAnsi="Cambria"/>
            <w:b/>
            <w:noProof/>
            <w:webHidden/>
            <w:sz w:val="20"/>
            <w:szCs w:val="20"/>
          </w:rPr>
          <w:fldChar w:fldCharType="end"/>
        </w:r>
      </w:hyperlink>
    </w:p>
    <w:p w:rsidR="00637A06" w:rsidRPr="007C1BF9" w:rsidRDefault="00533B49" w:rsidP="00637A06">
      <w:pPr>
        <w:pStyle w:val="TOC3"/>
        <w:rPr>
          <w:rFonts w:ascii="Cambria" w:eastAsiaTheme="minorEastAsia" w:hAnsi="Cambria" w:cstheme="minorBidi"/>
          <w:b/>
          <w:noProof/>
          <w:sz w:val="20"/>
          <w:szCs w:val="20"/>
          <w:bdr w:val="none" w:sz="0" w:space="0" w:color="auto"/>
        </w:rPr>
      </w:pPr>
      <w:hyperlink w:anchor="_Toc534731309" w:history="1">
        <w:r w:rsidR="00637A06" w:rsidRPr="007C1BF9">
          <w:rPr>
            <w:rStyle w:val="Hyperlink"/>
            <w:rFonts w:ascii="Cambria" w:hAnsi="Cambria"/>
            <w:b/>
            <w:noProof/>
            <w:sz w:val="20"/>
            <w:szCs w:val="20"/>
            <w:u w:color="000000"/>
            <w:lang w:eastAsia="es-ES"/>
          </w:rPr>
          <w:t>B.</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cs="Cambria"/>
            <w:b/>
            <w:noProof/>
            <w:sz w:val="20"/>
            <w:szCs w:val="20"/>
            <w:u w:color="000000"/>
            <w:lang w:eastAsia="es-ES"/>
          </w:rPr>
          <w:t xml:space="preserve">Analysis of the rights to a fair trial, judicial protection, and the duty to investigate (Articles 8.1, 5, 11, </w:t>
        </w:r>
        <w:r w:rsidR="00637A06" w:rsidRPr="007C1BF9">
          <w:rPr>
            <w:rStyle w:val="Hyperlink"/>
            <w:rFonts w:ascii="Cambria" w:hAnsi="Cambria"/>
            <w:b/>
            <w:noProof/>
            <w:sz w:val="20"/>
            <w:szCs w:val="20"/>
          </w:rPr>
          <w:t xml:space="preserve">13, </w:t>
        </w:r>
        <w:r w:rsidR="00637A06" w:rsidRPr="007C1BF9">
          <w:rPr>
            <w:rStyle w:val="Hyperlink"/>
            <w:rFonts w:ascii="Cambria" w:hAnsi="Cambria" w:cs="Cambria"/>
            <w:b/>
            <w:noProof/>
            <w:sz w:val="20"/>
            <w:szCs w:val="20"/>
            <w:u w:color="000000"/>
            <w:lang w:eastAsia="es-ES"/>
          </w:rPr>
          <w:t>and 25.1 of the American Convention, Articles 1, 6, and 8 of the IACPPT, and Article 7 of the Convention of Belém do Pará)</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_Toc534731309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29</w:t>
        </w:r>
        <w:r w:rsidR="00637A06" w:rsidRPr="007C1BF9">
          <w:rPr>
            <w:rFonts w:ascii="Cambria" w:hAnsi="Cambria"/>
            <w:b/>
            <w:noProof/>
            <w:webHidden/>
            <w:sz w:val="20"/>
            <w:szCs w:val="20"/>
          </w:rPr>
          <w:fldChar w:fldCharType="end"/>
        </w:r>
      </w:hyperlink>
    </w:p>
    <w:p w:rsidR="00637A06" w:rsidRPr="007C1BF9" w:rsidRDefault="00533B49" w:rsidP="00637A06">
      <w:pPr>
        <w:pStyle w:val="TOC3"/>
        <w:ind w:hanging="900"/>
        <w:rPr>
          <w:rFonts w:ascii="Cambria" w:eastAsiaTheme="minorEastAsia" w:hAnsi="Cambria" w:cstheme="minorBidi"/>
          <w:b/>
          <w:noProof/>
          <w:sz w:val="20"/>
          <w:szCs w:val="20"/>
          <w:bdr w:val="none" w:sz="0" w:space="0" w:color="auto"/>
        </w:rPr>
      </w:pPr>
      <w:hyperlink w:anchor="_Toc534731310" w:history="1">
        <w:r w:rsidR="00637A06" w:rsidRPr="007C1BF9">
          <w:rPr>
            <w:rStyle w:val="Hyperlink"/>
            <w:rFonts w:ascii="Cambria" w:hAnsi="Cambria"/>
            <w:b/>
            <w:noProof/>
            <w:sz w:val="20"/>
            <w:szCs w:val="20"/>
          </w:rPr>
          <w:t>1.</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b/>
            <w:noProof/>
            <w:sz w:val="20"/>
            <w:szCs w:val="20"/>
          </w:rPr>
          <w:t>General considerations on the obligation to investigate, prosecute and, where appropriate, punish the perpetrators</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_Toc534731310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29</w:t>
        </w:r>
        <w:r w:rsidR="00637A06" w:rsidRPr="007C1BF9">
          <w:rPr>
            <w:rFonts w:ascii="Cambria" w:hAnsi="Cambria"/>
            <w:b/>
            <w:noProof/>
            <w:webHidden/>
            <w:sz w:val="20"/>
            <w:szCs w:val="20"/>
          </w:rPr>
          <w:fldChar w:fldCharType="end"/>
        </w:r>
      </w:hyperlink>
    </w:p>
    <w:p w:rsidR="00637A06" w:rsidRPr="007C1BF9" w:rsidRDefault="00533B49" w:rsidP="00637A06">
      <w:pPr>
        <w:pStyle w:val="TOC3"/>
        <w:ind w:hanging="900"/>
        <w:rPr>
          <w:rFonts w:ascii="Cambria" w:eastAsiaTheme="minorEastAsia" w:hAnsi="Cambria" w:cstheme="minorBidi"/>
          <w:b/>
          <w:noProof/>
          <w:sz w:val="20"/>
          <w:szCs w:val="20"/>
          <w:bdr w:val="none" w:sz="0" w:space="0" w:color="auto"/>
        </w:rPr>
      </w:pPr>
      <w:hyperlink w:anchor="_Toc534731311" w:history="1">
        <w:r w:rsidR="00637A06" w:rsidRPr="007C1BF9">
          <w:rPr>
            <w:rStyle w:val="Hyperlink"/>
            <w:rFonts w:ascii="Cambria" w:hAnsi="Cambria" w:cs="Cambria"/>
            <w:b/>
            <w:noProof/>
            <w:sz w:val="20"/>
            <w:szCs w:val="20"/>
            <w:u w:color="000000"/>
            <w:lang w:eastAsia="es-ES"/>
          </w:rPr>
          <w:t>2.</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cs="Cambria"/>
            <w:b/>
            <w:noProof/>
            <w:sz w:val="20"/>
            <w:szCs w:val="20"/>
            <w:u w:color="000000"/>
            <w:lang w:eastAsia="es-ES"/>
          </w:rPr>
          <w:t>Specific obligations regarding the duty to investigate acts of sexual violence</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_Toc534731311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31</w:t>
        </w:r>
        <w:r w:rsidR="00637A06" w:rsidRPr="007C1BF9">
          <w:rPr>
            <w:rFonts w:ascii="Cambria" w:hAnsi="Cambria"/>
            <w:b/>
            <w:noProof/>
            <w:webHidden/>
            <w:sz w:val="20"/>
            <w:szCs w:val="20"/>
          </w:rPr>
          <w:fldChar w:fldCharType="end"/>
        </w:r>
      </w:hyperlink>
    </w:p>
    <w:p w:rsidR="00637A06" w:rsidRPr="007C1BF9" w:rsidRDefault="00533B49" w:rsidP="00637A06">
      <w:pPr>
        <w:pStyle w:val="TOC3"/>
        <w:ind w:hanging="900"/>
        <w:rPr>
          <w:rFonts w:ascii="Cambria" w:eastAsiaTheme="minorEastAsia" w:hAnsi="Cambria" w:cstheme="minorBidi"/>
          <w:b/>
          <w:noProof/>
          <w:sz w:val="20"/>
          <w:szCs w:val="20"/>
          <w:bdr w:val="none" w:sz="0" w:space="0" w:color="auto"/>
        </w:rPr>
      </w:pPr>
      <w:hyperlink w:anchor="_Toc534731312" w:history="1">
        <w:r w:rsidR="00637A06" w:rsidRPr="007C1BF9">
          <w:rPr>
            <w:rStyle w:val="Hyperlink"/>
            <w:rFonts w:ascii="Cambria" w:hAnsi="Cambria"/>
            <w:b/>
            <w:noProof/>
            <w:sz w:val="20"/>
            <w:szCs w:val="20"/>
          </w:rPr>
          <w:t>3.</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b/>
            <w:noProof/>
            <w:sz w:val="20"/>
            <w:szCs w:val="20"/>
          </w:rPr>
          <w:t>Application of the foregoing obligations to the facts of the case</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_Toc534731312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32</w:t>
        </w:r>
        <w:r w:rsidR="00637A06" w:rsidRPr="007C1BF9">
          <w:rPr>
            <w:rFonts w:ascii="Cambria" w:hAnsi="Cambria"/>
            <w:b/>
            <w:noProof/>
            <w:webHidden/>
            <w:sz w:val="20"/>
            <w:szCs w:val="20"/>
          </w:rPr>
          <w:fldChar w:fldCharType="end"/>
        </w:r>
      </w:hyperlink>
    </w:p>
    <w:p w:rsidR="00637A06" w:rsidRPr="007C1BF9" w:rsidRDefault="00533B49" w:rsidP="00637A06">
      <w:pPr>
        <w:pStyle w:val="TOC3"/>
        <w:rPr>
          <w:rFonts w:ascii="Cambria" w:eastAsiaTheme="minorEastAsia" w:hAnsi="Cambria" w:cstheme="minorBidi"/>
          <w:b/>
          <w:noProof/>
          <w:sz w:val="20"/>
          <w:szCs w:val="20"/>
          <w:bdr w:val="none" w:sz="0" w:space="0" w:color="auto"/>
        </w:rPr>
      </w:pPr>
      <w:hyperlink w:anchor="_Toc534731313" w:history="1">
        <w:r w:rsidR="00637A06" w:rsidRPr="007C1BF9">
          <w:rPr>
            <w:rStyle w:val="Hyperlink"/>
            <w:rFonts w:ascii="Cambria" w:hAnsi="Cambria"/>
            <w:b/>
            <w:noProof/>
            <w:sz w:val="20"/>
            <w:szCs w:val="20"/>
          </w:rPr>
          <w:t>C.</w:t>
        </w:r>
        <w:r w:rsidR="00637A06" w:rsidRPr="007C1BF9">
          <w:rPr>
            <w:rFonts w:ascii="Cambria" w:eastAsiaTheme="minorEastAsia" w:hAnsi="Cambria" w:cstheme="minorBidi"/>
            <w:b/>
            <w:noProof/>
            <w:sz w:val="20"/>
            <w:szCs w:val="20"/>
            <w:bdr w:val="none" w:sz="0" w:space="0" w:color="auto"/>
          </w:rPr>
          <w:tab/>
        </w:r>
        <w:r w:rsidR="00637A06" w:rsidRPr="007C1BF9">
          <w:rPr>
            <w:rStyle w:val="Hyperlink"/>
            <w:rFonts w:ascii="Cambria" w:hAnsi="Cambria"/>
            <w:b/>
            <w:noProof/>
            <w:sz w:val="20"/>
            <w:szCs w:val="20"/>
          </w:rPr>
          <w:t>Analysis of the violation of the right to humane treatment (Article 5.1) and in relation to the general obligation to respect rights (Article 1.1) of the American Convention</w:t>
        </w:r>
        <w:r w:rsidR="00637A06" w:rsidRPr="007C1BF9">
          <w:rPr>
            <w:rFonts w:ascii="Cambria" w:hAnsi="Cambria"/>
            <w:b/>
            <w:noProof/>
            <w:webHidden/>
            <w:sz w:val="20"/>
            <w:szCs w:val="20"/>
          </w:rPr>
          <w:tab/>
        </w:r>
        <w:r w:rsidR="00637A06" w:rsidRPr="007C1BF9">
          <w:rPr>
            <w:rFonts w:ascii="Cambria" w:hAnsi="Cambria"/>
            <w:b/>
            <w:noProof/>
            <w:webHidden/>
            <w:sz w:val="20"/>
            <w:szCs w:val="20"/>
          </w:rPr>
          <w:fldChar w:fldCharType="begin"/>
        </w:r>
        <w:r w:rsidR="00637A06" w:rsidRPr="007C1BF9">
          <w:rPr>
            <w:rFonts w:ascii="Cambria" w:hAnsi="Cambria"/>
            <w:b/>
            <w:noProof/>
            <w:webHidden/>
            <w:sz w:val="20"/>
            <w:szCs w:val="20"/>
          </w:rPr>
          <w:instrText xml:space="preserve"> PAGEREF _Toc534731313 \h </w:instrText>
        </w:r>
        <w:r w:rsidR="00637A06" w:rsidRPr="007C1BF9">
          <w:rPr>
            <w:rFonts w:ascii="Cambria" w:hAnsi="Cambria"/>
            <w:b/>
            <w:noProof/>
            <w:webHidden/>
            <w:sz w:val="20"/>
            <w:szCs w:val="20"/>
          </w:rPr>
        </w:r>
        <w:r w:rsidR="00637A06" w:rsidRPr="007C1BF9">
          <w:rPr>
            <w:rFonts w:ascii="Cambria" w:hAnsi="Cambria"/>
            <w:b/>
            <w:noProof/>
            <w:webHidden/>
            <w:sz w:val="20"/>
            <w:szCs w:val="20"/>
          </w:rPr>
          <w:fldChar w:fldCharType="separate"/>
        </w:r>
        <w:r w:rsidR="002066E1">
          <w:rPr>
            <w:rFonts w:ascii="Cambria" w:hAnsi="Cambria"/>
            <w:b/>
            <w:noProof/>
            <w:webHidden/>
            <w:sz w:val="20"/>
            <w:szCs w:val="20"/>
          </w:rPr>
          <w:t>36</w:t>
        </w:r>
        <w:r w:rsidR="00637A06" w:rsidRPr="007C1BF9">
          <w:rPr>
            <w:rFonts w:ascii="Cambria" w:hAnsi="Cambria"/>
            <w:b/>
            <w:noProof/>
            <w:webHidden/>
            <w:sz w:val="20"/>
            <w:szCs w:val="20"/>
          </w:rPr>
          <w:fldChar w:fldCharType="end"/>
        </w:r>
      </w:hyperlink>
    </w:p>
    <w:p w:rsidR="00637A06" w:rsidRPr="007C1BF9" w:rsidRDefault="00533B49">
      <w:pPr>
        <w:pStyle w:val="TOC1"/>
        <w:rPr>
          <w:rFonts w:eastAsiaTheme="minorEastAsia" w:cstheme="minorBidi"/>
          <w:b/>
          <w:bdr w:val="none" w:sz="0" w:space="0" w:color="auto"/>
        </w:rPr>
      </w:pPr>
      <w:hyperlink w:anchor="_Toc534731314" w:history="1">
        <w:r w:rsidR="00637A06" w:rsidRPr="007C1BF9">
          <w:rPr>
            <w:rStyle w:val="Hyperlink"/>
            <w:b/>
          </w:rPr>
          <w:t>V.</w:t>
        </w:r>
        <w:r w:rsidR="00637A06" w:rsidRPr="007C1BF9">
          <w:rPr>
            <w:rFonts w:eastAsiaTheme="minorEastAsia" w:cstheme="minorBidi"/>
            <w:b/>
            <w:bdr w:val="none" w:sz="0" w:space="0" w:color="auto"/>
          </w:rPr>
          <w:tab/>
        </w:r>
        <w:r w:rsidR="00637A06" w:rsidRPr="007C1BF9">
          <w:rPr>
            <w:rStyle w:val="Hyperlink"/>
            <w:b/>
          </w:rPr>
          <w:t>CONCLUSIONS</w:t>
        </w:r>
        <w:r w:rsidR="00637A06" w:rsidRPr="007C1BF9">
          <w:rPr>
            <w:b/>
            <w:webHidden/>
          </w:rPr>
          <w:tab/>
        </w:r>
        <w:r w:rsidR="00637A06" w:rsidRPr="007C1BF9">
          <w:rPr>
            <w:b/>
            <w:webHidden/>
          </w:rPr>
          <w:fldChar w:fldCharType="begin"/>
        </w:r>
        <w:r w:rsidR="00637A06" w:rsidRPr="007C1BF9">
          <w:rPr>
            <w:b/>
            <w:webHidden/>
          </w:rPr>
          <w:instrText xml:space="preserve"> PAGEREF _Toc534731314 \h </w:instrText>
        </w:r>
        <w:r w:rsidR="00637A06" w:rsidRPr="007C1BF9">
          <w:rPr>
            <w:b/>
            <w:webHidden/>
          </w:rPr>
        </w:r>
        <w:r w:rsidR="00637A06" w:rsidRPr="007C1BF9">
          <w:rPr>
            <w:b/>
            <w:webHidden/>
          </w:rPr>
          <w:fldChar w:fldCharType="separate"/>
        </w:r>
        <w:r w:rsidR="002066E1">
          <w:rPr>
            <w:b/>
            <w:webHidden/>
          </w:rPr>
          <w:t>37</w:t>
        </w:r>
        <w:r w:rsidR="00637A06" w:rsidRPr="007C1BF9">
          <w:rPr>
            <w:b/>
            <w:webHidden/>
          </w:rPr>
          <w:fldChar w:fldCharType="end"/>
        </w:r>
      </w:hyperlink>
    </w:p>
    <w:p w:rsidR="00637A06" w:rsidRPr="00637A06" w:rsidRDefault="00533B49">
      <w:pPr>
        <w:pStyle w:val="TOC1"/>
        <w:rPr>
          <w:rFonts w:eastAsiaTheme="minorEastAsia" w:cstheme="minorBidi"/>
          <w:b/>
          <w:bdr w:val="none" w:sz="0" w:space="0" w:color="auto"/>
        </w:rPr>
      </w:pPr>
      <w:hyperlink w:anchor="_Toc534731315" w:history="1">
        <w:r w:rsidR="00637A06" w:rsidRPr="007C1BF9">
          <w:rPr>
            <w:rStyle w:val="Hyperlink"/>
            <w:b/>
          </w:rPr>
          <w:t>VI.</w:t>
        </w:r>
        <w:r w:rsidR="00637A06" w:rsidRPr="007C1BF9">
          <w:rPr>
            <w:rFonts w:eastAsiaTheme="minorEastAsia" w:cstheme="minorBidi"/>
            <w:b/>
            <w:bdr w:val="none" w:sz="0" w:space="0" w:color="auto"/>
          </w:rPr>
          <w:tab/>
        </w:r>
        <w:r w:rsidR="00637A06" w:rsidRPr="007C1BF9">
          <w:rPr>
            <w:rStyle w:val="Hyperlink"/>
            <w:b/>
          </w:rPr>
          <w:t>RECOMMENDATIONS</w:t>
        </w:r>
        <w:r w:rsidR="00637A06" w:rsidRPr="007C1BF9">
          <w:rPr>
            <w:b/>
            <w:webHidden/>
          </w:rPr>
          <w:tab/>
        </w:r>
        <w:r w:rsidR="00637A06" w:rsidRPr="007C1BF9">
          <w:rPr>
            <w:b/>
            <w:webHidden/>
          </w:rPr>
          <w:fldChar w:fldCharType="begin"/>
        </w:r>
        <w:r w:rsidR="00637A06" w:rsidRPr="007C1BF9">
          <w:rPr>
            <w:b/>
            <w:webHidden/>
          </w:rPr>
          <w:instrText xml:space="preserve"> PAGEREF _Toc534731315 \h </w:instrText>
        </w:r>
        <w:r w:rsidR="00637A06" w:rsidRPr="007C1BF9">
          <w:rPr>
            <w:b/>
            <w:webHidden/>
          </w:rPr>
        </w:r>
        <w:r w:rsidR="00637A06" w:rsidRPr="007C1BF9">
          <w:rPr>
            <w:b/>
            <w:webHidden/>
          </w:rPr>
          <w:fldChar w:fldCharType="separate"/>
        </w:r>
        <w:r w:rsidR="002066E1">
          <w:rPr>
            <w:b/>
            <w:webHidden/>
          </w:rPr>
          <w:t>37</w:t>
        </w:r>
        <w:r w:rsidR="00637A06" w:rsidRPr="007C1BF9">
          <w:rPr>
            <w:b/>
            <w:webHidden/>
          </w:rPr>
          <w:fldChar w:fldCharType="end"/>
        </w:r>
      </w:hyperlink>
    </w:p>
    <w:p w:rsidR="00CC330D" w:rsidRPr="00B8721C" w:rsidRDefault="00723C4B" w:rsidP="00117834">
      <w:pPr>
        <w:tabs>
          <w:tab w:val="left" w:pos="720"/>
        </w:tabs>
        <w:jc w:val="both"/>
        <w:rPr>
          <w:rFonts w:ascii="Cambria" w:hAnsi="Cambria"/>
          <w:b/>
          <w:sz w:val="20"/>
          <w:szCs w:val="20"/>
        </w:rPr>
      </w:pPr>
      <w:r w:rsidRPr="00B8721C">
        <w:rPr>
          <w:rFonts w:ascii="Cambria" w:hAnsi="Cambria"/>
          <w:b/>
          <w:sz w:val="20"/>
          <w:szCs w:val="20"/>
        </w:rPr>
        <w:fldChar w:fldCharType="end"/>
      </w:r>
    </w:p>
    <w:p w:rsidR="00CC330D" w:rsidRPr="00B8721C" w:rsidRDefault="00CC330D" w:rsidP="005A03C0">
      <w:pPr>
        <w:jc w:val="both"/>
        <w:rPr>
          <w:rFonts w:ascii="Cambria" w:hAnsi="Cambria"/>
          <w:b/>
          <w:sz w:val="20"/>
          <w:szCs w:val="20"/>
        </w:rPr>
      </w:pPr>
    </w:p>
    <w:p w:rsidR="00E4671B" w:rsidRPr="00B8721C" w:rsidRDefault="00E4671B" w:rsidP="005A03C0">
      <w:pPr>
        <w:jc w:val="both"/>
        <w:rPr>
          <w:rFonts w:ascii="Cambria" w:hAnsi="Cambria"/>
          <w:b/>
          <w:sz w:val="20"/>
          <w:szCs w:val="20"/>
        </w:rPr>
      </w:pPr>
    </w:p>
    <w:p w:rsidR="00E4671B" w:rsidRPr="00B8721C" w:rsidRDefault="00E4671B" w:rsidP="005A03C0">
      <w:pPr>
        <w:jc w:val="both"/>
        <w:rPr>
          <w:rFonts w:ascii="Cambria" w:hAnsi="Cambria"/>
          <w:b/>
          <w:sz w:val="20"/>
          <w:szCs w:val="20"/>
        </w:rPr>
      </w:pPr>
    </w:p>
    <w:p w:rsidR="00122D28" w:rsidRPr="00122D28" w:rsidRDefault="004D6904" w:rsidP="00122D28">
      <w:pPr>
        <w:jc w:val="center"/>
        <w:rPr>
          <w:rFonts w:ascii="Cambria" w:hAnsi="Cambria"/>
          <w:b/>
          <w:sz w:val="18"/>
          <w:szCs w:val="20"/>
        </w:rPr>
      </w:pPr>
      <w:r w:rsidRPr="00B8721C">
        <w:rPr>
          <w:rFonts w:ascii="Cambria" w:hAnsi="Cambria"/>
          <w:b/>
          <w:sz w:val="20"/>
          <w:szCs w:val="20"/>
        </w:rPr>
        <w:br w:type="page"/>
      </w:r>
      <w:bookmarkStart w:id="0" w:name="_Toc409614488"/>
      <w:r w:rsidR="00972A92">
        <w:rPr>
          <w:rFonts w:ascii="Cambria" w:hAnsi="Cambria"/>
          <w:b/>
          <w:sz w:val="18"/>
          <w:szCs w:val="20"/>
        </w:rPr>
        <w:lastRenderedPageBreak/>
        <w:t>REPORT No. 150</w:t>
      </w:r>
      <w:r w:rsidR="00122D28" w:rsidRPr="00122D28">
        <w:rPr>
          <w:rFonts w:ascii="Cambria" w:hAnsi="Cambria"/>
          <w:b/>
          <w:sz w:val="18"/>
          <w:szCs w:val="20"/>
        </w:rPr>
        <w:t>/18</w:t>
      </w:r>
    </w:p>
    <w:p w:rsidR="00122D28" w:rsidRPr="00122D28" w:rsidRDefault="00122D28" w:rsidP="00122D28">
      <w:pPr>
        <w:suppressAutoHyphens/>
        <w:jc w:val="center"/>
        <w:rPr>
          <w:rFonts w:ascii="Cambria" w:hAnsi="Cambria"/>
          <w:b/>
          <w:sz w:val="18"/>
          <w:szCs w:val="20"/>
        </w:rPr>
      </w:pPr>
      <w:r w:rsidRPr="00122D28">
        <w:rPr>
          <w:rFonts w:ascii="Cambria" w:hAnsi="Cambria"/>
          <w:b/>
          <w:sz w:val="18"/>
          <w:szCs w:val="20"/>
        </w:rPr>
        <w:t>CASE 12.954</w:t>
      </w:r>
    </w:p>
    <w:p w:rsidR="00122D28" w:rsidRPr="00635B5B" w:rsidRDefault="00122D28" w:rsidP="00122D28">
      <w:pPr>
        <w:suppressAutoHyphens/>
        <w:jc w:val="center"/>
        <w:rPr>
          <w:rFonts w:ascii="Cambria" w:hAnsi="Cambria"/>
          <w:sz w:val="18"/>
          <w:szCs w:val="20"/>
        </w:rPr>
      </w:pPr>
      <w:r w:rsidRPr="00635B5B">
        <w:rPr>
          <w:rFonts w:ascii="Cambria" w:hAnsi="Cambria"/>
          <w:sz w:val="18"/>
          <w:szCs w:val="20"/>
        </w:rPr>
        <w:t>MERITS</w:t>
      </w:r>
    </w:p>
    <w:p w:rsidR="00122D28" w:rsidRPr="00635B5B" w:rsidRDefault="00122D28" w:rsidP="00122D28">
      <w:pPr>
        <w:suppressAutoHyphens/>
        <w:jc w:val="center"/>
        <w:rPr>
          <w:rFonts w:ascii="Cambria" w:hAnsi="Cambria"/>
          <w:sz w:val="18"/>
          <w:szCs w:val="20"/>
        </w:rPr>
      </w:pPr>
      <w:r w:rsidRPr="00635B5B">
        <w:rPr>
          <w:rFonts w:ascii="Cambria" w:hAnsi="Cambria"/>
          <w:sz w:val="18"/>
          <w:szCs w:val="20"/>
        </w:rPr>
        <w:t>JINETH BEDOYA LIMA</w:t>
      </w:r>
      <w:r w:rsidR="00690F7B" w:rsidRPr="00635B5B">
        <w:rPr>
          <w:rFonts w:ascii="Cambria" w:hAnsi="Cambria"/>
          <w:sz w:val="18"/>
          <w:szCs w:val="20"/>
        </w:rPr>
        <w:t xml:space="preserve"> AND OTHER</w:t>
      </w:r>
    </w:p>
    <w:p w:rsidR="00122D28" w:rsidRPr="00635B5B" w:rsidRDefault="00122D28" w:rsidP="00122D28">
      <w:pPr>
        <w:suppressAutoHyphens/>
        <w:jc w:val="center"/>
        <w:rPr>
          <w:rFonts w:ascii="Cambria" w:hAnsi="Cambria"/>
          <w:sz w:val="18"/>
          <w:szCs w:val="20"/>
        </w:rPr>
      </w:pPr>
      <w:r w:rsidRPr="00635B5B">
        <w:rPr>
          <w:rFonts w:ascii="Cambria" w:hAnsi="Cambria"/>
          <w:sz w:val="18"/>
          <w:szCs w:val="20"/>
        </w:rPr>
        <w:t>COLOMBIA</w:t>
      </w:r>
      <w:r w:rsidR="00117834" w:rsidRPr="00635B5B">
        <w:rPr>
          <w:rFonts w:ascii="Cambria" w:hAnsi="Cambria" w:cs="Cambria"/>
          <w:sz w:val="18"/>
          <w:szCs w:val="18"/>
          <w:vertAlign w:val="superscript"/>
        </w:rPr>
        <w:footnoteReference w:id="2"/>
      </w:r>
    </w:p>
    <w:p w:rsidR="00E977DE" w:rsidRPr="00122D28" w:rsidRDefault="00FB2585" w:rsidP="005A03C0">
      <w:pPr>
        <w:suppressAutoHyphens/>
        <w:jc w:val="center"/>
        <w:rPr>
          <w:rFonts w:ascii="Cambria" w:hAnsi="Cambria"/>
          <w:sz w:val="18"/>
          <w:szCs w:val="20"/>
        </w:rPr>
      </w:pPr>
      <w:r w:rsidRPr="00635B5B">
        <w:rPr>
          <w:rFonts w:ascii="Cambria" w:hAnsi="Cambria"/>
          <w:sz w:val="18"/>
          <w:szCs w:val="20"/>
        </w:rPr>
        <w:t>DECEMBER 7, 2018</w:t>
      </w:r>
    </w:p>
    <w:p w:rsidR="00CC330D" w:rsidRDefault="00CC330D" w:rsidP="005A03C0">
      <w:pPr>
        <w:pStyle w:val="Heading1"/>
        <w:numPr>
          <w:ilvl w:val="0"/>
          <w:numId w:val="0"/>
        </w:numPr>
        <w:ind w:left="1440"/>
        <w:jc w:val="center"/>
        <w:rPr>
          <w:szCs w:val="20"/>
        </w:rPr>
      </w:pPr>
    </w:p>
    <w:p w:rsidR="00122D28" w:rsidRPr="00122D28" w:rsidRDefault="00122D28" w:rsidP="00122D28"/>
    <w:p w:rsidR="009F11F2" w:rsidRPr="00B8721C" w:rsidRDefault="00716276" w:rsidP="005A03C0">
      <w:pPr>
        <w:pStyle w:val="Heading1"/>
        <w:tabs>
          <w:tab w:val="clear" w:pos="1440"/>
        </w:tabs>
        <w:jc w:val="both"/>
        <w:rPr>
          <w:color w:val="auto"/>
          <w:szCs w:val="20"/>
        </w:rPr>
      </w:pPr>
      <w:bookmarkStart w:id="1" w:name="_Toc534731298"/>
      <w:r w:rsidRPr="00B8721C">
        <w:rPr>
          <w:color w:val="auto"/>
          <w:szCs w:val="20"/>
        </w:rPr>
        <w:t>SUMMARY</w:t>
      </w:r>
      <w:bookmarkEnd w:id="0"/>
      <w:bookmarkEnd w:id="1"/>
    </w:p>
    <w:p w:rsidR="009F11F2" w:rsidRPr="00B8721C" w:rsidRDefault="009F11F2" w:rsidP="005A03C0">
      <w:pPr>
        <w:jc w:val="both"/>
        <w:rPr>
          <w:rFonts w:ascii="Cambria" w:hAnsi="Cambria"/>
          <w:sz w:val="20"/>
          <w:szCs w:val="20"/>
        </w:rPr>
      </w:pPr>
    </w:p>
    <w:p w:rsidR="00CB113C" w:rsidRPr="00B8721C" w:rsidRDefault="002876D8" w:rsidP="00CB113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 xml:space="preserve">On June 3, 2011, the Inter-American Commission on Human Rights (hereinafter “Commission,” “Inter-American Commission,” or “IACHR”) received a petition filed by the </w:t>
      </w:r>
      <w:r w:rsidRPr="00B8721C">
        <w:rPr>
          <w:rFonts w:ascii="Cambria" w:hAnsi="Cambria"/>
          <w:i/>
          <w:sz w:val="20"/>
          <w:szCs w:val="20"/>
        </w:rPr>
        <w:t>Fundación para la Libertad de Prensa</w:t>
      </w:r>
      <w:r w:rsidRPr="00B8721C">
        <w:rPr>
          <w:rFonts w:ascii="Cambria" w:hAnsi="Cambria"/>
          <w:sz w:val="20"/>
          <w:szCs w:val="20"/>
        </w:rPr>
        <w:t xml:space="preserve"> (hereinafter “the petitioner”), alleging the international responsibility of the Republic of Colombia (hereinafter “the State” or “Colombia”) to the detriment of journalist Jineth Bedoya Lima and her mother, Luz Nelly Lima.</w:t>
      </w:r>
    </w:p>
    <w:p w:rsidR="00CB113C" w:rsidRPr="00B8721C" w:rsidRDefault="00CB113C" w:rsidP="00CB113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706DA" w:rsidRPr="00B8721C" w:rsidRDefault="00A02F72" w:rsidP="00C706D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color w:val="000000"/>
          <w:sz w:val="20"/>
          <w:szCs w:val="20"/>
        </w:rPr>
        <w:t>The Commission adopted the admissibility report No. 50/14 of July 21, 2014.</w:t>
      </w:r>
      <w:r w:rsidR="0031771E" w:rsidRPr="00B8721C">
        <w:rPr>
          <w:rFonts w:ascii="Cambria" w:eastAsia="Calibri" w:hAnsi="Cambria"/>
          <w:sz w:val="20"/>
          <w:szCs w:val="20"/>
          <w:vertAlign w:val="superscript"/>
        </w:rPr>
        <w:footnoteReference w:id="3"/>
      </w:r>
      <w:r w:rsidR="0031771E" w:rsidRPr="00B8721C">
        <w:rPr>
          <w:rFonts w:ascii="Cambria" w:hAnsi="Cambria"/>
          <w:sz w:val="20"/>
          <w:szCs w:val="20"/>
        </w:rPr>
        <w:t xml:space="preserve"> </w:t>
      </w:r>
      <w:r w:rsidRPr="00B8721C">
        <w:rPr>
          <w:rFonts w:ascii="Cambria" w:hAnsi="Cambria"/>
          <w:noProof/>
          <w:sz w:val="20"/>
          <w:szCs w:val="20"/>
          <w:lang w:eastAsia="es-US"/>
        </w:rPr>
        <w:t>The parties were given notice of the admissibility report on August 6, 2014, pursuant to Rule 36 of the Rules of Procedure of the IACHR. Likewise, in accordance with Article 48(1)(f) of the American Conventio</w:t>
      </w:r>
      <w:r w:rsidR="00CB113C" w:rsidRPr="00B8721C">
        <w:rPr>
          <w:rFonts w:ascii="Cambria" w:hAnsi="Cambria"/>
          <w:noProof/>
          <w:sz w:val="20"/>
          <w:szCs w:val="20"/>
          <w:lang w:eastAsia="es-US"/>
        </w:rPr>
        <w:t>n on Human Rights (hereinafter “the American Convention” or “</w:t>
      </w:r>
      <w:r w:rsidRPr="00B8721C">
        <w:rPr>
          <w:rFonts w:ascii="Cambria" w:hAnsi="Cambria"/>
          <w:noProof/>
          <w:sz w:val="20"/>
          <w:szCs w:val="20"/>
          <w:lang w:eastAsia="es-US"/>
        </w:rPr>
        <w:t>the Convention</w:t>
      </w:r>
      <w:r w:rsidR="00CB113C" w:rsidRPr="00B8721C">
        <w:rPr>
          <w:rFonts w:ascii="Cambria" w:hAnsi="Cambria"/>
          <w:noProof/>
          <w:sz w:val="20"/>
          <w:szCs w:val="20"/>
          <w:lang w:eastAsia="es-US"/>
        </w:rPr>
        <w:t>”</w:t>
      </w:r>
      <w:r w:rsidRPr="00B8721C">
        <w:rPr>
          <w:rFonts w:ascii="Cambria" w:hAnsi="Cambria"/>
          <w:noProof/>
          <w:sz w:val="20"/>
          <w:szCs w:val="20"/>
          <w:lang w:eastAsia="es-US"/>
        </w:rPr>
        <w:t xml:space="preserve">), and Article 37(4) of its Rules of Procedure, the IACHR made itself available to the parties in order to reach a friendly solution in the matter. </w:t>
      </w:r>
      <w:r w:rsidR="00CB113C" w:rsidRPr="00B8721C">
        <w:rPr>
          <w:rFonts w:ascii="Cambria" w:hAnsi="Cambria"/>
          <w:noProof/>
          <w:sz w:val="20"/>
          <w:szCs w:val="20"/>
          <w:lang w:eastAsia="es-US"/>
        </w:rPr>
        <w:t>The parties had the time periods established in the rules to submit additional observations on the merits. On April 5, 2016, the Commission held a public hearing on the merits of the case dur</w:t>
      </w:r>
      <w:r w:rsidR="00F57EBE" w:rsidRPr="00B8721C">
        <w:rPr>
          <w:rFonts w:ascii="Cambria" w:hAnsi="Cambria"/>
          <w:noProof/>
          <w:sz w:val="20"/>
          <w:szCs w:val="20"/>
          <w:lang w:eastAsia="es-US"/>
        </w:rPr>
        <w:t>ing which it heard the parties</w:t>
      </w:r>
      <w:r w:rsidR="00D86018" w:rsidRPr="00B8721C">
        <w:rPr>
          <w:rFonts w:ascii="Cambria" w:hAnsi="Cambria"/>
          <w:noProof/>
          <w:sz w:val="20"/>
          <w:szCs w:val="20"/>
          <w:lang w:eastAsia="es-US"/>
        </w:rPr>
        <w:t>’</w:t>
      </w:r>
      <w:r w:rsidR="00F57EBE" w:rsidRPr="00B8721C">
        <w:rPr>
          <w:rFonts w:ascii="Cambria" w:hAnsi="Cambria"/>
          <w:noProof/>
          <w:sz w:val="20"/>
          <w:szCs w:val="20"/>
          <w:lang w:eastAsia="es-US"/>
        </w:rPr>
        <w:t xml:space="preserve"> </w:t>
      </w:r>
      <w:r w:rsidR="00CB113C" w:rsidRPr="00B8721C">
        <w:rPr>
          <w:rFonts w:ascii="Cambria" w:hAnsi="Cambria"/>
          <w:noProof/>
          <w:sz w:val="20"/>
          <w:szCs w:val="20"/>
          <w:lang w:eastAsia="es-US"/>
        </w:rPr>
        <w:t>submissions. All the information received was duly transmitted between the parties</w:t>
      </w:r>
      <w:r w:rsidR="0031771E" w:rsidRPr="00B8721C">
        <w:rPr>
          <w:rFonts w:ascii="Cambria" w:hAnsi="Cambria"/>
          <w:sz w:val="20"/>
          <w:szCs w:val="20"/>
        </w:rPr>
        <w:t>.</w:t>
      </w:r>
    </w:p>
    <w:p w:rsidR="00C706DA" w:rsidRPr="00B8721C" w:rsidRDefault="00C706DA" w:rsidP="00C706D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2040D5" w:rsidRPr="00B8721C" w:rsidRDefault="00C706DA" w:rsidP="002040D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The petitioner alleged that journalist Jineth Bedoya Lima was abducted, tortured and raped on May 25, 2000, for reasons related to her profession. It asserted that the State failed to take adequate and timely measures to protect the alleged victim, despite knowing that she was at risk because of her work. It maintained that no effective and diligent investigation was conducted into these facts consistent with the applicable international standards.</w:t>
      </w:r>
    </w:p>
    <w:p w:rsidR="002040D5" w:rsidRPr="00B8721C" w:rsidRDefault="002040D5" w:rsidP="002040D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EF0EF6" w:rsidRPr="00635B5B" w:rsidRDefault="002040D5" w:rsidP="00EF0E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For its part, the State asked the IACHR to declare that it is not responsible for the violation of rights alleged in the present case by the petitioner. It maintained that State authorities have taken various criminal and disciplinary actions, along with protection and reparation measures, in order to safeguard the rights of the alleged victim in this case</w:t>
      </w:r>
      <w:r w:rsidR="00896BF4" w:rsidRPr="00B8721C">
        <w:rPr>
          <w:rFonts w:ascii="Cambria" w:hAnsi="Cambria"/>
          <w:sz w:val="20"/>
          <w:szCs w:val="20"/>
        </w:rPr>
        <w:t xml:space="preserve">. </w:t>
      </w:r>
      <w:r w:rsidRPr="00B8721C">
        <w:rPr>
          <w:rFonts w:ascii="Cambria" w:hAnsi="Cambria"/>
          <w:sz w:val="20"/>
          <w:szCs w:val="20"/>
        </w:rPr>
        <w:t xml:space="preserve">In particular, it stated that the authorities have acted objectively and comprehensively in accordance with established constitutional and legal procedures and that this work has resulted in significant progress in the investigation of the </w:t>
      </w:r>
      <w:r w:rsidRPr="00635B5B">
        <w:rPr>
          <w:rFonts w:ascii="Cambria" w:hAnsi="Cambria"/>
          <w:sz w:val="20"/>
          <w:szCs w:val="20"/>
        </w:rPr>
        <w:t>facts alleged.</w:t>
      </w:r>
    </w:p>
    <w:p w:rsidR="00EF0EF6" w:rsidRPr="00635B5B" w:rsidRDefault="00EF0EF6" w:rsidP="00EF0E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31771E" w:rsidRPr="00B8721C" w:rsidRDefault="00EF0EF6" w:rsidP="00EF0E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635B5B">
        <w:rPr>
          <w:rFonts w:ascii="Cambria" w:hAnsi="Cambria"/>
          <w:color w:val="000000"/>
          <w:sz w:val="20"/>
          <w:szCs w:val="20"/>
        </w:rPr>
        <w:t xml:space="preserve">Based on the findings of fact and law, the Inter-American Commission concluded that the State is responsible for the violation of the rights enshrined in Articles </w:t>
      </w:r>
      <w:r w:rsidR="00690F7B" w:rsidRPr="00635B5B">
        <w:rPr>
          <w:rFonts w:ascii="Cambria" w:hAnsi="Cambria"/>
          <w:color w:val="000000"/>
          <w:sz w:val="20"/>
          <w:szCs w:val="20"/>
        </w:rPr>
        <w:t>4.1, 5.1, 5.2, 7</w:t>
      </w:r>
      <w:r w:rsidRPr="00635B5B">
        <w:rPr>
          <w:rFonts w:ascii="Cambria" w:hAnsi="Cambria"/>
          <w:color w:val="000000"/>
          <w:sz w:val="20"/>
          <w:szCs w:val="20"/>
        </w:rPr>
        <w:t>, 8.1, 11, 13, 22, 24 and 25.1 of the American Convention in relation to the obligations established in Article 1.1 of the same instrument. The Commission also concluded that the State is responsible for the violation of Articles 7b of the Inter-American Convention on the Prevention and Eradication of Violence</w:t>
      </w:r>
      <w:r w:rsidRPr="00B8721C">
        <w:rPr>
          <w:rFonts w:ascii="Cambria" w:hAnsi="Cambria"/>
          <w:color w:val="000000"/>
          <w:sz w:val="20"/>
          <w:szCs w:val="20"/>
        </w:rPr>
        <w:t xml:space="preserve"> against Women (Convention of </w:t>
      </w:r>
      <w:r w:rsidR="00E277A7" w:rsidRPr="00B8721C">
        <w:rPr>
          <w:rFonts w:ascii="Cambria" w:hAnsi="Cambria"/>
          <w:color w:val="000000"/>
          <w:sz w:val="20"/>
          <w:szCs w:val="20"/>
        </w:rPr>
        <w:t>Belém do Pará</w:t>
      </w:r>
      <w:r w:rsidRPr="00B8721C">
        <w:rPr>
          <w:rFonts w:ascii="Cambria" w:hAnsi="Cambria"/>
          <w:color w:val="000000"/>
          <w:sz w:val="20"/>
          <w:szCs w:val="20"/>
        </w:rPr>
        <w:t>) and Articles 1, 6, and 8 of the Inter-American Convention to Prevent and Punish Torture (hereinafter “the IACPPT”). The Commission made the respective recommendations.</w:t>
      </w:r>
    </w:p>
    <w:p w:rsidR="00EF0EF6" w:rsidRPr="00B8721C" w:rsidRDefault="00EF0EF6" w:rsidP="00EF0E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117834" w:rsidRDefault="0011783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bCs/>
          <w:sz w:val="20"/>
          <w:szCs w:val="20"/>
        </w:rPr>
      </w:pPr>
      <w:r>
        <w:rPr>
          <w:szCs w:val="20"/>
        </w:rPr>
        <w:br w:type="page"/>
      </w:r>
    </w:p>
    <w:p w:rsidR="009F11F2" w:rsidRPr="00B8721C" w:rsidRDefault="00716276" w:rsidP="005A03C0">
      <w:pPr>
        <w:pStyle w:val="Heading1"/>
        <w:tabs>
          <w:tab w:val="clear" w:pos="1440"/>
        </w:tabs>
        <w:jc w:val="both"/>
        <w:rPr>
          <w:color w:val="auto"/>
          <w:szCs w:val="20"/>
        </w:rPr>
      </w:pPr>
      <w:bookmarkStart w:id="2" w:name="_Toc534731299"/>
      <w:r w:rsidRPr="00B8721C">
        <w:rPr>
          <w:color w:val="auto"/>
          <w:szCs w:val="20"/>
        </w:rPr>
        <w:lastRenderedPageBreak/>
        <w:t>POSITIONS OF THE PARTIES</w:t>
      </w:r>
      <w:bookmarkEnd w:id="2"/>
    </w:p>
    <w:p w:rsidR="009F11F2" w:rsidRPr="00B8721C" w:rsidRDefault="009F11F2" w:rsidP="005A03C0">
      <w:pPr>
        <w:jc w:val="both"/>
        <w:rPr>
          <w:rFonts w:ascii="Cambria" w:hAnsi="Cambria"/>
          <w:b/>
          <w:sz w:val="20"/>
          <w:szCs w:val="20"/>
          <w:u w:val="single"/>
        </w:rPr>
      </w:pPr>
    </w:p>
    <w:p w:rsidR="009F11F2" w:rsidRPr="00B8721C" w:rsidRDefault="00716276" w:rsidP="005A03C0">
      <w:pPr>
        <w:pStyle w:val="Heading2"/>
        <w:tabs>
          <w:tab w:val="clear" w:pos="1620"/>
        </w:tabs>
        <w:ind w:left="1440"/>
        <w:rPr>
          <w:i/>
          <w:lang w:val="en-US"/>
        </w:rPr>
      </w:pPr>
      <w:bookmarkStart w:id="3" w:name="_Toc534731300"/>
      <w:r w:rsidRPr="00B8721C">
        <w:rPr>
          <w:lang w:val="en-US"/>
        </w:rPr>
        <w:t>The petitioner</w:t>
      </w:r>
      <w:bookmarkEnd w:id="3"/>
    </w:p>
    <w:p w:rsidR="009F11F2" w:rsidRPr="00B8721C" w:rsidRDefault="009F11F2" w:rsidP="005A03C0">
      <w:pPr>
        <w:ind w:firstLine="720"/>
        <w:jc w:val="both"/>
        <w:rPr>
          <w:rFonts w:ascii="Cambria" w:hAnsi="Cambria"/>
          <w:sz w:val="20"/>
          <w:szCs w:val="20"/>
        </w:rPr>
      </w:pPr>
    </w:p>
    <w:p w:rsidR="000E2BDE" w:rsidRPr="00B8721C" w:rsidRDefault="00CB6360" w:rsidP="003A23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 xml:space="preserve">The petitioner alleged that on May 25, 2000, journalist Jineth Bedoya Lima was abducted outside the </w:t>
      </w:r>
      <w:r w:rsidR="00591A2D" w:rsidRPr="00B8721C">
        <w:rPr>
          <w:rFonts w:ascii="Cambria" w:hAnsi="Cambria"/>
          <w:sz w:val="20"/>
          <w:szCs w:val="20"/>
        </w:rPr>
        <w:t>National Model Prison (</w:t>
      </w:r>
      <w:r w:rsidR="00591A2D" w:rsidRPr="00B8721C">
        <w:rPr>
          <w:rFonts w:ascii="Cambria" w:hAnsi="Cambria"/>
          <w:i/>
          <w:sz w:val="20"/>
          <w:szCs w:val="20"/>
        </w:rPr>
        <w:t>Cárcel Nacional Modelo</w:t>
      </w:r>
      <w:r w:rsidR="00591A2D" w:rsidRPr="00B8721C">
        <w:rPr>
          <w:rFonts w:ascii="Cambria" w:hAnsi="Cambria"/>
          <w:sz w:val="20"/>
          <w:szCs w:val="20"/>
        </w:rPr>
        <w:t xml:space="preserve">) </w:t>
      </w:r>
      <w:r w:rsidRPr="00B8721C">
        <w:rPr>
          <w:rFonts w:ascii="Cambria" w:hAnsi="Cambria"/>
          <w:sz w:val="20"/>
          <w:szCs w:val="20"/>
        </w:rPr>
        <w:t xml:space="preserve">in the city of Bogotá. It maintains that during her kidnapping, which lasted approximately 16 hours, the alleged victim was severely abused and tortured by her captors, who subjected her to various forms of physical, sexual, and psychological violence and told her on several occasions that the kidnapping was due to her journalistic work. </w:t>
      </w:r>
      <w:r w:rsidR="00D4460B" w:rsidRPr="00B8721C">
        <w:rPr>
          <w:rFonts w:ascii="Cambria" w:hAnsi="Cambria"/>
          <w:sz w:val="20"/>
          <w:szCs w:val="20"/>
        </w:rPr>
        <w:t xml:space="preserve">It denounced that, at the time of the events, the journalist was working for the newspaper </w:t>
      </w:r>
      <w:r w:rsidR="00D4460B" w:rsidRPr="00B8721C">
        <w:rPr>
          <w:rFonts w:ascii="Cambria" w:hAnsi="Cambria"/>
          <w:i/>
          <w:sz w:val="20"/>
          <w:szCs w:val="20"/>
        </w:rPr>
        <w:t>El Espectador</w:t>
      </w:r>
      <w:r w:rsidR="00D4460B" w:rsidRPr="00B8721C">
        <w:rPr>
          <w:rFonts w:ascii="Cambria" w:hAnsi="Cambria"/>
          <w:sz w:val="20"/>
          <w:szCs w:val="20"/>
        </w:rPr>
        <w:t xml:space="preserve"> as chief editor </w:t>
      </w:r>
      <w:r w:rsidR="00610682" w:rsidRPr="00B8721C">
        <w:rPr>
          <w:rFonts w:ascii="Cambria" w:hAnsi="Cambria"/>
          <w:sz w:val="20"/>
          <w:szCs w:val="20"/>
        </w:rPr>
        <w:t>of prison news</w:t>
      </w:r>
      <w:r w:rsidR="00D4460B" w:rsidRPr="00B8721C">
        <w:rPr>
          <w:rFonts w:ascii="Cambria" w:hAnsi="Cambria"/>
          <w:sz w:val="20"/>
          <w:szCs w:val="20"/>
        </w:rPr>
        <w:t xml:space="preserve"> and was covering a massacre that had taken place on April 27, 2000 </w:t>
      </w:r>
      <w:r w:rsidR="00257A03" w:rsidRPr="00B8721C">
        <w:rPr>
          <w:rFonts w:ascii="Cambria" w:hAnsi="Cambria"/>
          <w:sz w:val="20"/>
          <w:szCs w:val="20"/>
        </w:rPr>
        <w:t>at La Modelo</w:t>
      </w:r>
      <w:r w:rsidR="00D4460B" w:rsidRPr="00B8721C">
        <w:rPr>
          <w:rFonts w:ascii="Cambria" w:hAnsi="Cambria"/>
          <w:sz w:val="20"/>
          <w:szCs w:val="20"/>
        </w:rPr>
        <w:t>.</w:t>
      </w:r>
      <w:r w:rsidR="00B42E3E" w:rsidRPr="00B8721C">
        <w:rPr>
          <w:rFonts w:ascii="Cambria" w:hAnsi="Cambria"/>
          <w:sz w:val="20"/>
          <w:szCs w:val="20"/>
        </w:rPr>
        <w:t xml:space="preserve"> </w:t>
      </w:r>
    </w:p>
    <w:p w:rsidR="000E2BDE" w:rsidRPr="00B8721C" w:rsidRDefault="000E2BDE" w:rsidP="000E2BD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32D39" w:rsidRPr="00BD454C" w:rsidRDefault="00220CD8" w:rsidP="00BD45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 xml:space="preserve">La </w:t>
      </w:r>
      <w:r w:rsidR="00716276" w:rsidRPr="00B8721C">
        <w:rPr>
          <w:rFonts w:ascii="Cambria" w:hAnsi="Cambria"/>
          <w:sz w:val="20"/>
          <w:szCs w:val="20"/>
        </w:rPr>
        <w:t>the petitioner</w:t>
      </w:r>
      <w:r w:rsidRPr="00B8721C">
        <w:rPr>
          <w:rFonts w:ascii="Cambria" w:hAnsi="Cambria"/>
          <w:sz w:val="20"/>
          <w:szCs w:val="20"/>
        </w:rPr>
        <w:t xml:space="preserve"> </w:t>
      </w:r>
      <w:r w:rsidR="000E2BDE" w:rsidRPr="00B8721C">
        <w:rPr>
          <w:rFonts w:ascii="Cambria" w:hAnsi="Cambria"/>
          <w:sz w:val="20"/>
          <w:szCs w:val="20"/>
        </w:rPr>
        <w:t>alleges that</w:t>
      </w:r>
      <w:r w:rsidR="009F46FD" w:rsidRPr="00B8721C">
        <w:rPr>
          <w:rFonts w:ascii="Cambria" w:hAnsi="Cambria"/>
          <w:sz w:val="20"/>
          <w:szCs w:val="20"/>
        </w:rPr>
        <w:t xml:space="preserve"> </w:t>
      </w:r>
      <w:r w:rsidR="00716276" w:rsidRPr="00B8721C">
        <w:rPr>
          <w:rFonts w:ascii="Cambria" w:hAnsi="Cambria"/>
          <w:sz w:val="20"/>
          <w:szCs w:val="20"/>
        </w:rPr>
        <w:t>the State</w:t>
      </w:r>
      <w:r w:rsidR="009F46FD" w:rsidRPr="00B8721C">
        <w:rPr>
          <w:rFonts w:ascii="Cambria" w:hAnsi="Cambria"/>
          <w:sz w:val="20"/>
          <w:szCs w:val="20"/>
        </w:rPr>
        <w:t xml:space="preserve"> </w:t>
      </w:r>
      <w:r w:rsidR="000E2BDE" w:rsidRPr="00B8721C">
        <w:rPr>
          <w:rFonts w:ascii="Cambria" w:hAnsi="Cambria"/>
          <w:sz w:val="20"/>
          <w:szCs w:val="20"/>
        </w:rPr>
        <w:t xml:space="preserve">failed in its duty to guarantee </w:t>
      </w:r>
      <w:r w:rsidR="000E2BDE" w:rsidRPr="00B8721C">
        <w:rPr>
          <w:rFonts w:ascii="Cambria" w:hAnsi="Cambria"/>
          <w:b/>
          <w:sz w:val="20"/>
          <w:szCs w:val="20"/>
        </w:rPr>
        <w:t>the rights to humane treatment, freedom, and privacy</w:t>
      </w:r>
      <w:r w:rsidR="000E2BDE" w:rsidRPr="00B8721C">
        <w:rPr>
          <w:rFonts w:ascii="Cambria" w:hAnsi="Cambria"/>
          <w:sz w:val="20"/>
          <w:szCs w:val="20"/>
        </w:rPr>
        <w:t>, since it did not take protective measures on behalf of Jineth Bedoya Lima, even though it was aware of the risks she faced because of the work she was doing.</w:t>
      </w:r>
      <w:r w:rsidRPr="00B8721C">
        <w:rPr>
          <w:rFonts w:ascii="Cambria" w:hAnsi="Cambria"/>
          <w:sz w:val="20"/>
          <w:szCs w:val="20"/>
        </w:rPr>
        <w:t xml:space="preserve"> </w:t>
      </w:r>
      <w:r w:rsidR="000E2BDE" w:rsidRPr="00B8721C">
        <w:rPr>
          <w:rFonts w:ascii="Cambria" w:hAnsi="Cambria"/>
          <w:sz w:val="20"/>
          <w:szCs w:val="20"/>
        </w:rPr>
        <w:t xml:space="preserve">It indicated that Jineth Bedoya Lima informed the authorities of the threats she had received; however, the State did not take effective protection measures. </w:t>
      </w:r>
      <w:r w:rsidR="000E2BDE" w:rsidRPr="00BD454C">
        <w:rPr>
          <w:rFonts w:ascii="Cambria" w:hAnsi="Cambria"/>
          <w:sz w:val="20"/>
          <w:szCs w:val="20"/>
        </w:rPr>
        <w:t xml:space="preserve">The petitioner alleged that the State's failure to protect Jineth Bedoya Lima also constitutes a violation of her </w:t>
      </w:r>
      <w:r w:rsidR="000E2BDE" w:rsidRPr="00BD454C">
        <w:rPr>
          <w:rFonts w:ascii="Cambria" w:hAnsi="Cambria"/>
          <w:b/>
          <w:sz w:val="20"/>
          <w:szCs w:val="20"/>
        </w:rPr>
        <w:t>right to freedom of expression</w:t>
      </w:r>
      <w:r w:rsidR="000E2BDE" w:rsidRPr="00BD454C">
        <w:rPr>
          <w:rFonts w:ascii="Cambria" w:hAnsi="Cambria"/>
          <w:sz w:val="20"/>
          <w:szCs w:val="20"/>
        </w:rPr>
        <w:t xml:space="preserve"> in both its individual and collective dimensions</w:t>
      </w:r>
      <w:r w:rsidR="000B1F47" w:rsidRPr="00BD454C">
        <w:rPr>
          <w:rFonts w:ascii="Cambria" w:hAnsi="Cambria"/>
          <w:sz w:val="20"/>
          <w:szCs w:val="20"/>
        </w:rPr>
        <w:t>.</w:t>
      </w:r>
      <w:r w:rsidR="00E54370" w:rsidRPr="00BD454C">
        <w:rPr>
          <w:rFonts w:ascii="Cambria" w:hAnsi="Cambria"/>
          <w:sz w:val="20"/>
          <w:szCs w:val="20"/>
        </w:rPr>
        <w:t xml:space="preserve"> </w:t>
      </w:r>
      <w:r w:rsidR="000E2BDE" w:rsidRPr="00BD454C">
        <w:rPr>
          <w:rFonts w:ascii="Cambria" w:hAnsi="Cambria"/>
          <w:sz w:val="20"/>
          <w:szCs w:val="20"/>
        </w:rPr>
        <w:t xml:space="preserve">It also argued that, because of the threats against her and the lack of government protection, she had to leave the country in 1998, which was a violation of her </w:t>
      </w:r>
      <w:r w:rsidR="000E2BDE" w:rsidRPr="00BD454C">
        <w:rPr>
          <w:rFonts w:ascii="Cambria" w:hAnsi="Cambria"/>
          <w:b/>
          <w:sz w:val="20"/>
          <w:szCs w:val="20"/>
        </w:rPr>
        <w:t xml:space="preserve">right of </w:t>
      </w:r>
      <w:r w:rsidR="00C93FBB" w:rsidRPr="00BD454C">
        <w:rPr>
          <w:rFonts w:ascii="Cambria" w:hAnsi="Cambria"/>
          <w:b/>
          <w:sz w:val="20"/>
          <w:szCs w:val="20"/>
        </w:rPr>
        <w:t xml:space="preserve">free </w:t>
      </w:r>
      <w:r w:rsidR="000E2BDE" w:rsidRPr="00BD454C">
        <w:rPr>
          <w:rFonts w:ascii="Cambria" w:hAnsi="Cambria"/>
          <w:b/>
          <w:sz w:val="20"/>
          <w:szCs w:val="20"/>
        </w:rPr>
        <w:t>movement and residence</w:t>
      </w:r>
      <w:r w:rsidR="000E2BDE" w:rsidRPr="00BD454C">
        <w:rPr>
          <w:rFonts w:ascii="Cambria" w:hAnsi="Cambria"/>
          <w:sz w:val="20"/>
          <w:szCs w:val="20"/>
        </w:rPr>
        <w:t>.</w:t>
      </w:r>
    </w:p>
    <w:p w:rsidR="00C32D39" w:rsidRPr="00B8721C" w:rsidRDefault="00C32D39" w:rsidP="00C32D3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F35EF2" w:rsidRPr="00B8721C" w:rsidRDefault="00490B63" w:rsidP="00F35E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color w:val="000000"/>
          <w:sz w:val="20"/>
          <w:szCs w:val="20"/>
        </w:rPr>
        <w:t>The petitioner raised various allegations, arguing that the Colombian State violated the alleged victim's rights to judicial guarantees and protection by failing to conduct a diligent and effective investigation into these acts, consistent with applicable international standards. The petitioner maintained that “until 2011 there was no impetus to the investigation” and that it was only in 2011, with the prompting and intervention of the alleged victim and her legal representatives, that the investigation was reactivated; therefore, the State is responsible for an undue delay in the investigation.</w:t>
      </w:r>
      <w:r w:rsidR="00401B03" w:rsidRPr="00B8721C">
        <w:rPr>
          <w:rFonts w:ascii="Cambria" w:hAnsi="Cambria"/>
          <w:sz w:val="20"/>
          <w:szCs w:val="20"/>
        </w:rPr>
        <w:t xml:space="preserve"> </w:t>
      </w:r>
      <w:r w:rsidR="005A104C" w:rsidRPr="00B8721C">
        <w:rPr>
          <w:rFonts w:ascii="Cambria" w:hAnsi="Cambria"/>
          <w:sz w:val="20"/>
          <w:szCs w:val="20"/>
        </w:rPr>
        <w:t>In addition, it argued that the State omitted to conduct and assess evidentiary proceedings in a timely manner, making it impossible in several instances to include evidence in the criminal file that could have been decisive</w:t>
      </w:r>
      <w:r w:rsidR="00D96CD7" w:rsidRPr="00B8721C">
        <w:rPr>
          <w:rFonts w:ascii="Cambria" w:hAnsi="Cambria"/>
          <w:sz w:val="20"/>
          <w:szCs w:val="20"/>
        </w:rPr>
        <w:t xml:space="preserve">. </w:t>
      </w:r>
      <w:r w:rsidR="00C0664C" w:rsidRPr="00B8721C">
        <w:rPr>
          <w:rFonts w:ascii="Cambria" w:hAnsi="Cambria"/>
          <w:sz w:val="20"/>
          <w:szCs w:val="20"/>
        </w:rPr>
        <w:t>It stated that, on the contrary, there was stalling and discontinuity in the lines of investigation; duality in the investigations of gender-based violence; the transfer of the investigative activity to the victim; a lack of investigative memory and coherence; ineffective investigative activities; and the delayed examination of relevant evidence</w:t>
      </w:r>
      <w:r w:rsidR="00B0230C" w:rsidRPr="00B8721C">
        <w:rPr>
          <w:rFonts w:ascii="Cambria" w:hAnsi="Cambria"/>
          <w:sz w:val="20"/>
          <w:szCs w:val="20"/>
        </w:rPr>
        <w:t xml:space="preserve">. </w:t>
      </w:r>
      <w:r w:rsidR="00C32D39" w:rsidRPr="00B8721C">
        <w:rPr>
          <w:rFonts w:ascii="Cambria" w:hAnsi="Cambria"/>
          <w:sz w:val="20"/>
          <w:szCs w:val="20"/>
        </w:rPr>
        <w:t>It also argued that from the outset there was evidence of involvement of State agents in the alleged acts, and yet this line of investigation has not been a major part of the judicial proceedings in the case. Specifically, it said that the facts involving State agents should have been considered as possible torture in accordance with the requirements derived from Articles 1, 6, and 8 of the Inter-American Convention to Prevent and Punish Torture.</w:t>
      </w:r>
      <w:r w:rsidR="00052934" w:rsidRPr="00B8721C">
        <w:rPr>
          <w:rFonts w:ascii="Cambria" w:hAnsi="Cambria"/>
          <w:sz w:val="20"/>
          <w:szCs w:val="20"/>
        </w:rPr>
        <w:t xml:space="preserve"> </w:t>
      </w:r>
      <w:r w:rsidR="00C32D39" w:rsidRPr="00B8721C">
        <w:rPr>
          <w:rFonts w:ascii="Cambria" w:hAnsi="Cambria"/>
          <w:sz w:val="20"/>
          <w:szCs w:val="20"/>
        </w:rPr>
        <w:t>In addition, the petitioner asserted that the investigation was not conducted properly, that the victim was forced to provide multiple statements in court, and that the evidence and the establishment of lines of investigation were discriminatory, in breach of the enhanced obligation to investigate acts of sexual vi</w:t>
      </w:r>
      <w:r w:rsidR="00F35EF2" w:rsidRPr="00B8721C">
        <w:rPr>
          <w:rFonts w:ascii="Cambria" w:hAnsi="Cambria"/>
          <w:sz w:val="20"/>
          <w:szCs w:val="20"/>
        </w:rPr>
        <w:t>olence contained in Article 7.b</w:t>
      </w:r>
      <w:r w:rsidR="00C32D39" w:rsidRPr="00B8721C">
        <w:rPr>
          <w:rFonts w:ascii="Cambria" w:hAnsi="Cambria"/>
          <w:sz w:val="20"/>
          <w:szCs w:val="20"/>
        </w:rPr>
        <w:t xml:space="preserve"> of the Convention of </w:t>
      </w:r>
      <w:r w:rsidR="00E277A7" w:rsidRPr="00B8721C">
        <w:rPr>
          <w:rFonts w:ascii="Cambria" w:hAnsi="Cambria"/>
          <w:sz w:val="20"/>
          <w:szCs w:val="20"/>
        </w:rPr>
        <w:t>Belém do Pará</w:t>
      </w:r>
      <w:r w:rsidR="00C32D39" w:rsidRPr="00B8721C">
        <w:rPr>
          <w:rFonts w:ascii="Cambria" w:hAnsi="Cambria"/>
          <w:sz w:val="20"/>
          <w:szCs w:val="20"/>
        </w:rPr>
        <w:t>.</w:t>
      </w:r>
    </w:p>
    <w:p w:rsidR="00F35EF2" w:rsidRPr="00B8721C" w:rsidRDefault="00F35EF2" w:rsidP="00F35EF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267712" w:rsidRPr="00B8721C" w:rsidRDefault="00F35EF2" w:rsidP="0026771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 xml:space="preserve">Based on the foregoing, the petitioner alleged that the State of Colombia is responsible for the violation of Articles 5, 7, 8, 11, 13, 22, and 25 of the American Convention in relation to Articles 1.1 and 2 thereof. It also alleged noncompliance with the obligations established in Articles 1, 6, and 8 of the IACPPT and Article 7.b of the Convention of </w:t>
      </w:r>
      <w:r w:rsidR="00E277A7" w:rsidRPr="00B8721C">
        <w:rPr>
          <w:rFonts w:ascii="Cambria" w:hAnsi="Cambria"/>
          <w:sz w:val="20"/>
          <w:szCs w:val="20"/>
        </w:rPr>
        <w:t>Belém do Pará</w:t>
      </w:r>
      <w:r w:rsidRPr="00B8721C">
        <w:rPr>
          <w:rFonts w:ascii="Cambria" w:hAnsi="Cambria"/>
          <w:sz w:val="20"/>
          <w:szCs w:val="20"/>
        </w:rPr>
        <w:t>.</w:t>
      </w:r>
    </w:p>
    <w:p w:rsidR="00267712" w:rsidRPr="00B8721C" w:rsidRDefault="00267712" w:rsidP="0026771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F64F8" w:rsidRPr="00B8721C" w:rsidRDefault="00267712" w:rsidP="00DF64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The petitioner maintains that this case is framed within the context of the internal armed conflict in Colombia, which has had a differentiated and disproportionate impact on both journalists and women.</w:t>
      </w:r>
    </w:p>
    <w:p w:rsidR="00DF64F8" w:rsidRPr="00B8721C" w:rsidRDefault="00DF64F8" w:rsidP="00DF64F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BA7201" w:rsidRPr="00B8721C" w:rsidRDefault="00DF64F8" w:rsidP="00DF64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Finally, the petitioner asked the Commission to find that the State violated the right to humane treatment, in relation to Article 1.1 of the ACHR, to the detriment of Luz Nelly Lima Gutiérrez, Jineth Bedoya's mother. In this regard, it alleged that she “has been suffering and fearful of the threats to her daughter since 1998, aggravated by the ongoing impunity in the case, and that in 1999 she was injured in an attack directed against the alleged victim, and had to be hospitalized for several days.”</w:t>
      </w:r>
    </w:p>
    <w:p w:rsidR="00DF64F8" w:rsidRPr="00B8721C" w:rsidRDefault="00DF64F8" w:rsidP="00DF64F8">
      <w:pPr>
        <w:ind w:left="360"/>
        <w:jc w:val="both"/>
        <w:rPr>
          <w:rFonts w:ascii="Cambria" w:hAnsi="Cambria"/>
          <w:sz w:val="20"/>
          <w:szCs w:val="20"/>
        </w:rPr>
      </w:pPr>
    </w:p>
    <w:p w:rsidR="009F11F2" w:rsidRPr="00B8721C" w:rsidRDefault="00716276" w:rsidP="005A03C0">
      <w:pPr>
        <w:pStyle w:val="Heading2"/>
        <w:tabs>
          <w:tab w:val="clear" w:pos="1620"/>
        </w:tabs>
        <w:ind w:left="1440"/>
        <w:rPr>
          <w:lang w:val="en-US"/>
        </w:rPr>
      </w:pPr>
      <w:bookmarkStart w:id="4" w:name="_Toc534731301"/>
      <w:r w:rsidRPr="00B8721C">
        <w:rPr>
          <w:lang w:val="en-US"/>
        </w:rPr>
        <w:t>The State</w:t>
      </w:r>
      <w:bookmarkEnd w:id="4"/>
    </w:p>
    <w:p w:rsidR="001C205F" w:rsidRPr="00B8721C" w:rsidRDefault="001C205F" w:rsidP="005A03C0">
      <w:pPr>
        <w:rPr>
          <w:rFonts w:ascii="Cambria" w:hAnsi="Cambria"/>
          <w:sz w:val="20"/>
          <w:szCs w:val="20"/>
        </w:rPr>
      </w:pPr>
    </w:p>
    <w:p w:rsidR="00804F06" w:rsidRPr="00B8721C" w:rsidRDefault="00716276" w:rsidP="00804F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810"/>
        </w:tabs>
        <w:ind w:left="0" w:firstLine="810"/>
        <w:jc w:val="both"/>
        <w:rPr>
          <w:rFonts w:ascii="Cambria" w:hAnsi="Cambria"/>
          <w:sz w:val="20"/>
          <w:szCs w:val="20"/>
        </w:rPr>
      </w:pPr>
      <w:r w:rsidRPr="00B8721C">
        <w:rPr>
          <w:rFonts w:ascii="Cambria" w:hAnsi="Cambria"/>
          <w:sz w:val="20"/>
          <w:szCs w:val="20"/>
        </w:rPr>
        <w:t xml:space="preserve">The </w:t>
      </w:r>
      <w:r w:rsidR="00DD4667" w:rsidRPr="00B8721C">
        <w:rPr>
          <w:rFonts w:ascii="Cambria" w:hAnsi="Cambria"/>
          <w:sz w:val="20"/>
          <w:szCs w:val="20"/>
        </w:rPr>
        <w:t>State indicated that it deeply regrets the events of May 25, 2000, when journalist Jineth Bedoya was the victim of acts constituting kidnapping, torture, and sexual violence, and expressed its appreciation for the journalistic work of Jineth Bedoya. It also acknowledged that “There was a context of violence against journalists at the time of the events involved in this case,” and asked the IACHR for legislative and public policy measures aimed at “respecting and guaranteeing the practice of journalism and access to justice for crimes of sexual violence against women within and outside the context of the armed conflict.”</w:t>
      </w:r>
    </w:p>
    <w:p w:rsidR="00804F06" w:rsidRPr="00B8721C" w:rsidRDefault="00804F06" w:rsidP="00804F06">
      <w:pPr>
        <w:pBdr>
          <w:top w:val="none" w:sz="0" w:space="0" w:color="auto"/>
          <w:left w:val="none" w:sz="0" w:space="0" w:color="auto"/>
          <w:bottom w:val="none" w:sz="0" w:space="0" w:color="auto"/>
          <w:right w:val="none" w:sz="0" w:space="0" w:color="auto"/>
          <w:between w:val="none" w:sz="0" w:space="0" w:color="auto"/>
          <w:bar w:val="none" w:sz="0" w:color="auto"/>
        </w:pBdr>
        <w:ind w:left="810"/>
        <w:jc w:val="both"/>
        <w:rPr>
          <w:rFonts w:ascii="Cambria" w:hAnsi="Cambria"/>
          <w:sz w:val="20"/>
          <w:szCs w:val="20"/>
        </w:rPr>
      </w:pPr>
    </w:p>
    <w:p w:rsidR="005D356E" w:rsidRPr="00B8721C" w:rsidRDefault="00804F06" w:rsidP="005D356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810"/>
        </w:tabs>
        <w:ind w:left="0" w:firstLine="810"/>
        <w:jc w:val="both"/>
        <w:rPr>
          <w:rFonts w:ascii="Cambria" w:hAnsi="Cambria"/>
          <w:sz w:val="20"/>
          <w:szCs w:val="20"/>
        </w:rPr>
      </w:pPr>
      <w:r w:rsidRPr="00B8721C">
        <w:rPr>
          <w:rFonts w:ascii="Cambria" w:hAnsi="Cambria"/>
          <w:sz w:val="20"/>
          <w:szCs w:val="20"/>
        </w:rPr>
        <w:t xml:space="preserve">The State alleged that government authorities have taken various criminal and disciplinary actions, as well as protection and reparation measures in order to safeguard the rights of the alleged victim in the present case. As to the protective measures, the State acknowledged that it was aware of the </w:t>
      </w:r>
      <w:r w:rsidR="0082252F">
        <w:rPr>
          <w:rFonts w:ascii="Cambria" w:hAnsi="Cambria"/>
          <w:sz w:val="20"/>
          <w:szCs w:val="20"/>
        </w:rPr>
        <w:t>journalist’s</w:t>
      </w:r>
      <w:r w:rsidRPr="00B8721C">
        <w:rPr>
          <w:rFonts w:ascii="Cambria" w:hAnsi="Cambria"/>
          <w:sz w:val="20"/>
          <w:szCs w:val="20"/>
        </w:rPr>
        <w:t xml:space="preserve"> risk prior to her abduction. It affirmed that in 1999 the State assessed the risk at a medium level; “however, it is not certain whether the journalist accepted the provisional security detail offered by the DAS.” It also stated that the Ministry of Defense was indeed aware of the threats received by Jineth Bedoya the day before her kidnapping and that “it dealt with the situation described by journalists through the National Police, taking security measures to prevent the risk from becoming a reality.” It added that she was assigned a security detail in March 2014, consisting of police officers, an armored vehicle, a conventional vehicle, a communication</w:t>
      </w:r>
      <w:r w:rsidR="00D57D2C" w:rsidRPr="00B8721C">
        <w:rPr>
          <w:rFonts w:ascii="Cambria" w:hAnsi="Cambria"/>
          <w:sz w:val="20"/>
          <w:szCs w:val="20"/>
        </w:rPr>
        <w:t xml:space="preserve"> device</w:t>
      </w:r>
      <w:r w:rsidRPr="00B8721C">
        <w:rPr>
          <w:rFonts w:ascii="Cambria" w:hAnsi="Cambria"/>
          <w:sz w:val="20"/>
          <w:szCs w:val="20"/>
        </w:rPr>
        <w:t>, and a bulletproof vest.</w:t>
      </w:r>
    </w:p>
    <w:p w:rsidR="005D356E" w:rsidRPr="00B8721C" w:rsidRDefault="005D356E" w:rsidP="005D356E">
      <w:pPr>
        <w:pBdr>
          <w:top w:val="none" w:sz="0" w:space="0" w:color="auto"/>
          <w:left w:val="none" w:sz="0" w:space="0" w:color="auto"/>
          <w:bottom w:val="none" w:sz="0" w:space="0" w:color="auto"/>
          <w:right w:val="none" w:sz="0" w:space="0" w:color="auto"/>
          <w:between w:val="none" w:sz="0" w:space="0" w:color="auto"/>
          <w:bar w:val="none" w:sz="0" w:color="auto"/>
        </w:pBdr>
        <w:ind w:left="810"/>
        <w:jc w:val="both"/>
        <w:rPr>
          <w:rFonts w:ascii="Cambria" w:hAnsi="Cambria"/>
          <w:sz w:val="20"/>
          <w:szCs w:val="20"/>
        </w:rPr>
      </w:pPr>
    </w:p>
    <w:p w:rsidR="009F4296" w:rsidRPr="00B8721C" w:rsidRDefault="005D356E" w:rsidP="009F429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810"/>
        </w:tabs>
        <w:ind w:left="0" w:firstLine="810"/>
        <w:jc w:val="both"/>
        <w:rPr>
          <w:rFonts w:ascii="Cambria" w:hAnsi="Cambria"/>
          <w:sz w:val="20"/>
          <w:szCs w:val="20"/>
        </w:rPr>
      </w:pPr>
      <w:r w:rsidRPr="00B8721C">
        <w:rPr>
          <w:rFonts w:ascii="Cambria" w:hAnsi="Cambria"/>
          <w:sz w:val="20"/>
          <w:szCs w:val="20"/>
        </w:rPr>
        <w:t xml:space="preserve">With regard to the criminal investigation into the threats, the State maintained that it opened three criminal investigations, which were </w:t>
      </w:r>
      <w:r w:rsidR="005D15CA" w:rsidRPr="00B8721C">
        <w:rPr>
          <w:rFonts w:ascii="Cambria" w:hAnsi="Cambria"/>
          <w:sz w:val="20"/>
          <w:szCs w:val="20"/>
        </w:rPr>
        <w:t>closed</w:t>
      </w:r>
      <w:r w:rsidRPr="00B8721C">
        <w:rPr>
          <w:rFonts w:ascii="Cambria" w:hAnsi="Cambria"/>
          <w:sz w:val="20"/>
          <w:szCs w:val="20"/>
        </w:rPr>
        <w:t xml:space="preserve"> for good cause after the end of the inquiry stage. However, the State reported that “a Legal Technical Committee of the Office of the Prosecutor General is considering the possibility of ordering the reopening of these investigations, in order to continue gathering evidence to clarify the facts reported by the journalist.”</w:t>
      </w:r>
    </w:p>
    <w:p w:rsidR="009F4296" w:rsidRPr="00B8721C" w:rsidRDefault="009F4296" w:rsidP="009F4296">
      <w:pPr>
        <w:pBdr>
          <w:top w:val="none" w:sz="0" w:space="0" w:color="auto"/>
          <w:left w:val="none" w:sz="0" w:space="0" w:color="auto"/>
          <w:bottom w:val="none" w:sz="0" w:space="0" w:color="auto"/>
          <w:right w:val="none" w:sz="0" w:space="0" w:color="auto"/>
          <w:between w:val="none" w:sz="0" w:space="0" w:color="auto"/>
          <w:bar w:val="none" w:sz="0" w:color="auto"/>
        </w:pBdr>
        <w:ind w:left="810"/>
        <w:jc w:val="both"/>
        <w:rPr>
          <w:rFonts w:ascii="Cambria" w:hAnsi="Cambria"/>
          <w:sz w:val="20"/>
          <w:szCs w:val="20"/>
        </w:rPr>
      </w:pPr>
    </w:p>
    <w:p w:rsidR="00A01B23" w:rsidRPr="00B8721C" w:rsidRDefault="00B84BED" w:rsidP="00A01B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810"/>
        </w:tabs>
        <w:ind w:left="0" w:firstLine="810"/>
        <w:jc w:val="both"/>
        <w:rPr>
          <w:rFonts w:ascii="Cambria" w:hAnsi="Cambria"/>
          <w:sz w:val="20"/>
          <w:szCs w:val="20"/>
        </w:rPr>
      </w:pPr>
      <w:r w:rsidRPr="00B8721C">
        <w:rPr>
          <w:rFonts w:ascii="Cambria" w:hAnsi="Cambria"/>
          <w:sz w:val="20"/>
          <w:szCs w:val="20"/>
        </w:rPr>
        <w:t xml:space="preserve">Regarding the investigations related to the events that occurred on May 25, 2000, the State argued that the authorities have acted objectively and comprehensively following established constitutional and legal procedures and that significant progress has been made as a result of that work. It stated that once it learned of the </w:t>
      </w:r>
      <w:r w:rsidR="0082252F">
        <w:rPr>
          <w:rFonts w:ascii="Cambria" w:hAnsi="Cambria"/>
          <w:sz w:val="20"/>
          <w:szCs w:val="20"/>
        </w:rPr>
        <w:t>journalist’s</w:t>
      </w:r>
      <w:r w:rsidRPr="00B8721C">
        <w:rPr>
          <w:rFonts w:ascii="Cambria" w:hAnsi="Cambria"/>
          <w:sz w:val="20"/>
          <w:szCs w:val="20"/>
        </w:rPr>
        <w:t xml:space="preserve"> kidnapping, the authorities immediately took action to determine her whereabouts and initiated the necessary procedures to identify those responsible. </w:t>
      </w:r>
      <w:r w:rsidR="00A26A26" w:rsidRPr="00B8721C">
        <w:rPr>
          <w:rFonts w:ascii="Cambria" w:hAnsi="Cambria"/>
          <w:sz w:val="20"/>
          <w:szCs w:val="20"/>
        </w:rPr>
        <w:t>It maintained that despite the difficulties encountered in the investigation of these facts, the authorities have assumed their duty with all seriousness, impartiality, and speed, which has enabled the following advances: 1) the conviction of two of the perpetrators, 2) the declaration of the crimes against Jineth Bedoya Lima as crimes against humanity, in accordance with the international instruments ratified by Colombia, 3) the identification of the motives for the crimes, which concluded that the intent was to intimidate the journalist and restrict the exercise of her activity, and 4) progress in establishing the facts.</w:t>
      </w:r>
      <w:r w:rsidR="00A01D34" w:rsidRPr="00B8721C">
        <w:rPr>
          <w:rFonts w:ascii="Cambria" w:hAnsi="Cambria"/>
          <w:sz w:val="20"/>
          <w:szCs w:val="20"/>
        </w:rPr>
        <w:t xml:space="preserve"> </w:t>
      </w:r>
      <w:r w:rsidR="00A26A26" w:rsidRPr="00B8721C">
        <w:rPr>
          <w:rFonts w:ascii="Cambria" w:hAnsi="Cambria"/>
          <w:sz w:val="20"/>
          <w:szCs w:val="20"/>
        </w:rPr>
        <w:t>The State indicated that the Public Ministry has been actively involved in the criminal case since its inception and that since January 2011, when Jineth Bedoya Lima became a civil party to the investigation, the alleged victim has been fully involved in the case. In addition, the State maintained that the investigation followed the standards established for dealing with victims of sexual violence, and that at no time did the authorities engage in “actions that could have re</w:t>
      </w:r>
      <w:r w:rsidR="00567EC1" w:rsidRPr="00B8721C">
        <w:rPr>
          <w:rFonts w:ascii="Cambria" w:hAnsi="Cambria"/>
          <w:sz w:val="20"/>
          <w:szCs w:val="20"/>
        </w:rPr>
        <w:t>-</w:t>
      </w:r>
      <w:r w:rsidR="00A26A26" w:rsidRPr="00B8721C">
        <w:rPr>
          <w:rFonts w:ascii="Cambria" w:hAnsi="Cambria"/>
          <w:sz w:val="20"/>
          <w:szCs w:val="20"/>
        </w:rPr>
        <w:t>victimized and/or discriminated agains</w:t>
      </w:r>
      <w:r w:rsidR="00567EC1" w:rsidRPr="00B8721C">
        <w:rPr>
          <w:rFonts w:ascii="Cambria" w:hAnsi="Cambria"/>
          <w:sz w:val="20"/>
          <w:szCs w:val="20"/>
        </w:rPr>
        <w:t>t the journalist,”</w:t>
      </w:r>
      <w:r w:rsidR="00A26A26" w:rsidRPr="00B8721C">
        <w:rPr>
          <w:rFonts w:ascii="Cambria" w:hAnsi="Cambria"/>
          <w:sz w:val="20"/>
          <w:szCs w:val="20"/>
        </w:rPr>
        <w:t xml:space="preserve"> nor did they make stereotypical assessments in the investigation. </w:t>
      </w:r>
      <w:r w:rsidR="009F4296" w:rsidRPr="00B8721C">
        <w:rPr>
          <w:rFonts w:ascii="Cambria" w:hAnsi="Cambria"/>
          <w:sz w:val="20"/>
          <w:szCs w:val="20"/>
        </w:rPr>
        <w:t>The State contended that at the beginning of the investigation there was not enough evidence to pursue a line of investigation related to the involvement of State agents in the facts of the instant case, but that new elements have recently been added to the case in that regard and the relevant evidence has been requested in order to resolve that theory.</w:t>
      </w:r>
    </w:p>
    <w:p w:rsidR="00A01B23" w:rsidRPr="00B8721C" w:rsidRDefault="00A01B23" w:rsidP="00A01B23">
      <w:pPr>
        <w:pBdr>
          <w:top w:val="none" w:sz="0" w:space="0" w:color="auto"/>
          <w:left w:val="none" w:sz="0" w:space="0" w:color="auto"/>
          <w:bottom w:val="none" w:sz="0" w:space="0" w:color="auto"/>
          <w:right w:val="none" w:sz="0" w:space="0" w:color="auto"/>
          <w:between w:val="none" w:sz="0" w:space="0" w:color="auto"/>
          <w:bar w:val="none" w:sz="0" w:color="auto"/>
        </w:pBdr>
        <w:ind w:left="810"/>
        <w:jc w:val="both"/>
        <w:rPr>
          <w:rFonts w:ascii="Cambria" w:hAnsi="Cambria"/>
          <w:sz w:val="20"/>
          <w:szCs w:val="20"/>
        </w:rPr>
      </w:pPr>
    </w:p>
    <w:p w:rsidR="00843445" w:rsidRPr="00B8721C" w:rsidRDefault="00A01B23" w:rsidP="005A0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810"/>
        </w:tabs>
        <w:ind w:left="0" w:firstLine="810"/>
        <w:jc w:val="both"/>
        <w:rPr>
          <w:rFonts w:ascii="Cambria" w:hAnsi="Cambria"/>
          <w:sz w:val="20"/>
          <w:szCs w:val="20"/>
        </w:rPr>
      </w:pPr>
      <w:r w:rsidRPr="00B8721C">
        <w:rPr>
          <w:rFonts w:ascii="Cambria" w:hAnsi="Cambria"/>
          <w:sz w:val="20"/>
          <w:szCs w:val="20"/>
        </w:rPr>
        <w:t>With regard to comprehensive reparation measures, the State indicated that the Unit for Comprehensive Victim Support and Reparation granted the alleged victim a sum equivalent to 40 monthly minimum salaries as a compensation measure. It also issued a decree declaring May 25 the “</w:t>
      </w:r>
      <w:r w:rsidRPr="00B8721C">
        <w:rPr>
          <w:rFonts w:ascii="Cambria" w:hAnsi="Cambria"/>
          <w:i/>
          <w:sz w:val="20"/>
          <w:szCs w:val="20"/>
        </w:rPr>
        <w:t xml:space="preserve">National Day </w:t>
      </w:r>
      <w:r w:rsidR="00CB21C7" w:rsidRPr="00B8721C">
        <w:rPr>
          <w:rFonts w:ascii="Cambria" w:hAnsi="Cambria"/>
          <w:i/>
          <w:sz w:val="20"/>
          <w:szCs w:val="20"/>
        </w:rPr>
        <w:t xml:space="preserve">for the </w:t>
      </w:r>
      <w:r w:rsidRPr="00B8721C">
        <w:rPr>
          <w:rFonts w:ascii="Cambria" w:hAnsi="Cambria"/>
          <w:i/>
          <w:sz w:val="20"/>
          <w:szCs w:val="20"/>
        </w:rPr>
        <w:t xml:space="preserve">Dignity </w:t>
      </w:r>
      <w:r w:rsidR="00CB21C7" w:rsidRPr="00B8721C">
        <w:rPr>
          <w:rFonts w:ascii="Cambria" w:hAnsi="Cambria"/>
          <w:i/>
          <w:sz w:val="20"/>
          <w:szCs w:val="20"/>
        </w:rPr>
        <w:t>of</w:t>
      </w:r>
      <w:r w:rsidRPr="00B8721C">
        <w:rPr>
          <w:rFonts w:ascii="Cambria" w:hAnsi="Cambria"/>
          <w:i/>
          <w:sz w:val="20"/>
          <w:szCs w:val="20"/>
        </w:rPr>
        <w:t xml:space="preserve"> Women Victims of Sexual Violence in the Armed Conflict</w:t>
      </w:r>
      <w:r w:rsidRPr="00B8721C">
        <w:rPr>
          <w:rFonts w:ascii="Cambria" w:hAnsi="Cambria"/>
          <w:sz w:val="20"/>
          <w:szCs w:val="20"/>
        </w:rPr>
        <w:t xml:space="preserve">” and gave Jineth Bedoya Lima a </w:t>
      </w:r>
      <w:r w:rsidR="00B863BC" w:rsidRPr="00B8721C">
        <w:rPr>
          <w:rFonts w:ascii="Cambria" w:hAnsi="Cambria"/>
          <w:sz w:val="20"/>
          <w:szCs w:val="20"/>
        </w:rPr>
        <w:t>“</w:t>
      </w:r>
      <w:r w:rsidRPr="00B8721C">
        <w:rPr>
          <w:rFonts w:ascii="Cambria" w:hAnsi="Cambria"/>
          <w:sz w:val="20"/>
          <w:szCs w:val="20"/>
        </w:rPr>
        <w:t xml:space="preserve">letter </w:t>
      </w:r>
      <w:r w:rsidR="00B863BC" w:rsidRPr="00B8721C">
        <w:rPr>
          <w:rFonts w:ascii="Cambria" w:hAnsi="Cambria"/>
          <w:sz w:val="20"/>
          <w:szCs w:val="20"/>
        </w:rPr>
        <w:t>to restore dignity”</w:t>
      </w:r>
      <w:r w:rsidRPr="00B8721C">
        <w:rPr>
          <w:rFonts w:ascii="Cambria" w:hAnsi="Cambria"/>
          <w:sz w:val="20"/>
          <w:szCs w:val="20"/>
        </w:rPr>
        <w:t xml:space="preserve"> </w:t>
      </w:r>
      <w:r w:rsidR="00CB21C7" w:rsidRPr="00B8721C">
        <w:rPr>
          <w:rFonts w:ascii="Cambria" w:hAnsi="Cambria"/>
          <w:sz w:val="20"/>
          <w:szCs w:val="20"/>
        </w:rPr>
        <w:t>[“</w:t>
      </w:r>
      <w:r w:rsidR="00CB21C7" w:rsidRPr="00B8721C">
        <w:rPr>
          <w:rFonts w:ascii="Cambria" w:hAnsi="Cambria"/>
          <w:i/>
          <w:sz w:val="20"/>
          <w:szCs w:val="20"/>
        </w:rPr>
        <w:t>carta de dignificación</w:t>
      </w:r>
      <w:r w:rsidR="00CB21C7" w:rsidRPr="00B8721C">
        <w:rPr>
          <w:rFonts w:ascii="Cambria" w:hAnsi="Cambria"/>
          <w:sz w:val="20"/>
          <w:szCs w:val="20"/>
        </w:rPr>
        <w:t xml:space="preserve">”] </w:t>
      </w:r>
      <w:r w:rsidR="00B863BC" w:rsidRPr="00B8721C">
        <w:rPr>
          <w:rFonts w:ascii="Cambria" w:hAnsi="Cambria"/>
          <w:sz w:val="20"/>
          <w:szCs w:val="20"/>
        </w:rPr>
        <w:t>in light of</w:t>
      </w:r>
      <w:r w:rsidRPr="00B8721C">
        <w:rPr>
          <w:rFonts w:ascii="Cambria" w:hAnsi="Cambria"/>
          <w:sz w:val="20"/>
          <w:szCs w:val="20"/>
        </w:rPr>
        <w:t xml:space="preserve"> the events of May 25, 2000.</w:t>
      </w:r>
    </w:p>
    <w:p w:rsidR="00843445" w:rsidRPr="00B8721C" w:rsidRDefault="00843445" w:rsidP="00843445">
      <w:pPr>
        <w:pBdr>
          <w:top w:val="none" w:sz="0" w:space="0" w:color="auto"/>
          <w:left w:val="none" w:sz="0" w:space="0" w:color="auto"/>
          <w:bottom w:val="none" w:sz="0" w:space="0" w:color="auto"/>
          <w:right w:val="none" w:sz="0" w:space="0" w:color="auto"/>
          <w:between w:val="none" w:sz="0" w:space="0" w:color="auto"/>
          <w:bar w:val="none" w:sz="0" w:color="auto"/>
        </w:pBdr>
        <w:ind w:left="810"/>
        <w:jc w:val="both"/>
        <w:rPr>
          <w:rFonts w:ascii="Cambria" w:hAnsi="Cambria"/>
          <w:sz w:val="20"/>
          <w:szCs w:val="20"/>
        </w:rPr>
      </w:pPr>
    </w:p>
    <w:p w:rsidR="009F11F2" w:rsidRPr="00B8721C" w:rsidRDefault="00843445" w:rsidP="005A0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810"/>
        </w:tabs>
        <w:ind w:left="0" w:firstLine="810"/>
        <w:jc w:val="both"/>
        <w:rPr>
          <w:rFonts w:ascii="Cambria" w:hAnsi="Cambria"/>
          <w:sz w:val="20"/>
          <w:szCs w:val="20"/>
        </w:rPr>
      </w:pPr>
      <w:r w:rsidRPr="00B8721C">
        <w:rPr>
          <w:rFonts w:ascii="Cambria" w:hAnsi="Cambria"/>
          <w:sz w:val="20"/>
          <w:szCs w:val="20"/>
        </w:rPr>
        <w:lastRenderedPageBreak/>
        <w:t xml:space="preserve">Based on the foregoing, the State maintained that it did not violate the rights to a fair trial and judicial protection enshrined in Articles 8 and 25 of the American Convention, nor did it violate Article 7.b of the Convention of </w:t>
      </w:r>
      <w:r w:rsidR="00E277A7" w:rsidRPr="00B8721C">
        <w:rPr>
          <w:rFonts w:ascii="Cambria" w:hAnsi="Cambria"/>
          <w:sz w:val="20"/>
          <w:szCs w:val="20"/>
        </w:rPr>
        <w:t>Belém do Pará</w:t>
      </w:r>
      <w:r w:rsidRPr="00B8721C">
        <w:rPr>
          <w:rFonts w:ascii="Cambria" w:hAnsi="Cambria"/>
          <w:sz w:val="20"/>
          <w:szCs w:val="20"/>
        </w:rPr>
        <w:t>, or Articles 1, 6 and 8 of the Inter-American Convention to Prevent and Punish Torture. The State further contended that it is not responsible for the alleged violation of the right to humane treatment of Jineth Bedoya Lima’s mother, Mrs. Luz Nelly Lima.</w:t>
      </w:r>
    </w:p>
    <w:p w:rsidR="00843445" w:rsidRPr="00B8721C" w:rsidRDefault="00843445" w:rsidP="005A03C0">
      <w:pPr>
        <w:jc w:val="both"/>
        <w:rPr>
          <w:rFonts w:ascii="Cambria" w:hAnsi="Cambria"/>
          <w:sz w:val="20"/>
          <w:szCs w:val="20"/>
        </w:rPr>
      </w:pPr>
    </w:p>
    <w:p w:rsidR="009F11F2" w:rsidRPr="00B8721C" w:rsidRDefault="00716276" w:rsidP="005A03C0">
      <w:pPr>
        <w:pStyle w:val="Heading1"/>
        <w:tabs>
          <w:tab w:val="clear" w:pos="1440"/>
        </w:tabs>
        <w:jc w:val="both"/>
        <w:rPr>
          <w:color w:val="auto"/>
          <w:szCs w:val="20"/>
        </w:rPr>
      </w:pPr>
      <w:bookmarkStart w:id="5" w:name="_Toc534731302"/>
      <w:bookmarkStart w:id="6" w:name="_Toc409614493"/>
      <w:bookmarkStart w:id="7" w:name="_Toc457836621"/>
      <w:bookmarkStart w:id="8" w:name="_Toc457838848"/>
      <w:r w:rsidRPr="00B8721C">
        <w:rPr>
          <w:color w:val="auto"/>
          <w:szCs w:val="20"/>
        </w:rPr>
        <w:t>ESTABLISHED FACTS</w:t>
      </w:r>
      <w:bookmarkEnd w:id="5"/>
      <w:r w:rsidR="009F11F2" w:rsidRPr="00B8721C">
        <w:rPr>
          <w:color w:val="auto"/>
          <w:szCs w:val="20"/>
        </w:rPr>
        <w:t xml:space="preserve"> </w:t>
      </w:r>
      <w:bookmarkEnd w:id="6"/>
      <w:bookmarkEnd w:id="7"/>
      <w:bookmarkEnd w:id="8"/>
    </w:p>
    <w:p w:rsidR="009F11F2" w:rsidRPr="00B8721C" w:rsidRDefault="009F11F2" w:rsidP="005A03C0">
      <w:pPr>
        <w:jc w:val="both"/>
        <w:rPr>
          <w:rFonts w:ascii="Cambria" w:hAnsi="Cambria"/>
          <w:b/>
          <w:sz w:val="20"/>
          <w:szCs w:val="20"/>
        </w:rPr>
      </w:pPr>
    </w:p>
    <w:p w:rsidR="005403CD" w:rsidRPr="00B8721C" w:rsidRDefault="00F81E24" w:rsidP="00F81E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Pursuant to Article 43.1 of its Rules of Procedure, the Commission shall take into account the arguments and evidence presented by the parties, as well as information that is a matter of public knowledge.</w:t>
      </w:r>
      <w:r w:rsidR="005403CD" w:rsidRPr="00B8721C">
        <w:rPr>
          <w:rFonts w:ascii="Cambria" w:hAnsi="Cambria"/>
          <w:sz w:val="20"/>
          <w:szCs w:val="20"/>
          <w:vertAlign w:val="superscript"/>
        </w:rPr>
        <w:footnoteReference w:id="4"/>
      </w:r>
      <w:r w:rsidR="005403CD" w:rsidRPr="00B8721C">
        <w:rPr>
          <w:rFonts w:ascii="Cambria" w:hAnsi="Cambria"/>
          <w:sz w:val="20"/>
          <w:szCs w:val="20"/>
        </w:rPr>
        <w:t xml:space="preserve"> </w:t>
      </w:r>
      <w:r w:rsidRPr="00B8721C">
        <w:rPr>
          <w:rFonts w:ascii="Cambria" w:hAnsi="Cambria"/>
          <w:sz w:val="20"/>
          <w:szCs w:val="20"/>
        </w:rPr>
        <w:t>The latter may include laws, decrees, and other laws and regulations in force in Colombia at the time of the events at issue in this case.</w:t>
      </w:r>
    </w:p>
    <w:p w:rsidR="00441210" w:rsidRPr="00B8721C" w:rsidRDefault="00441210" w:rsidP="005A03C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highlight w:val="cyan"/>
        </w:rPr>
      </w:pPr>
    </w:p>
    <w:p w:rsidR="007E0970" w:rsidRPr="00B8721C" w:rsidRDefault="004F5FA3" w:rsidP="0011783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firstLine="0"/>
        <w:jc w:val="both"/>
        <w:rPr>
          <w:rFonts w:ascii="Cambria" w:hAnsi="Cambria"/>
          <w:b/>
          <w:sz w:val="20"/>
          <w:szCs w:val="20"/>
        </w:rPr>
      </w:pPr>
      <w:r w:rsidRPr="00B8721C">
        <w:rPr>
          <w:rFonts w:ascii="Cambria" w:hAnsi="Cambria"/>
          <w:b/>
          <w:sz w:val="20"/>
          <w:szCs w:val="20"/>
        </w:rPr>
        <w:t>Prior threats against</w:t>
      </w:r>
      <w:r w:rsidR="00607769" w:rsidRPr="00B8721C">
        <w:rPr>
          <w:rFonts w:ascii="Cambria" w:hAnsi="Cambria"/>
          <w:b/>
          <w:sz w:val="20"/>
          <w:szCs w:val="20"/>
        </w:rPr>
        <w:t xml:space="preserve"> </w:t>
      </w:r>
      <w:r w:rsidR="00290FAC" w:rsidRPr="00B8721C">
        <w:rPr>
          <w:rFonts w:ascii="Cambria" w:hAnsi="Cambria"/>
          <w:b/>
          <w:sz w:val="20"/>
          <w:szCs w:val="20"/>
        </w:rPr>
        <w:t xml:space="preserve">Jineth Bedoya Lima </w:t>
      </w:r>
    </w:p>
    <w:p w:rsidR="00EB27E0" w:rsidRPr="00B8721C" w:rsidRDefault="00E75BC5" w:rsidP="00EB27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Jineth Bedoya Lima is a well-known Colombian journalist and human rights defender. She began her career in 1995 and since then has worked in various radio, print, and television media in the country, providing special coverage of the armed conflict in Colombia.</w:t>
      </w:r>
      <w:r w:rsidR="00BE20C0" w:rsidRPr="00B8721C">
        <w:rPr>
          <w:rStyle w:val="FootnoteReference"/>
          <w:rFonts w:ascii="Cambria" w:hAnsi="Cambria"/>
          <w:sz w:val="20"/>
          <w:szCs w:val="20"/>
        </w:rPr>
        <w:footnoteReference w:id="5"/>
      </w:r>
      <w:r w:rsidRPr="00B8721C">
        <w:rPr>
          <w:rFonts w:ascii="Cambria" w:hAnsi="Cambria"/>
          <w:sz w:val="20"/>
          <w:szCs w:val="20"/>
        </w:rPr>
        <w:t xml:space="preserve"> She has authored several journalistic books</w:t>
      </w:r>
      <w:r w:rsidR="00BE20C0" w:rsidRPr="00B8721C">
        <w:rPr>
          <w:rFonts w:ascii="Cambria" w:hAnsi="Cambria"/>
          <w:sz w:val="20"/>
          <w:szCs w:val="20"/>
          <w:vertAlign w:val="superscript"/>
        </w:rPr>
        <w:footnoteReference w:id="6"/>
      </w:r>
      <w:r w:rsidRPr="00B8721C">
        <w:rPr>
          <w:rFonts w:ascii="Cambria" w:hAnsi="Cambria"/>
          <w:sz w:val="20"/>
          <w:szCs w:val="20"/>
        </w:rPr>
        <w:t xml:space="preserve"> and won a number of national and international awards for her work.</w:t>
      </w:r>
      <w:r w:rsidR="005403CD" w:rsidRPr="00B8721C">
        <w:rPr>
          <w:rStyle w:val="FootnoteReference"/>
          <w:rFonts w:ascii="Cambria" w:hAnsi="Cambria"/>
          <w:sz w:val="20"/>
          <w:szCs w:val="20"/>
        </w:rPr>
        <w:footnoteReference w:id="7"/>
      </w:r>
      <w:r w:rsidRPr="00B8721C">
        <w:rPr>
          <w:rFonts w:ascii="Cambria" w:hAnsi="Cambria"/>
          <w:sz w:val="20"/>
          <w:szCs w:val="20"/>
        </w:rPr>
        <w:t xml:space="preserve"> At the time of the adoption of this report, Jineth Bedoya is serving as deputy editor of the justice section of the newspaper </w:t>
      </w:r>
      <w:r w:rsidRPr="00B8721C">
        <w:rPr>
          <w:rFonts w:ascii="Cambria" w:hAnsi="Cambria"/>
          <w:i/>
          <w:sz w:val="20"/>
          <w:szCs w:val="20"/>
        </w:rPr>
        <w:t>El Tiempo</w:t>
      </w:r>
      <w:r w:rsidRPr="00B8721C">
        <w:rPr>
          <w:rFonts w:ascii="Cambria" w:hAnsi="Cambria"/>
          <w:sz w:val="20"/>
          <w:szCs w:val="20"/>
        </w:rPr>
        <w:t xml:space="preserve"> and leads the “</w:t>
      </w:r>
      <w:r w:rsidRPr="00B8721C">
        <w:rPr>
          <w:rFonts w:ascii="Cambria" w:hAnsi="Cambria"/>
          <w:i/>
          <w:sz w:val="20"/>
          <w:szCs w:val="20"/>
        </w:rPr>
        <w:t>No Es Hora De Callar</w:t>
      </w:r>
      <w:r w:rsidRPr="00B8721C">
        <w:rPr>
          <w:rFonts w:ascii="Cambria" w:hAnsi="Cambria"/>
          <w:sz w:val="20"/>
          <w:szCs w:val="20"/>
        </w:rPr>
        <w:t>” [“It’s No Time to Be Quiet”] campaign that promotes the reporting and documentation of sexual and gender-based violenc</w:t>
      </w:r>
      <w:r w:rsidR="006A610A" w:rsidRPr="00B8721C">
        <w:rPr>
          <w:rFonts w:ascii="Cambria" w:hAnsi="Cambria"/>
          <w:sz w:val="20"/>
          <w:szCs w:val="20"/>
        </w:rPr>
        <w:t>e</w:t>
      </w:r>
      <w:r w:rsidR="004F5FA3" w:rsidRPr="00B8721C">
        <w:rPr>
          <w:rFonts w:ascii="Cambria" w:hAnsi="Cambria"/>
          <w:sz w:val="20"/>
          <w:szCs w:val="20"/>
        </w:rPr>
        <w:t>.</w:t>
      </w:r>
      <w:r w:rsidR="005403CD" w:rsidRPr="00B8721C">
        <w:rPr>
          <w:rStyle w:val="FootnoteReference"/>
          <w:rFonts w:ascii="Cambria" w:hAnsi="Cambria"/>
          <w:sz w:val="20"/>
          <w:szCs w:val="20"/>
        </w:rPr>
        <w:footnoteReference w:id="8"/>
      </w:r>
    </w:p>
    <w:p w:rsidR="00EB27E0" w:rsidRPr="00B8721C" w:rsidRDefault="00EB27E0" w:rsidP="00EB27E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AB12EC" w:rsidRDefault="00E41F3C" w:rsidP="00AB12E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 xml:space="preserve">Jineth Bedoya has been the victim of threats and acts of harassment since the beginning of her career as a journalist, especially since she started covering the internal armed conflict and judicial affairs in 1998. On February 15, 1999, Jineth Bedoya began working for the newspaper </w:t>
      </w:r>
      <w:r w:rsidRPr="0069220A">
        <w:rPr>
          <w:rFonts w:ascii="Cambria" w:hAnsi="Cambria"/>
          <w:i/>
          <w:sz w:val="20"/>
          <w:szCs w:val="20"/>
        </w:rPr>
        <w:t>El Espectador</w:t>
      </w:r>
      <w:r w:rsidRPr="00B8721C">
        <w:rPr>
          <w:rFonts w:ascii="Cambria" w:hAnsi="Cambria"/>
          <w:sz w:val="20"/>
          <w:szCs w:val="20"/>
        </w:rPr>
        <w:t xml:space="preserve"> as a reporter on law and order issues in the judicial section.</w:t>
      </w:r>
      <w:r w:rsidR="00BE493C" w:rsidRPr="00B8721C">
        <w:rPr>
          <w:rStyle w:val="FootnoteReference"/>
          <w:rFonts w:ascii="Cambria" w:hAnsi="Cambria"/>
          <w:sz w:val="20"/>
          <w:szCs w:val="20"/>
        </w:rPr>
        <w:footnoteReference w:id="9"/>
      </w:r>
      <w:r w:rsidR="00E2189C" w:rsidRPr="00B8721C">
        <w:rPr>
          <w:rFonts w:ascii="Cambria" w:hAnsi="Cambria"/>
          <w:sz w:val="20"/>
          <w:szCs w:val="20"/>
        </w:rPr>
        <w:t xml:space="preserve"> </w:t>
      </w:r>
      <w:r w:rsidR="00C95275" w:rsidRPr="00B8721C">
        <w:rPr>
          <w:rFonts w:ascii="Cambria" w:hAnsi="Cambria"/>
          <w:sz w:val="20"/>
          <w:szCs w:val="20"/>
        </w:rPr>
        <w:t xml:space="preserve">During that year the journalist published several reports on clashes and acts of violence inside the National </w:t>
      </w:r>
      <w:r w:rsidR="006C67E2" w:rsidRPr="00B8721C">
        <w:rPr>
          <w:rFonts w:ascii="Cambria" w:hAnsi="Cambria"/>
          <w:sz w:val="20"/>
          <w:szCs w:val="20"/>
        </w:rPr>
        <w:t xml:space="preserve">Model </w:t>
      </w:r>
      <w:r w:rsidR="00C95275" w:rsidRPr="00B8721C">
        <w:rPr>
          <w:rFonts w:ascii="Cambria" w:hAnsi="Cambria"/>
          <w:sz w:val="20"/>
          <w:szCs w:val="20"/>
        </w:rPr>
        <w:t>Prison in Bogotá, in which she exposed allegations of human rights violations and arms trafficking in the prison.</w:t>
      </w:r>
      <w:r w:rsidR="0073421F" w:rsidRPr="00B8721C">
        <w:rPr>
          <w:rStyle w:val="FootnoteReference"/>
          <w:rFonts w:ascii="Cambria" w:hAnsi="Cambria"/>
          <w:sz w:val="20"/>
          <w:szCs w:val="20"/>
        </w:rPr>
        <w:footnoteReference w:id="10"/>
      </w:r>
      <w:r w:rsidR="00EA20DC" w:rsidRPr="00B8721C">
        <w:rPr>
          <w:rFonts w:ascii="Cambria" w:hAnsi="Cambria"/>
          <w:sz w:val="20"/>
          <w:szCs w:val="20"/>
        </w:rPr>
        <w:t xml:space="preserve"> </w:t>
      </w:r>
      <w:r w:rsidR="00EB27E0" w:rsidRPr="00B8721C">
        <w:rPr>
          <w:rFonts w:ascii="Cambria" w:hAnsi="Cambria"/>
          <w:sz w:val="20"/>
          <w:szCs w:val="20"/>
        </w:rPr>
        <w:t xml:space="preserve">The articles recounted the clashes between the </w:t>
      </w:r>
      <w:r w:rsidR="00EB27E0" w:rsidRPr="00B8721C">
        <w:rPr>
          <w:rFonts w:ascii="Cambria" w:hAnsi="Cambria"/>
          <w:sz w:val="20"/>
          <w:szCs w:val="20"/>
        </w:rPr>
        <w:lastRenderedPageBreak/>
        <w:t>guerrilla, paramilitary, and common criminal groups that resulted in dozens of deaths and injuries, such as those of April 5, 1999, September 24, 1999, September 8, 1999, and April 27, 2000. The articles “painted a very bad picture of the penitentiary authorities of the Colombian State, as well as the law enforcement authorities in charge of guarding the outside of the prison.</w:t>
      </w:r>
      <w:r w:rsidR="001F1ADA" w:rsidRPr="00B8721C">
        <w:rPr>
          <w:rFonts w:ascii="Cambria" w:hAnsi="Cambria"/>
          <w:sz w:val="20"/>
          <w:szCs w:val="20"/>
        </w:rPr>
        <w:t>”</w:t>
      </w:r>
      <w:r w:rsidR="001F1ADA" w:rsidRPr="00B8721C">
        <w:rPr>
          <w:rStyle w:val="FootnoteReference"/>
          <w:rFonts w:ascii="Cambria" w:hAnsi="Cambria"/>
          <w:sz w:val="20"/>
          <w:szCs w:val="20"/>
        </w:rPr>
        <w:footnoteReference w:id="11"/>
      </w:r>
    </w:p>
    <w:p w:rsidR="00117834" w:rsidRPr="00B8721C" w:rsidRDefault="00117834" w:rsidP="001178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DC5872" w:rsidRPr="00B8721C" w:rsidRDefault="00AB12EC" w:rsidP="00DC58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In the context of this journalistic work, Jineth Bedoya began to receive death threats and was the victim of an attack in which her mother, Luz Nelly Lima, was injured.</w:t>
      </w:r>
      <w:r w:rsidR="00FE282C" w:rsidRPr="00B8721C">
        <w:rPr>
          <w:rStyle w:val="FootnoteReference"/>
          <w:rFonts w:ascii="Cambria" w:hAnsi="Cambria"/>
          <w:sz w:val="20"/>
          <w:szCs w:val="20"/>
        </w:rPr>
        <w:footnoteReference w:id="12"/>
      </w:r>
    </w:p>
    <w:p w:rsidR="00DC5872" w:rsidRPr="00B8721C" w:rsidRDefault="00DC5872" w:rsidP="00DC587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5651D9" w:rsidRPr="00B8721C" w:rsidRDefault="00C11BFB" w:rsidP="005651D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 xml:space="preserve">Jineth Bedoya reported these events to the </w:t>
      </w:r>
      <w:r w:rsidR="00EA0602">
        <w:rPr>
          <w:rFonts w:ascii="Cambria" w:hAnsi="Cambria"/>
          <w:sz w:val="20"/>
          <w:szCs w:val="20"/>
        </w:rPr>
        <w:t>Security Administration Department</w:t>
      </w:r>
      <w:r w:rsidRPr="00B8721C">
        <w:rPr>
          <w:rFonts w:ascii="Cambria" w:hAnsi="Cambria"/>
          <w:sz w:val="20"/>
          <w:szCs w:val="20"/>
        </w:rPr>
        <w:t xml:space="preserve"> [</w:t>
      </w:r>
      <w:r w:rsidRPr="00B8721C">
        <w:rPr>
          <w:rFonts w:ascii="Cambria" w:hAnsi="Cambria"/>
          <w:i/>
          <w:sz w:val="20"/>
          <w:szCs w:val="20"/>
        </w:rPr>
        <w:t>Departamento Administrativo de Seguridad</w:t>
      </w:r>
      <w:r w:rsidRPr="00B8721C">
        <w:rPr>
          <w:rFonts w:ascii="Cambria" w:hAnsi="Cambria"/>
          <w:sz w:val="20"/>
          <w:szCs w:val="20"/>
        </w:rPr>
        <w:t xml:space="preserve">] </w:t>
      </w:r>
      <w:r w:rsidR="009D3C64" w:rsidRPr="00B8721C">
        <w:rPr>
          <w:rFonts w:ascii="Cambria" w:hAnsi="Cambria"/>
          <w:sz w:val="20"/>
          <w:szCs w:val="20"/>
        </w:rPr>
        <w:t>(DAS)</w:t>
      </w:r>
      <w:r w:rsidRPr="00B8721C">
        <w:rPr>
          <w:rFonts w:ascii="Cambria" w:hAnsi="Cambria"/>
          <w:sz w:val="20"/>
          <w:szCs w:val="20"/>
        </w:rPr>
        <w:t>.</w:t>
      </w:r>
      <w:r w:rsidR="0019007A" w:rsidRPr="00B8721C">
        <w:rPr>
          <w:rStyle w:val="FootnoteReference"/>
          <w:rFonts w:ascii="Cambria" w:hAnsi="Cambria"/>
          <w:sz w:val="20"/>
          <w:szCs w:val="20"/>
        </w:rPr>
        <w:footnoteReference w:id="13"/>
      </w:r>
      <w:r w:rsidR="0019007A" w:rsidRPr="00B8721C">
        <w:rPr>
          <w:rFonts w:ascii="Cambria" w:hAnsi="Cambria"/>
          <w:sz w:val="20"/>
          <w:szCs w:val="20"/>
        </w:rPr>
        <w:t xml:space="preserve"> </w:t>
      </w:r>
      <w:r w:rsidR="00316AD2" w:rsidRPr="00B8721C">
        <w:rPr>
          <w:rFonts w:ascii="Cambria" w:hAnsi="Cambria"/>
          <w:sz w:val="20"/>
          <w:szCs w:val="20"/>
        </w:rPr>
        <w:t xml:space="preserve">On August 25, 1999, the Director of Protection of the DAS sent a written communication to the journalist, informing her that the technical risk study conducted by the DAS Protection Committee revealed “factors constituting a risk to her </w:t>
      </w:r>
      <w:r w:rsidR="00FB0B37">
        <w:rPr>
          <w:rFonts w:ascii="Cambria" w:hAnsi="Cambria"/>
          <w:sz w:val="20"/>
          <w:szCs w:val="20"/>
        </w:rPr>
        <w:t xml:space="preserve">rights to </w:t>
      </w:r>
      <w:r w:rsidR="00316AD2" w:rsidRPr="00B8721C">
        <w:rPr>
          <w:rFonts w:ascii="Cambria" w:hAnsi="Cambria"/>
          <w:sz w:val="20"/>
          <w:szCs w:val="20"/>
        </w:rPr>
        <w:t xml:space="preserve">freedom, life, and </w:t>
      </w:r>
      <w:r w:rsidR="00FB0B37">
        <w:rPr>
          <w:rFonts w:ascii="Cambria" w:hAnsi="Cambria"/>
          <w:sz w:val="20"/>
          <w:szCs w:val="20"/>
        </w:rPr>
        <w:t>personal integrity</w:t>
      </w:r>
      <w:r w:rsidR="00316AD2" w:rsidRPr="00B8721C">
        <w:rPr>
          <w:rFonts w:ascii="Cambria" w:hAnsi="Cambria"/>
          <w:sz w:val="20"/>
          <w:szCs w:val="20"/>
        </w:rPr>
        <w:t>,” which led to the provisional assignment of a protection detail to her.</w:t>
      </w:r>
      <w:r w:rsidR="007E0970" w:rsidRPr="00B8721C">
        <w:rPr>
          <w:rStyle w:val="FootnoteReference"/>
          <w:rFonts w:ascii="Cambria" w:hAnsi="Cambria"/>
          <w:sz w:val="20"/>
          <w:szCs w:val="20"/>
        </w:rPr>
        <w:footnoteReference w:id="14"/>
      </w:r>
      <w:r w:rsidR="00316AD2" w:rsidRPr="00B8721C">
        <w:rPr>
          <w:rFonts w:ascii="Cambria" w:hAnsi="Cambria"/>
          <w:sz w:val="20"/>
          <w:szCs w:val="20"/>
        </w:rPr>
        <w:t xml:space="preserve"> </w:t>
      </w:r>
      <w:r w:rsidR="00C93BD4" w:rsidRPr="00B8721C">
        <w:rPr>
          <w:rFonts w:ascii="Cambria" w:hAnsi="Cambria"/>
          <w:sz w:val="20"/>
          <w:szCs w:val="20"/>
        </w:rPr>
        <w:t>On September 20 of the same year, Jineth Bedoya addressed a communication to the DAS, stating that she would accept the protection detail offered “due to the resumption of threats against her life.</w:t>
      </w:r>
      <w:r w:rsidR="00FF0157" w:rsidRPr="00B8721C">
        <w:rPr>
          <w:rFonts w:ascii="Cambria" w:hAnsi="Cambria"/>
          <w:sz w:val="20"/>
          <w:szCs w:val="20"/>
        </w:rPr>
        <w:t>”</w:t>
      </w:r>
      <w:r w:rsidR="00FF0157" w:rsidRPr="00B8721C">
        <w:rPr>
          <w:rFonts w:ascii="Cambria" w:hAnsi="Cambria"/>
          <w:sz w:val="20"/>
          <w:szCs w:val="20"/>
          <w:vertAlign w:val="superscript"/>
        </w:rPr>
        <w:footnoteReference w:id="15"/>
      </w:r>
      <w:r w:rsidR="00FF0157" w:rsidRPr="00B8721C">
        <w:rPr>
          <w:rFonts w:ascii="Cambria" w:hAnsi="Cambria"/>
          <w:sz w:val="20"/>
          <w:szCs w:val="20"/>
        </w:rPr>
        <w:t xml:space="preserve"> </w:t>
      </w:r>
      <w:r w:rsidR="00132E63" w:rsidRPr="00B8721C">
        <w:rPr>
          <w:rFonts w:ascii="Cambria" w:hAnsi="Cambria"/>
          <w:sz w:val="20"/>
          <w:szCs w:val="20"/>
        </w:rPr>
        <w:t>The protection detail was never implemented and the threats continued</w:t>
      </w:r>
      <w:r w:rsidR="00C93BD4" w:rsidRPr="00B8721C">
        <w:rPr>
          <w:rFonts w:ascii="Cambria" w:hAnsi="Cambria"/>
          <w:sz w:val="20"/>
          <w:szCs w:val="20"/>
        </w:rPr>
        <w:t>.</w:t>
      </w:r>
      <w:r w:rsidR="007E0970" w:rsidRPr="00B8721C">
        <w:rPr>
          <w:rStyle w:val="FootnoteReference"/>
          <w:rFonts w:ascii="Cambria" w:hAnsi="Cambria"/>
          <w:sz w:val="20"/>
          <w:szCs w:val="20"/>
        </w:rPr>
        <w:footnoteReference w:id="16"/>
      </w:r>
      <w:r w:rsidR="007E0970" w:rsidRPr="00B8721C">
        <w:rPr>
          <w:rFonts w:ascii="Cambria" w:hAnsi="Cambria"/>
          <w:sz w:val="20"/>
          <w:szCs w:val="20"/>
        </w:rPr>
        <w:t xml:space="preserve"> </w:t>
      </w:r>
      <w:r w:rsidR="007E0970" w:rsidRPr="00B8721C">
        <w:rPr>
          <w:rFonts w:ascii="Cambria" w:hAnsi="Cambria"/>
          <w:i/>
          <w:sz w:val="20"/>
          <w:szCs w:val="20"/>
        </w:rPr>
        <w:t>El Espectador</w:t>
      </w:r>
      <w:r w:rsidR="007E0970" w:rsidRPr="00B8721C">
        <w:rPr>
          <w:rFonts w:ascii="Cambria" w:hAnsi="Cambria"/>
          <w:sz w:val="20"/>
          <w:szCs w:val="20"/>
        </w:rPr>
        <w:t xml:space="preserve"> </w:t>
      </w:r>
      <w:r w:rsidR="00132E63" w:rsidRPr="00B8721C">
        <w:rPr>
          <w:rFonts w:ascii="Cambria" w:hAnsi="Cambria"/>
          <w:sz w:val="20"/>
          <w:szCs w:val="20"/>
        </w:rPr>
        <w:t>decided to send the journalist out of the country for two weeks as a protective measure. On her return in October 1999, she again received threats, which she reported to the DAS. In November, she was followed, which she also reported to the DAS.</w:t>
      </w:r>
      <w:r w:rsidR="00023E2D" w:rsidRPr="00B8721C">
        <w:rPr>
          <w:rStyle w:val="FootnoteReference"/>
          <w:rFonts w:ascii="Cambria" w:hAnsi="Cambria"/>
          <w:sz w:val="20"/>
          <w:szCs w:val="20"/>
        </w:rPr>
        <w:footnoteReference w:id="17"/>
      </w:r>
      <w:r w:rsidR="003C482B" w:rsidRPr="00B8721C">
        <w:rPr>
          <w:rFonts w:ascii="Cambria" w:hAnsi="Cambria"/>
          <w:sz w:val="20"/>
          <w:szCs w:val="20"/>
        </w:rPr>
        <w:t xml:space="preserve"> </w:t>
      </w:r>
      <w:r w:rsidR="00DC5872" w:rsidRPr="00B8721C">
        <w:rPr>
          <w:rFonts w:ascii="Cambria" w:hAnsi="Cambria"/>
          <w:sz w:val="20"/>
          <w:szCs w:val="20"/>
        </w:rPr>
        <w:t>However, on November 24, 1999, the Coordinator of the Protection Department of the Ministry of the Interior notified the journalist that “in response to the request for protection made to this Office [...] it is concluded that your case does not fall within the target population covered by the Protection Program of this Ministry, in accordance with the provisions of Decree 0372 of 1996, Article 32,” and recommended that she contact the State security agencies directly.</w:t>
      </w:r>
      <w:r w:rsidR="007E0970" w:rsidRPr="00B8721C">
        <w:rPr>
          <w:rStyle w:val="FootnoteReference"/>
          <w:rFonts w:ascii="Cambria" w:hAnsi="Cambria"/>
          <w:sz w:val="20"/>
          <w:szCs w:val="20"/>
        </w:rPr>
        <w:footnoteReference w:id="18"/>
      </w:r>
      <w:r w:rsidR="007E0970" w:rsidRPr="00B8721C">
        <w:rPr>
          <w:rFonts w:ascii="Cambria" w:hAnsi="Cambria"/>
          <w:i/>
          <w:sz w:val="20"/>
          <w:szCs w:val="20"/>
        </w:rPr>
        <w:t xml:space="preserve"> </w:t>
      </w:r>
    </w:p>
    <w:p w:rsidR="005651D9" w:rsidRPr="00B8721C" w:rsidRDefault="005651D9" w:rsidP="005651D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005208" w:rsidRPr="00B8721C" w:rsidRDefault="005651D9" w:rsidP="000052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 xml:space="preserve">On April 27, 2000, there was a confrontation between paramilitaries and </w:t>
      </w:r>
      <w:r w:rsidR="00005208" w:rsidRPr="00B8721C">
        <w:rPr>
          <w:rFonts w:ascii="Cambria" w:hAnsi="Cambria"/>
          <w:sz w:val="20"/>
          <w:szCs w:val="20"/>
        </w:rPr>
        <w:t>groups of inmates convicted of</w:t>
      </w:r>
      <w:r w:rsidRPr="00B8721C">
        <w:rPr>
          <w:rFonts w:ascii="Cambria" w:hAnsi="Cambria"/>
          <w:sz w:val="20"/>
          <w:szCs w:val="20"/>
        </w:rPr>
        <w:t xml:space="preserve"> common crime</w:t>
      </w:r>
      <w:r w:rsidR="00005208" w:rsidRPr="00B8721C">
        <w:rPr>
          <w:rFonts w:ascii="Cambria" w:hAnsi="Cambria"/>
          <w:sz w:val="20"/>
          <w:szCs w:val="20"/>
        </w:rPr>
        <w:t>s</w:t>
      </w:r>
      <w:r w:rsidRPr="00B8721C">
        <w:rPr>
          <w:rFonts w:ascii="Cambria" w:hAnsi="Cambria"/>
          <w:sz w:val="20"/>
          <w:szCs w:val="20"/>
        </w:rPr>
        <w:t xml:space="preserve"> inside the Modelo National Prison, which resulted in the death of 27 detainees. Jineth Bedoya reported the events systematically and, in particular, investigated complaints about the role of the paramilitaries in the massacre and the actions of law enforcement authorities.</w:t>
      </w:r>
      <w:r w:rsidR="007E0970" w:rsidRPr="00B8721C">
        <w:rPr>
          <w:rStyle w:val="FootnoteReference"/>
          <w:rFonts w:ascii="Cambria" w:hAnsi="Cambria"/>
          <w:sz w:val="20"/>
          <w:szCs w:val="20"/>
        </w:rPr>
        <w:footnoteReference w:id="19"/>
      </w:r>
    </w:p>
    <w:p w:rsidR="00005208" w:rsidRPr="00B8721C" w:rsidRDefault="00005208" w:rsidP="0000520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005208" w:rsidRPr="00B8721C" w:rsidRDefault="00005208" w:rsidP="000052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 xml:space="preserve">On May 7, journalist Bedoya Lima entered the penitentiary center with “a </w:t>
      </w:r>
      <w:r w:rsidR="0082252F">
        <w:rPr>
          <w:rFonts w:ascii="Cambria" w:hAnsi="Cambria"/>
          <w:sz w:val="20"/>
          <w:szCs w:val="20"/>
        </w:rPr>
        <w:t xml:space="preserve">visitor’s </w:t>
      </w:r>
      <w:r w:rsidRPr="00B8721C">
        <w:rPr>
          <w:rFonts w:ascii="Cambria" w:hAnsi="Cambria"/>
          <w:sz w:val="20"/>
          <w:szCs w:val="20"/>
        </w:rPr>
        <w:t>pass to enter as a relative,” since entry was restricted</w:t>
      </w:r>
      <w:r w:rsidR="00061510" w:rsidRPr="00B8721C">
        <w:rPr>
          <w:rFonts w:ascii="Cambria" w:hAnsi="Cambria"/>
          <w:sz w:val="20"/>
          <w:szCs w:val="20"/>
        </w:rPr>
        <w:t>.</w:t>
      </w:r>
      <w:r w:rsidR="00C64C12" w:rsidRPr="00B8721C">
        <w:rPr>
          <w:rStyle w:val="FootnoteReference"/>
          <w:rFonts w:ascii="Cambria" w:hAnsi="Cambria"/>
          <w:sz w:val="20"/>
          <w:szCs w:val="20"/>
        </w:rPr>
        <w:footnoteReference w:id="20"/>
      </w:r>
      <w:r w:rsidR="00C67A48" w:rsidRPr="00B8721C">
        <w:rPr>
          <w:rFonts w:ascii="Cambria" w:hAnsi="Cambria"/>
          <w:sz w:val="20"/>
          <w:szCs w:val="20"/>
        </w:rPr>
        <w:t xml:space="preserve"> </w:t>
      </w:r>
      <w:r w:rsidRPr="00B8721C">
        <w:rPr>
          <w:rFonts w:ascii="Cambria" w:hAnsi="Cambria"/>
          <w:sz w:val="20"/>
          <w:szCs w:val="20"/>
        </w:rPr>
        <w:t>There, she was threatened by inmates, who told her that if she did not leave the penitentiary they would kill her, and that her publications had annoyed several people who were supposedly members of paramilitary groups.</w:t>
      </w:r>
      <w:r w:rsidR="00D4020D" w:rsidRPr="00B8721C">
        <w:rPr>
          <w:rStyle w:val="FootnoteReference"/>
          <w:rFonts w:ascii="Cambria" w:hAnsi="Cambria"/>
          <w:sz w:val="20"/>
          <w:szCs w:val="20"/>
        </w:rPr>
        <w:footnoteReference w:id="21"/>
      </w:r>
      <w:r w:rsidR="007E0970" w:rsidRPr="00B8721C">
        <w:rPr>
          <w:rFonts w:ascii="Cambria" w:hAnsi="Cambria"/>
          <w:sz w:val="20"/>
          <w:szCs w:val="20"/>
        </w:rPr>
        <w:t xml:space="preserve"> </w:t>
      </w:r>
    </w:p>
    <w:p w:rsidR="00005208" w:rsidRPr="00B8721C" w:rsidRDefault="00005208" w:rsidP="0000520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E0970" w:rsidRPr="00B8721C" w:rsidRDefault="00005208" w:rsidP="0000520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rPr>
      </w:pPr>
      <w:r w:rsidRPr="00B8721C">
        <w:rPr>
          <w:rFonts w:ascii="Cambria" w:hAnsi="Cambria"/>
          <w:sz w:val="20"/>
          <w:szCs w:val="20"/>
        </w:rPr>
        <w:t xml:space="preserve">On May 9, envelopes containing photocopies of the articles published by the newspaper about the Model Prison massacre were found in the mailboxes of </w:t>
      </w:r>
      <w:r w:rsidRPr="00B8721C">
        <w:rPr>
          <w:rFonts w:ascii="Cambria" w:hAnsi="Cambria"/>
          <w:i/>
          <w:sz w:val="20"/>
          <w:szCs w:val="20"/>
        </w:rPr>
        <w:t>El Espectador</w:t>
      </w:r>
      <w:r w:rsidRPr="00B8721C">
        <w:rPr>
          <w:rFonts w:ascii="Cambria" w:hAnsi="Cambria"/>
          <w:sz w:val="20"/>
          <w:szCs w:val="20"/>
        </w:rPr>
        <w:t xml:space="preserve"> journalists Jineth Bedoya, Jorge Cardona, Julián Ríos Rojas, and Ignacio Gómez Gómez. Lines related to paramilitary groups and law enforcement authorities were highlighted.</w:t>
      </w:r>
      <w:r w:rsidR="007E0970" w:rsidRPr="00B8721C">
        <w:rPr>
          <w:rStyle w:val="FootnoteReference"/>
          <w:rFonts w:ascii="Cambria" w:hAnsi="Cambria"/>
          <w:sz w:val="20"/>
          <w:szCs w:val="20"/>
        </w:rPr>
        <w:footnoteReference w:id="22"/>
      </w:r>
      <w:r w:rsidR="005F6CD2" w:rsidRPr="00B8721C">
        <w:rPr>
          <w:rFonts w:ascii="Cambria" w:hAnsi="Cambria"/>
          <w:sz w:val="20"/>
          <w:szCs w:val="20"/>
        </w:rPr>
        <w:t xml:space="preserve"> </w:t>
      </w:r>
      <w:r w:rsidRPr="00B8721C">
        <w:rPr>
          <w:rFonts w:ascii="Cambria" w:hAnsi="Cambria"/>
          <w:sz w:val="20"/>
          <w:szCs w:val="20"/>
        </w:rPr>
        <w:t>These threats were reported to the National Police.</w:t>
      </w:r>
      <w:r w:rsidR="005F6CD2" w:rsidRPr="00B8721C">
        <w:rPr>
          <w:rStyle w:val="FootnoteReference"/>
          <w:rFonts w:ascii="Cambria" w:hAnsi="Cambria"/>
          <w:sz w:val="20"/>
          <w:szCs w:val="20"/>
        </w:rPr>
        <w:footnoteReference w:id="23"/>
      </w:r>
    </w:p>
    <w:p w:rsidR="003123B3" w:rsidRPr="00B8721C" w:rsidRDefault="003123B3" w:rsidP="005A03C0">
      <w:pPr>
        <w:pStyle w:val="ListParagraph"/>
        <w:rPr>
          <w:sz w:val="20"/>
          <w:szCs w:val="20"/>
        </w:rPr>
      </w:pPr>
    </w:p>
    <w:p w:rsidR="007E0970" w:rsidRPr="00B8721C" w:rsidRDefault="00005208" w:rsidP="0011783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firstLine="0"/>
        <w:jc w:val="both"/>
        <w:rPr>
          <w:rFonts w:ascii="Cambria" w:hAnsi="Cambria"/>
          <w:b/>
          <w:sz w:val="20"/>
          <w:szCs w:val="20"/>
        </w:rPr>
      </w:pPr>
      <w:r w:rsidRPr="00B8721C">
        <w:rPr>
          <w:rFonts w:ascii="Cambria" w:hAnsi="Cambria"/>
          <w:b/>
          <w:sz w:val="20"/>
          <w:szCs w:val="20"/>
        </w:rPr>
        <w:t xml:space="preserve">The events of May 25, </w:t>
      </w:r>
      <w:r w:rsidR="001D74A8" w:rsidRPr="00B8721C">
        <w:rPr>
          <w:rFonts w:ascii="Cambria" w:hAnsi="Cambria"/>
          <w:b/>
          <w:sz w:val="20"/>
          <w:szCs w:val="20"/>
        </w:rPr>
        <w:t>2000</w:t>
      </w:r>
    </w:p>
    <w:p w:rsidR="00066A18" w:rsidRPr="00B8721C" w:rsidRDefault="00B81CC9" w:rsidP="00066A1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90" w:firstLine="630"/>
        <w:jc w:val="both"/>
        <w:rPr>
          <w:rFonts w:ascii="Cambria" w:hAnsi="Cambria"/>
          <w:sz w:val="20"/>
          <w:szCs w:val="20"/>
        </w:rPr>
      </w:pPr>
      <w:r w:rsidRPr="00B8721C">
        <w:rPr>
          <w:rFonts w:ascii="Cambria" w:hAnsi="Cambria"/>
          <w:sz w:val="20"/>
          <w:szCs w:val="20"/>
        </w:rPr>
        <w:t xml:space="preserve">On the night of Wednesday, May 24, 2000, Jineth Bedoya Lima received a call from an individual who called himself “Ramiro,” who informed her that a person held in </w:t>
      </w:r>
      <w:r w:rsidR="00F138E8" w:rsidRPr="00B8721C">
        <w:rPr>
          <w:rFonts w:ascii="Cambria" w:hAnsi="Cambria"/>
          <w:sz w:val="20"/>
          <w:szCs w:val="20"/>
        </w:rPr>
        <w:t xml:space="preserve">the National Model Prison </w:t>
      </w:r>
      <w:r w:rsidRPr="00B8721C">
        <w:rPr>
          <w:rFonts w:ascii="Cambria" w:hAnsi="Cambria"/>
          <w:sz w:val="20"/>
          <w:szCs w:val="20"/>
        </w:rPr>
        <w:t xml:space="preserve"> known as “El Panadero” wanted to meet with her. They arranged an interview for the following day, May 25, at 10:00 a.m. at the prison headquarters. Alias “Ramiro” assured the journalist that the then warden of the prison was aware of the interview and that he had already authorized the </w:t>
      </w:r>
      <w:r w:rsidR="0082252F">
        <w:rPr>
          <w:rFonts w:ascii="Cambria" w:hAnsi="Cambria"/>
          <w:sz w:val="20"/>
          <w:szCs w:val="20"/>
        </w:rPr>
        <w:t>journalist’s</w:t>
      </w:r>
      <w:r w:rsidRPr="00B8721C">
        <w:rPr>
          <w:rFonts w:ascii="Cambria" w:hAnsi="Cambria"/>
          <w:sz w:val="20"/>
          <w:szCs w:val="20"/>
        </w:rPr>
        <w:t xml:space="preserve"> entry at the specified time.</w:t>
      </w:r>
      <w:r w:rsidR="007E0970" w:rsidRPr="00B8721C">
        <w:rPr>
          <w:rStyle w:val="FootnoteReference"/>
          <w:rFonts w:ascii="Cambria" w:hAnsi="Cambria"/>
          <w:sz w:val="20"/>
          <w:szCs w:val="20"/>
        </w:rPr>
        <w:footnoteReference w:id="24"/>
      </w:r>
    </w:p>
    <w:p w:rsidR="00066A18" w:rsidRPr="00B8721C" w:rsidRDefault="00066A18" w:rsidP="00066A1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E9419B" w:rsidRPr="00B8721C" w:rsidRDefault="00BE20C0" w:rsidP="00E941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90" w:firstLine="630"/>
        <w:jc w:val="both"/>
        <w:rPr>
          <w:rFonts w:ascii="Cambria" w:hAnsi="Cambria"/>
          <w:sz w:val="20"/>
          <w:szCs w:val="20"/>
        </w:rPr>
      </w:pPr>
      <w:r w:rsidRPr="00B8721C">
        <w:rPr>
          <w:rFonts w:ascii="Cambria" w:hAnsi="Cambria"/>
          <w:sz w:val="20"/>
          <w:szCs w:val="20"/>
        </w:rPr>
        <w:t>On May 25, the journalist went to the supposed appointment with “El Panadero,” accompanied by the newspaper's legal affairs editor, Jorge Cardona, a photographer, and their driver. The photographer and the driver waited in the vehicle, while Jineth Bedoya and Jorge Cardona went to the main entrance of the prison where they were assisted by the guard on duty at the information booth. After a while, the guards informed Jineth Bedoya that her entry pass was ready, so she went to her colleague, Jorge Cardona, and asked him to go to the vehicle that was parked one block away from the prison to call the photographer.</w:t>
      </w:r>
      <w:r w:rsidR="00BD4E6A" w:rsidRPr="00B8721C">
        <w:rPr>
          <w:rStyle w:val="FootnoteReference"/>
          <w:rFonts w:ascii="Cambria" w:hAnsi="Cambria"/>
          <w:sz w:val="20"/>
          <w:szCs w:val="20"/>
        </w:rPr>
        <w:footnoteReference w:id="25"/>
      </w:r>
      <w:r w:rsidR="007E0970" w:rsidRPr="00B8721C">
        <w:rPr>
          <w:rFonts w:ascii="Cambria" w:hAnsi="Cambria"/>
          <w:sz w:val="20"/>
          <w:szCs w:val="20"/>
        </w:rPr>
        <w:t xml:space="preserve"> </w:t>
      </w:r>
      <w:r w:rsidR="00066A18" w:rsidRPr="00B8721C">
        <w:rPr>
          <w:rFonts w:ascii="Cambria" w:hAnsi="Cambria"/>
          <w:sz w:val="20"/>
          <w:szCs w:val="20"/>
        </w:rPr>
        <w:t>At that moment, Jineth Bedoya was approached by a woman who asked her if she was the journalist. At the same time, a man approached her and asked if she was the one who was going to the interview with “El Panadero.” When she answered in the affirmative, the man held her by the arm and pointed a gun at her, warning her that if she screamed she was going to kill the people who had come with her, including “</w:t>
      </w:r>
      <w:r w:rsidR="00066A18" w:rsidRPr="00B8721C">
        <w:rPr>
          <w:rFonts w:ascii="Cambria" w:hAnsi="Cambria"/>
          <w:i/>
          <w:sz w:val="20"/>
          <w:szCs w:val="20"/>
        </w:rPr>
        <w:t>the guy with the mustache</w:t>
      </w:r>
      <w:r w:rsidR="00066A18" w:rsidRPr="00B8721C">
        <w:rPr>
          <w:rFonts w:ascii="Cambria" w:hAnsi="Cambria"/>
          <w:sz w:val="20"/>
          <w:szCs w:val="20"/>
        </w:rPr>
        <w:t>,” referring to Jorge Cardona. The man led her on foot to a warehouse near the prison, where two more men were waiting.</w:t>
      </w:r>
      <w:r w:rsidR="007E0970" w:rsidRPr="00B8721C">
        <w:rPr>
          <w:rStyle w:val="FootnoteReference"/>
          <w:rFonts w:ascii="Cambria" w:hAnsi="Cambria"/>
          <w:sz w:val="20"/>
          <w:szCs w:val="20"/>
        </w:rPr>
        <w:footnoteReference w:id="26"/>
      </w:r>
      <w:r w:rsidR="007E0970" w:rsidRPr="00B8721C">
        <w:rPr>
          <w:rFonts w:ascii="Cambria" w:hAnsi="Cambria"/>
          <w:sz w:val="20"/>
          <w:szCs w:val="20"/>
        </w:rPr>
        <w:t xml:space="preserve"> </w:t>
      </w:r>
    </w:p>
    <w:p w:rsidR="00CF3F1F" w:rsidRPr="00B8721C" w:rsidRDefault="00E9419B" w:rsidP="00CF3F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90" w:firstLine="630"/>
        <w:jc w:val="both"/>
        <w:rPr>
          <w:rFonts w:ascii="Cambria" w:hAnsi="Cambria"/>
          <w:sz w:val="20"/>
          <w:szCs w:val="20"/>
        </w:rPr>
      </w:pPr>
      <w:r w:rsidRPr="00B8721C">
        <w:rPr>
          <w:rFonts w:ascii="Cambria" w:hAnsi="Cambria"/>
          <w:sz w:val="20"/>
          <w:szCs w:val="20"/>
        </w:rPr>
        <w:lastRenderedPageBreak/>
        <w:t>When they got to the place, they put a rag over her eyes, beat her, used foul language towards her, pulled her by the hair, and sat her on a chair while she screamed and asked the kidnappers what they wanted. The men told her that they had come on behalf of the top boss but would not give her a name. After a while the men tied her up and told her they were going out for a ride</w:t>
      </w:r>
      <w:r w:rsidR="00D254B0" w:rsidRPr="00B8721C">
        <w:rPr>
          <w:rFonts w:ascii="Cambria" w:hAnsi="Cambria"/>
          <w:sz w:val="20"/>
          <w:szCs w:val="20"/>
        </w:rPr>
        <w:t xml:space="preserve">. </w:t>
      </w:r>
      <w:r w:rsidRPr="00B8721C">
        <w:rPr>
          <w:rFonts w:ascii="Cambria" w:hAnsi="Cambria"/>
          <w:sz w:val="20"/>
          <w:szCs w:val="20"/>
        </w:rPr>
        <w:t>The journalist insisted on asking them who had sent them and one of them told her that “</w:t>
      </w:r>
      <w:r w:rsidRPr="00B8721C">
        <w:rPr>
          <w:rFonts w:ascii="Cambria" w:hAnsi="Cambria"/>
          <w:i/>
          <w:sz w:val="20"/>
          <w:szCs w:val="20"/>
        </w:rPr>
        <w:t xml:space="preserve">they had been sent to clean up the media because there were so many sons of bitches out there </w:t>
      </w:r>
      <w:r w:rsidRPr="00B8721C">
        <w:rPr>
          <w:rFonts w:ascii="Cambria" w:hAnsi="Cambria"/>
          <w:sz w:val="20"/>
          <w:szCs w:val="20"/>
        </w:rPr>
        <w:t>[...].” They put her in a car, replaced her blindfold with adhesive tape, and continued to beat her</w:t>
      </w:r>
      <w:r w:rsidR="00B31B55" w:rsidRPr="00B8721C">
        <w:rPr>
          <w:rFonts w:ascii="Cambria" w:hAnsi="Cambria"/>
          <w:sz w:val="20"/>
          <w:szCs w:val="20"/>
        </w:rPr>
        <w:t>.</w:t>
      </w:r>
      <w:r w:rsidR="007E0970" w:rsidRPr="00B8721C">
        <w:rPr>
          <w:rStyle w:val="FootnoteReference"/>
          <w:rFonts w:ascii="Cambria" w:hAnsi="Cambria"/>
          <w:sz w:val="20"/>
          <w:szCs w:val="20"/>
        </w:rPr>
        <w:footnoteReference w:id="27"/>
      </w:r>
      <w:r w:rsidR="007F375F" w:rsidRPr="00B8721C">
        <w:rPr>
          <w:rFonts w:ascii="Cambria" w:hAnsi="Cambria"/>
          <w:sz w:val="20"/>
          <w:szCs w:val="20"/>
        </w:rPr>
        <w:t xml:space="preserve"> </w:t>
      </w:r>
      <w:r w:rsidRPr="00B8721C">
        <w:rPr>
          <w:rFonts w:ascii="Cambria" w:hAnsi="Cambria"/>
          <w:sz w:val="20"/>
          <w:szCs w:val="20"/>
        </w:rPr>
        <w:t>After a while, the car stopped and the men removed the tape from her mouth and committed acts of sexual violence against her. The kidnappers told her: “[...] ‘</w:t>
      </w:r>
      <w:r w:rsidRPr="00B8721C">
        <w:rPr>
          <w:rFonts w:ascii="Cambria" w:hAnsi="Cambria"/>
          <w:i/>
          <w:sz w:val="20"/>
          <w:szCs w:val="20"/>
        </w:rPr>
        <w:t xml:space="preserve">You fucking journalists have turned the country into shit, it’s because of you that this country is like this! He pointed at me and said, ‘You know what we’re going to turn the country over to Patricia Uribe, to Jolman Morris, and to Ignacio Gomez </w:t>
      </w:r>
      <w:r w:rsidRPr="00B8721C">
        <w:rPr>
          <w:rFonts w:ascii="Cambria" w:hAnsi="Cambria"/>
          <w:sz w:val="20"/>
          <w:szCs w:val="20"/>
        </w:rPr>
        <w:t>[also journalists]</w:t>
      </w:r>
      <w:r w:rsidRPr="00B8721C">
        <w:rPr>
          <w:rFonts w:ascii="Cambria" w:hAnsi="Cambria"/>
          <w:i/>
          <w:sz w:val="20"/>
          <w:szCs w:val="20"/>
        </w:rPr>
        <w:t xml:space="preserve"> turned to shit, because they are sons of bitches paid by the guerrillas’ [...] [!]</w:t>
      </w:r>
      <w:r w:rsidRPr="00B8721C">
        <w:rPr>
          <w:rFonts w:ascii="Cambria" w:hAnsi="Cambria"/>
          <w:sz w:val="20"/>
          <w:szCs w:val="20"/>
        </w:rPr>
        <w:t>” The kidnappers continued beating her and threatening her and her boss. They also accused her of going to Modelo prison to give press coverage to the guerrillas.</w:t>
      </w:r>
      <w:r w:rsidR="007E0970" w:rsidRPr="00B8721C">
        <w:rPr>
          <w:rStyle w:val="FootnoteReference"/>
          <w:rFonts w:ascii="Cambria" w:hAnsi="Cambria"/>
          <w:sz w:val="20"/>
          <w:szCs w:val="20"/>
        </w:rPr>
        <w:footnoteReference w:id="28"/>
      </w:r>
    </w:p>
    <w:p w:rsidR="00CF3F1F" w:rsidRPr="00B8721C" w:rsidRDefault="00CF3F1F" w:rsidP="00CF3F1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8E520E" w:rsidRPr="00B8721C" w:rsidRDefault="00CF3F1F" w:rsidP="008E52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90" w:firstLine="630"/>
        <w:jc w:val="both"/>
        <w:rPr>
          <w:rFonts w:ascii="Cambria" w:hAnsi="Cambria"/>
          <w:sz w:val="20"/>
          <w:szCs w:val="20"/>
        </w:rPr>
      </w:pPr>
      <w:r w:rsidRPr="00B8721C">
        <w:rPr>
          <w:rFonts w:ascii="Cambria" w:hAnsi="Cambria"/>
          <w:sz w:val="20"/>
          <w:szCs w:val="20"/>
        </w:rPr>
        <w:t>Jineth Bedoya Lima says that during the kidnapping she heard the men constantly talking to someone who was referred to as the boss, and telling him that everything was going well and that the package was fine. Finally, after dark, they put a gun to her head and told her that the outing was over. She says she was waiting to be killed and closed her eyes. The kidnappers, meanwhile, took her wallet, tied her arms, and left her in the middle of the road.</w:t>
      </w:r>
      <w:r w:rsidR="007E0970" w:rsidRPr="00B8721C">
        <w:rPr>
          <w:rStyle w:val="FootnoteReference"/>
          <w:rFonts w:ascii="Cambria" w:hAnsi="Cambria"/>
          <w:sz w:val="20"/>
          <w:szCs w:val="20"/>
        </w:rPr>
        <w:footnoteReference w:id="29"/>
      </w:r>
      <w:r w:rsidR="000D20E0" w:rsidRPr="00B8721C">
        <w:rPr>
          <w:rFonts w:ascii="Cambria" w:hAnsi="Cambria"/>
          <w:sz w:val="20"/>
          <w:szCs w:val="20"/>
        </w:rPr>
        <w:t xml:space="preserve"> </w:t>
      </w:r>
      <w:r w:rsidRPr="00B8721C">
        <w:rPr>
          <w:rFonts w:ascii="Cambria" w:hAnsi="Cambria"/>
          <w:sz w:val="20"/>
          <w:szCs w:val="20"/>
        </w:rPr>
        <w:t>The alleged victim was left on the road outside the city of Villavicencio. A taxi driver picked her up and took her to the Emergency Police Assistance Center. From there she was taken to a National Police clinic in Villavicencio.</w:t>
      </w:r>
      <w:r w:rsidR="00236C38" w:rsidRPr="00B8721C">
        <w:rPr>
          <w:rFonts w:ascii="Cambria" w:hAnsi="Cambria"/>
          <w:sz w:val="20"/>
          <w:szCs w:val="20"/>
          <w:vertAlign w:val="superscript"/>
        </w:rPr>
        <w:footnoteReference w:id="30"/>
      </w:r>
    </w:p>
    <w:p w:rsidR="008E520E" w:rsidRPr="00B8721C" w:rsidRDefault="008E520E" w:rsidP="008E520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FA280A" w:rsidRPr="00B8721C" w:rsidRDefault="008E520E" w:rsidP="008E520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90" w:firstLine="630"/>
        <w:jc w:val="both"/>
        <w:rPr>
          <w:rFonts w:ascii="Cambria" w:hAnsi="Cambria"/>
          <w:sz w:val="20"/>
          <w:szCs w:val="20"/>
        </w:rPr>
      </w:pPr>
      <w:r w:rsidRPr="00B8721C">
        <w:rPr>
          <w:rFonts w:ascii="Cambria" w:hAnsi="Cambria"/>
          <w:sz w:val="20"/>
          <w:szCs w:val="20"/>
        </w:rPr>
        <w:t>While this was happening, the El Espectador team thought that Jineth Bedoya had entered the penitentiary and stayed nearby waiting for her. At six o’clock in the afternoon, after waiting for several hours for Jineth Bedoya to come out and trying to communicate with her, journalist Jorge Cardona called the Director of the Technical Investigations Unit (CTI) and informed him of the situation</w:t>
      </w:r>
      <w:r w:rsidR="00FA280A" w:rsidRPr="00B8721C">
        <w:rPr>
          <w:rFonts w:ascii="Cambria" w:hAnsi="Cambria"/>
          <w:sz w:val="20"/>
          <w:szCs w:val="20"/>
        </w:rPr>
        <w:t xml:space="preserve">. </w:t>
      </w:r>
      <w:r w:rsidRPr="00B8721C">
        <w:rPr>
          <w:rFonts w:ascii="Cambria" w:hAnsi="Cambria"/>
          <w:sz w:val="20"/>
          <w:szCs w:val="20"/>
        </w:rPr>
        <w:t>The CTI tracked down Jineth Bedoya’s cell phone, while several journalists from the newspaper, accompanied by the Director of the District Office of the Public Prosecutor, entered the National Model Prison to search for Jineth Bedoya.  In the evening, they were informed that the journalist had been found in Villavicencio and that she was in the police hospital there.</w:t>
      </w:r>
      <w:r w:rsidR="00B4201E" w:rsidRPr="00B8721C">
        <w:rPr>
          <w:rStyle w:val="FootnoteReference"/>
          <w:rFonts w:ascii="Cambria" w:hAnsi="Cambria"/>
          <w:sz w:val="20"/>
          <w:szCs w:val="20"/>
        </w:rPr>
        <w:footnoteReference w:id="31"/>
      </w:r>
    </w:p>
    <w:p w:rsidR="005A5966" w:rsidRPr="00B8721C" w:rsidRDefault="005A5966" w:rsidP="005A03C0">
      <w:pPr>
        <w:pStyle w:val="ListParagraph"/>
        <w:rPr>
          <w:sz w:val="20"/>
          <w:szCs w:val="20"/>
        </w:rPr>
      </w:pPr>
    </w:p>
    <w:p w:rsidR="007E0970" w:rsidRPr="00B8721C" w:rsidRDefault="002F7C71" w:rsidP="0011783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firstLine="0"/>
        <w:jc w:val="both"/>
        <w:rPr>
          <w:rFonts w:ascii="Cambria" w:hAnsi="Cambria"/>
          <w:b/>
          <w:sz w:val="20"/>
          <w:szCs w:val="20"/>
        </w:rPr>
      </w:pPr>
      <w:r w:rsidRPr="00B8721C">
        <w:rPr>
          <w:rFonts w:ascii="Cambria" w:hAnsi="Cambria"/>
          <w:b/>
          <w:sz w:val="20"/>
          <w:szCs w:val="20"/>
        </w:rPr>
        <w:t>Investigation of the events of May</w:t>
      </w:r>
      <w:r w:rsidR="005403CD" w:rsidRPr="00B8721C">
        <w:rPr>
          <w:rFonts w:ascii="Cambria" w:hAnsi="Cambria"/>
          <w:b/>
          <w:sz w:val="20"/>
          <w:szCs w:val="20"/>
        </w:rPr>
        <w:t xml:space="preserve"> 25</w:t>
      </w:r>
      <w:r w:rsidRPr="00B8721C">
        <w:rPr>
          <w:rFonts w:ascii="Cambria" w:hAnsi="Cambria"/>
          <w:b/>
          <w:sz w:val="20"/>
          <w:szCs w:val="20"/>
        </w:rPr>
        <w:t>,</w:t>
      </w:r>
      <w:r w:rsidR="005403CD" w:rsidRPr="00B8721C">
        <w:rPr>
          <w:rFonts w:ascii="Cambria" w:hAnsi="Cambria"/>
          <w:b/>
          <w:sz w:val="20"/>
          <w:szCs w:val="20"/>
        </w:rPr>
        <w:t xml:space="preserve"> 2000</w:t>
      </w:r>
    </w:p>
    <w:p w:rsidR="00CC6A80" w:rsidRPr="00B8721C" w:rsidRDefault="002F7C71" w:rsidP="00CC6A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90" w:firstLine="630"/>
        <w:jc w:val="both"/>
        <w:rPr>
          <w:rFonts w:ascii="Cambria" w:hAnsi="Cambria"/>
          <w:sz w:val="20"/>
          <w:szCs w:val="20"/>
        </w:rPr>
      </w:pPr>
      <w:r w:rsidRPr="00B8721C">
        <w:rPr>
          <w:rFonts w:ascii="Cambria" w:hAnsi="Cambria"/>
          <w:sz w:val="20"/>
          <w:szCs w:val="20"/>
        </w:rPr>
        <w:t xml:space="preserve">On May 26, 2000, </w:t>
      </w:r>
      <w:r w:rsidR="0043470A">
        <w:rPr>
          <w:rFonts w:ascii="Cambria" w:hAnsi="Cambria"/>
          <w:sz w:val="20"/>
          <w:szCs w:val="20"/>
        </w:rPr>
        <w:t>Special Prosecutor</w:t>
      </w:r>
      <w:r w:rsidRPr="00B8721C">
        <w:rPr>
          <w:rFonts w:ascii="Cambria" w:hAnsi="Cambria"/>
          <w:sz w:val="20"/>
          <w:szCs w:val="20"/>
        </w:rPr>
        <w:t xml:space="preserve"> 103 assigned to the Bogotá </w:t>
      </w:r>
      <w:r w:rsidR="00F52774" w:rsidRPr="00B8721C">
        <w:rPr>
          <w:rFonts w:ascii="Cambria" w:hAnsi="Cambria"/>
          <w:sz w:val="20"/>
          <w:szCs w:val="20"/>
        </w:rPr>
        <w:t>Specialized Anti-kidnapping Unit [</w:t>
      </w:r>
      <w:r w:rsidR="00F52774" w:rsidRPr="00B8721C">
        <w:rPr>
          <w:rFonts w:ascii="Cambria" w:hAnsi="Cambria"/>
          <w:i/>
          <w:sz w:val="20"/>
          <w:szCs w:val="20"/>
        </w:rPr>
        <w:t xml:space="preserve">Grupo de Acción Unificada por la </w:t>
      </w:r>
      <w:r w:rsidR="00B8721C">
        <w:rPr>
          <w:rFonts w:ascii="Cambria" w:hAnsi="Cambria"/>
          <w:i/>
          <w:sz w:val="20"/>
          <w:szCs w:val="20"/>
        </w:rPr>
        <w:t xml:space="preserve">Libertad </w:t>
      </w:r>
      <w:r w:rsidR="00C44436" w:rsidRPr="00B8721C">
        <w:rPr>
          <w:rFonts w:ascii="Cambria" w:hAnsi="Cambria"/>
          <w:i/>
          <w:sz w:val="20"/>
          <w:szCs w:val="20"/>
        </w:rPr>
        <w:t>Personal</w:t>
      </w:r>
      <w:r w:rsidR="00F52774" w:rsidRPr="00B8721C">
        <w:rPr>
          <w:rFonts w:ascii="Cambria" w:hAnsi="Cambria"/>
          <w:i/>
          <w:sz w:val="20"/>
          <w:szCs w:val="20"/>
        </w:rPr>
        <w:t xml:space="preserve"> - </w:t>
      </w:r>
      <w:r w:rsidR="00F52774" w:rsidRPr="00B8721C">
        <w:rPr>
          <w:rFonts w:ascii="Cambria" w:hAnsi="Cambria"/>
          <w:sz w:val="20"/>
          <w:szCs w:val="20"/>
        </w:rPr>
        <w:t xml:space="preserve">GAULA] </w:t>
      </w:r>
      <w:r w:rsidRPr="00B8721C">
        <w:rPr>
          <w:rFonts w:ascii="Cambria" w:hAnsi="Cambria"/>
          <w:sz w:val="20"/>
          <w:szCs w:val="20"/>
        </w:rPr>
        <w:t xml:space="preserve">of the Office of the Prosecutor General reported to the main office of the newspaper El Espectador to take a statement from Jorge Cardona, </w:t>
      </w:r>
      <w:r w:rsidR="00503694" w:rsidRPr="00B8721C">
        <w:rPr>
          <w:rFonts w:ascii="Cambria" w:hAnsi="Cambria"/>
          <w:sz w:val="20"/>
          <w:szCs w:val="20"/>
        </w:rPr>
        <w:t xml:space="preserve">editor of </w:t>
      </w:r>
      <w:r w:rsidR="00503694" w:rsidRPr="00B8721C">
        <w:rPr>
          <w:rFonts w:ascii="Cambria" w:hAnsi="Cambria"/>
          <w:sz w:val="20"/>
          <w:szCs w:val="20"/>
        </w:rPr>
        <w:lastRenderedPageBreak/>
        <w:t>the newspaper’</w:t>
      </w:r>
      <w:r w:rsidRPr="00B8721C">
        <w:rPr>
          <w:rFonts w:ascii="Cambria" w:hAnsi="Cambria"/>
          <w:sz w:val="20"/>
          <w:szCs w:val="20"/>
        </w:rPr>
        <w:t>s legal section, regarding the crimes committed against journalist Jineth Bedoya.</w:t>
      </w:r>
      <w:r w:rsidR="0028412E" w:rsidRPr="00B8721C">
        <w:rPr>
          <w:rStyle w:val="FootnoteReference"/>
          <w:rFonts w:ascii="Cambria" w:hAnsi="Cambria"/>
          <w:sz w:val="20"/>
          <w:szCs w:val="20"/>
        </w:rPr>
        <w:footnoteReference w:id="32"/>
      </w:r>
      <w:r w:rsidR="0028412E" w:rsidRPr="00B8721C">
        <w:rPr>
          <w:rStyle w:val="CharacterStyle2"/>
          <w:rFonts w:ascii="Cambria" w:hAnsi="Cambria" w:cs="Verdana"/>
        </w:rPr>
        <w:t xml:space="preserve"> </w:t>
      </w:r>
      <w:r w:rsidR="00F52774" w:rsidRPr="00B8721C">
        <w:rPr>
          <w:rStyle w:val="CharacterStyle2"/>
          <w:rFonts w:ascii="Cambria" w:hAnsi="Cambria" w:cs="Verdana"/>
        </w:rPr>
        <w:t>That same day,</w:t>
      </w:r>
      <w:r w:rsidR="0028412E" w:rsidRPr="00B8721C">
        <w:rPr>
          <w:rStyle w:val="CharacterStyle2"/>
          <w:rFonts w:ascii="Cambria" w:hAnsi="Cambria" w:cs="Verdana"/>
        </w:rPr>
        <w:t xml:space="preserve"> </w:t>
      </w:r>
      <w:r w:rsidR="00F52774" w:rsidRPr="00B8721C">
        <w:rPr>
          <w:rStyle w:val="CharacterStyle2"/>
          <w:rFonts w:ascii="Cambria" w:hAnsi="Cambria" w:cs="Verdana"/>
        </w:rPr>
        <w:t>Prosecutor 103</w:t>
      </w:r>
      <w:r w:rsidR="004C7F3E" w:rsidRPr="00B8721C">
        <w:rPr>
          <w:rStyle w:val="CharacterStyle2"/>
          <w:rFonts w:ascii="Cambria" w:hAnsi="Cambria" w:cs="Verdana"/>
        </w:rPr>
        <w:t xml:space="preserve"> </w:t>
      </w:r>
      <w:r w:rsidR="00F52774" w:rsidRPr="00B8721C">
        <w:rPr>
          <w:rStyle w:val="CharacterStyle2"/>
          <w:rFonts w:ascii="Cambria" w:hAnsi="Cambria" w:cs="Verdana"/>
        </w:rPr>
        <w:t>ordered the opening of a preliminary criminal investigation for the crime of simple kidnapping and violent sexual act, as well as the</w:t>
      </w:r>
      <w:r w:rsidR="007E0970" w:rsidRPr="00B8721C">
        <w:rPr>
          <w:rFonts w:ascii="Cambria" w:hAnsi="Cambria"/>
          <w:sz w:val="20"/>
          <w:szCs w:val="20"/>
        </w:rPr>
        <w:t xml:space="preserve"> </w:t>
      </w:r>
      <w:r w:rsidR="00F52774" w:rsidRPr="00B8721C">
        <w:rPr>
          <w:rFonts w:ascii="Cambria" w:hAnsi="Cambria"/>
          <w:sz w:val="20"/>
          <w:szCs w:val="20"/>
        </w:rPr>
        <w:t>performance of the relevant initial proceedings.</w:t>
      </w:r>
      <w:r w:rsidR="00B359C8" w:rsidRPr="00B8721C">
        <w:rPr>
          <w:rStyle w:val="FootnoteReference"/>
          <w:rFonts w:ascii="Cambria" w:hAnsi="Cambria"/>
          <w:sz w:val="20"/>
          <w:szCs w:val="20"/>
        </w:rPr>
        <w:footnoteReference w:id="33"/>
      </w:r>
      <w:r w:rsidR="000E63BC" w:rsidRPr="00B8721C">
        <w:rPr>
          <w:rFonts w:ascii="Cambria" w:hAnsi="Cambria"/>
          <w:sz w:val="20"/>
          <w:szCs w:val="20"/>
        </w:rPr>
        <w:t xml:space="preserve"> </w:t>
      </w:r>
      <w:r w:rsidR="00F52774" w:rsidRPr="00B8721C">
        <w:rPr>
          <w:rFonts w:ascii="Cambria" w:hAnsi="Cambria"/>
          <w:sz w:val="20"/>
          <w:szCs w:val="20"/>
        </w:rPr>
        <w:t>On May 26, the prosecutor also went to the police hospital a</w:t>
      </w:r>
      <w:r w:rsidR="00503694" w:rsidRPr="00B8721C">
        <w:rPr>
          <w:rFonts w:ascii="Cambria" w:hAnsi="Cambria"/>
          <w:sz w:val="20"/>
          <w:szCs w:val="20"/>
        </w:rPr>
        <w:t xml:space="preserve">nd tried to take the </w:t>
      </w:r>
      <w:r w:rsidR="0082252F">
        <w:rPr>
          <w:rFonts w:ascii="Cambria" w:hAnsi="Cambria"/>
          <w:sz w:val="20"/>
          <w:szCs w:val="20"/>
        </w:rPr>
        <w:t>journalist’s</w:t>
      </w:r>
      <w:r w:rsidR="00F52774" w:rsidRPr="00B8721C">
        <w:rPr>
          <w:rFonts w:ascii="Cambria" w:hAnsi="Cambria"/>
          <w:sz w:val="20"/>
          <w:szCs w:val="20"/>
        </w:rPr>
        <w:t xml:space="preserve"> statement. However, the proceedings had to be pos</w:t>
      </w:r>
      <w:r w:rsidR="00503694" w:rsidRPr="00B8721C">
        <w:rPr>
          <w:rFonts w:ascii="Cambria" w:hAnsi="Cambria"/>
          <w:sz w:val="20"/>
          <w:szCs w:val="20"/>
        </w:rPr>
        <w:t>tponed because of Jineth Bedoya’</w:t>
      </w:r>
      <w:r w:rsidR="00F52774" w:rsidRPr="00B8721C">
        <w:rPr>
          <w:rFonts w:ascii="Cambria" w:hAnsi="Cambria"/>
          <w:sz w:val="20"/>
          <w:szCs w:val="20"/>
        </w:rPr>
        <w:t>s serious emotional and physical condition</w:t>
      </w:r>
      <w:r w:rsidR="00503694" w:rsidRPr="00B8721C">
        <w:rPr>
          <w:rFonts w:ascii="Cambria" w:hAnsi="Cambria"/>
          <w:sz w:val="20"/>
          <w:szCs w:val="20"/>
        </w:rPr>
        <w:t>,</w:t>
      </w:r>
      <w:r w:rsidR="0054217D" w:rsidRPr="00B8721C">
        <w:rPr>
          <w:rStyle w:val="FootnoteReference"/>
          <w:rFonts w:ascii="Cambria" w:hAnsi="Cambria"/>
          <w:sz w:val="20"/>
          <w:szCs w:val="20"/>
        </w:rPr>
        <w:footnoteReference w:id="34"/>
      </w:r>
      <w:r w:rsidR="0054217D" w:rsidRPr="00B8721C">
        <w:rPr>
          <w:rFonts w:ascii="Cambria" w:hAnsi="Cambria"/>
          <w:sz w:val="20"/>
          <w:szCs w:val="20"/>
        </w:rPr>
        <w:t xml:space="preserve"> </w:t>
      </w:r>
      <w:r w:rsidR="00F52774" w:rsidRPr="00B8721C">
        <w:rPr>
          <w:rFonts w:ascii="Cambria" w:hAnsi="Cambria"/>
          <w:sz w:val="20"/>
          <w:szCs w:val="20"/>
        </w:rPr>
        <w:t>a</w:t>
      </w:r>
      <w:r w:rsidR="00503694" w:rsidRPr="00B8721C">
        <w:rPr>
          <w:rFonts w:ascii="Cambria" w:hAnsi="Cambria"/>
          <w:sz w:val="20"/>
          <w:szCs w:val="20"/>
        </w:rPr>
        <w:t xml:space="preserve">nd she provided her statement on May </w:t>
      </w:r>
      <w:r w:rsidR="00C43C0D" w:rsidRPr="00B8721C">
        <w:rPr>
          <w:rFonts w:ascii="Cambria" w:hAnsi="Cambria"/>
          <w:sz w:val="20"/>
          <w:szCs w:val="20"/>
        </w:rPr>
        <w:t>30</w:t>
      </w:r>
      <w:r w:rsidR="00503694" w:rsidRPr="00B8721C">
        <w:rPr>
          <w:rFonts w:ascii="Cambria" w:hAnsi="Cambria"/>
          <w:sz w:val="20"/>
          <w:szCs w:val="20"/>
        </w:rPr>
        <w:t>,</w:t>
      </w:r>
      <w:r w:rsidR="00C43C0D" w:rsidRPr="00B8721C">
        <w:rPr>
          <w:rFonts w:ascii="Cambria" w:hAnsi="Cambria"/>
          <w:sz w:val="20"/>
          <w:szCs w:val="20"/>
        </w:rPr>
        <w:t xml:space="preserve"> 2000</w:t>
      </w:r>
      <w:r w:rsidR="00503694" w:rsidRPr="00B8721C">
        <w:rPr>
          <w:rFonts w:ascii="Cambria" w:hAnsi="Cambria"/>
          <w:sz w:val="20"/>
          <w:szCs w:val="20"/>
        </w:rPr>
        <w:t>.</w:t>
      </w:r>
      <w:r w:rsidR="00C43C0D" w:rsidRPr="00B8721C">
        <w:rPr>
          <w:rStyle w:val="FootnoteReference"/>
          <w:rFonts w:ascii="Cambria" w:hAnsi="Cambria"/>
          <w:sz w:val="20"/>
          <w:szCs w:val="20"/>
        </w:rPr>
        <w:footnoteReference w:id="35"/>
      </w:r>
      <w:r w:rsidR="00C43C0D" w:rsidRPr="00B8721C">
        <w:rPr>
          <w:rFonts w:ascii="Cambria" w:hAnsi="Cambria"/>
          <w:sz w:val="20"/>
          <w:szCs w:val="20"/>
        </w:rPr>
        <w:t xml:space="preserve"> </w:t>
      </w:r>
      <w:r w:rsidR="00D17843" w:rsidRPr="00B8721C">
        <w:rPr>
          <w:rFonts w:ascii="Cambria" w:hAnsi="Cambria"/>
          <w:sz w:val="20"/>
          <w:szCs w:val="20"/>
        </w:rPr>
        <w:t xml:space="preserve"> </w:t>
      </w:r>
    </w:p>
    <w:p w:rsidR="00CC6A80" w:rsidRPr="00B8721C" w:rsidRDefault="00CC6A80" w:rsidP="00CC6A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4F2F49" w:rsidRPr="00B8721C" w:rsidRDefault="00D46E2E" w:rsidP="004F2F4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90" w:firstLine="630"/>
        <w:jc w:val="both"/>
        <w:rPr>
          <w:rFonts w:ascii="Cambria" w:hAnsi="Cambria"/>
          <w:sz w:val="20"/>
          <w:szCs w:val="20"/>
        </w:rPr>
      </w:pPr>
      <w:r w:rsidRPr="00B8721C">
        <w:rPr>
          <w:rFonts w:ascii="Cambria" w:hAnsi="Cambria"/>
          <w:sz w:val="20"/>
          <w:szCs w:val="20"/>
        </w:rPr>
        <w:t>It is also stated in the</w:t>
      </w:r>
      <w:r w:rsidR="006E4145" w:rsidRPr="00B8721C">
        <w:rPr>
          <w:rFonts w:ascii="Cambria" w:hAnsi="Cambria"/>
          <w:sz w:val="20"/>
          <w:szCs w:val="20"/>
        </w:rPr>
        <w:t xml:space="preserve"> case</w:t>
      </w:r>
      <w:r w:rsidRPr="00B8721C">
        <w:rPr>
          <w:rFonts w:ascii="Cambria" w:hAnsi="Cambria"/>
          <w:sz w:val="20"/>
          <w:szCs w:val="20"/>
        </w:rPr>
        <w:t xml:space="preserve"> file that on May 26, 2000, Jineth Bedoya was interviewed by the Technical Investigations Unit (CTI) of Villavicencio. The investigators drew up a report and </w:t>
      </w:r>
      <w:r w:rsidR="006E4145" w:rsidRPr="00B8721C">
        <w:rPr>
          <w:rFonts w:ascii="Cambria" w:hAnsi="Cambria"/>
          <w:sz w:val="20"/>
          <w:szCs w:val="20"/>
        </w:rPr>
        <w:t>provided a physical description</w:t>
      </w:r>
      <w:r w:rsidRPr="00B8721C">
        <w:rPr>
          <w:rFonts w:ascii="Cambria" w:hAnsi="Cambria"/>
          <w:sz w:val="20"/>
          <w:szCs w:val="20"/>
        </w:rPr>
        <w:t xml:space="preserve"> of the individual who abducted the journalist from the National Model Pri</w:t>
      </w:r>
      <w:r w:rsidR="006E4145" w:rsidRPr="00B8721C">
        <w:rPr>
          <w:rFonts w:ascii="Cambria" w:hAnsi="Cambria"/>
          <w:sz w:val="20"/>
          <w:szCs w:val="20"/>
        </w:rPr>
        <w:t>son. The CTI report determined “</w:t>
      </w:r>
      <w:r w:rsidRPr="00B8721C">
        <w:rPr>
          <w:rFonts w:ascii="Cambria" w:hAnsi="Cambria"/>
          <w:sz w:val="20"/>
          <w:szCs w:val="20"/>
        </w:rPr>
        <w:t xml:space="preserve">the existence of the kidnapping of </w:t>
      </w:r>
      <w:r w:rsidRPr="00B8721C">
        <w:rPr>
          <w:rFonts w:ascii="Cambria" w:hAnsi="Cambria"/>
          <w:i/>
          <w:sz w:val="20"/>
          <w:szCs w:val="20"/>
        </w:rPr>
        <w:t>El Espectador</w:t>
      </w:r>
      <w:r w:rsidRPr="00B8721C">
        <w:rPr>
          <w:rFonts w:ascii="Cambria" w:hAnsi="Cambria"/>
          <w:sz w:val="20"/>
          <w:szCs w:val="20"/>
        </w:rPr>
        <w:t xml:space="preserve"> journalist JINETH BEDOYA LIMA, apparently perpetrated by Paramilitary groups in retaliation and as a threat because of her journalistic work at the National Model Prison</w:t>
      </w:r>
      <w:r w:rsidR="006E4145" w:rsidRPr="00B8721C">
        <w:rPr>
          <w:rFonts w:ascii="Cambria" w:hAnsi="Cambria"/>
          <w:sz w:val="20"/>
          <w:szCs w:val="20"/>
        </w:rPr>
        <w:t>.</w:t>
      </w:r>
      <w:r w:rsidR="00C034E4" w:rsidRPr="00B8721C">
        <w:rPr>
          <w:rFonts w:ascii="Cambria" w:hAnsi="Cambria"/>
          <w:sz w:val="20"/>
          <w:szCs w:val="20"/>
        </w:rPr>
        <w:t>”</w:t>
      </w:r>
      <w:r w:rsidR="00C034E4" w:rsidRPr="00B8721C">
        <w:rPr>
          <w:rStyle w:val="FootnoteReference"/>
          <w:rFonts w:ascii="Cambria" w:hAnsi="Cambria"/>
          <w:sz w:val="20"/>
          <w:szCs w:val="20"/>
        </w:rPr>
        <w:footnoteReference w:id="36"/>
      </w:r>
      <w:r w:rsidR="0007107D" w:rsidRPr="00B8721C">
        <w:rPr>
          <w:rFonts w:ascii="Cambria" w:hAnsi="Cambria"/>
          <w:sz w:val="20"/>
          <w:szCs w:val="20"/>
        </w:rPr>
        <w:t xml:space="preserve"> </w:t>
      </w:r>
      <w:r w:rsidR="006E4145" w:rsidRPr="00B8721C">
        <w:rPr>
          <w:rFonts w:ascii="Cambria" w:hAnsi="Cambria"/>
          <w:sz w:val="20"/>
          <w:szCs w:val="20"/>
        </w:rPr>
        <w:t>The same day, inspections were conducted in the area surrounding the National Model Prison,</w:t>
      </w:r>
      <w:r w:rsidR="0007107D" w:rsidRPr="00B8721C">
        <w:rPr>
          <w:rStyle w:val="FootnoteReference"/>
          <w:rFonts w:ascii="Cambria" w:hAnsi="Cambria"/>
          <w:sz w:val="20"/>
          <w:szCs w:val="20"/>
        </w:rPr>
        <w:footnoteReference w:id="37"/>
      </w:r>
      <w:r w:rsidR="00E36EB2" w:rsidRPr="00B8721C">
        <w:rPr>
          <w:rFonts w:ascii="Cambria" w:hAnsi="Cambria"/>
          <w:sz w:val="20"/>
          <w:szCs w:val="20"/>
        </w:rPr>
        <w:t xml:space="preserve"> </w:t>
      </w:r>
      <w:r w:rsidR="006E4145" w:rsidRPr="00B8721C">
        <w:rPr>
          <w:rFonts w:ascii="Cambria" w:hAnsi="Cambria"/>
          <w:sz w:val="20"/>
          <w:szCs w:val="20"/>
        </w:rPr>
        <w:t xml:space="preserve">and a number of newspaper articles on the National Model Prison, written by Jineth Bedoya Lima and published by the newspaper </w:t>
      </w:r>
      <w:r w:rsidR="006E4145" w:rsidRPr="00B8721C">
        <w:rPr>
          <w:rFonts w:ascii="Cambria" w:hAnsi="Cambria"/>
          <w:i/>
          <w:sz w:val="20"/>
          <w:szCs w:val="20"/>
        </w:rPr>
        <w:t>El Espectador</w:t>
      </w:r>
      <w:r w:rsidR="006E4145" w:rsidRPr="00B8721C">
        <w:rPr>
          <w:rFonts w:ascii="Cambria" w:hAnsi="Cambria"/>
          <w:sz w:val="20"/>
          <w:szCs w:val="20"/>
        </w:rPr>
        <w:t>, were added to the file.</w:t>
      </w:r>
      <w:r w:rsidR="00CC1E17" w:rsidRPr="00B8721C">
        <w:rPr>
          <w:rStyle w:val="FootnoteReference"/>
          <w:rFonts w:ascii="Cambria" w:hAnsi="Cambria"/>
          <w:sz w:val="20"/>
          <w:szCs w:val="20"/>
        </w:rPr>
        <w:footnoteReference w:id="38"/>
      </w:r>
      <w:r w:rsidR="00D17843" w:rsidRPr="00B8721C">
        <w:rPr>
          <w:rFonts w:ascii="Cambria" w:hAnsi="Cambria"/>
          <w:sz w:val="20"/>
          <w:szCs w:val="20"/>
        </w:rPr>
        <w:t xml:space="preserve"> </w:t>
      </w:r>
      <w:r w:rsidR="00CC6A80" w:rsidRPr="00B8721C">
        <w:rPr>
          <w:rFonts w:ascii="Cambria" w:hAnsi="Cambria"/>
          <w:sz w:val="20"/>
          <w:szCs w:val="20"/>
        </w:rPr>
        <w:t>On June 2,</w:t>
      </w:r>
      <w:r w:rsidR="00D17843" w:rsidRPr="00B8721C">
        <w:rPr>
          <w:rFonts w:ascii="Cambria" w:hAnsi="Cambria"/>
          <w:sz w:val="20"/>
          <w:szCs w:val="20"/>
        </w:rPr>
        <w:t xml:space="preserve"> 2000, </w:t>
      </w:r>
      <w:r w:rsidR="0043470A">
        <w:rPr>
          <w:rFonts w:ascii="Cambria" w:hAnsi="Cambria"/>
          <w:sz w:val="20"/>
          <w:szCs w:val="20"/>
        </w:rPr>
        <w:t>Special Prosecutor</w:t>
      </w:r>
      <w:r w:rsidR="00CC6A80" w:rsidRPr="00B8721C">
        <w:rPr>
          <w:rFonts w:ascii="Cambria" w:hAnsi="Cambria"/>
          <w:sz w:val="20"/>
          <w:szCs w:val="20"/>
        </w:rPr>
        <w:t xml:space="preserve"> 103</w:t>
      </w:r>
      <w:r w:rsidR="00D17843" w:rsidRPr="00B8721C">
        <w:rPr>
          <w:rFonts w:ascii="Cambria" w:hAnsi="Cambria"/>
          <w:sz w:val="20"/>
          <w:szCs w:val="20"/>
        </w:rPr>
        <w:t xml:space="preserve"> </w:t>
      </w:r>
      <w:r w:rsidR="00CC6A80" w:rsidRPr="00B8721C">
        <w:rPr>
          <w:rFonts w:ascii="Cambria" w:hAnsi="Cambria"/>
          <w:sz w:val="20"/>
          <w:szCs w:val="20"/>
        </w:rPr>
        <w:t>took a sworn statement from</w:t>
      </w:r>
      <w:r w:rsidR="00D17843" w:rsidRPr="00B8721C">
        <w:rPr>
          <w:rFonts w:ascii="Cambria" w:hAnsi="Cambria"/>
          <w:sz w:val="20"/>
          <w:szCs w:val="20"/>
        </w:rPr>
        <w:t xml:space="preserve"> Mario Jaimes Mejia</w:t>
      </w:r>
      <w:r w:rsidR="00CC6A80" w:rsidRPr="00B8721C">
        <w:rPr>
          <w:rFonts w:ascii="Cambria" w:hAnsi="Cambria"/>
          <w:sz w:val="20"/>
          <w:szCs w:val="20"/>
        </w:rPr>
        <w:t>,</w:t>
      </w:r>
      <w:r w:rsidR="00D17843" w:rsidRPr="00B8721C">
        <w:rPr>
          <w:rFonts w:ascii="Cambria" w:hAnsi="Cambria"/>
          <w:sz w:val="20"/>
          <w:szCs w:val="20"/>
        </w:rPr>
        <w:t xml:space="preserve"> alias </w:t>
      </w:r>
      <w:r w:rsidR="00DF6F55" w:rsidRPr="00B8721C">
        <w:rPr>
          <w:rFonts w:ascii="Cambria" w:hAnsi="Cambria"/>
          <w:sz w:val="20"/>
          <w:szCs w:val="20"/>
        </w:rPr>
        <w:t>“</w:t>
      </w:r>
      <w:r w:rsidR="0002388B" w:rsidRPr="00B8721C">
        <w:rPr>
          <w:rFonts w:ascii="Cambria" w:hAnsi="Cambria"/>
          <w:sz w:val="20"/>
          <w:szCs w:val="20"/>
        </w:rPr>
        <w:t>E</w:t>
      </w:r>
      <w:r w:rsidR="00D17843" w:rsidRPr="00B8721C">
        <w:rPr>
          <w:rFonts w:ascii="Cambria" w:hAnsi="Cambria"/>
          <w:sz w:val="20"/>
          <w:szCs w:val="20"/>
        </w:rPr>
        <w:t>l Panadero</w:t>
      </w:r>
      <w:r w:rsidR="00CC6A80" w:rsidRPr="00B8721C">
        <w:rPr>
          <w:rFonts w:ascii="Cambria" w:hAnsi="Cambria"/>
          <w:sz w:val="20"/>
          <w:szCs w:val="20"/>
        </w:rPr>
        <w:t>.</w:t>
      </w:r>
      <w:r w:rsidR="00DF6F55" w:rsidRPr="00B8721C">
        <w:rPr>
          <w:rFonts w:ascii="Cambria" w:hAnsi="Cambria"/>
          <w:sz w:val="20"/>
          <w:szCs w:val="20"/>
        </w:rPr>
        <w:t>”</w:t>
      </w:r>
      <w:r w:rsidR="00F93620" w:rsidRPr="00B8721C">
        <w:rPr>
          <w:rStyle w:val="FootnoteReference"/>
          <w:rFonts w:ascii="Cambria" w:hAnsi="Cambria"/>
          <w:sz w:val="20"/>
          <w:szCs w:val="20"/>
        </w:rPr>
        <w:footnoteReference w:id="39"/>
      </w:r>
    </w:p>
    <w:p w:rsidR="004F2F49" w:rsidRPr="00B8721C" w:rsidRDefault="004F2F49" w:rsidP="004F2F4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2C38DA" w:rsidRPr="00B8721C" w:rsidRDefault="00CC6A80" w:rsidP="002C38D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90" w:firstLine="630"/>
        <w:jc w:val="both"/>
        <w:rPr>
          <w:rFonts w:ascii="Cambria" w:hAnsi="Cambria"/>
          <w:sz w:val="20"/>
          <w:szCs w:val="20"/>
        </w:rPr>
      </w:pPr>
      <w:r w:rsidRPr="00B8721C">
        <w:rPr>
          <w:rFonts w:ascii="Cambria" w:hAnsi="Cambria"/>
          <w:sz w:val="20"/>
          <w:szCs w:val="20"/>
        </w:rPr>
        <w:t>Through Resolution 0907 of June 6, 2000, the Office of the Prosecutor assigned the investigation of the case to the National Human Rights Unit</w:t>
      </w:r>
      <w:r w:rsidR="005965A3" w:rsidRPr="00B8721C">
        <w:rPr>
          <w:rFonts w:ascii="Cambria" w:hAnsi="Cambria"/>
          <w:sz w:val="20"/>
          <w:szCs w:val="20"/>
        </w:rPr>
        <w:t xml:space="preserve"> (</w:t>
      </w:r>
      <w:r w:rsidR="00D4792C" w:rsidRPr="00B8721C">
        <w:rPr>
          <w:rFonts w:ascii="Cambria" w:hAnsi="Cambria"/>
          <w:sz w:val="20"/>
          <w:szCs w:val="20"/>
        </w:rPr>
        <w:t>NHRU</w:t>
      </w:r>
      <w:r w:rsidR="005965A3" w:rsidRPr="00B8721C">
        <w:rPr>
          <w:rFonts w:ascii="Cambria" w:hAnsi="Cambria"/>
          <w:sz w:val="20"/>
          <w:szCs w:val="20"/>
        </w:rPr>
        <w:t>)</w:t>
      </w:r>
      <w:r w:rsidRPr="00B8721C">
        <w:rPr>
          <w:rStyle w:val="FootnoteReference"/>
          <w:rFonts w:ascii="Cambria" w:hAnsi="Cambria"/>
          <w:sz w:val="20"/>
          <w:szCs w:val="20"/>
          <w:vertAlign w:val="baseline"/>
        </w:rPr>
        <w:t>,</w:t>
      </w:r>
      <w:r w:rsidR="009E040E" w:rsidRPr="00B8721C">
        <w:rPr>
          <w:rStyle w:val="FootnoteReference"/>
          <w:rFonts w:ascii="Cambria" w:hAnsi="Cambria"/>
          <w:sz w:val="20"/>
          <w:szCs w:val="20"/>
        </w:rPr>
        <w:footnoteReference w:id="40"/>
      </w:r>
      <w:r w:rsidR="00E3301A" w:rsidRPr="00B8721C">
        <w:rPr>
          <w:rFonts w:ascii="Cambria" w:hAnsi="Cambria"/>
          <w:sz w:val="20"/>
          <w:szCs w:val="20"/>
        </w:rPr>
        <w:t xml:space="preserve"> </w:t>
      </w:r>
      <w:r w:rsidRPr="00B8721C">
        <w:rPr>
          <w:rFonts w:ascii="Cambria" w:hAnsi="Cambria"/>
          <w:sz w:val="20"/>
          <w:szCs w:val="20"/>
        </w:rPr>
        <w:t>which took cognizance of the case on June</w:t>
      </w:r>
      <w:r w:rsidR="00E3301A" w:rsidRPr="00B8721C">
        <w:rPr>
          <w:rFonts w:ascii="Cambria" w:hAnsi="Cambria"/>
          <w:sz w:val="20"/>
          <w:szCs w:val="20"/>
        </w:rPr>
        <w:t xml:space="preserve"> 7</w:t>
      </w:r>
      <w:r w:rsidRPr="00B8721C">
        <w:rPr>
          <w:rFonts w:ascii="Cambria" w:hAnsi="Cambria"/>
          <w:sz w:val="20"/>
          <w:szCs w:val="20"/>
        </w:rPr>
        <w:t>,</w:t>
      </w:r>
      <w:r w:rsidR="00E3301A" w:rsidRPr="00B8721C">
        <w:rPr>
          <w:rFonts w:ascii="Cambria" w:hAnsi="Cambria"/>
          <w:sz w:val="20"/>
          <w:szCs w:val="20"/>
        </w:rPr>
        <w:t xml:space="preserve"> 2000 </w:t>
      </w:r>
      <w:r w:rsidRPr="00B8721C">
        <w:rPr>
          <w:rFonts w:ascii="Cambria" w:hAnsi="Cambria"/>
          <w:sz w:val="20"/>
          <w:szCs w:val="20"/>
        </w:rPr>
        <w:t>under file</w:t>
      </w:r>
      <w:r w:rsidR="00E3301A" w:rsidRPr="00B8721C">
        <w:rPr>
          <w:rFonts w:ascii="Cambria" w:hAnsi="Cambria"/>
          <w:sz w:val="20"/>
          <w:szCs w:val="20"/>
        </w:rPr>
        <w:t xml:space="preserve"> No. 807 U.D.H. </w:t>
      </w:r>
      <w:r w:rsidR="00FD3A96" w:rsidRPr="00B8721C">
        <w:rPr>
          <w:rFonts w:ascii="Cambria" w:hAnsi="Cambria"/>
          <w:sz w:val="20"/>
          <w:szCs w:val="20"/>
        </w:rPr>
        <w:t xml:space="preserve"> </w:t>
      </w:r>
      <w:r w:rsidRPr="00B8721C">
        <w:rPr>
          <w:rFonts w:ascii="Cambria" w:hAnsi="Cambria"/>
          <w:sz w:val="20"/>
          <w:szCs w:val="20"/>
        </w:rPr>
        <w:t>The same day, the National Human Rights Unit of the Office of the Prosecutor ordered new investigative proceedings</w:t>
      </w:r>
      <w:r w:rsidR="00DF6F55" w:rsidRPr="00B8721C">
        <w:rPr>
          <w:rFonts w:ascii="Cambria" w:hAnsi="Cambria"/>
          <w:sz w:val="20"/>
          <w:szCs w:val="20"/>
        </w:rPr>
        <w:t>.</w:t>
      </w:r>
      <w:r w:rsidR="00181483" w:rsidRPr="00B8721C">
        <w:rPr>
          <w:rFonts w:ascii="Cambria" w:hAnsi="Cambria"/>
          <w:sz w:val="20"/>
          <w:szCs w:val="20"/>
        </w:rPr>
        <w:t xml:space="preserve"> </w:t>
      </w:r>
      <w:r w:rsidR="004F2F49" w:rsidRPr="00B8721C">
        <w:rPr>
          <w:rFonts w:ascii="Cambria" w:hAnsi="Cambria"/>
          <w:sz w:val="20"/>
          <w:szCs w:val="20"/>
        </w:rPr>
        <w:t xml:space="preserve">On June 8, a supplemental </w:t>
      </w:r>
      <w:r w:rsidRPr="00B8721C">
        <w:rPr>
          <w:rFonts w:ascii="Cambria" w:hAnsi="Cambria"/>
          <w:sz w:val="20"/>
          <w:szCs w:val="20"/>
        </w:rPr>
        <w:t>statement was taken from Jineth Bedoya.</w:t>
      </w:r>
      <w:r w:rsidR="00181483" w:rsidRPr="00B8721C">
        <w:rPr>
          <w:rStyle w:val="FootnoteReference"/>
          <w:rFonts w:ascii="Cambria" w:hAnsi="Cambria"/>
          <w:sz w:val="20"/>
          <w:szCs w:val="20"/>
        </w:rPr>
        <w:footnoteReference w:id="41"/>
      </w:r>
      <w:r w:rsidR="00DF6F55" w:rsidRPr="00B8721C">
        <w:rPr>
          <w:rFonts w:ascii="Cambria" w:hAnsi="Cambria"/>
          <w:sz w:val="20"/>
          <w:szCs w:val="20"/>
        </w:rPr>
        <w:t xml:space="preserve"> </w:t>
      </w:r>
      <w:r w:rsidRPr="00B8721C">
        <w:rPr>
          <w:rFonts w:ascii="Cambria" w:hAnsi="Cambria"/>
          <w:sz w:val="20"/>
          <w:szCs w:val="20"/>
        </w:rPr>
        <w:t xml:space="preserve">On June 12, the </w:t>
      </w:r>
      <w:r w:rsidR="00D4792C" w:rsidRPr="00B8721C">
        <w:rPr>
          <w:rFonts w:ascii="Cambria" w:hAnsi="Cambria"/>
          <w:sz w:val="20"/>
          <w:szCs w:val="20"/>
        </w:rPr>
        <w:t>NHRU</w:t>
      </w:r>
      <w:r w:rsidRPr="00B8721C">
        <w:rPr>
          <w:rFonts w:ascii="Cambria" w:hAnsi="Cambria"/>
          <w:sz w:val="20"/>
          <w:szCs w:val="20"/>
        </w:rPr>
        <w:t xml:space="preserve"> ordered new proceedings and the taking of statements from inmates at the National Model Prison who might have knowledge of the facts.</w:t>
      </w:r>
      <w:r w:rsidR="006666B5" w:rsidRPr="00B8721C">
        <w:rPr>
          <w:rStyle w:val="FootnoteReference"/>
          <w:rFonts w:ascii="Cambria" w:hAnsi="Cambria"/>
          <w:sz w:val="20"/>
          <w:szCs w:val="20"/>
        </w:rPr>
        <w:footnoteReference w:id="42"/>
      </w:r>
      <w:r w:rsidR="004F2F49" w:rsidRPr="00B8721C">
        <w:rPr>
          <w:rFonts w:ascii="Cambria" w:hAnsi="Cambria"/>
          <w:sz w:val="20"/>
          <w:szCs w:val="20"/>
        </w:rPr>
        <w:t xml:space="preserve"> On 19 June, the journalist provided a supplemental statement.</w:t>
      </w:r>
      <w:r w:rsidR="002949A4" w:rsidRPr="00B8721C">
        <w:rPr>
          <w:rStyle w:val="FootnoteReference"/>
          <w:rFonts w:ascii="Cambria" w:hAnsi="Cambria"/>
          <w:sz w:val="20"/>
          <w:szCs w:val="20"/>
        </w:rPr>
        <w:footnoteReference w:id="43"/>
      </w:r>
      <w:r w:rsidR="00CF14EC" w:rsidRPr="00B8721C">
        <w:rPr>
          <w:rFonts w:ascii="Cambria" w:hAnsi="Cambria"/>
          <w:sz w:val="20"/>
          <w:szCs w:val="20"/>
        </w:rPr>
        <w:t xml:space="preserve"> </w:t>
      </w:r>
      <w:r w:rsidR="004F2F49" w:rsidRPr="00B8721C">
        <w:rPr>
          <w:rFonts w:ascii="Cambria" w:hAnsi="Cambria"/>
          <w:sz w:val="20"/>
          <w:szCs w:val="20"/>
        </w:rPr>
        <w:t xml:space="preserve">The same day, the </w:t>
      </w:r>
      <w:r w:rsidR="00D4792C" w:rsidRPr="00B8721C">
        <w:rPr>
          <w:rFonts w:ascii="Cambria" w:hAnsi="Cambria"/>
          <w:sz w:val="20"/>
          <w:szCs w:val="20"/>
        </w:rPr>
        <w:t>NHRU</w:t>
      </w:r>
      <w:r w:rsidR="004F2F49" w:rsidRPr="00B8721C">
        <w:rPr>
          <w:rFonts w:ascii="Cambria" w:hAnsi="Cambria"/>
          <w:sz w:val="20"/>
          <w:szCs w:val="20"/>
        </w:rPr>
        <w:t xml:space="preserve"> ordered </w:t>
      </w:r>
      <w:r w:rsidR="005F61DF" w:rsidRPr="00B8721C">
        <w:rPr>
          <w:rFonts w:ascii="Cambria" w:hAnsi="Cambria"/>
          <w:sz w:val="20"/>
          <w:szCs w:val="20"/>
        </w:rPr>
        <w:t>the taking of new statements</w:t>
      </w:r>
      <w:r w:rsidR="004F2F49" w:rsidRPr="00B8721C">
        <w:rPr>
          <w:rFonts w:ascii="Cambria" w:hAnsi="Cambria"/>
          <w:sz w:val="20"/>
          <w:szCs w:val="20"/>
        </w:rPr>
        <w:t xml:space="preserve"> and a judicial inspection at the scene of the crime together with Jineth Bedoya</w:t>
      </w:r>
      <w:r w:rsidR="004F2F49" w:rsidRPr="00B8721C">
        <w:rPr>
          <w:rStyle w:val="FootnoteReference"/>
          <w:rFonts w:ascii="Cambria" w:hAnsi="Cambria"/>
          <w:sz w:val="20"/>
          <w:szCs w:val="20"/>
          <w:vertAlign w:val="baseline"/>
        </w:rPr>
        <w:t>,</w:t>
      </w:r>
      <w:r w:rsidR="00BE0F90" w:rsidRPr="00B8721C">
        <w:rPr>
          <w:rStyle w:val="FootnoteReference"/>
          <w:rFonts w:ascii="Cambria" w:hAnsi="Cambria"/>
          <w:sz w:val="20"/>
          <w:szCs w:val="20"/>
        </w:rPr>
        <w:footnoteReference w:id="44"/>
      </w:r>
      <w:r w:rsidR="005E1313" w:rsidRPr="00B8721C">
        <w:rPr>
          <w:rFonts w:ascii="Cambria" w:hAnsi="Cambria"/>
          <w:sz w:val="20"/>
          <w:szCs w:val="20"/>
        </w:rPr>
        <w:t xml:space="preserve"> </w:t>
      </w:r>
      <w:r w:rsidR="004F2F49" w:rsidRPr="00B8721C">
        <w:rPr>
          <w:rFonts w:ascii="Cambria" w:hAnsi="Cambria"/>
          <w:sz w:val="20"/>
          <w:szCs w:val="20"/>
        </w:rPr>
        <w:t>which was done on June</w:t>
      </w:r>
      <w:r w:rsidR="005E1313" w:rsidRPr="00B8721C">
        <w:rPr>
          <w:rFonts w:ascii="Cambria" w:hAnsi="Cambria"/>
          <w:sz w:val="20"/>
          <w:szCs w:val="20"/>
        </w:rPr>
        <w:t xml:space="preserve"> 20</w:t>
      </w:r>
      <w:r w:rsidR="004F2F49" w:rsidRPr="00B8721C">
        <w:rPr>
          <w:rFonts w:ascii="Cambria" w:hAnsi="Cambria"/>
          <w:sz w:val="20"/>
          <w:szCs w:val="20"/>
        </w:rPr>
        <w:t>,</w:t>
      </w:r>
      <w:r w:rsidR="005E1313" w:rsidRPr="00B8721C">
        <w:rPr>
          <w:rFonts w:ascii="Cambria" w:hAnsi="Cambria"/>
          <w:sz w:val="20"/>
          <w:szCs w:val="20"/>
        </w:rPr>
        <w:t xml:space="preserve"> 2000</w:t>
      </w:r>
      <w:r w:rsidR="004F2F49" w:rsidRPr="00B8721C">
        <w:rPr>
          <w:rFonts w:ascii="Cambria" w:hAnsi="Cambria"/>
          <w:sz w:val="20"/>
          <w:szCs w:val="20"/>
        </w:rPr>
        <w:t>.</w:t>
      </w:r>
      <w:r w:rsidR="005E1313" w:rsidRPr="00B8721C">
        <w:rPr>
          <w:rStyle w:val="FootnoteReference"/>
          <w:rFonts w:ascii="Cambria" w:hAnsi="Cambria"/>
          <w:sz w:val="20"/>
          <w:szCs w:val="20"/>
        </w:rPr>
        <w:footnoteReference w:id="45"/>
      </w:r>
    </w:p>
    <w:p w:rsidR="00F73430" w:rsidRPr="00B8721C" w:rsidRDefault="002C38DA" w:rsidP="00F7343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90" w:firstLine="630"/>
        <w:jc w:val="both"/>
        <w:rPr>
          <w:rFonts w:ascii="Cambria" w:hAnsi="Cambria"/>
          <w:sz w:val="20"/>
          <w:szCs w:val="20"/>
        </w:rPr>
      </w:pPr>
      <w:r w:rsidRPr="00B8721C">
        <w:rPr>
          <w:rFonts w:ascii="Cambria" w:hAnsi="Cambria"/>
          <w:sz w:val="20"/>
          <w:szCs w:val="20"/>
        </w:rPr>
        <w:lastRenderedPageBreak/>
        <w:t>A new report was received from the CTI on June 20, 2000, and the gynecological exams performed on Jineth Bedoya, as well as her clinical history, were incorporated into the file.</w:t>
      </w:r>
      <w:r w:rsidR="00081166" w:rsidRPr="00B8721C">
        <w:rPr>
          <w:rStyle w:val="FootnoteReference"/>
          <w:rFonts w:ascii="Cambria" w:hAnsi="Cambria"/>
          <w:sz w:val="20"/>
          <w:szCs w:val="20"/>
        </w:rPr>
        <w:footnoteReference w:id="46"/>
      </w:r>
      <w:r w:rsidR="00CB4CAF" w:rsidRPr="00B8721C">
        <w:rPr>
          <w:rFonts w:ascii="Cambria" w:hAnsi="Cambria"/>
          <w:sz w:val="20"/>
          <w:szCs w:val="20"/>
        </w:rPr>
        <w:t xml:space="preserve"> </w:t>
      </w:r>
      <w:r w:rsidRPr="00B8721C">
        <w:rPr>
          <w:rFonts w:ascii="Cambria" w:hAnsi="Cambria"/>
          <w:sz w:val="20"/>
          <w:szCs w:val="20"/>
        </w:rPr>
        <w:t xml:space="preserve">On September 1, 2000, the Institute of Forensic Medicine sent the results of the </w:t>
      </w:r>
      <w:r w:rsidR="0082252F">
        <w:rPr>
          <w:rFonts w:ascii="Cambria" w:hAnsi="Cambria"/>
          <w:sz w:val="20"/>
          <w:szCs w:val="20"/>
        </w:rPr>
        <w:t>journalist’s</w:t>
      </w:r>
      <w:r w:rsidRPr="00B8721C">
        <w:rPr>
          <w:rFonts w:ascii="Cambria" w:hAnsi="Cambria"/>
          <w:sz w:val="20"/>
          <w:szCs w:val="20"/>
        </w:rPr>
        <w:t xml:space="preserve"> urine tests to the </w:t>
      </w:r>
      <w:r w:rsidR="00E82ECB">
        <w:rPr>
          <w:rFonts w:ascii="Cambria" w:hAnsi="Cambria"/>
          <w:sz w:val="20"/>
          <w:szCs w:val="20"/>
        </w:rPr>
        <w:t>Prosecutor’s</w:t>
      </w:r>
      <w:r w:rsidRPr="00B8721C">
        <w:rPr>
          <w:rFonts w:ascii="Cambria" w:hAnsi="Cambria"/>
          <w:sz w:val="20"/>
          <w:szCs w:val="20"/>
        </w:rPr>
        <w:t xml:space="preserve"> Office</w:t>
      </w:r>
      <w:r w:rsidR="006116CA" w:rsidRPr="00B8721C">
        <w:rPr>
          <w:rFonts w:ascii="Cambria" w:hAnsi="Cambria"/>
          <w:sz w:val="20"/>
          <w:szCs w:val="20"/>
        </w:rPr>
        <w:t>.</w:t>
      </w:r>
    </w:p>
    <w:p w:rsidR="00F73430" w:rsidRPr="00B8721C" w:rsidRDefault="00F73430" w:rsidP="00F7343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52597F" w:rsidRPr="00B8721C" w:rsidRDefault="0038561A" w:rsidP="00F7343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90" w:firstLine="630"/>
        <w:jc w:val="both"/>
        <w:rPr>
          <w:rFonts w:ascii="Cambria" w:hAnsi="Cambria"/>
          <w:sz w:val="20"/>
          <w:szCs w:val="20"/>
        </w:rPr>
      </w:pPr>
      <w:r w:rsidRPr="00B8721C">
        <w:rPr>
          <w:rFonts w:ascii="Cambria" w:hAnsi="Cambria"/>
          <w:sz w:val="20"/>
          <w:szCs w:val="20"/>
        </w:rPr>
        <w:t>Another CTI report was received on October 3, 2000, on proceedings ordered on June 19, including statements by alias “Popeye” and the warden of the National Model Prison</w:t>
      </w:r>
      <w:r w:rsidR="002C38DA" w:rsidRPr="00B8721C">
        <w:rPr>
          <w:rFonts w:ascii="Cambria" w:hAnsi="Cambria"/>
          <w:sz w:val="20"/>
          <w:szCs w:val="20"/>
        </w:rPr>
        <w:t>.</w:t>
      </w:r>
      <w:r w:rsidR="002A30C8" w:rsidRPr="00B8721C">
        <w:rPr>
          <w:rStyle w:val="FootnoteReference"/>
          <w:rFonts w:ascii="Cambria" w:hAnsi="Cambria"/>
          <w:sz w:val="20"/>
          <w:szCs w:val="20"/>
        </w:rPr>
        <w:footnoteReference w:id="47"/>
      </w:r>
      <w:r w:rsidR="006116CA" w:rsidRPr="00B8721C">
        <w:rPr>
          <w:rFonts w:ascii="Cambria" w:hAnsi="Cambria"/>
          <w:sz w:val="20"/>
          <w:szCs w:val="20"/>
        </w:rPr>
        <w:t xml:space="preserve"> </w:t>
      </w:r>
      <w:r w:rsidRPr="00B8721C">
        <w:rPr>
          <w:rFonts w:ascii="Cambria" w:hAnsi="Cambria"/>
          <w:sz w:val="20"/>
          <w:szCs w:val="20"/>
        </w:rPr>
        <w:t>Based on this report, the Prosecutor ordered new proceedings on October 4, including the taking of statements from a guerrilla member in La Picota prison and from the deputy warden of the National Model Prison, and a judicial inspection of the disciplinary proce</w:t>
      </w:r>
      <w:r w:rsidR="00796235">
        <w:rPr>
          <w:rFonts w:ascii="Cambria" w:hAnsi="Cambria"/>
          <w:sz w:val="20"/>
          <w:szCs w:val="20"/>
        </w:rPr>
        <w:t>edings</w:t>
      </w:r>
      <w:r w:rsidRPr="00B8721C">
        <w:rPr>
          <w:rFonts w:ascii="Cambria" w:hAnsi="Cambria"/>
          <w:sz w:val="20"/>
          <w:szCs w:val="20"/>
        </w:rPr>
        <w:t xml:space="preserve"> carried out by the Office of the Inspector General of Colombia</w:t>
      </w:r>
      <w:r w:rsidR="00796235">
        <w:rPr>
          <w:rFonts w:ascii="Cambria" w:hAnsi="Cambria"/>
          <w:sz w:val="20"/>
          <w:szCs w:val="20"/>
        </w:rPr>
        <w:t xml:space="preserve"> into what happened</w:t>
      </w:r>
      <w:r w:rsidRPr="00B8721C">
        <w:rPr>
          <w:rFonts w:ascii="Cambria" w:hAnsi="Cambria"/>
          <w:sz w:val="20"/>
          <w:szCs w:val="20"/>
        </w:rPr>
        <w:t>.</w:t>
      </w:r>
      <w:r w:rsidR="009C3974" w:rsidRPr="00B8721C">
        <w:rPr>
          <w:rFonts w:ascii="Cambria" w:hAnsi="Cambria"/>
          <w:sz w:val="20"/>
          <w:szCs w:val="20"/>
        </w:rPr>
        <w:t xml:space="preserve"> </w:t>
      </w:r>
      <w:r w:rsidRPr="00B8721C">
        <w:rPr>
          <w:rFonts w:ascii="Cambria" w:hAnsi="Cambria"/>
          <w:sz w:val="20"/>
          <w:szCs w:val="20"/>
        </w:rPr>
        <w:t>On November 22</w:t>
      </w:r>
      <w:r w:rsidR="00A955A9" w:rsidRPr="00B8721C">
        <w:rPr>
          <w:rStyle w:val="FootnoteReference"/>
          <w:rFonts w:ascii="Cambria" w:hAnsi="Cambria"/>
          <w:sz w:val="20"/>
          <w:szCs w:val="20"/>
        </w:rPr>
        <w:footnoteReference w:id="48"/>
      </w:r>
      <w:r w:rsidR="00A955A9" w:rsidRPr="00B8721C">
        <w:rPr>
          <w:rFonts w:ascii="Cambria" w:hAnsi="Cambria"/>
          <w:sz w:val="20"/>
          <w:szCs w:val="20"/>
        </w:rPr>
        <w:t xml:space="preserve"> </w:t>
      </w:r>
      <w:r w:rsidRPr="00B8721C">
        <w:rPr>
          <w:rFonts w:ascii="Cambria" w:hAnsi="Cambria"/>
          <w:sz w:val="20"/>
          <w:szCs w:val="20"/>
        </w:rPr>
        <w:t xml:space="preserve">and December </w:t>
      </w:r>
      <w:r w:rsidR="00A955A9" w:rsidRPr="00B8721C">
        <w:rPr>
          <w:rFonts w:ascii="Cambria" w:hAnsi="Cambria"/>
          <w:sz w:val="20"/>
          <w:szCs w:val="20"/>
        </w:rPr>
        <w:t>13</w:t>
      </w:r>
      <w:r w:rsidR="004B2EEE" w:rsidRPr="00B8721C">
        <w:rPr>
          <w:rStyle w:val="FootnoteReference"/>
          <w:rFonts w:ascii="Cambria" w:hAnsi="Cambria"/>
          <w:sz w:val="20"/>
          <w:szCs w:val="20"/>
        </w:rPr>
        <w:footnoteReference w:id="49"/>
      </w:r>
      <w:r w:rsidRPr="00B8721C">
        <w:rPr>
          <w:rFonts w:ascii="Cambria" w:hAnsi="Cambria"/>
          <w:sz w:val="20"/>
          <w:szCs w:val="20"/>
        </w:rPr>
        <w:t xml:space="preserve"> and</w:t>
      </w:r>
      <w:r w:rsidR="00A955A9" w:rsidRPr="00B8721C">
        <w:rPr>
          <w:rFonts w:ascii="Cambria" w:hAnsi="Cambria"/>
          <w:sz w:val="20"/>
          <w:szCs w:val="20"/>
        </w:rPr>
        <w:t xml:space="preserve"> 20</w:t>
      </w:r>
      <w:r w:rsidRPr="00B8721C">
        <w:rPr>
          <w:rFonts w:ascii="Cambria" w:hAnsi="Cambria"/>
          <w:sz w:val="20"/>
          <w:szCs w:val="20"/>
        </w:rPr>
        <w:t>,</w:t>
      </w:r>
      <w:r w:rsidR="004B2EEE" w:rsidRPr="00B8721C">
        <w:rPr>
          <w:rStyle w:val="FootnoteReference"/>
          <w:rFonts w:ascii="Cambria" w:hAnsi="Cambria"/>
          <w:sz w:val="20"/>
          <w:szCs w:val="20"/>
        </w:rPr>
        <w:footnoteReference w:id="50"/>
      </w:r>
      <w:r w:rsidR="00A955A9" w:rsidRPr="00B8721C">
        <w:rPr>
          <w:rFonts w:ascii="Cambria" w:hAnsi="Cambria"/>
          <w:sz w:val="20"/>
          <w:szCs w:val="20"/>
        </w:rPr>
        <w:t xml:space="preserve"> 2000, </w:t>
      </w:r>
      <w:r w:rsidR="00F73430" w:rsidRPr="00B8721C">
        <w:rPr>
          <w:rFonts w:ascii="Cambria" w:hAnsi="Cambria"/>
          <w:sz w:val="20"/>
          <w:szCs w:val="20"/>
        </w:rPr>
        <w:t xml:space="preserve">the CTI sent reports containing information on the proceedings </w:t>
      </w:r>
      <w:r w:rsidR="0027465C">
        <w:rPr>
          <w:rFonts w:ascii="Cambria" w:hAnsi="Cambria"/>
          <w:sz w:val="20"/>
          <w:szCs w:val="20"/>
        </w:rPr>
        <w:t>conducted</w:t>
      </w:r>
      <w:r w:rsidR="00F73430" w:rsidRPr="00B8721C">
        <w:rPr>
          <w:rFonts w:ascii="Cambria" w:hAnsi="Cambria"/>
          <w:sz w:val="20"/>
          <w:szCs w:val="20"/>
        </w:rPr>
        <w:t xml:space="preserve"> at the </w:t>
      </w:r>
      <w:r w:rsidR="00E82ECB">
        <w:rPr>
          <w:rFonts w:ascii="Cambria" w:hAnsi="Cambria"/>
          <w:sz w:val="20"/>
          <w:szCs w:val="20"/>
        </w:rPr>
        <w:t>Prosecutor’s</w:t>
      </w:r>
      <w:r w:rsidR="00F73430" w:rsidRPr="00B8721C">
        <w:rPr>
          <w:rFonts w:ascii="Cambria" w:hAnsi="Cambria"/>
          <w:sz w:val="20"/>
          <w:szCs w:val="20"/>
        </w:rPr>
        <w:t xml:space="preserve"> request.  </w:t>
      </w:r>
    </w:p>
    <w:p w:rsidR="0052597F" w:rsidRPr="00B8721C" w:rsidRDefault="0052597F" w:rsidP="005A03C0">
      <w:pPr>
        <w:pStyle w:val="ListParagraph"/>
        <w:rPr>
          <w:sz w:val="20"/>
          <w:szCs w:val="20"/>
        </w:rPr>
      </w:pPr>
    </w:p>
    <w:p w:rsidR="00A246E7" w:rsidRPr="00B8721C" w:rsidRDefault="00F73430" w:rsidP="00A246E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w:t>
      </w:r>
      <w:r w:rsidR="00B8721C" w:rsidRPr="00B8721C">
        <w:rPr>
          <w:rFonts w:ascii="Cambria" w:hAnsi="Cambria"/>
          <w:sz w:val="20"/>
          <w:szCs w:val="20"/>
        </w:rPr>
        <w:t>January</w:t>
      </w:r>
      <w:r w:rsidR="007424E0" w:rsidRPr="00B8721C">
        <w:rPr>
          <w:rFonts w:ascii="Cambria" w:hAnsi="Cambria"/>
          <w:sz w:val="20"/>
          <w:szCs w:val="20"/>
        </w:rPr>
        <w:t xml:space="preserve"> 23</w:t>
      </w:r>
      <w:r w:rsidR="007424E0" w:rsidRPr="00B8721C">
        <w:rPr>
          <w:rStyle w:val="FootnoteReference"/>
          <w:rFonts w:ascii="Cambria" w:hAnsi="Cambria"/>
          <w:sz w:val="20"/>
          <w:szCs w:val="20"/>
        </w:rPr>
        <w:footnoteReference w:id="51"/>
      </w:r>
      <w:r w:rsidRPr="00B8721C">
        <w:rPr>
          <w:rFonts w:ascii="Cambria" w:hAnsi="Cambria"/>
          <w:sz w:val="20"/>
          <w:szCs w:val="20"/>
        </w:rPr>
        <w:t xml:space="preserve"> and April 18, </w:t>
      </w:r>
      <w:r w:rsidR="007424E0" w:rsidRPr="00B8721C">
        <w:rPr>
          <w:rFonts w:ascii="Cambria" w:hAnsi="Cambria"/>
          <w:sz w:val="20"/>
          <w:szCs w:val="20"/>
        </w:rPr>
        <w:t>2001</w:t>
      </w:r>
      <w:r w:rsidRPr="00B8721C">
        <w:rPr>
          <w:rFonts w:ascii="Cambria" w:hAnsi="Cambria"/>
          <w:sz w:val="20"/>
          <w:szCs w:val="20"/>
        </w:rPr>
        <w:t>,</w:t>
      </w:r>
      <w:r w:rsidR="00903CBB" w:rsidRPr="00B8721C">
        <w:rPr>
          <w:rStyle w:val="FootnoteReference"/>
          <w:rFonts w:ascii="Cambria" w:hAnsi="Cambria"/>
          <w:sz w:val="20"/>
          <w:szCs w:val="20"/>
        </w:rPr>
        <w:footnoteReference w:id="52"/>
      </w:r>
      <w:r w:rsidR="007424E0" w:rsidRPr="00B8721C">
        <w:rPr>
          <w:rFonts w:ascii="Cambria" w:hAnsi="Cambria"/>
          <w:sz w:val="20"/>
          <w:szCs w:val="20"/>
        </w:rPr>
        <w:t xml:space="preserve">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B2613C" w:rsidRPr="00B8721C">
        <w:rPr>
          <w:rFonts w:ascii="Cambria" w:hAnsi="Cambria"/>
          <w:sz w:val="20"/>
          <w:szCs w:val="20"/>
        </w:rPr>
        <w:t xml:space="preserve"> </w:t>
      </w:r>
      <w:r w:rsidR="00413752" w:rsidRPr="00B8721C">
        <w:rPr>
          <w:rFonts w:ascii="Cambria" w:hAnsi="Cambria"/>
          <w:sz w:val="20"/>
          <w:szCs w:val="20"/>
        </w:rPr>
        <w:t>once again ordered that a number of proceedings be conducted</w:t>
      </w:r>
      <w:r w:rsidR="00B2613C" w:rsidRPr="00B8721C">
        <w:rPr>
          <w:rFonts w:ascii="Cambria" w:hAnsi="Cambria"/>
          <w:sz w:val="20"/>
          <w:szCs w:val="20"/>
        </w:rPr>
        <w:t>.</w:t>
      </w:r>
      <w:r w:rsidR="004B2EEE" w:rsidRPr="00B8721C">
        <w:rPr>
          <w:rFonts w:ascii="Cambria" w:hAnsi="Cambria"/>
          <w:sz w:val="20"/>
          <w:szCs w:val="20"/>
        </w:rPr>
        <w:t xml:space="preserve"> </w:t>
      </w:r>
      <w:r w:rsidR="00413752" w:rsidRPr="00B8721C">
        <w:rPr>
          <w:rFonts w:ascii="Cambria" w:hAnsi="Cambria"/>
          <w:sz w:val="20"/>
          <w:szCs w:val="20"/>
        </w:rPr>
        <w:t>The</w:t>
      </w:r>
      <w:r w:rsidR="008257B8" w:rsidRPr="00B8721C">
        <w:rPr>
          <w:rFonts w:ascii="Cambria" w:hAnsi="Cambria"/>
          <w:sz w:val="20"/>
          <w:szCs w:val="20"/>
        </w:rPr>
        <w:t xml:space="preserve"> CTI </w:t>
      </w:r>
      <w:r w:rsidR="00413752" w:rsidRPr="00B8721C">
        <w:rPr>
          <w:rFonts w:ascii="Cambria" w:hAnsi="Cambria"/>
          <w:sz w:val="20"/>
          <w:szCs w:val="20"/>
        </w:rPr>
        <w:t>reported on the completion of those proceedings on February</w:t>
      </w:r>
      <w:r w:rsidR="008257B8" w:rsidRPr="00B8721C">
        <w:rPr>
          <w:rFonts w:ascii="Cambria" w:hAnsi="Cambria"/>
          <w:sz w:val="20"/>
          <w:szCs w:val="20"/>
        </w:rPr>
        <w:t xml:space="preserve"> 2</w:t>
      </w:r>
      <w:r w:rsidR="00413752" w:rsidRPr="00B8721C">
        <w:rPr>
          <w:rFonts w:ascii="Cambria" w:hAnsi="Cambria"/>
          <w:sz w:val="20"/>
          <w:szCs w:val="20"/>
        </w:rPr>
        <w:t>,</w:t>
      </w:r>
      <w:r w:rsidR="008257B8" w:rsidRPr="00B8721C">
        <w:rPr>
          <w:rStyle w:val="FootnoteReference"/>
          <w:rFonts w:ascii="Cambria" w:hAnsi="Cambria"/>
          <w:sz w:val="20"/>
          <w:szCs w:val="20"/>
        </w:rPr>
        <w:footnoteReference w:id="53"/>
      </w:r>
      <w:r w:rsidR="008257B8" w:rsidRPr="00B8721C">
        <w:rPr>
          <w:rFonts w:ascii="Cambria" w:hAnsi="Cambria"/>
          <w:sz w:val="20"/>
          <w:szCs w:val="20"/>
        </w:rPr>
        <w:t xml:space="preserve"> </w:t>
      </w:r>
      <w:r w:rsidR="00413752" w:rsidRPr="00B8721C">
        <w:rPr>
          <w:rFonts w:ascii="Cambria" w:hAnsi="Cambria"/>
          <w:sz w:val="20"/>
          <w:szCs w:val="20"/>
        </w:rPr>
        <w:t xml:space="preserve">April </w:t>
      </w:r>
      <w:r w:rsidR="0020149E" w:rsidRPr="00B8721C">
        <w:rPr>
          <w:rFonts w:ascii="Cambria" w:hAnsi="Cambria"/>
          <w:sz w:val="20"/>
          <w:szCs w:val="20"/>
        </w:rPr>
        <w:t>26</w:t>
      </w:r>
      <w:r w:rsidR="00413752" w:rsidRPr="00B8721C">
        <w:rPr>
          <w:rFonts w:ascii="Cambria" w:hAnsi="Cambria"/>
          <w:sz w:val="20"/>
          <w:szCs w:val="20"/>
        </w:rPr>
        <w:t>,</w:t>
      </w:r>
      <w:r w:rsidR="0020149E" w:rsidRPr="00B8721C">
        <w:rPr>
          <w:rStyle w:val="FootnoteReference"/>
          <w:rFonts w:ascii="Cambria" w:hAnsi="Cambria"/>
          <w:sz w:val="20"/>
          <w:szCs w:val="20"/>
        </w:rPr>
        <w:footnoteReference w:id="54"/>
      </w:r>
      <w:r w:rsidR="00D77C9A" w:rsidRPr="00B8721C">
        <w:rPr>
          <w:rFonts w:ascii="Cambria" w:hAnsi="Cambria"/>
          <w:sz w:val="20"/>
          <w:szCs w:val="20"/>
        </w:rPr>
        <w:t xml:space="preserve"> </w:t>
      </w:r>
      <w:r w:rsidR="00413752" w:rsidRPr="00B8721C">
        <w:rPr>
          <w:rFonts w:ascii="Cambria" w:hAnsi="Cambria"/>
          <w:sz w:val="20"/>
          <w:szCs w:val="20"/>
        </w:rPr>
        <w:t xml:space="preserve">and December 10, </w:t>
      </w:r>
      <w:r w:rsidR="00B2613C" w:rsidRPr="00B8721C">
        <w:rPr>
          <w:rFonts w:ascii="Cambria" w:hAnsi="Cambria"/>
          <w:sz w:val="20"/>
          <w:szCs w:val="20"/>
        </w:rPr>
        <w:t>2001</w:t>
      </w:r>
      <w:r w:rsidR="00413752" w:rsidRPr="00B8721C">
        <w:rPr>
          <w:rFonts w:ascii="Cambria" w:hAnsi="Cambria"/>
          <w:sz w:val="20"/>
          <w:szCs w:val="20"/>
        </w:rPr>
        <w:t>.</w:t>
      </w:r>
      <w:r w:rsidR="00D77C9A" w:rsidRPr="00B8721C">
        <w:rPr>
          <w:rStyle w:val="FootnoteReference"/>
          <w:rFonts w:ascii="Cambria" w:hAnsi="Cambria"/>
          <w:sz w:val="20"/>
          <w:szCs w:val="20"/>
        </w:rPr>
        <w:footnoteReference w:id="55"/>
      </w:r>
      <w:r w:rsidR="004B2EEE" w:rsidRPr="00B8721C">
        <w:rPr>
          <w:rFonts w:ascii="Cambria" w:hAnsi="Cambria"/>
          <w:sz w:val="20"/>
          <w:szCs w:val="20"/>
        </w:rPr>
        <w:t xml:space="preserve"> </w:t>
      </w:r>
    </w:p>
    <w:p w:rsidR="00A246E7" w:rsidRPr="00B8721C" w:rsidRDefault="00A246E7" w:rsidP="00A246E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5813E7" w:rsidRPr="00B8721C" w:rsidRDefault="00A246E7" w:rsidP="005813E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April 1, 2002, the newspaper </w:t>
      </w:r>
      <w:r w:rsidRPr="00B8721C">
        <w:rPr>
          <w:rFonts w:ascii="Cambria" w:hAnsi="Cambria"/>
          <w:i/>
          <w:sz w:val="20"/>
          <w:szCs w:val="20"/>
        </w:rPr>
        <w:t>El Espectador</w:t>
      </w:r>
      <w:r w:rsidRPr="00B8721C">
        <w:rPr>
          <w:rFonts w:ascii="Cambria" w:hAnsi="Cambria"/>
          <w:sz w:val="20"/>
          <w:szCs w:val="20"/>
        </w:rPr>
        <w:t xml:space="preserve"> was instructed via official letter to send a copy of Jineth Bedoya’s employment contract.</w:t>
      </w:r>
      <w:r w:rsidR="00D62F1B" w:rsidRPr="00B8721C">
        <w:rPr>
          <w:rStyle w:val="FootnoteReference"/>
          <w:rFonts w:ascii="Cambria" w:hAnsi="Cambria"/>
          <w:sz w:val="20"/>
          <w:szCs w:val="20"/>
        </w:rPr>
        <w:footnoteReference w:id="56"/>
      </w:r>
      <w:r w:rsidR="004B2EEE" w:rsidRPr="00B8721C">
        <w:rPr>
          <w:rFonts w:ascii="Cambria" w:hAnsi="Cambria"/>
          <w:sz w:val="20"/>
          <w:szCs w:val="20"/>
        </w:rPr>
        <w:t xml:space="preserve"> </w:t>
      </w:r>
      <w:r w:rsidR="00A01A18" w:rsidRPr="00B8721C">
        <w:rPr>
          <w:rFonts w:ascii="Cambria" w:hAnsi="Cambria"/>
          <w:sz w:val="20"/>
          <w:szCs w:val="20"/>
        </w:rPr>
        <w:t xml:space="preserve"> </w:t>
      </w:r>
      <w:r w:rsidRPr="00B8721C">
        <w:rPr>
          <w:rFonts w:ascii="Cambria" w:hAnsi="Cambria"/>
          <w:sz w:val="20"/>
          <w:szCs w:val="20"/>
        </w:rPr>
        <w:t xml:space="preserve">The newspaper replied to the request on April </w:t>
      </w:r>
      <w:r w:rsidR="00A01A18" w:rsidRPr="00B8721C">
        <w:rPr>
          <w:rFonts w:ascii="Cambria" w:hAnsi="Cambria"/>
          <w:sz w:val="20"/>
          <w:szCs w:val="20"/>
        </w:rPr>
        <w:t>12</w:t>
      </w:r>
      <w:r w:rsidRPr="00B8721C">
        <w:rPr>
          <w:rFonts w:ascii="Cambria" w:hAnsi="Cambria"/>
          <w:sz w:val="20"/>
          <w:szCs w:val="20"/>
        </w:rPr>
        <w:t>.</w:t>
      </w:r>
      <w:r w:rsidR="00A01A18" w:rsidRPr="00B8721C">
        <w:rPr>
          <w:rStyle w:val="FootnoteReference"/>
          <w:rFonts w:ascii="Cambria" w:hAnsi="Cambria"/>
          <w:sz w:val="20"/>
          <w:szCs w:val="20"/>
        </w:rPr>
        <w:footnoteReference w:id="57"/>
      </w:r>
      <w:r w:rsidR="008971AD" w:rsidRPr="00B8721C">
        <w:rPr>
          <w:rFonts w:ascii="Cambria" w:hAnsi="Cambria"/>
          <w:sz w:val="20"/>
          <w:szCs w:val="20"/>
        </w:rPr>
        <w:t xml:space="preserve"> </w:t>
      </w:r>
      <w:r w:rsidRPr="00B8721C">
        <w:rPr>
          <w:rFonts w:ascii="Cambria" w:hAnsi="Cambria"/>
          <w:sz w:val="20"/>
          <w:szCs w:val="20"/>
        </w:rPr>
        <w:t xml:space="preserve">On August 28, 2002, the </w:t>
      </w:r>
      <w:r w:rsidR="00E82ECB">
        <w:rPr>
          <w:rFonts w:ascii="Cambria" w:hAnsi="Cambria"/>
          <w:sz w:val="20"/>
          <w:szCs w:val="20"/>
        </w:rPr>
        <w:t>Prosecutor’s</w:t>
      </w:r>
      <w:r w:rsidRPr="00B8721C">
        <w:rPr>
          <w:rFonts w:ascii="Cambria" w:hAnsi="Cambria"/>
          <w:sz w:val="20"/>
          <w:szCs w:val="20"/>
        </w:rPr>
        <w:t xml:space="preserve"> Office issued an official letter stating that it had not received “any information about the investigations carried out by the CTI investigators supporting this investigation with a view to clarifying the facts” and ordered the investigators to submit a report on the work they had carried out.</w:t>
      </w:r>
      <w:r w:rsidR="00095DD1" w:rsidRPr="00B8721C">
        <w:rPr>
          <w:rStyle w:val="FootnoteReference"/>
          <w:rFonts w:ascii="Cambria" w:hAnsi="Cambria"/>
          <w:sz w:val="20"/>
          <w:szCs w:val="20"/>
        </w:rPr>
        <w:footnoteReference w:id="58"/>
      </w:r>
      <w:r w:rsidR="00B547FF" w:rsidRPr="00B8721C">
        <w:rPr>
          <w:rFonts w:ascii="Cambria" w:hAnsi="Cambria"/>
          <w:sz w:val="20"/>
          <w:szCs w:val="20"/>
        </w:rPr>
        <w:t xml:space="preserve"> </w:t>
      </w:r>
    </w:p>
    <w:p w:rsidR="005813E7" w:rsidRPr="00B8721C" w:rsidRDefault="005813E7" w:rsidP="005813E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575934" w:rsidRPr="00B8721C" w:rsidRDefault="009D2D98" w:rsidP="005759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The</w:t>
      </w:r>
      <w:r w:rsidR="00095DD1" w:rsidRPr="00B8721C">
        <w:rPr>
          <w:rFonts w:ascii="Cambria" w:hAnsi="Cambria"/>
          <w:sz w:val="20"/>
          <w:szCs w:val="20"/>
        </w:rPr>
        <w:t xml:space="preserve"> CTI </w:t>
      </w:r>
      <w:r w:rsidRPr="00B8721C">
        <w:rPr>
          <w:rFonts w:ascii="Cambria" w:hAnsi="Cambria"/>
          <w:sz w:val="20"/>
          <w:szCs w:val="20"/>
        </w:rPr>
        <w:t>submitted the requested report on April 1, 2003.</w:t>
      </w:r>
      <w:r w:rsidR="00884F73" w:rsidRPr="00B8721C">
        <w:rPr>
          <w:rStyle w:val="FootnoteReference"/>
          <w:rFonts w:ascii="Cambria" w:hAnsi="Cambria"/>
          <w:sz w:val="20"/>
          <w:szCs w:val="20"/>
        </w:rPr>
        <w:footnoteReference w:id="59"/>
      </w:r>
      <w:r w:rsidR="00317A7F" w:rsidRPr="00B8721C">
        <w:rPr>
          <w:rFonts w:ascii="Cambria" w:hAnsi="Cambria"/>
          <w:sz w:val="20"/>
          <w:szCs w:val="20"/>
        </w:rPr>
        <w:t xml:space="preserve"> </w:t>
      </w:r>
      <w:r w:rsidRPr="00B8721C">
        <w:rPr>
          <w:rFonts w:ascii="Cambria" w:hAnsi="Cambria"/>
          <w:sz w:val="20"/>
          <w:szCs w:val="20"/>
        </w:rPr>
        <w:t xml:space="preserve">That report presents data gathered from interviews with alias Popeye and journalist Jineth Bedoya, which point to the possible motives for the crimes and the alleged responsibility of members </w:t>
      </w:r>
      <w:r w:rsidR="003836D2" w:rsidRPr="00B8721C">
        <w:rPr>
          <w:rFonts w:ascii="Cambria" w:hAnsi="Cambria"/>
          <w:sz w:val="20"/>
          <w:szCs w:val="20"/>
        </w:rPr>
        <w:t xml:space="preserve">paramilitary groups and </w:t>
      </w:r>
      <w:r w:rsidRPr="00B8721C">
        <w:rPr>
          <w:rFonts w:ascii="Cambria" w:hAnsi="Cambria"/>
          <w:sz w:val="20"/>
          <w:szCs w:val="20"/>
        </w:rPr>
        <w:t>State intelligence agencies</w:t>
      </w:r>
      <w:r w:rsidR="001F12C2" w:rsidRPr="00B8721C">
        <w:rPr>
          <w:rFonts w:ascii="Cambria" w:hAnsi="Cambria"/>
          <w:sz w:val="20"/>
          <w:szCs w:val="20"/>
        </w:rPr>
        <w:t>.</w:t>
      </w:r>
      <w:r w:rsidR="00317A7F" w:rsidRPr="00B8721C">
        <w:rPr>
          <w:rFonts w:ascii="Cambria" w:hAnsi="Cambria"/>
          <w:sz w:val="20"/>
          <w:szCs w:val="20"/>
        </w:rPr>
        <w:t xml:space="preserve"> </w:t>
      </w:r>
      <w:r w:rsidR="00FF067A" w:rsidRPr="00B8721C">
        <w:rPr>
          <w:rFonts w:ascii="Cambria" w:hAnsi="Cambria"/>
          <w:sz w:val="20"/>
          <w:szCs w:val="20"/>
        </w:rPr>
        <w:t xml:space="preserve">The report notes, in particular, that according to </w:t>
      </w:r>
      <w:r w:rsidR="0055076B" w:rsidRPr="00B8721C">
        <w:rPr>
          <w:rFonts w:ascii="Cambria" w:hAnsi="Cambria"/>
          <w:sz w:val="20"/>
          <w:szCs w:val="20"/>
        </w:rPr>
        <w:t>alias Popeye</w:t>
      </w:r>
      <w:r w:rsidR="00FF067A" w:rsidRPr="00B8721C">
        <w:rPr>
          <w:rFonts w:ascii="Cambria" w:hAnsi="Cambria"/>
          <w:sz w:val="20"/>
          <w:szCs w:val="20"/>
        </w:rPr>
        <w:t>,</w:t>
      </w:r>
      <w:r w:rsidR="0055076B" w:rsidRPr="00B8721C">
        <w:rPr>
          <w:rFonts w:ascii="Cambria" w:hAnsi="Cambria"/>
          <w:sz w:val="20"/>
          <w:szCs w:val="20"/>
        </w:rPr>
        <w:t xml:space="preserve"> “</w:t>
      </w:r>
      <w:r w:rsidR="00FF067A" w:rsidRPr="00B8721C">
        <w:rPr>
          <w:rFonts w:ascii="Cambria" w:hAnsi="Cambria"/>
          <w:i/>
          <w:sz w:val="20"/>
          <w:szCs w:val="20"/>
        </w:rPr>
        <w:t xml:space="preserve">No member of the self-defense groups had any </w:t>
      </w:r>
      <w:r w:rsidR="00FF067A" w:rsidRPr="00B8721C">
        <w:rPr>
          <w:rFonts w:ascii="Cambria" w:hAnsi="Cambria"/>
          <w:i/>
          <w:sz w:val="20"/>
          <w:szCs w:val="20"/>
        </w:rPr>
        <w:lastRenderedPageBreak/>
        <w:t>responsibility for the kidnapping of the journalist; for them, those responsible for what happened were the members of the Police or Military Intelligence.</w:t>
      </w:r>
      <w:r w:rsidR="00FF067A" w:rsidRPr="00B8721C">
        <w:rPr>
          <w:rFonts w:ascii="Cambria" w:hAnsi="Cambria"/>
          <w:sz w:val="20"/>
          <w:szCs w:val="20"/>
        </w:rPr>
        <w:t>”</w:t>
      </w:r>
      <w:r w:rsidR="0055076B" w:rsidRPr="00B8721C">
        <w:rPr>
          <w:rFonts w:ascii="Cambria" w:hAnsi="Cambria"/>
          <w:sz w:val="20"/>
          <w:szCs w:val="20"/>
        </w:rPr>
        <w:t xml:space="preserve"> </w:t>
      </w:r>
      <w:r w:rsidR="003836D2" w:rsidRPr="00B8721C">
        <w:rPr>
          <w:rFonts w:ascii="Cambria" w:hAnsi="Cambria"/>
          <w:sz w:val="20"/>
          <w:szCs w:val="20"/>
        </w:rPr>
        <w:t>The report further stated that,</w:t>
      </w:r>
      <w:r w:rsidR="0055076B" w:rsidRPr="00B8721C">
        <w:rPr>
          <w:rFonts w:ascii="Cambria" w:hAnsi="Cambria"/>
          <w:sz w:val="20"/>
          <w:szCs w:val="20"/>
        </w:rPr>
        <w:t xml:space="preserve"> “</w:t>
      </w:r>
      <w:r w:rsidR="003836D2" w:rsidRPr="00B8721C">
        <w:rPr>
          <w:rFonts w:ascii="Cambria" w:hAnsi="Cambria"/>
          <w:i/>
          <w:sz w:val="20"/>
          <w:szCs w:val="20"/>
        </w:rPr>
        <w:t xml:space="preserve">A human source informs us that the people who attacked the journalists JINETH BEDOYA are members of a State Intelligence Agency [and that the attack was] a consequence of the </w:t>
      </w:r>
      <w:r w:rsidR="0082252F">
        <w:rPr>
          <w:rFonts w:ascii="Cambria" w:hAnsi="Cambria"/>
          <w:i/>
          <w:sz w:val="20"/>
          <w:szCs w:val="20"/>
        </w:rPr>
        <w:t>journalist’s</w:t>
      </w:r>
      <w:r w:rsidR="003836D2" w:rsidRPr="00B8721C">
        <w:rPr>
          <w:rFonts w:ascii="Cambria" w:hAnsi="Cambria"/>
          <w:i/>
          <w:sz w:val="20"/>
          <w:szCs w:val="20"/>
        </w:rPr>
        <w:t xml:space="preserve"> publications, especially regarding events that implicate the police institution. This person is not willing to testify because he would immediately be targeted for murder</w:t>
      </w:r>
      <w:r w:rsidR="0055076B" w:rsidRPr="00B8721C">
        <w:rPr>
          <w:rFonts w:ascii="Cambria" w:hAnsi="Cambria"/>
          <w:sz w:val="20"/>
          <w:szCs w:val="20"/>
        </w:rPr>
        <w:t xml:space="preserve">.” </w:t>
      </w:r>
      <w:r w:rsidR="005813E7" w:rsidRPr="00B8721C">
        <w:rPr>
          <w:rFonts w:ascii="Cambria" w:hAnsi="Cambria"/>
          <w:sz w:val="20"/>
          <w:szCs w:val="20"/>
        </w:rPr>
        <w:t>Finally, it was established that a book titled “</w:t>
      </w:r>
      <w:r w:rsidR="005813E7" w:rsidRPr="00B8721C">
        <w:rPr>
          <w:rFonts w:ascii="Cambria" w:hAnsi="Cambria"/>
          <w:i/>
          <w:sz w:val="20"/>
          <w:szCs w:val="20"/>
        </w:rPr>
        <w:t>El General Serrucho</w:t>
      </w:r>
      <w:r w:rsidR="005813E7" w:rsidRPr="00B8721C">
        <w:rPr>
          <w:rFonts w:ascii="Cambria" w:hAnsi="Cambria"/>
          <w:sz w:val="20"/>
          <w:szCs w:val="20"/>
        </w:rPr>
        <w:t>,” authored by Manuel Vicente Peña, indicates that it was General José Leonardo Gallego who ordered Jineth Bedoya’s kidnapping in retaliation for publications of hers that implicated the DIJIN and tied the institution to the “Los Calvos” criminal gang</w:t>
      </w:r>
      <w:r w:rsidR="0055076B" w:rsidRPr="00B8721C">
        <w:rPr>
          <w:rFonts w:ascii="Cambria" w:hAnsi="Cambria"/>
          <w:sz w:val="20"/>
          <w:szCs w:val="20"/>
        </w:rPr>
        <w:t>.</w:t>
      </w:r>
    </w:p>
    <w:p w:rsidR="00575934" w:rsidRPr="00B8721C" w:rsidRDefault="00575934" w:rsidP="0057593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334E3F" w:rsidRPr="00B8721C" w:rsidRDefault="00575934" w:rsidP="00334E3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On April 25, journalist Jineth Bedoya submitted documentation obtained in the course of her journalistic activity concerning possible perpetrators, and requested that it be included in the investigation.</w:t>
      </w:r>
      <w:r w:rsidR="00726559" w:rsidRPr="00B8721C">
        <w:rPr>
          <w:rStyle w:val="FootnoteReference"/>
          <w:rFonts w:ascii="Cambria" w:hAnsi="Cambria"/>
          <w:sz w:val="20"/>
          <w:szCs w:val="20"/>
        </w:rPr>
        <w:footnoteReference w:id="60"/>
      </w:r>
      <w:r w:rsidR="006F5872" w:rsidRPr="00B8721C">
        <w:rPr>
          <w:rFonts w:ascii="Cambria" w:hAnsi="Cambria"/>
          <w:sz w:val="20"/>
          <w:szCs w:val="20"/>
        </w:rPr>
        <w:t xml:space="preserve"> </w:t>
      </w:r>
      <w:r w:rsidRPr="00B8721C">
        <w:rPr>
          <w:rFonts w:ascii="Cambria" w:hAnsi="Cambria"/>
          <w:sz w:val="20"/>
          <w:szCs w:val="20"/>
        </w:rPr>
        <w:t>On May 22, 2003, the journalist provided a statement on the information that she had submitted</w:t>
      </w:r>
      <w:r w:rsidRPr="00B8721C">
        <w:rPr>
          <w:rStyle w:val="FootnoteReference"/>
          <w:rFonts w:ascii="Cambria" w:hAnsi="Cambria"/>
          <w:sz w:val="20"/>
          <w:szCs w:val="20"/>
          <w:vertAlign w:val="baseline"/>
        </w:rPr>
        <w:t>,</w:t>
      </w:r>
      <w:r w:rsidR="005C4D1B" w:rsidRPr="00B8721C">
        <w:rPr>
          <w:rStyle w:val="FootnoteReference"/>
          <w:rFonts w:ascii="Cambria" w:hAnsi="Cambria"/>
          <w:sz w:val="20"/>
          <w:szCs w:val="20"/>
        </w:rPr>
        <w:footnoteReference w:id="61"/>
      </w:r>
      <w:r w:rsidR="005C4D1B" w:rsidRPr="00B8721C">
        <w:rPr>
          <w:rFonts w:ascii="Cambria" w:hAnsi="Cambria"/>
          <w:sz w:val="20"/>
          <w:szCs w:val="20"/>
        </w:rPr>
        <w:t xml:space="preserve"> </w:t>
      </w:r>
      <w:r w:rsidRPr="00B8721C">
        <w:rPr>
          <w:rFonts w:ascii="Cambria" w:hAnsi="Cambria"/>
          <w:sz w:val="20"/>
          <w:szCs w:val="20"/>
        </w:rPr>
        <w:t xml:space="preserve">and on June 19, 2003, a statement was obtained from the </w:t>
      </w:r>
      <w:r w:rsidR="0082252F">
        <w:rPr>
          <w:rFonts w:ascii="Cambria" w:hAnsi="Cambria"/>
          <w:sz w:val="20"/>
          <w:szCs w:val="20"/>
        </w:rPr>
        <w:t>journalist’s</w:t>
      </w:r>
      <w:r w:rsidRPr="00B8721C">
        <w:rPr>
          <w:rFonts w:ascii="Cambria" w:hAnsi="Cambria"/>
          <w:sz w:val="20"/>
          <w:szCs w:val="20"/>
        </w:rPr>
        <w:t xml:space="preserve"> source.</w:t>
      </w:r>
      <w:r w:rsidR="005C4D1B" w:rsidRPr="00B8721C">
        <w:rPr>
          <w:rStyle w:val="FootnoteReference"/>
          <w:rFonts w:ascii="Cambria" w:hAnsi="Cambria"/>
          <w:sz w:val="20"/>
          <w:szCs w:val="20"/>
        </w:rPr>
        <w:footnoteReference w:id="62"/>
      </w:r>
      <w:r w:rsidR="00557C48" w:rsidRPr="00B8721C">
        <w:rPr>
          <w:rFonts w:ascii="Cambria" w:hAnsi="Cambria"/>
          <w:sz w:val="20"/>
          <w:szCs w:val="20"/>
        </w:rPr>
        <w:t xml:space="preserve"> </w:t>
      </w:r>
      <w:r w:rsidRPr="00B8721C">
        <w:rPr>
          <w:rFonts w:ascii="Cambria" w:hAnsi="Cambria"/>
          <w:sz w:val="20"/>
          <w:szCs w:val="20"/>
        </w:rPr>
        <w:t xml:space="preserve">On August </w:t>
      </w:r>
      <w:r w:rsidR="00557C48" w:rsidRPr="00B8721C">
        <w:rPr>
          <w:rFonts w:ascii="Cambria" w:hAnsi="Cambria"/>
          <w:sz w:val="20"/>
          <w:szCs w:val="20"/>
        </w:rPr>
        <w:t>26</w:t>
      </w:r>
      <w:r w:rsidRPr="00B8721C">
        <w:rPr>
          <w:rFonts w:ascii="Cambria" w:hAnsi="Cambria"/>
          <w:sz w:val="20"/>
          <w:szCs w:val="20"/>
        </w:rPr>
        <w:t>,</w:t>
      </w:r>
      <w:r w:rsidR="00557C48" w:rsidRPr="00B8721C">
        <w:rPr>
          <w:rStyle w:val="FootnoteReference"/>
          <w:rFonts w:ascii="Cambria" w:hAnsi="Cambria"/>
          <w:sz w:val="20"/>
          <w:szCs w:val="20"/>
        </w:rPr>
        <w:footnoteReference w:id="63"/>
      </w:r>
      <w:r w:rsidR="00557C48" w:rsidRPr="00B8721C">
        <w:rPr>
          <w:rFonts w:ascii="Cambria" w:hAnsi="Cambria"/>
          <w:sz w:val="20"/>
          <w:szCs w:val="20"/>
        </w:rPr>
        <w:t xml:space="preserve"> </w:t>
      </w:r>
      <w:r w:rsidRPr="00B8721C">
        <w:rPr>
          <w:rFonts w:ascii="Cambria" w:hAnsi="Cambria"/>
          <w:sz w:val="20"/>
          <w:szCs w:val="20"/>
        </w:rPr>
        <w:t xml:space="preserve">and September </w:t>
      </w:r>
      <w:r w:rsidR="00B2613C" w:rsidRPr="00B8721C">
        <w:rPr>
          <w:rFonts w:ascii="Cambria" w:hAnsi="Cambria"/>
          <w:sz w:val="20"/>
          <w:szCs w:val="20"/>
        </w:rPr>
        <w:t>26</w:t>
      </w:r>
      <w:r w:rsidRPr="00B8721C">
        <w:rPr>
          <w:rFonts w:ascii="Cambria" w:hAnsi="Cambria"/>
          <w:sz w:val="20"/>
          <w:szCs w:val="20"/>
        </w:rPr>
        <w:t>,</w:t>
      </w:r>
      <w:r w:rsidR="00B2613C" w:rsidRPr="00B8721C">
        <w:rPr>
          <w:rFonts w:ascii="Cambria" w:hAnsi="Cambria"/>
          <w:sz w:val="20"/>
          <w:szCs w:val="20"/>
        </w:rPr>
        <w:t xml:space="preserve"> 2003</w:t>
      </w:r>
      <w:r w:rsidRPr="00B8721C">
        <w:rPr>
          <w:rFonts w:ascii="Cambria" w:hAnsi="Cambria"/>
          <w:sz w:val="20"/>
          <w:szCs w:val="20"/>
        </w:rPr>
        <w:t>,</w:t>
      </w:r>
      <w:r w:rsidR="00562304" w:rsidRPr="00B8721C">
        <w:rPr>
          <w:rStyle w:val="FootnoteReference"/>
          <w:rFonts w:ascii="Cambria" w:hAnsi="Cambria"/>
          <w:sz w:val="20"/>
          <w:szCs w:val="20"/>
        </w:rPr>
        <w:footnoteReference w:id="64"/>
      </w:r>
      <w:r w:rsidR="00B2613C" w:rsidRPr="00B8721C">
        <w:rPr>
          <w:rFonts w:ascii="Cambria" w:hAnsi="Cambria"/>
          <w:sz w:val="20"/>
          <w:szCs w:val="20"/>
        </w:rPr>
        <w:t xml:space="preserve">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B2613C" w:rsidRPr="00B8721C">
        <w:rPr>
          <w:rFonts w:ascii="Cambria" w:hAnsi="Cambria"/>
          <w:sz w:val="20"/>
          <w:szCs w:val="20"/>
        </w:rPr>
        <w:t xml:space="preserve"> </w:t>
      </w:r>
      <w:r w:rsidRPr="00B8721C">
        <w:rPr>
          <w:rFonts w:ascii="Cambria" w:hAnsi="Cambria"/>
          <w:sz w:val="20"/>
          <w:szCs w:val="20"/>
        </w:rPr>
        <w:t>ordered new proceedings based on the information gathered.</w:t>
      </w:r>
    </w:p>
    <w:p w:rsidR="00334E3F" w:rsidRPr="00B8721C" w:rsidRDefault="00334E3F" w:rsidP="00334E3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9325E5" w:rsidRPr="00B8721C" w:rsidRDefault="005F61DF" w:rsidP="009325E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February 20, 2004, the </w:t>
      </w:r>
      <w:r w:rsidR="00E82ECB">
        <w:rPr>
          <w:rFonts w:ascii="Cambria" w:hAnsi="Cambria"/>
          <w:sz w:val="20"/>
          <w:szCs w:val="20"/>
        </w:rPr>
        <w:t>Prosecutor’s</w:t>
      </w:r>
      <w:r w:rsidRPr="00B8721C">
        <w:rPr>
          <w:rFonts w:ascii="Cambria" w:hAnsi="Cambria"/>
          <w:sz w:val="20"/>
          <w:szCs w:val="20"/>
        </w:rPr>
        <w:t xml:space="preserve"> Office reiterated the orders issued in August and September 2003, since “for reasons of availability the investigators have not fully completed the assigned proceedings.” On February 27, 2004, the CTI investigators presented a report on their investigative work.</w:t>
      </w:r>
      <w:r w:rsidR="00532755" w:rsidRPr="00B8721C">
        <w:rPr>
          <w:rStyle w:val="FootnoteReference"/>
          <w:rFonts w:ascii="Cambria" w:hAnsi="Cambria"/>
          <w:sz w:val="20"/>
          <w:szCs w:val="20"/>
        </w:rPr>
        <w:footnoteReference w:id="65"/>
      </w:r>
      <w:r w:rsidR="00532755" w:rsidRPr="00B8721C">
        <w:rPr>
          <w:rFonts w:ascii="Cambria" w:hAnsi="Cambria"/>
          <w:sz w:val="20"/>
          <w:szCs w:val="20"/>
        </w:rPr>
        <w:t xml:space="preserve"> </w:t>
      </w:r>
      <w:r w:rsidR="00AF5EE5" w:rsidRPr="00B8721C">
        <w:rPr>
          <w:rFonts w:ascii="Cambria" w:hAnsi="Cambria"/>
          <w:sz w:val="20"/>
          <w:szCs w:val="20"/>
        </w:rPr>
        <w:t>On May 11, 2004, a voluntary statement was provided by a person detained in La Picota prison</w:t>
      </w:r>
      <w:r w:rsidR="00AF5EE5" w:rsidRPr="00B8721C">
        <w:rPr>
          <w:rStyle w:val="FootnoteReference"/>
          <w:rFonts w:ascii="Cambria" w:hAnsi="Cambria"/>
          <w:sz w:val="20"/>
          <w:szCs w:val="20"/>
          <w:vertAlign w:val="baseline"/>
        </w:rPr>
        <w:t>,</w:t>
      </w:r>
      <w:r w:rsidR="00400D28" w:rsidRPr="00B8721C">
        <w:rPr>
          <w:rStyle w:val="FootnoteReference"/>
          <w:rFonts w:ascii="Cambria" w:hAnsi="Cambria"/>
          <w:sz w:val="20"/>
          <w:szCs w:val="20"/>
        </w:rPr>
        <w:footnoteReference w:id="66"/>
      </w:r>
      <w:r w:rsidR="00400D28" w:rsidRPr="00B8721C">
        <w:rPr>
          <w:rFonts w:ascii="Cambria" w:hAnsi="Cambria"/>
          <w:sz w:val="20"/>
          <w:szCs w:val="20"/>
        </w:rPr>
        <w:t xml:space="preserve"> </w:t>
      </w:r>
      <w:r w:rsidR="00AF5EE5" w:rsidRPr="00B8721C">
        <w:rPr>
          <w:rFonts w:ascii="Cambria" w:hAnsi="Cambria"/>
          <w:sz w:val="20"/>
          <w:szCs w:val="20"/>
        </w:rPr>
        <w:t xml:space="preserve">and on June 29, the </w:t>
      </w:r>
      <w:r w:rsidR="00AF5EE5" w:rsidRPr="00796235">
        <w:rPr>
          <w:rFonts w:ascii="Cambria" w:hAnsi="Cambria"/>
          <w:sz w:val="20"/>
          <w:szCs w:val="20"/>
        </w:rPr>
        <w:t>production of evidence</w:t>
      </w:r>
      <w:r w:rsidR="00AF5EE5" w:rsidRPr="00B8721C">
        <w:rPr>
          <w:rFonts w:ascii="Cambria" w:hAnsi="Cambria"/>
          <w:sz w:val="20"/>
          <w:szCs w:val="20"/>
        </w:rPr>
        <w:t xml:space="preserve"> requested by the Office of the Inspector General of Colombia was ordered</w:t>
      </w:r>
      <w:r w:rsidR="00AF5EE5" w:rsidRPr="00B8721C">
        <w:rPr>
          <w:rStyle w:val="FootnoteReference"/>
          <w:rFonts w:ascii="Cambria" w:hAnsi="Cambria"/>
          <w:sz w:val="20"/>
          <w:szCs w:val="20"/>
          <w:vertAlign w:val="baseline"/>
        </w:rPr>
        <w:t>.</w:t>
      </w:r>
      <w:r w:rsidR="003E758F" w:rsidRPr="00B8721C">
        <w:rPr>
          <w:rStyle w:val="FootnoteReference"/>
          <w:rFonts w:ascii="Cambria" w:hAnsi="Cambria"/>
          <w:sz w:val="20"/>
          <w:szCs w:val="20"/>
        </w:rPr>
        <w:footnoteReference w:id="67"/>
      </w:r>
      <w:r w:rsidR="00B2613C" w:rsidRPr="00B8721C">
        <w:rPr>
          <w:rFonts w:ascii="Cambria" w:hAnsi="Cambria"/>
          <w:sz w:val="20"/>
          <w:szCs w:val="20"/>
        </w:rPr>
        <w:t xml:space="preserve"> </w:t>
      </w:r>
      <w:r w:rsidR="00AF5EE5" w:rsidRPr="00B8721C">
        <w:rPr>
          <w:rFonts w:ascii="Cambria" w:hAnsi="Cambria"/>
          <w:sz w:val="20"/>
          <w:szCs w:val="20"/>
        </w:rPr>
        <w:t>On July 24, 2004, a report was received that had been requested from the DAS, and on October 1, 2004, a new report was received from the CTI on new investigative proceedings conducted.</w:t>
      </w:r>
      <w:r w:rsidR="00BB052B" w:rsidRPr="00B8721C">
        <w:rPr>
          <w:rStyle w:val="FootnoteReference"/>
          <w:rFonts w:ascii="Cambria" w:hAnsi="Cambria"/>
          <w:sz w:val="20"/>
          <w:szCs w:val="20"/>
        </w:rPr>
        <w:footnoteReference w:id="68"/>
      </w:r>
    </w:p>
    <w:p w:rsidR="009325E5" w:rsidRPr="00B8721C" w:rsidRDefault="009325E5" w:rsidP="009325E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034883" w:rsidRPr="00B8721C" w:rsidRDefault="009325E5" w:rsidP="000348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January 31, 2005, the </w:t>
      </w:r>
      <w:r w:rsidR="00E82ECB">
        <w:rPr>
          <w:rFonts w:ascii="Cambria" w:hAnsi="Cambria"/>
          <w:sz w:val="20"/>
          <w:szCs w:val="20"/>
        </w:rPr>
        <w:t>Prosecutor’s</w:t>
      </w:r>
      <w:r w:rsidRPr="00B8721C">
        <w:rPr>
          <w:rFonts w:ascii="Cambria" w:hAnsi="Cambria"/>
          <w:sz w:val="20"/>
          <w:szCs w:val="20"/>
        </w:rPr>
        <w:t xml:space="preserve"> Office ordered new investigative proceedings to be carried out,</w:t>
      </w:r>
      <w:r w:rsidR="00432FE4" w:rsidRPr="00B8721C">
        <w:rPr>
          <w:rStyle w:val="FootnoteReference"/>
          <w:rFonts w:ascii="Cambria" w:hAnsi="Cambria"/>
          <w:sz w:val="20"/>
          <w:szCs w:val="20"/>
        </w:rPr>
        <w:footnoteReference w:id="69"/>
      </w:r>
      <w:r w:rsidR="00792ABE" w:rsidRPr="00B8721C">
        <w:rPr>
          <w:rFonts w:ascii="Cambria" w:hAnsi="Cambria"/>
          <w:sz w:val="20"/>
          <w:szCs w:val="20"/>
        </w:rPr>
        <w:t xml:space="preserve"> </w:t>
      </w:r>
      <w:r w:rsidRPr="00B8721C">
        <w:rPr>
          <w:rFonts w:ascii="Cambria" w:hAnsi="Cambria"/>
          <w:sz w:val="20"/>
          <w:szCs w:val="20"/>
        </w:rPr>
        <w:t>and on April</w:t>
      </w:r>
      <w:r w:rsidR="00792ABE" w:rsidRPr="00B8721C">
        <w:rPr>
          <w:rFonts w:ascii="Cambria" w:hAnsi="Cambria"/>
          <w:sz w:val="20"/>
          <w:szCs w:val="20"/>
        </w:rPr>
        <w:t xml:space="preserve"> </w:t>
      </w:r>
      <w:r w:rsidR="00B2613C" w:rsidRPr="00B8721C">
        <w:rPr>
          <w:rFonts w:ascii="Cambria" w:hAnsi="Cambria"/>
          <w:sz w:val="20"/>
          <w:szCs w:val="20"/>
        </w:rPr>
        <w:t>13</w:t>
      </w:r>
      <w:r w:rsidRPr="00B8721C">
        <w:rPr>
          <w:rFonts w:ascii="Cambria" w:hAnsi="Cambria"/>
          <w:sz w:val="20"/>
          <w:szCs w:val="20"/>
        </w:rPr>
        <w:t>,</w:t>
      </w:r>
      <w:r w:rsidR="00B2613C" w:rsidRPr="00B8721C">
        <w:rPr>
          <w:rFonts w:ascii="Cambria" w:hAnsi="Cambria"/>
          <w:sz w:val="20"/>
          <w:szCs w:val="20"/>
        </w:rPr>
        <w:t xml:space="preserve"> 2005, </w:t>
      </w:r>
      <w:r w:rsidRPr="00B8721C">
        <w:rPr>
          <w:rFonts w:ascii="Cambria" w:hAnsi="Cambria"/>
          <w:sz w:val="20"/>
          <w:szCs w:val="20"/>
        </w:rPr>
        <w:t>the</w:t>
      </w:r>
      <w:r w:rsidR="00792ABE" w:rsidRPr="00B8721C">
        <w:rPr>
          <w:rFonts w:ascii="Cambria" w:hAnsi="Cambria"/>
          <w:sz w:val="20"/>
          <w:szCs w:val="20"/>
        </w:rPr>
        <w:t xml:space="preserve"> CTI</w:t>
      </w:r>
      <w:r w:rsidRPr="00B8721C">
        <w:rPr>
          <w:rFonts w:ascii="Cambria" w:hAnsi="Cambria"/>
          <w:sz w:val="20"/>
          <w:szCs w:val="20"/>
        </w:rPr>
        <w:t>’s report was received.</w:t>
      </w:r>
      <w:r w:rsidR="00432FE4" w:rsidRPr="00B8721C">
        <w:rPr>
          <w:rStyle w:val="FootnoteReference"/>
          <w:rFonts w:ascii="Cambria" w:hAnsi="Cambria"/>
          <w:sz w:val="20"/>
          <w:szCs w:val="20"/>
        </w:rPr>
        <w:footnoteReference w:id="70"/>
      </w:r>
      <w:r w:rsidR="00792ABE" w:rsidRPr="00B8721C">
        <w:rPr>
          <w:rFonts w:ascii="Cambria" w:hAnsi="Cambria"/>
          <w:sz w:val="20"/>
          <w:szCs w:val="20"/>
        </w:rPr>
        <w:t xml:space="preserve"> </w:t>
      </w:r>
      <w:r w:rsidRPr="00B8721C">
        <w:rPr>
          <w:rFonts w:ascii="Cambria" w:hAnsi="Cambria"/>
          <w:sz w:val="20"/>
          <w:szCs w:val="20"/>
        </w:rPr>
        <w:t xml:space="preserve">On the basis of that report, on April 27, 2005, the </w:t>
      </w:r>
      <w:r w:rsidR="00E82ECB">
        <w:rPr>
          <w:rFonts w:ascii="Cambria" w:hAnsi="Cambria"/>
          <w:sz w:val="20"/>
          <w:szCs w:val="20"/>
        </w:rPr>
        <w:t>Prosecutor’s</w:t>
      </w:r>
      <w:r w:rsidRPr="00B8721C">
        <w:rPr>
          <w:rFonts w:ascii="Cambria" w:hAnsi="Cambria"/>
          <w:sz w:val="20"/>
          <w:szCs w:val="20"/>
        </w:rPr>
        <w:t xml:space="preserve"> Office ordered the taking of statements from two individuals being held in Colombian prisons.</w:t>
      </w:r>
      <w:r w:rsidR="00432FE4" w:rsidRPr="00B8721C">
        <w:rPr>
          <w:rStyle w:val="FootnoteReference"/>
          <w:rFonts w:ascii="Cambria" w:hAnsi="Cambria"/>
          <w:sz w:val="20"/>
          <w:szCs w:val="20"/>
        </w:rPr>
        <w:footnoteReference w:id="71"/>
      </w:r>
      <w:r w:rsidRPr="00B8721C">
        <w:rPr>
          <w:rFonts w:ascii="Cambria" w:hAnsi="Cambria"/>
          <w:sz w:val="20"/>
          <w:szCs w:val="20"/>
        </w:rPr>
        <w:t xml:space="preserve"> One of them gave a statement on May 26, 2005, and the other on June 12, 2006</w:t>
      </w:r>
      <w:r w:rsidR="00954C4D" w:rsidRPr="00B8721C">
        <w:rPr>
          <w:rFonts w:ascii="Cambria" w:hAnsi="Cambria"/>
          <w:sz w:val="20"/>
          <w:szCs w:val="20"/>
        </w:rPr>
        <w:t>.</w:t>
      </w:r>
    </w:p>
    <w:p w:rsidR="00034883" w:rsidRPr="00B8721C" w:rsidRDefault="00034883" w:rsidP="000348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963AF6" w:rsidRPr="00B8721C" w:rsidRDefault="002F48E0" w:rsidP="00963A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August 13, 2007, the </w:t>
      </w:r>
      <w:r w:rsidR="00E82ECB">
        <w:rPr>
          <w:rFonts w:ascii="Cambria" w:hAnsi="Cambria"/>
          <w:sz w:val="20"/>
          <w:szCs w:val="20"/>
        </w:rPr>
        <w:t>Prosecutor’s</w:t>
      </w:r>
      <w:r w:rsidRPr="00B8721C">
        <w:rPr>
          <w:rFonts w:ascii="Cambria" w:hAnsi="Cambria"/>
          <w:sz w:val="20"/>
          <w:szCs w:val="20"/>
        </w:rPr>
        <w:t xml:space="preserve"> Office ordered that a statement be taken from Jineth Bedoya, as well as a statement </w:t>
      </w:r>
      <w:r w:rsidR="00034883" w:rsidRPr="00B8721C">
        <w:rPr>
          <w:rFonts w:ascii="Cambria" w:hAnsi="Cambria"/>
          <w:sz w:val="20"/>
          <w:szCs w:val="20"/>
        </w:rPr>
        <w:t>from Mario Jaimes Mejía, alias “</w:t>
      </w:r>
      <w:r w:rsidR="0002388B" w:rsidRPr="00B8721C">
        <w:rPr>
          <w:rFonts w:ascii="Cambria" w:hAnsi="Cambria"/>
          <w:sz w:val="20"/>
          <w:szCs w:val="20"/>
        </w:rPr>
        <w:t>E</w:t>
      </w:r>
      <w:r w:rsidR="00034883" w:rsidRPr="00B8721C">
        <w:rPr>
          <w:rFonts w:ascii="Cambria" w:hAnsi="Cambria"/>
          <w:sz w:val="20"/>
          <w:szCs w:val="20"/>
        </w:rPr>
        <w:t>l Panadero,”</w:t>
      </w:r>
      <w:r w:rsidRPr="00B8721C">
        <w:rPr>
          <w:rFonts w:ascii="Cambria" w:hAnsi="Cambria"/>
          <w:sz w:val="20"/>
          <w:szCs w:val="20"/>
        </w:rPr>
        <w:t xml:space="preserve"> and instructed the CTI to continue </w:t>
      </w:r>
      <w:r w:rsidR="00034883" w:rsidRPr="00B8721C">
        <w:rPr>
          <w:rFonts w:ascii="Cambria" w:hAnsi="Cambria"/>
          <w:sz w:val="20"/>
          <w:szCs w:val="20"/>
        </w:rPr>
        <w:t>to investigate</w:t>
      </w:r>
      <w:r w:rsidRPr="00B8721C">
        <w:rPr>
          <w:rFonts w:ascii="Cambria" w:hAnsi="Cambria"/>
          <w:sz w:val="20"/>
          <w:szCs w:val="20"/>
        </w:rPr>
        <w:t xml:space="preserve"> the facts and submit the respective report.</w:t>
      </w:r>
      <w:r w:rsidR="00AD3B5F" w:rsidRPr="00B8721C">
        <w:rPr>
          <w:rStyle w:val="FootnoteReference"/>
          <w:rFonts w:ascii="Cambria" w:hAnsi="Cambria"/>
          <w:sz w:val="20"/>
          <w:szCs w:val="20"/>
        </w:rPr>
        <w:footnoteReference w:id="72"/>
      </w:r>
      <w:r w:rsidR="00034883" w:rsidRPr="00B8721C">
        <w:rPr>
          <w:rFonts w:ascii="Cambria" w:hAnsi="Cambria"/>
          <w:sz w:val="20"/>
          <w:szCs w:val="20"/>
        </w:rPr>
        <w:t xml:space="preserve"> On August </w:t>
      </w:r>
      <w:r w:rsidR="00B2613C" w:rsidRPr="00B8721C">
        <w:rPr>
          <w:rFonts w:ascii="Cambria" w:hAnsi="Cambria"/>
          <w:sz w:val="20"/>
          <w:szCs w:val="20"/>
        </w:rPr>
        <w:t>28</w:t>
      </w:r>
      <w:r w:rsidR="00034883" w:rsidRPr="00B8721C">
        <w:rPr>
          <w:rFonts w:ascii="Cambria" w:hAnsi="Cambria"/>
          <w:sz w:val="20"/>
          <w:szCs w:val="20"/>
        </w:rPr>
        <w:t>,</w:t>
      </w:r>
      <w:r w:rsidR="00B2613C" w:rsidRPr="00B8721C">
        <w:rPr>
          <w:rFonts w:ascii="Cambria" w:hAnsi="Cambria"/>
          <w:sz w:val="20"/>
          <w:szCs w:val="20"/>
        </w:rPr>
        <w:t xml:space="preserve"> 2007</w:t>
      </w:r>
      <w:r w:rsidR="00034883" w:rsidRPr="00B8721C">
        <w:rPr>
          <w:rFonts w:ascii="Cambria" w:hAnsi="Cambria"/>
          <w:sz w:val="20"/>
          <w:szCs w:val="20"/>
        </w:rPr>
        <w:t>,</w:t>
      </w:r>
      <w:r w:rsidR="00B2613C" w:rsidRPr="00B8721C">
        <w:rPr>
          <w:rFonts w:ascii="Cambria" w:hAnsi="Cambria"/>
          <w:sz w:val="20"/>
          <w:szCs w:val="20"/>
        </w:rPr>
        <w:t xml:space="preserve"> Jineth Bedoya Lima</w:t>
      </w:r>
      <w:r w:rsidR="00034883" w:rsidRPr="00B8721C">
        <w:rPr>
          <w:rFonts w:ascii="Cambria" w:hAnsi="Cambria"/>
          <w:sz w:val="20"/>
          <w:szCs w:val="20"/>
        </w:rPr>
        <w:t xml:space="preserve"> </w:t>
      </w:r>
      <w:r w:rsidR="00034883" w:rsidRPr="00B8721C">
        <w:rPr>
          <w:rFonts w:ascii="Cambria" w:hAnsi="Cambria"/>
          <w:sz w:val="20"/>
          <w:szCs w:val="20"/>
        </w:rPr>
        <w:lastRenderedPageBreak/>
        <w:t>provided a statement</w:t>
      </w:r>
      <w:r w:rsidR="00155CEC" w:rsidRPr="00B8721C">
        <w:rPr>
          <w:rStyle w:val="FootnoteReference"/>
          <w:rFonts w:ascii="Cambria" w:hAnsi="Cambria"/>
          <w:sz w:val="20"/>
          <w:szCs w:val="20"/>
        </w:rPr>
        <w:footnoteReference w:id="73"/>
      </w:r>
      <w:r w:rsidR="00B2613C" w:rsidRPr="00B8721C">
        <w:rPr>
          <w:rFonts w:ascii="Cambria" w:hAnsi="Cambria"/>
          <w:sz w:val="20"/>
          <w:szCs w:val="20"/>
        </w:rPr>
        <w:t xml:space="preserve"> </w:t>
      </w:r>
      <w:r w:rsidR="00034883" w:rsidRPr="00B8721C">
        <w:rPr>
          <w:rFonts w:ascii="Cambria" w:hAnsi="Cambria"/>
          <w:sz w:val="20"/>
          <w:szCs w:val="20"/>
        </w:rPr>
        <w:t>regarding her knowledge of new developments leading to the identification of the perpetrators of the crimes committed against her</w:t>
      </w:r>
      <w:r w:rsidR="00155CEC" w:rsidRPr="00B8721C">
        <w:rPr>
          <w:rFonts w:ascii="Cambria" w:hAnsi="Cambria"/>
          <w:sz w:val="20"/>
          <w:szCs w:val="20"/>
        </w:rPr>
        <w:t xml:space="preserve">. </w:t>
      </w:r>
      <w:r w:rsidR="00034883" w:rsidRPr="00B8721C">
        <w:rPr>
          <w:rFonts w:ascii="Cambria" w:hAnsi="Cambria"/>
          <w:sz w:val="20"/>
          <w:szCs w:val="20"/>
        </w:rPr>
        <w:t>On September 15</w:t>
      </w:r>
      <w:r w:rsidR="00B85C47" w:rsidRPr="00B8721C">
        <w:rPr>
          <w:rStyle w:val="FootnoteReference"/>
          <w:rFonts w:ascii="Cambria" w:hAnsi="Cambria"/>
          <w:sz w:val="20"/>
          <w:szCs w:val="20"/>
        </w:rPr>
        <w:footnoteReference w:id="74"/>
      </w:r>
      <w:r w:rsidR="00B2613C" w:rsidRPr="00B8721C">
        <w:rPr>
          <w:rFonts w:ascii="Cambria" w:hAnsi="Cambria"/>
          <w:sz w:val="20"/>
          <w:szCs w:val="20"/>
        </w:rPr>
        <w:t xml:space="preserve"> </w:t>
      </w:r>
      <w:r w:rsidR="00034883" w:rsidRPr="00B8721C">
        <w:rPr>
          <w:rFonts w:ascii="Cambria" w:hAnsi="Cambria"/>
          <w:sz w:val="20"/>
          <w:szCs w:val="20"/>
        </w:rPr>
        <w:t>and October</w:t>
      </w:r>
      <w:r w:rsidR="00BF5428" w:rsidRPr="00B8721C">
        <w:rPr>
          <w:rFonts w:ascii="Cambria" w:hAnsi="Cambria"/>
          <w:sz w:val="20"/>
          <w:szCs w:val="20"/>
        </w:rPr>
        <w:t xml:space="preserve"> </w:t>
      </w:r>
      <w:r w:rsidR="00034883" w:rsidRPr="00B8721C">
        <w:rPr>
          <w:rFonts w:ascii="Cambria" w:hAnsi="Cambria"/>
          <w:sz w:val="20"/>
          <w:szCs w:val="20"/>
        </w:rPr>
        <w:t xml:space="preserve">31, </w:t>
      </w:r>
      <w:r w:rsidR="00B2613C" w:rsidRPr="00B8721C">
        <w:rPr>
          <w:rFonts w:ascii="Cambria" w:hAnsi="Cambria"/>
          <w:sz w:val="20"/>
          <w:szCs w:val="20"/>
        </w:rPr>
        <w:t>2007</w:t>
      </w:r>
      <w:r w:rsidR="00034883" w:rsidRPr="00B8721C">
        <w:rPr>
          <w:rFonts w:ascii="Cambria" w:hAnsi="Cambria"/>
          <w:sz w:val="20"/>
          <w:szCs w:val="20"/>
        </w:rPr>
        <w:t>,</w:t>
      </w:r>
      <w:r w:rsidR="00B85C47" w:rsidRPr="00B8721C">
        <w:rPr>
          <w:rStyle w:val="FootnoteReference"/>
          <w:rFonts w:ascii="Cambria" w:hAnsi="Cambria"/>
          <w:sz w:val="20"/>
          <w:szCs w:val="20"/>
        </w:rPr>
        <w:footnoteReference w:id="75"/>
      </w:r>
      <w:r w:rsidR="00034883" w:rsidRPr="00B8721C">
        <w:rPr>
          <w:rFonts w:ascii="Cambria" w:hAnsi="Cambria"/>
          <w:sz w:val="20"/>
          <w:szCs w:val="20"/>
        </w:rPr>
        <w:t xml:space="preserve"> the</w:t>
      </w:r>
      <w:r w:rsidR="00B2613C" w:rsidRPr="00B8721C">
        <w:rPr>
          <w:rFonts w:ascii="Cambria" w:hAnsi="Cambria"/>
          <w:sz w:val="20"/>
          <w:szCs w:val="20"/>
        </w:rPr>
        <w:t xml:space="preserve"> CTI </w:t>
      </w:r>
      <w:r w:rsidR="00034883" w:rsidRPr="00B8721C">
        <w:rPr>
          <w:rFonts w:ascii="Cambria" w:hAnsi="Cambria"/>
          <w:sz w:val="20"/>
          <w:szCs w:val="20"/>
        </w:rPr>
        <w:t>presented reports on the proceedings conducted</w:t>
      </w:r>
      <w:r w:rsidR="00B2613C" w:rsidRPr="00B8721C">
        <w:rPr>
          <w:rFonts w:ascii="Cambria" w:hAnsi="Cambria"/>
          <w:sz w:val="20"/>
          <w:szCs w:val="20"/>
        </w:rPr>
        <w:t>.</w:t>
      </w:r>
      <w:r w:rsidR="00EA4822" w:rsidRPr="00B8721C">
        <w:rPr>
          <w:rFonts w:ascii="Cambria" w:hAnsi="Cambria"/>
          <w:sz w:val="20"/>
          <w:szCs w:val="20"/>
        </w:rPr>
        <w:t xml:space="preserve"> </w:t>
      </w:r>
    </w:p>
    <w:p w:rsidR="00963AF6" w:rsidRPr="00B8721C" w:rsidRDefault="00963AF6" w:rsidP="00963AF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769B4" w:rsidRPr="00B8721C" w:rsidRDefault="00963AF6" w:rsidP="00D769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August 21, 2008, the </w:t>
      </w:r>
      <w:r w:rsidR="00E82ECB">
        <w:rPr>
          <w:rFonts w:ascii="Cambria" w:hAnsi="Cambria"/>
          <w:sz w:val="20"/>
          <w:szCs w:val="20"/>
        </w:rPr>
        <w:t>Prosecutor’s</w:t>
      </w:r>
      <w:r w:rsidRPr="00B8721C">
        <w:rPr>
          <w:rFonts w:ascii="Cambria" w:hAnsi="Cambria"/>
          <w:sz w:val="20"/>
          <w:szCs w:val="20"/>
        </w:rPr>
        <w:t xml:space="preserve"> Office requested information on security cameras at the National Model Prison and reiterated the order to take a statement from Mario Jaimes Mejia, alias “</w:t>
      </w:r>
      <w:r w:rsidR="0002388B" w:rsidRPr="00B8721C">
        <w:rPr>
          <w:rFonts w:ascii="Cambria" w:hAnsi="Cambria"/>
          <w:sz w:val="20"/>
          <w:szCs w:val="20"/>
        </w:rPr>
        <w:t>E</w:t>
      </w:r>
      <w:r w:rsidRPr="00B8721C">
        <w:rPr>
          <w:rFonts w:ascii="Cambria" w:hAnsi="Cambria"/>
          <w:sz w:val="20"/>
          <w:szCs w:val="20"/>
        </w:rPr>
        <w:t>l Panadero.”</w:t>
      </w:r>
      <w:r w:rsidR="00EA4822" w:rsidRPr="00B8721C">
        <w:rPr>
          <w:rStyle w:val="FootnoteReference"/>
          <w:rFonts w:ascii="Cambria" w:hAnsi="Cambria"/>
          <w:sz w:val="20"/>
          <w:szCs w:val="20"/>
        </w:rPr>
        <w:footnoteReference w:id="76"/>
      </w:r>
    </w:p>
    <w:p w:rsidR="00D769B4" w:rsidRPr="00B8721C" w:rsidRDefault="00D769B4" w:rsidP="00D769B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E86F84" w:rsidRPr="00B8721C" w:rsidRDefault="00963AF6" w:rsidP="00E86F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In 2008, the Constitutional Court of Colombia issued Order 092, acknowledging the particular impact of the armed conflict on women</w:t>
      </w:r>
      <w:r w:rsidR="00896BF4" w:rsidRPr="00B8721C">
        <w:rPr>
          <w:rFonts w:ascii="Cambria" w:hAnsi="Cambria"/>
          <w:sz w:val="20"/>
          <w:szCs w:val="20"/>
        </w:rPr>
        <w:t>.</w:t>
      </w:r>
      <w:r w:rsidR="00896BF4" w:rsidRPr="00B8721C">
        <w:rPr>
          <w:rStyle w:val="FootnoteReference"/>
          <w:rFonts w:ascii="Cambria" w:hAnsi="Cambria"/>
          <w:sz w:val="20"/>
          <w:szCs w:val="20"/>
        </w:rPr>
        <w:footnoteReference w:id="77"/>
      </w:r>
      <w:r w:rsidR="00896BF4" w:rsidRPr="00B8721C">
        <w:rPr>
          <w:rFonts w:ascii="Cambria" w:hAnsi="Cambria"/>
          <w:sz w:val="20"/>
          <w:szCs w:val="20"/>
        </w:rPr>
        <w:t xml:space="preserve"> </w:t>
      </w:r>
      <w:r w:rsidRPr="00B8721C">
        <w:rPr>
          <w:rFonts w:ascii="Cambria" w:hAnsi="Cambria"/>
          <w:sz w:val="20"/>
          <w:szCs w:val="20"/>
        </w:rPr>
        <w:t>This decision was accompanied by a Confidential Exhibit listing 183 cases in which “the situation of impunity remains nearly absolute.” The Court called upon the competent authorities to take the necessary steps to ensure that ongoing investigations move forward expeditiously. The case of Jineth Bedoya is one of the 183 cases identified by the high court.</w:t>
      </w:r>
      <w:r w:rsidR="00896BF4" w:rsidRPr="00B8721C">
        <w:rPr>
          <w:rStyle w:val="FootnoteReference"/>
          <w:rFonts w:ascii="Cambria" w:hAnsi="Cambria"/>
          <w:sz w:val="20"/>
          <w:szCs w:val="20"/>
        </w:rPr>
        <w:footnoteReference w:id="78"/>
      </w:r>
      <w:r w:rsidR="009A5091" w:rsidRPr="00B8721C">
        <w:rPr>
          <w:rFonts w:ascii="Cambria" w:hAnsi="Cambria"/>
          <w:sz w:val="20"/>
          <w:szCs w:val="20"/>
        </w:rPr>
        <w:t xml:space="preserve"> </w:t>
      </w:r>
      <w:r w:rsidR="00D769B4" w:rsidRPr="00B8721C">
        <w:rPr>
          <w:rFonts w:ascii="Cambria" w:hAnsi="Cambria"/>
          <w:sz w:val="20"/>
          <w:szCs w:val="20"/>
        </w:rPr>
        <w:t xml:space="preserve">As a result of this decision, </w:t>
      </w:r>
      <w:r w:rsidR="0054592E">
        <w:rPr>
          <w:rFonts w:ascii="Cambria" w:hAnsi="Cambria"/>
          <w:sz w:val="20"/>
          <w:szCs w:val="20"/>
        </w:rPr>
        <w:t xml:space="preserve">the </w:t>
      </w:r>
      <w:r w:rsidR="0054592E" w:rsidRPr="0054592E">
        <w:rPr>
          <w:rFonts w:ascii="Cambria" w:hAnsi="Cambria"/>
          <w:sz w:val="20"/>
          <w:szCs w:val="20"/>
        </w:rPr>
        <w:t>226</w:t>
      </w:r>
      <w:r w:rsidR="0054592E" w:rsidRPr="0054592E">
        <w:rPr>
          <w:rFonts w:ascii="Cambria" w:hAnsi="Cambria"/>
          <w:sz w:val="20"/>
          <w:szCs w:val="20"/>
          <w:vertAlign w:val="superscript"/>
        </w:rPr>
        <w:t>th</w:t>
      </w:r>
      <w:r w:rsidR="0054592E" w:rsidRPr="0054592E">
        <w:rPr>
          <w:rFonts w:ascii="Cambria" w:hAnsi="Cambria"/>
          <w:sz w:val="20"/>
          <w:szCs w:val="20"/>
        </w:rPr>
        <w:t xml:space="preserve"> Prosecutor’s Office </w:t>
      </w:r>
      <w:r w:rsidR="0054592E">
        <w:rPr>
          <w:rFonts w:ascii="Cambria" w:hAnsi="Cambria"/>
          <w:sz w:val="20"/>
          <w:szCs w:val="20"/>
        </w:rPr>
        <w:t xml:space="preserve">of the Unit </w:t>
      </w:r>
      <w:r w:rsidR="0054592E" w:rsidRPr="0054592E">
        <w:rPr>
          <w:rFonts w:ascii="Cambria" w:hAnsi="Cambria"/>
          <w:sz w:val="20"/>
          <w:szCs w:val="20"/>
        </w:rPr>
        <w:t>for Crimes against Sexual Freedom, Integrity and Self-Determination</w:t>
      </w:r>
      <w:r w:rsidR="00D769B4" w:rsidRPr="00B8721C">
        <w:rPr>
          <w:rFonts w:ascii="Cambria" w:hAnsi="Cambria"/>
          <w:sz w:val="20"/>
          <w:szCs w:val="20"/>
        </w:rPr>
        <w:t xml:space="preserve"> launched a new investigation, despite the existence of the ongoing investigation under file 807 of the Human Rights Unit. </w:t>
      </w:r>
      <w:r w:rsidR="0054592E">
        <w:rPr>
          <w:rFonts w:ascii="Cambria" w:hAnsi="Cambria"/>
          <w:sz w:val="20"/>
          <w:szCs w:val="20"/>
        </w:rPr>
        <w:t xml:space="preserve">The </w:t>
      </w:r>
      <w:r w:rsidR="0054592E" w:rsidRPr="0054592E">
        <w:rPr>
          <w:rFonts w:ascii="Cambria" w:hAnsi="Cambria"/>
          <w:sz w:val="20"/>
          <w:szCs w:val="20"/>
        </w:rPr>
        <w:t>226</w:t>
      </w:r>
      <w:r w:rsidR="0054592E" w:rsidRPr="0054592E">
        <w:rPr>
          <w:rFonts w:ascii="Cambria" w:hAnsi="Cambria"/>
          <w:sz w:val="20"/>
          <w:szCs w:val="20"/>
          <w:vertAlign w:val="superscript"/>
        </w:rPr>
        <w:t>th</w:t>
      </w:r>
      <w:r w:rsidR="0054592E" w:rsidRPr="0054592E">
        <w:rPr>
          <w:rFonts w:ascii="Cambria" w:hAnsi="Cambria"/>
          <w:sz w:val="20"/>
          <w:szCs w:val="20"/>
        </w:rPr>
        <w:t xml:space="preserve"> Prosecutor’s Office </w:t>
      </w:r>
      <w:r w:rsidR="00D769B4" w:rsidRPr="00B8721C">
        <w:rPr>
          <w:rFonts w:ascii="Cambria" w:hAnsi="Cambria"/>
          <w:sz w:val="20"/>
          <w:szCs w:val="20"/>
        </w:rPr>
        <w:t>took some actions and then declined to exercise jurisdiction over the case, transferring the proceedings to the</w:t>
      </w:r>
      <w:r w:rsidR="009A5091" w:rsidRPr="00B8721C">
        <w:rPr>
          <w:rFonts w:ascii="Cambria" w:hAnsi="Cambria"/>
          <w:sz w:val="20"/>
          <w:szCs w:val="20"/>
        </w:rPr>
        <w:t xml:space="preserve"> </w:t>
      </w:r>
      <w:r w:rsidR="00D769B4" w:rsidRPr="00B8721C">
        <w:rPr>
          <w:rFonts w:ascii="Cambria" w:hAnsi="Cambria"/>
          <w:sz w:val="20"/>
          <w:szCs w:val="20"/>
        </w:rPr>
        <w:t>Human Rights Unit.</w:t>
      </w:r>
      <w:r w:rsidR="0058210C" w:rsidRPr="00B8721C">
        <w:rPr>
          <w:rStyle w:val="FootnoteReference"/>
          <w:rFonts w:ascii="Cambria" w:hAnsi="Cambria"/>
          <w:sz w:val="20"/>
          <w:szCs w:val="20"/>
        </w:rPr>
        <w:footnoteReference w:id="79"/>
      </w:r>
    </w:p>
    <w:p w:rsidR="00E86F84" w:rsidRPr="00B8721C" w:rsidRDefault="00E86F84" w:rsidP="00E86F8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FE1000" w:rsidRPr="00B8721C" w:rsidRDefault="003C4DB0" w:rsidP="00FE10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On January 7, 2009, the SIJIN reported on its efforts to determine the existence and location of security cameras at the National Model Prison and possible video records. According to the report, there are no records of cameras existing prior to May 2002.</w:t>
      </w:r>
      <w:r w:rsidR="00FC0029" w:rsidRPr="00B8721C">
        <w:rPr>
          <w:rStyle w:val="FootnoteReference"/>
          <w:rFonts w:ascii="Cambria" w:hAnsi="Cambria"/>
          <w:sz w:val="20"/>
          <w:szCs w:val="20"/>
        </w:rPr>
        <w:footnoteReference w:id="80"/>
      </w:r>
      <w:r w:rsidR="008C1D76" w:rsidRPr="00B8721C">
        <w:rPr>
          <w:rFonts w:ascii="Cambria" w:hAnsi="Cambria"/>
          <w:sz w:val="20"/>
          <w:szCs w:val="20"/>
        </w:rPr>
        <w:t xml:space="preserve"> </w:t>
      </w:r>
      <w:r w:rsidR="0002388B" w:rsidRPr="00B8721C">
        <w:rPr>
          <w:rFonts w:ascii="Cambria" w:hAnsi="Cambria"/>
          <w:sz w:val="20"/>
          <w:szCs w:val="20"/>
        </w:rPr>
        <w:t xml:space="preserve">That same day, the </w:t>
      </w:r>
      <w:r w:rsidR="00E82ECB">
        <w:rPr>
          <w:rFonts w:ascii="Cambria" w:hAnsi="Cambria"/>
          <w:sz w:val="20"/>
          <w:szCs w:val="20"/>
        </w:rPr>
        <w:t>Prosecutor’s</w:t>
      </w:r>
      <w:r w:rsidR="0002388B" w:rsidRPr="00B8721C">
        <w:rPr>
          <w:rFonts w:ascii="Cambria" w:hAnsi="Cambria"/>
          <w:sz w:val="20"/>
          <w:szCs w:val="20"/>
        </w:rPr>
        <w:t xml:space="preserve"> Office renewed the order to take a statement from Mario Jaimes Mejía, alias “El Panadero</w:t>
      </w:r>
      <w:r w:rsidR="0002388B" w:rsidRPr="00B8721C">
        <w:rPr>
          <w:rStyle w:val="FootnoteReference"/>
          <w:rFonts w:ascii="Cambria" w:hAnsi="Cambria"/>
          <w:sz w:val="20"/>
          <w:szCs w:val="20"/>
          <w:vertAlign w:val="baseline"/>
        </w:rPr>
        <w:t>,</w:t>
      </w:r>
      <w:r w:rsidR="0002388B" w:rsidRPr="00B8721C">
        <w:rPr>
          <w:rFonts w:ascii="Cambria" w:hAnsi="Cambria"/>
          <w:sz w:val="20"/>
          <w:szCs w:val="20"/>
        </w:rPr>
        <w:t>”</w:t>
      </w:r>
      <w:r w:rsidR="008C1D76" w:rsidRPr="00B8721C">
        <w:rPr>
          <w:rStyle w:val="FootnoteReference"/>
          <w:rFonts w:ascii="Cambria" w:hAnsi="Cambria"/>
          <w:sz w:val="20"/>
          <w:szCs w:val="20"/>
        </w:rPr>
        <w:footnoteReference w:id="81"/>
      </w:r>
      <w:r w:rsidR="00810E0E" w:rsidRPr="00B8721C">
        <w:rPr>
          <w:rFonts w:ascii="Cambria" w:hAnsi="Cambria"/>
          <w:sz w:val="20"/>
          <w:szCs w:val="20"/>
        </w:rPr>
        <w:t xml:space="preserve"> </w:t>
      </w:r>
      <w:r w:rsidR="0002388B" w:rsidRPr="00B8721C">
        <w:rPr>
          <w:rFonts w:ascii="Cambria" w:hAnsi="Cambria"/>
          <w:sz w:val="20"/>
          <w:szCs w:val="20"/>
        </w:rPr>
        <w:t>which was done on September</w:t>
      </w:r>
      <w:r w:rsidR="00B2613C" w:rsidRPr="00B8721C">
        <w:rPr>
          <w:rFonts w:ascii="Cambria" w:hAnsi="Cambria"/>
          <w:sz w:val="20"/>
          <w:szCs w:val="20"/>
        </w:rPr>
        <w:t xml:space="preserve"> 18</w:t>
      </w:r>
      <w:r w:rsidR="0002388B" w:rsidRPr="00B8721C">
        <w:rPr>
          <w:rFonts w:ascii="Cambria" w:hAnsi="Cambria"/>
          <w:sz w:val="20"/>
          <w:szCs w:val="20"/>
        </w:rPr>
        <w:t>,</w:t>
      </w:r>
      <w:r w:rsidR="00B2613C" w:rsidRPr="00B8721C">
        <w:rPr>
          <w:rFonts w:ascii="Cambria" w:hAnsi="Cambria"/>
          <w:sz w:val="20"/>
          <w:szCs w:val="20"/>
        </w:rPr>
        <w:t xml:space="preserve"> </w:t>
      </w:r>
      <w:r w:rsidR="00810E0E" w:rsidRPr="00B8721C">
        <w:rPr>
          <w:rFonts w:ascii="Cambria" w:hAnsi="Cambria"/>
          <w:sz w:val="20"/>
          <w:szCs w:val="20"/>
        </w:rPr>
        <w:t>2009</w:t>
      </w:r>
      <w:r w:rsidR="0002388B" w:rsidRPr="00B8721C">
        <w:rPr>
          <w:rFonts w:ascii="Cambria" w:hAnsi="Cambria"/>
          <w:sz w:val="20"/>
          <w:szCs w:val="20"/>
        </w:rPr>
        <w:t>.</w:t>
      </w:r>
      <w:r w:rsidR="00810E0E" w:rsidRPr="00B8721C">
        <w:rPr>
          <w:rStyle w:val="FootnoteReference"/>
          <w:rFonts w:ascii="Cambria" w:hAnsi="Cambria"/>
          <w:sz w:val="20"/>
          <w:szCs w:val="20"/>
        </w:rPr>
        <w:footnoteReference w:id="82"/>
      </w:r>
      <w:r w:rsidR="00DB6FA8" w:rsidRPr="00B8721C">
        <w:rPr>
          <w:rFonts w:ascii="Cambria" w:hAnsi="Cambria"/>
          <w:sz w:val="20"/>
          <w:szCs w:val="20"/>
        </w:rPr>
        <w:t xml:space="preserve"> </w:t>
      </w:r>
      <w:r w:rsidR="0002388B" w:rsidRPr="00B8721C">
        <w:rPr>
          <w:rFonts w:ascii="Cambria" w:hAnsi="Cambria"/>
          <w:sz w:val="20"/>
          <w:szCs w:val="20"/>
        </w:rPr>
        <w:t>On December 30, 2009, the taking of new evidence was ordered, including obtaining the “</w:t>
      </w:r>
      <w:r w:rsidR="00595A33" w:rsidRPr="00B8721C">
        <w:rPr>
          <w:rFonts w:ascii="Cambria" w:hAnsi="Cambria"/>
          <w:sz w:val="20"/>
          <w:szCs w:val="20"/>
        </w:rPr>
        <w:t xml:space="preserve">order of </w:t>
      </w:r>
      <w:r w:rsidR="0002388B" w:rsidRPr="00B8721C">
        <w:rPr>
          <w:rFonts w:ascii="Cambria" w:hAnsi="Cambria"/>
          <w:sz w:val="20"/>
          <w:szCs w:val="20"/>
        </w:rPr>
        <w:t xml:space="preserve">battle </w:t>
      </w:r>
      <w:r w:rsidR="00595A33" w:rsidRPr="00B8721C">
        <w:rPr>
          <w:rFonts w:ascii="Cambria" w:hAnsi="Cambria"/>
          <w:sz w:val="20"/>
          <w:szCs w:val="20"/>
        </w:rPr>
        <w:t>of</w:t>
      </w:r>
      <w:r w:rsidR="0002388B" w:rsidRPr="00B8721C">
        <w:rPr>
          <w:rFonts w:ascii="Cambria" w:hAnsi="Cambria"/>
          <w:sz w:val="20"/>
          <w:szCs w:val="20"/>
        </w:rPr>
        <w:t xml:space="preserve"> the ‘Capital Bloc’ of the self-defense groups for the year 2000,” a “copy of the videos from the tolls located on the Bogotá-Villavicencio road on May 25, 2000,” and a judicial ins</w:t>
      </w:r>
      <w:r w:rsidR="00E86F84" w:rsidRPr="00B8721C">
        <w:rPr>
          <w:rFonts w:ascii="Cambria" w:hAnsi="Cambria"/>
          <w:sz w:val="20"/>
          <w:szCs w:val="20"/>
        </w:rPr>
        <w:t xml:space="preserve">pection of the guard’s logbook from the CAI Catama in </w:t>
      </w:r>
      <w:r w:rsidR="0002388B" w:rsidRPr="00B8721C">
        <w:rPr>
          <w:rFonts w:ascii="Cambria" w:hAnsi="Cambria"/>
          <w:sz w:val="20"/>
          <w:szCs w:val="20"/>
        </w:rPr>
        <w:t xml:space="preserve">the city of Villavicencio, in order to </w:t>
      </w:r>
      <w:r w:rsidR="00E86F84" w:rsidRPr="00B8721C">
        <w:rPr>
          <w:rFonts w:ascii="Cambria" w:hAnsi="Cambria"/>
          <w:sz w:val="20"/>
          <w:szCs w:val="20"/>
        </w:rPr>
        <w:t>determine</w:t>
      </w:r>
      <w:r w:rsidR="0002388B" w:rsidRPr="00B8721C">
        <w:rPr>
          <w:rFonts w:ascii="Cambria" w:hAnsi="Cambria"/>
          <w:sz w:val="20"/>
          <w:szCs w:val="20"/>
        </w:rPr>
        <w:t xml:space="preserve"> whether he left any notes regarding the discovery of journalist Jineth Bedoya, the place where she was dumped, the circumstances in which she was foun</w:t>
      </w:r>
      <w:r w:rsidR="00E86F84" w:rsidRPr="00B8721C">
        <w:rPr>
          <w:rFonts w:ascii="Cambria" w:hAnsi="Cambria"/>
          <w:sz w:val="20"/>
          <w:szCs w:val="20"/>
        </w:rPr>
        <w:t>d, and what he told the police,”</w:t>
      </w:r>
      <w:r w:rsidR="0002388B" w:rsidRPr="00B8721C">
        <w:rPr>
          <w:rFonts w:ascii="Cambria" w:hAnsi="Cambria"/>
          <w:sz w:val="20"/>
          <w:szCs w:val="20"/>
        </w:rPr>
        <w:t xml:space="preserve"> as well as to ask the National Penitentiary </w:t>
      </w:r>
      <w:r w:rsidR="00F71079" w:rsidRPr="00B8721C">
        <w:rPr>
          <w:rFonts w:ascii="Cambria" w:hAnsi="Cambria"/>
          <w:sz w:val="20"/>
          <w:szCs w:val="20"/>
        </w:rPr>
        <w:t xml:space="preserve">and Prison </w:t>
      </w:r>
      <w:r w:rsidR="0002388B" w:rsidRPr="00B8721C">
        <w:rPr>
          <w:rFonts w:ascii="Cambria" w:hAnsi="Cambria"/>
          <w:sz w:val="20"/>
          <w:szCs w:val="20"/>
        </w:rPr>
        <w:t>Institut</w:t>
      </w:r>
      <w:r w:rsidR="00E86F84" w:rsidRPr="00B8721C">
        <w:rPr>
          <w:rFonts w:ascii="Cambria" w:hAnsi="Cambria"/>
          <w:sz w:val="20"/>
          <w:szCs w:val="20"/>
        </w:rPr>
        <w:t>e (INPEC) to provide “</w:t>
      </w:r>
      <w:r w:rsidR="0002388B" w:rsidRPr="00B8721C">
        <w:rPr>
          <w:rFonts w:ascii="Cambria" w:hAnsi="Cambria"/>
          <w:sz w:val="20"/>
          <w:szCs w:val="20"/>
        </w:rPr>
        <w:t>the names of the guard personnel stationed at the entrance of that establishment on May 25, 200</w:t>
      </w:r>
      <w:r w:rsidR="00E86F84" w:rsidRPr="00B8721C">
        <w:rPr>
          <w:rFonts w:ascii="Cambria" w:hAnsi="Cambria"/>
          <w:sz w:val="20"/>
          <w:szCs w:val="20"/>
        </w:rPr>
        <w:t>0.”</w:t>
      </w:r>
      <w:r w:rsidR="00262E63" w:rsidRPr="00B8721C">
        <w:rPr>
          <w:rStyle w:val="FootnoteReference"/>
          <w:rFonts w:ascii="Cambria" w:hAnsi="Cambria"/>
          <w:sz w:val="20"/>
          <w:szCs w:val="20"/>
        </w:rPr>
        <w:footnoteReference w:id="83"/>
      </w:r>
    </w:p>
    <w:p w:rsidR="00FE1000" w:rsidRPr="00B8721C" w:rsidRDefault="00FE1000" w:rsidP="00FE100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F3D87" w:rsidRPr="00B8721C" w:rsidRDefault="00F71079" w:rsidP="001F3D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February 1, 2010, the </w:t>
      </w:r>
      <w:r w:rsidR="00E82ECB">
        <w:rPr>
          <w:rFonts w:ascii="Cambria" w:hAnsi="Cambria"/>
          <w:sz w:val="20"/>
          <w:szCs w:val="20"/>
        </w:rPr>
        <w:t>Prosecutor’s</w:t>
      </w:r>
      <w:r w:rsidRPr="00B8721C">
        <w:rPr>
          <w:rFonts w:ascii="Cambria" w:hAnsi="Cambria"/>
          <w:sz w:val="20"/>
          <w:szCs w:val="20"/>
        </w:rPr>
        <w:t xml:space="preserve"> Office ordered that statements be taken from several of the guards at the National Model Prison</w:t>
      </w:r>
      <w:r w:rsidR="00F20AE3" w:rsidRPr="00B8721C">
        <w:rPr>
          <w:rStyle w:val="FootnoteReference"/>
          <w:rFonts w:ascii="Cambria" w:hAnsi="Cambria"/>
          <w:sz w:val="20"/>
          <w:szCs w:val="20"/>
        </w:rPr>
        <w:footnoteReference w:id="84"/>
      </w:r>
      <w:r w:rsidR="00B2613C" w:rsidRPr="00B8721C">
        <w:rPr>
          <w:rFonts w:ascii="Cambria" w:hAnsi="Cambria"/>
          <w:sz w:val="20"/>
          <w:szCs w:val="20"/>
        </w:rPr>
        <w:t xml:space="preserve"> </w:t>
      </w:r>
      <w:r w:rsidRPr="00B8721C">
        <w:rPr>
          <w:rFonts w:ascii="Cambria" w:hAnsi="Cambria"/>
          <w:sz w:val="20"/>
          <w:szCs w:val="20"/>
        </w:rPr>
        <w:t xml:space="preserve">who had been on duty at the entrance door on the day of the events, as well as from the Inspector of the National Penitentiary and Prison Institute, which was done on </w:t>
      </w:r>
      <w:r w:rsidRPr="00B8721C">
        <w:rPr>
          <w:rFonts w:ascii="Cambria" w:hAnsi="Cambria"/>
          <w:sz w:val="20"/>
          <w:szCs w:val="20"/>
        </w:rPr>
        <w:lastRenderedPageBreak/>
        <w:t xml:space="preserve">May 5 and 18 and August 11, 2010. On March 4, a report was received from the Bureau of Criminal Investigation and Interpol on the </w:t>
      </w:r>
      <w:r w:rsidR="00595A33" w:rsidRPr="00B8721C">
        <w:rPr>
          <w:rFonts w:ascii="Cambria" w:hAnsi="Cambria"/>
          <w:sz w:val="20"/>
          <w:szCs w:val="20"/>
        </w:rPr>
        <w:t>order of battle</w:t>
      </w:r>
      <w:r w:rsidRPr="00B8721C">
        <w:rPr>
          <w:rFonts w:ascii="Cambria" w:hAnsi="Cambria"/>
          <w:sz w:val="20"/>
          <w:szCs w:val="20"/>
        </w:rPr>
        <w:t xml:space="preserve"> of the Capital Bloc of the self-defense groups.</w:t>
      </w:r>
      <w:r w:rsidR="00906721" w:rsidRPr="00B8721C">
        <w:rPr>
          <w:rStyle w:val="FootnoteReference"/>
          <w:rFonts w:ascii="Cambria" w:hAnsi="Cambria"/>
          <w:sz w:val="20"/>
          <w:szCs w:val="20"/>
        </w:rPr>
        <w:footnoteReference w:id="85"/>
      </w:r>
      <w:r w:rsidR="00522C4D" w:rsidRPr="00B8721C">
        <w:rPr>
          <w:rFonts w:ascii="Cambria" w:hAnsi="Cambria"/>
          <w:sz w:val="20"/>
          <w:szCs w:val="20"/>
        </w:rPr>
        <w:t xml:space="preserve"> </w:t>
      </w:r>
      <w:r w:rsidR="003448C2" w:rsidRPr="00B8721C">
        <w:rPr>
          <w:rFonts w:ascii="Cambria" w:hAnsi="Cambria"/>
          <w:sz w:val="20"/>
          <w:szCs w:val="20"/>
        </w:rPr>
        <w:t xml:space="preserve"> </w:t>
      </w:r>
      <w:r w:rsidR="00FE1000" w:rsidRPr="00B8721C">
        <w:rPr>
          <w:rFonts w:ascii="Cambria" w:hAnsi="Cambria"/>
          <w:sz w:val="20"/>
          <w:szCs w:val="20"/>
        </w:rPr>
        <w:t xml:space="preserve">In addition, on February 8, 2010, the National Institute of Concessions responded to a communication sent by the </w:t>
      </w:r>
      <w:r w:rsidR="00E82ECB">
        <w:rPr>
          <w:rFonts w:ascii="Cambria" w:hAnsi="Cambria"/>
          <w:sz w:val="20"/>
          <w:szCs w:val="20"/>
        </w:rPr>
        <w:t>Prosecutor’s</w:t>
      </w:r>
      <w:r w:rsidR="00FE1000" w:rsidRPr="00B8721C">
        <w:rPr>
          <w:rFonts w:ascii="Cambria" w:hAnsi="Cambria"/>
          <w:sz w:val="20"/>
          <w:szCs w:val="20"/>
        </w:rPr>
        <w:t xml:space="preserve"> Office requesting a copy of the videos taken at tolls on the Bogotá-Villavicencio road. In this communication, the institute stated that “the recordings made at the tolls are only kept for a maximum of thirty days, and therefore we are unable to comply with your request.”</w:t>
      </w:r>
      <w:r w:rsidR="003448C2" w:rsidRPr="00B8721C">
        <w:rPr>
          <w:rStyle w:val="FootnoteReference"/>
          <w:rFonts w:ascii="Cambria" w:hAnsi="Cambria"/>
          <w:sz w:val="20"/>
          <w:szCs w:val="20"/>
        </w:rPr>
        <w:footnoteReference w:id="86"/>
      </w:r>
    </w:p>
    <w:p w:rsidR="001F3D87" w:rsidRPr="00B8721C" w:rsidRDefault="001F3D87" w:rsidP="001F3D8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3448C2" w:rsidRPr="00B8721C" w:rsidRDefault="001F3D87" w:rsidP="001F3D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w:t>
      </w:r>
      <w:r w:rsidR="00B8721C" w:rsidRPr="00B8721C">
        <w:rPr>
          <w:rFonts w:ascii="Cambria" w:hAnsi="Cambria"/>
          <w:sz w:val="20"/>
          <w:szCs w:val="20"/>
        </w:rPr>
        <w:t>July</w:t>
      </w:r>
      <w:r w:rsidRPr="00B8721C">
        <w:rPr>
          <w:rFonts w:ascii="Cambria" w:hAnsi="Cambria"/>
          <w:sz w:val="20"/>
          <w:szCs w:val="20"/>
        </w:rPr>
        <w:t xml:space="preserve"> 27,</w:t>
      </w:r>
      <w:r w:rsidR="00522C4D" w:rsidRPr="00B8721C">
        <w:rPr>
          <w:rFonts w:ascii="Cambria" w:hAnsi="Cambria"/>
          <w:sz w:val="20"/>
          <w:szCs w:val="20"/>
        </w:rPr>
        <w:t xml:space="preserve"> 2010</w:t>
      </w:r>
      <w:r w:rsidRPr="00B8721C">
        <w:rPr>
          <w:rFonts w:ascii="Cambria" w:hAnsi="Cambria"/>
          <w:sz w:val="20"/>
          <w:szCs w:val="20"/>
        </w:rPr>
        <w:t>,</w:t>
      </w:r>
      <w:r w:rsidR="00522C4D" w:rsidRPr="00B8721C">
        <w:rPr>
          <w:rFonts w:ascii="Cambria" w:hAnsi="Cambria"/>
          <w:sz w:val="20"/>
          <w:szCs w:val="20"/>
        </w:rPr>
        <w:t xml:space="preserve">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522C4D" w:rsidRPr="00B8721C">
        <w:rPr>
          <w:rFonts w:ascii="Cambria" w:hAnsi="Cambria"/>
          <w:sz w:val="20"/>
          <w:szCs w:val="20"/>
        </w:rPr>
        <w:t xml:space="preserve"> </w:t>
      </w:r>
      <w:r w:rsidRPr="00B8721C">
        <w:rPr>
          <w:rFonts w:ascii="Cambria" w:hAnsi="Cambria"/>
          <w:sz w:val="20"/>
          <w:szCs w:val="20"/>
        </w:rPr>
        <w:t xml:space="preserve">ordered the </w:t>
      </w:r>
      <w:r w:rsidR="00B8721C" w:rsidRPr="00B8721C">
        <w:rPr>
          <w:rFonts w:ascii="Cambria" w:hAnsi="Cambria"/>
          <w:sz w:val="20"/>
          <w:szCs w:val="20"/>
        </w:rPr>
        <w:t>taking</w:t>
      </w:r>
      <w:r w:rsidRPr="00B8721C">
        <w:rPr>
          <w:rFonts w:ascii="Cambria" w:hAnsi="Cambria"/>
          <w:sz w:val="20"/>
          <w:szCs w:val="20"/>
        </w:rPr>
        <w:t xml:space="preserve"> of a</w:t>
      </w:r>
      <w:r w:rsidR="001458C2" w:rsidRPr="00B8721C">
        <w:rPr>
          <w:rFonts w:ascii="Cambria" w:hAnsi="Cambria"/>
          <w:sz w:val="20"/>
          <w:szCs w:val="20"/>
        </w:rPr>
        <w:t xml:space="preserve"> </w:t>
      </w:r>
      <w:r w:rsidR="004F2F49" w:rsidRPr="00B8721C">
        <w:rPr>
          <w:rFonts w:ascii="Cambria" w:hAnsi="Cambria"/>
          <w:sz w:val="20"/>
          <w:szCs w:val="20"/>
        </w:rPr>
        <w:t xml:space="preserve">supplemental statement </w:t>
      </w:r>
      <w:r w:rsidRPr="00B8721C">
        <w:rPr>
          <w:rFonts w:ascii="Cambria" w:hAnsi="Cambria"/>
          <w:sz w:val="20"/>
          <w:szCs w:val="20"/>
        </w:rPr>
        <w:t>from journalist</w:t>
      </w:r>
      <w:r w:rsidR="00522C4D" w:rsidRPr="00B8721C">
        <w:rPr>
          <w:rFonts w:ascii="Cambria" w:hAnsi="Cambria"/>
          <w:sz w:val="20"/>
          <w:szCs w:val="20"/>
        </w:rPr>
        <w:t xml:space="preserve"> Jineth Bedoya </w:t>
      </w:r>
      <w:r w:rsidR="001458C2" w:rsidRPr="00B8721C">
        <w:rPr>
          <w:rFonts w:ascii="Cambria" w:hAnsi="Cambria"/>
          <w:sz w:val="20"/>
          <w:szCs w:val="20"/>
        </w:rPr>
        <w:t>“</w:t>
      </w:r>
      <w:r w:rsidRPr="00B8721C">
        <w:rPr>
          <w:rFonts w:ascii="Cambria" w:hAnsi="Cambria"/>
          <w:sz w:val="20"/>
          <w:szCs w:val="20"/>
        </w:rPr>
        <w:t>who, on that same date, was informed of the current status of the investigation.</w:t>
      </w:r>
      <w:r w:rsidR="001458C2" w:rsidRPr="00B8721C">
        <w:rPr>
          <w:rFonts w:ascii="Cambria" w:hAnsi="Cambria"/>
          <w:sz w:val="20"/>
          <w:szCs w:val="20"/>
        </w:rPr>
        <w:t>”</w:t>
      </w:r>
      <w:r w:rsidR="00522C4D" w:rsidRPr="00B8721C">
        <w:rPr>
          <w:rStyle w:val="FootnoteReference"/>
          <w:rFonts w:ascii="Cambria" w:hAnsi="Cambria"/>
          <w:sz w:val="20"/>
          <w:szCs w:val="20"/>
        </w:rPr>
        <w:footnoteReference w:id="87"/>
      </w:r>
      <w:r w:rsidR="00522C4D" w:rsidRPr="00B8721C">
        <w:rPr>
          <w:rFonts w:ascii="Cambria" w:hAnsi="Cambria"/>
          <w:sz w:val="20"/>
          <w:szCs w:val="20"/>
        </w:rPr>
        <w:t xml:space="preserve"> </w:t>
      </w:r>
      <w:r w:rsidRPr="00B8721C">
        <w:rPr>
          <w:rFonts w:ascii="Cambria" w:hAnsi="Cambria"/>
          <w:sz w:val="20"/>
          <w:szCs w:val="20"/>
        </w:rPr>
        <w:t>The journalist provided her statement on August 11.</w:t>
      </w:r>
      <w:r w:rsidR="00BE36EE" w:rsidRPr="00B8721C">
        <w:rPr>
          <w:rStyle w:val="FootnoteReference"/>
          <w:rFonts w:ascii="Cambria" w:hAnsi="Cambria"/>
          <w:sz w:val="20"/>
          <w:szCs w:val="20"/>
        </w:rPr>
        <w:footnoteReference w:id="88"/>
      </w:r>
      <w:r w:rsidR="00BE36EE" w:rsidRPr="00B8721C">
        <w:rPr>
          <w:rFonts w:ascii="Cambria" w:hAnsi="Cambria"/>
          <w:sz w:val="20"/>
          <w:szCs w:val="20"/>
        </w:rPr>
        <w:t xml:space="preserve"> </w:t>
      </w:r>
      <w:r w:rsidR="001458C2" w:rsidRPr="00B8721C">
        <w:rPr>
          <w:rFonts w:ascii="Cambria" w:hAnsi="Cambria"/>
          <w:sz w:val="20"/>
          <w:szCs w:val="20"/>
        </w:rPr>
        <w:t xml:space="preserve"> </w:t>
      </w:r>
      <w:r w:rsidRPr="00B8721C">
        <w:rPr>
          <w:rFonts w:ascii="Cambria" w:hAnsi="Cambria"/>
          <w:sz w:val="20"/>
          <w:szCs w:val="20"/>
        </w:rPr>
        <w:t>Based on</w:t>
      </w:r>
      <w:r w:rsidR="001458C2" w:rsidRPr="00B8721C">
        <w:rPr>
          <w:rFonts w:ascii="Cambria" w:hAnsi="Cambria"/>
          <w:sz w:val="20"/>
          <w:szCs w:val="20"/>
        </w:rPr>
        <w:t xml:space="preserve"> Jineth Bedoya</w:t>
      </w:r>
      <w:r w:rsidRPr="00B8721C">
        <w:rPr>
          <w:rFonts w:ascii="Cambria" w:hAnsi="Cambria"/>
          <w:sz w:val="20"/>
          <w:szCs w:val="20"/>
        </w:rPr>
        <w:t>’s statement</w:t>
      </w:r>
      <w:r w:rsidR="001458C2" w:rsidRPr="00B8721C">
        <w:rPr>
          <w:rFonts w:ascii="Cambria" w:hAnsi="Cambria"/>
          <w:sz w:val="20"/>
          <w:szCs w:val="20"/>
        </w:rPr>
        <w:t xml:space="preserve">, </w:t>
      </w:r>
      <w:r w:rsidRPr="00B8721C">
        <w:rPr>
          <w:rFonts w:ascii="Cambria" w:hAnsi="Cambria"/>
          <w:sz w:val="20"/>
          <w:szCs w:val="20"/>
        </w:rPr>
        <w:t>on August 12,</w:t>
      </w:r>
      <w:r w:rsidR="001458C2" w:rsidRPr="00B8721C">
        <w:rPr>
          <w:rFonts w:ascii="Cambria" w:hAnsi="Cambria"/>
          <w:sz w:val="20"/>
          <w:szCs w:val="20"/>
        </w:rPr>
        <w:t xml:space="preserve"> 2010</w:t>
      </w:r>
      <w:r w:rsidRPr="00B8721C">
        <w:rPr>
          <w:rFonts w:ascii="Cambria" w:hAnsi="Cambria"/>
          <w:sz w:val="20"/>
          <w:szCs w:val="20"/>
        </w:rPr>
        <w:t>,</w:t>
      </w:r>
      <w:r w:rsidR="001458C2" w:rsidRPr="00B8721C">
        <w:rPr>
          <w:rFonts w:ascii="Cambria" w:hAnsi="Cambria"/>
          <w:sz w:val="20"/>
          <w:szCs w:val="20"/>
        </w:rPr>
        <w:t xml:space="preserve">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1458C2" w:rsidRPr="00B8721C">
        <w:rPr>
          <w:rFonts w:ascii="Cambria" w:hAnsi="Cambria"/>
          <w:sz w:val="20"/>
          <w:szCs w:val="20"/>
        </w:rPr>
        <w:t xml:space="preserve"> </w:t>
      </w:r>
      <w:r w:rsidRPr="00B8721C">
        <w:rPr>
          <w:rFonts w:ascii="Cambria" w:hAnsi="Cambria"/>
          <w:sz w:val="20"/>
          <w:szCs w:val="20"/>
        </w:rPr>
        <w:t>ordered new evidentiary proceedings</w:t>
      </w:r>
      <w:r w:rsidR="00542F11" w:rsidRPr="00B8721C">
        <w:rPr>
          <w:rFonts w:ascii="Cambria" w:hAnsi="Cambria"/>
          <w:sz w:val="20"/>
          <w:szCs w:val="20"/>
        </w:rPr>
        <w:t xml:space="preserve">, </w:t>
      </w:r>
      <w:r w:rsidRPr="00B8721C">
        <w:rPr>
          <w:rFonts w:ascii="Cambria" w:hAnsi="Cambria"/>
          <w:sz w:val="20"/>
          <w:szCs w:val="20"/>
        </w:rPr>
        <w:t xml:space="preserve">including the taking of a statement from </w:t>
      </w:r>
      <w:r w:rsidR="001458C2" w:rsidRPr="00B8721C">
        <w:rPr>
          <w:rFonts w:ascii="Cambria" w:hAnsi="Cambria"/>
          <w:sz w:val="20"/>
          <w:szCs w:val="20"/>
        </w:rPr>
        <w:t>Jhon Jairo V</w:t>
      </w:r>
      <w:r w:rsidR="00542F11" w:rsidRPr="00B8721C">
        <w:rPr>
          <w:rFonts w:ascii="Cambria" w:hAnsi="Cambria"/>
          <w:sz w:val="20"/>
          <w:szCs w:val="20"/>
        </w:rPr>
        <w:t xml:space="preserve">elázquez Vásquez, </w:t>
      </w:r>
      <w:r w:rsidR="001458C2" w:rsidRPr="00B8721C">
        <w:rPr>
          <w:rFonts w:ascii="Cambria" w:hAnsi="Cambria"/>
          <w:sz w:val="20"/>
          <w:szCs w:val="20"/>
        </w:rPr>
        <w:t xml:space="preserve">alias </w:t>
      </w:r>
      <w:r w:rsidRPr="00B8721C">
        <w:rPr>
          <w:rFonts w:ascii="Cambria" w:hAnsi="Cambria"/>
          <w:sz w:val="20"/>
          <w:szCs w:val="20"/>
        </w:rPr>
        <w:t>“</w:t>
      </w:r>
      <w:r w:rsidR="001458C2" w:rsidRPr="00B8721C">
        <w:rPr>
          <w:rFonts w:ascii="Cambria" w:hAnsi="Cambria"/>
          <w:sz w:val="20"/>
          <w:szCs w:val="20"/>
        </w:rPr>
        <w:t>Popeye</w:t>
      </w:r>
      <w:r w:rsidRPr="00B8721C">
        <w:rPr>
          <w:rFonts w:ascii="Cambria" w:hAnsi="Cambria"/>
          <w:sz w:val="20"/>
          <w:szCs w:val="20"/>
        </w:rPr>
        <w:t>.”</w:t>
      </w:r>
      <w:r w:rsidR="00542F11" w:rsidRPr="00B8721C">
        <w:rPr>
          <w:rStyle w:val="FootnoteReference"/>
          <w:rFonts w:ascii="Cambria" w:hAnsi="Cambria"/>
          <w:sz w:val="20"/>
          <w:szCs w:val="20"/>
        </w:rPr>
        <w:footnoteReference w:id="89"/>
      </w:r>
      <w:r w:rsidR="001458C2" w:rsidRPr="00B8721C">
        <w:rPr>
          <w:rFonts w:ascii="Cambria" w:hAnsi="Cambria"/>
          <w:sz w:val="20"/>
          <w:szCs w:val="20"/>
        </w:rPr>
        <w:t xml:space="preserve"> </w:t>
      </w:r>
      <w:r w:rsidRPr="00B8721C">
        <w:rPr>
          <w:rFonts w:ascii="Cambria" w:hAnsi="Cambria"/>
          <w:sz w:val="20"/>
          <w:szCs w:val="20"/>
        </w:rPr>
        <w:t>This statement was provided on September</w:t>
      </w:r>
      <w:r w:rsidR="001458C2" w:rsidRPr="00B8721C">
        <w:rPr>
          <w:rFonts w:ascii="Cambria" w:hAnsi="Cambria"/>
          <w:sz w:val="20"/>
          <w:szCs w:val="20"/>
        </w:rPr>
        <w:t xml:space="preserve"> </w:t>
      </w:r>
      <w:r w:rsidR="00B2613C" w:rsidRPr="00B8721C">
        <w:rPr>
          <w:rFonts w:ascii="Cambria" w:hAnsi="Cambria"/>
          <w:sz w:val="20"/>
          <w:szCs w:val="20"/>
        </w:rPr>
        <w:t>9</w:t>
      </w:r>
      <w:r w:rsidRPr="00B8721C">
        <w:rPr>
          <w:rFonts w:ascii="Cambria" w:hAnsi="Cambria"/>
          <w:sz w:val="20"/>
          <w:szCs w:val="20"/>
        </w:rPr>
        <w:t>,</w:t>
      </w:r>
      <w:r w:rsidR="00B2613C" w:rsidRPr="00B8721C">
        <w:rPr>
          <w:rFonts w:ascii="Cambria" w:hAnsi="Cambria"/>
          <w:sz w:val="20"/>
          <w:szCs w:val="20"/>
        </w:rPr>
        <w:t xml:space="preserve"> 2010</w:t>
      </w:r>
      <w:r w:rsidRPr="00B8721C">
        <w:rPr>
          <w:rFonts w:ascii="Cambria" w:hAnsi="Cambria"/>
          <w:sz w:val="20"/>
          <w:szCs w:val="20"/>
        </w:rPr>
        <w:t>.</w:t>
      </w:r>
      <w:r w:rsidR="00542F11" w:rsidRPr="00B8721C">
        <w:rPr>
          <w:rStyle w:val="FootnoteReference"/>
          <w:rFonts w:ascii="Cambria" w:hAnsi="Cambria"/>
          <w:sz w:val="20"/>
          <w:szCs w:val="20"/>
        </w:rPr>
        <w:footnoteReference w:id="90"/>
      </w:r>
      <w:r w:rsidR="001458C2" w:rsidRPr="00B8721C">
        <w:rPr>
          <w:rFonts w:ascii="Cambria" w:hAnsi="Cambria"/>
          <w:sz w:val="20"/>
          <w:szCs w:val="20"/>
        </w:rPr>
        <w:t xml:space="preserve"> </w:t>
      </w:r>
      <w:r w:rsidRPr="00B8721C">
        <w:rPr>
          <w:rFonts w:ascii="Cambria" w:hAnsi="Cambria"/>
          <w:sz w:val="20"/>
          <w:szCs w:val="20"/>
        </w:rPr>
        <w:t xml:space="preserve">On November </w:t>
      </w:r>
      <w:r w:rsidR="00B2613C" w:rsidRPr="00B8721C">
        <w:rPr>
          <w:rFonts w:ascii="Cambria" w:hAnsi="Cambria"/>
          <w:sz w:val="20"/>
          <w:szCs w:val="20"/>
        </w:rPr>
        <w:t>12</w:t>
      </w:r>
      <w:r w:rsidRPr="00B8721C">
        <w:rPr>
          <w:rFonts w:ascii="Cambria" w:hAnsi="Cambria"/>
          <w:sz w:val="20"/>
          <w:szCs w:val="20"/>
        </w:rPr>
        <w:t>,</w:t>
      </w:r>
      <w:r w:rsidR="00B2613C" w:rsidRPr="00B8721C">
        <w:rPr>
          <w:rFonts w:ascii="Cambria" w:hAnsi="Cambria"/>
          <w:sz w:val="20"/>
          <w:szCs w:val="20"/>
        </w:rPr>
        <w:t xml:space="preserve"> 2010 </w:t>
      </w:r>
      <w:r w:rsidRPr="00B8721C">
        <w:rPr>
          <w:rFonts w:ascii="Cambria" w:hAnsi="Cambria"/>
          <w:sz w:val="20"/>
          <w:szCs w:val="20"/>
        </w:rPr>
        <w:t>a new CTI report was added to the case file,</w:t>
      </w:r>
      <w:r w:rsidR="000E69C9" w:rsidRPr="00B8721C">
        <w:rPr>
          <w:rStyle w:val="FootnoteReference"/>
          <w:rFonts w:ascii="Cambria" w:hAnsi="Cambria"/>
          <w:sz w:val="20"/>
          <w:szCs w:val="20"/>
        </w:rPr>
        <w:footnoteReference w:id="91"/>
      </w:r>
      <w:r w:rsidR="003448C2" w:rsidRPr="00B8721C">
        <w:rPr>
          <w:rFonts w:ascii="Cambria" w:hAnsi="Cambria"/>
          <w:sz w:val="20"/>
          <w:szCs w:val="20"/>
        </w:rPr>
        <w:t xml:space="preserve"> </w:t>
      </w:r>
      <w:r w:rsidRPr="00B8721C">
        <w:rPr>
          <w:rFonts w:ascii="Cambria" w:hAnsi="Cambria"/>
          <w:sz w:val="20"/>
          <w:szCs w:val="20"/>
        </w:rPr>
        <w:t>but there is no indication that any further action has been taken based on the information provided by the declarant</w:t>
      </w:r>
      <w:r w:rsidR="003448C2" w:rsidRPr="00B8721C">
        <w:rPr>
          <w:rFonts w:ascii="Cambria" w:hAnsi="Cambria"/>
          <w:sz w:val="20"/>
          <w:szCs w:val="20"/>
        </w:rPr>
        <w:t>.</w:t>
      </w:r>
    </w:p>
    <w:p w:rsidR="003448C2" w:rsidRPr="00B8721C" w:rsidRDefault="003448C2" w:rsidP="005A03C0">
      <w:pPr>
        <w:pStyle w:val="ListParagraph"/>
        <w:rPr>
          <w:sz w:val="20"/>
          <w:szCs w:val="20"/>
          <w:highlight w:val="cyan"/>
        </w:rPr>
      </w:pPr>
    </w:p>
    <w:p w:rsidR="00CD70AE" w:rsidRPr="00B8721C" w:rsidRDefault="008F30ED" w:rsidP="00CD70A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In these ten years, the investigation never went beyond the preliminary investigation stage</w:t>
      </w:r>
      <w:r w:rsidR="0055076B" w:rsidRPr="00B8721C">
        <w:rPr>
          <w:rFonts w:ascii="Cambria" w:hAnsi="Cambria"/>
          <w:sz w:val="20"/>
          <w:szCs w:val="20"/>
        </w:rPr>
        <w:t>.</w:t>
      </w:r>
    </w:p>
    <w:p w:rsidR="00CD70AE" w:rsidRPr="00B8721C" w:rsidRDefault="00CD70AE" w:rsidP="00CD70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5965A3" w:rsidRPr="00B8721C" w:rsidRDefault="008F30ED" w:rsidP="005965A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In January 2011, Jineth Bedoya became a civil party to the case, and on April 12 and 20, through her legal representatives, requested clarification on the progress of the preliminary investigation.</w:t>
      </w:r>
      <w:r w:rsidR="0096267D" w:rsidRPr="00B8721C">
        <w:rPr>
          <w:rStyle w:val="FootnoteReference"/>
          <w:rFonts w:ascii="Cambria" w:hAnsi="Cambria"/>
          <w:sz w:val="20"/>
          <w:szCs w:val="20"/>
        </w:rPr>
        <w:footnoteReference w:id="92"/>
      </w:r>
      <w:r w:rsidR="00B2613C" w:rsidRPr="00B8721C">
        <w:rPr>
          <w:rFonts w:ascii="Cambria" w:hAnsi="Cambria"/>
          <w:sz w:val="20"/>
          <w:szCs w:val="20"/>
        </w:rPr>
        <w:t xml:space="preserve"> </w:t>
      </w:r>
      <w:r w:rsidRPr="00B8721C">
        <w:rPr>
          <w:rFonts w:ascii="Cambria" w:hAnsi="Cambria"/>
          <w:sz w:val="20"/>
          <w:szCs w:val="20"/>
        </w:rPr>
        <w:t xml:space="preserve">On April </w:t>
      </w:r>
      <w:r w:rsidR="00B2613C" w:rsidRPr="00B8721C">
        <w:rPr>
          <w:rFonts w:ascii="Cambria" w:hAnsi="Cambria"/>
          <w:sz w:val="20"/>
          <w:szCs w:val="20"/>
        </w:rPr>
        <w:t>14</w:t>
      </w:r>
      <w:r w:rsidR="00953421" w:rsidRPr="00B8721C">
        <w:rPr>
          <w:rStyle w:val="FootnoteReference"/>
          <w:rFonts w:ascii="Cambria" w:hAnsi="Cambria"/>
          <w:sz w:val="20"/>
          <w:szCs w:val="20"/>
        </w:rPr>
        <w:footnoteReference w:id="93"/>
      </w:r>
      <w:r w:rsidR="00035D49" w:rsidRPr="00B8721C">
        <w:rPr>
          <w:rFonts w:ascii="Cambria" w:hAnsi="Cambria"/>
          <w:sz w:val="20"/>
          <w:szCs w:val="20"/>
        </w:rPr>
        <w:t xml:space="preserve"> </w:t>
      </w:r>
      <w:r w:rsidR="00953421" w:rsidRPr="00B8721C">
        <w:rPr>
          <w:rFonts w:ascii="Cambria" w:hAnsi="Cambria"/>
          <w:sz w:val="20"/>
          <w:szCs w:val="20"/>
        </w:rPr>
        <w:t xml:space="preserve"> </w:t>
      </w:r>
      <w:r w:rsidRPr="00B8721C">
        <w:rPr>
          <w:rFonts w:ascii="Cambria" w:hAnsi="Cambria"/>
          <w:sz w:val="20"/>
          <w:szCs w:val="20"/>
        </w:rPr>
        <w:t>and</w:t>
      </w:r>
      <w:r w:rsidR="00953421" w:rsidRPr="00B8721C">
        <w:rPr>
          <w:rFonts w:ascii="Cambria" w:hAnsi="Cambria"/>
          <w:sz w:val="20"/>
          <w:szCs w:val="20"/>
        </w:rPr>
        <w:t xml:space="preserve"> 29</w:t>
      </w:r>
      <w:r w:rsidRPr="00B8721C">
        <w:rPr>
          <w:rFonts w:ascii="Cambria" w:hAnsi="Cambria"/>
          <w:sz w:val="20"/>
          <w:szCs w:val="20"/>
        </w:rPr>
        <w:t>,</w:t>
      </w:r>
      <w:r w:rsidR="00953421" w:rsidRPr="00B8721C">
        <w:rPr>
          <w:rStyle w:val="FootnoteReference"/>
          <w:rFonts w:ascii="Cambria" w:hAnsi="Cambria"/>
          <w:sz w:val="20"/>
          <w:szCs w:val="20"/>
        </w:rPr>
        <w:footnoteReference w:id="94"/>
      </w:r>
      <w:r w:rsidR="00953421" w:rsidRPr="00B8721C">
        <w:rPr>
          <w:rFonts w:ascii="Cambria" w:hAnsi="Cambria"/>
          <w:sz w:val="20"/>
          <w:szCs w:val="20"/>
        </w:rPr>
        <w:t xml:space="preserve"> </w:t>
      </w:r>
      <w:r w:rsidR="00035D49" w:rsidRPr="00B8721C">
        <w:rPr>
          <w:rFonts w:ascii="Cambria" w:hAnsi="Cambria"/>
          <w:sz w:val="20"/>
          <w:szCs w:val="20"/>
        </w:rPr>
        <w:t>2011</w:t>
      </w:r>
      <w:r w:rsidRPr="00B8721C">
        <w:rPr>
          <w:rFonts w:ascii="Cambria" w:hAnsi="Cambria"/>
          <w:sz w:val="20"/>
          <w:szCs w:val="20"/>
        </w:rPr>
        <w:t>,</w:t>
      </w:r>
      <w:r w:rsidR="00B2613C" w:rsidRPr="00B8721C">
        <w:rPr>
          <w:rFonts w:ascii="Cambria" w:hAnsi="Cambria"/>
          <w:sz w:val="20"/>
          <w:szCs w:val="20"/>
        </w:rPr>
        <w:t xml:space="preserve">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953421" w:rsidRPr="00B8721C">
        <w:rPr>
          <w:rFonts w:ascii="Cambria" w:hAnsi="Cambria"/>
          <w:sz w:val="20"/>
          <w:szCs w:val="20"/>
        </w:rPr>
        <w:t xml:space="preserve"> </w:t>
      </w:r>
      <w:r w:rsidR="0027465C">
        <w:rPr>
          <w:rFonts w:ascii="Cambria" w:hAnsi="Cambria"/>
          <w:sz w:val="20"/>
          <w:szCs w:val="20"/>
        </w:rPr>
        <w:t>responded to the civil party’</w:t>
      </w:r>
      <w:r w:rsidRPr="00B8721C">
        <w:rPr>
          <w:rFonts w:ascii="Cambria" w:hAnsi="Cambria"/>
          <w:sz w:val="20"/>
          <w:szCs w:val="20"/>
        </w:rPr>
        <w:t xml:space="preserve">s request and ordered the </w:t>
      </w:r>
      <w:r w:rsidR="0027465C">
        <w:rPr>
          <w:rFonts w:ascii="Cambria" w:hAnsi="Cambria"/>
          <w:sz w:val="20"/>
          <w:szCs w:val="20"/>
        </w:rPr>
        <w:t>production</w:t>
      </w:r>
      <w:r w:rsidRPr="00B8721C">
        <w:rPr>
          <w:rFonts w:ascii="Cambria" w:hAnsi="Cambria"/>
          <w:sz w:val="20"/>
          <w:szCs w:val="20"/>
        </w:rPr>
        <w:t xml:space="preserve"> of certain evidence, including “taking a preliminary statement from General Leonardo Gallego,” as well as a supplemental statement from Mario Jaimes Mejia, alias “El Panadero.”</w:t>
      </w:r>
      <w:r w:rsidR="00035D49" w:rsidRPr="00B8721C">
        <w:rPr>
          <w:rFonts w:ascii="Cambria" w:hAnsi="Cambria"/>
          <w:sz w:val="20"/>
          <w:szCs w:val="20"/>
        </w:rPr>
        <w:t xml:space="preserve"> </w:t>
      </w:r>
      <w:r w:rsidRPr="00B8721C">
        <w:rPr>
          <w:rFonts w:ascii="Cambria" w:hAnsi="Cambria"/>
          <w:sz w:val="20"/>
          <w:szCs w:val="20"/>
        </w:rPr>
        <w:t>On May 4, the civil party</w:t>
      </w:r>
      <w:r w:rsidR="00C71118" w:rsidRPr="00B8721C">
        <w:rPr>
          <w:rStyle w:val="FootnoteReference"/>
          <w:rFonts w:ascii="Cambria" w:hAnsi="Cambria"/>
          <w:sz w:val="20"/>
          <w:szCs w:val="20"/>
        </w:rPr>
        <w:footnoteReference w:id="95"/>
      </w:r>
      <w:r w:rsidR="00C71118" w:rsidRPr="00B8721C">
        <w:rPr>
          <w:rFonts w:ascii="Cambria" w:hAnsi="Cambria"/>
          <w:sz w:val="20"/>
          <w:szCs w:val="20"/>
        </w:rPr>
        <w:t xml:space="preserve"> </w:t>
      </w:r>
      <w:r w:rsidRPr="00B8721C">
        <w:rPr>
          <w:rFonts w:ascii="Cambria" w:hAnsi="Cambria"/>
          <w:sz w:val="20"/>
          <w:szCs w:val="20"/>
        </w:rPr>
        <w:t>reiterated her April 20, 2011 request for evidence.</w:t>
      </w:r>
      <w:r w:rsidR="00C71118" w:rsidRPr="00B8721C">
        <w:rPr>
          <w:rStyle w:val="FootnoteReference"/>
          <w:rFonts w:ascii="Cambria" w:hAnsi="Cambria"/>
          <w:sz w:val="20"/>
          <w:szCs w:val="20"/>
        </w:rPr>
        <w:footnoteReference w:id="96"/>
      </w:r>
      <w:r w:rsidR="00C71118" w:rsidRPr="00B8721C">
        <w:rPr>
          <w:rFonts w:ascii="Cambria" w:hAnsi="Cambria"/>
          <w:sz w:val="20"/>
          <w:szCs w:val="20"/>
        </w:rPr>
        <w:t xml:space="preserve"> </w:t>
      </w:r>
      <w:r w:rsidRPr="00B8721C">
        <w:rPr>
          <w:rFonts w:ascii="Cambria" w:hAnsi="Cambria"/>
          <w:sz w:val="20"/>
          <w:szCs w:val="20"/>
        </w:rPr>
        <w:t>On May 6, the</w:t>
      </w:r>
      <w:r w:rsidR="00DA0910" w:rsidRPr="00B8721C">
        <w:rPr>
          <w:rFonts w:ascii="Cambria" w:hAnsi="Cambria"/>
          <w:sz w:val="20"/>
          <w:szCs w:val="20"/>
        </w:rPr>
        <w:t xml:space="preserve"> CTI</w:t>
      </w:r>
      <w:r w:rsidR="00B2613C" w:rsidRPr="00B8721C">
        <w:rPr>
          <w:rFonts w:ascii="Cambria" w:hAnsi="Cambria"/>
          <w:sz w:val="20"/>
          <w:szCs w:val="20"/>
        </w:rPr>
        <w:t xml:space="preserve"> </w:t>
      </w:r>
      <w:r w:rsidRPr="00B8721C">
        <w:rPr>
          <w:rFonts w:ascii="Cambria" w:hAnsi="Cambria"/>
          <w:sz w:val="20"/>
          <w:szCs w:val="20"/>
        </w:rPr>
        <w:t>added its report on the evidence taken,</w:t>
      </w:r>
      <w:r w:rsidR="00C71118" w:rsidRPr="00B8721C">
        <w:rPr>
          <w:rStyle w:val="FootnoteReference"/>
          <w:rFonts w:ascii="Cambria" w:hAnsi="Cambria"/>
          <w:sz w:val="20"/>
          <w:szCs w:val="20"/>
        </w:rPr>
        <w:footnoteReference w:id="97"/>
      </w:r>
      <w:r w:rsidR="00102C6B" w:rsidRPr="00B8721C">
        <w:rPr>
          <w:rFonts w:ascii="Cambria" w:hAnsi="Cambria"/>
          <w:sz w:val="20"/>
          <w:szCs w:val="20"/>
        </w:rPr>
        <w:t xml:space="preserve"> </w:t>
      </w:r>
      <w:r w:rsidRPr="00B8721C">
        <w:rPr>
          <w:rFonts w:ascii="Cambria" w:hAnsi="Cambria"/>
          <w:sz w:val="20"/>
          <w:szCs w:val="20"/>
        </w:rPr>
        <w:t>and on May 16</w:t>
      </w:r>
      <w:r w:rsidR="00102C6B" w:rsidRPr="00B8721C">
        <w:rPr>
          <w:rFonts w:ascii="Cambria" w:hAnsi="Cambria"/>
          <w:sz w:val="20"/>
          <w:szCs w:val="20"/>
        </w:rPr>
        <w:t xml:space="preserve">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102C6B" w:rsidRPr="00B8721C">
        <w:rPr>
          <w:rFonts w:ascii="Cambria" w:hAnsi="Cambria"/>
          <w:sz w:val="20"/>
          <w:szCs w:val="20"/>
        </w:rPr>
        <w:t xml:space="preserve"> </w:t>
      </w:r>
      <w:r w:rsidRPr="00B8721C">
        <w:rPr>
          <w:rFonts w:ascii="Cambria" w:hAnsi="Cambria"/>
          <w:sz w:val="20"/>
          <w:szCs w:val="20"/>
        </w:rPr>
        <w:t xml:space="preserve">issued a decision </w:t>
      </w:r>
      <w:r w:rsidR="00E82ECB">
        <w:rPr>
          <w:rFonts w:ascii="Cambria" w:hAnsi="Cambria"/>
          <w:sz w:val="20"/>
          <w:szCs w:val="20"/>
        </w:rPr>
        <w:t xml:space="preserve">both admitting and denying </w:t>
      </w:r>
      <w:r w:rsidRPr="00B8721C">
        <w:rPr>
          <w:rFonts w:ascii="Cambria" w:hAnsi="Cambria"/>
          <w:sz w:val="20"/>
          <w:szCs w:val="20"/>
        </w:rPr>
        <w:t>evidence requested by the civil party,</w:t>
      </w:r>
      <w:r w:rsidR="00102C6B" w:rsidRPr="00B8721C">
        <w:rPr>
          <w:rStyle w:val="FootnoteReference"/>
          <w:rFonts w:ascii="Cambria" w:hAnsi="Cambria"/>
          <w:sz w:val="20"/>
          <w:szCs w:val="20"/>
        </w:rPr>
        <w:footnoteReference w:id="98"/>
      </w:r>
      <w:r w:rsidR="00C911CF" w:rsidRPr="00B8721C">
        <w:rPr>
          <w:rFonts w:ascii="Cambria" w:hAnsi="Cambria"/>
          <w:sz w:val="20"/>
          <w:szCs w:val="20"/>
        </w:rPr>
        <w:t xml:space="preserve"> </w:t>
      </w:r>
      <w:r w:rsidR="002B081D" w:rsidRPr="00B8721C">
        <w:rPr>
          <w:rFonts w:ascii="Cambria" w:hAnsi="Cambria"/>
          <w:sz w:val="20"/>
          <w:szCs w:val="20"/>
        </w:rPr>
        <w:t>and the following day the civil party filed</w:t>
      </w:r>
      <w:r w:rsidR="00C911CF" w:rsidRPr="00B8721C">
        <w:rPr>
          <w:rFonts w:ascii="Cambria" w:hAnsi="Cambria"/>
          <w:sz w:val="20"/>
          <w:szCs w:val="20"/>
        </w:rPr>
        <w:t xml:space="preserve"> </w:t>
      </w:r>
      <w:r w:rsidR="002B081D" w:rsidRPr="00B8721C">
        <w:rPr>
          <w:rFonts w:ascii="Cambria" w:hAnsi="Cambria"/>
          <w:sz w:val="20"/>
          <w:szCs w:val="20"/>
        </w:rPr>
        <w:t>motions for the reconsideration and appeal of that decision.</w:t>
      </w:r>
      <w:r w:rsidR="00C911CF" w:rsidRPr="00B8721C">
        <w:rPr>
          <w:rFonts w:ascii="Cambria" w:hAnsi="Cambria"/>
          <w:sz w:val="20"/>
          <w:szCs w:val="20"/>
        </w:rPr>
        <w:t xml:space="preserve"> </w:t>
      </w:r>
      <w:r w:rsidR="00DA4665" w:rsidRPr="00B8721C">
        <w:rPr>
          <w:rFonts w:ascii="Cambria" w:hAnsi="Cambria"/>
          <w:sz w:val="20"/>
          <w:szCs w:val="20"/>
        </w:rPr>
        <w:t>On May</w:t>
      </w:r>
      <w:r w:rsidR="00BE5AF9" w:rsidRPr="00B8721C">
        <w:rPr>
          <w:rFonts w:ascii="Cambria" w:hAnsi="Cambria"/>
          <w:sz w:val="20"/>
          <w:szCs w:val="20"/>
        </w:rPr>
        <w:t xml:space="preserve"> 23</w:t>
      </w:r>
      <w:r w:rsidR="00DA4665" w:rsidRPr="00B8721C">
        <w:rPr>
          <w:rFonts w:ascii="Cambria" w:hAnsi="Cambria"/>
          <w:sz w:val="20"/>
          <w:szCs w:val="20"/>
        </w:rPr>
        <w:t>,</w:t>
      </w:r>
      <w:r w:rsidR="00BE5AF9" w:rsidRPr="00B8721C">
        <w:rPr>
          <w:rFonts w:ascii="Cambria" w:hAnsi="Cambria"/>
          <w:sz w:val="20"/>
          <w:szCs w:val="20"/>
        </w:rPr>
        <w:t xml:space="preserve"> </w:t>
      </w:r>
      <w:r w:rsidR="00DA4665" w:rsidRPr="00B8721C">
        <w:rPr>
          <w:rFonts w:ascii="Cambria" w:hAnsi="Cambria"/>
          <w:sz w:val="20"/>
          <w:szCs w:val="20"/>
        </w:rPr>
        <w:t>a statement was provided by</w:t>
      </w:r>
      <w:r w:rsidR="00BE5AF9" w:rsidRPr="00B8721C">
        <w:rPr>
          <w:rFonts w:ascii="Cambria" w:hAnsi="Cambria"/>
          <w:sz w:val="20"/>
          <w:szCs w:val="20"/>
        </w:rPr>
        <w:t xml:space="preserve"> Mario Jaimes Mejía, </w:t>
      </w:r>
      <w:r w:rsidR="00DA4665" w:rsidRPr="00B8721C">
        <w:rPr>
          <w:rFonts w:ascii="Cambria" w:hAnsi="Cambria"/>
          <w:sz w:val="20"/>
          <w:szCs w:val="20"/>
        </w:rPr>
        <w:t>who said he was willing to tell the justice authorities everything he knew about what happened to journalist Jineth Bedoya, “as long as the demands made to INPEC are met.</w:t>
      </w:r>
      <w:r w:rsidR="004069D0" w:rsidRPr="00B8721C">
        <w:rPr>
          <w:rFonts w:ascii="Cambria" w:hAnsi="Cambria"/>
          <w:sz w:val="20"/>
          <w:szCs w:val="20"/>
        </w:rPr>
        <w:t>”</w:t>
      </w:r>
      <w:r w:rsidR="004069D0" w:rsidRPr="00B8721C">
        <w:rPr>
          <w:rStyle w:val="FootnoteReference"/>
          <w:rFonts w:ascii="Cambria" w:hAnsi="Cambria"/>
          <w:sz w:val="20"/>
          <w:szCs w:val="20"/>
        </w:rPr>
        <w:footnoteReference w:id="99"/>
      </w:r>
      <w:r w:rsidR="00492284" w:rsidRPr="00B8721C">
        <w:rPr>
          <w:rFonts w:ascii="Cambria" w:hAnsi="Cambria"/>
          <w:sz w:val="20"/>
          <w:szCs w:val="20"/>
        </w:rPr>
        <w:t xml:space="preserve"> </w:t>
      </w:r>
      <w:r w:rsidR="00DA4665" w:rsidRPr="00B8721C">
        <w:rPr>
          <w:rFonts w:ascii="Cambria" w:hAnsi="Cambria"/>
          <w:sz w:val="20"/>
          <w:szCs w:val="20"/>
        </w:rPr>
        <w:t>General</w:t>
      </w:r>
      <w:r w:rsidR="00CD305B" w:rsidRPr="00B8721C">
        <w:rPr>
          <w:rFonts w:ascii="Cambria" w:hAnsi="Cambria"/>
          <w:sz w:val="20"/>
          <w:szCs w:val="20"/>
        </w:rPr>
        <w:t xml:space="preserve"> </w:t>
      </w:r>
      <w:r w:rsidR="00DA4665" w:rsidRPr="00B8721C">
        <w:rPr>
          <w:rFonts w:ascii="Cambria" w:hAnsi="Cambria"/>
          <w:sz w:val="20"/>
          <w:szCs w:val="20"/>
        </w:rPr>
        <w:t xml:space="preserve">Gallego did not appear on the scheduled date and the </w:t>
      </w:r>
      <w:r w:rsidR="00DA4665" w:rsidRPr="00B8721C">
        <w:rPr>
          <w:rFonts w:ascii="Cambria" w:hAnsi="Cambria"/>
          <w:sz w:val="20"/>
          <w:szCs w:val="20"/>
        </w:rPr>
        <w:lastRenderedPageBreak/>
        <w:t xml:space="preserve">proceeding was postponed; General Oscar Naranjo's statement was also not received on time. On June 8, 2011, the </w:t>
      </w:r>
      <w:r w:rsidR="00E82ECB">
        <w:rPr>
          <w:rFonts w:ascii="Cambria" w:hAnsi="Cambria"/>
          <w:sz w:val="20"/>
          <w:szCs w:val="20"/>
        </w:rPr>
        <w:t>Prosecutor’s</w:t>
      </w:r>
      <w:r w:rsidR="00DA4665" w:rsidRPr="00B8721C">
        <w:rPr>
          <w:rFonts w:ascii="Cambria" w:hAnsi="Cambria"/>
          <w:sz w:val="20"/>
          <w:szCs w:val="20"/>
        </w:rPr>
        <w:t xml:space="preserve"> Office issued a resolution on the motion for reconsideration filed by the civil party and ordered the evidence she had requested.</w:t>
      </w:r>
      <w:r w:rsidR="00CF6E00" w:rsidRPr="00B8721C">
        <w:rPr>
          <w:rStyle w:val="FootnoteReference"/>
          <w:rFonts w:ascii="Cambria" w:hAnsi="Cambria"/>
          <w:sz w:val="20"/>
          <w:szCs w:val="20"/>
        </w:rPr>
        <w:footnoteReference w:id="100"/>
      </w:r>
      <w:r w:rsidR="00CF6E00" w:rsidRPr="00B8721C">
        <w:rPr>
          <w:rFonts w:ascii="Cambria" w:hAnsi="Cambria"/>
          <w:sz w:val="20"/>
          <w:szCs w:val="20"/>
        </w:rPr>
        <w:t xml:space="preserve"> </w:t>
      </w:r>
      <w:r w:rsidR="00DA4665" w:rsidRPr="00B8721C">
        <w:rPr>
          <w:rFonts w:ascii="Cambria" w:hAnsi="Cambria"/>
          <w:sz w:val="20"/>
          <w:szCs w:val="20"/>
        </w:rPr>
        <w:t xml:space="preserve">On June 22, 2011 the </w:t>
      </w:r>
      <w:r w:rsidR="00E82ECB">
        <w:rPr>
          <w:rFonts w:ascii="Cambria" w:hAnsi="Cambria"/>
          <w:sz w:val="20"/>
          <w:szCs w:val="20"/>
        </w:rPr>
        <w:t>Prosecutor’s</w:t>
      </w:r>
      <w:r w:rsidR="00DA4665" w:rsidRPr="00B8721C">
        <w:rPr>
          <w:rFonts w:ascii="Cambria" w:hAnsi="Cambria"/>
          <w:sz w:val="20"/>
          <w:szCs w:val="20"/>
        </w:rPr>
        <w:t xml:space="preserve"> Office ordered Jineth Bedoya to provide a statement in order to establish whether she “ha[d] been subjected to any kind of threats subsequent to the events under investigation.</w:t>
      </w:r>
      <w:r w:rsidR="00317922" w:rsidRPr="00B8721C">
        <w:rPr>
          <w:rFonts w:ascii="Cambria" w:hAnsi="Cambria"/>
          <w:sz w:val="20"/>
          <w:szCs w:val="20"/>
        </w:rPr>
        <w:t>”</w:t>
      </w:r>
      <w:r w:rsidR="00317922" w:rsidRPr="00B8721C">
        <w:rPr>
          <w:rStyle w:val="FootnoteReference"/>
          <w:rFonts w:ascii="Cambria" w:hAnsi="Cambria"/>
          <w:sz w:val="20"/>
          <w:szCs w:val="20"/>
        </w:rPr>
        <w:footnoteReference w:id="101"/>
      </w:r>
      <w:r w:rsidR="001B2FC0" w:rsidRPr="00B8721C">
        <w:rPr>
          <w:rFonts w:ascii="Cambria" w:hAnsi="Cambria"/>
          <w:sz w:val="20"/>
          <w:szCs w:val="20"/>
        </w:rPr>
        <w:t xml:space="preserve"> </w:t>
      </w:r>
      <w:r w:rsidR="00DA4665" w:rsidRPr="00B8721C">
        <w:rPr>
          <w:rFonts w:ascii="Cambria" w:hAnsi="Cambria"/>
          <w:sz w:val="20"/>
          <w:szCs w:val="20"/>
        </w:rPr>
        <w:t>On June 30, 2011, a new police report was received on the evidentiary proceedings ordered</w:t>
      </w:r>
      <w:r w:rsidR="00DA4665" w:rsidRPr="00B8721C">
        <w:rPr>
          <w:rStyle w:val="FootnoteReference"/>
          <w:rFonts w:ascii="Cambria" w:hAnsi="Cambria"/>
          <w:sz w:val="20"/>
          <w:szCs w:val="20"/>
          <w:vertAlign w:val="baseline"/>
        </w:rPr>
        <w:t>,</w:t>
      </w:r>
      <w:r w:rsidR="007954D3" w:rsidRPr="00B8721C">
        <w:rPr>
          <w:rStyle w:val="FootnoteReference"/>
          <w:rFonts w:ascii="Cambria" w:hAnsi="Cambria"/>
          <w:sz w:val="20"/>
          <w:szCs w:val="20"/>
        </w:rPr>
        <w:footnoteReference w:id="102"/>
      </w:r>
      <w:r w:rsidR="007954D3" w:rsidRPr="00B8721C">
        <w:rPr>
          <w:rFonts w:ascii="Cambria" w:hAnsi="Cambria"/>
          <w:sz w:val="20"/>
          <w:szCs w:val="20"/>
        </w:rPr>
        <w:t xml:space="preserve"> </w:t>
      </w:r>
      <w:r w:rsidR="00DA4665" w:rsidRPr="00B8721C">
        <w:rPr>
          <w:rFonts w:ascii="Cambria" w:hAnsi="Cambria"/>
          <w:sz w:val="20"/>
          <w:szCs w:val="20"/>
        </w:rPr>
        <w:t>and on July 22,</w:t>
      </w:r>
      <w:r w:rsidR="007954D3" w:rsidRPr="00B8721C">
        <w:rPr>
          <w:rFonts w:ascii="Cambria" w:hAnsi="Cambria"/>
          <w:sz w:val="20"/>
          <w:szCs w:val="20"/>
        </w:rPr>
        <w:t xml:space="preserve">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7954D3" w:rsidRPr="00B8721C">
        <w:rPr>
          <w:rFonts w:ascii="Cambria" w:hAnsi="Cambria"/>
          <w:sz w:val="20"/>
          <w:szCs w:val="20"/>
        </w:rPr>
        <w:t xml:space="preserve"> </w:t>
      </w:r>
      <w:r w:rsidR="00DA4665" w:rsidRPr="00B8721C">
        <w:rPr>
          <w:rFonts w:ascii="Cambria" w:hAnsi="Cambria"/>
          <w:sz w:val="20"/>
          <w:szCs w:val="20"/>
        </w:rPr>
        <w:t>ordered new evidence</w:t>
      </w:r>
      <w:r w:rsidR="00492284" w:rsidRPr="00B8721C">
        <w:rPr>
          <w:rFonts w:ascii="Cambria" w:hAnsi="Cambria"/>
          <w:sz w:val="20"/>
          <w:szCs w:val="20"/>
        </w:rPr>
        <w:t xml:space="preserve">, </w:t>
      </w:r>
      <w:r w:rsidR="00DA4665" w:rsidRPr="00B8721C">
        <w:rPr>
          <w:rFonts w:ascii="Cambria" w:hAnsi="Cambria"/>
          <w:sz w:val="20"/>
          <w:szCs w:val="20"/>
        </w:rPr>
        <w:t xml:space="preserve">including interviews of </w:t>
      </w:r>
      <w:r w:rsidR="00492284" w:rsidRPr="00B8721C">
        <w:rPr>
          <w:rFonts w:ascii="Cambria" w:hAnsi="Cambria"/>
          <w:sz w:val="20"/>
          <w:szCs w:val="20"/>
        </w:rPr>
        <w:t xml:space="preserve">Alejandro </w:t>
      </w:r>
      <w:r w:rsidR="00974ACE" w:rsidRPr="00B8721C">
        <w:rPr>
          <w:rFonts w:ascii="Cambria" w:hAnsi="Cambria"/>
          <w:sz w:val="20"/>
          <w:szCs w:val="20"/>
        </w:rPr>
        <w:t>Cárdenas O</w:t>
      </w:r>
      <w:r w:rsidR="00DA4665" w:rsidRPr="00B8721C">
        <w:rPr>
          <w:rFonts w:ascii="Cambria" w:hAnsi="Cambria"/>
          <w:sz w:val="20"/>
          <w:szCs w:val="20"/>
        </w:rPr>
        <w:t>rozco and</w:t>
      </w:r>
      <w:r w:rsidR="00CA26EB" w:rsidRPr="00B8721C">
        <w:rPr>
          <w:rFonts w:ascii="Cambria" w:hAnsi="Cambria"/>
          <w:sz w:val="20"/>
          <w:szCs w:val="20"/>
        </w:rPr>
        <w:t xml:space="preserve"> Jesú</w:t>
      </w:r>
      <w:r w:rsidR="00492284" w:rsidRPr="00B8721C">
        <w:rPr>
          <w:rFonts w:ascii="Cambria" w:hAnsi="Cambria"/>
          <w:sz w:val="20"/>
          <w:szCs w:val="20"/>
        </w:rPr>
        <w:t>s Emiro Pere</w:t>
      </w:r>
      <w:r w:rsidR="00974ACE" w:rsidRPr="00B8721C">
        <w:rPr>
          <w:rFonts w:ascii="Cambria" w:hAnsi="Cambria"/>
          <w:sz w:val="20"/>
          <w:szCs w:val="20"/>
        </w:rPr>
        <w:t>i</w:t>
      </w:r>
      <w:r w:rsidR="00492284" w:rsidRPr="00B8721C">
        <w:rPr>
          <w:rFonts w:ascii="Cambria" w:hAnsi="Cambria"/>
          <w:sz w:val="20"/>
          <w:szCs w:val="20"/>
        </w:rPr>
        <w:t>ra</w:t>
      </w:r>
      <w:r w:rsidR="00DA4665" w:rsidRPr="00B8721C">
        <w:rPr>
          <w:rFonts w:ascii="Cambria" w:hAnsi="Cambria"/>
          <w:sz w:val="20"/>
          <w:szCs w:val="20"/>
        </w:rPr>
        <w:t>,</w:t>
      </w:r>
      <w:r w:rsidR="00492284" w:rsidRPr="00B8721C">
        <w:rPr>
          <w:rFonts w:ascii="Cambria" w:hAnsi="Cambria"/>
          <w:sz w:val="20"/>
          <w:szCs w:val="20"/>
        </w:rPr>
        <w:t xml:space="preserve"> </w:t>
      </w:r>
      <w:r w:rsidR="00DA4665" w:rsidRPr="00B8721C">
        <w:rPr>
          <w:rFonts w:ascii="Cambria" w:hAnsi="Cambria"/>
          <w:sz w:val="20"/>
          <w:szCs w:val="20"/>
        </w:rPr>
        <w:t xml:space="preserve">and it once again ordered that statements be taken from </w:t>
      </w:r>
      <w:r w:rsidR="00492284" w:rsidRPr="00B8721C">
        <w:rPr>
          <w:rFonts w:ascii="Cambria" w:hAnsi="Cambria"/>
          <w:sz w:val="20"/>
          <w:szCs w:val="20"/>
        </w:rPr>
        <w:t xml:space="preserve">Mario Jaimes Mejor </w:t>
      </w:r>
      <w:r w:rsidR="00DA4665" w:rsidRPr="00B8721C">
        <w:rPr>
          <w:rFonts w:ascii="Cambria" w:hAnsi="Cambria"/>
          <w:sz w:val="20"/>
          <w:szCs w:val="20"/>
        </w:rPr>
        <w:t>and G</w:t>
      </w:r>
      <w:r w:rsidR="00492284" w:rsidRPr="00B8721C">
        <w:rPr>
          <w:rFonts w:ascii="Cambria" w:hAnsi="Cambria"/>
          <w:sz w:val="20"/>
          <w:szCs w:val="20"/>
        </w:rPr>
        <w:t>eneral José Gallego</w:t>
      </w:r>
      <w:r w:rsidR="00DA4665" w:rsidRPr="00B8721C">
        <w:rPr>
          <w:rFonts w:ascii="Cambria" w:hAnsi="Cambria"/>
          <w:sz w:val="20"/>
          <w:szCs w:val="20"/>
        </w:rPr>
        <w:t>.</w:t>
      </w:r>
      <w:r w:rsidR="00CA26EB" w:rsidRPr="00B8721C">
        <w:rPr>
          <w:rStyle w:val="FootnoteReference"/>
          <w:rFonts w:ascii="Cambria" w:hAnsi="Cambria"/>
          <w:sz w:val="20"/>
          <w:szCs w:val="20"/>
        </w:rPr>
        <w:footnoteReference w:id="103"/>
      </w:r>
      <w:r w:rsidR="00CD305B" w:rsidRPr="00B8721C">
        <w:rPr>
          <w:rFonts w:ascii="Cambria" w:hAnsi="Cambria"/>
          <w:sz w:val="20"/>
          <w:szCs w:val="20"/>
        </w:rPr>
        <w:t xml:space="preserve"> </w:t>
      </w:r>
      <w:r w:rsidR="00DA4665" w:rsidRPr="00B8721C">
        <w:rPr>
          <w:rFonts w:ascii="Cambria" w:hAnsi="Cambria"/>
          <w:sz w:val="20"/>
          <w:szCs w:val="20"/>
        </w:rPr>
        <w:t xml:space="preserve">On July 28, the statement of Alejandro Cárdenas Orozco, an inmate at La Picota prison, was added to the file. He stated that he was responsible for </w:t>
      </w:r>
      <w:r w:rsidR="00CD70AE" w:rsidRPr="00B8721C">
        <w:rPr>
          <w:rFonts w:ascii="Cambria" w:hAnsi="Cambria"/>
          <w:sz w:val="20"/>
          <w:szCs w:val="20"/>
        </w:rPr>
        <w:t xml:space="preserve">the </w:t>
      </w:r>
      <w:r w:rsidR="00DA4665" w:rsidRPr="00B8721C">
        <w:rPr>
          <w:rFonts w:ascii="Cambria" w:hAnsi="Cambria"/>
          <w:sz w:val="20"/>
          <w:szCs w:val="20"/>
        </w:rPr>
        <w:t>kidnapping</w:t>
      </w:r>
      <w:r w:rsidR="00CD70AE" w:rsidRPr="00B8721C">
        <w:rPr>
          <w:rFonts w:ascii="Cambria" w:hAnsi="Cambria"/>
          <w:sz w:val="20"/>
          <w:szCs w:val="20"/>
        </w:rPr>
        <w:t xml:space="preserve"> of</w:t>
      </w:r>
      <w:r w:rsidR="00DA4665" w:rsidRPr="00B8721C">
        <w:rPr>
          <w:rFonts w:ascii="Cambria" w:hAnsi="Cambria"/>
          <w:sz w:val="20"/>
          <w:szCs w:val="20"/>
        </w:rPr>
        <w:t xml:space="preserve"> Jineth Bedoy</w:t>
      </w:r>
      <w:r w:rsidR="00CD70AE" w:rsidRPr="00B8721C">
        <w:rPr>
          <w:rFonts w:ascii="Cambria" w:hAnsi="Cambria"/>
          <w:sz w:val="20"/>
          <w:szCs w:val="20"/>
        </w:rPr>
        <w:t>a,</w:t>
      </w:r>
      <w:r w:rsidR="00DA4665" w:rsidRPr="00B8721C">
        <w:rPr>
          <w:rFonts w:ascii="Cambria" w:hAnsi="Cambria"/>
          <w:sz w:val="20"/>
          <w:szCs w:val="20"/>
        </w:rPr>
        <w:t xml:space="preserve"> </w:t>
      </w:r>
      <w:r w:rsidR="00CD70AE" w:rsidRPr="00B8721C">
        <w:rPr>
          <w:rFonts w:ascii="Cambria" w:hAnsi="Cambria"/>
          <w:sz w:val="20"/>
          <w:szCs w:val="20"/>
        </w:rPr>
        <w:t>on the orders of the “</w:t>
      </w:r>
      <w:r w:rsidR="00DA4665" w:rsidRPr="00B8721C">
        <w:rPr>
          <w:rFonts w:ascii="Cambria" w:hAnsi="Cambria"/>
          <w:sz w:val="20"/>
          <w:szCs w:val="20"/>
        </w:rPr>
        <w:t>Centauros Bloc.</w:t>
      </w:r>
      <w:r w:rsidR="00773DF6" w:rsidRPr="00B8721C">
        <w:rPr>
          <w:rFonts w:ascii="Cambria" w:hAnsi="Cambria"/>
          <w:sz w:val="20"/>
          <w:szCs w:val="20"/>
        </w:rPr>
        <w:t>”</w:t>
      </w:r>
      <w:r w:rsidR="003D1A3D" w:rsidRPr="00B8721C">
        <w:rPr>
          <w:rStyle w:val="FootnoteReference"/>
          <w:rFonts w:ascii="Cambria" w:hAnsi="Cambria"/>
          <w:sz w:val="20"/>
          <w:szCs w:val="20"/>
        </w:rPr>
        <w:footnoteReference w:id="104"/>
      </w:r>
      <w:r w:rsidR="00CD305B" w:rsidRPr="00B8721C">
        <w:rPr>
          <w:rFonts w:ascii="Cambria" w:hAnsi="Cambria"/>
          <w:sz w:val="20"/>
          <w:szCs w:val="20"/>
        </w:rPr>
        <w:t xml:space="preserve"> </w:t>
      </w:r>
    </w:p>
    <w:p w:rsidR="005965A3" w:rsidRPr="00B8721C" w:rsidRDefault="005965A3" w:rsidP="005965A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EE35EA" w:rsidRPr="00B8721C" w:rsidRDefault="005965A3" w:rsidP="00EE35E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August 5, 2011, the </w:t>
      </w:r>
      <w:r w:rsidR="00E82ECB">
        <w:rPr>
          <w:rFonts w:ascii="Cambria" w:hAnsi="Cambria"/>
          <w:sz w:val="20"/>
          <w:szCs w:val="20"/>
        </w:rPr>
        <w:t>Prosecutor’s</w:t>
      </w:r>
      <w:r w:rsidRPr="00B8721C">
        <w:rPr>
          <w:rFonts w:ascii="Cambria" w:hAnsi="Cambria"/>
          <w:sz w:val="20"/>
          <w:szCs w:val="20"/>
        </w:rPr>
        <w:t xml:space="preserve"> Office ordered the opening of an investigation against Alejandro Cárdenas Orozco.</w:t>
      </w:r>
      <w:r w:rsidR="0054594C" w:rsidRPr="00B8721C">
        <w:rPr>
          <w:rStyle w:val="FootnoteReference"/>
          <w:rFonts w:ascii="Cambria" w:hAnsi="Cambria"/>
          <w:sz w:val="20"/>
          <w:szCs w:val="20"/>
        </w:rPr>
        <w:footnoteReference w:id="105"/>
      </w:r>
      <w:r w:rsidR="0054594C" w:rsidRPr="00B8721C">
        <w:rPr>
          <w:rFonts w:ascii="Cambria" w:hAnsi="Cambria"/>
          <w:sz w:val="20"/>
          <w:szCs w:val="20"/>
        </w:rPr>
        <w:t xml:space="preserve"> </w:t>
      </w:r>
      <w:r w:rsidRPr="00B8721C">
        <w:rPr>
          <w:rFonts w:ascii="Cambria" w:hAnsi="Cambria"/>
          <w:sz w:val="20"/>
          <w:szCs w:val="20"/>
        </w:rPr>
        <w:t xml:space="preserve">On August 11, the </w:t>
      </w:r>
      <w:r w:rsidR="00E82ECB">
        <w:rPr>
          <w:rFonts w:ascii="Cambria" w:hAnsi="Cambria"/>
          <w:sz w:val="20"/>
          <w:szCs w:val="20"/>
        </w:rPr>
        <w:t>Prosecutor’s</w:t>
      </w:r>
      <w:r w:rsidRPr="00B8721C">
        <w:rPr>
          <w:rFonts w:ascii="Cambria" w:hAnsi="Cambria"/>
          <w:sz w:val="20"/>
          <w:szCs w:val="20"/>
        </w:rPr>
        <w:t xml:space="preserve"> Office decided to cancel the proceedings to take a voluntary statement from General Leonardo Gallego, on the grounds of inadmissibility, once the criminal investigation had been opened in the case.</w:t>
      </w:r>
      <w:r w:rsidR="00BA1702" w:rsidRPr="00B8721C">
        <w:rPr>
          <w:rStyle w:val="FootnoteReference"/>
          <w:rFonts w:ascii="Cambria" w:hAnsi="Cambria"/>
          <w:sz w:val="20"/>
          <w:szCs w:val="20"/>
        </w:rPr>
        <w:footnoteReference w:id="106"/>
      </w:r>
      <w:r w:rsidR="00BA1702" w:rsidRPr="00B8721C">
        <w:rPr>
          <w:rFonts w:ascii="Cambria" w:hAnsi="Cambria"/>
          <w:sz w:val="20"/>
          <w:szCs w:val="20"/>
        </w:rPr>
        <w:t xml:space="preserve"> </w:t>
      </w:r>
      <w:r w:rsidRPr="00B8721C">
        <w:rPr>
          <w:rFonts w:ascii="Cambria" w:hAnsi="Cambria"/>
          <w:sz w:val="20"/>
          <w:szCs w:val="20"/>
        </w:rPr>
        <w:t>General Naranjo submitted a written statement on August 18, 2011.</w:t>
      </w:r>
      <w:r w:rsidR="00B9455F" w:rsidRPr="00B8721C">
        <w:rPr>
          <w:rStyle w:val="FootnoteReference"/>
          <w:rFonts w:ascii="Cambria" w:hAnsi="Cambria"/>
          <w:sz w:val="20"/>
          <w:szCs w:val="20"/>
        </w:rPr>
        <w:footnoteReference w:id="107"/>
      </w:r>
      <w:r w:rsidR="00B9455F" w:rsidRPr="00B8721C">
        <w:rPr>
          <w:rFonts w:ascii="Cambria" w:hAnsi="Cambria"/>
          <w:sz w:val="20"/>
          <w:szCs w:val="20"/>
        </w:rPr>
        <w:t xml:space="preserve"> </w:t>
      </w:r>
      <w:r w:rsidR="0038584C" w:rsidRPr="00B8721C">
        <w:rPr>
          <w:rFonts w:ascii="Cambria" w:hAnsi="Cambria"/>
          <w:sz w:val="20"/>
          <w:szCs w:val="20"/>
        </w:rPr>
        <w:t xml:space="preserve"> </w:t>
      </w:r>
    </w:p>
    <w:p w:rsidR="00EE35EA" w:rsidRPr="00B8721C" w:rsidRDefault="00EE35EA" w:rsidP="00EE35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244BCF" w:rsidRPr="00B8721C" w:rsidRDefault="005965A3" w:rsidP="00EE35E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August 23, 2011, an order was issued to reassign the investigation to </w:t>
      </w:r>
      <w:r w:rsidR="002715D3">
        <w:rPr>
          <w:rFonts w:ascii="Cambria" w:hAnsi="Cambria"/>
          <w:sz w:val="20"/>
          <w:szCs w:val="20"/>
        </w:rPr>
        <w:t>Office of the 49</w:t>
      </w:r>
      <w:r w:rsidR="002715D3" w:rsidRPr="002715D3">
        <w:rPr>
          <w:rFonts w:ascii="Cambria" w:hAnsi="Cambria"/>
          <w:sz w:val="20"/>
          <w:szCs w:val="20"/>
          <w:vertAlign w:val="superscript"/>
        </w:rPr>
        <w:t xml:space="preserve">th </w:t>
      </w:r>
      <w:r w:rsidR="002715D3">
        <w:rPr>
          <w:rFonts w:ascii="Cambria" w:hAnsi="Cambria"/>
          <w:sz w:val="20"/>
          <w:szCs w:val="20"/>
        </w:rPr>
        <w:t>Special Prosecutor of the National Human Rights Unit</w:t>
      </w:r>
      <w:r w:rsidRPr="00B8721C">
        <w:rPr>
          <w:rFonts w:ascii="Cambria" w:hAnsi="Cambria"/>
          <w:sz w:val="20"/>
          <w:szCs w:val="20"/>
        </w:rPr>
        <w:t xml:space="preserve"> (</w:t>
      </w:r>
      <w:r w:rsidR="00D4792C" w:rsidRPr="00B8721C">
        <w:rPr>
          <w:rFonts w:ascii="Cambria" w:hAnsi="Cambria"/>
          <w:sz w:val="20"/>
          <w:szCs w:val="20"/>
        </w:rPr>
        <w:t>NHRU</w:t>
      </w:r>
      <w:r w:rsidRPr="00B8721C">
        <w:rPr>
          <w:rFonts w:ascii="Cambria" w:hAnsi="Cambria"/>
          <w:sz w:val="20"/>
          <w:szCs w:val="20"/>
        </w:rPr>
        <w:t>).</w:t>
      </w:r>
      <w:r w:rsidR="007921CC" w:rsidRPr="00B8721C">
        <w:rPr>
          <w:rStyle w:val="FootnoteReference"/>
          <w:rFonts w:ascii="Cambria" w:hAnsi="Cambria"/>
          <w:sz w:val="20"/>
          <w:szCs w:val="20"/>
        </w:rPr>
        <w:footnoteReference w:id="108"/>
      </w:r>
      <w:r w:rsidR="004F69CF" w:rsidRPr="00B8721C">
        <w:rPr>
          <w:rFonts w:ascii="Cambria" w:hAnsi="Cambria"/>
          <w:sz w:val="20"/>
          <w:szCs w:val="20"/>
        </w:rPr>
        <w:t xml:space="preserve"> </w:t>
      </w:r>
      <w:r w:rsidRPr="00B8721C">
        <w:rPr>
          <w:rFonts w:ascii="Cambria" w:hAnsi="Cambria"/>
          <w:sz w:val="20"/>
          <w:szCs w:val="20"/>
        </w:rPr>
        <w:t xml:space="preserve">On September </w:t>
      </w:r>
      <w:r w:rsidR="00B2613C" w:rsidRPr="00B8721C">
        <w:rPr>
          <w:rFonts w:ascii="Cambria" w:hAnsi="Cambria"/>
          <w:sz w:val="20"/>
          <w:szCs w:val="20"/>
        </w:rPr>
        <w:t>2</w:t>
      </w:r>
      <w:r w:rsidRPr="00B8721C">
        <w:rPr>
          <w:rFonts w:ascii="Cambria" w:hAnsi="Cambria"/>
          <w:sz w:val="20"/>
          <w:szCs w:val="20"/>
        </w:rPr>
        <w:t>,</w:t>
      </w:r>
      <w:r w:rsidR="00B2613C" w:rsidRPr="00B8721C">
        <w:rPr>
          <w:rFonts w:ascii="Cambria" w:hAnsi="Cambria"/>
          <w:sz w:val="20"/>
          <w:szCs w:val="20"/>
        </w:rPr>
        <w:t xml:space="preserve"> 2011, </w:t>
      </w:r>
      <w:r w:rsidR="002715D3">
        <w:rPr>
          <w:rFonts w:ascii="Cambria" w:hAnsi="Cambria"/>
          <w:sz w:val="20"/>
          <w:szCs w:val="20"/>
        </w:rPr>
        <w:t>Office of the 49</w:t>
      </w:r>
      <w:r w:rsidR="002715D3" w:rsidRPr="002715D3">
        <w:rPr>
          <w:rFonts w:ascii="Cambria" w:hAnsi="Cambria"/>
          <w:sz w:val="20"/>
          <w:szCs w:val="20"/>
          <w:vertAlign w:val="superscript"/>
        </w:rPr>
        <w:t>th</w:t>
      </w:r>
      <w:r w:rsidR="002715D3">
        <w:rPr>
          <w:rFonts w:ascii="Cambria" w:hAnsi="Cambria"/>
          <w:sz w:val="20"/>
          <w:szCs w:val="20"/>
        </w:rPr>
        <w:t xml:space="preserve"> Special Prosecutor</w:t>
      </w:r>
      <w:r w:rsidR="00B2613C" w:rsidRPr="00B8721C">
        <w:rPr>
          <w:rFonts w:ascii="Cambria" w:hAnsi="Cambria"/>
          <w:sz w:val="20"/>
          <w:szCs w:val="20"/>
        </w:rPr>
        <w:t xml:space="preserve"> </w:t>
      </w:r>
      <w:r w:rsidRPr="00B8721C">
        <w:rPr>
          <w:rFonts w:ascii="Cambria" w:hAnsi="Cambria"/>
          <w:sz w:val="20"/>
          <w:szCs w:val="20"/>
        </w:rPr>
        <w:t>took charge of</w:t>
      </w:r>
      <w:r w:rsidR="00CC1B0A" w:rsidRPr="00B8721C">
        <w:rPr>
          <w:rFonts w:ascii="Cambria" w:hAnsi="Cambria"/>
          <w:sz w:val="20"/>
          <w:szCs w:val="20"/>
        </w:rPr>
        <w:t xml:space="preserve"> the investigation and, among other proceedings, ordered </w:t>
      </w:r>
      <w:r w:rsidR="004F69CF" w:rsidRPr="00B8721C">
        <w:rPr>
          <w:rFonts w:ascii="Cambria" w:hAnsi="Cambria"/>
          <w:sz w:val="20"/>
          <w:szCs w:val="20"/>
        </w:rPr>
        <w:t>Alejandro Cárdenas Orozco</w:t>
      </w:r>
      <w:r w:rsidR="00CC1B0A" w:rsidRPr="00B8721C">
        <w:rPr>
          <w:rFonts w:ascii="Cambria" w:hAnsi="Cambria"/>
          <w:sz w:val="20"/>
          <w:szCs w:val="20"/>
        </w:rPr>
        <w:t xml:space="preserve"> to be bound over for investigation.</w:t>
      </w:r>
      <w:r w:rsidR="004F69CF" w:rsidRPr="00B8721C">
        <w:rPr>
          <w:rStyle w:val="FootnoteReference"/>
          <w:rFonts w:ascii="Cambria" w:hAnsi="Cambria"/>
          <w:sz w:val="20"/>
          <w:szCs w:val="20"/>
        </w:rPr>
        <w:footnoteReference w:id="109"/>
      </w:r>
      <w:r w:rsidR="004F69CF" w:rsidRPr="00B8721C">
        <w:rPr>
          <w:rFonts w:ascii="Cambria" w:hAnsi="Cambria"/>
          <w:sz w:val="20"/>
          <w:szCs w:val="20"/>
        </w:rPr>
        <w:t xml:space="preserve"> </w:t>
      </w:r>
      <w:r w:rsidR="00B72A61" w:rsidRPr="00B8721C">
        <w:rPr>
          <w:rFonts w:ascii="Cambria" w:hAnsi="Cambria"/>
          <w:sz w:val="20"/>
          <w:szCs w:val="20"/>
        </w:rPr>
        <w:t xml:space="preserve"> </w:t>
      </w:r>
      <w:r w:rsidR="00CC1B0A" w:rsidRPr="00B8721C">
        <w:rPr>
          <w:rFonts w:ascii="Cambria" w:hAnsi="Cambria"/>
          <w:sz w:val="20"/>
          <w:szCs w:val="20"/>
        </w:rPr>
        <w:t>On September</w:t>
      </w:r>
      <w:r w:rsidR="00B2613C" w:rsidRPr="00B8721C">
        <w:rPr>
          <w:rFonts w:ascii="Cambria" w:hAnsi="Cambria"/>
          <w:sz w:val="20"/>
          <w:szCs w:val="20"/>
        </w:rPr>
        <w:t xml:space="preserve"> </w:t>
      </w:r>
      <w:r w:rsidR="007143EA" w:rsidRPr="00B8721C">
        <w:rPr>
          <w:rFonts w:ascii="Cambria" w:hAnsi="Cambria"/>
          <w:sz w:val="20"/>
          <w:szCs w:val="20"/>
        </w:rPr>
        <w:t>13</w:t>
      </w:r>
      <w:r w:rsidR="00CC1B0A" w:rsidRPr="00B8721C">
        <w:rPr>
          <w:rFonts w:ascii="Cambria" w:hAnsi="Cambria"/>
          <w:sz w:val="20"/>
          <w:szCs w:val="20"/>
        </w:rPr>
        <w:t>,</w:t>
      </w:r>
      <w:r w:rsidR="007143EA" w:rsidRPr="00B8721C">
        <w:rPr>
          <w:rFonts w:ascii="Cambria" w:hAnsi="Cambria"/>
          <w:sz w:val="20"/>
          <w:szCs w:val="20"/>
        </w:rPr>
        <w:t xml:space="preserve"> 2011, </w:t>
      </w:r>
      <w:r w:rsidR="00CC1B0A" w:rsidRPr="00B8721C">
        <w:rPr>
          <w:rFonts w:ascii="Cambria" w:hAnsi="Cambria"/>
          <w:sz w:val="20"/>
          <w:szCs w:val="20"/>
        </w:rPr>
        <w:t>the statement provided by Alejandro Cárdenas Orozco in the Justice and Peace Court on September 6 was added to the case file.</w:t>
      </w:r>
      <w:r w:rsidR="00E00CFC" w:rsidRPr="00B8721C">
        <w:rPr>
          <w:rStyle w:val="FootnoteReference"/>
          <w:rFonts w:ascii="Cambria" w:hAnsi="Cambria"/>
          <w:sz w:val="20"/>
          <w:szCs w:val="20"/>
        </w:rPr>
        <w:footnoteReference w:id="110"/>
      </w:r>
      <w:r w:rsidR="00CC1B0A" w:rsidRPr="00B8721C">
        <w:rPr>
          <w:rFonts w:ascii="Cambria" w:hAnsi="Cambria"/>
          <w:sz w:val="20"/>
          <w:szCs w:val="20"/>
        </w:rPr>
        <w:t xml:space="preserve"> In that statement, he claimed responsibility for the </w:t>
      </w:r>
      <w:r w:rsidR="0082252F">
        <w:rPr>
          <w:rFonts w:ascii="Cambria" w:hAnsi="Cambria"/>
          <w:sz w:val="20"/>
          <w:szCs w:val="20"/>
        </w:rPr>
        <w:t>journalist’s</w:t>
      </w:r>
      <w:r w:rsidR="00CC1B0A" w:rsidRPr="00B8721C">
        <w:rPr>
          <w:rFonts w:ascii="Cambria" w:hAnsi="Cambria"/>
          <w:sz w:val="20"/>
          <w:szCs w:val="20"/>
        </w:rPr>
        <w:t xml:space="preserve"> kidnapping.</w:t>
      </w:r>
      <w:r w:rsidR="00906F2A" w:rsidRPr="00B8721C">
        <w:rPr>
          <w:rFonts w:ascii="Cambria" w:hAnsi="Cambria"/>
          <w:sz w:val="20"/>
          <w:szCs w:val="20"/>
        </w:rPr>
        <w:t xml:space="preserve"> </w:t>
      </w:r>
      <w:r w:rsidR="00CC1B0A" w:rsidRPr="00B8721C">
        <w:rPr>
          <w:rFonts w:ascii="Cambria" w:hAnsi="Cambria"/>
          <w:sz w:val="20"/>
          <w:szCs w:val="20"/>
        </w:rPr>
        <w:t xml:space="preserve">On September 13 and October 12, 2011, the </w:t>
      </w:r>
      <w:r w:rsidR="00E82ECB">
        <w:rPr>
          <w:rFonts w:ascii="Cambria" w:hAnsi="Cambria"/>
          <w:sz w:val="20"/>
          <w:szCs w:val="20"/>
        </w:rPr>
        <w:t>Prosecutor’s</w:t>
      </w:r>
      <w:r w:rsidR="00CC1B0A" w:rsidRPr="00B8721C">
        <w:rPr>
          <w:rFonts w:ascii="Cambria" w:hAnsi="Cambria"/>
          <w:sz w:val="20"/>
          <w:szCs w:val="20"/>
        </w:rPr>
        <w:t xml:space="preserve"> Office ordered several proceedings and evidentiary measures to be taken.</w:t>
      </w:r>
      <w:r w:rsidR="00370CC4" w:rsidRPr="00B8721C">
        <w:rPr>
          <w:rStyle w:val="FootnoteReference"/>
          <w:rFonts w:ascii="Cambria" w:hAnsi="Cambria"/>
          <w:sz w:val="20"/>
          <w:szCs w:val="20"/>
        </w:rPr>
        <w:footnoteReference w:id="111"/>
      </w:r>
      <w:r w:rsidR="00E00CFC" w:rsidRPr="00B8721C">
        <w:rPr>
          <w:rFonts w:ascii="Cambria" w:hAnsi="Cambria"/>
          <w:sz w:val="20"/>
          <w:szCs w:val="20"/>
        </w:rPr>
        <w:t xml:space="preserve"> </w:t>
      </w:r>
      <w:r w:rsidR="00CC1B0A" w:rsidRPr="00B8721C">
        <w:rPr>
          <w:rFonts w:ascii="Cambria" w:hAnsi="Cambria"/>
          <w:sz w:val="20"/>
          <w:szCs w:val="20"/>
        </w:rPr>
        <w:t>This was followed by the taking of statements from several witnesses, and another statement was provided by Jineth Bedoya Lima on November 26, 2011.</w:t>
      </w:r>
      <w:r w:rsidR="00C07F7E" w:rsidRPr="00B8721C">
        <w:rPr>
          <w:rStyle w:val="FootnoteReference"/>
          <w:rFonts w:ascii="Cambria" w:hAnsi="Cambria"/>
          <w:sz w:val="20"/>
          <w:szCs w:val="20"/>
        </w:rPr>
        <w:footnoteReference w:id="112"/>
      </w:r>
      <w:r w:rsidR="0038584C" w:rsidRPr="00B8721C">
        <w:rPr>
          <w:rFonts w:ascii="Cambria" w:hAnsi="Cambria"/>
          <w:sz w:val="20"/>
          <w:szCs w:val="20"/>
        </w:rPr>
        <w:t xml:space="preserve"> </w:t>
      </w:r>
      <w:r w:rsidR="00CC1B0A" w:rsidRPr="00B8721C">
        <w:rPr>
          <w:rFonts w:ascii="Cambria" w:hAnsi="Cambria"/>
          <w:sz w:val="20"/>
          <w:szCs w:val="20"/>
        </w:rPr>
        <w:t xml:space="preserve">That day, after the victim’s statement, the </w:t>
      </w:r>
      <w:r w:rsidR="00E82ECB">
        <w:rPr>
          <w:rFonts w:ascii="Cambria" w:hAnsi="Cambria"/>
          <w:sz w:val="20"/>
          <w:szCs w:val="20"/>
        </w:rPr>
        <w:t>Prosecutor’s</w:t>
      </w:r>
      <w:r w:rsidR="00CC1B0A" w:rsidRPr="00B8721C">
        <w:rPr>
          <w:rFonts w:ascii="Cambria" w:hAnsi="Cambria"/>
          <w:sz w:val="20"/>
          <w:szCs w:val="20"/>
        </w:rPr>
        <w:t xml:space="preserve"> Office issued a resolution ordering </w:t>
      </w:r>
      <w:r w:rsidR="00FE2E09" w:rsidRPr="00B8721C">
        <w:rPr>
          <w:rFonts w:ascii="Cambria" w:hAnsi="Cambria"/>
          <w:sz w:val="20"/>
          <w:szCs w:val="20"/>
        </w:rPr>
        <w:t>that</w:t>
      </w:r>
      <w:r w:rsidR="00CC1B0A" w:rsidRPr="00B8721C">
        <w:rPr>
          <w:rFonts w:ascii="Cambria" w:hAnsi="Cambria"/>
          <w:sz w:val="20"/>
          <w:szCs w:val="20"/>
        </w:rPr>
        <w:t xml:space="preserve"> Jesús Emiro Pereira Rivera </w:t>
      </w:r>
      <w:r w:rsidR="00FE2E09" w:rsidRPr="00B8721C">
        <w:rPr>
          <w:rFonts w:ascii="Cambria" w:hAnsi="Cambria"/>
          <w:sz w:val="20"/>
          <w:szCs w:val="20"/>
        </w:rPr>
        <w:t xml:space="preserve">be bound over for investigation </w:t>
      </w:r>
      <w:r w:rsidR="00CC1B0A" w:rsidRPr="00B8721C">
        <w:rPr>
          <w:rFonts w:ascii="Cambria" w:hAnsi="Cambria"/>
          <w:sz w:val="20"/>
          <w:szCs w:val="20"/>
        </w:rPr>
        <w:t xml:space="preserve">on charges of </w:t>
      </w:r>
      <w:r w:rsidR="0082252F">
        <w:rPr>
          <w:rFonts w:ascii="Cambria" w:hAnsi="Cambria"/>
          <w:sz w:val="20"/>
          <w:szCs w:val="20"/>
        </w:rPr>
        <w:t>“</w:t>
      </w:r>
      <w:r w:rsidR="001C3381" w:rsidRPr="0082252F">
        <w:rPr>
          <w:rFonts w:ascii="Cambria" w:hAnsi="Cambria"/>
          <w:sz w:val="20"/>
          <w:szCs w:val="20"/>
        </w:rPr>
        <w:t>aggravated</w:t>
      </w:r>
      <w:r w:rsidR="00CC1B0A" w:rsidRPr="0082252F">
        <w:rPr>
          <w:rFonts w:ascii="Cambria" w:hAnsi="Cambria"/>
          <w:sz w:val="20"/>
          <w:szCs w:val="20"/>
        </w:rPr>
        <w:t xml:space="preserve"> kidnapping, in teleological connection with torture against a protected person and </w:t>
      </w:r>
      <w:r w:rsidR="001C3381" w:rsidRPr="0082252F">
        <w:rPr>
          <w:rFonts w:ascii="Cambria" w:hAnsi="Cambria"/>
          <w:sz w:val="20"/>
          <w:szCs w:val="20"/>
        </w:rPr>
        <w:t xml:space="preserve">violent aggravated </w:t>
      </w:r>
      <w:r w:rsidR="00CC1B0A" w:rsidRPr="0082252F">
        <w:rPr>
          <w:rFonts w:ascii="Cambria" w:hAnsi="Cambria"/>
          <w:sz w:val="20"/>
          <w:szCs w:val="20"/>
        </w:rPr>
        <w:t>sexual assault against a protected person</w:t>
      </w:r>
      <w:r w:rsidR="00FE2E09" w:rsidRPr="00B8721C">
        <w:rPr>
          <w:rFonts w:ascii="Cambria" w:hAnsi="Cambria"/>
          <w:sz w:val="20"/>
          <w:szCs w:val="20"/>
        </w:rPr>
        <w:t>.</w:t>
      </w:r>
      <w:r w:rsidR="0082252F">
        <w:rPr>
          <w:rFonts w:ascii="Cambria" w:hAnsi="Cambria"/>
          <w:sz w:val="20"/>
          <w:szCs w:val="20"/>
        </w:rPr>
        <w:t>”</w:t>
      </w:r>
      <w:r w:rsidR="00FE2E09" w:rsidRPr="00B8721C">
        <w:rPr>
          <w:rFonts w:ascii="Cambria" w:hAnsi="Cambria"/>
          <w:sz w:val="20"/>
          <w:szCs w:val="20"/>
        </w:rPr>
        <w:t xml:space="preserve"> The </w:t>
      </w:r>
      <w:r w:rsidR="00E82ECB">
        <w:rPr>
          <w:rFonts w:ascii="Cambria" w:hAnsi="Cambria"/>
          <w:sz w:val="20"/>
          <w:szCs w:val="20"/>
        </w:rPr>
        <w:t>Prosecutor’s</w:t>
      </w:r>
      <w:r w:rsidR="00CC1B0A" w:rsidRPr="00B8721C">
        <w:rPr>
          <w:rFonts w:ascii="Cambria" w:hAnsi="Cambria"/>
          <w:sz w:val="20"/>
          <w:szCs w:val="20"/>
        </w:rPr>
        <w:t xml:space="preserve"> Office further ordered that a statement be taken from </w:t>
      </w:r>
      <w:r w:rsidR="00FE2E09" w:rsidRPr="00B8721C">
        <w:rPr>
          <w:rFonts w:ascii="Cambria" w:hAnsi="Cambria"/>
          <w:sz w:val="20"/>
          <w:szCs w:val="20"/>
        </w:rPr>
        <w:lastRenderedPageBreak/>
        <w:t>Pereira Rivera</w:t>
      </w:r>
      <w:r w:rsidR="00CC1B0A" w:rsidRPr="00B8721C">
        <w:rPr>
          <w:rFonts w:ascii="Cambria" w:hAnsi="Cambria"/>
          <w:sz w:val="20"/>
          <w:szCs w:val="20"/>
        </w:rPr>
        <w:t>.</w:t>
      </w:r>
      <w:r w:rsidR="001A4702" w:rsidRPr="00B8721C">
        <w:rPr>
          <w:rStyle w:val="FootnoteReference"/>
          <w:rFonts w:ascii="Cambria" w:hAnsi="Cambria"/>
          <w:sz w:val="20"/>
          <w:szCs w:val="20"/>
        </w:rPr>
        <w:footnoteReference w:id="113"/>
      </w:r>
      <w:r w:rsidR="00FE2E09" w:rsidRPr="00B8721C">
        <w:rPr>
          <w:rFonts w:ascii="Cambria" w:hAnsi="Cambria"/>
          <w:sz w:val="20"/>
          <w:szCs w:val="20"/>
        </w:rPr>
        <w:t xml:space="preserve"> On December</w:t>
      </w:r>
      <w:r w:rsidR="001A4702" w:rsidRPr="00B8721C">
        <w:rPr>
          <w:rFonts w:ascii="Cambria" w:hAnsi="Cambria"/>
          <w:sz w:val="20"/>
          <w:szCs w:val="20"/>
        </w:rPr>
        <w:t xml:space="preserve"> 2</w:t>
      </w:r>
      <w:r w:rsidR="00FE2E09" w:rsidRPr="00B8721C">
        <w:rPr>
          <w:rFonts w:ascii="Cambria" w:hAnsi="Cambria"/>
          <w:sz w:val="20"/>
          <w:szCs w:val="20"/>
        </w:rPr>
        <w:t>,</w:t>
      </w:r>
      <w:r w:rsidR="001A4702" w:rsidRPr="00B8721C">
        <w:rPr>
          <w:rFonts w:ascii="Cambria" w:hAnsi="Cambria"/>
          <w:sz w:val="20"/>
          <w:szCs w:val="20"/>
        </w:rPr>
        <w:t xml:space="preserve"> 2011,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FD1144" w:rsidRPr="00B8721C">
        <w:rPr>
          <w:rFonts w:ascii="Cambria" w:hAnsi="Cambria"/>
          <w:sz w:val="20"/>
          <w:szCs w:val="20"/>
        </w:rPr>
        <w:t xml:space="preserve"> </w:t>
      </w:r>
      <w:r w:rsidR="003F78F8" w:rsidRPr="00B8721C">
        <w:rPr>
          <w:rFonts w:ascii="Cambria" w:hAnsi="Cambria"/>
          <w:sz w:val="20"/>
          <w:szCs w:val="20"/>
        </w:rPr>
        <w:t xml:space="preserve">took </w:t>
      </w:r>
      <w:r w:rsidR="00EE35EA" w:rsidRPr="00B8721C">
        <w:rPr>
          <w:rFonts w:ascii="Cambria" w:hAnsi="Cambria"/>
          <w:sz w:val="20"/>
          <w:szCs w:val="20"/>
        </w:rPr>
        <w:t>new</w:t>
      </w:r>
      <w:r w:rsidR="003F78F8" w:rsidRPr="00B8721C">
        <w:rPr>
          <w:rFonts w:ascii="Cambria" w:hAnsi="Cambria"/>
          <w:sz w:val="20"/>
          <w:szCs w:val="20"/>
        </w:rPr>
        <w:t xml:space="preserve"> </w:t>
      </w:r>
      <w:r w:rsidR="003F78F8" w:rsidRPr="0082252F">
        <w:rPr>
          <w:rFonts w:ascii="Cambria" w:hAnsi="Cambria"/>
          <w:sz w:val="20"/>
          <w:szCs w:val="20"/>
        </w:rPr>
        <w:t>formal statement</w:t>
      </w:r>
      <w:r w:rsidR="00733E86" w:rsidRPr="0082252F">
        <w:rPr>
          <w:rFonts w:ascii="Cambria" w:hAnsi="Cambria"/>
          <w:sz w:val="20"/>
          <w:szCs w:val="20"/>
        </w:rPr>
        <w:t>s</w:t>
      </w:r>
      <w:r w:rsidR="00FD1144" w:rsidRPr="00B8721C">
        <w:rPr>
          <w:rFonts w:ascii="Cambria" w:hAnsi="Cambria"/>
          <w:sz w:val="20"/>
          <w:szCs w:val="20"/>
        </w:rPr>
        <w:t xml:space="preserve"> </w:t>
      </w:r>
      <w:r w:rsidR="00EE35EA" w:rsidRPr="00B8721C">
        <w:rPr>
          <w:rFonts w:ascii="Cambria" w:hAnsi="Cambria"/>
          <w:sz w:val="20"/>
          <w:szCs w:val="20"/>
        </w:rPr>
        <w:t>from</w:t>
      </w:r>
      <w:r w:rsidR="00FE2E09" w:rsidRPr="00B8721C">
        <w:rPr>
          <w:rFonts w:ascii="Cambria" w:hAnsi="Cambria"/>
          <w:sz w:val="20"/>
          <w:szCs w:val="20"/>
        </w:rPr>
        <w:t xml:space="preserve"> the alleged perpetrators</w:t>
      </w:r>
      <w:r w:rsidR="001F2F24" w:rsidRPr="00B8721C">
        <w:rPr>
          <w:rFonts w:ascii="Cambria" w:hAnsi="Cambria"/>
          <w:sz w:val="20"/>
          <w:szCs w:val="20"/>
        </w:rPr>
        <w:t>, Jesú</w:t>
      </w:r>
      <w:r w:rsidR="00FD1144" w:rsidRPr="00B8721C">
        <w:rPr>
          <w:rFonts w:ascii="Cambria" w:hAnsi="Cambria"/>
          <w:sz w:val="20"/>
          <w:szCs w:val="20"/>
        </w:rPr>
        <w:t xml:space="preserve">s Emiro Pereira, </w:t>
      </w:r>
      <w:r w:rsidR="001F2F24" w:rsidRPr="00B8721C">
        <w:rPr>
          <w:rFonts w:ascii="Cambria" w:hAnsi="Cambria"/>
          <w:sz w:val="20"/>
          <w:szCs w:val="20"/>
        </w:rPr>
        <w:t>Mario Jaimes Mejia</w:t>
      </w:r>
      <w:r w:rsidR="00FE2E09" w:rsidRPr="00B8721C">
        <w:rPr>
          <w:rFonts w:ascii="Cambria" w:hAnsi="Cambria"/>
          <w:sz w:val="20"/>
          <w:szCs w:val="20"/>
        </w:rPr>
        <w:t>, and</w:t>
      </w:r>
      <w:r w:rsidR="001F2F24" w:rsidRPr="00B8721C">
        <w:rPr>
          <w:rFonts w:ascii="Cambria" w:hAnsi="Cambria"/>
          <w:sz w:val="20"/>
          <w:szCs w:val="20"/>
        </w:rPr>
        <w:t xml:space="preserve"> Alejandro</w:t>
      </w:r>
      <w:r w:rsidR="00FD1144" w:rsidRPr="00B8721C">
        <w:rPr>
          <w:rFonts w:ascii="Cambria" w:hAnsi="Cambria"/>
          <w:sz w:val="20"/>
          <w:szCs w:val="20"/>
        </w:rPr>
        <w:t xml:space="preserve"> Cárdenas Orozco</w:t>
      </w:r>
      <w:r w:rsidR="00FE2E09" w:rsidRPr="00B8721C">
        <w:rPr>
          <w:rFonts w:ascii="Cambria" w:hAnsi="Cambria"/>
          <w:sz w:val="20"/>
          <w:szCs w:val="20"/>
        </w:rPr>
        <w:t>.</w:t>
      </w:r>
      <w:r w:rsidR="00733E86" w:rsidRPr="00B8721C">
        <w:rPr>
          <w:rStyle w:val="FootnoteReference"/>
          <w:rFonts w:ascii="Cambria" w:hAnsi="Cambria"/>
          <w:sz w:val="20"/>
          <w:szCs w:val="20"/>
        </w:rPr>
        <w:footnoteReference w:id="114"/>
      </w:r>
    </w:p>
    <w:p w:rsidR="00550392" w:rsidRPr="00B8721C" w:rsidRDefault="00550392" w:rsidP="005A03C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FE47EB" w:rsidRPr="00B8721C" w:rsidRDefault="00D041C3" w:rsidP="00FE47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On February </w:t>
      </w:r>
      <w:r w:rsidR="00B2613C" w:rsidRPr="00B8721C">
        <w:rPr>
          <w:rFonts w:ascii="Cambria" w:hAnsi="Cambria"/>
          <w:sz w:val="20"/>
          <w:szCs w:val="20"/>
        </w:rPr>
        <w:t>6</w:t>
      </w:r>
      <w:r w:rsidRPr="00B8721C">
        <w:rPr>
          <w:rFonts w:ascii="Cambria" w:hAnsi="Cambria"/>
          <w:sz w:val="20"/>
          <w:szCs w:val="20"/>
        </w:rPr>
        <w:t>,</w:t>
      </w:r>
      <w:r w:rsidR="00B2613C" w:rsidRPr="00B8721C">
        <w:rPr>
          <w:rFonts w:ascii="Cambria" w:hAnsi="Cambria"/>
          <w:sz w:val="20"/>
          <w:szCs w:val="20"/>
        </w:rPr>
        <w:t xml:space="preserve"> 2012</w:t>
      </w:r>
      <w:r w:rsidR="001F2F24" w:rsidRPr="00B8721C">
        <w:rPr>
          <w:rFonts w:ascii="Cambria" w:hAnsi="Cambria"/>
          <w:sz w:val="20"/>
          <w:szCs w:val="20"/>
        </w:rPr>
        <w:t>,</w:t>
      </w:r>
      <w:r w:rsidR="00B2613C" w:rsidRPr="00B8721C">
        <w:rPr>
          <w:rFonts w:ascii="Cambria" w:hAnsi="Cambria"/>
          <w:sz w:val="20"/>
          <w:szCs w:val="20"/>
        </w:rPr>
        <w:t xml:space="preserve"> </w:t>
      </w:r>
      <w:r w:rsidRPr="00B8721C">
        <w:rPr>
          <w:rFonts w:ascii="Cambria" w:hAnsi="Cambria"/>
          <w:sz w:val="20"/>
          <w:szCs w:val="20"/>
        </w:rPr>
        <w:t xml:space="preserve">Alejandro Cárdenas Orozco gave a </w:t>
      </w:r>
      <w:r w:rsidR="003F78F8" w:rsidRPr="00B8721C">
        <w:rPr>
          <w:rFonts w:ascii="Cambria" w:hAnsi="Cambria"/>
          <w:sz w:val="20"/>
          <w:szCs w:val="20"/>
        </w:rPr>
        <w:t>formal statement</w:t>
      </w:r>
      <w:r w:rsidR="00B2613C" w:rsidRPr="00B8721C">
        <w:rPr>
          <w:rFonts w:ascii="Cambria" w:hAnsi="Cambria"/>
          <w:sz w:val="20"/>
          <w:szCs w:val="20"/>
        </w:rPr>
        <w:t xml:space="preserve"> </w:t>
      </w:r>
      <w:r w:rsidRPr="00B8721C">
        <w:rPr>
          <w:rFonts w:ascii="Cambria" w:hAnsi="Cambria"/>
          <w:sz w:val="20"/>
          <w:szCs w:val="20"/>
        </w:rPr>
        <w:t>at the</w:t>
      </w:r>
      <w:r w:rsidR="00B2613C" w:rsidRPr="00B8721C">
        <w:rPr>
          <w:rFonts w:ascii="Cambria" w:hAnsi="Cambria"/>
          <w:sz w:val="20"/>
          <w:szCs w:val="20"/>
        </w:rPr>
        <w:t xml:space="preserve"> La Picota </w:t>
      </w:r>
      <w:r w:rsidRPr="00B8721C">
        <w:rPr>
          <w:rFonts w:ascii="Cambria" w:hAnsi="Cambria"/>
          <w:sz w:val="20"/>
          <w:szCs w:val="20"/>
        </w:rPr>
        <w:t xml:space="preserve">Prison in </w:t>
      </w:r>
      <w:r w:rsidR="00B2613C" w:rsidRPr="00B8721C">
        <w:rPr>
          <w:rFonts w:ascii="Cambria" w:hAnsi="Cambria"/>
          <w:sz w:val="20"/>
          <w:szCs w:val="20"/>
        </w:rPr>
        <w:t xml:space="preserve">Bogotá, </w:t>
      </w:r>
      <w:r w:rsidR="001C3381" w:rsidRPr="00B8721C">
        <w:rPr>
          <w:rFonts w:ascii="Cambria" w:hAnsi="Cambria"/>
          <w:sz w:val="20"/>
          <w:szCs w:val="20"/>
        </w:rPr>
        <w:t>in which he admitted the charges of kidnapping and torture, and expressed his willingness to enter into a plea agreement.</w:t>
      </w:r>
      <w:r w:rsidR="00186F86" w:rsidRPr="00B8721C">
        <w:rPr>
          <w:rStyle w:val="FootnoteReference"/>
          <w:rFonts w:ascii="Cambria" w:hAnsi="Cambria"/>
          <w:sz w:val="20"/>
          <w:szCs w:val="20"/>
        </w:rPr>
        <w:footnoteReference w:id="115"/>
      </w:r>
      <w:r w:rsidR="0030045E" w:rsidRPr="00B8721C">
        <w:rPr>
          <w:rFonts w:ascii="Cambria" w:hAnsi="Cambria"/>
          <w:sz w:val="20"/>
          <w:szCs w:val="20"/>
        </w:rPr>
        <w:t xml:space="preserve"> </w:t>
      </w:r>
      <w:r w:rsidR="001C3381" w:rsidRPr="00B8721C">
        <w:rPr>
          <w:rFonts w:ascii="Cambria" w:hAnsi="Cambria"/>
          <w:sz w:val="20"/>
          <w:szCs w:val="20"/>
        </w:rPr>
        <w:t>On February</w:t>
      </w:r>
      <w:r w:rsidR="00B2613C" w:rsidRPr="00B8721C">
        <w:rPr>
          <w:rFonts w:ascii="Cambria" w:hAnsi="Cambria"/>
          <w:sz w:val="20"/>
          <w:szCs w:val="20"/>
        </w:rPr>
        <w:t xml:space="preserve"> 8</w:t>
      </w:r>
      <w:r w:rsidR="001C3381" w:rsidRPr="00B8721C">
        <w:rPr>
          <w:rFonts w:ascii="Cambria" w:hAnsi="Cambria"/>
          <w:sz w:val="20"/>
          <w:szCs w:val="20"/>
        </w:rPr>
        <w:t>,</w:t>
      </w:r>
      <w:r w:rsidR="00B2613C" w:rsidRPr="00B8721C">
        <w:rPr>
          <w:rFonts w:ascii="Cambria" w:hAnsi="Cambria"/>
          <w:sz w:val="20"/>
          <w:szCs w:val="20"/>
        </w:rPr>
        <w:t xml:space="preserve"> 2012 </w:t>
      </w:r>
      <w:r w:rsidR="001C3381" w:rsidRPr="00B8721C">
        <w:rPr>
          <w:rFonts w:ascii="Cambria" w:hAnsi="Cambria"/>
          <w:sz w:val="20"/>
          <w:szCs w:val="20"/>
        </w:rPr>
        <w:t xml:space="preserve">Mario Jaimes Mejía, who denied involvement in the case and denied the charges against him, was bound over for trial </w:t>
      </w:r>
      <w:r w:rsidR="005544F8" w:rsidRPr="00B8721C">
        <w:rPr>
          <w:rFonts w:ascii="Cambria" w:hAnsi="Cambria"/>
          <w:sz w:val="20"/>
          <w:szCs w:val="20"/>
        </w:rPr>
        <w:t>after providing a formal statement.</w:t>
      </w:r>
      <w:r w:rsidR="00275030" w:rsidRPr="00B8721C">
        <w:rPr>
          <w:rStyle w:val="FootnoteReference"/>
          <w:rFonts w:ascii="Cambria" w:hAnsi="Cambria"/>
          <w:sz w:val="20"/>
          <w:szCs w:val="20"/>
        </w:rPr>
        <w:footnoteReference w:id="116"/>
      </w:r>
      <w:r w:rsidR="00B2349E" w:rsidRPr="00B8721C">
        <w:rPr>
          <w:rFonts w:ascii="Cambria" w:hAnsi="Cambria"/>
          <w:sz w:val="20"/>
          <w:szCs w:val="20"/>
        </w:rPr>
        <w:t xml:space="preserve"> </w:t>
      </w:r>
    </w:p>
    <w:p w:rsidR="00FE47EB" w:rsidRPr="00B8721C" w:rsidRDefault="00FE47EB" w:rsidP="00FE47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F0090" w:rsidRPr="00635B5B" w:rsidRDefault="00FE47EB" w:rsidP="001F00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During 2012, a number of statements were given by inmates who allegedly had knowledge of the events, as well as by public officials who participated in the preliminary investigation into the facts of this case. A number of evidentiary proceedings and work missions were also carried out by the CTI. In particular, on April 30, 2012, a supplemental statement was provided by journalist Jineth Bedoya and she was shown a photo array of the alleged perpetrators</w:t>
      </w:r>
      <w:r w:rsidRPr="00635B5B">
        <w:rPr>
          <w:rFonts w:ascii="Cambria" w:hAnsi="Cambria"/>
          <w:sz w:val="20"/>
          <w:szCs w:val="20"/>
        </w:rPr>
        <w:t>, and on June 25, 2012, a judicial inspection was performed on the premises of the National Model Prison in the victim’s presence.</w:t>
      </w:r>
      <w:r w:rsidR="00CE0F8D" w:rsidRPr="00635B5B">
        <w:rPr>
          <w:rStyle w:val="FootnoteReference"/>
          <w:rFonts w:ascii="Cambria" w:hAnsi="Cambria"/>
          <w:sz w:val="20"/>
          <w:szCs w:val="20"/>
        </w:rPr>
        <w:footnoteReference w:id="117"/>
      </w:r>
      <w:r w:rsidR="00B2349E" w:rsidRPr="00635B5B">
        <w:rPr>
          <w:rFonts w:ascii="Cambria" w:hAnsi="Cambria"/>
          <w:sz w:val="20"/>
          <w:szCs w:val="20"/>
        </w:rPr>
        <w:t xml:space="preserve"> </w:t>
      </w:r>
    </w:p>
    <w:p w:rsidR="001F0090" w:rsidRPr="00635B5B" w:rsidRDefault="001F0090" w:rsidP="001F009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A347D2" w:rsidRPr="00635B5B" w:rsidRDefault="001F0090" w:rsidP="00A347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635B5B">
        <w:rPr>
          <w:rFonts w:ascii="Cambria" w:hAnsi="Cambria"/>
          <w:sz w:val="20"/>
          <w:szCs w:val="20"/>
        </w:rPr>
        <w:t>On Sep</w:t>
      </w:r>
      <w:r w:rsidR="008D26B5" w:rsidRPr="00635B5B">
        <w:rPr>
          <w:rFonts w:ascii="Cambria" w:hAnsi="Cambria"/>
          <w:sz w:val="20"/>
          <w:szCs w:val="20"/>
        </w:rPr>
        <w:t xml:space="preserve">tember 10, 2012, the </w:t>
      </w:r>
      <w:r w:rsidR="00E82ECB" w:rsidRPr="00635B5B">
        <w:rPr>
          <w:rFonts w:ascii="Cambria" w:hAnsi="Cambria"/>
          <w:sz w:val="20"/>
          <w:szCs w:val="20"/>
        </w:rPr>
        <w:t>Prosecutor’s</w:t>
      </w:r>
      <w:r w:rsidRPr="00635B5B">
        <w:rPr>
          <w:rFonts w:ascii="Cambria" w:hAnsi="Cambria"/>
          <w:sz w:val="20"/>
          <w:szCs w:val="20"/>
        </w:rPr>
        <w:t xml:space="preserve"> Office issued a resolution declaring that the case involved a crime against humanity. It </w:t>
      </w:r>
      <w:r w:rsidR="008D26B5" w:rsidRPr="00635B5B">
        <w:rPr>
          <w:rFonts w:ascii="Cambria" w:hAnsi="Cambria"/>
          <w:sz w:val="20"/>
          <w:szCs w:val="20"/>
        </w:rPr>
        <w:t xml:space="preserve">issued a determination on </w:t>
      </w:r>
      <w:r w:rsidR="00294CCF" w:rsidRPr="00635B5B">
        <w:rPr>
          <w:rFonts w:ascii="Cambria" w:hAnsi="Cambria"/>
          <w:sz w:val="20"/>
          <w:szCs w:val="20"/>
        </w:rPr>
        <w:t>the legal status</w:t>
      </w:r>
      <w:r w:rsidRPr="00635B5B">
        <w:rPr>
          <w:rFonts w:ascii="Cambria" w:hAnsi="Cambria"/>
          <w:sz w:val="20"/>
          <w:szCs w:val="20"/>
        </w:rPr>
        <w:t xml:space="preserve">, and </w:t>
      </w:r>
      <w:r w:rsidR="008D26B5" w:rsidRPr="00635B5B">
        <w:rPr>
          <w:rFonts w:ascii="Cambria" w:hAnsi="Cambria"/>
          <w:sz w:val="20"/>
          <w:szCs w:val="20"/>
        </w:rPr>
        <w:t>ordered</w:t>
      </w:r>
      <w:r w:rsidRPr="00635B5B">
        <w:rPr>
          <w:rFonts w:ascii="Cambria" w:hAnsi="Cambria"/>
          <w:sz w:val="20"/>
          <w:szCs w:val="20"/>
        </w:rPr>
        <w:t xml:space="preserve"> pre</w:t>
      </w:r>
      <w:r w:rsidR="008D26B5" w:rsidRPr="00635B5B">
        <w:rPr>
          <w:rFonts w:ascii="Cambria" w:hAnsi="Cambria"/>
          <w:sz w:val="20"/>
          <w:szCs w:val="20"/>
        </w:rPr>
        <w:t xml:space="preserve">ventive </w:t>
      </w:r>
      <w:r w:rsidRPr="00635B5B">
        <w:rPr>
          <w:rFonts w:ascii="Cambria" w:hAnsi="Cambria"/>
          <w:sz w:val="20"/>
          <w:szCs w:val="20"/>
        </w:rPr>
        <w:t>measures against, Alejandro Cárdenas Orozco, Jesús Emiro Pereira, and Mario Jaimes Mejía, a.k.a. “El Panadero,” all former members of paramilitary groups.</w:t>
      </w:r>
      <w:r w:rsidR="001D6250" w:rsidRPr="00635B5B">
        <w:rPr>
          <w:rStyle w:val="FootnoteReference"/>
          <w:rFonts w:ascii="Cambria" w:hAnsi="Cambria"/>
          <w:sz w:val="20"/>
          <w:szCs w:val="20"/>
        </w:rPr>
        <w:footnoteReference w:id="118"/>
      </w:r>
      <w:r w:rsidR="00F646C9" w:rsidRPr="00635B5B">
        <w:rPr>
          <w:rFonts w:ascii="Cambria" w:hAnsi="Cambria"/>
          <w:sz w:val="20"/>
          <w:szCs w:val="20"/>
        </w:rPr>
        <w:t xml:space="preserve"> </w:t>
      </w:r>
    </w:p>
    <w:p w:rsidR="00A347D2" w:rsidRPr="00B8721C" w:rsidRDefault="00A347D2" w:rsidP="00A347D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72CCD" w:rsidRPr="00B8721C" w:rsidRDefault="0094087A" w:rsidP="00172CC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On February 22, 2013, the charging document was signed for the plea agreement of Alejandro Cárdenas Orozco, in which he accepted the charges of aggravated kidnapping and torture of a protected person.</w:t>
      </w:r>
      <w:r w:rsidR="008B6E45" w:rsidRPr="00B8721C">
        <w:rPr>
          <w:rStyle w:val="FootnoteReference"/>
          <w:rFonts w:ascii="Cambria" w:hAnsi="Cambria"/>
          <w:sz w:val="20"/>
          <w:szCs w:val="20"/>
        </w:rPr>
        <w:footnoteReference w:id="119"/>
      </w:r>
      <w:r w:rsidR="00CB3E5B" w:rsidRPr="00B8721C">
        <w:rPr>
          <w:rFonts w:ascii="Cambria" w:hAnsi="Cambria"/>
          <w:sz w:val="20"/>
          <w:szCs w:val="20"/>
        </w:rPr>
        <w:t xml:space="preserve"> </w:t>
      </w:r>
      <w:r w:rsidRPr="00B8721C">
        <w:rPr>
          <w:rFonts w:ascii="Cambria" w:hAnsi="Cambria"/>
          <w:sz w:val="20"/>
          <w:szCs w:val="20"/>
        </w:rPr>
        <w:t>On February</w:t>
      </w:r>
      <w:r w:rsidR="00B2613C" w:rsidRPr="00B8721C">
        <w:rPr>
          <w:rFonts w:ascii="Cambria" w:hAnsi="Cambria"/>
          <w:sz w:val="20"/>
          <w:szCs w:val="20"/>
        </w:rPr>
        <w:t xml:space="preserve"> 23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CB3E5B" w:rsidRPr="00B8721C">
        <w:rPr>
          <w:rFonts w:ascii="Cambria" w:hAnsi="Cambria"/>
          <w:sz w:val="20"/>
          <w:szCs w:val="20"/>
        </w:rPr>
        <w:t xml:space="preserve"> </w:t>
      </w:r>
      <w:r w:rsidRPr="00B8721C">
        <w:rPr>
          <w:rFonts w:ascii="Cambria" w:hAnsi="Cambria"/>
          <w:sz w:val="20"/>
          <w:szCs w:val="20"/>
        </w:rPr>
        <w:t>issued a resolution ordering the suspension of the investigation against Messrs.</w:t>
      </w:r>
      <w:r w:rsidR="00B2613C" w:rsidRPr="00B8721C">
        <w:rPr>
          <w:rFonts w:ascii="Cambria" w:hAnsi="Cambria"/>
          <w:sz w:val="20"/>
          <w:szCs w:val="20"/>
        </w:rPr>
        <w:t xml:space="preserve"> Mario Jaimes Mejía, Alejandro Cárdenas Orozc</w:t>
      </w:r>
      <w:r w:rsidR="00561B22" w:rsidRPr="00B8721C">
        <w:rPr>
          <w:rFonts w:ascii="Cambria" w:hAnsi="Cambria"/>
          <w:sz w:val="20"/>
          <w:szCs w:val="20"/>
        </w:rPr>
        <w:t>o</w:t>
      </w:r>
      <w:r w:rsidRPr="00B8721C">
        <w:rPr>
          <w:rFonts w:ascii="Cambria" w:hAnsi="Cambria"/>
          <w:sz w:val="20"/>
          <w:szCs w:val="20"/>
        </w:rPr>
        <w:t>, and</w:t>
      </w:r>
      <w:r w:rsidR="00561B22" w:rsidRPr="00B8721C">
        <w:rPr>
          <w:rFonts w:ascii="Cambria" w:hAnsi="Cambria"/>
          <w:sz w:val="20"/>
          <w:szCs w:val="20"/>
        </w:rPr>
        <w:t xml:space="preserve"> Jesús Emiro Pereira Rivera</w:t>
      </w:r>
      <w:r w:rsidR="00876BB0" w:rsidRPr="00B8721C">
        <w:rPr>
          <w:rFonts w:ascii="Cambria" w:hAnsi="Cambria"/>
          <w:sz w:val="20"/>
          <w:szCs w:val="20"/>
        </w:rPr>
        <w:t xml:space="preserve">, </w:t>
      </w:r>
      <w:r w:rsidRPr="00B8721C">
        <w:rPr>
          <w:rFonts w:ascii="Cambria" w:hAnsi="Cambria"/>
          <w:sz w:val="20"/>
          <w:szCs w:val="20"/>
        </w:rPr>
        <w:t>pursuant to Article</w:t>
      </w:r>
      <w:r w:rsidR="00B2613C" w:rsidRPr="00B8721C">
        <w:rPr>
          <w:rFonts w:ascii="Cambria" w:hAnsi="Cambria"/>
          <w:sz w:val="20"/>
          <w:szCs w:val="20"/>
        </w:rPr>
        <w:t xml:space="preserve"> 22 </w:t>
      </w:r>
      <w:r w:rsidRPr="00B8721C">
        <w:rPr>
          <w:rFonts w:ascii="Cambria" w:hAnsi="Cambria"/>
          <w:sz w:val="20"/>
          <w:szCs w:val="20"/>
        </w:rPr>
        <w:t>of Law</w:t>
      </w:r>
      <w:r w:rsidR="00B2613C" w:rsidRPr="00B8721C">
        <w:rPr>
          <w:rFonts w:ascii="Cambria" w:hAnsi="Cambria"/>
          <w:sz w:val="20"/>
          <w:szCs w:val="20"/>
        </w:rPr>
        <w:t xml:space="preserve"> 1592 </w:t>
      </w:r>
      <w:r w:rsidRPr="00B8721C">
        <w:rPr>
          <w:rFonts w:ascii="Cambria" w:hAnsi="Cambria"/>
          <w:sz w:val="20"/>
          <w:szCs w:val="20"/>
        </w:rPr>
        <w:t>of December 3,</w:t>
      </w:r>
      <w:r w:rsidR="00B2613C" w:rsidRPr="00B8721C">
        <w:rPr>
          <w:rFonts w:ascii="Cambria" w:hAnsi="Cambria"/>
          <w:sz w:val="20"/>
          <w:szCs w:val="20"/>
        </w:rPr>
        <w:t xml:space="preserve"> 2012, </w:t>
      </w:r>
      <w:r w:rsidRPr="00B8721C">
        <w:rPr>
          <w:rFonts w:ascii="Cambria" w:hAnsi="Cambria"/>
          <w:sz w:val="20"/>
          <w:szCs w:val="20"/>
        </w:rPr>
        <w:t>due to their status as former paramilitary members with applications pending before the National Unit for Justice and Peace</w:t>
      </w:r>
      <w:r w:rsidR="00B2613C" w:rsidRPr="00B8721C">
        <w:rPr>
          <w:rFonts w:ascii="Cambria" w:hAnsi="Cambria"/>
          <w:sz w:val="20"/>
          <w:szCs w:val="20"/>
        </w:rPr>
        <w:t>.</w:t>
      </w:r>
      <w:r w:rsidR="0018751A" w:rsidRPr="00B8721C">
        <w:rPr>
          <w:rFonts w:ascii="Cambria" w:hAnsi="Cambria"/>
          <w:sz w:val="20"/>
          <w:szCs w:val="20"/>
        </w:rPr>
        <w:t xml:space="preserve"> </w:t>
      </w:r>
      <w:r w:rsidR="0018764F" w:rsidRPr="00B8721C">
        <w:rPr>
          <w:rFonts w:ascii="Cambria" w:hAnsi="Cambria"/>
          <w:sz w:val="20"/>
          <w:szCs w:val="20"/>
        </w:rPr>
        <w:t>In the</w:t>
      </w:r>
      <w:r w:rsidR="00876BB0" w:rsidRPr="00B8721C">
        <w:rPr>
          <w:rFonts w:ascii="Cambria" w:hAnsi="Cambria"/>
          <w:sz w:val="20"/>
          <w:szCs w:val="20"/>
        </w:rPr>
        <w:t xml:space="preserve"> </w:t>
      </w:r>
      <w:r w:rsidR="0018764F" w:rsidRPr="00B8721C">
        <w:rPr>
          <w:rFonts w:ascii="Cambria" w:hAnsi="Cambria"/>
          <w:sz w:val="20"/>
          <w:szCs w:val="20"/>
        </w:rPr>
        <w:t>voluntary statement</w:t>
      </w:r>
      <w:r w:rsidR="00876BB0" w:rsidRPr="00B8721C">
        <w:rPr>
          <w:rFonts w:ascii="Cambria" w:hAnsi="Cambria"/>
          <w:sz w:val="20"/>
          <w:szCs w:val="20"/>
        </w:rPr>
        <w:t xml:space="preserve"> </w:t>
      </w:r>
      <w:r w:rsidR="0018764F" w:rsidRPr="00635B5B">
        <w:rPr>
          <w:rFonts w:ascii="Cambria" w:hAnsi="Cambria"/>
          <w:sz w:val="20"/>
          <w:szCs w:val="20"/>
        </w:rPr>
        <w:t>provided by</w:t>
      </w:r>
      <w:r w:rsidR="00876BB0" w:rsidRPr="00635B5B">
        <w:rPr>
          <w:rFonts w:ascii="Cambria" w:hAnsi="Cambria"/>
          <w:sz w:val="20"/>
          <w:szCs w:val="20"/>
        </w:rPr>
        <w:t xml:space="preserve"> Alejandro Cárdenas Orozco </w:t>
      </w:r>
      <w:r w:rsidR="0018764F" w:rsidRPr="00635B5B">
        <w:rPr>
          <w:rFonts w:ascii="Cambria" w:hAnsi="Cambria"/>
          <w:sz w:val="20"/>
          <w:szCs w:val="20"/>
        </w:rPr>
        <w:t>on August</w:t>
      </w:r>
      <w:r w:rsidR="00876BB0" w:rsidRPr="00635B5B">
        <w:rPr>
          <w:rFonts w:ascii="Cambria" w:hAnsi="Cambria"/>
          <w:sz w:val="20"/>
          <w:szCs w:val="20"/>
        </w:rPr>
        <w:t xml:space="preserve"> 5 </w:t>
      </w:r>
      <w:r w:rsidR="0018764F" w:rsidRPr="00635B5B">
        <w:rPr>
          <w:rFonts w:ascii="Cambria" w:hAnsi="Cambria"/>
          <w:sz w:val="20"/>
          <w:szCs w:val="20"/>
        </w:rPr>
        <w:t xml:space="preserve">and 6, </w:t>
      </w:r>
      <w:r w:rsidR="00876BB0" w:rsidRPr="00635B5B">
        <w:rPr>
          <w:rFonts w:ascii="Cambria" w:hAnsi="Cambria"/>
          <w:sz w:val="20"/>
          <w:szCs w:val="20"/>
        </w:rPr>
        <w:t xml:space="preserve">2013, </w:t>
      </w:r>
      <w:r w:rsidR="0018764F" w:rsidRPr="00635B5B">
        <w:rPr>
          <w:rFonts w:ascii="Cambria" w:hAnsi="Cambria"/>
          <w:sz w:val="20"/>
          <w:szCs w:val="20"/>
        </w:rPr>
        <w:t>he recanted his confession and said that he had agreed to admit responsibility in exchange for money, without specifying who allegedly offered him that money</w:t>
      </w:r>
      <w:r w:rsidR="00876BB0" w:rsidRPr="00635B5B">
        <w:rPr>
          <w:rFonts w:ascii="Cambria" w:hAnsi="Cambria"/>
          <w:sz w:val="20"/>
          <w:szCs w:val="20"/>
        </w:rPr>
        <w:t>.</w:t>
      </w:r>
      <w:r w:rsidR="002C413A" w:rsidRPr="00635B5B">
        <w:rPr>
          <w:rFonts w:ascii="Cambria" w:hAnsi="Cambria"/>
          <w:sz w:val="20"/>
          <w:szCs w:val="20"/>
        </w:rPr>
        <w:t xml:space="preserve"> </w:t>
      </w:r>
      <w:r w:rsidR="0018764F" w:rsidRPr="00635B5B">
        <w:rPr>
          <w:rFonts w:ascii="Cambria" w:hAnsi="Cambria"/>
          <w:sz w:val="20"/>
          <w:szCs w:val="20"/>
        </w:rPr>
        <w:t xml:space="preserve">Because of this, on September 30, 2013, the Justice and Peace Prosecutor decided to remand the case </w:t>
      </w:r>
      <w:r w:rsidR="00635B5B" w:rsidRPr="00635B5B">
        <w:rPr>
          <w:rFonts w:ascii="Cambria" w:hAnsi="Cambria"/>
          <w:sz w:val="20"/>
          <w:szCs w:val="20"/>
        </w:rPr>
        <w:t xml:space="preserve">again </w:t>
      </w:r>
      <w:r w:rsidR="0018764F" w:rsidRPr="00635B5B">
        <w:rPr>
          <w:rFonts w:ascii="Cambria" w:hAnsi="Cambria"/>
          <w:sz w:val="20"/>
          <w:szCs w:val="20"/>
        </w:rPr>
        <w:t xml:space="preserve">to </w:t>
      </w:r>
      <w:r w:rsidR="002715D3" w:rsidRPr="00635B5B">
        <w:rPr>
          <w:rFonts w:ascii="Cambria" w:hAnsi="Cambria"/>
          <w:sz w:val="20"/>
          <w:szCs w:val="20"/>
        </w:rPr>
        <w:t>Office of the 49</w:t>
      </w:r>
      <w:r w:rsidR="002715D3" w:rsidRPr="00635B5B">
        <w:rPr>
          <w:rFonts w:ascii="Cambria" w:hAnsi="Cambria"/>
          <w:sz w:val="20"/>
          <w:szCs w:val="20"/>
          <w:vertAlign w:val="superscript"/>
        </w:rPr>
        <w:t>th</w:t>
      </w:r>
      <w:r w:rsidR="002715D3" w:rsidRPr="00635B5B">
        <w:rPr>
          <w:rFonts w:ascii="Cambria" w:hAnsi="Cambria"/>
          <w:sz w:val="20"/>
          <w:szCs w:val="20"/>
        </w:rPr>
        <w:t xml:space="preserve"> Special Prosecutor</w:t>
      </w:r>
      <w:r w:rsidR="0018764F" w:rsidRPr="00635B5B">
        <w:rPr>
          <w:rFonts w:ascii="Cambria" w:hAnsi="Cambria"/>
          <w:sz w:val="20"/>
          <w:szCs w:val="20"/>
        </w:rPr>
        <w:t xml:space="preserve">. On October 7, 2013, the </w:t>
      </w:r>
      <w:r w:rsidR="00E82ECB" w:rsidRPr="00635B5B">
        <w:rPr>
          <w:rFonts w:ascii="Cambria" w:hAnsi="Cambria"/>
          <w:sz w:val="20"/>
          <w:szCs w:val="20"/>
        </w:rPr>
        <w:t>Prosecutor’s</w:t>
      </w:r>
      <w:r w:rsidR="0018764F" w:rsidRPr="00635B5B">
        <w:rPr>
          <w:rFonts w:ascii="Cambria" w:hAnsi="Cambria"/>
          <w:sz w:val="20"/>
          <w:szCs w:val="20"/>
        </w:rPr>
        <w:t xml:space="preserve"> Office issued a resolution setting aside the </w:t>
      </w:r>
      <w:r w:rsidR="00C627F3" w:rsidRPr="00635B5B">
        <w:rPr>
          <w:rFonts w:ascii="Cambria" w:hAnsi="Cambria"/>
          <w:sz w:val="20"/>
          <w:szCs w:val="20"/>
        </w:rPr>
        <w:t xml:space="preserve">stay of proceedings with respect to </w:t>
      </w:r>
      <w:r w:rsidR="0018764F" w:rsidRPr="00635B5B">
        <w:rPr>
          <w:rFonts w:ascii="Cambria" w:hAnsi="Cambria"/>
          <w:sz w:val="20"/>
          <w:szCs w:val="20"/>
        </w:rPr>
        <w:t>the accused’s formal statement</w:t>
      </w:r>
      <w:r w:rsidR="0018751A" w:rsidRPr="00635B5B">
        <w:rPr>
          <w:rFonts w:ascii="Cambria" w:hAnsi="Cambria"/>
          <w:sz w:val="20"/>
          <w:szCs w:val="20"/>
        </w:rPr>
        <w:t>.</w:t>
      </w:r>
      <w:r w:rsidR="002C413A" w:rsidRPr="00635B5B">
        <w:rPr>
          <w:rFonts w:ascii="Cambria" w:hAnsi="Cambria"/>
          <w:sz w:val="20"/>
          <w:szCs w:val="20"/>
        </w:rPr>
        <w:t xml:space="preserve"> </w:t>
      </w:r>
      <w:r w:rsidR="00D0585C" w:rsidRPr="00635B5B">
        <w:rPr>
          <w:rFonts w:ascii="Cambria" w:hAnsi="Cambria"/>
          <w:sz w:val="20"/>
          <w:szCs w:val="20"/>
        </w:rPr>
        <w:t>This ruling states that “</w:t>
      </w:r>
      <w:r w:rsidR="00A347D2" w:rsidRPr="00635B5B">
        <w:rPr>
          <w:rFonts w:ascii="Cambria" w:hAnsi="Cambria"/>
          <w:sz w:val="20"/>
          <w:szCs w:val="20"/>
        </w:rPr>
        <w:t>[...] in the case of the defendants, it is improper for the Office of the Assistant Prosecutor for Justice and Peace to exercise</w:t>
      </w:r>
      <w:r w:rsidR="00A347D2" w:rsidRPr="00B8721C">
        <w:rPr>
          <w:rFonts w:ascii="Cambria" w:hAnsi="Cambria"/>
          <w:sz w:val="20"/>
          <w:szCs w:val="20"/>
        </w:rPr>
        <w:t xml:space="preserve"> investigative jurisdiction over the events of May 25, 2000 [...] These applicants have been repetitive, reluctant to accept their perpetration, participation, and responsibility in those events, as they have </w:t>
      </w:r>
      <w:r w:rsidR="00D0585C" w:rsidRPr="00B8721C">
        <w:rPr>
          <w:rFonts w:ascii="Cambria" w:hAnsi="Cambria"/>
          <w:sz w:val="20"/>
          <w:szCs w:val="20"/>
        </w:rPr>
        <w:t>expressed</w:t>
      </w:r>
      <w:r w:rsidR="00A347D2" w:rsidRPr="00B8721C">
        <w:rPr>
          <w:rFonts w:ascii="Cambria" w:hAnsi="Cambria"/>
          <w:sz w:val="20"/>
          <w:szCs w:val="20"/>
        </w:rPr>
        <w:t xml:space="preserve"> in their various voluntary statements given to the prosecutors from that unit who were and are in charge of the investigation of that case [...] Thus, the </w:t>
      </w:r>
      <w:r w:rsidR="00C627F3" w:rsidRPr="00B8721C">
        <w:rPr>
          <w:rFonts w:ascii="Cambria" w:hAnsi="Cambria"/>
          <w:sz w:val="20"/>
          <w:szCs w:val="20"/>
        </w:rPr>
        <w:t>stay of proceedings</w:t>
      </w:r>
      <w:r w:rsidR="00A347D2" w:rsidRPr="00B8721C">
        <w:rPr>
          <w:rFonts w:ascii="Cambria" w:hAnsi="Cambria"/>
          <w:sz w:val="20"/>
          <w:szCs w:val="20"/>
        </w:rPr>
        <w:t xml:space="preserve"> applied with respect to these defendants, although in keeping with the instrumental content of the provision, cannot remain in </w:t>
      </w:r>
      <w:r w:rsidR="00C627F3" w:rsidRPr="00B8721C">
        <w:rPr>
          <w:rFonts w:ascii="Cambria" w:hAnsi="Cambria"/>
          <w:sz w:val="20"/>
          <w:szCs w:val="20"/>
        </w:rPr>
        <w:t>effect</w:t>
      </w:r>
      <w:r w:rsidR="00A347D2" w:rsidRPr="00B8721C">
        <w:rPr>
          <w:rFonts w:ascii="Cambria" w:hAnsi="Cambria"/>
          <w:sz w:val="20"/>
          <w:szCs w:val="20"/>
        </w:rPr>
        <w:t xml:space="preserve"> because it will then</w:t>
      </w:r>
      <w:r w:rsidR="00D0585C" w:rsidRPr="00B8721C">
        <w:rPr>
          <w:rFonts w:ascii="Cambria" w:hAnsi="Cambria"/>
          <w:sz w:val="20"/>
          <w:szCs w:val="20"/>
        </w:rPr>
        <w:t xml:space="preserve"> be</w:t>
      </w:r>
      <w:r w:rsidR="00A347D2" w:rsidRPr="00B8721C">
        <w:rPr>
          <w:rFonts w:ascii="Cambria" w:hAnsi="Cambria"/>
          <w:sz w:val="20"/>
          <w:szCs w:val="20"/>
        </w:rPr>
        <w:t xml:space="preserve"> impossible to </w:t>
      </w:r>
      <w:r w:rsidR="00C627F3" w:rsidRPr="00B8721C">
        <w:rPr>
          <w:rFonts w:ascii="Cambria" w:hAnsi="Cambria"/>
          <w:sz w:val="20"/>
          <w:szCs w:val="20"/>
        </w:rPr>
        <w:t>consider</w:t>
      </w:r>
      <w:r w:rsidR="00D0585C" w:rsidRPr="00B8721C">
        <w:rPr>
          <w:rFonts w:ascii="Cambria" w:hAnsi="Cambria"/>
          <w:sz w:val="20"/>
          <w:szCs w:val="20"/>
        </w:rPr>
        <w:t xml:space="preserve"> the two proceedings</w:t>
      </w:r>
      <w:r w:rsidR="00C627F3" w:rsidRPr="00B8721C">
        <w:rPr>
          <w:rFonts w:ascii="Cambria" w:hAnsi="Cambria"/>
          <w:sz w:val="20"/>
          <w:szCs w:val="20"/>
        </w:rPr>
        <w:t xml:space="preserve"> to be equivalent</w:t>
      </w:r>
      <w:r w:rsidR="00A347D2" w:rsidRPr="00B8721C">
        <w:rPr>
          <w:rFonts w:ascii="Cambria" w:hAnsi="Cambria"/>
          <w:sz w:val="20"/>
          <w:szCs w:val="20"/>
        </w:rPr>
        <w:t>.</w:t>
      </w:r>
      <w:r w:rsidR="00D0585C" w:rsidRPr="00B8721C">
        <w:rPr>
          <w:rFonts w:ascii="Cambria" w:hAnsi="Cambria"/>
          <w:sz w:val="20"/>
          <w:szCs w:val="20"/>
        </w:rPr>
        <w:t xml:space="preserve">” Subsequently, the </w:t>
      </w:r>
      <w:r w:rsidR="00E82ECB">
        <w:rPr>
          <w:rFonts w:ascii="Cambria" w:hAnsi="Cambria"/>
          <w:sz w:val="20"/>
          <w:szCs w:val="20"/>
        </w:rPr>
        <w:t>Prosecutor’s</w:t>
      </w:r>
      <w:r w:rsidR="00A347D2" w:rsidRPr="00B8721C">
        <w:rPr>
          <w:rFonts w:ascii="Cambria" w:hAnsi="Cambria"/>
          <w:sz w:val="20"/>
          <w:szCs w:val="20"/>
        </w:rPr>
        <w:t xml:space="preserve"> Office resumed several evidentiary proceedings.</w:t>
      </w:r>
      <w:r w:rsidR="003C6919" w:rsidRPr="00B8721C">
        <w:rPr>
          <w:rStyle w:val="FootnoteReference"/>
          <w:rFonts w:ascii="Cambria" w:hAnsi="Cambria"/>
          <w:sz w:val="20"/>
          <w:szCs w:val="20"/>
        </w:rPr>
        <w:footnoteReference w:id="120"/>
      </w:r>
    </w:p>
    <w:p w:rsidR="00B2542C" w:rsidRPr="00B8721C" w:rsidRDefault="00F052AA" w:rsidP="00B254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lastRenderedPageBreak/>
        <w:t xml:space="preserve">On April 8, 2014, the </w:t>
      </w:r>
      <w:r w:rsidR="00E82ECB">
        <w:rPr>
          <w:rFonts w:ascii="Cambria" w:hAnsi="Cambria"/>
          <w:sz w:val="20"/>
          <w:szCs w:val="20"/>
        </w:rPr>
        <w:t>Prosecutor’s</w:t>
      </w:r>
      <w:r w:rsidRPr="00B8721C">
        <w:rPr>
          <w:rFonts w:ascii="Cambria" w:hAnsi="Cambria"/>
          <w:sz w:val="20"/>
          <w:szCs w:val="20"/>
        </w:rPr>
        <w:t xml:space="preserve"> Office ordered the partial closure of the investigation as it related to the responsibility of Mario Jaimes Mejía, alias “El Panadero,” and its continuation with respect to the other persons under investigation.</w:t>
      </w:r>
      <w:r w:rsidR="00140A85" w:rsidRPr="00B8721C">
        <w:rPr>
          <w:rStyle w:val="FootnoteReference"/>
          <w:rFonts w:ascii="Cambria" w:hAnsi="Cambria"/>
          <w:sz w:val="20"/>
          <w:szCs w:val="20"/>
        </w:rPr>
        <w:footnoteReference w:id="121"/>
      </w:r>
      <w:r w:rsidR="00B2613C" w:rsidRPr="00B8721C">
        <w:rPr>
          <w:rFonts w:ascii="Cambria" w:hAnsi="Cambria"/>
          <w:sz w:val="20"/>
          <w:szCs w:val="20"/>
        </w:rPr>
        <w:t xml:space="preserve"> </w:t>
      </w:r>
      <w:r w:rsidRPr="00B8721C">
        <w:rPr>
          <w:rFonts w:ascii="Cambria" w:hAnsi="Cambria"/>
          <w:sz w:val="20"/>
          <w:szCs w:val="20"/>
        </w:rPr>
        <w:t xml:space="preserve">That same day, it denied a request for the revocation of preventive measures and </w:t>
      </w:r>
      <w:r w:rsidR="002D27FE" w:rsidRPr="00B8721C">
        <w:rPr>
          <w:rFonts w:ascii="Cambria" w:hAnsi="Cambria"/>
          <w:sz w:val="20"/>
          <w:szCs w:val="20"/>
        </w:rPr>
        <w:t>termination of the</w:t>
      </w:r>
      <w:r w:rsidRPr="00B8721C">
        <w:rPr>
          <w:rFonts w:ascii="Cambria" w:hAnsi="Cambria"/>
          <w:sz w:val="20"/>
          <w:szCs w:val="20"/>
        </w:rPr>
        <w:t xml:space="preserve"> investigation </w:t>
      </w:r>
      <w:r w:rsidR="002D27FE" w:rsidRPr="00B8721C">
        <w:rPr>
          <w:rFonts w:ascii="Cambria" w:hAnsi="Cambria"/>
          <w:sz w:val="20"/>
          <w:szCs w:val="20"/>
        </w:rPr>
        <w:t>with respect to</w:t>
      </w:r>
      <w:r w:rsidRPr="00B8721C">
        <w:rPr>
          <w:rFonts w:ascii="Cambria" w:hAnsi="Cambria"/>
          <w:sz w:val="20"/>
          <w:szCs w:val="20"/>
        </w:rPr>
        <w:t xml:space="preserve"> Alejandro Cárdenas.</w:t>
      </w:r>
      <w:r w:rsidR="0027759C" w:rsidRPr="00B8721C">
        <w:rPr>
          <w:rStyle w:val="FootnoteReference"/>
          <w:rFonts w:ascii="Cambria" w:hAnsi="Cambria"/>
          <w:sz w:val="20"/>
          <w:szCs w:val="20"/>
        </w:rPr>
        <w:footnoteReference w:id="122"/>
      </w:r>
      <w:r w:rsidR="00B2613C" w:rsidRPr="00B8721C">
        <w:rPr>
          <w:rFonts w:ascii="Cambria" w:hAnsi="Cambria"/>
          <w:sz w:val="20"/>
          <w:szCs w:val="20"/>
        </w:rPr>
        <w:t xml:space="preserve"> </w:t>
      </w:r>
      <w:r w:rsidR="002D27FE" w:rsidRPr="00B8721C">
        <w:rPr>
          <w:rFonts w:ascii="Cambria" w:hAnsi="Cambria"/>
          <w:sz w:val="20"/>
          <w:szCs w:val="20"/>
        </w:rPr>
        <w:t xml:space="preserve">On June 6, 2014, the </w:t>
      </w:r>
      <w:r w:rsidR="00E82ECB">
        <w:rPr>
          <w:rFonts w:ascii="Cambria" w:hAnsi="Cambria"/>
          <w:sz w:val="20"/>
          <w:szCs w:val="20"/>
        </w:rPr>
        <w:t>Prosecutor’s</w:t>
      </w:r>
      <w:r w:rsidR="002D27FE" w:rsidRPr="00B8721C">
        <w:rPr>
          <w:rFonts w:ascii="Cambria" w:hAnsi="Cambria"/>
          <w:sz w:val="20"/>
          <w:szCs w:val="20"/>
        </w:rPr>
        <w:t xml:space="preserve"> Office conducted proceedings to take a supplemental formal statement from defendant Alejandro Cárdenas Orozco. On June 25, 2014, the Office of the Inspector General of Colombia filed its initial pleadings in the case and requested that the acts of torture and violent sexual assault of a protected person remain classified as a crime against humanity.</w:t>
      </w:r>
      <w:r w:rsidR="00CB312B" w:rsidRPr="00B8721C">
        <w:rPr>
          <w:rStyle w:val="FootnoteReference"/>
          <w:rFonts w:ascii="Cambria" w:hAnsi="Cambria"/>
          <w:sz w:val="20"/>
          <w:szCs w:val="20"/>
        </w:rPr>
        <w:footnoteReference w:id="123"/>
      </w:r>
      <w:r w:rsidR="00CB312B" w:rsidRPr="00B8721C">
        <w:rPr>
          <w:rFonts w:ascii="Cambria" w:hAnsi="Cambria"/>
          <w:sz w:val="20"/>
          <w:szCs w:val="20"/>
        </w:rPr>
        <w:t xml:space="preserve"> </w:t>
      </w:r>
      <w:r w:rsidR="002D27FE" w:rsidRPr="00B8721C">
        <w:rPr>
          <w:rFonts w:ascii="Cambria" w:hAnsi="Cambria"/>
          <w:sz w:val="20"/>
          <w:szCs w:val="20"/>
        </w:rPr>
        <w:t>The civil party filed her pleadings the same day.</w:t>
      </w:r>
      <w:r w:rsidR="00CB312B" w:rsidRPr="00B8721C">
        <w:rPr>
          <w:rStyle w:val="FootnoteReference"/>
          <w:rFonts w:ascii="Cambria" w:hAnsi="Cambria"/>
          <w:sz w:val="20"/>
          <w:szCs w:val="20"/>
        </w:rPr>
        <w:footnoteReference w:id="124"/>
      </w:r>
      <w:r w:rsidR="00CB312B" w:rsidRPr="00B8721C">
        <w:rPr>
          <w:rFonts w:ascii="Cambria" w:hAnsi="Cambria"/>
          <w:sz w:val="20"/>
          <w:szCs w:val="20"/>
        </w:rPr>
        <w:t xml:space="preserve"> </w:t>
      </w:r>
      <w:r w:rsidR="002D27FE" w:rsidRPr="00B8721C">
        <w:rPr>
          <w:rFonts w:ascii="Cambria" w:hAnsi="Cambria"/>
          <w:sz w:val="20"/>
          <w:szCs w:val="20"/>
        </w:rPr>
        <w:t>On September</w:t>
      </w:r>
      <w:r w:rsidR="00E07516" w:rsidRPr="00B8721C">
        <w:rPr>
          <w:rFonts w:ascii="Cambria" w:hAnsi="Cambria"/>
          <w:sz w:val="20"/>
          <w:szCs w:val="20"/>
        </w:rPr>
        <w:t xml:space="preserve"> 26</w:t>
      </w:r>
      <w:r w:rsidR="002D27FE" w:rsidRPr="00B8721C">
        <w:rPr>
          <w:rFonts w:ascii="Cambria" w:hAnsi="Cambria"/>
          <w:sz w:val="20"/>
          <w:szCs w:val="20"/>
        </w:rPr>
        <w:t>,</w:t>
      </w:r>
      <w:r w:rsidR="00E07516" w:rsidRPr="00B8721C">
        <w:rPr>
          <w:rFonts w:ascii="Cambria" w:hAnsi="Cambria"/>
          <w:sz w:val="20"/>
          <w:szCs w:val="20"/>
        </w:rPr>
        <w:t xml:space="preserve"> </w:t>
      </w:r>
      <w:r w:rsidR="002D27FE" w:rsidRPr="00B8721C">
        <w:rPr>
          <w:rFonts w:ascii="Cambria" w:hAnsi="Cambria"/>
          <w:sz w:val="20"/>
          <w:szCs w:val="20"/>
        </w:rPr>
        <w:t xml:space="preserve">the </w:t>
      </w:r>
      <w:r w:rsidR="00E82ECB">
        <w:rPr>
          <w:rFonts w:ascii="Cambria" w:hAnsi="Cambria"/>
          <w:sz w:val="20"/>
          <w:szCs w:val="20"/>
        </w:rPr>
        <w:t>Prosecutor’s</w:t>
      </w:r>
      <w:r w:rsidR="002D27FE" w:rsidRPr="00B8721C">
        <w:rPr>
          <w:rFonts w:ascii="Cambria" w:hAnsi="Cambria"/>
          <w:sz w:val="20"/>
          <w:szCs w:val="20"/>
        </w:rPr>
        <w:t xml:space="preserve"> Office issued a decision determining the merits of the investigation</w:t>
      </w:r>
      <w:r w:rsidR="00E07516" w:rsidRPr="00B8721C">
        <w:rPr>
          <w:rFonts w:ascii="Cambria" w:hAnsi="Cambria"/>
          <w:sz w:val="20"/>
          <w:szCs w:val="20"/>
        </w:rPr>
        <w:t xml:space="preserve"> </w:t>
      </w:r>
      <w:r w:rsidR="002D27FE" w:rsidRPr="00B8721C">
        <w:rPr>
          <w:rFonts w:ascii="Cambria" w:hAnsi="Cambria"/>
          <w:sz w:val="20"/>
          <w:szCs w:val="20"/>
        </w:rPr>
        <w:t>against</w:t>
      </w:r>
      <w:r w:rsidR="00E07516" w:rsidRPr="00B8721C">
        <w:rPr>
          <w:rFonts w:ascii="Cambria" w:hAnsi="Cambria"/>
          <w:sz w:val="20"/>
          <w:szCs w:val="20"/>
        </w:rPr>
        <w:t xml:space="preserve"> Mario Jaimes Mejía</w:t>
      </w:r>
      <w:r w:rsidR="00BC73FF" w:rsidRPr="00B8721C">
        <w:rPr>
          <w:rStyle w:val="FootnoteReference"/>
          <w:rFonts w:ascii="Cambria" w:hAnsi="Cambria"/>
          <w:sz w:val="20"/>
          <w:szCs w:val="20"/>
        </w:rPr>
        <w:footnoteReference w:id="125"/>
      </w:r>
      <w:r w:rsidR="007E7D84" w:rsidRPr="00B8721C">
        <w:rPr>
          <w:rFonts w:ascii="Cambria" w:hAnsi="Cambria"/>
          <w:sz w:val="20"/>
          <w:szCs w:val="20"/>
        </w:rPr>
        <w:t xml:space="preserve"> </w:t>
      </w:r>
      <w:r w:rsidR="002D27FE" w:rsidRPr="00B8721C">
        <w:rPr>
          <w:rFonts w:ascii="Cambria" w:hAnsi="Cambria"/>
          <w:sz w:val="20"/>
          <w:szCs w:val="20"/>
        </w:rPr>
        <w:t>a</w:t>
      </w:r>
      <w:r w:rsidR="00172CCD" w:rsidRPr="00B8721C">
        <w:rPr>
          <w:rFonts w:ascii="Cambria" w:hAnsi="Cambria"/>
          <w:sz w:val="20"/>
          <w:szCs w:val="20"/>
        </w:rPr>
        <w:t xml:space="preserve">s a joint </w:t>
      </w:r>
      <w:r w:rsidR="002D27FE" w:rsidRPr="00B8721C">
        <w:rPr>
          <w:rFonts w:ascii="Cambria" w:hAnsi="Cambria"/>
          <w:sz w:val="20"/>
          <w:szCs w:val="20"/>
        </w:rPr>
        <w:t>perpetrator responsible for the intentional commission</w:t>
      </w:r>
      <w:r w:rsidR="00172CCD" w:rsidRPr="00B8721C">
        <w:rPr>
          <w:rFonts w:ascii="Cambria" w:hAnsi="Cambria"/>
          <w:sz w:val="20"/>
          <w:szCs w:val="20"/>
        </w:rPr>
        <w:t xml:space="preserve"> of the  offenses of</w:t>
      </w:r>
      <w:r w:rsidR="007E7D84" w:rsidRPr="00B8721C">
        <w:rPr>
          <w:rFonts w:ascii="Cambria" w:hAnsi="Cambria"/>
          <w:sz w:val="20"/>
          <w:szCs w:val="20"/>
        </w:rPr>
        <w:t xml:space="preserve"> </w:t>
      </w:r>
      <w:r w:rsidR="00172CCD" w:rsidRPr="00B8721C">
        <w:rPr>
          <w:rFonts w:ascii="Cambria" w:hAnsi="Cambria"/>
          <w:sz w:val="20"/>
          <w:szCs w:val="20"/>
        </w:rPr>
        <w:t xml:space="preserve">aggravated kidnapping, in teleological connection with torture against a protected person and in conjunction with the separate offense of violent aggravated sexual assault against the victim, </w:t>
      </w:r>
      <w:r w:rsidR="00B2542C" w:rsidRPr="00B8721C">
        <w:rPr>
          <w:rFonts w:ascii="Cambria" w:hAnsi="Cambria"/>
          <w:sz w:val="20"/>
          <w:szCs w:val="20"/>
        </w:rPr>
        <w:t>Jineth Bedoya.</w:t>
      </w:r>
    </w:p>
    <w:p w:rsidR="00B2542C" w:rsidRPr="00B8721C" w:rsidRDefault="00B2542C" w:rsidP="00B2542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B2542C" w:rsidRPr="00B8721C" w:rsidRDefault="00B2542C" w:rsidP="00B254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On February 27, 2015, former paramilitary member Armando Lugo, then being held in a Colombian prison, gave a statement in which he indicated that he had witnessed the events. In that proceeding, Lugo admitted the charges and accepted a plea agreement.</w:t>
      </w:r>
      <w:r w:rsidR="007F629B" w:rsidRPr="00B8721C">
        <w:rPr>
          <w:rStyle w:val="FootnoteReference"/>
          <w:rFonts w:ascii="Cambria" w:hAnsi="Cambria"/>
          <w:sz w:val="20"/>
          <w:szCs w:val="20"/>
        </w:rPr>
        <w:footnoteReference w:id="126"/>
      </w:r>
      <w:r w:rsidR="00B2349E" w:rsidRPr="00B8721C">
        <w:rPr>
          <w:rFonts w:ascii="Cambria" w:hAnsi="Cambria"/>
          <w:sz w:val="20"/>
          <w:szCs w:val="20"/>
        </w:rPr>
        <w:t xml:space="preserve"> </w:t>
      </w:r>
      <w:r w:rsidRPr="00B8721C">
        <w:rPr>
          <w:rFonts w:ascii="Cambria" w:hAnsi="Cambria"/>
          <w:sz w:val="20"/>
          <w:szCs w:val="20"/>
        </w:rPr>
        <w:t>In his</w:t>
      </w:r>
      <w:r w:rsidR="00C63E01" w:rsidRPr="00B8721C">
        <w:rPr>
          <w:rFonts w:ascii="Cambria" w:hAnsi="Cambria"/>
          <w:sz w:val="20"/>
          <w:szCs w:val="20"/>
        </w:rPr>
        <w:t xml:space="preserve"> </w:t>
      </w:r>
      <w:r w:rsidR="003F78F8" w:rsidRPr="00B8721C">
        <w:rPr>
          <w:rFonts w:ascii="Cambria" w:hAnsi="Cambria"/>
          <w:sz w:val="20"/>
          <w:szCs w:val="20"/>
        </w:rPr>
        <w:t>statement</w:t>
      </w:r>
      <w:r w:rsidRPr="00B8721C">
        <w:rPr>
          <w:rFonts w:ascii="Cambria" w:hAnsi="Cambria"/>
          <w:sz w:val="20"/>
          <w:szCs w:val="20"/>
        </w:rPr>
        <w:t>,</w:t>
      </w:r>
      <w:r w:rsidR="00C63E01" w:rsidRPr="00B8721C">
        <w:rPr>
          <w:rFonts w:ascii="Cambria" w:hAnsi="Cambria"/>
          <w:sz w:val="20"/>
          <w:szCs w:val="20"/>
        </w:rPr>
        <w:t xml:space="preserve"> </w:t>
      </w:r>
      <w:r w:rsidRPr="00B8721C">
        <w:rPr>
          <w:rFonts w:ascii="Cambria" w:hAnsi="Cambria"/>
          <w:sz w:val="20"/>
          <w:szCs w:val="20"/>
        </w:rPr>
        <w:t>he asserted that members of the self-defense groups, as well as members of the Colombian military and police, participated in the crime</w:t>
      </w:r>
      <w:r w:rsidR="00C63E01" w:rsidRPr="00B8721C">
        <w:rPr>
          <w:rFonts w:ascii="Cambria" w:hAnsi="Cambria"/>
          <w:sz w:val="20"/>
          <w:szCs w:val="20"/>
        </w:rPr>
        <w:t xml:space="preserve">. </w:t>
      </w:r>
      <w:r w:rsidRPr="00B8721C">
        <w:rPr>
          <w:rFonts w:ascii="Cambria" w:hAnsi="Cambria"/>
          <w:sz w:val="20"/>
          <w:szCs w:val="20"/>
        </w:rPr>
        <w:t>On May 28, 2015, the preventive measure of pretrial detention and termination of the investigation was revoked with regard to Alejandro Cárdenas Orozco</w:t>
      </w:r>
      <w:r w:rsidR="00172CCD" w:rsidRPr="00B8721C">
        <w:rPr>
          <w:rFonts w:ascii="Cambria" w:hAnsi="Cambria"/>
          <w:sz w:val="20"/>
          <w:szCs w:val="20"/>
        </w:rPr>
        <w:t>.</w:t>
      </w:r>
      <w:r w:rsidR="003C6919" w:rsidRPr="00B8721C">
        <w:rPr>
          <w:rStyle w:val="FootnoteReference"/>
          <w:rFonts w:ascii="Cambria" w:hAnsi="Cambria"/>
          <w:sz w:val="20"/>
          <w:szCs w:val="20"/>
        </w:rPr>
        <w:footnoteReference w:id="127"/>
      </w:r>
      <w:r w:rsidR="00EA0DBD" w:rsidRPr="00B8721C">
        <w:rPr>
          <w:rFonts w:ascii="Cambria" w:hAnsi="Cambria"/>
          <w:sz w:val="20"/>
          <w:szCs w:val="20"/>
        </w:rPr>
        <w:t xml:space="preserve"> </w:t>
      </w:r>
    </w:p>
    <w:p w:rsidR="00B2542C" w:rsidRPr="00B8721C" w:rsidRDefault="00B2542C" w:rsidP="00B2542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2715D3" w:rsidRDefault="00B2542C" w:rsidP="002715D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 xml:space="preserve">According to the information provided by the State, and not disputed by the petitioner, on June 12, 2015 Resolution No. 0165 was issued, reassigning the case to </w:t>
      </w:r>
      <w:r w:rsidR="00F770BE" w:rsidRPr="00B8721C">
        <w:rPr>
          <w:rFonts w:ascii="Cambria" w:hAnsi="Cambria"/>
          <w:sz w:val="20"/>
          <w:szCs w:val="20"/>
        </w:rPr>
        <w:t xml:space="preserve">the </w:t>
      </w:r>
      <w:r w:rsidR="002715D3">
        <w:rPr>
          <w:rFonts w:ascii="Cambria" w:hAnsi="Cambria"/>
          <w:sz w:val="20"/>
          <w:szCs w:val="20"/>
        </w:rPr>
        <w:t>Office of the 50</w:t>
      </w:r>
      <w:r w:rsidR="002715D3" w:rsidRPr="002715D3">
        <w:rPr>
          <w:rFonts w:ascii="Cambria" w:hAnsi="Cambria"/>
          <w:sz w:val="20"/>
          <w:szCs w:val="20"/>
          <w:vertAlign w:val="superscript"/>
        </w:rPr>
        <w:t>th</w:t>
      </w:r>
      <w:r w:rsidR="002715D3">
        <w:rPr>
          <w:rFonts w:ascii="Cambria" w:hAnsi="Cambria"/>
          <w:sz w:val="20"/>
          <w:szCs w:val="20"/>
        </w:rPr>
        <w:t xml:space="preserve"> Special Prosecutor for Human Rights and IHL</w:t>
      </w:r>
      <w:r w:rsidR="00B2613C" w:rsidRPr="00B8721C">
        <w:rPr>
          <w:rFonts w:ascii="Cambria" w:hAnsi="Cambria"/>
          <w:sz w:val="20"/>
          <w:szCs w:val="20"/>
        </w:rPr>
        <w:t>.</w:t>
      </w:r>
      <w:r w:rsidR="0018751A" w:rsidRPr="00B8721C">
        <w:rPr>
          <w:rFonts w:ascii="Cambria" w:hAnsi="Cambria"/>
          <w:sz w:val="20"/>
          <w:szCs w:val="20"/>
        </w:rPr>
        <w:t xml:space="preserve"> </w:t>
      </w:r>
      <w:r w:rsidRPr="00B8721C">
        <w:rPr>
          <w:rFonts w:ascii="Cambria" w:hAnsi="Cambria"/>
          <w:sz w:val="20"/>
          <w:szCs w:val="20"/>
        </w:rPr>
        <w:t xml:space="preserve">On June </w:t>
      </w:r>
      <w:r w:rsidR="00B2613C" w:rsidRPr="00B8721C">
        <w:rPr>
          <w:rFonts w:ascii="Cambria" w:hAnsi="Cambria"/>
          <w:sz w:val="20"/>
          <w:szCs w:val="20"/>
        </w:rPr>
        <w:t>22</w:t>
      </w:r>
      <w:r w:rsidRPr="00B8721C">
        <w:rPr>
          <w:rFonts w:ascii="Cambria" w:hAnsi="Cambria"/>
          <w:sz w:val="20"/>
          <w:szCs w:val="20"/>
        </w:rPr>
        <w:t>,</w:t>
      </w:r>
      <w:r w:rsidR="00B2613C" w:rsidRPr="00B8721C">
        <w:rPr>
          <w:rFonts w:ascii="Cambria" w:hAnsi="Cambria"/>
          <w:sz w:val="20"/>
          <w:szCs w:val="20"/>
        </w:rPr>
        <w:t xml:space="preserve"> 2015, </w:t>
      </w:r>
      <w:r w:rsidR="00420743">
        <w:rPr>
          <w:rFonts w:ascii="Cambria" w:hAnsi="Cambria"/>
          <w:sz w:val="20"/>
          <w:szCs w:val="20"/>
        </w:rPr>
        <w:t>the 50</w:t>
      </w:r>
      <w:r w:rsidR="00420743" w:rsidRPr="00420743">
        <w:rPr>
          <w:rFonts w:ascii="Cambria" w:hAnsi="Cambria"/>
          <w:sz w:val="20"/>
          <w:szCs w:val="20"/>
          <w:vertAlign w:val="superscript"/>
        </w:rPr>
        <w:t>th</w:t>
      </w:r>
      <w:r w:rsidR="00420743">
        <w:rPr>
          <w:rFonts w:ascii="Cambria" w:hAnsi="Cambria"/>
          <w:sz w:val="20"/>
          <w:szCs w:val="20"/>
        </w:rPr>
        <w:t xml:space="preserve"> Special </w:t>
      </w:r>
      <w:r w:rsidR="00E82ECB">
        <w:rPr>
          <w:rFonts w:ascii="Cambria" w:hAnsi="Cambria"/>
          <w:sz w:val="20"/>
          <w:szCs w:val="20"/>
        </w:rPr>
        <w:t>Prosecutor’s</w:t>
      </w:r>
      <w:r w:rsidR="002C38DA" w:rsidRPr="00B8721C">
        <w:rPr>
          <w:rFonts w:ascii="Cambria" w:hAnsi="Cambria"/>
          <w:sz w:val="20"/>
          <w:szCs w:val="20"/>
        </w:rPr>
        <w:t xml:space="preserve"> Office</w:t>
      </w:r>
      <w:r w:rsidR="00B2613C" w:rsidRPr="00B8721C">
        <w:rPr>
          <w:rFonts w:ascii="Cambria" w:hAnsi="Cambria"/>
          <w:sz w:val="20"/>
          <w:szCs w:val="20"/>
        </w:rPr>
        <w:t xml:space="preserve"> </w:t>
      </w:r>
      <w:r w:rsidRPr="00B8721C">
        <w:rPr>
          <w:rFonts w:ascii="Cambria" w:hAnsi="Cambria"/>
          <w:sz w:val="20"/>
          <w:szCs w:val="20"/>
        </w:rPr>
        <w:t>partially closed the investigation with respect to Alejandro Cárdenas Orozco and</w:t>
      </w:r>
      <w:r w:rsidR="00B2613C" w:rsidRPr="00B8721C">
        <w:rPr>
          <w:rFonts w:ascii="Cambria" w:hAnsi="Cambria"/>
          <w:sz w:val="20"/>
          <w:szCs w:val="20"/>
        </w:rPr>
        <w:t xml:space="preserve"> Jesús Emiro Pereira.</w:t>
      </w:r>
      <w:r w:rsidR="00B2349E" w:rsidRPr="00B8721C">
        <w:rPr>
          <w:rFonts w:ascii="Cambria" w:hAnsi="Cambria"/>
          <w:sz w:val="20"/>
          <w:szCs w:val="20"/>
        </w:rPr>
        <w:t xml:space="preserve"> </w:t>
      </w:r>
      <w:r w:rsidRPr="00B8721C">
        <w:rPr>
          <w:rFonts w:ascii="Cambria" w:hAnsi="Cambria"/>
          <w:sz w:val="20"/>
          <w:szCs w:val="20"/>
        </w:rPr>
        <w:t>On July 13, 2015, the case file was sent to the Criminal Chamber of the Superior Court of Bogotá</w:t>
      </w:r>
      <w:r w:rsidR="00B2613C" w:rsidRPr="00B8721C">
        <w:rPr>
          <w:rFonts w:ascii="Cambria" w:hAnsi="Cambria"/>
          <w:sz w:val="20"/>
          <w:szCs w:val="20"/>
        </w:rPr>
        <w:t>.</w:t>
      </w:r>
      <w:r w:rsidR="00B2349E" w:rsidRPr="00B8721C">
        <w:rPr>
          <w:rFonts w:ascii="Cambria" w:hAnsi="Cambria"/>
          <w:sz w:val="20"/>
          <w:szCs w:val="20"/>
        </w:rPr>
        <w:t xml:space="preserve"> </w:t>
      </w:r>
      <w:r w:rsidRPr="00B8721C">
        <w:rPr>
          <w:rFonts w:ascii="Cambria" w:hAnsi="Cambria"/>
          <w:sz w:val="20"/>
          <w:szCs w:val="20"/>
        </w:rPr>
        <w:t xml:space="preserve">On July 16, 2015, the Prosecutor </w:t>
      </w:r>
      <w:r w:rsidR="00B87E4D" w:rsidRPr="00B8721C">
        <w:rPr>
          <w:rFonts w:ascii="Cambria" w:hAnsi="Cambria"/>
          <w:sz w:val="20"/>
          <w:szCs w:val="20"/>
        </w:rPr>
        <w:t>decided not to object to</w:t>
      </w:r>
      <w:r w:rsidRPr="00B8721C">
        <w:rPr>
          <w:rFonts w:ascii="Cambria" w:hAnsi="Cambria"/>
          <w:sz w:val="20"/>
          <w:szCs w:val="20"/>
        </w:rPr>
        <w:t xml:space="preserve"> the decision to close the investigation against Alejandro Cárdenas Orozco regarding the sex crime.</w:t>
      </w:r>
      <w:r w:rsidR="00160CF5" w:rsidRPr="00B8721C">
        <w:rPr>
          <w:rStyle w:val="FootnoteReference"/>
          <w:rFonts w:ascii="Cambria" w:hAnsi="Cambria"/>
          <w:sz w:val="20"/>
          <w:szCs w:val="20"/>
        </w:rPr>
        <w:footnoteReference w:id="128"/>
      </w:r>
      <w:r w:rsidR="00EA0DBD" w:rsidRPr="00B8721C">
        <w:rPr>
          <w:rFonts w:ascii="Cambria" w:hAnsi="Cambria"/>
          <w:sz w:val="20"/>
          <w:szCs w:val="20"/>
        </w:rPr>
        <w:t xml:space="preserve"> </w:t>
      </w:r>
    </w:p>
    <w:p w:rsidR="002715D3" w:rsidRDefault="002715D3" w:rsidP="002715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062CDE" w:rsidRPr="002715D3" w:rsidRDefault="00F770BE" w:rsidP="002715D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2715D3">
        <w:rPr>
          <w:rFonts w:ascii="Cambria" w:hAnsi="Cambria"/>
          <w:sz w:val="20"/>
          <w:szCs w:val="20"/>
        </w:rPr>
        <w:t xml:space="preserve">According to the Colombian State, on February 2, 2017, the public trial of defendant Mario Jaimes Mejía was held before the Fifth Criminal Judge of the Specialized Circuit of Bogotá, in which he pleaded guilty to all charges brought by </w:t>
      </w:r>
      <w:r w:rsidR="002715D3" w:rsidRPr="002715D3">
        <w:rPr>
          <w:rFonts w:ascii="Cambria" w:hAnsi="Cambria"/>
          <w:sz w:val="20"/>
          <w:szCs w:val="20"/>
        </w:rPr>
        <w:t>the 50</w:t>
      </w:r>
      <w:r w:rsidR="002715D3" w:rsidRPr="002715D3">
        <w:rPr>
          <w:rFonts w:ascii="Cambria" w:hAnsi="Cambria"/>
          <w:sz w:val="20"/>
          <w:szCs w:val="20"/>
          <w:vertAlign w:val="superscript"/>
        </w:rPr>
        <w:t>th</w:t>
      </w:r>
      <w:r w:rsidR="002715D3" w:rsidRPr="002715D3">
        <w:rPr>
          <w:rFonts w:ascii="Cambria" w:hAnsi="Cambria"/>
          <w:sz w:val="20"/>
          <w:szCs w:val="20"/>
        </w:rPr>
        <w:t xml:space="preserve"> Special Prosecutor for Human Rights and IHL </w:t>
      </w:r>
      <w:r w:rsidRPr="002715D3">
        <w:rPr>
          <w:rFonts w:ascii="Cambria" w:hAnsi="Cambria"/>
          <w:sz w:val="20"/>
          <w:szCs w:val="20"/>
        </w:rPr>
        <w:t xml:space="preserve">for </w:t>
      </w:r>
      <w:r w:rsidR="00E87C53" w:rsidRPr="002715D3">
        <w:rPr>
          <w:rFonts w:ascii="Cambria" w:hAnsi="Cambria"/>
          <w:sz w:val="20"/>
          <w:szCs w:val="20"/>
        </w:rPr>
        <w:t>“</w:t>
      </w:r>
      <w:r w:rsidRPr="002715D3">
        <w:rPr>
          <w:rFonts w:ascii="Cambria" w:hAnsi="Cambria"/>
          <w:sz w:val="20"/>
          <w:szCs w:val="20"/>
        </w:rPr>
        <w:t>aggravated kidnapping, in teleological connection with torture against a protected person and violent aggravated sexual assault against a protected person.</w:t>
      </w:r>
      <w:r w:rsidR="00E87C53" w:rsidRPr="002715D3">
        <w:rPr>
          <w:rFonts w:ascii="Cambria" w:hAnsi="Cambria"/>
          <w:sz w:val="20"/>
          <w:szCs w:val="20"/>
        </w:rPr>
        <w:t>”</w:t>
      </w:r>
      <w:r w:rsidR="00B2613C" w:rsidRPr="002715D3">
        <w:rPr>
          <w:rFonts w:ascii="Cambria" w:hAnsi="Cambria"/>
          <w:sz w:val="20"/>
          <w:szCs w:val="20"/>
        </w:rPr>
        <w:t xml:space="preserve"> </w:t>
      </w:r>
      <w:r w:rsidRPr="002715D3">
        <w:rPr>
          <w:rFonts w:ascii="Cambria" w:hAnsi="Cambria"/>
          <w:sz w:val="20"/>
          <w:szCs w:val="20"/>
        </w:rPr>
        <w:t>The judge who heard the case handed down the conviction on March 18, 2017, sentencing Mario Jaimes Mejía, as a joint perpetrator, to 28 years, 2 months, and 10 days in prison, among other penalties, for the crimes of violent aggravated sexual assault, aggravated kidnapping, and torture.</w:t>
      </w:r>
      <w:r w:rsidR="00160CF5" w:rsidRPr="00B8721C">
        <w:rPr>
          <w:rStyle w:val="FootnoteReference"/>
          <w:rFonts w:ascii="Cambria" w:hAnsi="Cambria"/>
          <w:sz w:val="20"/>
          <w:szCs w:val="20"/>
        </w:rPr>
        <w:footnoteReference w:id="129"/>
      </w:r>
    </w:p>
    <w:p w:rsidR="00062CDE" w:rsidRPr="00B8721C" w:rsidRDefault="00062CDE" w:rsidP="00062CD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014CB" w:rsidRPr="00B8721C" w:rsidRDefault="00F770BE" w:rsidP="006014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lastRenderedPageBreak/>
        <w:t xml:space="preserve">According to the information provided by the State, and not disputed by the petitioner, on February 24, </w:t>
      </w:r>
      <w:r w:rsidR="00B2613C" w:rsidRPr="00B8721C">
        <w:rPr>
          <w:rFonts w:ascii="Cambria" w:hAnsi="Cambria"/>
          <w:sz w:val="20"/>
          <w:szCs w:val="20"/>
        </w:rPr>
        <w:t>2016</w:t>
      </w:r>
      <w:r w:rsidRPr="00B8721C">
        <w:rPr>
          <w:rFonts w:ascii="Cambria" w:hAnsi="Cambria"/>
          <w:sz w:val="20"/>
          <w:szCs w:val="20"/>
        </w:rPr>
        <w:t>,</w:t>
      </w:r>
      <w:r w:rsidR="00B2613C" w:rsidRPr="00B8721C">
        <w:rPr>
          <w:rFonts w:ascii="Cambria" w:hAnsi="Cambria"/>
          <w:sz w:val="20"/>
          <w:szCs w:val="20"/>
        </w:rPr>
        <w:t xml:space="preserve"> </w:t>
      </w:r>
      <w:r w:rsidRPr="00B8721C">
        <w:rPr>
          <w:rFonts w:ascii="Cambria" w:hAnsi="Cambria"/>
          <w:sz w:val="20"/>
          <w:szCs w:val="20"/>
        </w:rPr>
        <w:t>the Fifth Criminal Judge of the Specialized Circuit of Bogotá</w:t>
      </w:r>
      <w:r w:rsidR="00B2613C" w:rsidRPr="00B8721C">
        <w:rPr>
          <w:rFonts w:ascii="Cambria" w:hAnsi="Cambria"/>
          <w:sz w:val="20"/>
          <w:szCs w:val="20"/>
        </w:rPr>
        <w:t xml:space="preserve"> </w:t>
      </w:r>
      <w:r w:rsidRPr="00B8721C">
        <w:rPr>
          <w:rFonts w:ascii="Cambria" w:hAnsi="Cambria"/>
          <w:sz w:val="20"/>
          <w:szCs w:val="20"/>
        </w:rPr>
        <w:t>convicted</w:t>
      </w:r>
      <w:r w:rsidR="00B2613C" w:rsidRPr="00B8721C">
        <w:rPr>
          <w:rFonts w:ascii="Cambria" w:hAnsi="Cambria"/>
          <w:sz w:val="20"/>
          <w:szCs w:val="20"/>
        </w:rPr>
        <w:t xml:space="preserve"> Alejandro Cárdenas Orozco, </w:t>
      </w:r>
      <w:r w:rsidRPr="00B8721C">
        <w:rPr>
          <w:rFonts w:ascii="Cambria" w:hAnsi="Cambria"/>
          <w:sz w:val="20"/>
          <w:szCs w:val="20"/>
        </w:rPr>
        <w:t>as a joint perpetrator</w:t>
      </w:r>
      <w:r w:rsidR="00B2613C" w:rsidRPr="00B8721C">
        <w:rPr>
          <w:rFonts w:ascii="Cambria" w:hAnsi="Cambria"/>
          <w:sz w:val="20"/>
          <w:szCs w:val="20"/>
        </w:rPr>
        <w:t xml:space="preserve">, </w:t>
      </w:r>
      <w:r w:rsidRPr="00B8721C">
        <w:rPr>
          <w:rFonts w:ascii="Cambria" w:hAnsi="Cambria"/>
          <w:sz w:val="20"/>
          <w:szCs w:val="20"/>
        </w:rPr>
        <w:t>and sentenced him to</w:t>
      </w:r>
      <w:r w:rsidR="00B2613C" w:rsidRPr="00B8721C">
        <w:rPr>
          <w:rFonts w:ascii="Cambria" w:hAnsi="Cambria"/>
          <w:sz w:val="20"/>
          <w:szCs w:val="20"/>
        </w:rPr>
        <w:t xml:space="preserve"> 11</w:t>
      </w:r>
      <w:r w:rsidR="00B2349E" w:rsidRPr="00B8721C">
        <w:rPr>
          <w:rFonts w:ascii="Cambria" w:hAnsi="Cambria"/>
          <w:sz w:val="20"/>
          <w:szCs w:val="20"/>
        </w:rPr>
        <w:t xml:space="preserve"> </w:t>
      </w:r>
      <w:r w:rsidRPr="00B8721C">
        <w:rPr>
          <w:rFonts w:ascii="Cambria" w:hAnsi="Cambria"/>
          <w:sz w:val="20"/>
          <w:szCs w:val="20"/>
        </w:rPr>
        <w:t xml:space="preserve">years and 5 months in prison, for the offenses of </w:t>
      </w:r>
      <w:r w:rsidR="0094087A" w:rsidRPr="00B8721C">
        <w:rPr>
          <w:rFonts w:ascii="Cambria" w:hAnsi="Cambria"/>
          <w:sz w:val="20"/>
          <w:szCs w:val="20"/>
        </w:rPr>
        <w:t>aggravated kidnapping and torture of a protected person</w:t>
      </w:r>
      <w:r w:rsidR="00B2613C" w:rsidRPr="00B8721C">
        <w:rPr>
          <w:rFonts w:ascii="Cambria" w:hAnsi="Cambria"/>
          <w:sz w:val="20"/>
          <w:szCs w:val="20"/>
        </w:rPr>
        <w:t xml:space="preserve">, </w:t>
      </w:r>
      <w:r w:rsidRPr="00B8721C">
        <w:rPr>
          <w:rFonts w:ascii="Cambria" w:hAnsi="Cambria"/>
          <w:sz w:val="20"/>
          <w:szCs w:val="20"/>
        </w:rPr>
        <w:t>according to the defendant’s guilty plea</w:t>
      </w:r>
      <w:r w:rsidR="00B2613C" w:rsidRPr="00B8721C">
        <w:rPr>
          <w:rFonts w:ascii="Cambria" w:hAnsi="Cambria"/>
          <w:sz w:val="20"/>
          <w:szCs w:val="20"/>
        </w:rPr>
        <w:t>.</w:t>
      </w:r>
      <w:r w:rsidR="00B2349E" w:rsidRPr="00B8721C">
        <w:rPr>
          <w:rFonts w:ascii="Cambria" w:hAnsi="Cambria"/>
          <w:sz w:val="20"/>
          <w:szCs w:val="20"/>
        </w:rPr>
        <w:t xml:space="preserve"> </w:t>
      </w:r>
      <w:r w:rsidR="00832BEF" w:rsidRPr="00B8721C">
        <w:rPr>
          <w:rFonts w:ascii="Cambria" w:hAnsi="Cambria"/>
          <w:sz w:val="20"/>
          <w:szCs w:val="20"/>
        </w:rPr>
        <w:t xml:space="preserve">On February 26, </w:t>
      </w:r>
      <w:r w:rsidR="00B2349E" w:rsidRPr="00B8721C">
        <w:rPr>
          <w:rFonts w:ascii="Cambria" w:hAnsi="Cambria"/>
          <w:sz w:val="20"/>
          <w:szCs w:val="20"/>
        </w:rPr>
        <w:t>2017</w:t>
      </w:r>
      <w:r w:rsidR="00B2613C" w:rsidRPr="00B8721C">
        <w:rPr>
          <w:rFonts w:ascii="Cambria" w:hAnsi="Cambria"/>
          <w:sz w:val="20"/>
          <w:szCs w:val="20"/>
        </w:rPr>
        <w:t xml:space="preserve">, </w:t>
      </w:r>
      <w:r w:rsidR="00420743">
        <w:rPr>
          <w:rFonts w:ascii="Cambria" w:hAnsi="Cambria"/>
          <w:sz w:val="20"/>
          <w:szCs w:val="20"/>
        </w:rPr>
        <w:t>the 43</w:t>
      </w:r>
      <w:r w:rsidR="00420743" w:rsidRPr="00420743">
        <w:rPr>
          <w:rFonts w:ascii="Cambria" w:hAnsi="Cambria"/>
          <w:sz w:val="20"/>
          <w:szCs w:val="20"/>
          <w:vertAlign w:val="superscript"/>
        </w:rPr>
        <w:t>rd</w:t>
      </w:r>
      <w:r w:rsidR="00420743">
        <w:rPr>
          <w:rFonts w:ascii="Cambria" w:hAnsi="Cambria"/>
          <w:sz w:val="20"/>
          <w:szCs w:val="20"/>
        </w:rPr>
        <w:t xml:space="preserve"> </w:t>
      </w:r>
      <w:r w:rsidR="00832BEF" w:rsidRPr="00B8721C">
        <w:rPr>
          <w:rFonts w:ascii="Cambria" w:hAnsi="Cambria"/>
          <w:sz w:val="20"/>
          <w:szCs w:val="20"/>
        </w:rPr>
        <w:t xml:space="preserve">Assistant </w:t>
      </w:r>
      <w:r w:rsidR="00E82ECB">
        <w:rPr>
          <w:rFonts w:ascii="Cambria" w:hAnsi="Cambria"/>
          <w:sz w:val="20"/>
          <w:szCs w:val="20"/>
        </w:rPr>
        <w:t>Prosecutor’s</w:t>
      </w:r>
      <w:r w:rsidR="002C38DA" w:rsidRPr="00B8721C">
        <w:rPr>
          <w:rFonts w:ascii="Cambria" w:hAnsi="Cambria"/>
          <w:sz w:val="20"/>
          <w:szCs w:val="20"/>
        </w:rPr>
        <w:t xml:space="preserve"> Office</w:t>
      </w:r>
      <w:r w:rsidR="00B2613C" w:rsidRPr="00B8721C">
        <w:rPr>
          <w:rFonts w:ascii="Cambria" w:hAnsi="Cambria"/>
          <w:sz w:val="20"/>
          <w:szCs w:val="20"/>
        </w:rPr>
        <w:t xml:space="preserve"> </w:t>
      </w:r>
      <w:r w:rsidR="00832BEF" w:rsidRPr="00B8721C">
        <w:rPr>
          <w:rFonts w:ascii="Cambria" w:hAnsi="Cambria"/>
          <w:sz w:val="20"/>
          <w:szCs w:val="20"/>
        </w:rPr>
        <w:t xml:space="preserve">before the </w:t>
      </w:r>
      <w:r w:rsidR="00B2613C" w:rsidRPr="00B8721C">
        <w:rPr>
          <w:rFonts w:ascii="Cambria" w:hAnsi="Cambria"/>
          <w:sz w:val="20"/>
          <w:szCs w:val="20"/>
        </w:rPr>
        <w:t xml:space="preserve">Superior </w:t>
      </w:r>
      <w:r w:rsidR="00832BEF" w:rsidRPr="00B8721C">
        <w:rPr>
          <w:rFonts w:ascii="Cambria" w:hAnsi="Cambria"/>
          <w:sz w:val="20"/>
          <w:szCs w:val="20"/>
        </w:rPr>
        <w:t>Court of</w:t>
      </w:r>
      <w:r w:rsidR="00B2613C" w:rsidRPr="00B8721C">
        <w:rPr>
          <w:rFonts w:ascii="Cambria" w:hAnsi="Cambria"/>
          <w:sz w:val="20"/>
          <w:szCs w:val="20"/>
        </w:rPr>
        <w:t xml:space="preserve"> Bogotá </w:t>
      </w:r>
      <w:r w:rsidR="00832BEF" w:rsidRPr="00B8721C">
        <w:rPr>
          <w:rFonts w:ascii="Cambria" w:hAnsi="Cambria"/>
          <w:sz w:val="20"/>
          <w:szCs w:val="20"/>
        </w:rPr>
        <w:t xml:space="preserve">confirmed the indictment </w:t>
      </w:r>
      <w:r w:rsidR="00062CDE" w:rsidRPr="00B8721C">
        <w:rPr>
          <w:rFonts w:ascii="Cambria" w:hAnsi="Cambria"/>
          <w:sz w:val="20"/>
          <w:szCs w:val="20"/>
        </w:rPr>
        <w:t>of</w:t>
      </w:r>
      <w:r w:rsidR="00B2613C" w:rsidRPr="00B8721C">
        <w:rPr>
          <w:rFonts w:ascii="Cambria" w:hAnsi="Cambria"/>
          <w:sz w:val="20"/>
          <w:szCs w:val="20"/>
        </w:rPr>
        <w:t xml:space="preserve"> Jesús Emiro Pereira Rivera </w:t>
      </w:r>
      <w:r w:rsidR="00832BEF" w:rsidRPr="00B8721C">
        <w:rPr>
          <w:rFonts w:ascii="Cambria" w:hAnsi="Cambria"/>
          <w:sz w:val="20"/>
          <w:szCs w:val="20"/>
        </w:rPr>
        <w:t>for the offenses of</w:t>
      </w:r>
      <w:r w:rsidR="00B2613C" w:rsidRPr="00B8721C">
        <w:rPr>
          <w:rFonts w:ascii="Cambria" w:hAnsi="Cambria"/>
          <w:sz w:val="20"/>
          <w:szCs w:val="20"/>
        </w:rPr>
        <w:t xml:space="preserve"> </w:t>
      </w:r>
      <w:r w:rsidRPr="00B8721C">
        <w:rPr>
          <w:rFonts w:ascii="Cambria" w:hAnsi="Cambria"/>
          <w:sz w:val="20"/>
          <w:szCs w:val="20"/>
        </w:rPr>
        <w:t>aggravated kidnapping, in teleological connection with torture against a protected person and violent aggravated sexual assault against a protected person</w:t>
      </w:r>
      <w:r w:rsidR="00B2613C" w:rsidRPr="00B8721C">
        <w:rPr>
          <w:rFonts w:ascii="Cambria" w:hAnsi="Cambria"/>
          <w:sz w:val="20"/>
          <w:szCs w:val="20"/>
        </w:rPr>
        <w:t xml:space="preserve">, </w:t>
      </w:r>
      <w:r w:rsidR="00832BEF" w:rsidRPr="00B8721C">
        <w:rPr>
          <w:rFonts w:ascii="Cambria" w:hAnsi="Cambria"/>
          <w:sz w:val="20"/>
          <w:szCs w:val="20"/>
        </w:rPr>
        <w:t>at which point the case entered the trial phase</w:t>
      </w:r>
      <w:r w:rsidR="00B2613C" w:rsidRPr="00B8721C">
        <w:rPr>
          <w:rFonts w:ascii="Cambria" w:hAnsi="Cambria"/>
          <w:sz w:val="20"/>
          <w:szCs w:val="20"/>
        </w:rPr>
        <w:t>.</w:t>
      </w:r>
      <w:r w:rsidR="00B2349E" w:rsidRPr="00B8721C">
        <w:rPr>
          <w:rFonts w:ascii="Cambria" w:hAnsi="Cambria"/>
          <w:sz w:val="20"/>
          <w:szCs w:val="20"/>
        </w:rPr>
        <w:t xml:space="preserve"> </w:t>
      </w:r>
      <w:r w:rsidR="003C37D2" w:rsidRPr="00B8721C">
        <w:rPr>
          <w:rFonts w:ascii="Cambria" w:hAnsi="Cambria"/>
          <w:sz w:val="20"/>
          <w:szCs w:val="20"/>
        </w:rPr>
        <w:t>In addition</w:t>
      </w:r>
      <w:r w:rsidR="00B2613C" w:rsidRPr="00B8721C">
        <w:rPr>
          <w:rFonts w:ascii="Cambria" w:hAnsi="Cambria"/>
          <w:sz w:val="20"/>
          <w:szCs w:val="20"/>
        </w:rPr>
        <w:t xml:space="preserve">, </w:t>
      </w:r>
      <w:r w:rsidR="002C38DA" w:rsidRPr="00B8721C">
        <w:rPr>
          <w:rFonts w:ascii="Cambria" w:hAnsi="Cambria"/>
          <w:sz w:val="20"/>
          <w:szCs w:val="20"/>
        </w:rPr>
        <w:t>the</w:t>
      </w:r>
      <w:r w:rsidR="00062CDE" w:rsidRPr="00B8721C">
        <w:rPr>
          <w:rFonts w:ascii="Cambria" w:hAnsi="Cambria"/>
          <w:sz w:val="20"/>
          <w:szCs w:val="20"/>
        </w:rPr>
        <w:t xml:space="preserve"> aforementioned</w:t>
      </w:r>
      <w:r w:rsidR="002C38DA" w:rsidRPr="00B8721C">
        <w:rPr>
          <w:rFonts w:ascii="Cambria" w:hAnsi="Cambria"/>
          <w:sz w:val="20"/>
          <w:szCs w:val="20"/>
        </w:rPr>
        <w:t xml:space="preserve"> </w:t>
      </w:r>
      <w:r w:rsidR="00E82ECB">
        <w:rPr>
          <w:rFonts w:ascii="Cambria" w:hAnsi="Cambria"/>
          <w:sz w:val="20"/>
          <w:szCs w:val="20"/>
        </w:rPr>
        <w:t>Prosecutor’s</w:t>
      </w:r>
      <w:r w:rsidR="002C38DA" w:rsidRPr="00B8721C">
        <w:rPr>
          <w:rFonts w:ascii="Cambria" w:hAnsi="Cambria"/>
          <w:sz w:val="20"/>
          <w:szCs w:val="20"/>
        </w:rPr>
        <w:t xml:space="preserve"> Office</w:t>
      </w:r>
      <w:r w:rsidR="00B2613C" w:rsidRPr="00B8721C">
        <w:rPr>
          <w:rFonts w:ascii="Cambria" w:hAnsi="Cambria"/>
          <w:sz w:val="20"/>
          <w:szCs w:val="20"/>
        </w:rPr>
        <w:t xml:space="preserve"> </w:t>
      </w:r>
      <w:r w:rsidR="00062CDE" w:rsidRPr="00B8721C">
        <w:rPr>
          <w:rFonts w:ascii="Cambria" w:hAnsi="Cambria"/>
          <w:sz w:val="20"/>
          <w:szCs w:val="20"/>
        </w:rPr>
        <w:t xml:space="preserve">confirmed the indictment of </w:t>
      </w:r>
      <w:r w:rsidR="00B2613C" w:rsidRPr="00B8721C">
        <w:rPr>
          <w:rFonts w:ascii="Cambria" w:hAnsi="Cambria"/>
          <w:sz w:val="20"/>
          <w:szCs w:val="20"/>
        </w:rPr>
        <w:t xml:space="preserve">Alejandro Cárdenas </w:t>
      </w:r>
      <w:r w:rsidR="00062CDE" w:rsidRPr="00B8721C">
        <w:rPr>
          <w:rFonts w:ascii="Cambria" w:hAnsi="Cambria"/>
          <w:sz w:val="20"/>
          <w:szCs w:val="20"/>
        </w:rPr>
        <w:t>for the offense of sexual violence</w:t>
      </w:r>
      <w:r w:rsidR="00B2613C" w:rsidRPr="00B8721C">
        <w:rPr>
          <w:rFonts w:ascii="Cambria" w:hAnsi="Cambria"/>
          <w:sz w:val="20"/>
          <w:szCs w:val="20"/>
        </w:rPr>
        <w:t xml:space="preserve">, </w:t>
      </w:r>
      <w:r w:rsidR="00062CDE" w:rsidRPr="00B8721C">
        <w:rPr>
          <w:rFonts w:ascii="Cambria" w:hAnsi="Cambria"/>
          <w:sz w:val="20"/>
          <w:szCs w:val="20"/>
        </w:rPr>
        <w:t>which was in the process of appeal, for which reason this case is also at the trial stage</w:t>
      </w:r>
      <w:r w:rsidR="00B2613C" w:rsidRPr="00B8721C">
        <w:rPr>
          <w:rFonts w:ascii="Cambria" w:hAnsi="Cambria"/>
          <w:sz w:val="20"/>
          <w:szCs w:val="20"/>
        </w:rPr>
        <w:t>.</w:t>
      </w:r>
      <w:r w:rsidR="00E62D00" w:rsidRPr="00B8721C">
        <w:rPr>
          <w:rFonts w:ascii="Cambria" w:hAnsi="Cambria"/>
          <w:sz w:val="20"/>
          <w:szCs w:val="20"/>
        </w:rPr>
        <w:t xml:space="preserve"> </w:t>
      </w:r>
      <w:r w:rsidRPr="00B8721C">
        <w:rPr>
          <w:rFonts w:ascii="Cambria" w:hAnsi="Cambria"/>
          <w:sz w:val="20"/>
          <w:szCs w:val="20"/>
        </w:rPr>
        <w:t>The Fifth Criminal Judge of the Specialized Circuit of Bogotá</w:t>
      </w:r>
      <w:r w:rsidR="00B2613C" w:rsidRPr="00B8721C">
        <w:rPr>
          <w:rFonts w:ascii="Cambria" w:hAnsi="Cambria"/>
          <w:sz w:val="20"/>
          <w:szCs w:val="20"/>
        </w:rPr>
        <w:t xml:space="preserve"> </w:t>
      </w:r>
      <w:r w:rsidR="00062CDE" w:rsidRPr="00B8721C">
        <w:rPr>
          <w:rFonts w:ascii="Cambria" w:hAnsi="Cambria"/>
          <w:sz w:val="20"/>
          <w:szCs w:val="20"/>
        </w:rPr>
        <w:t>handed down convictions against Alejandro Cárdenas Orozco, for the offenses of</w:t>
      </w:r>
      <w:r w:rsidR="00B2613C" w:rsidRPr="00B8721C">
        <w:rPr>
          <w:rFonts w:ascii="Cambria" w:hAnsi="Cambria"/>
          <w:sz w:val="20"/>
          <w:szCs w:val="20"/>
        </w:rPr>
        <w:t xml:space="preserve"> </w:t>
      </w:r>
      <w:r w:rsidR="0094087A" w:rsidRPr="00B8721C">
        <w:rPr>
          <w:rFonts w:ascii="Cambria" w:hAnsi="Cambria"/>
          <w:sz w:val="20"/>
          <w:szCs w:val="20"/>
        </w:rPr>
        <w:t>aggravated kidnapping and torture of a protected person</w:t>
      </w:r>
      <w:r w:rsidR="00062CDE" w:rsidRPr="00B8721C">
        <w:rPr>
          <w:rFonts w:ascii="Cambria" w:hAnsi="Cambria"/>
          <w:sz w:val="20"/>
          <w:szCs w:val="20"/>
        </w:rPr>
        <w:t>, and against</w:t>
      </w:r>
      <w:r w:rsidR="00B2613C" w:rsidRPr="00B8721C">
        <w:rPr>
          <w:rFonts w:ascii="Cambria" w:hAnsi="Cambria"/>
          <w:sz w:val="20"/>
          <w:szCs w:val="20"/>
        </w:rPr>
        <w:t xml:space="preserve"> Mario Jaimes Mejía, </w:t>
      </w:r>
      <w:r w:rsidR="00062CDE" w:rsidRPr="00B8721C">
        <w:rPr>
          <w:rFonts w:ascii="Cambria" w:hAnsi="Cambria"/>
          <w:sz w:val="20"/>
          <w:szCs w:val="20"/>
        </w:rPr>
        <w:t>for the three offenses to which he pleaded guilty.</w:t>
      </w:r>
      <w:r w:rsidR="00B2613C" w:rsidRPr="00B8721C">
        <w:rPr>
          <w:rFonts w:ascii="Cambria" w:hAnsi="Cambria"/>
          <w:sz w:val="20"/>
          <w:szCs w:val="20"/>
        </w:rPr>
        <w:t xml:space="preserve"> </w:t>
      </w:r>
      <w:r w:rsidR="00062CDE" w:rsidRPr="00B8721C">
        <w:rPr>
          <w:rFonts w:ascii="Cambria" w:hAnsi="Cambria"/>
          <w:sz w:val="20"/>
          <w:szCs w:val="20"/>
        </w:rPr>
        <w:t>In addition</w:t>
      </w:r>
      <w:r w:rsidR="00B2613C" w:rsidRPr="00B8721C">
        <w:rPr>
          <w:rFonts w:ascii="Cambria" w:hAnsi="Cambria"/>
          <w:sz w:val="20"/>
          <w:szCs w:val="20"/>
        </w:rPr>
        <w:t xml:space="preserve">, </w:t>
      </w:r>
      <w:r w:rsidR="002C38DA" w:rsidRPr="00B8721C">
        <w:rPr>
          <w:rFonts w:ascii="Cambria" w:hAnsi="Cambria"/>
          <w:sz w:val="20"/>
          <w:szCs w:val="20"/>
        </w:rPr>
        <w:t xml:space="preserve">the </w:t>
      </w:r>
      <w:r w:rsidR="00E82ECB">
        <w:rPr>
          <w:rFonts w:ascii="Cambria" w:hAnsi="Cambria"/>
          <w:sz w:val="20"/>
          <w:szCs w:val="20"/>
        </w:rPr>
        <w:t>Prosecutor’s</w:t>
      </w:r>
      <w:r w:rsidR="002C38DA" w:rsidRPr="00B8721C">
        <w:rPr>
          <w:rFonts w:ascii="Cambria" w:hAnsi="Cambria"/>
          <w:sz w:val="20"/>
          <w:szCs w:val="20"/>
        </w:rPr>
        <w:t xml:space="preserve"> Office</w:t>
      </w:r>
      <w:r w:rsidR="00B2613C" w:rsidRPr="00B8721C">
        <w:rPr>
          <w:rFonts w:ascii="Cambria" w:hAnsi="Cambria"/>
          <w:sz w:val="20"/>
          <w:szCs w:val="20"/>
        </w:rPr>
        <w:t xml:space="preserve"> </w:t>
      </w:r>
      <w:r w:rsidR="00062CDE" w:rsidRPr="00B8721C">
        <w:rPr>
          <w:rFonts w:ascii="Cambria" w:hAnsi="Cambria"/>
          <w:sz w:val="20"/>
          <w:szCs w:val="20"/>
        </w:rPr>
        <w:t>confirmed the indictment of</w:t>
      </w:r>
      <w:r w:rsidR="00B2613C" w:rsidRPr="00B8721C">
        <w:rPr>
          <w:rFonts w:ascii="Cambria" w:hAnsi="Cambria"/>
          <w:sz w:val="20"/>
          <w:szCs w:val="20"/>
        </w:rPr>
        <w:t xml:space="preserve"> Jesús Emiro</w:t>
      </w:r>
      <w:r w:rsidR="00B2349E" w:rsidRPr="00B8721C">
        <w:rPr>
          <w:rFonts w:ascii="Cambria" w:hAnsi="Cambria"/>
          <w:sz w:val="20"/>
          <w:szCs w:val="20"/>
        </w:rPr>
        <w:t xml:space="preserve"> </w:t>
      </w:r>
      <w:r w:rsidR="00B2613C" w:rsidRPr="00B8721C">
        <w:rPr>
          <w:rFonts w:ascii="Cambria" w:hAnsi="Cambria"/>
          <w:sz w:val="20"/>
          <w:szCs w:val="20"/>
        </w:rPr>
        <w:t xml:space="preserve">Pereira Rivera </w:t>
      </w:r>
      <w:r w:rsidR="00062CDE" w:rsidRPr="00B8721C">
        <w:rPr>
          <w:rFonts w:ascii="Cambria" w:hAnsi="Cambria"/>
          <w:sz w:val="20"/>
          <w:szCs w:val="20"/>
        </w:rPr>
        <w:t>for the three offenses for which he had been bound over for investigation, as well as the indictment of</w:t>
      </w:r>
      <w:r w:rsidR="00B2613C" w:rsidRPr="00B8721C">
        <w:rPr>
          <w:rFonts w:ascii="Cambria" w:hAnsi="Cambria"/>
          <w:sz w:val="20"/>
          <w:szCs w:val="20"/>
        </w:rPr>
        <w:t xml:space="preserve"> Alejandro Cárdenas </w:t>
      </w:r>
      <w:r w:rsidR="00062CDE" w:rsidRPr="00B8721C">
        <w:rPr>
          <w:rFonts w:ascii="Cambria" w:hAnsi="Cambria"/>
          <w:sz w:val="20"/>
          <w:szCs w:val="20"/>
        </w:rPr>
        <w:t>for the offense of sexual violence.</w:t>
      </w:r>
      <w:r w:rsidR="00160CF5" w:rsidRPr="00B8721C">
        <w:rPr>
          <w:rStyle w:val="FootnoteReference"/>
          <w:rFonts w:ascii="Cambria" w:hAnsi="Cambria"/>
          <w:sz w:val="20"/>
          <w:szCs w:val="20"/>
        </w:rPr>
        <w:footnoteReference w:id="130"/>
      </w:r>
    </w:p>
    <w:p w:rsidR="006014CB" w:rsidRPr="00B8721C" w:rsidRDefault="006014CB" w:rsidP="006014C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E65D7B" w:rsidRPr="00B8721C" w:rsidRDefault="006014CB" w:rsidP="006014C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According to information provided by the State to the IACHR, three individuals have been convicted for the events of May 25, 2000. Armando Lugo, who entered into a plea agreement on February 27, 2015; Mario Jaimes Mejía, convicted on March 18, 2016, and Alejandro Cárdenas Orozco, convicted on February 24, 2016.</w:t>
      </w:r>
      <w:r w:rsidR="00160CF5" w:rsidRPr="00B8721C">
        <w:rPr>
          <w:rStyle w:val="FootnoteReference"/>
          <w:rFonts w:ascii="Cambria" w:hAnsi="Cambria"/>
          <w:sz w:val="20"/>
          <w:szCs w:val="20"/>
        </w:rPr>
        <w:footnoteReference w:id="131"/>
      </w:r>
    </w:p>
    <w:p w:rsidR="007E0970" w:rsidRPr="00B8721C" w:rsidRDefault="007E0970" w:rsidP="005A03C0">
      <w:pPr>
        <w:rPr>
          <w:rFonts w:ascii="Cambria" w:hAnsi="Cambria"/>
          <w:sz w:val="20"/>
          <w:szCs w:val="20"/>
        </w:rPr>
      </w:pPr>
      <w:r w:rsidRPr="00B8721C">
        <w:rPr>
          <w:rFonts w:ascii="Cambria" w:hAnsi="Cambria"/>
          <w:sz w:val="20"/>
          <w:szCs w:val="20"/>
        </w:rPr>
        <w:tab/>
      </w:r>
    </w:p>
    <w:p w:rsidR="00843853" w:rsidRPr="00B8721C" w:rsidRDefault="00C26318" w:rsidP="0011783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firstLine="0"/>
        <w:jc w:val="both"/>
        <w:rPr>
          <w:rFonts w:ascii="Cambria" w:hAnsi="Cambria"/>
          <w:b/>
          <w:sz w:val="20"/>
          <w:szCs w:val="20"/>
        </w:rPr>
      </w:pPr>
      <w:r w:rsidRPr="00B8721C">
        <w:rPr>
          <w:rFonts w:ascii="Cambria" w:hAnsi="Cambria"/>
          <w:b/>
          <w:sz w:val="20"/>
          <w:szCs w:val="20"/>
        </w:rPr>
        <w:t>Investigation of the 6</w:t>
      </w:r>
      <w:r w:rsidRPr="00B8721C">
        <w:rPr>
          <w:rFonts w:ascii="Cambria" w:hAnsi="Cambria"/>
          <w:b/>
          <w:sz w:val="20"/>
          <w:szCs w:val="20"/>
          <w:vertAlign w:val="superscript"/>
        </w:rPr>
        <w:t>th</w:t>
      </w:r>
      <w:r w:rsidRPr="00B8721C">
        <w:rPr>
          <w:rFonts w:ascii="Cambria" w:hAnsi="Cambria"/>
          <w:b/>
          <w:sz w:val="20"/>
          <w:szCs w:val="20"/>
        </w:rPr>
        <w:t xml:space="preserve"> </w:t>
      </w:r>
      <w:r w:rsidR="0043470A">
        <w:rPr>
          <w:rFonts w:ascii="Cambria" w:hAnsi="Cambria"/>
          <w:b/>
          <w:sz w:val="20"/>
          <w:szCs w:val="20"/>
        </w:rPr>
        <w:t>Special Prosecutor</w:t>
      </w:r>
      <w:r w:rsidRPr="00B8721C">
        <w:rPr>
          <w:rFonts w:ascii="Cambria" w:hAnsi="Cambria"/>
          <w:b/>
          <w:sz w:val="20"/>
          <w:szCs w:val="20"/>
        </w:rPr>
        <w:t xml:space="preserve"> for omissions in the criminal proceedings</w:t>
      </w:r>
    </w:p>
    <w:p w:rsidR="000857E0" w:rsidRPr="00B8721C" w:rsidRDefault="00812DB1" w:rsidP="000857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On February 29, 2011</w:t>
      </w:r>
      <w:r w:rsidR="00843853" w:rsidRPr="00B8721C">
        <w:rPr>
          <w:rFonts w:ascii="Cambria" w:hAnsi="Cambria"/>
          <w:sz w:val="20"/>
          <w:szCs w:val="20"/>
        </w:rPr>
        <w:t xml:space="preserve">, </w:t>
      </w:r>
      <w:r w:rsidRPr="00B8721C">
        <w:rPr>
          <w:rFonts w:ascii="Cambria" w:hAnsi="Cambria"/>
          <w:sz w:val="20"/>
          <w:szCs w:val="20"/>
        </w:rPr>
        <w:t xml:space="preserve">Criminal Judicial Advocate 19 issued an official letter addressed to </w:t>
      </w:r>
      <w:r w:rsidR="002715D3">
        <w:rPr>
          <w:rFonts w:ascii="Cambria" w:hAnsi="Cambria"/>
          <w:sz w:val="20"/>
          <w:szCs w:val="20"/>
        </w:rPr>
        <w:t>The 49</w:t>
      </w:r>
      <w:r w:rsidR="002715D3" w:rsidRPr="002715D3">
        <w:rPr>
          <w:rFonts w:ascii="Cambria" w:hAnsi="Cambria"/>
          <w:sz w:val="20"/>
          <w:szCs w:val="20"/>
          <w:vertAlign w:val="superscript"/>
        </w:rPr>
        <w:t xml:space="preserve">th </w:t>
      </w:r>
      <w:r w:rsidR="002715D3">
        <w:rPr>
          <w:rFonts w:ascii="Cambria" w:hAnsi="Cambria"/>
          <w:sz w:val="20"/>
          <w:szCs w:val="20"/>
        </w:rPr>
        <w:t>Special Prosecutor</w:t>
      </w:r>
      <w:r w:rsidR="00C36EFE" w:rsidRPr="00B8721C">
        <w:rPr>
          <w:rFonts w:ascii="Cambria" w:hAnsi="Cambria"/>
          <w:sz w:val="20"/>
          <w:szCs w:val="20"/>
        </w:rPr>
        <w:t xml:space="preserve"> of the </w:t>
      </w:r>
      <w:r w:rsidR="00D4792C" w:rsidRPr="00B8721C">
        <w:rPr>
          <w:rFonts w:ascii="Cambria" w:hAnsi="Cambria"/>
          <w:sz w:val="20"/>
          <w:szCs w:val="20"/>
        </w:rPr>
        <w:t>NHRU</w:t>
      </w:r>
      <w:r w:rsidR="00C36EFE" w:rsidRPr="00B8721C">
        <w:rPr>
          <w:rFonts w:ascii="Cambria" w:hAnsi="Cambria"/>
          <w:sz w:val="20"/>
          <w:szCs w:val="20"/>
        </w:rPr>
        <w:t xml:space="preserve">, ordering that certified </w:t>
      </w:r>
      <w:r w:rsidRPr="00B8721C">
        <w:rPr>
          <w:rFonts w:ascii="Cambria" w:hAnsi="Cambria"/>
          <w:sz w:val="20"/>
          <w:szCs w:val="20"/>
        </w:rPr>
        <w:t xml:space="preserve">copies </w:t>
      </w:r>
      <w:r w:rsidR="00C36EFE" w:rsidRPr="00B8721C">
        <w:rPr>
          <w:rFonts w:ascii="Cambria" w:hAnsi="Cambria"/>
          <w:sz w:val="20"/>
          <w:szCs w:val="20"/>
        </w:rPr>
        <w:t>of the case file be sent to</w:t>
      </w:r>
      <w:r w:rsidRPr="00B8721C">
        <w:rPr>
          <w:rFonts w:ascii="Cambria" w:hAnsi="Cambria"/>
          <w:sz w:val="20"/>
          <w:szCs w:val="20"/>
        </w:rPr>
        <w:t xml:space="preserve"> the criminal and disciplinary </w:t>
      </w:r>
      <w:r w:rsidR="00C36EFE" w:rsidRPr="00B8721C">
        <w:rPr>
          <w:rFonts w:ascii="Cambria" w:hAnsi="Cambria"/>
          <w:sz w:val="20"/>
          <w:szCs w:val="20"/>
        </w:rPr>
        <w:t>authorities</w:t>
      </w:r>
      <w:r w:rsidRPr="00B8721C">
        <w:rPr>
          <w:rFonts w:ascii="Cambria" w:hAnsi="Cambria"/>
          <w:sz w:val="20"/>
          <w:szCs w:val="20"/>
        </w:rPr>
        <w:t xml:space="preserve"> </w:t>
      </w:r>
      <w:r w:rsidR="00C36EFE" w:rsidRPr="00B8721C">
        <w:rPr>
          <w:rFonts w:ascii="Cambria" w:hAnsi="Cambria"/>
          <w:sz w:val="20"/>
          <w:szCs w:val="20"/>
        </w:rPr>
        <w:t xml:space="preserve">for proceedings </w:t>
      </w:r>
      <w:r w:rsidRPr="00B8721C">
        <w:rPr>
          <w:rFonts w:ascii="Cambria" w:hAnsi="Cambria"/>
          <w:sz w:val="20"/>
          <w:szCs w:val="20"/>
        </w:rPr>
        <w:t xml:space="preserve">against </w:t>
      </w:r>
      <w:r w:rsidR="00420743">
        <w:rPr>
          <w:rFonts w:ascii="Cambria" w:hAnsi="Cambria"/>
          <w:sz w:val="20"/>
          <w:szCs w:val="20"/>
        </w:rPr>
        <w:t>the 6</w:t>
      </w:r>
      <w:r w:rsidR="00420743" w:rsidRPr="00420743">
        <w:rPr>
          <w:rFonts w:ascii="Cambria" w:hAnsi="Cambria"/>
          <w:sz w:val="20"/>
          <w:szCs w:val="20"/>
          <w:vertAlign w:val="superscript"/>
        </w:rPr>
        <w:t>th</w:t>
      </w:r>
      <w:r w:rsidR="00420743">
        <w:rPr>
          <w:rFonts w:ascii="Cambria" w:hAnsi="Cambria"/>
          <w:sz w:val="20"/>
          <w:szCs w:val="20"/>
        </w:rPr>
        <w:t xml:space="preserve"> </w:t>
      </w:r>
      <w:r w:rsidR="0043470A">
        <w:rPr>
          <w:rFonts w:ascii="Cambria" w:hAnsi="Cambria"/>
          <w:sz w:val="20"/>
          <w:szCs w:val="20"/>
        </w:rPr>
        <w:t>Special Prosecutor</w:t>
      </w:r>
      <w:r w:rsidRPr="00B8721C">
        <w:rPr>
          <w:rFonts w:ascii="Cambria" w:hAnsi="Cambria"/>
          <w:sz w:val="20"/>
          <w:szCs w:val="20"/>
        </w:rPr>
        <w:t>, Gustavo Adolfo Reyes Leyva</w:t>
      </w:r>
      <w:r w:rsidR="00843853" w:rsidRPr="00B8721C">
        <w:rPr>
          <w:rFonts w:ascii="Cambria" w:hAnsi="Cambria"/>
          <w:sz w:val="20"/>
          <w:szCs w:val="20"/>
        </w:rPr>
        <w:t xml:space="preserve">. </w:t>
      </w:r>
      <w:r w:rsidR="00C36EFE" w:rsidRPr="00B8721C">
        <w:rPr>
          <w:rFonts w:ascii="Cambria" w:hAnsi="Cambria"/>
          <w:sz w:val="20"/>
          <w:szCs w:val="20"/>
        </w:rPr>
        <w:t>This was for the purpose of investigating him “for the omissions recorded in the criminal proceedings brought in connection with the heinous acts perpetrated against Mrs. GINETH BEDOYA LIMA.” In this document, the Judicial Advocate said that she had corroborated “the investigative and evidentiary failures and shortcomings of the criminal case,” pointing out that for eleven years no positive results were obtained, even though “the evidentiary material needed to establish the criminal acts and identify their perpetrators was present in the case.”</w:t>
      </w:r>
      <w:r w:rsidR="00843853" w:rsidRPr="00B8721C">
        <w:rPr>
          <w:rStyle w:val="FootnoteReference"/>
          <w:rFonts w:ascii="Cambria" w:hAnsi="Cambria"/>
          <w:sz w:val="20"/>
          <w:szCs w:val="20"/>
        </w:rPr>
        <w:footnoteReference w:id="132"/>
      </w:r>
      <w:r w:rsidR="00843853" w:rsidRPr="00B8721C">
        <w:rPr>
          <w:rFonts w:ascii="Cambria" w:hAnsi="Cambria"/>
          <w:sz w:val="20"/>
          <w:szCs w:val="20"/>
        </w:rPr>
        <w:t xml:space="preserve"> </w:t>
      </w:r>
    </w:p>
    <w:p w:rsidR="000857E0" w:rsidRPr="00B8721C" w:rsidRDefault="000857E0" w:rsidP="000857E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843853" w:rsidRPr="00B8721C" w:rsidRDefault="002C22EF" w:rsidP="000857E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The</w:t>
      </w:r>
      <w:r w:rsidR="00843853" w:rsidRPr="00B8721C">
        <w:rPr>
          <w:rFonts w:ascii="Cambria" w:hAnsi="Cambria"/>
          <w:sz w:val="20"/>
          <w:szCs w:val="20"/>
        </w:rPr>
        <w:t xml:space="preserve"> </w:t>
      </w:r>
      <w:r w:rsidRPr="00B8721C">
        <w:rPr>
          <w:rFonts w:ascii="Cambria" w:hAnsi="Cambria"/>
          <w:sz w:val="20"/>
          <w:szCs w:val="20"/>
        </w:rPr>
        <w:t>Judicial Advocate even stated that,</w:t>
      </w:r>
      <w:r w:rsidR="00843853" w:rsidRPr="00B8721C">
        <w:rPr>
          <w:rFonts w:ascii="Cambria" w:hAnsi="Cambria"/>
          <w:sz w:val="20"/>
          <w:szCs w:val="20"/>
        </w:rPr>
        <w:t xml:space="preserve"> “</w:t>
      </w:r>
      <w:r w:rsidRPr="00B8721C">
        <w:rPr>
          <w:rFonts w:ascii="Cambria" w:hAnsi="Cambria"/>
          <w:sz w:val="20"/>
          <w:szCs w:val="20"/>
        </w:rPr>
        <w:t>the incoherent, disjointed, and slow actions [...] have undoubtedly compromised the honorable task of administering justice entrusted to the Office of the Prosecutor General,”</w:t>
      </w:r>
      <w:r w:rsidR="00843853" w:rsidRPr="00B8721C">
        <w:rPr>
          <w:rFonts w:ascii="Cambria" w:hAnsi="Cambria"/>
          <w:sz w:val="20"/>
          <w:szCs w:val="20"/>
        </w:rPr>
        <w:t xml:space="preserve"> </w:t>
      </w:r>
      <w:r w:rsidRPr="00B8721C">
        <w:rPr>
          <w:rFonts w:ascii="Cambria" w:hAnsi="Cambria"/>
          <w:sz w:val="20"/>
          <w:szCs w:val="20"/>
        </w:rPr>
        <w:t xml:space="preserve">pointing out among them, “the fact that analyses and </w:t>
      </w:r>
      <w:r w:rsidR="00B8721C" w:rsidRPr="00B8721C">
        <w:rPr>
          <w:rFonts w:ascii="Cambria" w:hAnsi="Cambria"/>
          <w:sz w:val="20"/>
          <w:szCs w:val="20"/>
        </w:rPr>
        <w:t>inquiries</w:t>
      </w:r>
      <w:r w:rsidRPr="00B8721C">
        <w:rPr>
          <w:rFonts w:ascii="Cambria" w:hAnsi="Cambria"/>
          <w:sz w:val="20"/>
          <w:szCs w:val="20"/>
        </w:rPr>
        <w:t xml:space="preserve"> were not made into the telephone records of the calls made to and from the cell phones that were used in the kidnapping,” which no longer exist because they have expired, and because the cell phone companies that were operating at the time of the events have been replaced.</w:t>
      </w:r>
      <w:r w:rsidR="00843853" w:rsidRPr="00B8721C">
        <w:rPr>
          <w:rFonts w:ascii="Cambria" w:hAnsi="Cambria"/>
          <w:sz w:val="20"/>
          <w:szCs w:val="20"/>
        </w:rPr>
        <w:t xml:space="preserve"> </w:t>
      </w:r>
      <w:r w:rsidR="000857E0" w:rsidRPr="00B8721C">
        <w:rPr>
          <w:rFonts w:ascii="Cambria" w:hAnsi="Cambria"/>
          <w:sz w:val="20"/>
          <w:szCs w:val="20"/>
        </w:rPr>
        <w:t>She also stressed that “the fact that the State’s burden of proof has been shifted to the victim of the aggravated offenses under investigation, to the detriment of her own dignity and in a manner that is excessively re-victimizing, is a serious and regrettable evidentiary defect.” She noted the numerous interrogatories to which the victim has been subjected, which have been incorporated into the case file “in a disjointed and wholly and utterly mismanaged fashion.” Finally, the Judicial Advocate pointed out that on November 26, 2011, it was learned that “the forensic medical report first issued after the events occurred was lost from the case file,” and that “the investigators initially assigned to the case and who obtained first-hand information were forced out by shadowy forces, without being heard from in the proceedings.</w:t>
      </w:r>
      <w:r w:rsidR="00843853" w:rsidRPr="00B8721C">
        <w:rPr>
          <w:rFonts w:ascii="Cambria" w:hAnsi="Cambria"/>
          <w:sz w:val="20"/>
          <w:szCs w:val="20"/>
        </w:rPr>
        <w:t>”</w:t>
      </w:r>
      <w:r w:rsidR="00843853" w:rsidRPr="00B8721C">
        <w:rPr>
          <w:rStyle w:val="FootnoteReference"/>
          <w:rFonts w:ascii="Cambria" w:hAnsi="Cambria"/>
          <w:sz w:val="20"/>
          <w:szCs w:val="20"/>
        </w:rPr>
        <w:footnoteReference w:id="133"/>
      </w:r>
    </w:p>
    <w:p w:rsidR="00843853" w:rsidRPr="00B8721C" w:rsidRDefault="00843853" w:rsidP="005A03C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843853" w:rsidRPr="00B8721C" w:rsidRDefault="00D4792C" w:rsidP="005A0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rPr>
      </w:pPr>
      <w:r w:rsidRPr="00B8721C">
        <w:rPr>
          <w:rFonts w:ascii="Cambria" w:hAnsi="Cambria"/>
          <w:sz w:val="20"/>
          <w:szCs w:val="20"/>
        </w:rPr>
        <w:t>On August</w:t>
      </w:r>
      <w:r w:rsidR="00843853" w:rsidRPr="00B8721C">
        <w:rPr>
          <w:rFonts w:ascii="Cambria" w:hAnsi="Cambria"/>
          <w:sz w:val="20"/>
          <w:szCs w:val="20"/>
        </w:rPr>
        <w:t xml:space="preserve"> 2</w:t>
      </w:r>
      <w:r w:rsidRPr="00B8721C">
        <w:rPr>
          <w:rFonts w:ascii="Cambria" w:hAnsi="Cambria"/>
          <w:sz w:val="20"/>
          <w:szCs w:val="20"/>
        </w:rPr>
        <w:t>,</w:t>
      </w:r>
      <w:r w:rsidR="00843853" w:rsidRPr="00B8721C">
        <w:rPr>
          <w:rFonts w:ascii="Cambria" w:hAnsi="Cambria"/>
          <w:sz w:val="20"/>
          <w:szCs w:val="20"/>
        </w:rPr>
        <w:t xml:space="preserve"> 2011</w:t>
      </w:r>
      <w:r w:rsidRPr="00B8721C">
        <w:rPr>
          <w:rFonts w:ascii="Cambria" w:hAnsi="Cambria"/>
          <w:sz w:val="20"/>
          <w:szCs w:val="20"/>
        </w:rPr>
        <w:t>,</w:t>
      </w:r>
      <w:r w:rsidR="00843853" w:rsidRPr="00B8721C">
        <w:rPr>
          <w:rFonts w:ascii="Cambria" w:hAnsi="Cambria"/>
          <w:sz w:val="20"/>
          <w:szCs w:val="20"/>
        </w:rPr>
        <w:t xml:space="preserve"> </w:t>
      </w:r>
      <w:r w:rsidRPr="00B8721C">
        <w:rPr>
          <w:rFonts w:ascii="Cambria" w:hAnsi="Cambria"/>
          <w:sz w:val="20"/>
          <w:szCs w:val="20"/>
        </w:rPr>
        <w:t>the investigation was reassigned to the</w:t>
      </w:r>
      <w:r w:rsidR="00843853" w:rsidRPr="00B8721C">
        <w:rPr>
          <w:rFonts w:ascii="Cambria" w:hAnsi="Cambria"/>
          <w:sz w:val="20"/>
          <w:szCs w:val="20"/>
        </w:rPr>
        <w:t xml:space="preserve"> </w:t>
      </w:r>
      <w:r w:rsidRPr="00B8721C">
        <w:rPr>
          <w:rFonts w:ascii="Cambria" w:hAnsi="Cambria"/>
          <w:sz w:val="20"/>
          <w:szCs w:val="20"/>
        </w:rPr>
        <w:t>Unit’s Prosecution Office</w:t>
      </w:r>
      <w:r w:rsidR="00843853" w:rsidRPr="00B8721C">
        <w:rPr>
          <w:rFonts w:ascii="Cambria" w:hAnsi="Cambria"/>
          <w:sz w:val="20"/>
          <w:szCs w:val="20"/>
        </w:rPr>
        <w:t xml:space="preserve">. </w:t>
      </w:r>
      <w:r w:rsidRPr="00B8721C">
        <w:rPr>
          <w:rFonts w:ascii="Cambria" w:hAnsi="Cambria"/>
          <w:sz w:val="20"/>
          <w:szCs w:val="20"/>
        </w:rPr>
        <w:t>Through a resolution from</w:t>
      </w:r>
      <w:r w:rsidR="00843853" w:rsidRPr="00B8721C">
        <w:rPr>
          <w:rFonts w:ascii="Cambria" w:hAnsi="Cambria"/>
          <w:sz w:val="20"/>
          <w:szCs w:val="20"/>
        </w:rPr>
        <w:t xml:space="preserve"> </w:t>
      </w:r>
      <w:r w:rsidR="002C38DA" w:rsidRPr="00B8721C">
        <w:rPr>
          <w:rFonts w:ascii="Cambria" w:hAnsi="Cambria"/>
          <w:sz w:val="20"/>
          <w:szCs w:val="20"/>
        </w:rPr>
        <w:t xml:space="preserve">the </w:t>
      </w:r>
      <w:r w:rsidRPr="00B8721C">
        <w:rPr>
          <w:rFonts w:ascii="Cambria" w:hAnsi="Cambria"/>
          <w:sz w:val="20"/>
          <w:szCs w:val="20"/>
        </w:rPr>
        <w:t xml:space="preserve">NHRU-IHL Sixth </w:t>
      </w:r>
      <w:r w:rsidR="00E82ECB">
        <w:rPr>
          <w:rFonts w:ascii="Cambria" w:hAnsi="Cambria"/>
          <w:sz w:val="20"/>
          <w:szCs w:val="20"/>
        </w:rPr>
        <w:t>Prosecutor’s</w:t>
      </w:r>
      <w:r w:rsidR="002C38DA" w:rsidRPr="00B8721C">
        <w:rPr>
          <w:rFonts w:ascii="Cambria" w:hAnsi="Cambria"/>
          <w:sz w:val="20"/>
          <w:szCs w:val="20"/>
        </w:rPr>
        <w:t xml:space="preserve"> Office</w:t>
      </w:r>
      <w:r w:rsidR="00843853" w:rsidRPr="00B8721C">
        <w:rPr>
          <w:rFonts w:ascii="Cambria" w:hAnsi="Cambria"/>
          <w:sz w:val="20"/>
          <w:szCs w:val="20"/>
        </w:rPr>
        <w:t xml:space="preserve">, </w:t>
      </w:r>
      <w:r w:rsidRPr="00B8721C">
        <w:rPr>
          <w:rFonts w:ascii="Cambria" w:hAnsi="Cambria"/>
          <w:sz w:val="20"/>
          <w:szCs w:val="20"/>
        </w:rPr>
        <w:t xml:space="preserve">the pretrial investigation was opened on August </w:t>
      </w:r>
      <w:r w:rsidR="00843853" w:rsidRPr="00B8721C">
        <w:rPr>
          <w:rFonts w:ascii="Cambria" w:hAnsi="Cambria"/>
          <w:sz w:val="20"/>
          <w:szCs w:val="20"/>
        </w:rPr>
        <w:t>5</w:t>
      </w:r>
      <w:r w:rsidRPr="00B8721C">
        <w:rPr>
          <w:rFonts w:ascii="Cambria" w:hAnsi="Cambria"/>
          <w:sz w:val="20"/>
          <w:szCs w:val="20"/>
        </w:rPr>
        <w:t>,</w:t>
      </w:r>
      <w:r w:rsidR="00843853" w:rsidRPr="00B8721C">
        <w:rPr>
          <w:rFonts w:ascii="Cambria" w:hAnsi="Cambria"/>
          <w:sz w:val="20"/>
          <w:szCs w:val="20"/>
        </w:rPr>
        <w:t xml:space="preserve"> </w:t>
      </w:r>
      <w:r w:rsidRPr="00B8721C">
        <w:rPr>
          <w:rFonts w:ascii="Cambria" w:hAnsi="Cambria"/>
          <w:sz w:val="20"/>
          <w:szCs w:val="20"/>
        </w:rPr>
        <w:t xml:space="preserve">2011. On March 25, </w:t>
      </w:r>
      <w:r w:rsidR="00843853" w:rsidRPr="00B8721C">
        <w:rPr>
          <w:rFonts w:ascii="Cambria" w:hAnsi="Cambria"/>
          <w:sz w:val="20"/>
          <w:szCs w:val="20"/>
        </w:rPr>
        <w:t xml:space="preserve">2015, Jineth Bedoya </w:t>
      </w:r>
      <w:r w:rsidRPr="00B8721C">
        <w:rPr>
          <w:rFonts w:ascii="Cambria" w:hAnsi="Cambria"/>
          <w:sz w:val="20"/>
          <w:szCs w:val="20"/>
        </w:rPr>
        <w:t>received notice of the decision issued by Chamber</w:t>
      </w:r>
      <w:r w:rsidR="00843853" w:rsidRPr="00B8721C">
        <w:rPr>
          <w:rFonts w:ascii="Cambria" w:hAnsi="Cambria"/>
          <w:sz w:val="20"/>
          <w:szCs w:val="20"/>
        </w:rPr>
        <w:t xml:space="preserve"> </w:t>
      </w:r>
      <w:r w:rsidR="00644C4C" w:rsidRPr="00B8721C">
        <w:rPr>
          <w:rFonts w:ascii="Cambria" w:hAnsi="Cambria"/>
          <w:sz w:val="20"/>
          <w:szCs w:val="20"/>
        </w:rPr>
        <w:t>41</w:t>
      </w:r>
      <w:r w:rsidR="00843853" w:rsidRPr="00B8721C">
        <w:rPr>
          <w:rFonts w:ascii="Cambria" w:hAnsi="Cambria"/>
          <w:sz w:val="20"/>
          <w:szCs w:val="20"/>
        </w:rPr>
        <w:t xml:space="preserve"> </w:t>
      </w:r>
      <w:r w:rsidR="00644C4C" w:rsidRPr="00B8721C">
        <w:rPr>
          <w:rFonts w:ascii="Cambria" w:hAnsi="Cambria"/>
          <w:sz w:val="20"/>
          <w:szCs w:val="20"/>
        </w:rPr>
        <w:t xml:space="preserve">of the </w:t>
      </w:r>
      <w:r w:rsidR="00843853" w:rsidRPr="00B8721C">
        <w:rPr>
          <w:rFonts w:ascii="Cambria" w:hAnsi="Cambria"/>
          <w:sz w:val="20"/>
          <w:szCs w:val="20"/>
        </w:rPr>
        <w:t xml:space="preserve">Superior </w:t>
      </w:r>
      <w:r w:rsidR="00644C4C" w:rsidRPr="00B8721C">
        <w:rPr>
          <w:rFonts w:ascii="Cambria" w:hAnsi="Cambria"/>
          <w:sz w:val="20"/>
          <w:szCs w:val="20"/>
        </w:rPr>
        <w:t>Court of the</w:t>
      </w:r>
      <w:r w:rsidR="00843853" w:rsidRPr="00B8721C">
        <w:rPr>
          <w:rFonts w:ascii="Cambria" w:hAnsi="Cambria"/>
          <w:sz w:val="20"/>
          <w:szCs w:val="20"/>
        </w:rPr>
        <w:t xml:space="preserve"> Judicial</w:t>
      </w:r>
      <w:r w:rsidR="00644C4C" w:rsidRPr="00B8721C">
        <w:rPr>
          <w:rFonts w:ascii="Cambria" w:hAnsi="Cambria"/>
          <w:sz w:val="20"/>
          <w:szCs w:val="20"/>
        </w:rPr>
        <w:t xml:space="preserve"> District</w:t>
      </w:r>
      <w:r w:rsidR="00843853" w:rsidRPr="00B8721C">
        <w:rPr>
          <w:rFonts w:ascii="Cambria" w:hAnsi="Cambria"/>
          <w:sz w:val="20"/>
          <w:szCs w:val="20"/>
        </w:rPr>
        <w:t xml:space="preserve">, </w:t>
      </w:r>
      <w:r w:rsidR="00644C4C" w:rsidRPr="00B8721C">
        <w:rPr>
          <w:rFonts w:ascii="Cambria" w:hAnsi="Cambria"/>
          <w:sz w:val="20"/>
          <w:szCs w:val="20"/>
        </w:rPr>
        <w:t>according to which</w:t>
      </w:r>
      <w:r w:rsidR="00843853" w:rsidRPr="00B8721C">
        <w:rPr>
          <w:rFonts w:ascii="Cambria" w:hAnsi="Cambria"/>
          <w:sz w:val="20"/>
          <w:szCs w:val="20"/>
        </w:rPr>
        <w:t xml:space="preserve">: […] </w:t>
      </w:r>
      <w:r w:rsidR="00644C4C" w:rsidRPr="00B8721C">
        <w:rPr>
          <w:rFonts w:ascii="Cambria" w:hAnsi="Cambria"/>
          <w:sz w:val="20"/>
          <w:szCs w:val="20"/>
        </w:rPr>
        <w:t>the above-captioned investigation</w:t>
      </w:r>
      <w:r w:rsidR="00843853" w:rsidRPr="00B8721C">
        <w:rPr>
          <w:rFonts w:ascii="Cambria" w:hAnsi="Cambria"/>
          <w:sz w:val="20"/>
          <w:szCs w:val="20"/>
        </w:rPr>
        <w:t xml:space="preserve"> </w:t>
      </w:r>
      <w:r w:rsidR="00644C4C" w:rsidRPr="00B8721C">
        <w:rPr>
          <w:rFonts w:ascii="Cambria" w:hAnsi="Cambria"/>
          <w:sz w:val="20"/>
          <w:szCs w:val="20"/>
        </w:rPr>
        <w:t>against Mr.</w:t>
      </w:r>
      <w:r w:rsidR="00843853" w:rsidRPr="00B8721C">
        <w:rPr>
          <w:rFonts w:ascii="Cambria" w:hAnsi="Cambria"/>
          <w:sz w:val="20"/>
          <w:szCs w:val="20"/>
        </w:rPr>
        <w:t xml:space="preserve"> GUSTAVO ADOLFO REYES LEYVA (</w:t>
      </w:r>
      <w:r w:rsidR="0043470A">
        <w:rPr>
          <w:rFonts w:ascii="Cambria" w:hAnsi="Cambria"/>
          <w:sz w:val="20"/>
          <w:szCs w:val="20"/>
        </w:rPr>
        <w:t>Special Prosecutor</w:t>
      </w:r>
      <w:r w:rsidR="00644C4C" w:rsidRPr="00B8721C">
        <w:rPr>
          <w:rFonts w:ascii="Cambria" w:hAnsi="Cambria"/>
          <w:sz w:val="20"/>
          <w:szCs w:val="20"/>
        </w:rPr>
        <w:t xml:space="preserve"> </w:t>
      </w:r>
      <w:r w:rsidR="00843853" w:rsidRPr="00B8721C">
        <w:rPr>
          <w:rFonts w:ascii="Cambria" w:hAnsi="Cambria"/>
          <w:sz w:val="20"/>
          <w:szCs w:val="20"/>
        </w:rPr>
        <w:t xml:space="preserve">6 </w:t>
      </w:r>
      <w:r w:rsidR="00644C4C" w:rsidRPr="00B8721C">
        <w:rPr>
          <w:rFonts w:ascii="Cambria" w:hAnsi="Cambria"/>
          <w:sz w:val="20"/>
          <w:szCs w:val="20"/>
        </w:rPr>
        <w:t>of the</w:t>
      </w:r>
      <w:r w:rsidR="00843853" w:rsidRPr="00B8721C">
        <w:rPr>
          <w:rFonts w:ascii="Cambria" w:hAnsi="Cambria"/>
          <w:sz w:val="20"/>
          <w:szCs w:val="20"/>
        </w:rPr>
        <w:t xml:space="preserve"> </w:t>
      </w:r>
      <w:r w:rsidR="00644C4C" w:rsidRPr="00B8721C">
        <w:rPr>
          <w:rFonts w:ascii="Cambria" w:hAnsi="Cambria"/>
          <w:sz w:val="20"/>
          <w:szCs w:val="20"/>
        </w:rPr>
        <w:t>Human Rights and IHL Unit</w:t>
      </w:r>
      <w:r w:rsidR="00843853" w:rsidRPr="00B8721C">
        <w:rPr>
          <w:rFonts w:ascii="Cambria" w:hAnsi="Cambria"/>
          <w:sz w:val="20"/>
          <w:szCs w:val="20"/>
        </w:rPr>
        <w:t xml:space="preserve">), </w:t>
      </w:r>
      <w:r w:rsidR="00644C4C" w:rsidRPr="00B8721C">
        <w:rPr>
          <w:rFonts w:ascii="Cambria" w:hAnsi="Cambria"/>
          <w:sz w:val="20"/>
          <w:szCs w:val="20"/>
        </w:rPr>
        <w:t>for the alleged offense of</w:t>
      </w:r>
      <w:r w:rsidR="00843853" w:rsidRPr="00B8721C">
        <w:rPr>
          <w:rFonts w:ascii="Cambria" w:hAnsi="Cambria"/>
          <w:sz w:val="20"/>
          <w:szCs w:val="20"/>
        </w:rPr>
        <w:t xml:space="preserve"> </w:t>
      </w:r>
      <w:r w:rsidR="00644C4C" w:rsidRPr="00B8721C">
        <w:rPr>
          <w:rFonts w:ascii="Cambria" w:hAnsi="Cambria"/>
          <w:sz w:val="20"/>
          <w:szCs w:val="20"/>
        </w:rPr>
        <w:t>MALFEASANCE BY OMISSION</w:t>
      </w:r>
      <w:r w:rsidR="00843853" w:rsidRPr="00B8721C">
        <w:rPr>
          <w:rFonts w:ascii="Cambria" w:hAnsi="Cambria"/>
          <w:sz w:val="20"/>
          <w:szCs w:val="20"/>
        </w:rPr>
        <w:t xml:space="preserve">, </w:t>
      </w:r>
      <w:r w:rsidR="00644C4C" w:rsidRPr="00B8721C">
        <w:rPr>
          <w:rFonts w:ascii="Cambria" w:hAnsi="Cambria"/>
          <w:sz w:val="20"/>
          <w:szCs w:val="20"/>
        </w:rPr>
        <w:t>in which you are named as the victim, was</w:t>
      </w:r>
      <w:r w:rsidR="00843853" w:rsidRPr="00B8721C">
        <w:rPr>
          <w:rFonts w:ascii="Cambria" w:hAnsi="Cambria"/>
          <w:sz w:val="20"/>
          <w:szCs w:val="20"/>
        </w:rPr>
        <w:t xml:space="preserve"> </w:t>
      </w:r>
      <w:r w:rsidR="005D15CA" w:rsidRPr="00B8721C">
        <w:rPr>
          <w:rFonts w:ascii="Cambria" w:hAnsi="Cambria"/>
          <w:sz w:val="20"/>
          <w:szCs w:val="20"/>
        </w:rPr>
        <w:t>CLOSED</w:t>
      </w:r>
      <w:r w:rsidR="00843853" w:rsidRPr="00B8721C">
        <w:rPr>
          <w:rFonts w:ascii="Cambria" w:hAnsi="Cambria"/>
          <w:sz w:val="20"/>
          <w:szCs w:val="20"/>
        </w:rPr>
        <w:t xml:space="preserve"> </w:t>
      </w:r>
      <w:r w:rsidR="00644C4C" w:rsidRPr="00B8721C">
        <w:rPr>
          <w:rFonts w:ascii="Cambria" w:hAnsi="Cambria"/>
          <w:sz w:val="20"/>
          <w:szCs w:val="20"/>
        </w:rPr>
        <w:t xml:space="preserve">by this </w:t>
      </w:r>
      <w:r w:rsidR="00E82ECB">
        <w:rPr>
          <w:rFonts w:ascii="Cambria" w:hAnsi="Cambria"/>
          <w:sz w:val="20"/>
          <w:szCs w:val="20"/>
        </w:rPr>
        <w:t>Prosecutor’s</w:t>
      </w:r>
      <w:r w:rsidR="00644C4C" w:rsidRPr="00B8721C">
        <w:rPr>
          <w:rFonts w:ascii="Cambria" w:hAnsi="Cambria"/>
          <w:sz w:val="20"/>
          <w:szCs w:val="20"/>
        </w:rPr>
        <w:t xml:space="preserve"> Office, on the grounds that THE CONDUCT DOES NOT MEET THE DEFINITION OF A CRIME</w:t>
      </w:r>
      <w:r w:rsidR="00843853" w:rsidRPr="00B8721C">
        <w:rPr>
          <w:rFonts w:ascii="Cambria" w:hAnsi="Cambria"/>
          <w:sz w:val="20"/>
          <w:szCs w:val="20"/>
        </w:rPr>
        <w:t xml:space="preserve">, </w:t>
      </w:r>
      <w:r w:rsidR="00644C4C" w:rsidRPr="00B8721C">
        <w:rPr>
          <w:rFonts w:ascii="Cambria" w:hAnsi="Cambria"/>
          <w:sz w:val="20"/>
          <w:szCs w:val="20"/>
        </w:rPr>
        <w:t>as established in Article</w:t>
      </w:r>
      <w:r w:rsidR="00843853" w:rsidRPr="00B8721C">
        <w:rPr>
          <w:rFonts w:ascii="Cambria" w:hAnsi="Cambria"/>
          <w:sz w:val="20"/>
          <w:szCs w:val="20"/>
        </w:rPr>
        <w:t xml:space="preserve"> 79 </w:t>
      </w:r>
      <w:r w:rsidR="00644C4C" w:rsidRPr="00B8721C">
        <w:rPr>
          <w:rFonts w:ascii="Cambria" w:hAnsi="Cambria"/>
          <w:sz w:val="20"/>
          <w:szCs w:val="20"/>
        </w:rPr>
        <w:t>of Law 906 of</w:t>
      </w:r>
      <w:r w:rsidR="00843853" w:rsidRPr="00B8721C">
        <w:rPr>
          <w:rFonts w:ascii="Cambria" w:hAnsi="Cambria"/>
          <w:sz w:val="20"/>
          <w:szCs w:val="20"/>
        </w:rPr>
        <w:t xml:space="preserve"> 2004</w:t>
      </w:r>
      <w:r w:rsidR="00644C4C" w:rsidRPr="00B8721C">
        <w:rPr>
          <w:rFonts w:ascii="Cambria" w:hAnsi="Cambria"/>
          <w:sz w:val="20"/>
          <w:szCs w:val="20"/>
        </w:rPr>
        <w:t>.</w:t>
      </w:r>
      <w:r w:rsidR="00843853" w:rsidRPr="00B8721C">
        <w:rPr>
          <w:rStyle w:val="FootnoteReference"/>
          <w:rFonts w:ascii="Cambria" w:hAnsi="Cambria"/>
          <w:sz w:val="20"/>
          <w:szCs w:val="20"/>
        </w:rPr>
        <w:footnoteReference w:id="134"/>
      </w:r>
    </w:p>
    <w:p w:rsidR="00843853" w:rsidRPr="00B8721C" w:rsidRDefault="00843853" w:rsidP="005A03C0">
      <w:pPr>
        <w:rPr>
          <w:rFonts w:ascii="Cambria" w:hAnsi="Cambria"/>
          <w:sz w:val="20"/>
          <w:szCs w:val="20"/>
        </w:rPr>
      </w:pPr>
    </w:p>
    <w:p w:rsidR="007E0970" w:rsidRPr="00B8721C" w:rsidRDefault="00E168F9" w:rsidP="0011783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firstLine="0"/>
        <w:jc w:val="both"/>
        <w:rPr>
          <w:rFonts w:ascii="Cambria" w:hAnsi="Cambria"/>
          <w:b/>
          <w:sz w:val="20"/>
          <w:szCs w:val="20"/>
        </w:rPr>
      </w:pPr>
      <w:r w:rsidRPr="00B8721C">
        <w:rPr>
          <w:rFonts w:ascii="Cambria" w:hAnsi="Cambria"/>
          <w:b/>
          <w:sz w:val="20"/>
          <w:szCs w:val="20"/>
        </w:rPr>
        <w:t>Threats and attacks against</w:t>
      </w:r>
      <w:r w:rsidR="00D577F1" w:rsidRPr="00B8721C">
        <w:rPr>
          <w:rFonts w:ascii="Cambria" w:hAnsi="Cambria"/>
          <w:b/>
          <w:sz w:val="20"/>
          <w:szCs w:val="20"/>
        </w:rPr>
        <w:t xml:space="preserve"> Jineth Bedoya Lima </w:t>
      </w:r>
      <w:r w:rsidRPr="00B8721C">
        <w:rPr>
          <w:rFonts w:ascii="Cambria" w:hAnsi="Cambria"/>
          <w:b/>
          <w:sz w:val="20"/>
          <w:szCs w:val="20"/>
        </w:rPr>
        <w:t>after</w:t>
      </w:r>
      <w:r w:rsidR="007E0970" w:rsidRPr="00B8721C">
        <w:rPr>
          <w:rFonts w:ascii="Cambria" w:hAnsi="Cambria"/>
          <w:b/>
          <w:sz w:val="20"/>
          <w:szCs w:val="20"/>
        </w:rPr>
        <w:t xml:space="preserve"> </w:t>
      </w:r>
      <w:r w:rsidRPr="00B8721C">
        <w:rPr>
          <w:rFonts w:ascii="Cambria" w:hAnsi="Cambria"/>
          <w:b/>
          <w:sz w:val="20"/>
          <w:szCs w:val="20"/>
        </w:rPr>
        <w:t>May 25, 2000</w:t>
      </w:r>
      <w:r w:rsidR="00D925AF" w:rsidRPr="00B8721C">
        <w:rPr>
          <w:rFonts w:ascii="Cambria" w:hAnsi="Cambria"/>
          <w:b/>
          <w:sz w:val="20"/>
          <w:szCs w:val="20"/>
        </w:rPr>
        <w:t xml:space="preserve"> </w:t>
      </w:r>
    </w:p>
    <w:p w:rsidR="005D15CA" w:rsidRPr="00B8721C" w:rsidRDefault="00AF7058" w:rsidP="005D15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sz w:val="20"/>
          <w:szCs w:val="20"/>
        </w:rPr>
      </w:pPr>
      <w:r w:rsidRPr="00B8721C">
        <w:rPr>
          <w:rFonts w:ascii="Cambria" w:hAnsi="Cambria"/>
          <w:sz w:val="20"/>
          <w:szCs w:val="20"/>
        </w:rPr>
        <w:t>After the kidnapping, assaults, and acts of sexual violence perpetrated against Jineth Bedoya Lima, she continued to receive threats and to this day faces a heightened risk due to the practice of her profession.</w:t>
      </w:r>
      <w:r w:rsidR="00F56EF7" w:rsidRPr="00B8721C">
        <w:rPr>
          <w:rStyle w:val="FootnoteReference"/>
          <w:rFonts w:ascii="Cambria" w:hAnsi="Cambria"/>
          <w:sz w:val="20"/>
          <w:szCs w:val="20"/>
        </w:rPr>
        <w:footnoteReference w:id="135"/>
      </w:r>
      <w:r w:rsidR="007E0970" w:rsidRPr="00B8721C">
        <w:rPr>
          <w:rFonts w:ascii="Cambria" w:hAnsi="Cambria"/>
          <w:sz w:val="20"/>
          <w:szCs w:val="20"/>
        </w:rPr>
        <w:t xml:space="preserve"> </w:t>
      </w:r>
      <w:r w:rsidR="00A24182" w:rsidRPr="00B8721C">
        <w:rPr>
          <w:rFonts w:ascii="Cambria" w:hAnsi="Cambria" w:cs="Arial"/>
          <w:sz w:val="20"/>
          <w:szCs w:val="20"/>
        </w:rPr>
        <w:t xml:space="preserve">Following the alleged events, in a communication received on May 30, 2000, the petitioner asked the IACHR to grant precautionary measures to protect the life and physical integrity of </w:t>
      </w:r>
      <w:r w:rsidR="00A24182" w:rsidRPr="00B8721C">
        <w:rPr>
          <w:rFonts w:ascii="Cambria" w:hAnsi="Cambria" w:cs="Arial"/>
          <w:i/>
          <w:sz w:val="20"/>
          <w:szCs w:val="20"/>
        </w:rPr>
        <w:t>El Espectador</w:t>
      </w:r>
      <w:r w:rsidR="00A24182" w:rsidRPr="00B8721C">
        <w:rPr>
          <w:rFonts w:ascii="Cambria" w:hAnsi="Cambria" w:cs="Arial"/>
          <w:sz w:val="20"/>
          <w:szCs w:val="20"/>
        </w:rPr>
        <w:t xml:space="preserve"> journalist Jineth Bedoya Lima; Hollman Morris Rincón, the editor of the newspaper’s peace section; and Jorge Cardona Alzate, the judicial affairs editor</w:t>
      </w:r>
      <w:r w:rsidR="00F56EF7" w:rsidRPr="00B8721C">
        <w:rPr>
          <w:rFonts w:ascii="Cambria" w:hAnsi="Cambria" w:cs="Arial"/>
          <w:sz w:val="20"/>
          <w:szCs w:val="20"/>
        </w:rPr>
        <w:t xml:space="preserve">. </w:t>
      </w:r>
      <w:r w:rsidR="00A24182" w:rsidRPr="00B8721C">
        <w:rPr>
          <w:rFonts w:ascii="Cambria" w:hAnsi="Cambria" w:cs="Arial"/>
          <w:sz w:val="20"/>
          <w:szCs w:val="20"/>
        </w:rPr>
        <w:t>Pursuant to Article 29 of its Rules of Procedure, the Commission granted the precautionary measures on June 2, 2000, which remain in force at the time this report is issued. In its decision, the IACHR called upon the Colombian State to take steps to protect the life and humane treatment of the alleged victim and the rest of the journalists mentioned, as well as to investigate the situation complained of. In compliance with this decision, the National Police assigned the journalist a security detail in June 2000.</w:t>
      </w:r>
    </w:p>
    <w:p w:rsidR="005D15CA" w:rsidRPr="00B8721C" w:rsidRDefault="005D15CA" w:rsidP="005D15C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sz w:val="20"/>
          <w:szCs w:val="20"/>
        </w:rPr>
      </w:pPr>
    </w:p>
    <w:p w:rsidR="007E0970" w:rsidRPr="00402916" w:rsidRDefault="003749A2" w:rsidP="005D15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sz w:val="20"/>
          <w:szCs w:val="20"/>
        </w:rPr>
      </w:pPr>
      <w:r w:rsidRPr="00B8721C">
        <w:rPr>
          <w:rFonts w:ascii="Cambria" w:hAnsi="Cambria"/>
          <w:sz w:val="20"/>
          <w:szCs w:val="20"/>
        </w:rPr>
        <w:t>In February</w:t>
      </w:r>
      <w:r w:rsidR="00621224" w:rsidRPr="00B8721C">
        <w:rPr>
          <w:rFonts w:ascii="Cambria" w:hAnsi="Cambria"/>
          <w:sz w:val="20"/>
          <w:szCs w:val="20"/>
        </w:rPr>
        <w:t xml:space="preserve"> 2002</w:t>
      </w:r>
      <w:r w:rsidR="001232C6" w:rsidRPr="00B8721C">
        <w:rPr>
          <w:rFonts w:ascii="Cambria" w:hAnsi="Cambria"/>
          <w:sz w:val="20"/>
          <w:szCs w:val="20"/>
        </w:rPr>
        <w:t>,</w:t>
      </w:r>
      <w:r w:rsidR="00621224" w:rsidRPr="00B8721C">
        <w:rPr>
          <w:rFonts w:ascii="Cambria" w:hAnsi="Cambria"/>
          <w:sz w:val="20"/>
          <w:szCs w:val="20"/>
        </w:rPr>
        <w:t xml:space="preserve"> </w:t>
      </w:r>
      <w:r w:rsidR="007E0970" w:rsidRPr="00B8721C">
        <w:rPr>
          <w:rFonts w:ascii="Cambria" w:hAnsi="Cambria"/>
          <w:sz w:val="20"/>
          <w:szCs w:val="20"/>
        </w:rPr>
        <w:t>Jineth Bedoya</w:t>
      </w:r>
      <w:r w:rsidR="00702549" w:rsidRPr="00B8721C">
        <w:rPr>
          <w:rFonts w:ascii="Cambria" w:hAnsi="Cambria"/>
          <w:sz w:val="20"/>
          <w:szCs w:val="20"/>
        </w:rPr>
        <w:t xml:space="preserve"> Lima</w:t>
      </w:r>
      <w:r w:rsidR="007E0970" w:rsidRPr="00B8721C">
        <w:rPr>
          <w:rFonts w:ascii="Cambria" w:hAnsi="Cambria"/>
          <w:sz w:val="20"/>
          <w:szCs w:val="20"/>
        </w:rPr>
        <w:t xml:space="preserve"> </w:t>
      </w:r>
      <w:r w:rsidRPr="00B8721C">
        <w:rPr>
          <w:rFonts w:ascii="Cambria" w:hAnsi="Cambria"/>
          <w:sz w:val="20"/>
          <w:szCs w:val="20"/>
        </w:rPr>
        <w:t>began working at the newspaper</w:t>
      </w:r>
      <w:r w:rsidR="007E0970" w:rsidRPr="00B8721C">
        <w:rPr>
          <w:rFonts w:ascii="Cambria" w:hAnsi="Cambria"/>
          <w:sz w:val="20"/>
          <w:szCs w:val="20"/>
        </w:rPr>
        <w:t xml:space="preserve"> </w:t>
      </w:r>
      <w:r w:rsidR="007E0970" w:rsidRPr="00B8721C">
        <w:rPr>
          <w:rFonts w:ascii="Cambria" w:hAnsi="Cambria"/>
          <w:i/>
          <w:sz w:val="20"/>
          <w:szCs w:val="20"/>
        </w:rPr>
        <w:t>El Tiempo</w:t>
      </w:r>
      <w:r w:rsidR="007E0970" w:rsidRPr="00B8721C">
        <w:rPr>
          <w:rFonts w:ascii="Cambria" w:hAnsi="Cambria"/>
          <w:sz w:val="20"/>
          <w:szCs w:val="20"/>
        </w:rPr>
        <w:t xml:space="preserve">. </w:t>
      </w:r>
      <w:r w:rsidRPr="00B8721C">
        <w:rPr>
          <w:rFonts w:ascii="Cambria" w:hAnsi="Cambria"/>
          <w:sz w:val="20"/>
          <w:szCs w:val="20"/>
        </w:rPr>
        <w:t>In May of</w:t>
      </w:r>
      <w:r w:rsidR="007E0970" w:rsidRPr="00B8721C">
        <w:rPr>
          <w:rFonts w:ascii="Cambria" w:hAnsi="Cambria"/>
          <w:sz w:val="20"/>
          <w:szCs w:val="20"/>
        </w:rPr>
        <w:t xml:space="preserve"> 2003</w:t>
      </w:r>
      <w:r w:rsidRPr="00B8721C">
        <w:rPr>
          <w:rFonts w:ascii="Cambria" w:hAnsi="Cambria"/>
          <w:sz w:val="20"/>
          <w:szCs w:val="20"/>
        </w:rPr>
        <w:t>,</w:t>
      </w:r>
      <w:r w:rsidR="007E0970" w:rsidRPr="00B8721C">
        <w:rPr>
          <w:rFonts w:ascii="Cambria" w:hAnsi="Cambria"/>
          <w:sz w:val="20"/>
          <w:szCs w:val="20"/>
        </w:rPr>
        <w:t xml:space="preserve"> </w:t>
      </w:r>
      <w:r w:rsidRPr="00B8721C">
        <w:rPr>
          <w:rFonts w:ascii="Cambria" w:hAnsi="Cambria"/>
          <w:sz w:val="20"/>
          <w:szCs w:val="20"/>
        </w:rPr>
        <w:t>the threats against</w:t>
      </w:r>
      <w:r w:rsidR="007E0970" w:rsidRPr="00B8721C">
        <w:rPr>
          <w:rFonts w:ascii="Cambria" w:hAnsi="Cambria"/>
          <w:sz w:val="20"/>
          <w:szCs w:val="20"/>
        </w:rPr>
        <w:t xml:space="preserve"> Jineth </w:t>
      </w:r>
      <w:r w:rsidR="00B86176" w:rsidRPr="00B8721C">
        <w:rPr>
          <w:rFonts w:ascii="Cambria" w:hAnsi="Cambria"/>
          <w:sz w:val="20"/>
          <w:szCs w:val="20"/>
        </w:rPr>
        <w:t xml:space="preserve">Bedoya </w:t>
      </w:r>
      <w:r w:rsidRPr="00B8721C">
        <w:rPr>
          <w:rFonts w:ascii="Cambria" w:hAnsi="Cambria"/>
          <w:sz w:val="20"/>
          <w:szCs w:val="20"/>
        </w:rPr>
        <w:t>had begun once again</w:t>
      </w:r>
      <w:r w:rsidR="007E0970" w:rsidRPr="00B8721C">
        <w:rPr>
          <w:rFonts w:ascii="Cambria" w:hAnsi="Cambria"/>
          <w:sz w:val="20"/>
          <w:szCs w:val="20"/>
        </w:rPr>
        <w:t xml:space="preserve">. </w:t>
      </w:r>
      <w:r w:rsidRPr="00B8721C">
        <w:rPr>
          <w:rFonts w:ascii="Cambria" w:hAnsi="Cambria"/>
          <w:sz w:val="20"/>
          <w:szCs w:val="20"/>
        </w:rPr>
        <w:t>The journalist reported these threats to the State and was assigned a new security detail.</w:t>
      </w:r>
      <w:r w:rsidR="00CD555D" w:rsidRPr="00B8721C">
        <w:rPr>
          <w:rStyle w:val="FootnoteReference"/>
          <w:rFonts w:ascii="Cambria" w:hAnsi="Cambria"/>
          <w:sz w:val="20"/>
          <w:szCs w:val="20"/>
        </w:rPr>
        <w:footnoteReference w:id="136"/>
      </w:r>
      <w:r w:rsidR="007E0970" w:rsidRPr="00B8721C">
        <w:rPr>
          <w:rFonts w:ascii="Cambria" w:hAnsi="Cambria"/>
          <w:sz w:val="20"/>
          <w:szCs w:val="20"/>
        </w:rPr>
        <w:t xml:space="preserve"> </w:t>
      </w:r>
      <w:r w:rsidRPr="00B8721C">
        <w:rPr>
          <w:rFonts w:ascii="Cambria" w:hAnsi="Cambria"/>
          <w:sz w:val="20"/>
          <w:szCs w:val="20"/>
        </w:rPr>
        <w:t>On August 18, 2003, Jineth Bedoya and her El Tiempo team were kidnapped again for 5 days while she was working in the town of Puerto Alvira in the department of Meta. The kidnapping was attributed to the Revolutionary Armed Forces of Colombia (FARC).</w:t>
      </w:r>
      <w:r w:rsidR="007E0970" w:rsidRPr="00B8721C">
        <w:rPr>
          <w:rStyle w:val="FootnoteReference"/>
          <w:rFonts w:ascii="Cambria" w:hAnsi="Cambria"/>
          <w:sz w:val="20"/>
          <w:szCs w:val="20"/>
        </w:rPr>
        <w:footnoteReference w:id="137"/>
      </w:r>
      <w:r w:rsidR="007E0970" w:rsidRPr="00B8721C">
        <w:rPr>
          <w:rFonts w:ascii="Cambria" w:hAnsi="Cambria"/>
          <w:sz w:val="20"/>
          <w:szCs w:val="20"/>
        </w:rPr>
        <w:t xml:space="preserve"> </w:t>
      </w:r>
      <w:r w:rsidR="007751C2" w:rsidRPr="00B8721C">
        <w:rPr>
          <w:rFonts w:ascii="Cambria" w:hAnsi="Cambria"/>
          <w:sz w:val="20"/>
          <w:szCs w:val="20"/>
        </w:rPr>
        <w:t xml:space="preserve">In November 2008, the journalist was informed that her emails and communications were reportedly being intercepted by the Armed Forces. In November 2010, after publishing her book entitled </w:t>
      </w:r>
      <w:r w:rsidR="007751C2" w:rsidRPr="00B8721C">
        <w:rPr>
          <w:rFonts w:ascii="Cambria" w:hAnsi="Cambria"/>
          <w:i/>
          <w:sz w:val="20"/>
          <w:szCs w:val="20"/>
        </w:rPr>
        <w:t>Vida y Muerte del Mono Jojoy</w:t>
      </w:r>
      <w:r w:rsidR="007751C2" w:rsidRPr="00B8721C">
        <w:rPr>
          <w:rFonts w:ascii="Cambria" w:hAnsi="Cambria"/>
          <w:sz w:val="20"/>
          <w:szCs w:val="20"/>
        </w:rPr>
        <w:t xml:space="preserve"> (“The Life and Death of Mono Jojoy”), the journalist again received threats that, according to security and intelligence agencies, came from the FARC.</w:t>
      </w:r>
      <w:r w:rsidR="002E20E8" w:rsidRPr="00B8721C">
        <w:rPr>
          <w:rStyle w:val="FootnoteReference"/>
          <w:rFonts w:ascii="Cambria" w:hAnsi="Cambria"/>
          <w:sz w:val="20"/>
          <w:szCs w:val="20"/>
        </w:rPr>
        <w:footnoteReference w:id="138"/>
      </w:r>
      <w:r w:rsidR="007E0970" w:rsidRPr="00B8721C">
        <w:rPr>
          <w:rFonts w:ascii="Cambria" w:hAnsi="Cambria"/>
          <w:sz w:val="20"/>
          <w:szCs w:val="20"/>
        </w:rPr>
        <w:t xml:space="preserve"> </w:t>
      </w:r>
      <w:r w:rsidR="007751C2" w:rsidRPr="00B8721C">
        <w:rPr>
          <w:rFonts w:ascii="Cambria" w:hAnsi="Cambria"/>
          <w:sz w:val="20"/>
          <w:szCs w:val="20"/>
        </w:rPr>
        <w:t xml:space="preserve">Given the danger, the journalist decided to leave the country temporarily. She filed a complaint regarding these threats, which was </w:t>
      </w:r>
      <w:r w:rsidR="005D15CA" w:rsidRPr="00B8721C">
        <w:rPr>
          <w:rFonts w:ascii="Cambria" w:hAnsi="Cambria"/>
          <w:sz w:val="20"/>
          <w:szCs w:val="20"/>
        </w:rPr>
        <w:t>dismissed</w:t>
      </w:r>
      <w:r w:rsidR="007751C2" w:rsidRPr="00B8721C">
        <w:rPr>
          <w:rFonts w:ascii="Cambria" w:hAnsi="Cambria"/>
          <w:sz w:val="20"/>
          <w:szCs w:val="20"/>
        </w:rPr>
        <w:t xml:space="preserve"> in June 2014 by the </w:t>
      </w:r>
      <w:r w:rsidR="00E82ECB">
        <w:rPr>
          <w:rFonts w:ascii="Cambria" w:hAnsi="Cambria"/>
          <w:sz w:val="20"/>
          <w:szCs w:val="20"/>
        </w:rPr>
        <w:t>Prosecutor’s</w:t>
      </w:r>
      <w:r w:rsidR="007751C2" w:rsidRPr="00B8721C">
        <w:rPr>
          <w:rFonts w:ascii="Cambria" w:hAnsi="Cambria"/>
          <w:sz w:val="20"/>
          <w:szCs w:val="20"/>
        </w:rPr>
        <w:t xml:space="preserve"> Office, on the grounds that it was impossible to identify those responsible for the threats.</w:t>
      </w:r>
      <w:r w:rsidR="007E0970" w:rsidRPr="00B8721C">
        <w:rPr>
          <w:rFonts w:ascii="Cambria" w:hAnsi="Cambria"/>
          <w:sz w:val="20"/>
          <w:szCs w:val="20"/>
          <w:vertAlign w:val="superscript"/>
        </w:rPr>
        <w:footnoteReference w:id="139"/>
      </w:r>
      <w:r w:rsidR="007E0970" w:rsidRPr="00B8721C">
        <w:rPr>
          <w:rFonts w:ascii="Cambria" w:hAnsi="Cambria"/>
          <w:sz w:val="20"/>
          <w:szCs w:val="20"/>
        </w:rPr>
        <w:t xml:space="preserve"> </w:t>
      </w:r>
      <w:r w:rsidR="007751C2" w:rsidRPr="00B8721C">
        <w:rPr>
          <w:rFonts w:ascii="Cambria" w:hAnsi="Cambria"/>
          <w:sz w:val="20"/>
          <w:szCs w:val="20"/>
        </w:rPr>
        <w:t>During 2011, Jineth Bedoya Lima received several threats. The court file contains four complaints of threats dated November 2010, May 2011, June 2011, and September 2011.</w:t>
      </w:r>
      <w:r w:rsidR="00FA321D" w:rsidRPr="00B8721C">
        <w:rPr>
          <w:rStyle w:val="FootnoteReference"/>
          <w:rFonts w:ascii="Cambria" w:hAnsi="Cambria"/>
          <w:sz w:val="20"/>
          <w:szCs w:val="20"/>
        </w:rPr>
        <w:footnoteReference w:id="140"/>
      </w:r>
      <w:r w:rsidR="005D15CA" w:rsidRPr="00B8721C">
        <w:rPr>
          <w:rFonts w:ascii="Cambria" w:hAnsi="Cambria"/>
          <w:sz w:val="20"/>
          <w:szCs w:val="20"/>
        </w:rPr>
        <w:t xml:space="preserve"> Those threats continued in</w:t>
      </w:r>
      <w:r w:rsidR="007E0970" w:rsidRPr="00B8721C">
        <w:rPr>
          <w:rFonts w:ascii="Cambria" w:hAnsi="Cambria"/>
          <w:sz w:val="20"/>
          <w:szCs w:val="20"/>
        </w:rPr>
        <w:t xml:space="preserve"> 2012</w:t>
      </w:r>
      <w:r w:rsidR="005D15CA" w:rsidRPr="00B8721C">
        <w:rPr>
          <w:rFonts w:ascii="Cambria" w:hAnsi="Cambria"/>
          <w:sz w:val="20"/>
          <w:szCs w:val="20"/>
        </w:rPr>
        <w:t>.</w:t>
      </w:r>
      <w:r w:rsidR="007E0970" w:rsidRPr="00B8721C">
        <w:rPr>
          <w:rStyle w:val="FootnoteReference"/>
          <w:rFonts w:ascii="Cambria" w:hAnsi="Cambria"/>
          <w:sz w:val="20"/>
          <w:szCs w:val="20"/>
        </w:rPr>
        <w:footnoteReference w:id="141"/>
      </w:r>
      <w:r w:rsidR="00982D87" w:rsidRPr="00B8721C">
        <w:rPr>
          <w:rFonts w:ascii="Cambria" w:hAnsi="Cambria"/>
          <w:sz w:val="20"/>
          <w:szCs w:val="20"/>
        </w:rPr>
        <w:t xml:space="preserve"> </w:t>
      </w:r>
      <w:r w:rsidR="007E0970" w:rsidRPr="00B8721C">
        <w:rPr>
          <w:rFonts w:ascii="Cambria" w:hAnsi="Cambria"/>
          <w:sz w:val="20"/>
          <w:szCs w:val="20"/>
        </w:rPr>
        <w:t xml:space="preserve"> </w:t>
      </w:r>
      <w:r w:rsidR="005D15CA" w:rsidRPr="00B8721C">
        <w:rPr>
          <w:rFonts w:ascii="Cambria" w:hAnsi="Cambria"/>
          <w:sz w:val="20"/>
          <w:szCs w:val="20"/>
        </w:rPr>
        <w:t xml:space="preserve">According to the case file, the </w:t>
      </w:r>
      <w:r w:rsidR="00E82ECB">
        <w:rPr>
          <w:rFonts w:ascii="Cambria" w:hAnsi="Cambria"/>
          <w:sz w:val="20"/>
          <w:szCs w:val="20"/>
        </w:rPr>
        <w:t>Prosecutor’s</w:t>
      </w:r>
      <w:r w:rsidR="005D15CA" w:rsidRPr="00B8721C">
        <w:rPr>
          <w:rFonts w:ascii="Cambria" w:hAnsi="Cambria"/>
          <w:sz w:val="20"/>
          <w:szCs w:val="20"/>
        </w:rPr>
        <w:t xml:space="preserve"> Office dismissed the complaints because it was impossible to identify the potential perpetrators of these threats</w:t>
      </w:r>
      <w:r w:rsidR="007E0970" w:rsidRPr="00B8721C">
        <w:rPr>
          <w:rFonts w:ascii="Cambria" w:hAnsi="Cambria"/>
          <w:sz w:val="20"/>
          <w:szCs w:val="20"/>
        </w:rPr>
        <w:t>.</w:t>
      </w:r>
      <w:r w:rsidR="007E0970" w:rsidRPr="00B8721C">
        <w:rPr>
          <w:rStyle w:val="FootnoteReference"/>
          <w:rFonts w:ascii="Cambria" w:hAnsi="Cambria"/>
          <w:sz w:val="20"/>
          <w:szCs w:val="20"/>
        </w:rPr>
        <w:footnoteReference w:id="142"/>
      </w:r>
    </w:p>
    <w:p w:rsidR="00402916" w:rsidRPr="00B8721C" w:rsidRDefault="00402916" w:rsidP="0040291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sz w:val="20"/>
          <w:szCs w:val="20"/>
        </w:rPr>
      </w:pPr>
    </w:p>
    <w:p w:rsidR="007E0970" w:rsidRPr="00B8721C" w:rsidRDefault="007E0970" w:rsidP="005A03C0">
      <w:pPr>
        <w:rPr>
          <w:rFonts w:ascii="Cambria" w:hAnsi="Cambria"/>
          <w:sz w:val="20"/>
          <w:szCs w:val="20"/>
        </w:rPr>
      </w:pPr>
    </w:p>
    <w:p w:rsidR="009E5181" w:rsidRPr="00B8721C" w:rsidRDefault="005D15CA" w:rsidP="0011783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firstLine="0"/>
        <w:jc w:val="both"/>
        <w:rPr>
          <w:rFonts w:ascii="Cambria" w:hAnsi="Cambria"/>
          <w:b/>
          <w:sz w:val="20"/>
          <w:szCs w:val="20"/>
        </w:rPr>
      </w:pPr>
      <w:r w:rsidRPr="00B8721C">
        <w:rPr>
          <w:rFonts w:ascii="Cambria" w:hAnsi="Cambria"/>
          <w:b/>
          <w:sz w:val="20"/>
          <w:szCs w:val="20"/>
        </w:rPr>
        <w:lastRenderedPageBreak/>
        <w:t>The Context</w:t>
      </w:r>
    </w:p>
    <w:p w:rsidR="008B22D2" w:rsidRPr="00B8721C" w:rsidRDefault="005D15CA" w:rsidP="008B22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i/>
          <w:sz w:val="20"/>
          <w:szCs w:val="20"/>
        </w:rPr>
      </w:pPr>
      <w:r w:rsidRPr="00B8721C">
        <w:rPr>
          <w:rFonts w:ascii="Cambria" w:hAnsi="Cambria"/>
          <w:sz w:val="20"/>
          <w:szCs w:val="20"/>
        </w:rPr>
        <w:t>The parties acknowledge that, at the time of the events in this case, Colombia was embroiled in an internal armed conflict involving several illegal armed groups. In the context of this armed conflict, the Inter-American case law has demonstrated the existence of links between the armed forces and paramilitary groups at different times and places, which included omissions that allowed or facilitated the commission of acts by paramilitary groups,</w:t>
      </w:r>
      <w:r w:rsidR="009E5181" w:rsidRPr="00B8721C">
        <w:rPr>
          <w:rStyle w:val="FootnoteReference"/>
          <w:rFonts w:ascii="Cambria" w:hAnsi="Cambria"/>
          <w:sz w:val="20"/>
          <w:szCs w:val="20"/>
        </w:rPr>
        <w:footnoteReference w:id="143"/>
      </w:r>
      <w:r w:rsidR="009E5181" w:rsidRPr="00B8721C">
        <w:rPr>
          <w:rFonts w:ascii="Cambria" w:hAnsi="Cambria"/>
          <w:sz w:val="20"/>
          <w:szCs w:val="20"/>
        </w:rPr>
        <w:t xml:space="preserve"> </w:t>
      </w:r>
      <w:r w:rsidRPr="00B8721C">
        <w:rPr>
          <w:rFonts w:ascii="Cambria" w:hAnsi="Cambria"/>
          <w:sz w:val="20"/>
          <w:szCs w:val="20"/>
        </w:rPr>
        <w:t>and even specific acts of support</w:t>
      </w:r>
      <w:r w:rsidR="009E5181" w:rsidRPr="00B8721C">
        <w:rPr>
          <w:rStyle w:val="FootnoteReference"/>
          <w:rFonts w:ascii="Cambria" w:hAnsi="Cambria"/>
          <w:sz w:val="20"/>
          <w:szCs w:val="20"/>
        </w:rPr>
        <w:footnoteReference w:id="144"/>
      </w:r>
      <w:r w:rsidR="009E5181" w:rsidRPr="00B8721C">
        <w:rPr>
          <w:rFonts w:ascii="Cambria" w:hAnsi="Cambria"/>
          <w:sz w:val="20"/>
          <w:szCs w:val="20"/>
        </w:rPr>
        <w:t xml:space="preserve"> </w:t>
      </w:r>
      <w:r w:rsidRPr="00B8721C">
        <w:rPr>
          <w:rFonts w:ascii="Cambria" w:hAnsi="Cambria"/>
          <w:sz w:val="20"/>
          <w:szCs w:val="20"/>
        </w:rPr>
        <w:t>and the direct participation of State agents in paramilitary groups.</w:t>
      </w:r>
      <w:r w:rsidR="009E5181" w:rsidRPr="00B8721C">
        <w:rPr>
          <w:rStyle w:val="FootnoteReference"/>
          <w:rFonts w:ascii="Cambria" w:hAnsi="Cambria"/>
          <w:sz w:val="20"/>
          <w:szCs w:val="20"/>
        </w:rPr>
        <w:footnoteReference w:id="145"/>
      </w:r>
      <w:r w:rsidR="009E5181" w:rsidRPr="00B8721C">
        <w:rPr>
          <w:rFonts w:ascii="Cambria" w:hAnsi="Cambria"/>
          <w:sz w:val="20"/>
          <w:szCs w:val="20"/>
        </w:rPr>
        <w:t xml:space="preserve"> </w:t>
      </w:r>
      <w:r w:rsidRPr="00B8721C">
        <w:rPr>
          <w:rFonts w:ascii="Cambria" w:hAnsi="Cambria"/>
          <w:sz w:val="20"/>
          <w:szCs w:val="20"/>
        </w:rPr>
        <w:t>These ties have also been acknowledged in several decisions handed down by Colombia’s high courts, as the Inter-American Court observed in the case of the Afro-descendant communities displaced from the Cacarica River Basin (Operation Genesis).</w:t>
      </w:r>
      <w:r w:rsidR="009E5181" w:rsidRPr="00B8721C">
        <w:rPr>
          <w:rStyle w:val="FootnoteReference"/>
          <w:rFonts w:ascii="Cambria" w:hAnsi="Cambria"/>
          <w:sz w:val="20"/>
          <w:szCs w:val="20"/>
        </w:rPr>
        <w:footnoteReference w:id="146"/>
      </w:r>
    </w:p>
    <w:p w:rsidR="008B22D2" w:rsidRPr="00B8721C" w:rsidRDefault="008B22D2" w:rsidP="008B22D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i/>
          <w:sz w:val="20"/>
          <w:szCs w:val="20"/>
        </w:rPr>
      </w:pPr>
    </w:p>
    <w:p w:rsidR="008B22D2" w:rsidRPr="00B8721C" w:rsidRDefault="00965D95" w:rsidP="008B22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i/>
          <w:sz w:val="20"/>
          <w:szCs w:val="20"/>
        </w:rPr>
      </w:pPr>
      <w:r w:rsidRPr="00B8721C">
        <w:rPr>
          <w:rFonts w:ascii="Cambria" w:hAnsi="Cambria"/>
          <w:sz w:val="20"/>
          <w:szCs w:val="20"/>
        </w:rPr>
        <w:t>The violence perpetrated in the armed conflict victimized women in a differential and aggravated manner. In Order 092 of 2008, the Constitutional Court of Colombia recognized that, in the context of the armed conflict, women were exposed to particular risks and specific vulnerabilities, including the risk of sexual violence.</w:t>
      </w:r>
      <w:r w:rsidR="009E5181" w:rsidRPr="00B8721C">
        <w:rPr>
          <w:rStyle w:val="FootnoteReference"/>
          <w:rFonts w:ascii="Cambria" w:hAnsi="Cambria"/>
          <w:sz w:val="20"/>
          <w:szCs w:val="20"/>
        </w:rPr>
        <w:footnoteReference w:id="147"/>
      </w:r>
      <w:r w:rsidR="009E5181" w:rsidRPr="00B8721C">
        <w:rPr>
          <w:rFonts w:ascii="Cambria" w:hAnsi="Cambria"/>
          <w:sz w:val="20"/>
          <w:szCs w:val="20"/>
        </w:rPr>
        <w:t xml:space="preserve"> </w:t>
      </w:r>
      <w:r w:rsidRPr="00B8721C">
        <w:rPr>
          <w:rFonts w:ascii="Cambria" w:hAnsi="Cambria"/>
          <w:sz w:val="20"/>
          <w:szCs w:val="20"/>
        </w:rPr>
        <w:t>The armed conflict also exacerbated and deepened pre-existing discrimination, exclusion and gender-based violence in the country.</w:t>
      </w:r>
      <w:r w:rsidR="009E5181" w:rsidRPr="00B8721C">
        <w:rPr>
          <w:rStyle w:val="FootnoteReference"/>
          <w:rFonts w:ascii="Cambria" w:hAnsi="Cambria"/>
          <w:sz w:val="20"/>
          <w:szCs w:val="20"/>
        </w:rPr>
        <w:footnoteReference w:id="148"/>
      </w:r>
      <w:r w:rsidR="009E5181" w:rsidRPr="00B8721C">
        <w:rPr>
          <w:rFonts w:ascii="Cambria" w:hAnsi="Cambria"/>
          <w:sz w:val="20"/>
          <w:szCs w:val="20"/>
        </w:rPr>
        <w:t xml:space="preserve"> </w:t>
      </w:r>
      <w:r w:rsidRPr="00B8721C">
        <w:rPr>
          <w:rFonts w:ascii="Cambria" w:hAnsi="Cambria"/>
          <w:sz w:val="20"/>
          <w:szCs w:val="20"/>
        </w:rPr>
        <w:t>In this context, sexual violence against women in Colombia has been a common, widespread, systematic, and invisible practice in the country, committed by all the illegal armed groups and in isolated cases by law enforcement officers. In addition, the most serious thing about this type of violence, according to the Constitutional Court, is that it tends to be officially and unofficially invisible, with victims remaining silent and perpetrators going unpunished.</w:t>
      </w:r>
      <w:r w:rsidR="009E5181" w:rsidRPr="00B8721C">
        <w:rPr>
          <w:rStyle w:val="FootnoteReference"/>
          <w:rFonts w:ascii="Cambria" w:hAnsi="Cambria"/>
          <w:sz w:val="20"/>
          <w:szCs w:val="20"/>
        </w:rPr>
        <w:footnoteReference w:id="149"/>
      </w:r>
    </w:p>
    <w:p w:rsidR="008B22D2" w:rsidRPr="00B8721C" w:rsidRDefault="008B22D2" w:rsidP="008B22D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i/>
          <w:sz w:val="20"/>
          <w:szCs w:val="20"/>
        </w:rPr>
      </w:pPr>
    </w:p>
    <w:p w:rsidR="008B22D2" w:rsidRPr="00B8721C" w:rsidRDefault="00D967B2" w:rsidP="008B22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i/>
          <w:sz w:val="20"/>
          <w:szCs w:val="20"/>
        </w:rPr>
      </w:pPr>
      <w:r w:rsidRPr="00B8721C">
        <w:rPr>
          <w:rFonts w:ascii="Cambria" w:hAnsi="Cambria"/>
          <w:sz w:val="20"/>
          <w:szCs w:val="20"/>
        </w:rPr>
        <w:t xml:space="preserve">At the time of the events, Colombia was also one of the most dangerous countries in the world in which to practice journalism. The National Center for Historical Memory (CNMH) reported that between December 1977 and August 2015, 152 journalists were murdered </w:t>
      </w:r>
      <w:r w:rsidR="00312A1F" w:rsidRPr="00B8721C">
        <w:rPr>
          <w:rFonts w:ascii="Cambria" w:hAnsi="Cambria"/>
          <w:sz w:val="20"/>
          <w:szCs w:val="20"/>
        </w:rPr>
        <w:t xml:space="preserve">on account of their profession—not to mention </w:t>
      </w:r>
      <w:r w:rsidRPr="00B8721C">
        <w:rPr>
          <w:rFonts w:ascii="Cambria" w:hAnsi="Cambria"/>
          <w:sz w:val="20"/>
          <w:szCs w:val="20"/>
        </w:rPr>
        <w:t xml:space="preserve">the hundreds of journalists, especially in outlying regions, who have been subjected to threats and kidnapping by the various armed </w:t>
      </w:r>
      <w:r w:rsidR="00312A1F" w:rsidRPr="00B8721C">
        <w:rPr>
          <w:rFonts w:ascii="Cambria" w:hAnsi="Cambria"/>
          <w:sz w:val="20"/>
          <w:szCs w:val="20"/>
        </w:rPr>
        <w:t>actors, and the many who have been forced into exile</w:t>
      </w:r>
      <w:r w:rsidR="00324D57" w:rsidRPr="00B8721C">
        <w:rPr>
          <w:rFonts w:ascii="Cambria" w:hAnsi="Cambria"/>
          <w:sz w:val="20"/>
          <w:szCs w:val="20"/>
        </w:rPr>
        <w:t>.</w:t>
      </w:r>
      <w:r w:rsidR="009E5181" w:rsidRPr="00B8721C">
        <w:rPr>
          <w:rStyle w:val="FootnoteReference"/>
          <w:rFonts w:ascii="Cambria" w:hAnsi="Cambria"/>
          <w:sz w:val="20"/>
          <w:szCs w:val="20"/>
        </w:rPr>
        <w:footnoteReference w:id="150"/>
      </w:r>
      <w:r w:rsidR="009E5181" w:rsidRPr="00B8721C">
        <w:rPr>
          <w:rFonts w:ascii="Cambria" w:hAnsi="Cambria"/>
          <w:sz w:val="20"/>
          <w:szCs w:val="20"/>
        </w:rPr>
        <w:t xml:space="preserve"> </w:t>
      </w:r>
      <w:r w:rsidR="00312A1F" w:rsidRPr="00B8721C">
        <w:rPr>
          <w:rFonts w:ascii="Cambria" w:hAnsi="Cambria"/>
          <w:sz w:val="20"/>
          <w:szCs w:val="20"/>
        </w:rPr>
        <w:t>These acts are aggravated by the persistent impunity with which they are met. For instance, the CNMH reported in 2015 that of the 152 murders perpetrated against journalists in Colombia, only four cases had resulted in the conviction of all the perpetrators, while fifty percent of the cases had already been time-barred by the statute of limitations, thus giving rise to a scenario of total impunity</w:t>
      </w:r>
      <w:r w:rsidR="00324D57" w:rsidRPr="00B8721C">
        <w:rPr>
          <w:rFonts w:ascii="Cambria" w:hAnsi="Cambria"/>
          <w:sz w:val="20"/>
          <w:szCs w:val="20"/>
        </w:rPr>
        <w:t>.</w:t>
      </w:r>
      <w:r w:rsidR="009E5181" w:rsidRPr="00B8721C">
        <w:rPr>
          <w:rStyle w:val="FootnoteReference"/>
          <w:rFonts w:ascii="Cambria" w:hAnsi="Cambria"/>
          <w:sz w:val="20"/>
          <w:szCs w:val="20"/>
        </w:rPr>
        <w:footnoteReference w:id="151"/>
      </w:r>
    </w:p>
    <w:p w:rsidR="008B22D2" w:rsidRPr="00B8721C" w:rsidRDefault="008B22D2" w:rsidP="008B22D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i/>
          <w:sz w:val="20"/>
          <w:szCs w:val="20"/>
        </w:rPr>
      </w:pPr>
    </w:p>
    <w:p w:rsidR="009E5181" w:rsidRPr="00B8721C" w:rsidRDefault="00D7368F" w:rsidP="008B22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i/>
          <w:sz w:val="20"/>
          <w:szCs w:val="20"/>
        </w:rPr>
      </w:pPr>
      <w:r w:rsidRPr="00B8721C">
        <w:rPr>
          <w:rFonts w:ascii="Cambria" w:hAnsi="Cambria"/>
          <w:sz w:val="20"/>
          <w:szCs w:val="20"/>
        </w:rPr>
        <w:t xml:space="preserve">With regard to this context, in the 2005 report </w:t>
      </w:r>
      <w:r w:rsidRPr="00B8721C">
        <w:rPr>
          <w:rFonts w:ascii="Cambria" w:hAnsi="Cambria" w:cs="Cambria"/>
          <w:i/>
          <w:iCs/>
          <w:color w:val="000000"/>
          <w:sz w:val="20"/>
          <w:szCs w:val="20"/>
          <w:bdr w:val="none" w:sz="0" w:space="0" w:color="auto"/>
        </w:rPr>
        <w:t>Impunity, Self-censorship and Armed Internal Conflict: An Analysis of the State of Freedom of Expression in Colombia</w:t>
      </w:r>
      <w:r w:rsidR="009E5181" w:rsidRPr="00B8721C">
        <w:rPr>
          <w:rFonts w:ascii="Cambria" w:hAnsi="Cambria" w:cs="Cambria"/>
          <w:i/>
          <w:iCs/>
          <w:color w:val="000000"/>
          <w:sz w:val="20"/>
          <w:szCs w:val="20"/>
          <w:bdr w:val="none" w:sz="0" w:space="0" w:color="auto"/>
        </w:rPr>
        <w:t xml:space="preserve">, </w:t>
      </w:r>
      <w:r w:rsidRPr="00B8721C">
        <w:rPr>
          <w:rFonts w:ascii="Cambria" w:hAnsi="Cambria"/>
          <w:sz w:val="20"/>
          <w:szCs w:val="20"/>
        </w:rPr>
        <w:t>the IACHR and its Office of the Special Rapporteur</w:t>
      </w:r>
      <w:r w:rsidRPr="00B8721C">
        <w:rPr>
          <w:rFonts w:ascii="Cambria" w:hAnsi="Cambria" w:cs="Cambria"/>
          <w:color w:val="000000"/>
          <w:sz w:val="20"/>
          <w:szCs w:val="20"/>
          <w:bdr w:val="none" w:sz="0" w:space="0" w:color="auto"/>
        </w:rPr>
        <w:t xml:space="preserve"> found that “The exercise of freedom of expression in Colombia has been gravely affected in recent </w:t>
      </w:r>
      <w:r w:rsidRPr="00B8721C">
        <w:rPr>
          <w:rFonts w:ascii="Cambria" w:hAnsi="Cambria" w:cs="Cambria"/>
          <w:color w:val="000000"/>
          <w:sz w:val="20"/>
          <w:szCs w:val="20"/>
          <w:bdr w:val="none" w:sz="0" w:space="0" w:color="auto"/>
        </w:rPr>
        <w:lastRenderedPageBreak/>
        <w:t>decades by the internal armed conflict</w:t>
      </w:r>
      <w:r w:rsidRPr="00B8721C">
        <w:rPr>
          <w:rFonts w:ascii="Cambria" w:hAnsi="Cambria" w:cs="Cambria"/>
          <w:iCs/>
          <w:color w:val="000000"/>
          <w:sz w:val="20"/>
          <w:szCs w:val="20"/>
          <w:bdr w:val="none" w:sz="0" w:space="0" w:color="auto"/>
        </w:rPr>
        <w:t>.</w:t>
      </w:r>
      <w:r w:rsidR="009E5181" w:rsidRPr="00B8721C">
        <w:rPr>
          <w:rFonts w:ascii="Cambria" w:hAnsi="Cambria" w:cs="Cambria"/>
          <w:color w:val="000000"/>
          <w:sz w:val="20"/>
          <w:szCs w:val="20"/>
          <w:bdr w:val="none" w:sz="0" w:space="0" w:color="auto"/>
        </w:rPr>
        <w:t>”</w:t>
      </w:r>
      <w:r w:rsidR="009E5181" w:rsidRPr="00B8721C">
        <w:rPr>
          <w:rStyle w:val="FootnoteReference"/>
          <w:rFonts w:ascii="Cambria" w:hAnsi="Cambria" w:cs="Cambria"/>
          <w:sz w:val="20"/>
          <w:szCs w:val="20"/>
        </w:rPr>
        <w:footnoteReference w:id="152"/>
      </w:r>
      <w:r w:rsidRPr="00B8721C">
        <w:rPr>
          <w:rFonts w:ascii="Cambria" w:hAnsi="Cambria" w:cs="Cambria"/>
          <w:sz w:val="20"/>
          <w:szCs w:val="20"/>
        </w:rPr>
        <w:t xml:space="preserve"> </w:t>
      </w:r>
      <w:r w:rsidRPr="00B8721C">
        <w:rPr>
          <w:rFonts w:ascii="Cambria" w:hAnsi="Cambria" w:cs="Cambria"/>
          <w:color w:val="000000"/>
          <w:sz w:val="20"/>
          <w:szCs w:val="20"/>
          <w:bdr w:val="none" w:sz="0" w:space="0" w:color="auto"/>
        </w:rPr>
        <w:t>The report pointed out that crimes against journalists have a dual impact on the situation of freedom of expression in Colombia</w:t>
      </w:r>
      <w:r w:rsidR="009E5181" w:rsidRPr="00B8721C">
        <w:rPr>
          <w:rFonts w:ascii="Cambria" w:hAnsi="Cambria" w:cs="Cambria"/>
          <w:color w:val="000000"/>
          <w:sz w:val="20"/>
          <w:szCs w:val="20"/>
          <w:bdr w:val="none" w:sz="0" w:space="0" w:color="auto"/>
        </w:rPr>
        <w:t>. “</w:t>
      </w:r>
      <w:r w:rsidRPr="00B8721C">
        <w:rPr>
          <w:rFonts w:ascii="Cambria" w:hAnsi="Cambria" w:cs="Cambria"/>
          <w:i/>
          <w:color w:val="000000"/>
          <w:sz w:val="20"/>
          <w:szCs w:val="20"/>
          <w:bdr w:val="none" w:sz="0" w:space="0" w:color="auto"/>
        </w:rPr>
        <w:t>On one [hand], the violence looks to eliminate those who attempt to investigate abuses and irregularities and to ensure that their investigations do not come to light. But […] the violence is [also] designed to be a tool of intimidation directed at those conducting these types of investigations.</w:t>
      </w:r>
      <w:r w:rsidR="009E5181" w:rsidRPr="00B8721C">
        <w:rPr>
          <w:rFonts w:ascii="Cambria" w:hAnsi="Cambria" w:cs="Cambria"/>
          <w:sz w:val="20"/>
          <w:szCs w:val="20"/>
        </w:rPr>
        <w:t>”</w:t>
      </w:r>
      <w:r w:rsidR="009E5181" w:rsidRPr="00B8721C">
        <w:rPr>
          <w:rStyle w:val="FootnoteReference"/>
          <w:rFonts w:ascii="Cambria" w:hAnsi="Cambria" w:cs="Cambria"/>
          <w:sz w:val="20"/>
          <w:szCs w:val="20"/>
        </w:rPr>
        <w:footnoteReference w:id="153"/>
      </w:r>
    </w:p>
    <w:p w:rsidR="009E5181" w:rsidRPr="00B8721C" w:rsidRDefault="009E5181" w:rsidP="005A03C0">
      <w:pPr>
        <w:spacing w:after="120"/>
        <w:ind w:firstLine="360"/>
        <w:jc w:val="both"/>
        <w:rPr>
          <w:rFonts w:ascii="Cambria" w:hAnsi="Cambria"/>
          <w:sz w:val="20"/>
          <w:szCs w:val="20"/>
        </w:rPr>
      </w:pPr>
    </w:p>
    <w:p w:rsidR="00B86176" w:rsidRPr="00B8721C" w:rsidRDefault="00716276" w:rsidP="005A03C0">
      <w:pPr>
        <w:pStyle w:val="Heading1"/>
        <w:tabs>
          <w:tab w:val="clear" w:pos="1440"/>
        </w:tabs>
        <w:jc w:val="both"/>
        <w:rPr>
          <w:color w:val="auto"/>
          <w:szCs w:val="20"/>
        </w:rPr>
      </w:pPr>
      <w:bookmarkStart w:id="9" w:name="_Toc534731303"/>
      <w:r w:rsidRPr="00B8721C">
        <w:rPr>
          <w:color w:val="auto"/>
          <w:szCs w:val="20"/>
        </w:rPr>
        <w:t>LEGAL ANALYSIS</w:t>
      </w:r>
      <w:bookmarkEnd w:id="9"/>
    </w:p>
    <w:p w:rsidR="00B86176" w:rsidRPr="00B8721C" w:rsidRDefault="00B86176" w:rsidP="005A03C0">
      <w:pPr>
        <w:jc w:val="both"/>
        <w:rPr>
          <w:rFonts w:ascii="Cambria" w:eastAsia="Times New Roman" w:hAnsi="Cambria" w:cs="Cambria"/>
          <w:sz w:val="20"/>
          <w:szCs w:val="20"/>
          <w:u w:color="000000"/>
          <w:lang w:eastAsia="es-ES"/>
        </w:rPr>
      </w:pPr>
    </w:p>
    <w:p w:rsidR="008B22D2" w:rsidRPr="00B8721C" w:rsidRDefault="0020705B" w:rsidP="008B22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cs="Cambria"/>
          <w:sz w:val="20"/>
          <w:szCs w:val="20"/>
          <w:u w:color="000000"/>
          <w:lang w:eastAsia="es-ES"/>
        </w:rPr>
      </w:pPr>
      <w:r w:rsidRPr="00B8721C">
        <w:rPr>
          <w:rFonts w:ascii="Cambria" w:hAnsi="Cambria"/>
          <w:sz w:val="20"/>
          <w:szCs w:val="20"/>
          <w:bdr w:val="none" w:sz="0" w:space="0" w:color="auto"/>
        </w:rPr>
        <w:t>In this case the petitioner alleged that the international responsibility of the Colombian State for the kidnapping, torture, and sexual violence perpetrated against Jineth Bedoya stems from its failure to comply with its State obligations: i) to protect the journalist from the risk of attacks and threats associated with the practice of journalism, and ii) to investigate with due diligence and, where appropriate, prosecute and punish the perpetrators of the crimes committed</w:t>
      </w:r>
      <w:r w:rsidR="0049028E" w:rsidRPr="00B8721C">
        <w:rPr>
          <w:rFonts w:ascii="Cambria" w:hAnsi="Cambria"/>
          <w:sz w:val="20"/>
          <w:szCs w:val="20"/>
        </w:rPr>
        <w:t xml:space="preserve">. </w:t>
      </w:r>
      <w:r w:rsidRPr="00B8721C">
        <w:rPr>
          <w:rFonts w:ascii="Cambria" w:hAnsi="Cambria"/>
          <w:sz w:val="20"/>
          <w:szCs w:val="20"/>
        </w:rPr>
        <w:t xml:space="preserve">In particular, the petitioner argued that the lack of a thorough and diligent investigation has prevented the identification of the masterminds of the crime and the possible participation of State agents. Consequently, it argues, the threats and the ongoing risks to the journalist have not been neutralized thus far. </w:t>
      </w:r>
      <w:r w:rsidRPr="00B8721C">
        <w:rPr>
          <w:rFonts w:ascii="Cambria" w:hAnsi="Cambria"/>
          <w:sz w:val="20"/>
          <w:szCs w:val="20"/>
          <w:bdr w:val="none" w:sz="0" w:space="0" w:color="auto"/>
        </w:rPr>
        <w:t>For its part, the State maintained that the kidnapping, torture, and rape of Jineth Bedoya was committed not by State agents, but by private individuals, and asserted that it had taken all necessary measures to investigate the facts, prosecute, and punish the perpetrators, and that, therefore, it could not be held internationally responsible for the alleged violations.</w:t>
      </w:r>
    </w:p>
    <w:p w:rsidR="008B22D2" w:rsidRPr="00B8721C" w:rsidRDefault="008B22D2" w:rsidP="008B22D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Cambria"/>
          <w:sz w:val="20"/>
          <w:szCs w:val="20"/>
          <w:u w:color="000000"/>
          <w:lang w:eastAsia="es-ES"/>
        </w:rPr>
      </w:pPr>
    </w:p>
    <w:p w:rsidR="00072FEF" w:rsidRPr="00072FEF" w:rsidRDefault="0020705B" w:rsidP="00072F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eastAsia="Times New Roman" w:hAnsi="Cambria" w:cs="Cambria"/>
          <w:sz w:val="20"/>
          <w:szCs w:val="20"/>
          <w:u w:color="000000"/>
          <w:lang w:eastAsia="es-ES"/>
        </w:rPr>
      </w:pPr>
      <w:r w:rsidRPr="00637A06">
        <w:rPr>
          <w:rFonts w:ascii="Cambria" w:hAnsi="Cambria"/>
          <w:color w:val="000000"/>
          <w:sz w:val="20"/>
          <w:szCs w:val="20"/>
          <w:bdr w:val="none" w:sz="0" w:space="0" w:color="auto"/>
        </w:rPr>
        <w:t>In light of the foregoing and the findings of fact made, the Inter-American Commission will now determine whether the State met its obligations to resp</w:t>
      </w:r>
      <w:r w:rsidR="00137B35" w:rsidRPr="00637A06">
        <w:rPr>
          <w:rFonts w:ascii="Cambria" w:hAnsi="Cambria"/>
          <w:color w:val="000000"/>
          <w:sz w:val="20"/>
          <w:szCs w:val="20"/>
          <w:bdr w:val="none" w:sz="0" w:space="0" w:color="auto"/>
        </w:rPr>
        <w:t>ect and guarantee the rights of</w:t>
      </w:r>
      <w:r w:rsidRPr="00637A06">
        <w:rPr>
          <w:rFonts w:ascii="Cambria" w:hAnsi="Cambria"/>
          <w:color w:val="000000"/>
          <w:sz w:val="20"/>
          <w:szCs w:val="20"/>
          <w:bdr w:val="none" w:sz="0" w:space="0" w:color="auto"/>
        </w:rPr>
        <w:t xml:space="preserve"> journalist </w:t>
      </w:r>
      <w:r w:rsidR="004840BD" w:rsidRPr="00637A06">
        <w:rPr>
          <w:rFonts w:ascii="Cambria" w:hAnsi="Cambria"/>
          <w:color w:val="000000"/>
          <w:sz w:val="20"/>
          <w:szCs w:val="20"/>
          <w:bdr w:val="none" w:sz="0" w:space="0" w:color="auto"/>
        </w:rPr>
        <w:t>Jineth Bedoya</w:t>
      </w:r>
      <w:r w:rsidR="00B12533" w:rsidRPr="00637A06">
        <w:rPr>
          <w:rFonts w:ascii="Cambria" w:hAnsi="Cambria"/>
          <w:color w:val="000000"/>
          <w:sz w:val="20"/>
          <w:szCs w:val="20"/>
          <w:bdr w:val="none" w:sz="0" w:space="0" w:color="auto"/>
        </w:rPr>
        <w:t xml:space="preserve">. </w:t>
      </w:r>
      <w:r w:rsidR="00635682" w:rsidRPr="00637A06">
        <w:rPr>
          <w:rFonts w:ascii="Cambria" w:hAnsi="Cambria"/>
          <w:color w:val="000000"/>
          <w:sz w:val="20"/>
          <w:szCs w:val="20"/>
          <w:bdr w:val="none" w:sz="0" w:space="0" w:color="auto"/>
        </w:rPr>
        <w:t xml:space="preserve"> </w:t>
      </w:r>
      <w:r w:rsidR="00635682" w:rsidRPr="00637A06">
        <w:rPr>
          <w:rFonts w:ascii="Cambria" w:hAnsi="Cambria" w:cs="Arial"/>
          <w:sz w:val="20"/>
          <w:szCs w:val="20"/>
        </w:rPr>
        <w:t xml:space="preserve"> </w:t>
      </w:r>
    </w:p>
    <w:p w:rsidR="00B12533" w:rsidRDefault="007C1BF9" w:rsidP="005A03C0">
      <w:pPr>
        <w:pStyle w:val="Heading3"/>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1440" w:hanging="720"/>
        <w:rPr>
          <w:rFonts w:cs="Cambria"/>
          <w:u w:color="000000"/>
          <w:lang w:val="en-US" w:eastAsia="es-ES"/>
        </w:rPr>
      </w:pPr>
      <w:bookmarkStart w:id="10" w:name="_Toc433650902"/>
      <w:bookmarkStart w:id="11" w:name="_Toc433651004"/>
      <w:bookmarkStart w:id="12" w:name="_Toc438128513"/>
      <w:bookmarkStart w:id="13" w:name="_Toc534731304"/>
      <w:r>
        <w:rPr>
          <w:lang w:val="en-US"/>
        </w:rPr>
        <w:t>A</w:t>
      </w:r>
      <w:r w:rsidR="00716276" w:rsidRPr="00B8721C">
        <w:rPr>
          <w:lang w:val="en-US"/>
        </w:rPr>
        <w:t>nalysis of the alleged violation of the rights to life, humane treatment, personal freedom, priva</w:t>
      </w:r>
      <w:r w:rsidR="000E2BDE" w:rsidRPr="00B8721C">
        <w:rPr>
          <w:lang w:val="en-US"/>
        </w:rPr>
        <w:t>cy</w:t>
      </w:r>
      <w:r w:rsidR="00716276" w:rsidRPr="00B8721C">
        <w:rPr>
          <w:lang w:val="en-US"/>
        </w:rPr>
        <w:t xml:space="preserve">, dignity and autonomy, freedom of thought and expression, and equality and non-discrimination (Articles </w:t>
      </w:r>
      <w:r w:rsidR="002049C9" w:rsidRPr="00B8721C">
        <w:rPr>
          <w:lang w:val="en-US"/>
        </w:rPr>
        <w:t>4</w:t>
      </w:r>
      <w:r w:rsidR="00716276" w:rsidRPr="00B8721C">
        <w:rPr>
          <w:lang w:val="en-US"/>
        </w:rPr>
        <w:t>,</w:t>
      </w:r>
      <w:r w:rsidR="002049C9" w:rsidRPr="00B8721C">
        <w:rPr>
          <w:vertAlign w:val="superscript"/>
          <w:lang w:val="en-US"/>
        </w:rPr>
        <w:footnoteReference w:id="154"/>
      </w:r>
      <w:r w:rsidR="00374BE1" w:rsidRPr="00B8721C">
        <w:rPr>
          <w:lang w:val="en-US"/>
        </w:rPr>
        <w:t xml:space="preserve"> </w:t>
      </w:r>
      <w:r w:rsidR="002049C9" w:rsidRPr="00B8721C">
        <w:rPr>
          <w:rFonts w:cs="Cambria"/>
          <w:u w:color="000000"/>
          <w:lang w:val="en-US" w:eastAsia="es-ES"/>
        </w:rPr>
        <w:t>5</w:t>
      </w:r>
      <w:r w:rsidR="00716276" w:rsidRPr="00B8721C">
        <w:rPr>
          <w:rFonts w:cs="Cambria"/>
          <w:u w:color="000000"/>
          <w:lang w:val="en-US" w:eastAsia="es-ES"/>
        </w:rPr>
        <w:t>,</w:t>
      </w:r>
      <w:r w:rsidR="002049C9" w:rsidRPr="00B8721C">
        <w:rPr>
          <w:rStyle w:val="FootnoteReference"/>
          <w:rFonts w:cs="Cambria"/>
          <w:u w:color="000000"/>
          <w:lang w:val="en-US" w:eastAsia="es-ES"/>
        </w:rPr>
        <w:footnoteReference w:id="155"/>
      </w:r>
      <w:r w:rsidR="005E08D6" w:rsidRPr="00B8721C">
        <w:rPr>
          <w:rFonts w:cs="Cambria"/>
          <w:u w:color="000000"/>
          <w:lang w:val="en-US" w:eastAsia="es-ES"/>
        </w:rPr>
        <w:t>, 7</w:t>
      </w:r>
      <w:r w:rsidR="001A25C8">
        <w:rPr>
          <w:rFonts w:cs="Cambria"/>
          <w:u w:color="000000"/>
          <w:lang w:val="en-US" w:eastAsia="es-ES"/>
        </w:rPr>
        <w:t>,</w:t>
      </w:r>
      <w:r w:rsidR="00190F23" w:rsidRPr="00B8721C">
        <w:rPr>
          <w:rStyle w:val="FootnoteReference"/>
          <w:rFonts w:cs="Cambria"/>
          <w:u w:color="000000"/>
          <w:lang w:val="en-US" w:eastAsia="es-ES"/>
        </w:rPr>
        <w:footnoteReference w:id="156"/>
      </w:r>
      <w:r w:rsidR="00B86176" w:rsidRPr="00B8721C">
        <w:rPr>
          <w:rFonts w:cs="Cambria"/>
          <w:u w:color="000000"/>
          <w:lang w:val="en-US" w:eastAsia="es-ES"/>
        </w:rPr>
        <w:t xml:space="preserve"> </w:t>
      </w:r>
      <w:r w:rsidR="002049C9" w:rsidRPr="00B8721C">
        <w:rPr>
          <w:rFonts w:cs="Cambria"/>
          <w:u w:color="000000"/>
          <w:lang w:val="en-US" w:eastAsia="es-ES"/>
        </w:rPr>
        <w:t>11</w:t>
      </w:r>
      <w:r w:rsidR="00716276" w:rsidRPr="00B8721C">
        <w:rPr>
          <w:rFonts w:cs="Cambria"/>
          <w:u w:color="000000"/>
          <w:lang w:val="en-US" w:eastAsia="es-ES"/>
        </w:rPr>
        <w:t>,</w:t>
      </w:r>
      <w:r w:rsidR="002049C9" w:rsidRPr="00B8721C">
        <w:rPr>
          <w:rStyle w:val="FootnoteReference"/>
          <w:rFonts w:cs="Cambria"/>
          <w:u w:color="000000"/>
          <w:lang w:val="en-US" w:eastAsia="es-ES"/>
        </w:rPr>
        <w:footnoteReference w:id="157"/>
      </w:r>
      <w:r w:rsidR="00B86176" w:rsidRPr="00B8721C">
        <w:rPr>
          <w:rFonts w:cs="Cambria"/>
          <w:u w:color="000000"/>
          <w:lang w:val="en-US" w:eastAsia="es-ES"/>
        </w:rPr>
        <w:t xml:space="preserve"> </w:t>
      </w:r>
      <w:r w:rsidR="00190F23" w:rsidRPr="00B8721C">
        <w:rPr>
          <w:lang w:val="en-US"/>
        </w:rPr>
        <w:t>13</w:t>
      </w:r>
      <w:r w:rsidR="00716276" w:rsidRPr="00B8721C">
        <w:rPr>
          <w:lang w:val="en-US"/>
        </w:rPr>
        <w:t>,</w:t>
      </w:r>
      <w:r w:rsidR="00190F23" w:rsidRPr="00B8721C">
        <w:rPr>
          <w:vertAlign w:val="superscript"/>
          <w:lang w:val="en-US"/>
        </w:rPr>
        <w:footnoteReference w:id="158"/>
      </w:r>
      <w:r w:rsidR="00190F23" w:rsidRPr="00B8721C">
        <w:rPr>
          <w:lang w:val="en-US"/>
        </w:rPr>
        <w:t xml:space="preserve"> </w:t>
      </w:r>
      <w:r w:rsidR="00716276" w:rsidRPr="00B8721C">
        <w:rPr>
          <w:lang w:val="en-US"/>
        </w:rPr>
        <w:t xml:space="preserve">and </w:t>
      </w:r>
      <w:r w:rsidR="00B86176" w:rsidRPr="00B8721C">
        <w:rPr>
          <w:rFonts w:cs="Cambria"/>
          <w:u w:color="000000"/>
          <w:lang w:val="en-US" w:eastAsia="es-ES"/>
        </w:rPr>
        <w:t>24</w:t>
      </w:r>
      <w:r w:rsidR="00374BE1" w:rsidRPr="00B8721C">
        <w:rPr>
          <w:rStyle w:val="FootnoteReference"/>
          <w:rFonts w:cs="Cambria"/>
          <w:u w:color="000000"/>
          <w:lang w:val="en-US" w:eastAsia="es-ES"/>
        </w:rPr>
        <w:footnoteReference w:id="159"/>
      </w:r>
      <w:r w:rsidR="00FF220F" w:rsidRPr="00B8721C">
        <w:rPr>
          <w:rFonts w:cs="Cambria"/>
          <w:u w:color="000000"/>
          <w:lang w:val="en-US" w:eastAsia="es-ES"/>
        </w:rPr>
        <w:t xml:space="preserve"> </w:t>
      </w:r>
      <w:r w:rsidR="00716276" w:rsidRPr="00B8721C">
        <w:rPr>
          <w:rFonts w:cs="Cambria"/>
          <w:u w:color="000000"/>
          <w:lang w:val="en-US" w:eastAsia="es-ES"/>
        </w:rPr>
        <w:t xml:space="preserve">of the American Convention), in relation to the obligation to respect and protect rights (Articles </w:t>
      </w:r>
      <w:r w:rsidR="00B86176" w:rsidRPr="00B8721C">
        <w:rPr>
          <w:rFonts w:cs="Cambria"/>
          <w:u w:color="000000"/>
          <w:lang w:val="en-US" w:eastAsia="es-ES"/>
        </w:rPr>
        <w:t>1.1</w:t>
      </w:r>
      <w:r w:rsidR="00190F23" w:rsidRPr="00B8721C">
        <w:rPr>
          <w:rStyle w:val="FootnoteReference"/>
          <w:rFonts w:cs="Cambria"/>
          <w:u w:color="000000"/>
          <w:lang w:val="en-US" w:eastAsia="es-ES"/>
        </w:rPr>
        <w:footnoteReference w:id="160"/>
      </w:r>
      <w:r w:rsidR="00D64CF3" w:rsidRPr="00B8721C">
        <w:rPr>
          <w:rFonts w:cs="Cambria"/>
          <w:u w:color="000000"/>
          <w:lang w:val="en-US" w:eastAsia="es-ES"/>
        </w:rPr>
        <w:t xml:space="preserve"> </w:t>
      </w:r>
      <w:r w:rsidR="00A54130" w:rsidRPr="00B8721C">
        <w:rPr>
          <w:rFonts w:cs="Cambria"/>
          <w:u w:color="000000"/>
          <w:lang w:val="en-US" w:eastAsia="es-ES"/>
        </w:rPr>
        <w:t xml:space="preserve">of the American Convention, 7 of the Convention of </w:t>
      </w:r>
      <w:r w:rsidR="00E277A7" w:rsidRPr="00B8721C">
        <w:rPr>
          <w:rFonts w:cs="Cambria"/>
          <w:u w:color="000000"/>
          <w:lang w:val="en-US" w:eastAsia="es-ES"/>
        </w:rPr>
        <w:t>Belém do Pará</w:t>
      </w:r>
      <w:r w:rsidR="00A54130" w:rsidRPr="00B8721C">
        <w:rPr>
          <w:rFonts w:cs="Cambria"/>
          <w:u w:color="000000"/>
          <w:lang w:val="en-US" w:eastAsia="es-ES"/>
        </w:rPr>
        <w:t>,</w:t>
      </w:r>
      <w:r w:rsidR="00374BE1" w:rsidRPr="00B8721C">
        <w:rPr>
          <w:rStyle w:val="FootnoteReference"/>
          <w:rFonts w:cs="Cambria"/>
          <w:u w:color="000000"/>
          <w:lang w:val="en-US" w:eastAsia="es-ES"/>
        </w:rPr>
        <w:footnoteReference w:id="161"/>
      </w:r>
      <w:r w:rsidR="00A54130" w:rsidRPr="00B8721C">
        <w:rPr>
          <w:rFonts w:cs="Cambria"/>
          <w:u w:color="000000"/>
          <w:lang w:val="en-US" w:eastAsia="es-ES"/>
        </w:rPr>
        <w:t xml:space="preserve"> </w:t>
      </w:r>
      <w:r w:rsidR="00A54130" w:rsidRPr="00B8721C">
        <w:rPr>
          <w:rFonts w:cs="Cambria"/>
          <w:u w:color="000000"/>
          <w:lang w:val="en-US" w:eastAsia="es-ES"/>
        </w:rPr>
        <w:lastRenderedPageBreak/>
        <w:t>and</w:t>
      </w:r>
      <w:r w:rsidR="00B86176" w:rsidRPr="00B8721C">
        <w:rPr>
          <w:rFonts w:cs="Cambria"/>
          <w:u w:color="000000"/>
          <w:lang w:val="en-US" w:eastAsia="es-ES"/>
        </w:rPr>
        <w:t xml:space="preserve"> 1</w:t>
      </w:r>
      <w:r w:rsidR="00374BE1" w:rsidRPr="00B8721C">
        <w:rPr>
          <w:rStyle w:val="FootnoteReference"/>
          <w:rFonts w:cs="Cambria"/>
          <w:u w:color="000000"/>
          <w:lang w:val="en-US" w:eastAsia="es-ES"/>
        </w:rPr>
        <w:footnoteReference w:id="162"/>
      </w:r>
      <w:r w:rsidR="00A54130" w:rsidRPr="00B8721C">
        <w:rPr>
          <w:rFonts w:cs="Cambria"/>
          <w:u w:color="000000"/>
          <w:lang w:val="en-US" w:eastAsia="es-ES"/>
        </w:rPr>
        <w:t xml:space="preserve"> and</w:t>
      </w:r>
      <w:r w:rsidR="00B86176" w:rsidRPr="00B8721C">
        <w:rPr>
          <w:rFonts w:cs="Cambria"/>
          <w:u w:color="000000"/>
          <w:lang w:val="en-US" w:eastAsia="es-ES"/>
        </w:rPr>
        <w:t xml:space="preserve"> 6</w:t>
      </w:r>
      <w:r w:rsidR="00374BE1" w:rsidRPr="00B8721C">
        <w:rPr>
          <w:rStyle w:val="FootnoteReference"/>
          <w:rFonts w:cs="Cambria"/>
          <w:u w:color="000000"/>
          <w:lang w:val="en-US" w:eastAsia="es-ES"/>
        </w:rPr>
        <w:footnoteReference w:id="163"/>
      </w:r>
      <w:r w:rsidR="00B86176" w:rsidRPr="00B8721C">
        <w:rPr>
          <w:rFonts w:cs="Cambria"/>
          <w:u w:color="000000"/>
          <w:lang w:val="en-US" w:eastAsia="es-ES"/>
        </w:rPr>
        <w:t xml:space="preserve"> </w:t>
      </w:r>
      <w:r w:rsidR="00A54130" w:rsidRPr="00B8721C">
        <w:rPr>
          <w:rFonts w:cs="Cambria"/>
          <w:u w:color="000000"/>
          <w:lang w:val="en-US" w:eastAsia="es-ES"/>
        </w:rPr>
        <w:t xml:space="preserve">of the </w:t>
      </w:r>
      <w:r w:rsidR="00792493" w:rsidRPr="00B8721C">
        <w:rPr>
          <w:rFonts w:cs="Cambria"/>
          <w:u w:color="000000"/>
          <w:lang w:val="en-US" w:eastAsia="es-ES"/>
        </w:rPr>
        <w:t>IACPPT</w:t>
      </w:r>
      <w:r w:rsidR="00B86176" w:rsidRPr="00B8721C">
        <w:rPr>
          <w:rFonts w:cs="Cambria"/>
          <w:u w:color="000000"/>
          <w:lang w:val="en-US" w:eastAsia="es-ES"/>
        </w:rPr>
        <w:t>)</w:t>
      </w:r>
      <w:bookmarkEnd w:id="10"/>
      <w:bookmarkEnd w:id="11"/>
      <w:bookmarkEnd w:id="12"/>
      <w:bookmarkEnd w:id="13"/>
    </w:p>
    <w:p w:rsidR="006D6AFA" w:rsidRPr="006D6AFA" w:rsidRDefault="006D6AFA" w:rsidP="006D6AFA">
      <w:pPr>
        <w:rPr>
          <w:lang w:eastAsia="es-ES"/>
        </w:rPr>
      </w:pPr>
    </w:p>
    <w:p w:rsidR="003D7668" w:rsidRPr="00B8721C" w:rsidRDefault="00617D39" w:rsidP="00117834">
      <w:pPr>
        <w:pStyle w:val="Heading3"/>
        <w:numPr>
          <w:ilvl w:val="3"/>
          <w:numId w:val="54"/>
        </w:numPr>
        <w:ind w:left="1440" w:hanging="720"/>
        <w:rPr>
          <w:lang w:val="en-US"/>
        </w:rPr>
      </w:pPr>
      <w:bookmarkStart w:id="14" w:name="_Toc534731305"/>
      <w:bookmarkStart w:id="15" w:name="_Toc457838868"/>
      <w:r w:rsidRPr="00B8721C">
        <w:rPr>
          <w:lang w:val="en-US"/>
        </w:rPr>
        <w:t>General considerations on the obligation to protect journalists at particular risk</w:t>
      </w:r>
      <w:bookmarkEnd w:id="14"/>
    </w:p>
    <w:p w:rsidR="007B6026" w:rsidRPr="00B8721C" w:rsidRDefault="007B6026" w:rsidP="005A03C0">
      <w:pPr>
        <w:rPr>
          <w:rFonts w:ascii="Cambria" w:hAnsi="Cambria"/>
          <w:sz w:val="20"/>
          <w:szCs w:val="20"/>
        </w:rPr>
      </w:pPr>
    </w:p>
    <w:p w:rsidR="001679BB" w:rsidRPr="00B8721C" w:rsidRDefault="008B22D2" w:rsidP="001679B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Cambria" w:hAnsi="Cambria"/>
          <w:sz w:val="20"/>
          <w:szCs w:val="20"/>
          <w:bdr w:val="none" w:sz="0" w:space="0" w:color="auto"/>
        </w:rPr>
      </w:pPr>
      <w:r w:rsidRPr="00B8721C">
        <w:rPr>
          <w:rFonts w:ascii="Cambria" w:hAnsi="Cambria"/>
          <w:sz w:val="20"/>
          <w:szCs w:val="20"/>
          <w:bdr w:val="none" w:sz="0" w:space="0" w:color="auto"/>
          <w:shd w:val="clear" w:color="auto" w:fill="FFFFFF"/>
        </w:rPr>
        <w:t>As the Commission has repeatedly held, violence targeting journalists or media workers with the aim of silencing them constitutes a violation of the victim's right to freedom of expression, and has a profound negative effect on the exercise of freedom of expression by those who practice journalism and on the right of society in general to seek and receive all kinds of information and ideas in a peaceful and free manner.</w:t>
      </w:r>
      <w:r w:rsidR="003D7668" w:rsidRPr="00B8721C">
        <w:rPr>
          <w:rFonts w:ascii="Cambria" w:hAnsi="Cambria"/>
          <w:sz w:val="20"/>
          <w:szCs w:val="20"/>
          <w:bdr w:val="none" w:sz="0" w:space="0" w:color="auto"/>
          <w:vertAlign w:val="superscript"/>
        </w:rPr>
        <w:footnoteReference w:id="164"/>
      </w:r>
      <w:r w:rsidR="003D7668" w:rsidRPr="00B8721C">
        <w:rPr>
          <w:rFonts w:ascii="Cambria" w:hAnsi="Cambria"/>
          <w:sz w:val="20"/>
          <w:szCs w:val="20"/>
          <w:bdr w:val="none" w:sz="0" w:space="0" w:color="auto"/>
          <w:shd w:val="clear" w:color="auto" w:fill="FFFFFF"/>
        </w:rPr>
        <w:t xml:space="preserve"> </w:t>
      </w:r>
      <w:r w:rsidRPr="00B8721C">
        <w:rPr>
          <w:rFonts w:ascii="Cambria" w:hAnsi="Cambria"/>
          <w:sz w:val="20"/>
          <w:szCs w:val="20"/>
          <w:bdr w:val="none" w:sz="0" w:space="0" w:color="auto"/>
        </w:rPr>
        <w:t>As the Inter-American Court has observed</w:t>
      </w:r>
      <w:r w:rsidR="003D7668" w:rsidRPr="00B8721C">
        <w:rPr>
          <w:rFonts w:ascii="Cambria" w:hAnsi="Cambria"/>
          <w:sz w:val="20"/>
          <w:szCs w:val="20"/>
          <w:bdr w:val="none" w:sz="0" w:space="0" w:color="auto"/>
        </w:rPr>
        <w:t>, “</w:t>
      </w:r>
      <w:r w:rsidRPr="00B8721C">
        <w:rPr>
          <w:rFonts w:ascii="Cambria" w:hAnsi="Cambria"/>
          <w:sz w:val="20"/>
          <w:szCs w:val="20"/>
          <w:bdr w:val="none" w:sz="0" w:space="0" w:color="auto"/>
        </w:rPr>
        <w:t>journalism can only be exercised freely when those who carry out this work are not victims of threats or physical, mental or moral attacks or other acts of harassment.</w:t>
      </w:r>
      <w:r w:rsidR="003D7668" w:rsidRPr="00B8721C">
        <w:rPr>
          <w:rFonts w:ascii="Cambria" w:hAnsi="Cambria"/>
          <w:sz w:val="20"/>
          <w:szCs w:val="20"/>
          <w:bdr w:val="none" w:sz="0" w:space="0" w:color="auto"/>
        </w:rPr>
        <w:t>”</w:t>
      </w:r>
      <w:r w:rsidR="003D7668" w:rsidRPr="00B8721C">
        <w:rPr>
          <w:rFonts w:ascii="Cambria" w:hAnsi="Cambria"/>
          <w:sz w:val="20"/>
          <w:szCs w:val="20"/>
          <w:bdr w:val="none" w:sz="0" w:space="0" w:color="auto"/>
          <w:vertAlign w:val="superscript"/>
        </w:rPr>
        <w:footnoteReference w:id="165"/>
      </w:r>
    </w:p>
    <w:p w:rsidR="001679BB" w:rsidRPr="00B8721C" w:rsidRDefault="001679BB" w:rsidP="001679B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bdr w:val="none" w:sz="0" w:space="0" w:color="auto"/>
        </w:rPr>
      </w:pPr>
    </w:p>
    <w:p w:rsidR="00C83F0B" w:rsidRPr="00B8721C" w:rsidRDefault="00571029" w:rsidP="00C83F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Cambria" w:hAnsi="Cambria"/>
          <w:sz w:val="20"/>
          <w:szCs w:val="20"/>
          <w:bdr w:val="none" w:sz="0" w:space="0" w:color="auto"/>
        </w:rPr>
      </w:pPr>
      <w:r w:rsidRPr="00B8721C">
        <w:rPr>
          <w:rFonts w:ascii="Cambria" w:hAnsi="Cambria"/>
          <w:sz w:val="20"/>
          <w:szCs w:val="20"/>
          <w:bdr w:val="none" w:sz="0" w:space="0" w:color="auto"/>
          <w:shd w:val="clear" w:color="auto" w:fill="FFFFFF"/>
        </w:rPr>
        <w:t>In this regard, the Inter-American Court has held that</w:t>
      </w:r>
      <w:r w:rsidR="003D7668" w:rsidRPr="00B8721C">
        <w:rPr>
          <w:rFonts w:ascii="Cambria" w:hAnsi="Cambria"/>
          <w:sz w:val="20"/>
          <w:szCs w:val="20"/>
          <w:bdr w:val="none" w:sz="0" w:space="0" w:color="auto"/>
          <w:shd w:val="clear" w:color="auto" w:fill="FFFFFF"/>
        </w:rPr>
        <w:t xml:space="preserve"> “</w:t>
      </w:r>
      <w:r w:rsidR="001679BB" w:rsidRPr="00B8721C">
        <w:rPr>
          <w:rFonts w:ascii="Cambria" w:hAnsi="Cambria"/>
          <w:sz w:val="20"/>
          <w:szCs w:val="20"/>
          <w:bdr w:val="none" w:sz="0" w:space="0" w:color="auto"/>
          <w:shd w:val="clear" w:color="auto" w:fill="FFFFFF"/>
        </w:rPr>
        <w:t>it is essential that journalists who work in the media should enjoy the necessary protection and independence to exercise their functions to the fullest, because it is they who</w:t>
      </w:r>
      <w:bookmarkStart w:id="16" w:name="_GoBack"/>
      <w:bookmarkEnd w:id="16"/>
      <w:r w:rsidR="001679BB" w:rsidRPr="00B8721C">
        <w:rPr>
          <w:rFonts w:ascii="Cambria" w:hAnsi="Cambria"/>
          <w:sz w:val="20"/>
          <w:szCs w:val="20"/>
          <w:bdr w:val="none" w:sz="0" w:space="0" w:color="auto"/>
          <w:shd w:val="clear" w:color="auto" w:fill="FFFFFF"/>
        </w:rPr>
        <w:t xml:space="preserve"> keep society informed, an indispensable requirement to enable society to enjoy full freedom and for public discourse to become stronger</w:t>
      </w:r>
      <w:r w:rsidRPr="00B8721C">
        <w:rPr>
          <w:rFonts w:ascii="Cambria" w:hAnsi="Cambria"/>
          <w:sz w:val="20"/>
          <w:szCs w:val="20"/>
          <w:bdr w:val="none" w:sz="0" w:space="0" w:color="auto"/>
          <w:shd w:val="clear" w:color="auto" w:fill="FFFFFF"/>
        </w:rPr>
        <w:t>.</w:t>
      </w:r>
      <w:r w:rsidR="003D7668" w:rsidRPr="00B8721C">
        <w:rPr>
          <w:rFonts w:ascii="Cambria" w:hAnsi="Cambria"/>
          <w:sz w:val="20"/>
          <w:szCs w:val="20"/>
          <w:bdr w:val="none" w:sz="0" w:space="0" w:color="auto"/>
          <w:shd w:val="clear" w:color="auto" w:fill="FFFFFF"/>
        </w:rPr>
        <w:t>”</w:t>
      </w:r>
      <w:r w:rsidR="003D7668" w:rsidRPr="00B8721C">
        <w:rPr>
          <w:rFonts w:ascii="Cambria" w:hAnsi="Cambria"/>
          <w:sz w:val="20"/>
          <w:szCs w:val="20"/>
          <w:bdr w:val="none" w:sz="0" w:space="0" w:color="auto"/>
          <w:vertAlign w:val="superscript"/>
        </w:rPr>
        <w:footnoteReference w:id="166"/>
      </w:r>
      <w:r w:rsidR="003D7668" w:rsidRPr="00B8721C">
        <w:rPr>
          <w:rFonts w:ascii="Cambria" w:hAnsi="Cambria"/>
          <w:sz w:val="20"/>
          <w:szCs w:val="20"/>
          <w:bdr w:val="none" w:sz="0" w:space="0" w:color="auto"/>
          <w:shd w:val="clear" w:color="auto" w:fill="FFFFFF"/>
        </w:rPr>
        <w:t xml:space="preserve"> </w:t>
      </w:r>
      <w:r w:rsidR="006368F5" w:rsidRPr="00B8721C">
        <w:rPr>
          <w:rFonts w:ascii="Cambria" w:hAnsi="Cambria"/>
          <w:sz w:val="20"/>
          <w:szCs w:val="20"/>
          <w:bdr w:val="none" w:sz="0" w:space="0" w:color="auto"/>
          <w:shd w:val="clear" w:color="auto" w:fill="FFFFFF"/>
        </w:rPr>
        <w:t xml:space="preserve"> </w:t>
      </w:r>
      <w:r w:rsidRPr="00B8721C">
        <w:rPr>
          <w:rFonts w:ascii="Cambria" w:hAnsi="Cambria"/>
          <w:sz w:val="20"/>
          <w:szCs w:val="20"/>
          <w:bdr w:val="none" w:sz="0" w:space="0" w:color="auto"/>
          <w:shd w:val="clear" w:color="auto" w:fill="FFFFFF"/>
        </w:rPr>
        <w:t>Similarly, it has affirmed that</w:t>
      </w:r>
      <w:r w:rsidR="006368F5" w:rsidRPr="00B8721C">
        <w:rPr>
          <w:rFonts w:ascii="Cambria" w:hAnsi="Cambria"/>
          <w:sz w:val="20"/>
          <w:szCs w:val="20"/>
          <w:bdr w:val="none" w:sz="0" w:space="0" w:color="auto"/>
          <w:shd w:val="clear" w:color="auto" w:fill="FFFFFF"/>
        </w:rPr>
        <w:t xml:space="preserve"> </w:t>
      </w:r>
      <w:r w:rsidR="00562B75" w:rsidRPr="00B8721C">
        <w:rPr>
          <w:rFonts w:ascii="Cambria" w:hAnsi="Cambria"/>
          <w:sz w:val="20"/>
          <w:szCs w:val="20"/>
          <w:bdr w:val="none" w:sz="0" w:space="0" w:color="auto"/>
          <w:shd w:val="clear" w:color="auto" w:fill="FFFFFF"/>
        </w:rPr>
        <w:t>“</w:t>
      </w:r>
      <w:r w:rsidR="001679BB" w:rsidRPr="00B8721C">
        <w:rPr>
          <w:rFonts w:ascii="Cambria" w:hAnsi="Cambria" w:cs="Arial"/>
          <w:sz w:val="20"/>
          <w:szCs w:val="20"/>
        </w:rPr>
        <w:t>the combination of violence against journalists and impunity has a highly negative impact, first, on journalists themselves and their families, and second, because it has resulted in diverse communities [...] not receiving information on issues that affect them, such as armed conflict, organized crime, drug trafficking, and political corruption</w:t>
      </w:r>
      <w:r w:rsidRPr="00B8721C">
        <w:rPr>
          <w:rFonts w:ascii="Cambria" w:hAnsi="Cambria" w:cs="Arial"/>
          <w:sz w:val="20"/>
          <w:szCs w:val="20"/>
        </w:rPr>
        <w:t>.</w:t>
      </w:r>
      <w:r w:rsidR="00562B75" w:rsidRPr="00B8721C">
        <w:rPr>
          <w:rFonts w:ascii="Cambria" w:hAnsi="Cambria" w:cs="Arial"/>
          <w:sz w:val="20"/>
          <w:szCs w:val="20"/>
        </w:rPr>
        <w:t>”</w:t>
      </w:r>
      <w:r w:rsidR="00562B75" w:rsidRPr="00B8721C">
        <w:rPr>
          <w:rStyle w:val="FootnoteReference"/>
          <w:rFonts w:ascii="Cambria" w:hAnsi="Cambria" w:cs="Arial"/>
          <w:sz w:val="20"/>
          <w:szCs w:val="20"/>
        </w:rPr>
        <w:footnoteReference w:id="167"/>
      </w:r>
    </w:p>
    <w:p w:rsidR="00C83F0B" w:rsidRPr="00B8721C" w:rsidRDefault="00C83F0B" w:rsidP="00C83F0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bdr w:val="none" w:sz="0" w:space="0" w:color="auto"/>
        </w:rPr>
      </w:pPr>
    </w:p>
    <w:p w:rsidR="006C3C38" w:rsidRPr="00B8721C" w:rsidRDefault="00C83F0B" w:rsidP="006C3C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Cambria" w:hAnsi="Cambria"/>
          <w:sz w:val="20"/>
          <w:szCs w:val="20"/>
          <w:bdr w:val="none" w:sz="0" w:space="0" w:color="auto"/>
        </w:rPr>
      </w:pPr>
      <w:r w:rsidRPr="00B8721C">
        <w:rPr>
          <w:rFonts w:ascii="Cambria" w:hAnsi="Cambria"/>
          <w:sz w:val="20"/>
          <w:szCs w:val="20"/>
          <w:bdr w:val="none" w:sz="0" w:space="0" w:color="auto"/>
          <w:shd w:val="clear" w:color="auto" w:fill="FFFFFF"/>
        </w:rPr>
        <w:t>In the case of violence committed against journalists or media workers for exercising their right to freedom of expression, the Inter-American case law has explained that the rights to life, humane treatment, and freedom of expression are closely related</w:t>
      </w:r>
      <w:r w:rsidR="00CF5A3F" w:rsidRPr="00B8721C">
        <w:rPr>
          <w:rStyle w:val="FootnoteReference"/>
          <w:rFonts w:ascii="Cambria" w:hAnsi="Cambria" w:cs="Arial"/>
          <w:sz w:val="20"/>
          <w:szCs w:val="20"/>
        </w:rPr>
        <w:footnoteReference w:id="168"/>
      </w:r>
      <w:r w:rsidR="00A97A35" w:rsidRPr="00B8721C">
        <w:rPr>
          <w:rFonts w:ascii="Cambria" w:hAnsi="Cambria" w:cs="Arial"/>
          <w:sz w:val="20"/>
          <w:szCs w:val="20"/>
        </w:rPr>
        <w:t xml:space="preserve"> </w:t>
      </w:r>
      <w:r w:rsidRPr="00B8721C">
        <w:rPr>
          <w:rFonts w:ascii="Cambria" w:hAnsi="Cambria" w:cs="Arial"/>
          <w:sz w:val="20"/>
          <w:szCs w:val="20"/>
        </w:rPr>
        <w:t>and that they give rise to positive State obligations</w:t>
      </w:r>
      <w:r w:rsidR="00A97A35" w:rsidRPr="00B8721C">
        <w:rPr>
          <w:rFonts w:ascii="Cambria" w:hAnsi="Cambria"/>
          <w:sz w:val="20"/>
          <w:szCs w:val="20"/>
          <w:bdr w:val="none" w:sz="0" w:space="0" w:color="auto"/>
        </w:rPr>
        <w:t>.</w:t>
      </w:r>
      <w:r w:rsidR="00707D58"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In this regard, the IACHR has recognized that States have an obligation to protect those who are exposed to a special risk by reason of the practice of their profession.</w:t>
      </w:r>
      <w:r w:rsidR="00F13ED4" w:rsidRPr="00B8721C">
        <w:rPr>
          <w:rFonts w:ascii="Cambria" w:hAnsi="Cambria"/>
          <w:sz w:val="20"/>
          <w:szCs w:val="20"/>
          <w:bdr w:val="none" w:sz="0" w:space="0" w:color="auto"/>
          <w:vertAlign w:val="superscript"/>
        </w:rPr>
        <w:footnoteReference w:id="169"/>
      </w:r>
      <w:r w:rsidRPr="00B8721C">
        <w:rPr>
          <w:rFonts w:ascii="Cambria" w:hAnsi="Cambria"/>
          <w:sz w:val="20"/>
          <w:szCs w:val="20"/>
          <w:bdr w:val="none" w:sz="0" w:space="0" w:color="auto"/>
        </w:rPr>
        <w:t xml:space="preserve"> The scope of the State's positive obligation to protect persons who are exposed to a special risk was defined by the Inter-American Court, when it noted that </w:t>
      </w:r>
      <w:r w:rsidR="004D0731" w:rsidRPr="00B8721C">
        <w:rPr>
          <w:rFonts w:ascii="Cambria" w:hAnsi="Cambria"/>
          <w:sz w:val="20"/>
          <w:szCs w:val="20"/>
          <w:bdr w:val="none" w:sz="0" w:space="0" w:color="auto"/>
        </w:rPr>
        <w:t>“</w:t>
      </w:r>
      <w:r w:rsidRPr="00B8721C">
        <w:rPr>
          <w:rFonts w:ascii="Cambria" w:hAnsi="Cambria"/>
          <w:sz w:val="20"/>
          <w:szCs w:val="20"/>
          <w:bdr w:val="none" w:sz="0" w:space="0" w:color="auto"/>
        </w:rPr>
        <w:t>For a positive obligation to arise, it must be established that the authorities knew or ought to have known at the time of the existence of a real and immediate danger to the life of an identified individual or individuals from the criminal acts of a third party and that they failed to take measures within the scope of their powers which, judged reasonably, might have been expected to avoid that danger.</w:t>
      </w:r>
      <w:r w:rsidR="004D0731" w:rsidRPr="00B8721C">
        <w:rPr>
          <w:rFonts w:ascii="Cambria" w:hAnsi="Cambria"/>
          <w:sz w:val="20"/>
          <w:szCs w:val="20"/>
          <w:bdr w:val="none" w:sz="0" w:space="0" w:color="auto"/>
        </w:rPr>
        <w:t>”</w:t>
      </w:r>
      <w:r w:rsidR="004D0731" w:rsidRPr="00B8721C">
        <w:rPr>
          <w:rFonts w:ascii="Cambria" w:hAnsi="Cambria"/>
          <w:sz w:val="20"/>
          <w:szCs w:val="20"/>
          <w:bdr w:val="none" w:sz="0" w:space="0" w:color="auto"/>
          <w:vertAlign w:val="superscript"/>
        </w:rPr>
        <w:footnoteReference w:id="170"/>
      </w:r>
    </w:p>
    <w:p w:rsidR="006C3C38" w:rsidRPr="00B8721C" w:rsidRDefault="006C3C38" w:rsidP="006C3C3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bdr w:val="none" w:sz="0" w:space="0" w:color="auto"/>
        </w:rPr>
      </w:pPr>
    </w:p>
    <w:p w:rsidR="00E044C1" w:rsidRPr="00B8721C" w:rsidRDefault="006C3C38" w:rsidP="00E044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Cambria" w:hAnsi="Cambria"/>
          <w:sz w:val="20"/>
          <w:szCs w:val="20"/>
          <w:bdr w:val="none" w:sz="0" w:space="0" w:color="auto"/>
        </w:rPr>
      </w:pPr>
      <w:r w:rsidRPr="00B8721C">
        <w:rPr>
          <w:rFonts w:ascii="Cambria" w:hAnsi="Cambria"/>
          <w:sz w:val="20"/>
          <w:szCs w:val="20"/>
          <w:bdr w:val="none" w:sz="0" w:space="0" w:color="auto"/>
        </w:rPr>
        <w:t xml:space="preserve">According to the Inter-American case law and scholarship, this special risk must be evaluated in light of the existing country context, and may arise from factors such as the type of events they cover, the public interest of the information they disseminate, or the area they must go to in order to do their work, as well as to those who are the target of threats in relation to the dissemination of that information or for denouncing or promoting the investigation of violations that they suffered or of those they became aware </w:t>
      </w:r>
      <w:r w:rsidRPr="00B8721C">
        <w:rPr>
          <w:rFonts w:ascii="Cambria" w:hAnsi="Cambria"/>
          <w:sz w:val="20"/>
          <w:szCs w:val="20"/>
          <w:bdr w:val="none" w:sz="0" w:space="0" w:color="auto"/>
        </w:rPr>
        <w:lastRenderedPageBreak/>
        <w:t>of in the course of their work.</w:t>
      </w:r>
      <w:r w:rsidR="004D0731" w:rsidRPr="00B8721C">
        <w:rPr>
          <w:rFonts w:ascii="Cambria" w:hAnsi="Cambria"/>
          <w:sz w:val="20"/>
          <w:szCs w:val="20"/>
          <w:bdr w:val="none" w:sz="0" w:space="0" w:color="auto"/>
          <w:vertAlign w:val="superscript"/>
        </w:rPr>
        <w:footnoteReference w:id="171"/>
      </w:r>
      <w:r w:rsidR="004D0731"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The Court emphasized that,</w:t>
      </w:r>
      <w:r w:rsidR="004D0731"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[it is incumbent upon] State authorities to get to know the situation of special risk in order to determine or assess whether the person who is the target of threats and harassment requires measures of protection or to refer the case to the competent authority to do this, and also to offer the person at risk timely information on the measures available.</w:t>
      </w:r>
      <w:r w:rsidR="004D0731" w:rsidRPr="00B8721C">
        <w:rPr>
          <w:rFonts w:ascii="Cambria" w:hAnsi="Cambria"/>
          <w:sz w:val="20"/>
          <w:szCs w:val="20"/>
          <w:bdr w:val="none" w:sz="0" w:space="0" w:color="auto"/>
        </w:rPr>
        <w:t>”</w:t>
      </w:r>
      <w:r w:rsidR="004D0731" w:rsidRPr="00B8721C">
        <w:rPr>
          <w:rFonts w:ascii="Cambria" w:hAnsi="Cambria"/>
          <w:sz w:val="20"/>
          <w:szCs w:val="20"/>
          <w:bdr w:val="none" w:sz="0" w:space="0" w:color="auto"/>
          <w:vertAlign w:val="superscript"/>
        </w:rPr>
        <w:footnoteReference w:id="172"/>
      </w:r>
    </w:p>
    <w:p w:rsidR="00E044C1" w:rsidRPr="00B8721C" w:rsidRDefault="00E044C1" w:rsidP="00E044C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bdr w:val="none" w:sz="0" w:space="0" w:color="auto"/>
        </w:rPr>
      </w:pPr>
    </w:p>
    <w:p w:rsidR="004D0731" w:rsidRPr="00B8721C" w:rsidRDefault="00E044C1" w:rsidP="00E044C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0" w:firstLine="720"/>
        <w:jc w:val="both"/>
        <w:rPr>
          <w:rFonts w:ascii="Cambria" w:hAnsi="Cambria"/>
          <w:sz w:val="20"/>
          <w:szCs w:val="20"/>
          <w:bdr w:val="none" w:sz="0" w:space="0" w:color="auto"/>
        </w:rPr>
      </w:pPr>
      <w:r w:rsidRPr="00B8721C">
        <w:rPr>
          <w:rFonts w:ascii="Cambria" w:hAnsi="Cambria"/>
          <w:sz w:val="20"/>
          <w:szCs w:val="20"/>
          <w:bdr w:val="none" w:sz="0" w:space="0" w:color="auto"/>
        </w:rPr>
        <w:t>States not only have an obligation to protect at-risk journalists, but must also ensure that the protection measures taken are effective and appropriate. In this regard, when measures are taken to protect a journalist from a credible threat of harm to his or her physical integrity, these measures should take into account the specific needs of the beneficiary’s profession, gender, and other individual circumstances.</w:t>
      </w:r>
      <w:r w:rsidR="004D0731" w:rsidRPr="00B8721C">
        <w:rPr>
          <w:rFonts w:ascii="Cambria" w:hAnsi="Cambria"/>
          <w:sz w:val="20"/>
          <w:szCs w:val="20"/>
          <w:bdr w:val="none" w:sz="0" w:space="0" w:color="auto"/>
          <w:vertAlign w:val="superscript"/>
        </w:rPr>
        <w:footnoteReference w:id="173"/>
      </w:r>
    </w:p>
    <w:p w:rsidR="009F71D8" w:rsidRPr="00B8721C" w:rsidRDefault="009F71D8" w:rsidP="005A03C0">
      <w:pPr>
        <w:pStyle w:val="ListParagraph"/>
        <w:rPr>
          <w:sz w:val="20"/>
          <w:szCs w:val="20"/>
          <w:bdr w:val="none" w:sz="0" w:space="0" w:color="auto"/>
        </w:rPr>
      </w:pPr>
    </w:p>
    <w:p w:rsidR="00CD1D0B" w:rsidRPr="00B8721C" w:rsidRDefault="002E2A6F" w:rsidP="00117834">
      <w:pPr>
        <w:pStyle w:val="Heading3"/>
        <w:numPr>
          <w:ilvl w:val="3"/>
          <w:numId w:val="54"/>
        </w:numPr>
        <w:ind w:left="1440" w:hanging="720"/>
        <w:rPr>
          <w:rFonts w:cs="Arial"/>
          <w:lang w:val="en-US"/>
        </w:rPr>
      </w:pPr>
      <w:bookmarkStart w:id="17" w:name="_Toc534731306"/>
      <w:bookmarkStart w:id="18" w:name="_Toc433650904"/>
      <w:bookmarkStart w:id="19" w:name="_Toc433651006"/>
      <w:bookmarkStart w:id="20" w:name="_Toc438128515"/>
      <w:bookmarkStart w:id="21" w:name="_Toc457838869"/>
      <w:bookmarkEnd w:id="15"/>
      <w:r w:rsidRPr="00B8721C">
        <w:rPr>
          <w:rFonts w:cs="Arial"/>
          <w:lang w:val="en-US"/>
        </w:rPr>
        <w:t>Specific considerations on the special duties to protect women journalists</w:t>
      </w:r>
      <w:bookmarkEnd w:id="17"/>
      <w:r w:rsidR="00067F45" w:rsidRPr="00B8721C">
        <w:rPr>
          <w:rFonts w:cs="Arial"/>
          <w:lang w:val="en-US"/>
        </w:rPr>
        <w:t xml:space="preserve"> </w:t>
      </w:r>
    </w:p>
    <w:p w:rsidR="00CD1D0B" w:rsidRPr="00B8721C" w:rsidRDefault="00CD1D0B" w:rsidP="005A03C0">
      <w:pPr>
        <w:rPr>
          <w:rFonts w:ascii="Cambria" w:hAnsi="Cambria"/>
          <w:sz w:val="20"/>
          <w:szCs w:val="20"/>
        </w:rPr>
      </w:pPr>
    </w:p>
    <w:p w:rsidR="005D476F" w:rsidRPr="00B8721C" w:rsidRDefault="00C05B61" w:rsidP="005D476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cs="Tahoma"/>
          <w:sz w:val="20"/>
          <w:szCs w:val="20"/>
        </w:rPr>
      </w:pPr>
      <w:r w:rsidRPr="00B8721C">
        <w:rPr>
          <w:rFonts w:ascii="Cambria" w:hAnsi="Cambria" w:cs="Tahoma"/>
          <w:sz w:val="20"/>
          <w:szCs w:val="20"/>
        </w:rPr>
        <w:t>In recent years, the IACHR, through its Office of the Special Rapporteur for Freedom of Expression, and together with the international community, has made efforts to draw attention to the forms of gender-based violence against women that female journalists face in the practice of their profession, as well as the disproportionate impact of certain forms of discrimination against women in their work.</w:t>
      </w:r>
      <w:r w:rsidR="00140682" w:rsidRPr="00B8721C">
        <w:rPr>
          <w:rStyle w:val="FootnoteReference"/>
          <w:rFonts w:ascii="Cambria" w:hAnsi="Cambria"/>
          <w:sz w:val="20"/>
          <w:szCs w:val="20"/>
        </w:rPr>
        <w:footnoteReference w:id="174"/>
      </w:r>
      <w:r w:rsidR="00140682" w:rsidRPr="00B8721C">
        <w:rPr>
          <w:rFonts w:ascii="Cambria" w:hAnsi="Cambria" w:cs="Tahoma"/>
          <w:sz w:val="20"/>
          <w:szCs w:val="20"/>
        </w:rPr>
        <w:t xml:space="preserve"> </w:t>
      </w:r>
    </w:p>
    <w:p w:rsidR="005D476F" w:rsidRPr="00B8721C" w:rsidRDefault="00C05B61" w:rsidP="005D476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cs="Tahoma"/>
          <w:sz w:val="20"/>
          <w:szCs w:val="20"/>
        </w:rPr>
      </w:pPr>
      <w:r w:rsidRPr="00B8721C">
        <w:rPr>
          <w:rFonts w:ascii="Cambria" w:hAnsi="Cambria" w:cs="Cambria"/>
          <w:sz w:val="20"/>
          <w:szCs w:val="20"/>
          <w:shd w:val="clear" w:color="auto" w:fill="FFFFFF"/>
        </w:rPr>
        <w:t>In addition to being subject to the wide range of human rights violations affecting journalists in general</w:t>
      </w:r>
      <w:r w:rsidR="00140682" w:rsidRPr="00B8721C">
        <w:rPr>
          <w:rFonts w:ascii="Cambria" w:hAnsi="Cambria" w:cs="Cambria"/>
          <w:sz w:val="20"/>
          <w:szCs w:val="20"/>
        </w:rPr>
        <w:t>, “</w:t>
      </w:r>
      <w:r w:rsidR="005D476F" w:rsidRPr="00B8721C">
        <w:rPr>
          <w:rFonts w:ascii="Cambria" w:hAnsi="Cambria" w:cs="Cambria"/>
          <w:sz w:val="20"/>
          <w:szCs w:val="20"/>
        </w:rPr>
        <w:t>Women journalists […] disproportionately and routinely face gender-based violence in the workplace and in the field</w:t>
      </w:r>
      <w:r w:rsidRPr="00B8721C">
        <w:rPr>
          <w:rFonts w:ascii="Cambria" w:hAnsi="Cambria" w:cs="Cambria"/>
          <w:sz w:val="20"/>
          <w:szCs w:val="20"/>
        </w:rPr>
        <w:t>.</w:t>
      </w:r>
      <w:r w:rsidR="00140682" w:rsidRPr="00B8721C">
        <w:rPr>
          <w:rFonts w:ascii="Cambria" w:hAnsi="Cambria" w:cs="Cambria"/>
          <w:sz w:val="20"/>
          <w:szCs w:val="20"/>
        </w:rPr>
        <w:t>”</w:t>
      </w:r>
      <w:r w:rsidR="00140682" w:rsidRPr="00B8721C">
        <w:rPr>
          <w:rStyle w:val="FootnoteReference"/>
          <w:rFonts w:ascii="Cambria" w:hAnsi="Cambria" w:cs="Cambria"/>
          <w:sz w:val="20"/>
          <w:szCs w:val="20"/>
        </w:rPr>
        <w:footnoteReference w:id="175"/>
      </w:r>
      <w:r w:rsidR="00140682" w:rsidRPr="00B8721C">
        <w:rPr>
          <w:rFonts w:ascii="Cambria" w:hAnsi="Cambria" w:cs="Cambria"/>
          <w:sz w:val="20"/>
          <w:szCs w:val="20"/>
        </w:rPr>
        <w:t xml:space="preserve"> </w:t>
      </w:r>
      <w:r w:rsidR="005D476F" w:rsidRPr="00B8721C">
        <w:rPr>
          <w:rFonts w:ascii="Cambria" w:hAnsi="Cambria" w:cs="Cambria"/>
          <w:sz w:val="20"/>
          <w:szCs w:val="20"/>
        </w:rPr>
        <w:t>Indeed, women journalists are doubly attacked for exercising freedom of expression and for their gender. In challenging male chauvinist stereotypes that disapprove of their participation in public life, women encounter gender-based violence and discrimination, as well as differentiated forms of violence by state and non-state actors</w:t>
      </w:r>
      <w:r w:rsidRPr="00B8721C">
        <w:rPr>
          <w:rFonts w:ascii="Cambria" w:hAnsi="Cambria"/>
          <w:sz w:val="20"/>
          <w:szCs w:val="20"/>
        </w:rPr>
        <w:t>.</w:t>
      </w:r>
      <w:r w:rsidR="00140682" w:rsidRPr="00B8721C">
        <w:rPr>
          <w:rStyle w:val="FootnoteReference"/>
          <w:rFonts w:ascii="Cambria" w:hAnsi="Cambria"/>
          <w:sz w:val="20"/>
          <w:szCs w:val="20"/>
        </w:rPr>
        <w:footnoteReference w:id="176"/>
      </w:r>
      <w:r w:rsidR="00140682" w:rsidRPr="00B8721C">
        <w:rPr>
          <w:rFonts w:ascii="Cambria" w:hAnsi="Cambria"/>
          <w:b/>
          <w:sz w:val="20"/>
          <w:szCs w:val="20"/>
        </w:rPr>
        <w:t xml:space="preserve"> </w:t>
      </w:r>
      <w:r w:rsidR="005D476F" w:rsidRPr="00B8721C">
        <w:rPr>
          <w:rFonts w:ascii="Cambria" w:hAnsi="Cambria"/>
          <w:sz w:val="20"/>
          <w:szCs w:val="20"/>
        </w:rPr>
        <w:t>At the same time, they face a lack of protection and obstacles to access to justice that are also differentiated from the experiences of their male colleagues</w:t>
      </w:r>
      <w:r w:rsidR="00140682" w:rsidRPr="00B8721C">
        <w:rPr>
          <w:rFonts w:ascii="Cambria" w:hAnsi="Cambria"/>
          <w:sz w:val="20"/>
          <w:szCs w:val="20"/>
        </w:rPr>
        <w:t xml:space="preserve">. </w:t>
      </w:r>
    </w:p>
    <w:p w:rsidR="005D476F" w:rsidRPr="00B8721C" w:rsidRDefault="005D476F" w:rsidP="005D476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ahoma"/>
          <w:sz w:val="20"/>
          <w:szCs w:val="20"/>
        </w:rPr>
      </w:pPr>
    </w:p>
    <w:p w:rsidR="00526709" w:rsidRPr="00B8721C" w:rsidRDefault="005D476F" w:rsidP="0052670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cs="Tahoma"/>
          <w:sz w:val="20"/>
          <w:szCs w:val="20"/>
        </w:rPr>
      </w:pPr>
      <w:r w:rsidRPr="00B8721C">
        <w:rPr>
          <w:rFonts w:ascii="Cambria" w:hAnsi="Cambria" w:cs="Calibri Light"/>
          <w:sz w:val="20"/>
          <w:szCs w:val="20"/>
        </w:rPr>
        <w:t>The gender-based discrimination and violence faced by women journalists constitute attacks on freedom of expression. Sexist abuse, inequality in the workplace, sexual harassment, and online violence against women journalists in the course of their work also pose risks to freedom of expression that must be condemned and properly addressed.</w:t>
      </w:r>
    </w:p>
    <w:p w:rsidR="00526709" w:rsidRPr="00B8721C" w:rsidRDefault="00526709" w:rsidP="0052670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ahoma"/>
          <w:sz w:val="20"/>
          <w:szCs w:val="20"/>
        </w:rPr>
      </w:pPr>
    </w:p>
    <w:p w:rsidR="000A0C03" w:rsidRPr="00B8721C" w:rsidRDefault="005D476F" w:rsidP="000A0C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cs="Tahoma"/>
          <w:sz w:val="20"/>
          <w:szCs w:val="20"/>
        </w:rPr>
      </w:pPr>
      <w:r w:rsidRPr="00B8721C">
        <w:rPr>
          <w:rFonts w:ascii="Cambria" w:hAnsi="Cambria"/>
          <w:sz w:val="20"/>
          <w:szCs w:val="20"/>
        </w:rPr>
        <w:t xml:space="preserve">In this regard, the OAS General Assembly, in its </w:t>
      </w:r>
      <w:r w:rsidRPr="00B8721C">
        <w:rPr>
          <w:rFonts w:ascii="Cambria" w:hAnsi="Cambria"/>
          <w:i/>
          <w:sz w:val="20"/>
          <w:szCs w:val="20"/>
        </w:rPr>
        <w:t xml:space="preserve">resolution on the </w:t>
      </w:r>
      <w:bookmarkStart w:id="22" w:name="_Toc231844586"/>
      <w:bookmarkStart w:id="23" w:name="_Toc231851918"/>
      <w:r w:rsidR="00526709" w:rsidRPr="00B8721C">
        <w:rPr>
          <w:rFonts w:ascii="Cambria" w:hAnsi="Cambria"/>
          <w:i/>
          <w:sz w:val="20"/>
          <w:szCs w:val="20"/>
        </w:rPr>
        <w:t xml:space="preserve">Right to freedom of thought and expression </w:t>
      </w:r>
      <w:bookmarkStart w:id="24" w:name="_Toc231844587"/>
      <w:bookmarkStart w:id="25" w:name="_Toc231851919"/>
      <w:bookmarkEnd w:id="22"/>
      <w:bookmarkEnd w:id="23"/>
      <w:r w:rsidR="00526709" w:rsidRPr="00B8721C">
        <w:rPr>
          <w:rFonts w:ascii="Cambria" w:hAnsi="Cambria"/>
          <w:i/>
          <w:sz w:val="20"/>
          <w:szCs w:val="20"/>
        </w:rPr>
        <w:t xml:space="preserve">and </w:t>
      </w:r>
      <w:bookmarkEnd w:id="24"/>
      <w:bookmarkEnd w:id="25"/>
      <w:r w:rsidR="00526709" w:rsidRPr="00B8721C">
        <w:rPr>
          <w:rFonts w:ascii="Cambria" w:hAnsi="Cambria"/>
          <w:i/>
          <w:sz w:val="20"/>
          <w:szCs w:val="20"/>
        </w:rPr>
        <w:t xml:space="preserve">the safety of journalists and media workers </w:t>
      </w:r>
      <w:r w:rsidR="00140682" w:rsidRPr="00B8721C">
        <w:rPr>
          <w:rFonts w:ascii="Cambria" w:eastAsia="Times New Roman" w:hAnsi="Cambria"/>
          <w:sz w:val="20"/>
          <w:szCs w:val="20"/>
          <w:lang w:eastAsia="es-ES"/>
        </w:rPr>
        <w:t>adopt</w:t>
      </w:r>
      <w:r w:rsidRPr="00B8721C">
        <w:rPr>
          <w:rFonts w:ascii="Cambria" w:eastAsia="Times New Roman" w:hAnsi="Cambria"/>
          <w:sz w:val="20"/>
          <w:szCs w:val="20"/>
          <w:lang w:eastAsia="es-ES"/>
        </w:rPr>
        <w:t xml:space="preserve">ed in </w:t>
      </w:r>
      <w:r w:rsidR="00140682" w:rsidRPr="00B8721C">
        <w:rPr>
          <w:rFonts w:ascii="Cambria" w:eastAsia="Times New Roman" w:hAnsi="Cambria"/>
          <w:sz w:val="20"/>
          <w:szCs w:val="20"/>
          <w:lang w:eastAsia="es-ES"/>
        </w:rPr>
        <w:t>2017</w:t>
      </w:r>
      <w:r w:rsidRPr="00B8721C">
        <w:rPr>
          <w:rFonts w:ascii="Cambria" w:eastAsia="Times New Roman" w:hAnsi="Cambria"/>
          <w:sz w:val="20"/>
          <w:szCs w:val="20"/>
          <w:lang w:eastAsia="es-ES"/>
        </w:rPr>
        <w:t>,</w:t>
      </w:r>
      <w:r w:rsidR="00140682" w:rsidRPr="00B8721C">
        <w:rPr>
          <w:rStyle w:val="FootnoteReference"/>
          <w:rFonts w:ascii="Cambria" w:hAnsi="Cambria"/>
          <w:sz w:val="20"/>
          <w:szCs w:val="20"/>
          <w:lang w:eastAsia="es-ES"/>
        </w:rPr>
        <w:footnoteReference w:id="177"/>
      </w:r>
      <w:r w:rsidR="00140682" w:rsidRPr="00B8721C">
        <w:rPr>
          <w:rFonts w:ascii="Cambria" w:eastAsia="Times New Roman" w:hAnsi="Cambria"/>
          <w:sz w:val="20"/>
          <w:szCs w:val="20"/>
          <w:lang w:eastAsia="es-ES"/>
        </w:rPr>
        <w:t xml:space="preserve"> </w:t>
      </w:r>
      <w:r w:rsidR="00526709" w:rsidRPr="00B8721C">
        <w:rPr>
          <w:rFonts w:ascii="Cambria" w:eastAsia="Times New Roman" w:hAnsi="Cambria"/>
          <w:sz w:val="20"/>
          <w:szCs w:val="20"/>
          <w:lang w:eastAsia="es-ES"/>
        </w:rPr>
        <w:t>recognized that,</w:t>
      </w:r>
      <w:r w:rsidR="00140682" w:rsidRPr="00B8721C">
        <w:rPr>
          <w:rFonts w:ascii="Cambria" w:hAnsi="Cambria"/>
          <w:sz w:val="20"/>
          <w:szCs w:val="20"/>
        </w:rPr>
        <w:t xml:space="preserve"> “</w:t>
      </w:r>
      <w:r w:rsidR="00526709" w:rsidRPr="00B8721C">
        <w:rPr>
          <w:rFonts w:ascii="Cambria" w:hAnsi="Cambria"/>
          <w:sz w:val="20"/>
          <w:szCs w:val="20"/>
        </w:rPr>
        <w:t xml:space="preserve">the work </w:t>
      </w:r>
      <w:r w:rsidR="00526709" w:rsidRPr="00B8721C">
        <w:rPr>
          <w:rFonts w:ascii="Cambria" w:hAnsi="Cambria"/>
          <w:sz w:val="20"/>
          <w:szCs w:val="20"/>
        </w:rPr>
        <w:lastRenderedPageBreak/>
        <w:t>done by journalists, especially those who investigate and report on human rights violations, organized crime, corruption, and other serious wrongdoings, exposes them to being victims of aggressions and other acts of violence detrimental to their integrity and whose existence dissuade them to pursue their work and in consequence deprive society of information of public interest</w:t>
      </w:r>
      <w:r w:rsidR="00140682" w:rsidRPr="00B8721C">
        <w:rPr>
          <w:rFonts w:ascii="Cambria" w:hAnsi="Cambria"/>
          <w:sz w:val="20"/>
          <w:szCs w:val="20"/>
        </w:rPr>
        <w:t xml:space="preserve">” </w:t>
      </w:r>
      <w:r w:rsidR="00526709" w:rsidRPr="00B8721C">
        <w:rPr>
          <w:rFonts w:ascii="Cambria" w:hAnsi="Cambria"/>
          <w:sz w:val="20"/>
          <w:szCs w:val="20"/>
        </w:rPr>
        <w:t>and expressed concern</w:t>
      </w:r>
      <w:r w:rsidR="00140682" w:rsidRPr="00B8721C">
        <w:rPr>
          <w:rFonts w:ascii="Cambria" w:hAnsi="Cambria"/>
          <w:iCs/>
          <w:sz w:val="20"/>
          <w:szCs w:val="20"/>
          <w:shd w:val="clear" w:color="auto" w:fill="FFFFFF"/>
        </w:rPr>
        <w:t xml:space="preserve"> “</w:t>
      </w:r>
      <w:r w:rsidR="00526709" w:rsidRPr="00B8721C">
        <w:rPr>
          <w:rFonts w:ascii="Cambria" w:hAnsi="Cambria"/>
          <w:iCs/>
          <w:sz w:val="20"/>
          <w:szCs w:val="20"/>
          <w:shd w:val="clear" w:color="auto" w:fill="FFFFFF"/>
        </w:rPr>
        <w:t>at the particular risks faced by women who practice journalism, who, in addition, are victims of discrimination, harassment and sexual violence, including online</w:t>
      </w:r>
      <w:r w:rsidR="00526709" w:rsidRPr="00B8721C">
        <w:rPr>
          <w:rFonts w:ascii="Cambria" w:hAnsi="Cambria"/>
          <w:sz w:val="20"/>
          <w:szCs w:val="20"/>
        </w:rPr>
        <w:t>.”</w:t>
      </w:r>
    </w:p>
    <w:p w:rsidR="000A0C03" w:rsidRPr="00B8721C" w:rsidRDefault="000A0C03" w:rsidP="000A0C0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ahoma"/>
          <w:sz w:val="20"/>
          <w:szCs w:val="20"/>
        </w:rPr>
      </w:pPr>
    </w:p>
    <w:p w:rsidR="00915CC7" w:rsidRPr="00B8721C" w:rsidRDefault="000A0C03" w:rsidP="00915CC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cs="Tahoma"/>
          <w:sz w:val="20"/>
          <w:szCs w:val="20"/>
        </w:rPr>
      </w:pPr>
      <w:r w:rsidRPr="00B8721C">
        <w:rPr>
          <w:rFonts w:ascii="Cambria" w:hAnsi="Cambria"/>
          <w:sz w:val="20"/>
          <w:szCs w:val="20"/>
        </w:rPr>
        <w:t xml:space="preserve">In a similar vein, in its resolution on </w:t>
      </w:r>
      <w:r w:rsidRPr="00B8721C">
        <w:rPr>
          <w:rFonts w:ascii="Cambria" w:hAnsi="Cambria"/>
          <w:i/>
          <w:sz w:val="20"/>
          <w:szCs w:val="20"/>
        </w:rPr>
        <w:t xml:space="preserve">The safety of journalists and the issue of impunity </w:t>
      </w:r>
      <w:r w:rsidRPr="00B8721C">
        <w:rPr>
          <w:rFonts w:ascii="Cambria" w:hAnsi="Cambria"/>
          <w:sz w:val="20"/>
          <w:szCs w:val="20"/>
        </w:rPr>
        <w:t>adopted in</w:t>
      </w:r>
      <w:r w:rsidR="00140682" w:rsidRPr="00B8721C">
        <w:rPr>
          <w:rFonts w:ascii="Cambria" w:hAnsi="Cambria"/>
          <w:sz w:val="20"/>
          <w:szCs w:val="20"/>
        </w:rPr>
        <w:t xml:space="preserve"> 2017</w:t>
      </w:r>
      <w:r w:rsidRPr="00B8721C">
        <w:rPr>
          <w:rFonts w:ascii="Cambria" w:hAnsi="Cambria"/>
          <w:sz w:val="20"/>
          <w:szCs w:val="20"/>
        </w:rPr>
        <w:t>,</w:t>
      </w:r>
      <w:r w:rsidR="00140682" w:rsidRPr="00B8721C">
        <w:rPr>
          <w:rStyle w:val="FootnoteReference"/>
          <w:rFonts w:ascii="Cambria" w:hAnsi="Cambria"/>
          <w:sz w:val="20"/>
          <w:szCs w:val="20"/>
        </w:rPr>
        <w:footnoteReference w:id="178"/>
      </w:r>
      <w:r w:rsidR="00140682" w:rsidRPr="00B8721C">
        <w:rPr>
          <w:rFonts w:ascii="Cambria" w:hAnsi="Cambria"/>
          <w:sz w:val="20"/>
          <w:szCs w:val="20"/>
        </w:rPr>
        <w:t xml:space="preserve"> </w:t>
      </w:r>
      <w:r w:rsidRPr="00B8721C">
        <w:rPr>
          <w:rFonts w:ascii="Cambria" w:hAnsi="Cambria"/>
          <w:sz w:val="20"/>
          <w:szCs w:val="20"/>
        </w:rPr>
        <w:t xml:space="preserve">the United Nations General Assembly </w:t>
      </w:r>
      <w:r w:rsidR="00140682" w:rsidRPr="00B8721C">
        <w:rPr>
          <w:rFonts w:ascii="Cambria" w:hAnsi="Cambria"/>
          <w:sz w:val="20"/>
          <w:szCs w:val="20"/>
        </w:rPr>
        <w:t>“</w:t>
      </w:r>
      <w:r w:rsidRPr="00B8721C">
        <w:rPr>
          <w:rFonts w:ascii="Cambria" w:hAnsi="Cambria"/>
          <w:sz w:val="20"/>
          <w:szCs w:val="20"/>
        </w:rPr>
        <w:t>[acknowledged]</w:t>
      </w:r>
      <w:r w:rsidR="00140682" w:rsidRPr="00B8721C">
        <w:rPr>
          <w:rFonts w:ascii="Cambria" w:hAnsi="Cambria"/>
          <w:sz w:val="20"/>
          <w:szCs w:val="20"/>
        </w:rPr>
        <w:t xml:space="preserve"> </w:t>
      </w:r>
      <w:r w:rsidRPr="00B8721C">
        <w:rPr>
          <w:rFonts w:ascii="Cambria" w:hAnsi="Cambria"/>
          <w:sz w:val="20"/>
          <w:szCs w:val="20"/>
        </w:rPr>
        <w:t>the specific risks faced by women journalists in the exercise of their work, and underlining in this context the importance of taking a gender-sensitive approach when considering measures to address the safety of journalists, including in the online sphere, in particular to effectively tackle gender-based discrimination, including violence, inequality and gender-based stereotypes, and to enable women to enter and remain in journalism on equal terms with men while ensuring their greatest possible safety, to ensure that the experiences and concerns of women journalists are effectively addressed and gender stereotypes in the media are adequately tackled.”</w:t>
      </w:r>
    </w:p>
    <w:p w:rsidR="00915CC7" w:rsidRPr="00B8721C" w:rsidRDefault="00915CC7" w:rsidP="00915CC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ahoma"/>
          <w:sz w:val="20"/>
          <w:szCs w:val="20"/>
        </w:rPr>
      </w:pPr>
    </w:p>
    <w:p w:rsidR="00710A24" w:rsidRPr="00B8721C" w:rsidRDefault="00915CC7" w:rsidP="00710A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cs="Tahoma"/>
          <w:sz w:val="20"/>
          <w:szCs w:val="20"/>
        </w:rPr>
      </w:pPr>
      <w:r w:rsidRPr="00B8721C">
        <w:rPr>
          <w:rFonts w:ascii="Cambria" w:hAnsi="Cambria" w:cs="Calibri Light"/>
          <w:sz w:val="20"/>
          <w:szCs w:val="20"/>
        </w:rPr>
        <w:t xml:space="preserve">In the specific case of gender-based violence against women that affects female journalists, the Office of the Special Rapporteur of the IACHR has stated that the general obligations of prevention, protection, and the pursuit of justice arising from the obligation to ensure the safety of all journalists in general </w:t>
      </w:r>
      <w:r w:rsidR="009B2ACF" w:rsidRPr="00B8721C">
        <w:rPr>
          <w:rFonts w:ascii="Cambria" w:hAnsi="Cambria" w:cs="Calibri Light"/>
          <w:sz w:val="20"/>
          <w:szCs w:val="20"/>
        </w:rPr>
        <w:t>“</w:t>
      </w:r>
      <w:r w:rsidRPr="00B8721C">
        <w:rPr>
          <w:rFonts w:ascii="Cambria" w:hAnsi="Cambria" w:cs="Calibri Light"/>
          <w:sz w:val="20"/>
          <w:szCs w:val="20"/>
        </w:rPr>
        <w:t>are complemented and enhanced</w:t>
      </w:r>
      <w:r w:rsidR="009B2ACF" w:rsidRPr="00B8721C">
        <w:rPr>
          <w:rFonts w:ascii="Cambria" w:hAnsi="Cambria" w:cs="Calibri Light"/>
          <w:sz w:val="20"/>
          <w:szCs w:val="20"/>
        </w:rPr>
        <w:t xml:space="preserve">” </w:t>
      </w:r>
      <w:r w:rsidRPr="00B8721C">
        <w:rPr>
          <w:rFonts w:ascii="Cambria" w:hAnsi="Cambria" w:cs="Calibri Light"/>
          <w:sz w:val="20"/>
          <w:szCs w:val="20"/>
        </w:rPr>
        <w:t>by the</w:t>
      </w:r>
      <w:r w:rsidR="009B2ACF" w:rsidRPr="00B8721C">
        <w:rPr>
          <w:rFonts w:ascii="Cambria" w:hAnsi="Cambria" w:cs="Calibri Light"/>
          <w:sz w:val="20"/>
          <w:szCs w:val="20"/>
        </w:rPr>
        <w:t xml:space="preserve"> </w:t>
      </w:r>
      <w:r w:rsidRPr="00B8721C">
        <w:rPr>
          <w:rFonts w:ascii="Cambria" w:hAnsi="Cambria" w:cs="Calibri Light"/>
          <w:sz w:val="20"/>
          <w:szCs w:val="20"/>
        </w:rPr>
        <w:t>obligations derived from the Convention of</w:t>
      </w:r>
      <w:r w:rsidR="009B2ACF" w:rsidRPr="00B8721C">
        <w:rPr>
          <w:rFonts w:ascii="Cambria" w:hAnsi="Cambria" w:cs="Calibri Light"/>
          <w:sz w:val="20"/>
          <w:szCs w:val="20"/>
        </w:rPr>
        <w:t xml:space="preserve"> </w:t>
      </w:r>
      <w:r w:rsidR="00E277A7" w:rsidRPr="00B8721C">
        <w:rPr>
          <w:rFonts w:ascii="Cambria" w:hAnsi="Cambria" w:cs="Calibri Light"/>
          <w:sz w:val="20"/>
          <w:szCs w:val="20"/>
        </w:rPr>
        <w:t>Belém do Pará</w:t>
      </w:r>
      <w:r w:rsidR="009B2ACF" w:rsidRPr="00B8721C">
        <w:rPr>
          <w:rFonts w:ascii="Cambria" w:hAnsi="Cambria" w:cs="Calibri Light"/>
          <w:sz w:val="20"/>
          <w:szCs w:val="20"/>
        </w:rPr>
        <w:t>.</w:t>
      </w:r>
      <w:r w:rsidR="009B2ACF" w:rsidRPr="00B8721C">
        <w:rPr>
          <w:rStyle w:val="FootnoteReference"/>
          <w:rFonts w:ascii="Cambria" w:hAnsi="Cambria" w:cs="Calibri Light"/>
          <w:sz w:val="20"/>
          <w:szCs w:val="20"/>
        </w:rPr>
        <w:footnoteReference w:id="179"/>
      </w:r>
      <w:r w:rsidR="009B2ACF" w:rsidRPr="00B8721C">
        <w:rPr>
          <w:rFonts w:ascii="Cambria" w:hAnsi="Cambria" w:cs="Calibri Light"/>
          <w:sz w:val="20"/>
          <w:szCs w:val="20"/>
        </w:rPr>
        <w:t xml:space="preserve"> </w:t>
      </w:r>
      <w:r w:rsidRPr="00B8721C">
        <w:rPr>
          <w:rFonts w:ascii="Cambria" w:hAnsi="Cambria" w:cs="Calibri Light"/>
          <w:sz w:val="20"/>
          <w:szCs w:val="20"/>
        </w:rPr>
        <w:t>Under Article 7(</w:t>
      </w:r>
      <w:r w:rsidR="009B2ACF" w:rsidRPr="00B8721C">
        <w:rPr>
          <w:rFonts w:ascii="Cambria" w:hAnsi="Cambria" w:cs="Calibri Light"/>
          <w:sz w:val="20"/>
          <w:szCs w:val="20"/>
        </w:rPr>
        <w:t xml:space="preserve">a) </w:t>
      </w:r>
      <w:r w:rsidRPr="00B8721C">
        <w:rPr>
          <w:rFonts w:ascii="Cambria" w:hAnsi="Cambria" w:cs="Calibri Light"/>
          <w:sz w:val="20"/>
          <w:szCs w:val="20"/>
        </w:rPr>
        <w:t>of that Convention</w:t>
      </w:r>
      <w:r w:rsidR="009B2ACF" w:rsidRPr="00B8721C">
        <w:rPr>
          <w:rFonts w:ascii="Cambria" w:hAnsi="Cambria" w:cs="Calibri Light"/>
          <w:sz w:val="20"/>
          <w:szCs w:val="20"/>
        </w:rPr>
        <w:t xml:space="preserve">, </w:t>
      </w:r>
      <w:r w:rsidRPr="00B8721C">
        <w:rPr>
          <w:rFonts w:ascii="Cambria" w:hAnsi="Cambria" w:cs="Calibri Light"/>
          <w:sz w:val="20"/>
          <w:szCs w:val="20"/>
        </w:rPr>
        <w:t>the States must</w:t>
      </w:r>
      <w:r w:rsidR="009B2ACF" w:rsidRPr="00B8721C">
        <w:rPr>
          <w:rFonts w:ascii="Cambria" w:hAnsi="Cambria" w:cs="Calibri Light"/>
          <w:sz w:val="20"/>
          <w:szCs w:val="20"/>
        </w:rPr>
        <w:t xml:space="preserve"> “</w:t>
      </w:r>
      <w:r w:rsidRPr="00B8721C">
        <w:rPr>
          <w:rFonts w:ascii="Cambria" w:hAnsi="Cambria" w:cs="Calibri Light"/>
          <w:bCs/>
          <w:sz w:val="20"/>
          <w:szCs w:val="20"/>
        </w:rPr>
        <w:t>refrain from engaging in any act or practice of violence against women and to ensure that their authorities, officials, personnel, agents, and institutions act in conformity with this obligation.</w:t>
      </w:r>
      <w:r w:rsidRPr="00B8721C">
        <w:rPr>
          <w:rFonts w:ascii="Cambria" w:hAnsi="Cambria" w:cs="Calibri Light"/>
          <w:sz w:val="20"/>
          <w:szCs w:val="20"/>
        </w:rPr>
        <w:t>”</w:t>
      </w:r>
      <w:r w:rsidR="009B2ACF" w:rsidRPr="00B8721C">
        <w:rPr>
          <w:rFonts w:ascii="Cambria" w:hAnsi="Cambria" w:cs="Calibri Light"/>
          <w:sz w:val="20"/>
          <w:szCs w:val="20"/>
        </w:rPr>
        <w:t xml:space="preserve"> </w:t>
      </w:r>
      <w:r w:rsidRPr="00B8721C">
        <w:rPr>
          <w:rFonts w:ascii="Cambria" w:hAnsi="Cambria" w:cs="Calibri Light"/>
          <w:sz w:val="20"/>
          <w:szCs w:val="20"/>
        </w:rPr>
        <w:t>Clause (b) of the same article</w:t>
      </w:r>
      <w:r w:rsidR="009B2ACF" w:rsidRPr="00B8721C">
        <w:rPr>
          <w:rFonts w:ascii="Cambria" w:hAnsi="Cambria" w:cs="Calibri Light"/>
          <w:sz w:val="20"/>
          <w:szCs w:val="20"/>
        </w:rPr>
        <w:t xml:space="preserve"> </w:t>
      </w:r>
      <w:r w:rsidRPr="00B8721C">
        <w:rPr>
          <w:rFonts w:ascii="Cambria" w:hAnsi="Cambria" w:cs="Calibri Light"/>
          <w:sz w:val="20"/>
          <w:szCs w:val="20"/>
        </w:rPr>
        <w:t>requires the States to</w:t>
      </w:r>
      <w:r w:rsidR="009B2ACF" w:rsidRPr="00B8721C">
        <w:rPr>
          <w:rFonts w:ascii="Cambria" w:hAnsi="Cambria" w:cs="Calibri Light"/>
          <w:sz w:val="20"/>
          <w:szCs w:val="20"/>
        </w:rPr>
        <w:t xml:space="preserve"> </w:t>
      </w:r>
      <w:r w:rsidRPr="00B8721C">
        <w:rPr>
          <w:rFonts w:ascii="Cambria" w:hAnsi="Cambria" w:cs="Calibri Light"/>
          <w:bCs/>
          <w:sz w:val="20"/>
          <w:szCs w:val="20"/>
        </w:rPr>
        <w:t>apply due diligence to prevent, investigate and impose penalties for violence against women</w:t>
      </w:r>
      <w:r w:rsidR="009B2ACF" w:rsidRPr="00B8721C">
        <w:rPr>
          <w:rFonts w:ascii="Cambria" w:hAnsi="Cambria" w:cs="Calibri Light"/>
          <w:sz w:val="20"/>
          <w:szCs w:val="20"/>
        </w:rPr>
        <w:t>.</w:t>
      </w:r>
    </w:p>
    <w:p w:rsidR="00710A24" w:rsidRPr="00B8721C" w:rsidRDefault="00710A24" w:rsidP="00710A2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ahoma"/>
          <w:sz w:val="20"/>
          <w:szCs w:val="20"/>
        </w:rPr>
      </w:pPr>
    </w:p>
    <w:p w:rsidR="009B2ACF" w:rsidRPr="00B8721C" w:rsidRDefault="00710A24" w:rsidP="00710A2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cs="Tahoma"/>
          <w:sz w:val="20"/>
          <w:szCs w:val="20"/>
        </w:rPr>
      </w:pPr>
      <w:r w:rsidRPr="00B8721C">
        <w:rPr>
          <w:rFonts w:ascii="Cambria" w:hAnsi="Cambria" w:cs="Calibri Light"/>
          <w:sz w:val="20"/>
          <w:szCs w:val="20"/>
        </w:rPr>
        <w:t>The Office of the Special Rapporteur</w:t>
      </w:r>
      <w:r w:rsidR="009B2ACF" w:rsidRPr="00B8721C">
        <w:rPr>
          <w:rFonts w:ascii="Cambria" w:hAnsi="Cambria" w:cs="Calibri Light"/>
          <w:sz w:val="20"/>
          <w:szCs w:val="20"/>
        </w:rPr>
        <w:t xml:space="preserve"> </w:t>
      </w:r>
      <w:r w:rsidRPr="00B8721C">
        <w:rPr>
          <w:rFonts w:ascii="Cambria" w:hAnsi="Cambria" w:cs="Calibri Light"/>
          <w:sz w:val="20"/>
          <w:szCs w:val="20"/>
        </w:rPr>
        <w:t>has underscored that fulfilling all these obligations involves incorporating a gender perspective to ensure that women journalists are adequately protected and can exercise their right to freedom of expression without undue restrictions</w:t>
      </w:r>
      <w:r w:rsidR="009B2ACF" w:rsidRPr="00B8721C">
        <w:rPr>
          <w:rFonts w:ascii="Cambria" w:hAnsi="Cambria" w:cs="Calibri Light"/>
          <w:sz w:val="20"/>
          <w:szCs w:val="20"/>
        </w:rPr>
        <w:t xml:space="preserve">. </w:t>
      </w:r>
      <w:r w:rsidRPr="00B8721C">
        <w:rPr>
          <w:rFonts w:ascii="Cambria" w:hAnsi="Cambria" w:cs="Calibri Light"/>
          <w:sz w:val="20"/>
          <w:szCs w:val="20"/>
        </w:rPr>
        <w:t>Similarly</w:t>
      </w:r>
      <w:r w:rsidR="009B2ACF" w:rsidRPr="00B8721C">
        <w:rPr>
          <w:rFonts w:ascii="Cambria" w:hAnsi="Cambria" w:cs="Calibri Light"/>
          <w:sz w:val="20"/>
          <w:szCs w:val="20"/>
        </w:rPr>
        <w:t xml:space="preserve">, </w:t>
      </w:r>
      <w:r w:rsidRPr="00B8721C">
        <w:rPr>
          <w:rFonts w:ascii="Cambria" w:hAnsi="Cambria" w:cs="Calibri Light"/>
          <w:sz w:val="20"/>
          <w:szCs w:val="20"/>
        </w:rPr>
        <w:t xml:space="preserve">the United Nations Plan of Action on the Safety of Journalists and the Issue of Impunity reaffirms the importance of giving to these policies and strategies </w:t>
      </w:r>
      <w:r w:rsidR="009B2ACF" w:rsidRPr="00B8721C">
        <w:rPr>
          <w:rFonts w:ascii="Cambria" w:hAnsi="Cambria" w:cs="Calibri Light"/>
          <w:sz w:val="20"/>
          <w:szCs w:val="20"/>
        </w:rPr>
        <w:t>“</w:t>
      </w:r>
      <w:r w:rsidRPr="00B8721C">
        <w:rPr>
          <w:rFonts w:ascii="Cambria" w:hAnsi="Cambria"/>
          <w:sz w:val="20"/>
          <w:szCs w:val="20"/>
        </w:rPr>
        <w:t>a gender-sensitive approach.</w:t>
      </w:r>
      <w:r w:rsidR="009B2ACF" w:rsidRPr="00B8721C">
        <w:rPr>
          <w:rFonts w:ascii="Cambria" w:hAnsi="Cambria"/>
          <w:sz w:val="20"/>
          <w:szCs w:val="20"/>
        </w:rPr>
        <w:t>”</w:t>
      </w:r>
      <w:r w:rsidR="009B2ACF" w:rsidRPr="00B8721C">
        <w:rPr>
          <w:rStyle w:val="FootnoteReference"/>
          <w:rFonts w:ascii="Cambria" w:hAnsi="Cambria"/>
          <w:sz w:val="20"/>
          <w:szCs w:val="20"/>
        </w:rPr>
        <w:footnoteReference w:id="180"/>
      </w:r>
      <w:r w:rsidR="000C0286" w:rsidRPr="00B8721C">
        <w:rPr>
          <w:rFonts w:ascii="Cambria" w:hAnsi="Cambria"/>
          <w:sz w:val="20"/>
          <w:szCs w:val="20"/>
        </w:rPr>
        <w:t xml:space="preserve"> </w:t>
      </w:r>
      <w:r w:rsidRPr="00B8721C">
        <w:rPr>
          <w:rFonts w:ascii="Cambria" w:hAnsi="Cambria"/>
          <w:sz w:val="20"/>
          <w:szCs w:val="20"/>
        </w:rPr>
        <w:t>To this end, processes and protocols must explicitly recognize that sexual violence and other forms of gender-based violence are specific risk factors to which women journalists are exposed and which deserve specialized approaches.</w:t>
      </w:r>
    </w:p>
    <w:p w:rsidR="00710A24" w:rsidRPr="00B8721C" w:rsidRDefault="00710A24" w:rsidP="00710A24">
      <w:p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cs="Tahoma"/>
          <w:sz w:val="20"/>
          <w:szCs w:val="20"/>
        </w:rPr>
      </w:pPr>
    </w:p>
    <w:p w:rsidR="00F10EC6" w:rsidRPr="00B8721C" w:rsidRDefault="005D0369" w:rsidP="00117834">
      <w:pPr>
        <w:pStyle w:val="Heading3"/>
        <w:numPr>
          <w:ilvl w:val="3"/>
          <w:numId w:val="54"/>
        </w:numPr>
        <w:ind w:left="1440" w:hanging="720"/>
        <w:rPr>
          <w:rFonts w:cs="Arial"/>
          <w:lang w:val="en-US"/>
        </w:rPr>
      </w:pPr>
      <w:bookmarkStart w:id="26" w:name="_Toc534731307"/>
      <w:r w:rsidRPr="00B8721C">
        <w:rPr>
          <w:rFonts w:cs="Arial"/>
          <w:lang w:val="en-US"/>
        </w:rPr>
        <w:t xml:space="preserve">Considerations on violence and rape in light of the American Convention, the IACPPT, and the Convention of </w:t>
      </w:r>
      <w:r w:rsidR="00E277A7" w:rsidRPr="00B8721C">
        <w:rPr>
          <w:rFonts w:cs="Arial"/>
          <w:lang w:val="en-US"/>
        </w:rPr>
        <w:t>Belém do Pará</w:t>
      </w:r>
      <w:bookmarkEnd w:id="18"/>
      <w:bookmarkEnd w:id="19"/>
      <w:bookmarkEnd w:id="20"/>
      <w:bookmarkEnd w:id="26"/>
    </w:p>
    <w:p w:rsidR="00F10EC6" w:rsidRPr="00B8721C" w:rsidRDefault="00F10EC6" w:rsidP="005A03C0">
      <w:pPr>
        <w:jc w:val="both"/>
        <w:rPr>
          <w:rFonts w:ascii="Cambria" w:hAnsi="Cambria" w:cs="Arial"/>
          <w:b/>
          <w:sz w:val="20"/>
          <w:szCs w:val="20"/>
        </w:rPr>
      </w:pPr>
    </w:p>
    <w:p w:rsidR="00933A83" w:rsidRPr="00B8721C" w:rsidRDefault="00BC633E" w:rsidP="00933A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90" w:firstLine="630"/>
        <w:jc w:val="both"/>
        <w:rPr>
          <w:rFonts w:ascii="Cambria" w:hAnsi="Cambria"/>
          <w:b/>
          <w:sz w:val="20"/>
          <w:szCs w:val="20"/>
        </w:rPr>
      </w:pPr>
      <w:r w:rsidRPr="00B8721C">
        <w:rPr>
          <w:rFonts w:ascii="Cambria" w:hAnsi="Cambria"/>
          <w:sz w:val="20"/>
          <w:szCs w:val="20"/>
        </w:rPr>
        <w:t>Both the Inter-American Court and the Inter-American Commission have pointed out that in cases of violence against women, the duty to act with due diligence acquires a special and strict connotation</w:t>
      </w:r>
      <w:r w:rsidR="00F10EC6" w:rsidRPr="00B8721C">
        <w:rPr>
          <w:rFonts w:ascii="Cambria" w:hAnsi="Cambria"/>
          <w:sz w:val="20"/>
          <w:szCs w:val="20"/>
        </w:rPr>
        <w:t xml:space="preserve"> “</w:t>
      </w:r>
      <w:r w:rsidRPr="00B8721C">
        <w:rPr>
          <w:rFonts w:ascii="Cambria" w:hAnsi="Cambria"/>
          <w:sz w:val="20"/>
          <w:szCs w:val="20"/>
        </w:rPr>
        <w:t>in response to the fact or the mere possibility of their vulnerability in the presence of acts that actually or potentially involve gender-based violence or could result in this type of violence.</w:t>
      </w:r>
      <w:r w:rsidR="00F10EC6" w:rsidRPr="00B8721C">
        <w:rPr>
          <w:rFonts w:ascii="Cambria" w:hAnsi="Cambria"/>
          <w:sz w:val="20"/>
          <w:szCs w:val="20"/>
        </w:rPr>
        <w:t>”</w:t>
      </w:r>
      <w:r w:rsidR="00F10EC6" w:rsidRPr="00B8721C">
        <w:rPr>
          <w:rStyle w:val="FootnoteReference"/>
          <w:rFonts w:ascii="Cambria" w:hAnsi="Cambria"/>
          <w:sz w:val="20"/>
          <w:szCs w:val="20"/>
        </w:rPr>
        <w:footnoteReference w:id="181"/>
      </w:r>
    </w:p>
    <w:p w:rsidR="00933A83" w:rsidRPr="00B8721C" w:rsidRDefault="00933A83" w:rsidP="00933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rPr>
      </w:pPr>
    </w:p>
    <w:p w:rsidR="00020FA4" w:rsidRPr="00B8721C" w:rsidRDefault="00933A83" w:rsidP="005A0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90" w:firstLine="630"/>
        <w:jc w:val="both"/>
        <w:rPr>
          <w:rFonts w:ascii="Cambria" w:hAnsi="Cambria"/>
          <w:b/>
          <w:sz w:val="20"/>
          <w:szCs w:val="20"/>
        </w:rPr>
      </w:pPr>
      <w:r w:rsidRPr="00B8721C">
        <w:rPr>
          <w:rFonts w:ascii="Cambria" w:hAnsi="Cambria"/>
          <w:sz w:val="20"/>
          <w:szCs w:val="20"/>
        </w:rPr>
        <w:t>The Court has previously considered that sexual violence involves acts of a sexual nature,  committed against a person without their consent, and that in addition to the physical invasion of the human body, they may include acts which do not involve penetration or even any physical  contact.</w:t>
      </w:r>
      <w:r w:rsidR="00F10EC6" w:rsidRPr="00B8721C">
        <w:rPr>
          <w:rStyle w:val="FootnoteReference"/>
          <w:rFonts w:ascii="Cambria" w:hAnsi="Cambria"/>
          <w:sz w:val="20"/>
          <w:szCs w:val="20"/>
        </w:rPr>
        <w:footnoteReference w:id="182"/>
      </w:r>
      <w:r w:rsidR="00F10EC6" w:rsidRPr="00B8721C">
        <w:rPr>
          <w:rFonts w:ascii="Cambria" w:hAnsi="Cambria"/>
          <w:sz w:val="20"/>
          <w:szCs w:val="20"/>
        </w:rPr>
        <w:t xml:space="preserve"> </w:t>
      </w:r>
      <w:r w:rsidRPr="00B8721C">
        <w:rPr>
          <w:rFonts w:ascii="Cambria" w:hAnsi="Cambria"/>
          <w:sz w:val="20"/>
          <w:szCs w:val="20"/>
        </w:rPr>
        <w:t xml:space="preserve">In particular, </w:t>
      </w:r>
      <w:r w:rsidRPr="00B8721C">
        <w:rPr>
          <w:rFonts w:ascii="Cambria" w:hAnsi="Cambria"/>
          <w:sz w:val="20"/>
          <w:szCs w:val="20"/>
        </w:rPr>
        <w:lastRenderedPageBreak/>
        <w:t>rape constitutes a paradigmatic form of violence against women, and its consequences go far beyond the victim herself.</w:t>
      </w:r>
      <w:r w:rsidR="00F10EC6" w:rsidRPr="00B8721C">
        <w:rPr>
          <w:rStyle w:val="FootnoteReference"/>
          <w:rFonts w:ascii="Cambria" w:hAnsi="Cambria"/>
          <w:sz w:val="20"/>
          <w:szCs w:val="20"/>
        </w:rPr>
        <w:footnoteReference w:id="183"/>
      </w:r>
      <w:bookmarkStart w:id="27" w:name="_Ref375559123"/>
    </w:p>
    <w:p w:rsidR="00020FA4" w:rsidRPr="00B8721C" w:rsidRDefault="00020FA4" w:rsidP="00020FA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rPr>
      </w:pPr>
    </w:p>
    <w:p w:rsidR="00F10EC6" w:rsidRPr="00B8721C" w:rsidRDefault="00020FA4" w:rsidP="005A0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90" w:firstLine="630"/>
        <w:jc w:val="both"/>
        <w:rPr>
          <w:rFonts w:ascii="Cambria" w:hAnsi="Cambria"/>
          <w:b/>
          <w:sz w:val="20"/>
          <w:szCs w:val="20"/>
        </w:rPr>
      </w:pPr>
      <w:r w:rsidRPr="00B8721C">
        <w:rPr>
          <w:rFonts w:ascii="Cambria" w:hAnsi="Cambria" w:cs="Tahoma"/>
          <w:sz w:val="20"/>
          <w:szCs w:val="20"/>
        </w:rPr>
        <w:t>Similarly, following the case law and standards prevailing in both International Criminal Law and Comparative Criminal Law, the Inter-American Court has held that:</w:t>
      </w:r>
    </w:p>
    <w:p w:rsidR="00020FA4" w:rsidRPr="00B8721C" w:rsidRDefault="00020FA4" w:rsidP="005A03C0">
      <w:pPr>
        <w:jc w:val="both"/>
        <w:rPr>
          <w:rFonts w:ascii="Cambria" w:eastAsia="Batang" w:hAnsi="Cambria"/>
          <w:spacing w:val="-2"/>
          <w:sz w:val="20"/>
          <w:szCs w:val="20"/>
        </w:rPr>
      </w:pPr>
    </w:p>
    <w:p w:rsidR="00F10EC6" w:rsidRPr="00B8721C" w:rsidRDefault="00F10EC6" w:rsidP="00A04A98">
      <w:pPr>
        <w:ind w:left="720" w:right="720"/>
        <w:jc w:val="both"/>
        <w:rPr>
          <w:rFonts w:ascii="Cambria" w:hAnsi="Cambria" w:cs="Tahoma"/>
          <w:sz w:val="20"/>
          <w:szCs w:val="20"/>
        </w:rPr>
      </w:pPr>
      <w:r w:rsidRPr="00B8721C">
        <w:rPr>
          <w:rFonts w:ascii="Cambria" w:eastAsia="Batang" w:hAnsi="Cambria"/>
          <w:spacing w:val="-2"/>
          <w:sz w:val="20"/>
          <w:szCs w:val="20"/>
        </w:rPr>
        <w:t>(…)</w:t>
      </w:r>
      <w:r w:rsidR="00020FA4" w:rsidRPr="00B8721C">
        <w:rPr>
          <w:rFonts w:ascii="Cambria" w:eastAsia="Batang" w:hAnsi="Cambria"/>
          <w:spacing w:val="-2"/>
          <w:sz w:val="20"/>
          <w:szCs w:val="20"/>
        </w:rPr>
        <w:t xml:space="preserve"> rape does not necessarily entail non-consensual vaginal sex, as it was traditionally deemed. Rape should also be understood as acts of vaginal or anal penetration, without the consent of the victim, using other parts of the perpetrator’s body or objects, as well as oral penetration by the male organ.</w:t>
      </w:r>
      <w:r w:rsidRPr="00B8721C">
        <w:rPr>
          <w:rFonts w:ascii="Cambria" w:eastAsia="Batang" w:hAnsi="Cambria"/>
          <w:spacing w:val="-2"/>
          <w:sz w:val="20"/>
          <w:szCs w:val="20"/>
          <w:vertAlign w:val="superscript"/>
        </w:rPr>
        <w:footnoteReference w:id="184"/>
      </w:r>
      <w:r w:rsidRPr="00B8721C">
        <w:rPr>
          <w:rFonts w:ascii="Cambria" w:eastAsia="Batang" w:hAnsi="Cambria"/>
          <w:spacing w:val="-2"/>
          <w:sz w:val="20"/>
          <w:szCs w:val="20"/>
        </w:rPr>
        <w:t xml:space="preserve"> </w:t>
      </w:r>
      <w:r w:rsidR="00020FA4" w:rsidRPr="00B8721C">
        <w:rPr>
          <w:rFonts w:ascii="Cambria" w:eastAsia="Batang" w:hAnsi="Cambria"/>
          <w:spacing w:val="-2"/>
          <w:sz w:val="20"/>
          <w:szCs w:val="20"/>
        </w:rPr>
        <w:t>In this regard, the Court clarifies that, in order for an act to be considered rape, it is sufficient that penetration, however slight, occurs, as described above.</w:t>
      </w:r>
      <w:r w:rsidRPr="00B8721C">
        <w:rPr>
          <w:rFonts w:ascii="Cambria" w:eastAsia="Batang" w:hAnsi="Cambria"/>
          <w:spacing w:val="-2"/>
          <w:sz w:val="20"/>
          <w:szCs w:val="20"/>
          <w:vertAlign w:val="superscript"/>
        </w:rPr>
        <w:footnoteReference w:id="185"/>
      </w:r>
      <w:r w:rsidRPr="00B8721C">
        <w:rPr>
          <w:rFonts w:ascii="Cambria" w:eastAsia="Batang" w:hAnsi="Cambria"/>
          <w:spacing w:val="-2"/>
          <w:sz w:val="20"/>
          <w:szCs w:val="20"/>
        </w:rPr>
        <w:t xml:space="preserve"> </w:t>
      </w:r>
      <w:r w:rsidR="00020FA4" w:rsidRPr="00B8721C">
        <w:rPr>
          <w:rFonts w:ascii="Cambria" w:eastAsia="Batang" w:hAnsi="Cambria"/>
          <w:spacing w:val="-2"/>
          <w:sz w:val="20"/>
          <w:szCs w:val="20"/>
        </w:rPr>
        <w:t>In addition, it must be understood that vaginal penetration refers to penetration by any part of the perpetrator’s body or by objects of any genital opening, including the labia majora and labia minora, as well as the vaginal orifice. This interpretation is in keeping with the concept that any type of penetration, however slight, is sufficient for an act to be considered rape. The Court understands that rape is a form of sexual violence.</w:t>
      </w:r>
      <w:r w:rsidRPr="00B8721C">
        <w:rPr>
          <w:rStyle w:val="FootnoteReference"/>
          <w:rFonts w:ascii="Cambria" w:eastAsia="Batang" w:hAnsi="Cambria"/>
          <w:spacing w:val="-2"/>
          <w:sz w:val="20"/>
          <w:szCs w:val="20"/>
        </w:rPr>
        <w:footnoteReference w:id="186"/>
      </w:r>
      <w:bookmarkEnd w:id="27"/>
    </w:p>
    <w:p w:rsidR="00F10EC6" w:rsidRPr="00B8721C" w:rsidRDefault="00F10EC6" w:rsidP="005A03C0">
      <w:pPr>
        <w:ind w:right="720"/>
        <w:jc w:val="both"/>
        <w:rPr>
          <w:rFonts w:ascii="Cambria" w:hAnsi="Cambria"/>
          <w:sz w:val="20"/>
          <w:szCs w:val="20"/>
        </w:rPr>
      </w:pPr>
    </w:p>
    <w:p w:rsidR="00421B2A" w:rsidRPr="00B8721C" w:rsidRDefault="00421B2A" w:rsidP="00421B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sz w:val="20"/>
          <w:szCs w:val="20"/>
        </w:rPr>
      </w:pPr>
      <w:r w:rsidRPr="00B8721C">
        <w:rPr>
          <w:rFonts w:ascii="Cambria" w:hAnsi="Cambria"/>
          <w:sz w:val="20"/>
          <w:szCs w:val="20"/>
        </w:rPr>
        <w:t>The United Nations Special Rapporteur on Torture has pointed out that rape is a method of physical torture, used in some cases to punish, intimidate, and humiliate</w:t>
      </w:r>
      <w:r w:rsidR="00EE13D6" w:rsidRPr="00B8721C">
        <w:rPr>
          <w:rFonts w:ascii="Cambria" w:hAnsi="Cambria"/>
          <w:sz w:val="20"/>
          <w:szCs w:val="20"/>
        </w:rPr>
        <w:t>.</w:t>
      </w:r>
      <w:r w:rsidR="00F10EC6" w:rsidRPr="00B8721C">
        <w:rPr>
          <w:rStyle w:val="FootnoteReference"/>
          <w:rFonts w:ascii="Cambria" w:hAnsi="Cambria"/>
          <w:sz w:val="20"/>
          <w:szCs w:val="20"/>
        </w:rPr>
        <w:footnoteReference w:id="187"/>
      </w:r>
      <w:r w:rsidR="00F10EC6" w:rsidRPr="00B8721C">
        <w:rPr>
          <w:rFonts w:ascii="Cambria" w:hAnsi="Cambria"/>
          <w:sz w:val="20"/>
          <w:szCs w:val="20"/>
        </w:rPr>
        <w:t xml:space="preserve"> </w:t>
      </w:r>
      <w:r w:rsidRPr="00B8721C">
        <w:rPr>
          <w:rFonts w:ascii="Cambria" w:hAnsi="Cambria"/>
          <w:sz w:val="20"/>
          <w:szCs w:val="20"/>
        </w:rPr>
        <w:t>Both the Inter-American Commission and the Court have described various acts of violence and rape committed by State agents as forms of torture</w:t>
      </w:r>
      <w:r w:rsidR="00EE13D6" w:rsidRPr="00B8721C">
        <w:rPr>
          <w:rFonts w:ascii="Cambria" w:hAnsi="Cambria"/>
          <w:sz w:val="20"/>
          <w:szCs w:val="20"/>
        </w:rPr>
        <w:t>.</w:t>
      </w:r>
      <w:r w:rsidR="00F10EC6" w:rsidRPr="00B8721C">
        <w:rPr>
          <w:rStyle w:val="FootnoteReference"/>
          <w:rFonts w:ascii="Cambria" w:hAnsi="Cambria"/>
          <w:sz w:val="20"/>
          <w:szCs w:val="20"/>
        </w:rPr>
        <w:footnoteReference w:id="188"/>
      </w:r>
      <w:r w:rsidR="00F10EC6" w:rsidRPr="00B8721C">
        <w:rPr>
          <w:rFonts w:ascii="Cambria" w:hAnsi="Cambria"/>
          <w:sz w:val="20"/>
          <w:szCs w:val="20"/>
        </w:rPr>
        <w:t xml:space="preserve"> </w:t>
      </w:r>
      <w:r w:rsidRPr="00B8721C">
        <w:rPr>
          <w:rFonts w:ascii="Cambria" w:hAnsi="Cambria"/>
          <w:sz w:val="20"/>
          <w:szCs w:val="20"/>
        </w:rPr>
        <w:t>In this regard, the Inter-American Commission and Court have held that sexual violence against women has devastating physical, emotional, and psychological consequences for them</w:t>
      </w:r>
      <w:r w:rsidR="00EE13D6" w:rsidRPr="00B8721C">
        <w:rPr>
          <w:rFonts w:ascii="Cambria" w:hAnsi="Cambria" w:cs="Verdana"/>
          <w:sz w:val="20"/>
          <w:szCs w:val="20"/>
        </w:rPr>
        <w:t>.</w:t>
      </w:r>
      <w:r w:rsidR="005E7C29" w:rsidRPr="00B8721C">
        <w:rPr>
          <w:rStyle w:val="FootnoteReference"/>
          <w:rFonts w:ascii="Cambria" w:hAnsi="Cambria" w:cs="Verdana"/>
          <w:sz w:val="20"/>
          <w:szCs w:val="20"/>
        </w:rPr>
        <w:footnoteReference w:id="189"/>
      </w:r>
      <w:r w:rsidR="005E7C29" w:rsidRPr="00B8721C">
        <w:rPr>
          <w:rFonts w:ascii="Cambria" w:hAnsi="Cambria"/>
          <w:sz w:val="20"/>
          <w:szCs w:val="20"/>
        </w:rPr>
        <w:t xml:space="preserve"> </w:t>
      </w:r>
      <w:r w:rsidRPr="00B8721C">
        <w:rPr>
          <w:rFonts w:ascii="Cambria" w:hAnsi="Cambria"/>
          <w:sz w:val="20"/>
          <w:szCs w:val="20"/>
        </w:rPr>
        <w:t>In addition, they have maintained that it is an extremely traumatic experience that can have severe consequences</w:t>
      </w:r>
      <w:r w:rsidR="005E7C29" w:rsidRPr="00B8721C">
        <w:rPr>
          <w:rStyle w:val="FootnoteReference"/>
          <w:rFonts w:ascii="Cambria" w:hAnsi="Cambria"/>
          <w:sz w:val="20"/>
          <w:szCs w:val="20"/>
        </w:rPr>
        <w:footnoteReference w:id="190"/>
      </w:r>
      <w:r w:rsidR="005E7C29" w:rsidRPr="00B8721C">
        <w:rPr>
          <w:rFonts w:ascii="Cambria" w:hAnsi="Cambria"/>
          <w:sz w:val="20"/>
          <w:szCs w:val="20"/>
        </w:rPr>
        <w:t xml:space="preserve"> </w:t>
      </w:r>
      <w:r w:rsidRPr="00B8721C">
        <w:rPr>
          <w:rFonts w:ascii="Cambria" w:hAnsi="Cambria"/>
          <w:sz w:val="20"/>
          <w:szCs w:val="20"/>
        </w:rPr>
        <w:t xml:space="preserve">and </w:t>
      </w:r>
      <w:r w:rsidRPr="00B8721C">
        <w:rPr>
          <w:rFonts w:ascii="Cambria" w:hAnsi="Cambria"/>
          <w:sz w:val="20"/>
          <w:szCs w:val="20"/>
        </w:rPr>
        <w:lastRenderedPageBreak/>
        <w:t>causes great physical and psychological harm that leaves the victim “physically and emotionally humiliated,” a situation that is difficult to overcome with the passage of time</w:t>
      </w:r>
      <w:r w:rsidR="00EE13D6" w:rsidRPr="00B8721C">
        <w:rPr>
          <w:rFonts w:ascii="Cambria" w:hAnsi="Cambria"/>
          <w:sz w:val="20"/>
          <w:szCs w:val="20"/>
        </w:rPr>
        <w:t>.</w:t>
      </w:r>
      <w:r w:rsidR="005E7C29" w:rsidRPr="00B8721C">
        <w:rPr>
          <w:rStyle w:val="FootnoteReference"/>
          <w:rFonts w:ascii="Cambria" w:hAnsi="Cambria"/>
          <w:sz w:val="20"/>
          <w:szCs w:val="20"/>
        </w:rPr>
        <w:footnoteReference w:id="191"/>
      </w:r>
    </w:p>
    <w:p w:rsidR="00421B2A" w:rsidRPr="00B8721C" w:rsidRDefault="00421B2A" w:rsidP="00421B2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rPr>
      </w:pPr>
    </w:p>
    <w:p w:rsidR="00F10EC6" w:rsidRPr="00294CCF" w:rsidRDefault="00421B2A" w:rsidP="00421B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sz w:val="20"/>
          <w:szCs w:val="20"/>
        </w:rPr>
      </w:pPr>
      <w:r w:rsidRPr="00B8721C">
        <w:rPr>
          <w:rFonts w:ascii="Cambria" w:hAnsi="Cambria"/>
          <w:sz w:val="20"/>
          <w:szCs w:val="20"/>
        </w:rPr>
        <w:t>The Inter-American Commission</w:t>
      </w:r>
      <w:r w:rsidR="00F10EC6" w:rsidRPr="00B8721C">
        <w:rPr>
          <w:rStyle w:val="FootnoteReference"/>
          <w:rFonts w:ascii="Cambria" w:hAnsi="Cambria"/>
          <w:sz w:val="20"/>
          <w:szCs w:val="20"/>
        </w:rPr>
        <w:footnoteReference w:id="192"/>
      </w:r>
      <w:r w:rsidR="00F10EC6" w:rsidRPr="00B8721C">
        <w:rPr>
          <w:rFonts w:ascii="Cambria" w:hAnsi="Cambria"/>
          <w:sz w:val="20"/>
          <w:szCs w:val="20"/>
        </w:rPr>
        <w:t xml:space="preserve"> </w:t>
      </w:r>
      <w:r w:rsidRPr="00B8721C">
        <w:rPr>
          <w:rFonts w:ascii="Cambria" w:hAnsi="Cambria"/>
          <w:sz w:val="20"/>
          <w:szCs w:val="20"/>
        </w:rPr>
        <w:t xml:space="preserve">and the Inter-American Court have also stated that sexual violence entails the violation of essential aspects of privacy and the denial of the </w:t>
      </w:r>
      <w:r w:rsidR="00F10EC6" w:rsidRPr="00B8721C">
        <w:rPr>
          <w:rFonts w:ascii="Cambria" w:hAnsi="Cambria"/>
          <w:sz w:val="20"/>
          <w:szCs w:val="20"/>
        </w:rPr>
        <w:t>“</w:t>
      </w:r>
      <w:r w:rsidRPr="00B8721C">
        <w:rPr>
          <w:rFonts w:ascii="Cambria" w:hAnsi="Cambria"/>
          <w:sz w:val="20"/>
          <w:szCs w:val="20"/>
        </w:rPr>
        <w:t>right to decide freely with whom to have intimate relations,</w:t>
      </w:r>
      <w:r w:rsidR="00F10EC6" w:rsidRPr="00B8721C">
        <w:rPr>
          <w:rFonts w:ascii="Cambria" w:hAnsi="Cambria"/>
          <w:sz w:val="20"/>
          <w:szCs w:val="20"/>
        </w:rPr>
        <w:t xml:space="preserve"> […] </w:t>
      </w:r>
      <w:r w:rsidRPr="00B8721C">
        <w:rPr>
          <w:rFonts w:ascii="Cambria" w:hAnsi="Cambria"/>
          <w:sz w:val="20"/>
          <w:szCs w:val="20"/>
        </w:rPr>
        <w:t>and over basic bodily functions.</w:t>
      </w:r>
      <w:r w:rsidR="00F10EC6" w:rsidRPr="00B8721C">
        <w:rPr>
          <w:rFonts w:ascii="Cambria" w:hAnsi="Cambria"/>
          <w:sz w:val="20"/>
          <w:szCs w:val="20"/>
        </w:rPr>
        <w:t>”</w:t>
      </w:r>
      <w:r w:rsidR="00F10EC6" w:rsidRPr="00B8721C">
        <w:rPr>
          <w:rStyle w:val="FootnoteReference"/>
          <w:rFonts w:ascii="Cambria" w:hAnsi="Cambria"/>
          <w:sz w:val="20"/>
          <w:szCs w:val="20"/>
        </w:rPr>
        <w:footnoteReference w:id="193"/>
      </w:r>
      <w:r w:rsidR="000B5BED" w:rsidRPr="00B8721C">
        <w:rPr>
          <w:rFonts w:ascii="Cambria" w:hAnsi="Cambria"/>
          <w:sz w:val="20"/>
          <w:szCs w:val="20"/>
        </w:rPr>
        <w:t xml:space="preserve"> </w:t>
      </w:r>
      <w:r w:rsidRPr="00B8721C">
        <w:rPr>
          <w:rFonts w:ascii="Cambria" w:hAnsi="Cambria"/>
          <w:sz w:val="20"/>
          <w:szCs w:val="20"/>
        </w:rPr>
        <w:t>Along the same lines</w:t>
      </w:r>
      <w:r w:rsidR="00F10EC6" w:rsidRPr="00B8721C">
        <w:rPr>
          <w:rFonts w:ascii="Cambria" w:hAnsi="Cambria"/>
          <w:sz w:val="20"/>
          <w:szCs w:val="20"/>
        </w:rPr>
        <w:t xml:space="preserve">, </w:t>
      </w:r>
      <w:r w:rsidRPr="00B8721C">
        <w:rPr>
          <w:rFonts w:ascii="Cambria" w:hAnsi="Cambria"/>
          <w:sz w:val="20"/>
          <w:szCs w:val="20"/>
        </w:rPr>
        <w:t>on the relationship between violence against women and discrimination, the IACHR has observed that violence against women is a form of discrimination that severely impairs the enjoyment of rights and freedoms on an equal footing with men.</w:t>
      </w:r>
    </w:p>
    <w:p w:rsidR="009F71D8" w:rsidRPr="00346135" w:rsidRDefault="009F71D8" w:rsidP="00402916">
      <w:pPr>
        <w:rPr>
          <w:b/>
          <w:sz w:val="20"/>
          <w:szCs w:val="20"/>
        </w:rPr>
      </w:pPr>
    </w:p>
    <w:p w:rsidR="006F1753" w:rsidRPr="00B8721C" w:rsidRDefault="005D0369" w:rsidP="00117834">
      <w:pPr>
        <w:pStyle w:val="Heading3"/>
        <w:numPr>
          <w:ilvl w:val="3"/>
          <w:numId w:val="54"/>
        </w:numPr>
        <w:ind w:left="1440" w:hanging="720"/>
        <w:rPr>
          <w:lang w:val="en-US"/>
        </w:rPr>
      </w:pPr>
      <w:bookmarkStart w:id="28" w:name="_Toc534731308"/>
      <w:r w:rsidRPr="00B8721C">
        <w:rPr>
          <w:lang w:val="en-US"/>
        </w:rPr>
        <w:t>Application of the above considerations to the facts of the case</w:t>
      </w:r>
      <w:bookmarkEnd w:id="21"/>
      <w:bookmarkEnd w:id="28"/>
      <w:r w:rsidR="006F1753" w:rsidRPr="00B8721C">
        <w:rPr>
          <w:lang w:val="en-US"/>
        </w:rPr>
        <w:t xml:space="preserve"> </w:t>
      </w:r>
    </w:p>
    <w:p w:rsidR="00373D4E" w:rsidRPr="00B8721C" w:rsidRDefault="00373D4E" w:rsidP="005A03C0">
      <w:pPr>
        <w:rPr>
          <w:rFonts w:ascii="Cambria" w:hAnsi="Cambria"/>
          <w:sz w:val="20"/>
          <w:szCs w:val="20"/>
        </w:rPr>
      </w:pPr>
    </w:p>
    <w:p w:rsidR="006F1753" w:rsidRPr="00B8721C" w:rsidRDefault="00406031" w:rsidP="005A03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u w:val="single"/>
        </w:rPr>
      </w:pPr>
      <w:r w:rsidRPr="00B8721C">
        <w:rPr>
          <w:rFonts w:ascii="Cambria" w:hAnsi="Cambria"/>
          <w:sz w:val="20"/>
          <w:szCs w:val="20"/>
          <w:u w:val="single"/>
        </w:rPr>
        <w:t>The duty to protect against the death threats, kidnapping, torture and sexual violence committed against Jineth Bedoya</w:t>
      </w:r>
    </w:p>
    <w:p w:rsidR="00406031" w:rsidRPr="00B8721C" w:rsidRDefault="00406031" w:rsidP="005A03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p>
    <w:p w:rsidR="00B75836" w:rsidRPr="00B8721C" w:rsidRDefault="00406031" w:rsidP="00B758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It is clear from the evidence in the case file that Jineth Bedoya was the victim of ongoing threats and attacks against her right to life and humane treatment in connection with the practice of journalism prior to her abduction on May 25, 2000, and that these facts were known to the State authorities</w:t>
      </w:r>
      <w:r w:rsidR="00A84BBB" w:rsidRPr="00B8721C">
        <w:rPr>
          <w:rFonts w:ascii="Cambria" w:hAnsi="Cambria"/>
          <w:sz w:val="20"/>
          <w:szCs w:val="20"/>
        </w:rPr>
        <w:t xml:space="preserve">. </w:t>
      </w:r>
      <w:r w:rsidRPr="00B8721C">
        <w:rPr>
          <w:rFonts w:ascii="Cambria" w:hAnsi="Cambria"/>
          <w:sz w:val="20"/>
          <w:szCs w:val="20"/>
        </w:rPr>
        <w:t>The State was aware, through senior officials of the police, military and protection agencies, of the risk that the journalist faced because of her work covering the situation of the National Model Prison. It is an uncontested fact that the journalist reported on alleged human rights violations and</w:t>
      </w:r>
      <w:r w:rsidR="00DB7B58" w:rsidRPr="00B8721C">
        <w:rPr>
          <w:rFonts w:ascii="Cambria" w:hAnsi="Cambria"/>
          <w:sz w:val="20"/>
          <w:szCs w:val="20"/>
        </w:rPr>
        <w:t xml:space="preserve"> arms trafficking in the prison</w:t>
      </w:r>
      <w:r w:rsidRPr="00B8721C">
        <w:rPr>
          <w:rFonts w:ascii="Cambria" w:hAnsi="Cambria"/>
          <w:sz w:val="20"/>
          <w:szCs w:val="20"/>
        </w:rPr>
        <w:t xml:space="preserve"> involving actors in the internal armed conflict, common criminals, and State authorities.</w:t>
      </w:r>
    </w:p>
    <w:p w:rsidR="00B75836" w:rsidRPr="00B8721C" w:rsidRDefault="00B75836" w:rsidP="00B7583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386622" w:rsidRPr="00B8721C" w:rsidRDefault="00C86F9E" w:rsidP="003866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In particular, the IACHR notes that on August 25, 1999, the Director of Protection of the DAS sent a written notification to journalist Jineth Bedoya, informing her that the DAS technical committee had carried out a risk assessment, concluding that she faced a substantial risk that could result in harm to her physical integrity, and therefore decided to offer her a security detail. Although Jineth Bedoya agreed to the protection offered by the September 20 communication “because of the resumption of threats against her life,” she never received protection from the State, and the threats continued. In fact, it is an undisputed fact that Jineth Bedoya was forced to leave the country as a protective measure.</w:t>
      </w:r>
      <w:r w:rsidR="004748F8" w:rsidRPr="00B8721C">
        <w:rPr>
          <w:rFonts w:ascii="Cambria" w:hAnsi="Cambria"/>
          <w:sz w:val="20"/>
          <w:szCs w:val="20"/>
        </w:rPr>
        <w:t xml:space="preserve"> </w:t>
      </w:r>
      <w:r w:rsidRPr="00B8721C">
        <w:rPr>
          <w:rFonts w:ascii="Cambria" w:hAnsi="Cambria"/>
          <w:sz w:val="20"/>
          <w:szCs w:val="20"/>
        </w:rPr>
        <w:t xml:space="preserve">On her return in October 1999, she again received threats, which she reported to the DAS. In November, she was followed, which she also reported to the DAS. However, as it has been established, on November 24, 1999, the Coordinator of the Protection Department of the Ministry of the Interior notified the journalist that “in response to the request for protection made to this Office [...] it is concluded that your case does not fall within the target population covered by the Protection Program of this Ministry, in accordance with the provisions of Decree 0372 of 1996, Article 32,” and recommended that she go directly to the State security agencies. </w:t>
      </w:r>
      <w:r w:rsidR="00B75836" w:rsidRPr="00B8721C">
        <w:rPr>
          <w:rFonts w:ascii="Cambria" w:hAnsi="Cambria"/>
          <w:sz w:val="20"/>
          <w:szCs w:val="20"/>
        </w:rPr>
        <w:t>The IACHR also notes that the origin of these initial threats was not seriously investigated. There is no record in the case file of any criminal investigations opened before May 25, 2000 into these threats and attacks</w:t>
      </w:r>
      <w:r w:rsidR="00A84BBB" w:rsidRPr="00B8721C">
        <w:rPr>
          <w:rFonts w:ascii="Cambria" w:hAnsi="Cambria"/>
          <w:sz w:val="20"/>
          <w:szCs w:val="20"/>
        </w:rPr>
        <w:t>.</w:t>
      </w:r>
    </w:p>
    <w:p w:rsidR="00386622" w:rsidRPr="00B8721C" w:rsidRDefault="00386622" w:rsidP="0038662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86F92" w:rsidRPr="00B8721C" w:rsidRDefault="00386622" w:rsidP="00786F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The Commission also observes that the State knew that journalist Jineth Bedoya could be the victim of an attack against her right to her life and humane treatment as a result of her coverage of the massacre at the National Model Prison and its alleged connection to paramilitary groups</w:t>
      </w:r>
      <w:r w:rsidR="009108D1" w:rsidRPr="00B8721C">
        <w:rPr>
          <w:rFonts w:ascii="Cambria" w:hAnsi="Cambria"/>
          <w:sz w:val="20"/>
          <w:szCs w:val="20"/>
        </w:rPr>
        <w:t>.</w:t>
      </w:r>
      <w:r w:rsidR="00EF49C6" w:rsidRPr="00B8721C">
        <w:rPr>
          <w:rFonts w:ascii="Cambria" w:hAnsi="Cambria"/>
          <w:sz w:val="20"/>
          <w:szCs w:val="20"/>
        </w:rPr>
        <w:t xml:space="preserve"> </w:t>
      </w:r>
      <w:r w:rsidRPr="00B8721C">
        <w:rPr>
          <w:rFonts w:ascii="Cambria" w:hAnsi="Cambria"/>
          <w:sz w:val="20"/>
          <w:szCs w:val="20"/>
        </w:rPr>
        <w:t xml:space="preserve">On May 23, 2000, </w:t>
      </w:r>
      <w:r w:rsidRPr="00B8721C">
        <w:rPr>
          <w:rFonts w:ascii="Cambria" w:hAnsi="Cambria"/>
          <w:i/>
          <w:sz w:val="20"/>
          <w:szCs w:val="20"/>
        </w:rPr>
        <w:t>El Espectador</w:t>
      </w:r>
      <w:r w:rsidRPr="00B8721C">
        <w:rPr>
          <w:rFonts w:ascii="Cambria" w:hAnsi="Cambria"/>
          <w:sz w:val="20"/>
          <w:szCs w:val="20"/>
        </w:rPr>
        <w:t xml:space="preserve"> journalists Jineth Bedoya, Ignacio Gómez, Jorge Cardona, and Julián Ríos found manila envelopes in their mailboxes that contained threats related to their reporting on the National Model Prison massacre. These facts were brought to the attention of both the police and the Minister of Defense</w:t>
      </w:r>
      <w:r w:rsidR="00A84BBB" w:rsidRPr="00B8721C">
        <w:rPr>
          <w:rFonts w:ascii="Cambria" w:hAnsi="Cambria"/>
          <w:sz w:val="20"/>
          <w:szCs w:val="20"/>
        </w:rPr>
        <w:t xml:space="preserve">. </w:t>
      </w:r>
      <w:r w:rsidRPr="00B8721C">
        <w:rPr>
          <w:rFonts w:ascii="Cambria" w:hAnsi="Cambria"/>
          <w:sz w:val="20"/>
          <w:szCs w:val="20"/>
        </w:rPr>
        <w:t xml:space="preserve">In addition, on May 24, 2000, journalist Ignacio Gómez was the victim of an attempted kidnapping, which was also reported to the </w:t>
      </w:r>
      <w:r w:rsidRPr="00B8721C">
        <w:rPr>
          <w:rFonts w:ascii="Cambria" w:hAnsi="Cambria"/>
          <w:sz w:val="20"/>
          <w:szCs w:val="20"/>
        </w:rPr>
        <w:lastRenderedPageBreak/>
        <w:t>police. As established by the facts and recognized by the State in the instant case, on May 25, 2000 journalist Jineth Bedoya was kidnapped outside a government prison and held for several hours that day. During the kidnapping, the journalist was beaten, threatened, insulted, and subjected to sexual violence by at least three individuals unknown to her.</w:t>
      </w:r>
    </w:p>
    <w:p w:rsidR="00786F92" w:rsidRPr="00B8721C" w:rsidRDefault="00786F92" w:rsidP="00786F9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8B64F8" w:rsidRPr="00B8721C" w:rsidRDefault="00786F92" w:rsidP="008B64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The IACHR considers that, in view of the circumstances of the case and the national context, the risk faced by Jineth Bedoya was real and imminent. Not only had Ms. Bedoya been the victim of numerous threats and attacks, but by the time of the events, dozens of journalists had been attacked and murdered in Colombia for their reporting on matters related to the internal armed conflict. It is appropriate to examine whether the authorities did everything reasonably within their power to prevent that risk from becoming a reality.</w:t>
      </w:r>
    </w:p>
    <w:p w:rsidR="008B64F8" w:rsidRPr="00B8721C" w:rsidRDefault="008B64F8" w:rsidP="008B64F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51248E" w:rsidRPr="00B8721C" w:rsidRDefault="008B64F8" w:rsidP="005124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The Inter-American Commission notes that neither the DAS, nor the National Police, nor the Protection Unit of the Ministry of the Interior, either in coordination or individually, took timely and appropriate measures to prevent acts of violence and intimidation against Jineth Bedoya, in particular to prevent the events of May 25, 2000</w:t>
      </w:r>
      <w:r w:rsidR="00B72192" w:rsidRPr="00B8721C">
        <w:rPr>
          <w:rFonts w:ascii="Cambria" w:hAnsi="Cambria"/>
          <w:sz w:val="20"/>
          <w:szCs w:val="20"/>
        </w:rPr>
        <w:t xml:space="preserve">. </w:t>
      </w:r>
      <w:r w:rsidRPr="00B8721C">
        <w:rPr>
          <w:rFonts w:ascii="Cambria" w:hAnsi="Cambria"/>
          <w:sz w:val="20"/>
          <w:szCs w:val="20"/>
        </w:rPr>
        <w:t>On the contrary, in 1999, the Interior Ministry’s Protection Unit denied the victim’s request for protection, and days prior to the kidnapping, the police limited themselves to agreeing with the journalist on negotiation measures with the members of the paramilitary forces.</w:t>
      </w:r>
      <w:r w:rsidR="00CA6475" w:rsidRPr="00B8721C">
        <w:rPr>
          <w:rFonts w:ascii="Cambria" w:hAnsi="Cambria"/>
          <w:sz w:val="20"/>
          <w:szCs w:val="20"/>
        </w:rPr>
        <w:t xml:space="preserve"> </w:t>
      </w:r>
      <w:r w:rsidRPr="00B8721C">
        <w:rPr>
          <w:rFonts w:ascii="Cambria" w:hAnsi="Cambria"/>
          <w:sz w:val="20"/>
          <w:szCs w:val="20"/>
        </w:rPr>
        <w:t>Given the context of lethal violence faced by journalists covering issues of armed conflict in Colombia, the IACHR considers that it was the duty of the national authorities—informed on multiple occasions of the threats against the journalist just before the events of May 25—to act effectively to protect her</w:t>
      </w:r>
      <w:r w:rsidR="0051248E" w:rsidRPr="00B8721C">
        <w:rPr>
          <w:rFonts w:ascii="Cambria" w:hAnsi="Cambria"/>
          <w:sz w:val="20"/>
          <w:szCs w:val="20"/>
        </w:rPr>
        <w:t xml:space="preserve"> rights to</w:t>
      </w:r>
      <w:r w:rsidRPr="00B8721C">
        <w:rPr>
          <w:rFonts w:ascii="Cambria" w:hAnsi="Cambria"/>
          <w:sz w:val="20"/>
          <w:szCs w:val="20"/>
        </w:rPr>
        <w:t xml:space="preserve"> life, </w:t>
      </w:r>
      <w:r w:rsidR="0051248E" w:rsidRPr="00B8721C">
        <w:rPr>
          <w:rFonts w:ascii="Cambria" w:hAnsi="Cambria"/>
          <w:sz w:val="20"/>
          <w:szCs w:val="20"/>
        </w:rPr>
        <w:t>humane treatment</w:t>
      </w:r>
      <w:r w:rsidRPr="00B8721C">
        <w:rPr>
          <w:rFonts w:ascii="Cambria" w:hAnsi="Cambria"/>
          <w:sz w:val="20"/>
          <w:szCs w:val="20"/>
        </w:rPr>
        <w:t xml:space="preserve">, and personal </w:t>
      </w:r>
      <w:r w:rsidR="0051248E" w:rsidRPr="00B8721C">
        <w:rPr>
          <w:rFonts w:ascii="Cambria" w:hAnsi="Cambria"/>
          <w:sz w:val="20"/>
          <w:szCs w:val="20"/>
        </w:rPr>
        <w:t>liberty</w:t>
      </w:r>
      <w:r w:rsidRPr="00B8721C">
        <w:rPr>
          <w:rFonts w:ascii="Cambria" w:hAnsi="Cambria"/>
          <w:sz w:val="20"/>
          <w:szCs w:val="20"/>
        </w:rPr>
        <w:t>.</w:t>
      </w:r>
    </w:p>
    <w:p w:rsidR="0051248E" w:rsidRPr="00B8721C" w:rsidRDefault="0051248E" w:rsidP="0051248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44436" w:rsidRDefault="0051248E" w:rsidP="00C444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The Commission concludes that, in the particular circumstances of this case, the authorities failed to take the steps they could reasonably have taken to prevent the occurrence of a certain and imminent risk to Jineth Bedoya’s rights to life, humane treatment, and personal liberty, in violation of Articles 4, 5, and 7 of the American Convention.</w:t>
      </w:r>
    </w:p>
    <w:p w:rsidR="00A04A98" w:rsidRPr="00B8721C" w:rsidRDefault="00A04A98" w:rsidP="00A04A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EF49C6" w:rsidRPr="00B8721C" w:rsidRDefault="00C44436" w:rsidP="00C444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This lack of protection had an obvious impact on the exercise of other fundamental rights. First, it is an uncontested fact that these acts of violence were carried out in retaliation for Jineth Bedoya’s journalistic work and that she was doing precisely that work when she was deprived of her liberty, beaten, and raped</w:t>
      </w:r>
      <w:r w:rsidR="00C75FAC" w:rsidRPr="00B8721C">
        <w:rPr>
          <w:rFonts w:ascii="Cambria" w:hAnsi="Cambria"/>
          <w:sz w:val="20"/>
          <w:szCs w:val="20"/>
        </w:rPr>
        <w:t>.</w:t>
      </w:r>
      <w:r w:rsidR="00891CFB" w:rsidRPr="00B8721C">
        <w:rPr>
          <w:rFonts w:ascii="Cambria" w:hAnsi="Cambria"/>
          <w:sz w:val="20"/>
          <w:szCs w:val="20"/>
        </w:rPr>
        <w:t xml:space="preserve"> </w:t>
      </w:r>
      <w:r w:rsidRPr="00B8721C">
        <w:rPr>
          <w:rFonts w:ascii="Cambria" w:hAnsi="Cambria"/>
          <w:sz w:val="20"/>
          <w:szCs w:val="20"/>
        </w:rPr>
        <w:t>In fact, during the entire time she was deprived of her liberty and while the beatings and sexual violence occurred, the perpetrators made it clear that they wanted to punish her for her reporting and intimidate her so that she would not continue her work. Colombia had the obligation to protect journalist Jineth Bedoya from the special risk derived from the practice of journalism that was reported to the authorities on several occasions. As the Inter-American Court has recognized in its decisions in the cases of</w:t>
      </w:r>
      <w:r w:rsidR="00AD31C9" w:rsidRPr="00B8721C">
        <w:rPr>
          <w:rFonts w:ascii="Cambria" w:hAnsi="Cambria"/>
          <w:sz w:val="20"/>
          <w:szCs w:val="20"/>
        </w:rPr>
        <w:t xml:space="preserve"> </w:t>
      </w:r>
      <w:r w:rsidRPr="00B8721C">
        <w:rPr>
          <w:rFonts w:ascii="Cambria" w:hAnsi="Cambria"/>
          <w:i/>
          <w:sz w:val="20"/>
          <w:szCs w:val="20"/>
        </w:rPr>
        <w:t>Vélez Restrepo and Family v</w:t>
      </w:r>
      <w:r w:rsidR="00AD31C9" w:rsidRPr="00B8721C">
        <w:rPr>
          <w:rFonts w:ascii="Cambria" w:hAnsi="Cambria"/>
          <w:i/>
          <w:sz w:val="20"/>
          <w:szCs w:val="20"/>
        </w:rPr>
        <w:t>. Colombia</w:t>
      </w:r>
      <w:r w:rsidR="0025715F" w:rsidRPr="00B8721C">
        <w:rPr>
          <w:rStyle w:val="FootnoteReference"/>
          <w:rFonts w:ascii="Cambria" w:hAnsi="Cambria"/>
          <w:sz w:val="20"/>
          <w:szCs w:val="20"/>
        </w:rPr>
        <w:footnoteReference w:id="194"/>
      </w:r>
      <w:r w:rsidRPr="00B8721C">
        <w:rPr>
          <w:rFonts w:ascii="Cambria" w:hAnsi="Cambria"/>
          <w:sz w:val="20"/>
          <w:szCs w:val="20"/>
        </w:rPr>
        <w:t xml:space="preserve"> and</w:t>
      </w:r>
      <w:r w:rsidR="008B5206" w:rsidRPr="00B8721C">
        <w:rPr>
          <w:rFonts w:ascii="Cambria" w:hAnsi="Cambria"/>
          <w:sz w:val="20"/>
          <w:szCs w:val="20"/>
        </w:rPr>
        <w:t xml:space="preserve"> </w:t>
      </w:r>
      <w:r w:rsidR="008B5206" w:rsidRPr="00B8721C">
        <w:rPr>
          <w:rFonts w:ascii="Cambria" w:hAnsi="Cambria"/>
          <w:i/>
          <w:sz w:val="20"/>
          <w:szCs w:val="20"/>
        </w:rPr>
        <w:t>C</w:t>
      </w:r>
      <w:r w:rsidRPr="00B8721C">
        <w:rPr>
          <w:rFonts w:ascii="Cambria" w:hAnsi="Cambria"/>
          <w:i/>
          <w:sz w:val="20"/>
          <w:szCs w:val="20"/>
        </w:rPr>
        <w:t>arvajal Carvajal et al. v</w:t>
      </w:r>
      <w:r w:rsidR="008B5206" w:rsidRPr="00B8721C">
        <w:rPr>
          <w:rFonts w:ascii="Cambria" w:hAnsi="Cambria"/>
          <w:i/>
          <w:sz w:val="20"/>
          <w:szCs w:val="20"/>
        </w:rPr>
        <w:t>. Colombia</w:t>
      </w:r>
      <w:r w:rsidRPr="00B8721C">
        <w:rPr>
          <w:rFonts w:ascii="Cambria" w:hAnsi="Cambria"/>
          <w:sz w:val="20"/>
          <w:szCs w:val="20"/>
        </w:rPr>
        <w:t>,</w:t>
      </w:r>
      <w:r w:rsidR="008B5206" w:rsidRPr="00B8721C">
        <w:rPr>
          <w:rStyle w:val="FootnoteReference"/>
          <w:rFonts w:ascii="Cambria" w:hAnsi="Cambria"/>
          <w:sz w:val="20"/>
          <w:szCs w:val="20"/>
        </w:rPr>
        <w:footnoteReference w:id="195"/>
      </w:r>
      <w:r w:rsidR="00AD31C9" w:rsidRPr="00B8721C">
        <w:rPr>
          <w:rFonts w:ascii="Cambria" w:hAnsi="Cambria"/>
          <w:sz w:val="20"/>
          <w:szCs w:val="20"/>
        </w:rPr>
        <w:t xml:space="preserve"> </w:t>
      </w:r>
      <w:r w:rsidRPr="00B8721C">
        <w:rPr>
          <w:rFonts w:ascii="Cambria" w:hAnsi="Cambria"/>
          <w:sz w:val="20"/>
          <w:szCs w:val="20"/>
        </w:rPr>
        <w:t>compliance with protection obligations is particularly relevant when the violations against the victim were related to the exercise of his or her right to freedom of expression</w:t>
      </w:r>
      <w:r w:rsidR="0025715F" w:rsidRPr="00B8721C">
        <w:rPr>
          <w:rFonts w:ascii="Cambria" w:hAnsi="Cambria"/>
          <w:sz w:val="20"/>
          <w:szCs w:val="20"/>
        </w:rPr>
        <w:t>.</w:t>
      </w:r>
      <w:r w:rsidR="00EF49C6" w:rsidRPr="00B8721C">
        <w:rPr>
          <w:rFonts w:ascii="Cambria" w:hAnsi="Cambria"/>
          <w:sz w:val="20"/>
          <w:szCs w:val="20"/>
        </w:rPr>
        <w:t xml:space="preserve"> </w:t>
      </w:r>
      <w:r w:rsidRPr="00B8721C">
        <w:rPr>
          <w:rFonts w:ascii="Cambria" w:hAnsi="Cambria"/>
          <w:sz w:val="20"/>
          <w:szCs w:val="20"/>
        </w:rPr>
        <w:t>The failure to comply with this protection obligation prevented the victim from exercising her right to freedom of expression in an environment free from threats, harassment, and violence, and constituted a violation of Article 13 of the American Convention, in relation to Article 1.1. thereof, to the detriment of Jineth Bedoya.</w:t>
      </w:r>
    </w:p>
    <w:p w:rsidR="00C44436" w:rsidRPr="00B8721C" w:rsidRDefault="00C44436" w:rsidP="00C44436">
      <w:pPr>
        <w:pBdr>
          <w:top w:val="none" w:sz="0" w:space="0" w:color="auto"/>
          <w:left w:val="none" w:sz="0" w:space="0" w:color="auto"/>
          <w:bottom w:val="none" w:sz="0" w:space="0" w:color="auto"/>
          <w:right w:val="none" w:sz="0" w:space="0" w:color="auto"/>
          <w:between w:val="none" w:sz="0" w:space="0" w:color="auto"/>
          <w:bar w:val="none" w:sz="0" w:color="auto"/>
        </w:pBdr>
        <w:ind w:left="1080"/>
        <w:jc w:val="both"/>
        <w:rPr>
          <w:sz w:val="20"/>
          <w:szCs w:val="20"/>
        </w:rPr>
      </w:pPr>
    </w:p>
    <w:p w:rsidR="00E277A7" w:rsidRPr="00B8721C" w:rsidRDefault="00C44436" w:rsidP="00E277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sz w:val="20"/>
          <w:szCs w:val="20"/>
        </w:rPr>
      </w:pPr>
      <w:r w:rsidRPr="00B8721C">
        <w:rPr>
          <w:rFonts w:ascii="Cambria" w:hAnsi="Cambria"/>
          <w:sz w:val="20"/>
          <w:szCs w:val="20"/>
        </w:rPr>
        <w:t>Second, the State was under a special obligation to act with due diligence to protect Jineth Bedoya from attacks on her personal safety and acts of sexual violence</w:t>
      </w:r>
      <w:r w:rsidR="00616570" w:rsidRPr="00B8721C">
        <w:rPr>
          <w:rFonts w:ascii="Cambria" w:hAnsi="Cambria"/>
          <w:sz w:val="20"/>
          <w:szCs w:val="20"/>
        </w:rPr>
        <w:t>.</w:t>
      </w:r>
      <w:r w:rsidR="00C464E0" w:rsidRPr="00B8721C">
        <w:rPr>
          <w:rFonts w:ascii="Cambria" w:hAnsi="Cambria"/>
          <w:sz w:val="20"/>
          <w:szCs w:val="20"/>
        </w:rPr>
        <w:t xml:space="preserve"> </w:t>
      </w:r>
      <w:r w:rsidRPr="00B8721C">
        <w:rPr>
          <w:rFonts w:ascii="Cambria" w:hAnsi="Cambria"/>
          <w:sz w:val="20"/>
          <w:szCs w:val="20"/>
        </w:rPr>
        <w:t>The Commission</w:t>
      </w:r>
      <w:r w:rsidR="00C464E0" w:rsidRPr="00B8721C">
        <w:rPr>
          <w:rStyle w:val="FootnoteReference"/>
          <w:rFonts w:ascii="Cambria" w:hAnsi="Cambria"/>
          <w:sz w:val="20"/>
          <w:szCs w:val="20"/>
        </w:rPr>
        <w:footnoteReference w:id="196"/>
      </w:r>
      <w:r w:rsidR="00C464E0" w:rsidRPr="00B8721C">
        <w:rPr>
          <w:rFonts w:ascii="Cambria" w:hAnsi="Cambria"/>
          <w:sz w:val="20"/>
          <w:szCs w:val="20"/>
        </w:rPr>
        <w:t xml:space="preserve"> </w:t>
      </w:r>
      <w:r w:rsidRPr="00B8721C">
        <w:rPr>
          <w:rFonts w:ascii="Cambria" w:hAnsi="Cambria"/>
          <w:sz w:val="20"/>
          <w:szCs w:val="20"/>
        </w:rPr>
        <w:t>and the Inter-American Court have held that rape entails the violation of essential aspects of privacy and the denial of the “right to decide freely with whom to have intimate relations, […] and over basic bodily functions.</w:t>
      </w:r>
      <w:r w:rsidR="00C464E0" w:rsidRPr="00B8721C">
        <w:rPr>
          <w:rFonts w:ascii="Cambria" w:hAnsi="Cambria"/>
          <w:sz w:val="20"/>
          <w:szCs w:val="20"/>
        </w:rPr>
        <w:t>”</w:t>
      </w:r>
      <w:r w:rsidR="00C464E0" w:rsidRPr="00B8721C">
        <w:rPr>
          <w:rStyle w:val="FootnoteReference"/>
          <w:rFonts w:ascii="Cambria" w:hAnsi="Cambria"/>
          <w:sz w:val="20"/>
          <w:szCs w:val="20"/>
        </w:rPr>
        <w:footnoteReference w:id="197"/>
      </w:r>
      <w:r w:rsidR="00C464E0" w:rsidRPr="00B8721C">
        <w:rPr>
          <w:rFonts w:ascii="Cambria" w:hAnsi="Cambria"/>
          <w:sz w:val="20"/>
          <w:szCs w:val="20"/>
        </w:rPr>
        <w:t xml:space="preserve"> </w:t>
      </w:r>
      <w:r w:rsidRPr="00B8721C">
        <w:rPr>
          <w:rFonts w:ascii="Cambria" w:hAnsi="Cambria"/>
          <w:sz w:val="20"/>
          <w:szCs w:val="20"/>
        </w:rPr>
        <w:t xml:space="preserve">Along </w:t>
      </w:r>
      <w:r w:rsidRPr="00B8721C">
        <w:rPr>
          <w:rFonts w:ascii="Cambria" w:hAnsi="Cambria"/>
          <w:sz w:val="20"/>
          <w:szCs w:val="20"/>
        </w:rPr>
        <w:lastRenderedPageBreak/>
        <w:t>the same lines, on the relationship between violence against women and discrimination, the IACHR has observed that violence against women is a form of discrimination that severely impairs the enjoyment of rights and freedoms on an equal footing with men.</w:t>
      </w:r>
    </w:p>
    <w:p w:rsidR="00E277A7" w:rsidRPr="00B8721C" w:rsidRDefault="00E277A7" w:rsidP="00E277A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rPr>
      </w:pPr>
    </w:p>
    <w:p w:rsidR="00326876" w:rsidRPr="00B8721C" w:rsidRDefault="00E277A7" w:rsidP="003268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sz w:val="20"/>
          <w:szCs w:val="20"/>
        </w:rPr>
      </w:pPr>
      <w:r w:rsidRPr="00B8721C">
        <w:rPr>
          <w:rFonts w:ascii="Cambria" w:hAnsi="Cambria"/>
          <w:spacing w:val="-2"/>
          <w:sz w:val="20"/>
          <w:szCs w:val="20"/>
        </w:rPr>
        <w:t>The Commission finds that the sexual violence suffered by Jineth Bedoya is part of the widespread context of sexual violence against women that characterized the Colombian armed conflict and exemplifies the special risks of sexual violence and discrimination to which women journalists are exposed in the practice of their profession because of their gender</w:t>
      </w:r>
      <w:r w:rsidR="00B23F47" w:rsidRPr="00B8721C">
        <w:rPr>
          <w:rFonts w:ascii="Cambria" w:hAnsi="Cambria"/>
          <w:spacing w:val="-2"/>
          <w:sz w:val="20"/>
          <w:szCs w:val="20"/>
        </w:rPr>
        <w:t>.</w:t>
      </w:r>
      <w:r w:rsidR="00B577F2" w:rsidRPr="00B8721C">
        <w:rPr>
          <w:rFonts w:ascii="Cambria" w:hAnsi="Cambria"/>
          <w:spacing w:val="-2"/>
          <w:sz w:val="20"/>
          <w:szCs w:val="20"/>
        </w:rPr>
        <w:t xml:space="preserve"> </w:t>
      </w:r>
      <w:r w:rsidRPr="00B8721C">
        <w:rPr>
          <w:rFonts w:ascii="Cambria" w:hAnsi="Cambria"/>
          <w:spacing w:val="-2"/>
          <w:sz w:val="20"/>
          <w:szCs w:val="20"/>
        </w:rPr>
        <w:t>The IACHR considers that the State failed in its duty, insofar as the national authorities failed to act to protect the journalist from this type of violence, which constitutes a violation of Articles 5</w:t>
      </w:r>
      <w:r w:rsidR="007C2F9E">
        <w:rPr>
          <w:rFonts w:ascii="Cambria" w:hAnsi="Cambria"/>
          <w:spacing w:val="-2"/>
          <w:sz w:val="20"/>
          <w:szCs w:val="20"/>
        </w:rPr>
        <w:t>.1, 5.2</w:t>
      </w:r>
      <w:r w:rsidRPr="00B8721C">
        <w:rPr>
          <w:rFonts w:ascii="Cambria" w:hAnsi="Cambria"/>
          <w:spacing w:val="-2"/>
          <w:sz w:val="20"/>
          <w:szCs w:val="20"/>
        </w:rPr>
        <w:t xml:space="preserve">, 11, and 24 of the American Convention, in relation to the obligations contained in Article 1.1 thereof, Article 7b of the Convention of Belém do Pará, and Articles 1 and 6 of the </w:t>
      </w:r>
      <w:r w:rsidRPr="00B8721C">
        <w:rPr>
          <w:rFonts w:ascii="Cambria" w:hAnsi="Cambria"/>
          <w:color w:val="000000"/>
          <w:sz w:val="20"/>
          <w:szCs w:val="20"/>
        </w:rPr>
        <w:t>IACPPT</w:t>
      </w:r>
      <w:r w:rsidRPr="00B8721C">
        <w:rPr>
          <w:rFonts w:ascii="Cambria" w:hAnsi="Cambria"/>
          <w:spacing w:val="-2"/>
          <w:sz w:val="20"/>
          <w:szCs w:val="20"/>
        </w:rPr>
        <w:t>.</w:t>
      </w:r>
    </w:p>
    <w:p w:rsidR="00326876" w:rsidRPr="00B8721C" w:rsidRDefault="00326876" w:rsidP="0032687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rPr>
      </w:pPr>
    </w:p>
    <w:p w:rsidR="009601FE" w:rsidRPr="00A04A98" w:rsidRDefault="00326876" w:rsidP="009601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sz w:val="20"/>
          <w:szCs w:val="20"/>
        </w:rPr>
      </w:pPr>
      <w:r w:rsidRPr="00B8721C">
        <w:rPr>
          <w:rFonts w:ascii="Cambria" w:hAnsi="Cambria"/>
          <w:sz w:val="20"/>
          <w:szCs w:val="20"/>
        </w:rPr>
        <w:t xml:space="preserve">Third, it is clear from the established facts that as a consequence of the risk faced by Jineth Bedoya and the lack of effective protective measures taken by the State, she was forced to leave the country temporarily in 1999, as a security measure taken by the media outlet where she worked. The threats against her led to significant insecurity and a well-founded fear in the journalist that her rights to life and humane treatment were at risk of being violated if she remained in Colombia. The bodies of the inter-American system have established in several matters that the right of movement and residence, protected under Article 22.1 of the American Convention, is an indispensable condition for the free development of the person, and includes, </w:t>
      </w:r>
      <w:r w:rsidRPr="00B8721C">
        <w:rPr>
          <w:rFonts w:ascii="Cambria" w:hAnsi="Cambria"/>
          <w:i/>
          <w:sz w:val="20"/>
          <w:szCs w:val="20"/>
        </w:rPr>
        <w:t>inter alia</w:t>
      </w:r>
      <w:r w:rsidRPr="00B8721C">
        <w:rPr>
          <w:rFonts w:ascii="Cambria" w:hAnsi="Cambria"/>
          <w:sz w:val="20"/>
          <w:szCs w:val="20"/>
        </w:rPr>
        <w:t>, the right of those who are legally within a State to move freely within it as well as to choose their place of residence</w:t>
      </w:r>
      <w:r w:rsidR="001D099D" w:rsidRPr="00B8721C">
        <w:rPr>
          <w:rFonts w:ascii="Cambria" w:hAnsi="Cambria"/>
          <w:sz w:val="20"/>
          <w:szCs w:val="20"/>
        </w:rPr>
        <w:t xml:space="preserve">. </w:t>
      </w:r>
      <w:r w:rsidRPr="00B8721C">
        <w:rPr>
          <w:rFonts w:ascii="Cambria" w:hAnsi="Cambria"/>
          <w:sz w:val="20"/>
          <w:szCs w:val="20"/>
        </w:rPr>
        <w:t>This right can be violated by de facto restrictions when the State has failed to create the conditions for exercising it. Such de facto restrictions may occur when a person is the victim of threats or harassment and the State does not provide the necessary guarantees to enable him or her to move and reside freely in the territory in question.</w:t>
      </w:r>
      <w:r w:rsidR="001D099D" w:rsidRPr="00B8721C">
        <w:rPr>
          <w:rStyle w:val="FootnoteReference"/>
          <w:rFonts w:ascii="Cambria" w:hAnsi="Cambria"/>
          <w:sz w:val="20"/>
          <w:szCs w:val="20"/>
        </w:rPr>
        <w:footnoteReference w:id="198"/>
      </w:r>
      <w:r w:rsidR="001D099D" w:rsidRPr="00B8721C">
        <w:rPr>
          <w:rFonts w:ascii="Cambria" w:hAnsi="Cambria"/>
          <w:sz w:val="20"/>
          <w:szCs w:val="20"/>
        </w:rPr>
        <w:t xml:space="preserve"> </w:t>
      </w:r>
      <w:r w:rsidRPr="00B8721C">
        <w:rPr>
          <w:rFonts w:ascii="Cambria" w:hAnsi="Cambria"/>
          <w:sz w:val="20"/>
          <w:szCs w:val="20"/>
        </w:rPr>
        <w:t>Furthermore, the Inter-American Court has held that the lack of an effective investigation into violent acts may lead to or prolong forced exile or displacement.</w:t>
      </w:r>
      <w:r w:rsidR="001D099D" w:rsidRPr="00B8721C">
        <w:rPr>
          <w:rStyle w:val="FootnoteReference"/>
          <w:rFonts w:ascii="Cambria" w:hAnsi="Cambria"/>
          <w:sz w:val="20"/>
          <w:szCs w:val="20"/>
        </w:rPr>
        <w:footnoteReference w:id="199"/>
      </w:r>
    </w:p>
    <w:p w:rsidR="00A04A98" w:rsidRPr="00B8721C" w:rsidRDefault="00A04A98" w:rsidP="00A04A9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rPr>
      </w:pPr>
    </w:p>
    <w:p w:rsidR="009601FE" w:rsidRPr="00B8721C" w:rsidRDefault="009601FE" w:rsidP="009601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sz w:val="20"/>
          <w:szCs w:val="20"/>
        </w:rPr>
      </w:pPr>
      <w:r w:rsidRPr="00B8721C">
        <w:rPr>
          <w:rFonts w:ascii="Cambria" w:hAnsi="Cambria"/>
          <w:sz w:val="20"/>
          <w:szCs w:val="20"/>
        </w:rPr>
        <w:t xml:space="preserve">In this case, the IACHR considers that the </w:t>
      </w:r>
      <w:r w:rsidR="0082252F">
        <w:rPr>
          <w:rFonts w:ascii="Cambria" w:hAnsi="Cambria"/>
          <w:sz w:val="20"/>
          <w:szCs w:val="20"/>
        </w:rPr>
        <w:t>journalist’s</w:t>
      </w:r>
      <w:r w:rsidRPr="00B8721C">
        <w:rPr>
          <w:rFonts w:ascii="Cambria" w:hAnsi="Cambria"/>
          <w:sz w:val="20"/>
          <w:szCs w:val="20"/>
        </w:rPr>
        <w:t xml:space="preserve"> temporary exile is one of the foreseeable consequences of the threats against her and the lack of protection attributable to the State. The IACHR therefore considers that, in the present case, there were de facto restrictions on journalist Jineth Bedoya's right to freedom of movement and residence.</w:t>
      </w:r>
    </w:p>
    <w:p w:rsidR="009601FE" w:rsidRPr="00B8721C" w:rsidRDefault="009601FE" w:rsidP="009601F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rPr>
      </w:pPr>
    </w:p>
    <w:p w:rsidR="00A84BBB" w:rsidRPr="00B8721C" w:rsidRDefault="009601FE" w:rsidP="009601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b/>
          <w:sz w:val="20"/>
          <w:szCs w:val="20"/>
        </w:rPr>
      </w:pPr>
      <w:r w:rsidRPr="00B8721C">
        <w:rPr>
          <w:rFonts w:ascii="Cambria" w:hAnsi="Cambria"/>
          <w:sz w:val="20"/>
          <w:szCs w:val="20"/>
        </w:rPr>
        <w:t>In conclusion, the IACHR finds the Colombian State responsible for the violation of Articles 4</w:t>
      </w:r>
      <w:r w:rsidR="007C2F9E">
        <w:rPr>
          <w:rFonts w:ascii="Cambria" w:hAnsi="Cambria"/>
          <w:sz w:val="20"/>
          <w:szCs w:val="20"/>
        </w:rPr>
        <w:t>.1</w:t>
      </w:r>
      <w:r w:rsidRPr="00B8721C">
        <w:rPr>
          <w:rFonts w:ascii="Cambria" w:hAnsi="Cambria"/>
          <w:sz w:val="20"/>
          <w:szCs w:val="20"/>
        </w:rPr>
        <w:t>, 5</w:t>
      </w:r>
      <w:r w:rsidR="007C2F9E">
        <w:rPr>
          <w:rFonts w:ascii="Cambria" w:hAnsi="Cambria"/>
          <w:sz w:val="20"/>
          <w:szCs w:val="20"/>
        </w:rPr>
        <w:t>.1, 5.2</w:t>
      </w:r>
      <w:r w:rsidRPr="00B8721C">
        <w:rPr>
          <w:rFonts w:ascii="Cambria" w:hAnsi="Cambria"/>
          <w:sz w:val="20"/>
          <w:szCs w:val="20"/>
        </w:rPr>
        <w:t>, 7, 11, 13, and 24 of the American Convention, in relation to Article 1.1 thereof, Article 7b of the Convention of Belém do Pará, and Articles 1 and 6 of the IACPPT, to the detriment of Jineth Bedoya Lima.</w:t>
      </w:r>
    </w:p>
    <w:p w:rsidR="009601FE" w:rsidRPr="00B8721C" w:rsidRDefault="009601FE" w:rsidP="005A03C0">
      <w:pPr>
        <w:ind w:left="1440"/>
        <w:rPr>
          <w:rFonts w:ascii="Cambria" w:hAnsi="Cambria"/>
          <w:sz w:val="20"/>
          <w:szCs w:val="20"/>
        </w:rPr>
      </w:pPr>
    </w:p>
    <w:p w:rsidR="00F269B5" w:rsidRPr="00B8721C" w:rsidRDefault="005546F2" w:rsidP="005546F2">
      <w:pPr>
        <w:rPr>
          <w:rFonts w:ascii="Cambria" w:hAnsi="Cambria"/>
          <w:sz w:val="20"/>
          <w:szCs w:val="20"/>
        </w:rPr>
      </w:pPr>
      <w:r w:rsidRPr="00B8721C">
        <w:rPr>
          <w:rFonts w:ascii="Cambria" w:hAnsi="Cambria"/>
          <w:sz w:val="20"/>
          <w:szCs w:val="20"/>
          <w:u w:val="single"/>
        </w:rPr>
        <w:t>The duty to protect through an effective investigation of the threats and risks facing Jineth Bedoya</w:t>
      </w:r>
    </w:p>
    <w:p w:rsidR="00A515BA" w:rsidRPr="00B8721C" w:rsidRDefault="00A515BA" w:rsidP="00A515B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85068F" w:rsidRPr="00B8721C" w:rsidRDefault="005546F2" w:rsidP="0085068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 xml:space="preserve">In its decisions in the cases of </w:t>
      </w:r>
      <w:r w:rsidRPr="00B8721C">
        <w:rPr>
          <w:rFonts w:ascii="Cambria" w:hAnsi="Cambria"/>
          <w:i/>
          <w:sz w:val="20"/>
          <w:szCs w:val="20"/>
        </w:rPr>
        <w:t>Vélez Restrepo and Family v. Colombia</w:t>
      </w:r>
      <w:r w:rsidRPr="00B8721C">
        <w:rPr>
          <w:rFonts w:ascii="Cambria" w:hAnsi="Cambria"/>
          <w:sz w:val="20"/>
          <w:szCs w:val="20"/>
          <w:bdr w:val="none" w:sz="0" w:space="0" w:color="auto"/>
        </w:rPr>
        <w:t xml:space="preserve"> </w:t>
      </w:r>
      <w:r w:rsidRPr="00B8721C">
        <w:rPr>
          <w:rFonts w:ascii="Cambria" w:hAnsi="Cambria"/>
          <w:sz w:val="20"/>
          <w:szCs w:val="20"/>
        </w:rPr>
        <w:t xml:space="preserve">and </w:t>
      </w:r>
      <w:r w:rsidRPr="00B8721C">
        <w:rPr>
          <w:rFonts w:ascii="Cambria" w:hAnsi="Cambria"/>
          <w:i/>
          <w:sz w:val="20"/>
          <w:szCs w:val="20"/>
        </w:rPr>
        <w:t>Carvajal Carvajal et al. v. Colombia</w:t>
      </w:r>
      <w:r w:rsidR="00A515BA"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the Inter-American Court found that the failure to comply with the obligation to investigate acts of violence against a journalist amounts to a breach of the obligations to respect and guarantee the right to freedom of thought and expression as well as the rights to life and/or humane treatment, depending on the consequences of the act of violence.</w:t>
      </w:r>
      <w:r w:rsidR="00A515BA" w:rsidRPr="00B8721C">
        <w:rPr>
          <w:rFonts w:ascii="Cambria" w:hAnsi="Cambria"/>
          <w:sz w:val="20"/>
          <w:szCs w:val="20"/>
          <w:bdr w:val="none" w:sz="0" w:space="0" w:color="auto"/>
          <w:vertAlign w:val="superscript"/>
        </w:rPr>
        <w:footnoteReference w:id="200"/>
      </w:r>
      <w:r w:rsidR="00A515BA"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 xml:space="preserve">In this regard, the Inter-American Court has emphasized that in order to determine whether the obligation to protect the rights to life, to humane treatment, and personal liberty by </w:t>
      </w:r>
      <w:r w:rsidRPr="00B8721C">
        <w:rPr>
          <w:rFonts w:ascii="Cambria" w:hAnsi="Cambria"/>
          <w:sz w:val="20"/>
          <w:szCs w:val="20"/>
          <w:bdr w:val="none" w:sz="0" w:space="0" w:color="auto"/>
        </w:rPr>
        <w:lastRenderedPageBreak/>
        <w:t>means of a serious investigation of the events has been fully met, it is necessary to examine the domestic proceedings initiated to establish the facts of those events.</w:t>
      </w:r>
    </w:p>
    <w:p w:rsidR="0085068F" w:rsidRPr="00B8721C" w:rsidRDefault="0085068F" w:rsidP="0085068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2F022C" w:rsidRPr="00B8721C" w:rsidRDefault="0085068F" w:rsidP="002F0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As has been established, Jineth Bedoya was the victim of continuous threats before her abduction on May 25, 2000, and State authorities were aware of these threats. However, the IACHR has no information on the opening of criminal investigations aimed at identifying the source of the threats or that may have linked them to each other</w:t>
      </w:r>
      <w:r w:rsidR="00613FDD" w:rsidRPr="00B8721C">
        <w:rPr>
          <w:rFonts w:ascii="Cambria" w:hAnsi="Cambria"/>
          <w:sz w:val="20"/>
          <w:szCs w:val="20"/>
        </w:rPr>
        <w:t>.</w:t>
      </w:r>
      <w:r w:rsidR="00CA582F" w:rsidRPr="00B8721C">
        <w:rPr>
          <w:rFonts w:ascii="Cambria" w:hAnsi="Cambria"/>
          <w:sz w:val="20"/>
          <w:szCs w:val="20"/>
        </w:rPr>
        <w:t xml:space="preserve"> </w:t>
      </w:r>
      <w:r w:rsidRPr="00B8721C">
        <w:rPr>
          <w:rFonts w:ascii="Cambria" w:hAnsi="Cambria"/>
          <w:sz w:val="20"/>
          <w:szCs w:val="20"/>
        </w:rPr>
        <w:t>In fact, the Commission notes that there is no evidence in the case file that any investigation was carried out to establish the origin of the threats reported prior to the events of May 25, 2000 and to punish those responsible, and that this contributed to the failure to protect the victim. Moreover, as discussed in the following section, the IACHR is of the opinion that the measures taken to advance the investigation into the kidnapping, torture, and sexual violence against Jineth Bedoya were inadequate and insufficient to satisfy its obligation to conduct a thorough and diligent investigation, given the seriousness of the crime under investigation and the enhanced obligations in this area</w:t>
      </w:r>
      <w:r w:rsidR="00A515BA" w:rsidRPr="00B8721C">
        <w:rPr>
          <w:rFonts w:ascii="Cambria" w:hAnsi="Cambria"/>
          <w:bCs/>
          <w:sz w:val="20"/>
          <w:szCs w:val="20"/>
        </w:rPr>
        <w:t>.</w:t>
      </w:r>
    </w:p>
    <w:p w:rsidR="002F022C" w:rsidRPr="00B8721C" w:rsidRDefault="002F022C" w:rsidP="002F022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A84BBB" w:rsidRPr="00B8721C" w:rsidRDefault="002F022C" w:rsidP="002F0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 xml:space="preserve">The Commission finds </w:t>
      </w:r>
      <w:r w:rsidRPr="00635B5B">
        <w:rPr>
          <w:rFonts w:ascii="Cambria" w:hAnsi="Cambria"/>
          <w:sz w:val="20"/>
          <w:szCs w:val="20"/>
        </w:rPr>
        <w:t>that the lack of effective investigations into these events constitutes a breach of the duty to guarantee the rights of Jineth Bedoya protected in Articles 4</w:t>
      </w:r>
      <w:r w:rsidR="007C2F9E">
        <w:rPr>
          <w:rFonts w:ascii="Cambria" w:hAnsi="Cambria"/>
          <w:sz w:val="20"/>
          <w:szCs w:val="20"/>
        </w:rPr>
        <w:t>.1</w:t>
      </w:r>
      <w:r w:rsidRPr="00635B5B">
        <w:rPr>
          <w:rFonts w:ascii="Cambria" w:hAnsi="Cambria"/>
          <w:sz w:val="20"/>
          <w:szCs w:val="20"/>
        </w:rPr>
        <w:t>, 5</w:t>
      </w:r>
      <w:r w:rsidR="007C2F9E">
        <w:rPr>
          <w:rFonts w:ascii="Cambria" w:hAnsi="Cambria"/>
          <w:sz w:val="20"/>
          <w:szCs w:val="20"/>
        </w:rPr>
        <w:t>.1, 5.2</w:t>
      </w:r>
      <w:r w:rsidRPr="00635B5B">
        <w:rPr>
          <w:rFonts w:ascii="Cambria" w:hAnsi="Cambria"/>
          <w:sz w:val="20"/>
          <w:szCs w:val="20"/>
        </w:rPr>
        <w:t xml:space="preserve">, 7, 11, and 13 of the American Convention, in relation to Article 1(1) thereof, Article 7(b) of the Convention of Belém do Pará, and Articles 1 and 6 of the </w:t>
      </w:r>
      <w:r w:rsidR="00792493" w:rsidRPr="00635B5B">
        <w:rPr>
          <w:rFonts w:ascii="Cambria" w:hAnsi="Cambria"/>
          <w:sz w:val="20"/>
          <w:szCs w:val="20"/>
        </w:rPr>
        <w:t>IACPPT</w:t>
      </w:r>
      <w:r w:rsidR="00C42179" w:rsidRPr="00635B5B">
        <w:rPr>
          <w:rFonts w:ascii="Cambria" w:hAnsi="Cambria"/>
          <w:sz w:val="20"/>
          <w:szCs w:val="20"/>
        </w:rPr>
        <w:t>.</w:t>
      </w:r>
      <w:r w:rsidR="00A515BA" w:rsidRPr="00B8721C">
        <w:rPr>
          <w:rFonts w:ascii="Cambria" w:hAnsi="Cambria"/>
          <w:sz w:val="20"/>
          <w:szCs w:val="20"/>
        </w:rPr>
        <w:t xml:space="preserve"> </w:t>
      </w:r>
    </w:p>
    <w:p w:rsidR="00B86176" w:rsidRPr="00B8721C" w:rsidRDefault="007A6526" w:rsidP="00A04A98">
      <w:pPr>
        <w:pStyle w:val="Heading3"/>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1440" w:hanging="720"/>
        <w:rPr>
          <w:rFonts w:cs="Cambria"/>
          <w:u w:color="000000"/>
          <w:lang w:val="en-US" w:eastAsia="es-ES"/>
        </w:rPr>
      </w:pPr>
      <w:bookmarkStart w:id="29" w:name="_Toc433650906"/>
      <w:bookmarkStart w:id="30" w:name="_Toc433651008"/>
      <w:bookmarkStart w:id="31" w:name="_Toc438128517"/>
      <w:bookmarkStart w:id="32" w:name="_Toc534731309"/>
      <w:r w:rsidRPr="00B8721C">
        <w:rPr>
          <w:rFonts w:cs="Cambria"/>
          <w:u w:color="000000"/>
          <w:lang w:val="en-US" w:eastAsia="es-ES"/>
        </w:rPr>
        <w:t xml:space="preserve">Analysis of the rights to a fair trial, judicial protection, and the duty to investigate (Articles </w:t>
      </w:r>
      <w:r w:rsidR="00B86176" w:rsidRPr="00B8721C">
        <w:rPr>
          <w:rFonts w:cs="Cambria"/>
          <w:u w:color="000000"/>
          <w:lang w:val="en-US" w:eastAsia="es-ES"/>
        </w:rPr>
        <w:t>8.1</w:t>
      </w:r>
      <w:r w:rsidR="002C6C7B" w:rsidRPr="00B8721C">
        <w:rPr>
          <w:rStyle w:val="FootnoteReference"/>
          <w:rFonts w:cs="Cambria"/>
          <w:u w:color="000000"/>
          <w:lang w:val="en-US" w:eastAsia="es-ES"/>
        </w:rPr>
        <w:footnoteReference w:id="201"/>
      </w:r>
      <w:r w:rsidR="007C2F9E">
        <w:rPr>
          <w:rFonts w:cs="Cambria"/>
          <w:u w:color="000000"/>
          <w:lang w:val="en-US" w:eastAsia="es-ES"/>
        </w:rPr>
        <w:t>, 5</w:t>
      </w:r>
      <w:r w:rsidR="00D80751" w:rsidRPr="00B8721C">
        <w:rPr>
          <w:rFonts w:cs="Cambria"/>
          <w:u w:color="000000"/>
          <w:lang w:val="en-US" w:eastAsia="es-ES"/>
        </w:rPr>
        <w:t xml:space="preserve">, </w:t>
      </w:r>
      <w:r w:rsidR="004A0B76" w:rsidRPr="00B8721C">
        <w:rPr>
          <w:rFonts w:cs="Cambria"/>
          <w:u w:color="000000"/>
          <w:lang w:val="en-US" w:eastAsia="es-ES"/>
        </w:rPr>
        <w:t xml:space="preserve">11, </w:t>
      </w:r>
      <w:r w:rsidR="00F445D6" w:rsidRPr="00B8721C">
        <w:rPr>
          <w:lang w:val="en-US"/>
        </w:rPr>
        <w:t xml:space="preserve">13, </w:t>
      </w:r>
      <w:r w:rsidRPr="00B8721C">
        <w:rPr>
          <w:rFonts w:cs="Cambria"/>
          <w:u w:color="000000"/>
          <w:lang w:val="en-US" w:eastAsia="es-ES"/>
        </w:rPr>
        <w:t>and</w:t>
      </w:r>
      <w:r w:rsidR="00B86176" w:rsidRPr="00B8721C">
        <w:rPr>
          <w:rFonts w:cs="Cambria"/>
          <w:u w:color="000000"/>
          <w:lang w:val="en-US" w:eastAsia="es-ES"/>
        </w:rPr>
        <w:t xml:space="preserve"> 25.1</w:t>
      </w:r>
      <w:r w:rsidR="002C6C7B" w:rsidRPr="00B8721C">
        <w:rPr>
          <w:rStyle w:val="FootnoteReference"/>
          <w:rFonts w:cs="Cambria"/>
          <w:u w:color="000000"/>
          <w:lang w:val="en-US" w:eastAsia="es-ES"/>
        </w:rPr>
        <w:footnoteReference w:id="202"/>
      </w:r>
      <w:r w:rsidR="00B86176" w:rsidRPr="00B8721C">
        <w:rPr>
          <w:rFonts w:cs="Cambria"/>
          <w:u w:color="000000"/>
          <w:lang w:val="en-US" w:eastAsia="es-ES"/>
        </w:rPr>
        <w:t xml:space="preserve"> </w:t>
      </w:r>
      <w:r w:rsidRPr="00B8721C">
        <w:rPr>
          <w:rFonts w:cs="Cambria"/>
          <w:u w:color="000000"/>
          <w:lang w:val="en-US" w:eastAsia="es-ES"/>
        </w:rPr>
        <w:t xml:space="preserve">of the American Convention, Articles 1, 6, and </w:t>
      </w:r>
      <w:r w:rsidR="00B86176" w:rsidRPr="00B8721C">
        <w:rPr>
          <w:rFonts w:cs="Cambria"/>
          <w:u w:color="000000"/>
          <w:lang w:val="en-US" w:eastAsia="es-ES"/>
        </w:rPr>
        <w:t>8</w:t>
      </w:r>
      <w:r w:rsidR="002C6C7B" w:rsidRPr="00B8721C">
        <w:rPr>
          <w:rStyle w:val="FootnoteReference"/>
          <w:rFonts w:cs="Cambria"/>
          <w:u w:color="000000"/>
          <w:lang w:val="en-US" w:eastAsia="es-ES"/>
        </w:rPr>
        <w:footnoteReference w:id="203"/>
      </w:r>
      <w:r w:rsidR="00B86176" w:rsidRPr="00B8721C">
        <w:rPr>
          <w:rFonts w:cs="Cambria"/>
          <w:u w:color="000000"/>
          <w:lang w:val="en-US" w:eastAsia="es-ES"/>
        </w:rPr>
        <w:t xml:space="preserve"> </w:t>
      </w:r>
      <w:bookmarkEnd w:id="29"/>
      <w:bookmarkEnd w:id="30"/>
      <w:bookmarkEnd w:id="31"/>
      <w:r w:rsidRPr="00B8721C">
        <w:rPr>
          <w:rFonts w:cs="Cambria"/>
          <w:u w:color="000000"/>
          <w:lang w:val="en-US" w:eastAsia="es-ES"/>
        </w:rPr>
        <w:t xml:space="preserve">of the IACPPT, and Article 7 of the Convention of </w:t>
      </w:r>
      <w:r w:rsidR="00E277A7" w:rsidRPr="00B8721C">
        <w:rPr>
          <w:rFonts w:cs="Cambria"/>
          <w:u w:color="000000"/>
          <w:lang w:val="en-US" w:eastAsia="es-ES"/>
        </w:rPr>
        <w:t>Belém do Pará</w:t>
      </w:r>
      <w:r w:rsidRPr="00B8721C">
        <w:rPr>
          <w:rFonts w:cs="Cambria"/>
          <w:u w:color="000000"/>
          <w:lang w:val="en-US" w:eastAsia="es-ES"/>
        </w:rPr>
        <w:t>)</w:t>
      </w:r>
      <w:bookmarkEnd w:id="32"/>
    </w:p>
    <w:p w:rsidR="008B5206" w:rsidRPr="00B8721C" w:rsidRDefault="008B5206" w:rsidP="008B5206">
      <w:pPr>
        <w:rPr>
          <w:lang w:eastAsia="es-ES"/>
        </w:rPr>
      </w:pPr>
    </w:p>
    <w:p w:rsidR="00D80751" w:rsidRPr="00B8721C" w:rsidRDefault="00BF7AE5" w:rsidP="00117834">
      <w:pPr>
        <w:pStyle w:val="Heading3"/>
        <w:numPr>
          <w:ilvl w:val="0"/>
          <w:numId w:val="62"/>
        </w:numPr>
        <w:ind w:left="1440" w:hanging="720"/>
        <w:rPr>
          <w:bdr w:val="none" w:sz="0" w:space="0" w:color="auto"/>
          <w:lang w:val="en-US"/>
        </w:rPr>
      </w:pPr>
      <w:bookmarkStart w:id="33" w:name="_Toc534731310"/>
      <w:r w:rsidRPr="00B8721C">
        <w:rPr>
          <w:bdr w:val="none" w:sz="0" w:space="0" w:color="auto"/>
          <w:lang w:val="en-US"/>
        </w:rPr>
        <w:t>General considerations on the obligation to investigate, prosecute and, where appropriate, punish the perpetrators</w:t>
      </w:r>
      <w:bookmarkEnd w:id="33"/>
    </w:p>
    <w:p w:rsidR="00D80751" w:rsidRPr="00B8721C" w:rsidRDefault="00D80751" w:rsidP="005A03C0">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Cambria" w:hAnsi="Cambria"/>
          <w:sz w:val="20"/>
          <w:szCs w:val="20"/>
          <w:bdr w:val="none" w:sz="0" w:space="0" w:color="auto"/>
        </w:rPr>
      </w:pPr>
    </w:p>
    <w:p w:rsidR="00AC5CEB" w:rsidRPr="00B8721C" w:rsidRDefault="00D37A1B" w:rsidP="00AC5C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bdr w:val="none" w:sz="0" w:space="0" w:color="auto"/>
        </w:rPr>
        <w:t>As the Inter-American Court has pointed out consistently in its case law, the State's obligation to investigate cases of human rights violations stems from the general obligation to guarantee the rights established in Articles 1(1), 8, and 25 of the American Convention, in addition to the substantive right that must be protected or ensured.</w:t>
      </w:r>
      <w:r w:rsidR="00D80751" w:rsidRPr="00B8721C">
        <w:rPr>
          <w:rFonts w:ascii="Cambria" w:hAnsi="Cambria"/>
          <w:sz w:val="20"/>
          <w:szCs w:val="20"/>
          <w:bdr w:val="none" w:sz="0" w:space="0" w:color="auto"/>
          <w:vertAlign w:val="superscript"/>
        </w:rPr>
        <w:footnoteReference w:id="204"/>
      </w:r>
      <w:r w:rsidR="00D80751"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In keeping with this obligation, the authorities must investigate any conduct that affects the enjoyment of the rights enshrined in the Convention</w:t>
      </w:r>
      <w:r w:rsidR="00D80751"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In particular, the Court has held that in cases of violent death,</w:t>
      </w:r>
      <w:r w:rsidR="00D80751" w:rsidRPr="00B8721C">
        <w:rPr>
          <w:rFonts w:ascii="Cambria" w:hAnsi="Cambria"/>
          <w:sz w:val="20"/>
          <w:szCs w:val="20"/>
          <w:bdr w:val="none" w:sz="0" w:space="0" w:color="auto"/>
        </w:rPr>
        <w:t xml:space="preserve"> </w:t>
      </w:r>
      <w:r w:rsidR="00D80751" w:rsidRPr="00B8721C">
        <w:rPr>
          <w:rFonts w:ascii="Cambria" w:hAnsi="Cambria"/>
          <w:color w:val="000000"/>
          <w:sz w:val="20"/>
          <w:szCs w:val="20"/>
          <w:bdr w:val="none" w:sz="0" w:space="0" w:color="auto"/>
        </w:rPr>
        <w:t>“</w:t>
      </w:r>
      <w:r w:rsidRPr="00B8721C">
        <w:rPr>
          <w:rFonts w:ascii="Cambria" w:hAnsi="Cambria"/>
          <w:color w:val="000000"/>
          <w:sz w:val="20"/>
          <w:szCs w:val="20"/>
          <w:bdr w:val="none" w:sz="0" w:space="0" w:color="auto"/>
        </w:rPr>
        <w:t xml:space="preserve">the performance of an </w:t>
      </w:r>
      <w:r w:rsidRPr="00B8721C">
        <w:rPr>
          <w:rFonts w:ascii="Cambria" w:hAnsi="Cambria"/>
          <w:i/>
          <w:color w:val="000000"/>
          <w:sz w:val="20"/>
          <w:szCs w:val="20"/>
          <w:bdr w:val="none" w:sz="0" w:space="0" w:color="auto"/>
        </w:rPr>
        <w:t>ex officio</w:t>
      </w:r>
      <w:r w:rsidRPr="00B8721C">
        <w:rPr>
          <w:rFonts w:ascii="Cambria" w:hAnsi="Cambria"/>
          <w:color w:val="000000"/>
          <w:sz w:val="20"/>
          <w:szCs w:val="20"/>
          <w:bdr w:val="none" w:sz="0" w:space="0" w:color="auto"/>
        </w:rPr>
        <w:t xml:space="preserve">, prompt, serious, impartial and effective </w:t>
      </w:r>
      <w:r w:rsidRPr="00B8721C">
        <w:rPr>
          <w:rFonts w:ascii="Cambria" w:hAnsi="Cambria"/>
          <w:color w:val="000000"/>
          <w:sz w:val="20"/>
          <w:szCs w:val="20"/>
          <w:bdr w:val="none" w:sz="0" w:space="0" w:color="auto"/>
        </w:rPr>
        <w:lastRenderedPageBreak/>
        <w:t>investigation constitutes a fundamental element essential for the protection of the rights affected in these situations.</w:t>
      </w:r>
      <w:r w:rsidR="00D80751" w:rsidRPr="00B8721C">
        <w:rPr>
          <w:rFonts w:ascii="Cambria" w:hAnsi="Cambria"/>
          <w:color w:val="000000"/>
          <w:sz w:val="20"/>
          <w:szCs w:val="20"/>
          <w:bdr w:val="none" w:sz="0" w:space="0" w:color="auto"/>
        </w:rPr>
        <w:t>”</w:t>
      </w:r>
      <w:r w:rsidR="00D80751" w:rsidRPr="00B8721C">
        <w:rPr>
          <w:rFonts w:ascii="Cambria" w:hAnsi="Cambria"/>
          <w:sz w:val="20"/>
          <w:szCs w:val="20"/>
          <w:bdr w:val="none" w:sz="0" w:space="0" w:color="auto"/>
          <w:vertAlign w:val="superscript"/>
        </w:rPr>
        <w:footnoteReference w:id="205"/>
      </w:r>
    </w:p>
    <w:p w:rsidR="00AC5CEB" w:rsidRPr="00B8721C" w:rsidRDefault="00AC5CEB" w:rsidP="00AC5C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AC5CEB" w:rsidRPr="00B8721C" w:rsidRDefault="00891925" w:rsidP="00AC5C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rPr>
        <w:t>The Court has established that, under Articles 8(1) and 25(1) of the American Convention, States are obligated to provide effective judicial remedies to victims of human rights violations.</w:t>
      </w:r>
      <w:r w:rsidR="006B5C41" w:rsidRPr="00B8721C">
        <w:rPr>
          <w:rStyle w:val="FootnoteReference"/>
          <w:rFonts w:ascii="Cambria" w:hAnsi="Cambria"/>
          <w:sz w:val="20"/>
          <w:szCs w:val="20"/>
        </w:rPr>
        <w:footnoteReference w:id="206"/>
      </w:r>
      <w:r w:rsidR="006B5C41" w:rsidRPr="00B8721C">
        <w:rPr>
          <w:rFonts w:ascii="Cambria" w:hAnsi="Cambria"/>
          <w:sz w:val="20"/>
          <w:szCs w:val="20"/>
        </w:rPr>
        <w:t xml:space="preserve"> </w:t>
      </w:r>
      <w:r w:rsidRPr="00B8721C">
        <w:rPr>
          <w:rFonts w:ascii="Cambria" w:hAnsi="Cambria"/>
          <w:sz w:val="20"/>
          <w:szCs w:val="20"/>
        </w:rPr>
        <w:t xml:space="preserve">Such remedies must be </w:t>
      </w:r>
      <w:r w:rsidR="0095585D" w:rsidRPr="00B8721C">
        <w:rPr>
          <w:rFonts w:ascii="Cambria" w:hAnsi="Cambria"/>
          <w:sz w:val="20"/>
          <w:szCs w:val="20"/>
        </w:rPr>
        <w:t>adjudicated</w:t>
      </w:r>
      <w:r w:rsidRPr="00B8721C">
        <w:rPr>
          <w:rFonts w:ascii="Cambria" w:hAnsi="Cambria"/>
          <w:sz w:val="20"/>
          <w:szCs w:val="20"/>
        </w:rPr>
        <w:t xml:space="preserve"> in accordance with the rules of due process.</w:t>
      </w:r>
      <w:r w:rsidR="006B5C41" w:rsidRPr="00B8721C">
        <w:rPr>
          <w:rStyle w:val="FootnoteReference"/>
          <w:rFonts w:ascii="Cambria" w:hAnsi="Cambria"/>
          <w:sz w:val="20"/>
          <w:szCs w:val="20"/>
        </w:rPr>
        <w:footnoteReference w:id="207"/>
      </w:r>
      <w:r w:rsidR="006B5C41" w:rsidRPr="00B8721C">
        <w:rPr>
          <w:rFonts w:ascii="Cambria" w:hAnsi="Cambria"/>
          <w:sz w:val="20"/>
          <w:szCs w:val="20"/>
        </w:rPr>
        <w:t xml:space="preserve"> </w:t>
      </w:r>
      <w:r w:rsidR="0095585D" w:rsidRPr="00B8721C">
        <w:rPr>
          <w:rFonts w:ascii="Cambria" w:hAnsi="Cambria"/>
          <w:sz w:val="20"/>
          <w:szCs w:val="20"/>
        </w:rPr>
        <w:t>The Court has also stated that the right of access to justice must ensure, within a reasonable time, that the alleged victims or their next of kin are entitled to have all necessary steps taken to ascertain the truth about what happened and to investigate, prosecute, and, if appropriate, punish the perpetrators.</w:t>
      </w:r>
      <w:r w:rsidR="006B5C41" w:rsidRPr="00B8721C">
        <w:rPr>
          <w:rStyle w:val="FootnoteReference"/>
          <w:rFonts w:ascii="Cambria" w:hAnsi="Cambria"/>
          <w:sz w:val="20"/>
          <w:szCs w:val="20"/>
        </w:rPr>
        <w:footnoteReference w:id="208"/>
      </w:r>
    </w:p>
    <w:p w:rsidR="00AC5CEB" w:rsidRPr="00B8721C" w:rsidRDefault="00AC5CEB" w:rsidP="00AC5C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AC5CEB" w:rsidRPr="00B8721C" w:rsidRDefault="0085135C" w:rsidP="00AC5C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rPr>
        <w:t>Both the Commission and the Court have affirmed in their jurisprudence that the duty to investigate is an obligation of means rather than results, which must be assumed by the State as an inherent legal obligation and not as a mere formality preordained to be ineffective, or as a measure taken by private interests that depends on the procedural initiative of the victims or their families or on the private production of evidence.</w:t>
      </w:r>
      <w:r w:rsidR="006B5C41" w:rsidRPr="00B8721C">
        <w:rPr>
          <w:rStyle w:val="FootnoteReference"/>
          <w:rFonts w:ascii="Cambria" w:hAnsi="Cambria"/>
          <w:sz w:val="20"/>
          <w:szCs w:val="20"/>
        </w:rPr>
        <w:footnoteReference w:id="209"/>
      </w:r>
      <w:r w:rsidR="006B5C41" w:rsidRPr="00B8721C">
        <w:rPr>
          <w:rFonts w:ascii="Cambria" w:hAnsi="Cambria"/>
          <w:sz w:val="20"/>
          <w:szCs w:val="20"/>
        </w:rPr>
        <w:t xml:space="preserve"> </w:t>
      </w:r>
      <w:r w:rsidRPr="00B8721C">
        <w:rPr>
          <w:rFonts w:ascii="Cambria" w:hAnsi="Cambria"/>
          <w:sz w:val="20"/>
          <w:szCs w:val="20"/>
        </w:rPr>
        <w:t>The investigation must be serious, impartial, and effective, and must be aimed at determining the truth and at pursuing, capturing, prosecuting, and eventually punishing the perpetrators.</w:t>
      </w:r>
      <w:r w:rsidR="006B5C41" w:rsidRPr="00B8721C">
        <w:rPr>
          <w:rStyle w:val="FootnoteReference"/>
          <w:rFonts w:ascii="Cambria" w:hAnsi="Cambria"/>
          <w:sz w:val="20"/>
          <w:szCs w:val="20"/>
        </w:rPr>
        <w:footnoteReference w:id="210"/>
      </w:r>
    </w:p>
    <w:p w:rsidR="00AC5CEB" w:rsidRPr="00B8721C" w:rsidRDefault="00AC5CEB" w:rsidP="00AC5C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AC5CEB" w:rsidRPr="00B8721C" w:rsidRDefault="00AC5CEB" w:rsidP="00AC5C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bdr w:val="none" w:sz="0" w:space="0" w:color="auto"/>
        </w:rPr>
        <w:t>Both the Commission and the Court have referred to the chilling effect that crimes against journalists have on other media professionals as well as on citizens seeking to expose abuses of power or unlawful acts of any kind.</w:t>
      </w:r>
      <w:r w:rsidR="00D80751" w:rsidRPr="00B8721C">
        <w:rPr>
          <w:rFonts w:ascii="Cambria" w:hAnsi="Cambria"/>
          <w:sz w:val="20"/>
          <w:szCs w:val="20"/>
          <w:bdr w:val="none" w:sz="0" w:space="0" w:color="auto"/>
          <w:vertAlign w:val="superscript"/>
        </w:rPr>
        <w:footnoteReference w:id="211"/>
      </w:r>
      <w:r w:rsidR="00D80751"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This chilling effect can only be avoided</w:t>
      </w:r>
      <w:r w:rsidR="00D80751"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by swift action on the part of the State to punish all perpetrators, as is its duty under international and domestic law.</w:t>
      </w:r>
      <w:r w:rsidR="00D80751" w:rsidRPr="00B8721C">
        <w:rPr>
          <w:rFonts w:ascii="Cambria" w:hAnsi="Cambria"/>
          <w:sz w:val="20"/>
          <w:szCs w:val="20"/>
          <w:bdr w:val="none" w:sz="0" w:space="0" w:color="auto"/>
        </w:rPr>
        <w:t>”</w:t>
      </w:r>
      <w:r w:rsidR="00D80751" w:rsidRPr="00B8721C">
        <w:rPr>
          <w:rFonts w:ascii="Cambria" w:hAnsi="Cambria"/>
          <w:sz w:val="20"/>
          <w:szCs w:val="20"/>
          <w:bdr w:val="none" w:sz="0" w:space="0" w:color="auto"/>
          <w:vertAlign w:val="superscript"/>
        </w:rPr>
        <w:footnoteReference w:id="212"/>
      </w:r>
    </w:p>
    <w:p w:rsidR="00AC5CEB" w:rsidRPr="00B8721C" w:rsidRDefault="00AC5CEB" w:rsidP="00AC5CE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540F97" w:rsidRPr="00B8721C" w:rsidRDefault="00AC5CEB" w:rsidP="00540F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bdr w:val="none" w:sz="0" w:space="0" w:color="auto"/>
        </w:rPr>
        <w:t>The Court has pointed out that impunity - understood as the absence of investigation, pursuit, capture, prosecution, and conviction on the whole - fosters the chronic repetition of human rights violations and the total defenselessness of victims and their families.</w:t>
      </w:r>
      <w:r w:rsidR="00D80751" w:rsidRPr="00B8721C">
        <w:rPr>
          <w:rFonts w:ascii="Cambria" w:hAnsi="Cambria"/>
          <w:sz w:val="20"/>
          <w:szCs w:val="20"/>
          <w:bdr w:val="none" w:sz="0" w:space="0" w:color="auto"/>
          <w:vertAlign w:val="superscript"/>
        </w:rPr>
        <w:footnoteReference w:id="213"/>
      </w:r>
      <w:r w:rsidR="00D80751" w:rsidRPr="00B8721C">
        <w:rPr>
          <w:rFonts w:ascii="Cambria" w:hAnsi="Cambria"/>
          <w:sz w:val="20"/>
          <w:szCs w:val="20"/>
          <w:bdr w:val="none" w:sz="0" w:space="0" w:color="auto"/>
        </w:rPr>
        <w:t xml:space="preserve"> </w:t>
      </w:r>
      <w:r w:rsidRPr="00B8721C">
        <w:rPr>
          <w:rFonts w:ascii="Cambria" w:hAnsi="Cambria"/>
          <w:sz w:val="20"/>
          <w:szCs w:val="20"/>
          <w:bdr w:val="none" w:sz="0" w:space="0" w:color="auto"/>
        </w:rPr>
        <w:t>For its part, the IACHR has repeatedly urged the States to “carry out serious, impartial, and effective investigations of the murders, attacks, threats, and acts of intimidation committed against journalists and media workers.</w:t>
      </w:r>
      <w:r w:rsidR="00D80751" w:rsidRPr="00B8721C">
        <w:rPr>
          <w:rFonts w:ascii="Cambria" w:hAnsi="Cambria"/>
          <w:sz w:val="20"/>
          <w:szCs w:val="20"/>
          <w:bdr w:val="none" w:sz="0" w:space="0" w:color="auto"/>
        </w:rPr>
        <w:t>”</w:t>
      </w:r>
      <w:r w:rsidR="00D80751" w:rsidRPr="00B8721C">
        <w:rPr>
          <w:rFonts w:ascii="Cambria" w:hAnsi="Cambria"/>
          <w:sz w:val="20"/>
          <w:szCs w:val="20"/>
          <w:bdr w:val="none" w:sz="0" w:space="0" w:color="auto"/>
          <w:vertAlign w:val="superscript"/>
        </w:rPr>
        <w:footnoteReference w:id="214"/>
      </w:r>
    </w:p>
    <w:p w:rsidR="00540F97" w:rsidRPr="00B8721C" w:rsidRDefault="00540F97" w:rsidP="00540F9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6B5C41" w:rsidRPr="002D55A0" w:rsidRDefault="00540F97" w:rsidP="00540F9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bdr w:val="none" w:sz="0" w:space="0" w:color="auto"/>
        </w:rPr>
        <w:t xml:space="preserve">In this regard, States have the duty to investigate, identify, prosecute, and punish all perpetrators of these crimes, including direct perpetrators, masterminds, participants, collaborators, and possible accessories to human rights violations. They must also investigate the organizations involved in the execution of the crimes or the criminal </w:t>
      </w:r>
      <w:r w:rsidRPr="002D55A0">
        <w:rPr>
          <w:rFonts w:ascii="Cambria" w:hAnsi="Cambria"/>
          <w:sz w:val="20"/>
          <w:szCs w:val="20"/>
          <w:bdr w:val="none" w:sz="0" w:space="0" w:color="auto"/>
        </w:rPr>
        <w:t>organizations to which the perpetrators belong.</w:t>
      </w:r>
      <w:r w:rsidR="00D80751" w:rsidRPr="002D55A0">
        <w:rPr>
          <w:rFonts w:ascii="Cambria" w:hAnsi="Cambria"/>
          <w:sz w:val="20"/>
          <w:szCs w:val="20"/>
          <w:bdr w:val="none" w:sz="0" w:space="0" w:color="auto"/>
          <w:vertAlign w:val="superscript"/>
        </w:rPr>
        <w:footnoteReference w:id="215"/>
      </w:r>
    </w:p>
    <w:p w:rsidR="006B5C41" w:rsidRPr="002D55A0" w:rsidRDefault="006B5C41" w:rsidP="005A03C0">
      <w:pPr>
        <w:pStyle w:val="ListParagraph"/>
        <w:rPr>
          <w:rFonts w:cs="Arial"/>
          <w:sz w:val="20"/>
          <w:szCs w:val="20"/>
          <w:bdr w:val="none" w:sz="0" w:space="0" w:color="auto"/>
        </w:rPr>
      </w:pPr>
    </w:p>
    <w:p w:rsidR="00D80751" w:rsidRPr="002D55A0" w:rsidRDefault="004D6904" w:rsidP="00117834">
      <w:pPr>
        <w:pStyle w:val="Heading3"/>
        <w:numPr>
          <w:ilvl w:val="0"/>
          <w:numId w:val="62"/>
        </w:numPr>
        <w:ind w:left="1440" w:hanging="720"/>
        <w:rPr>
          <w:rFonts w:cs="Cambria"/>
          <w:u w:color="000000"/>
          <w:lang w:val="en-US" w:eastAsia="es-ES"/>
        </w:rPr>
      </w:pPr>
      <w:bookmarkStart w:id="34" w:name="_Toc534731311"/>
      <w:r w:rsidRPr="002D55A0">
        <w:rPr>
          <w:rFonts w:cs="Cambria"/>
          <w:u w:color="000000"/>
          <w:lang w:val="en-US" w:eastAsia="es-ES"/>
        </w:rPr>
        <w:t>Specific obligations regarding the duty to investigate acts of sexual violence</w:t>
      </w:r>
      <w:bookmarkEnd w:id="34"/>
    </w:p>
    <w:p w:rsidR="00D80751" w:rsidRPr="002D55A0" w:rsidRDefault="00D80751" w:rsidP="005A03C0">
      <w:pPr>
        <w:pStyle w:val="ListParagraph"/>
        <w:rPr>
          <w:rFonts w:eastAsia="Batang"/>
          <w:spacing w:val="-2"/>
          <w:sz w:val="20"/>
          <w:szCs w:val="20"/>
        </w:rPr>
      </w:pPr>
    </w:p>
    <w:p w:rsidR="006C722C" w:rsidRPr="00B8721C" w:rsidRDefault="00AC77D3" w:rsidP="006C7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2D55A0">
        <w:rPr>
          <w:rFonts w:ascii="Cambria" w:hAnsi="Cambria"/>
          <w:sz w:val="20"/>
          <w:szCs w:val="20"/>
        </w:rPr>
        <w:t>Once they become aware of acts of gender-based sexual violence against women journalists, States must investigate these acts, identify, prosecute, and punish the perpetrators, and provide comprehensive reparation to the victims. This obligation arises</w:t>
      </w:r>
      <w:r w:rsidRPr="00B8721C">
        <w:rPr>
          <w:rFonts w:ascii="Cambria" w:hAnsi="Cambria"/>
          <w:sz w:val="20"/>
          <w:szCs w:val="20"/>
        </w:rPr>
        <w:t xml:space="preserve"> from Articles 5, 13, 8, and 25 of the ACHR, within the framework of the general obligation to guarantee rights established in Article 1.1 thereof. </w:t>
      </w:r>
      <w:r w:rsidRPr="00B8721C">
        <w:rPr>
          <w:rFonts w:ascii="Cambria" w:eastAsia="Batang" w:hAnsi="Cambria"/>
          <w:spacing w:val="-2"/>
          <w:sz w:val="20"/>
          <w:szCs w:val="20"/>
        </w:rPr>
        <w:t xml:space="preserve">This obligation to investigate complaints of sexual violence is provided for in Articles 1, 6, and 8 of the Inter-American Convention against Torture, which require the State </w:t>
      </w:r>
      <w:r w:rsidR="000C0286" w:rsidRPr="00B8721C">
        <w:rPr>
          <w:rFonts w:ascii="Cambria" w:eastAsia="Batang" w:hAnsi="Cambria"/>
          <w:spacing w:val="-2"/>
          <w:sz w:val="20"/>
          <w:szCs w:val="20"/>
        </w:rPr>
        <w:t>“</w:t>
      </w:r>
      <w:r w:rsidR="005E5B81" w:rsidRPr="00B8721C">
        <w:rPr>
          <w:rFonts w:ascii="Cambria" w:eastAsia="Batang" w:hAnsi="Cambria"/>
          <w:spacing w:val="-2"/>
          <w:sz w:val="20"/>
          <w:szCs w:val="20"/>
        </w:rPr>
        <w:t>to take effective measures to prevent and punish torture within their jurisdiction,” and also “to prevent and punish other cruel, inhuman, or degrading treatment or punishment.</w:t>
      </w:r>
      <w:r w:rsidR="000C0286" w:rsidRPr="00B8721C">
        <w:rPr>
          <w:rFonts w:ascii="Cambria" w:eastAsia="Batang" w:hAnsi="Cambria"/>
          <w:spacing w:val="-2"/>
          <w:sz w:val="20"/>
          <w:szCs w:val="20"/>
        </w:rPr>
        <w:t>”</w:t>
      </w:r>
      <w:r w:rsidR="000C0286" w:rsidRPr="00B8721C">
        <w:rPr>
          <w:rStyle w:val="FootnoteReference"/>
          <w:rFonts w:ascii="Cambria" w:eastAsia="Batang" w:hAnsi="Cambria"/>
          <w:spacing w:val="-2"/>
          <w:sz w:val="20"/>
          <w:szCs w:val="20"/>
        </w:rPr>
        <w:footnoteReference w:id="216"/>
      </w:r>
      <w:r w:rsidR="005E5B81" w:rsidRPr="00B8721C">
        <w:rPr>
          <w:rFonts w:ascii="Cambria" w:eastAsia="Batang" w:hAnsi="Cambria"/>
          <w:spacing w:val="-2"/>
          <w:sz w:val="20"/>
          <w:szCs w:val="20"/>
        </w:rPr>
        <w:t xml:space="preserve"> </w:t>
      </w:r>
      <w:r w:rsidR="005E5B81" w:rsidRPr="00B8721C">
        <w:rPr>
          <w:rFonts w:ascii="Cambria" w:hAnsi="Cambria"/>
          <w:sz w:val="20"/>
          <w:szCs w:val="20"/>
        </w:rPr>
        <w:t>It is further reinforced by Article 7 of the Convention of Belém do Pará, which obligates the State to exercise due diligence and enact the necessary regulatory framework to investigate and punish violence against women</w:t>
      </w:r>
      <w:r w:rsidR="000C0286" w:rsidRPr="00B8721C">
        <w:rPr>
          <w:rFonts w:ascii="Cambria" w:hAnsi="Cambria"/>
          <w:sz w:val="20"/>
          <w:szCs w:val="20"/>
        </w:rPr>
        <w:t>.</w:t>
      </w:r>
      <w:r w:rsidR="000C0286" w:rsidRPr="00B8721C">
        <w:rPr>
          <w:rStyle w:val="FootnoteReference"/>
          <w:rFonts w:ascii="Cambria" w:hAnsi="Cambria"/>
          <w:sz w:val="20"/>
          <w:szCs w:val="20"/>
        </w:rPr>
        <w:footnoteReference w:id="217"/>
      </w:r>
      <w:r w:rsidR="000C0286" w:rsidRPr="00B8721C">
        <w:rPr>
          <w:rFonts w:ascii="Cambria" w:hAnsi="Cambria"/>
          <w:sz w:val="20"/>
          <w:szCs w:val="20"/>
        </w:rPr>
        <w:t xml:space="preserve"> </w:t>
      </w:r>
      <w:r w:rsidR="005E5B81" w:rsidRPr="00B8721C">
        <w:rPr>
          <w:rFonts w:ascii="Cambria" w:hAnsi="Cambria"/>
          <w:sz w:val="20"/>
          <w:szCs w:val="20"/>
        </w:rPr>
        <w:t>Article 7(b) of the Convention specifically requires States parties to act with due diligence to prevent, punish, and eradicate violence against women. This duty is activated from the moment the State becomes aware of the existence of an alleged act, such as rape.</w:t>
      </w:r>
      <w:r w:rsidR="000C0286" w:rsidRPr="00B8721C">
        <w:rPr>
          <w:rStyle w:val="FootnoteReference"/>
          <w:rFonts w:ascii="Cambria" w:hAnsi="Cambria"/>
          <w:sz w:val="20"/>
          <w:szCs w:val="20"/>
        </w:rPr>
        <w:footnoteReference w:id="218"/>
      </w:r>
    </w:p>
    <w:p w:rsidR="006C722C" w:rsidRPr="00B8721C" w:rsidRDefault="006C722C" w:rsidP="006C722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96B17" w:rsidRPr="00B8721C" w:rsidRDefault="006C722C" w:rsidP="00196B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Thus, it is particularly important that the investigating authorities conduct the investigation with determination and effectiveness, bearing in mind society’s duty to reject violence against women and the State’s obligations to eradicate it and to provide victims with the confidence that State institutions will protect them.</w:t>
      </w:r>
      <w:r w:rsidR="00B86176" w:rsidRPr="00B8721C">
        <w:rPr>
          <w:rStyle w:val="FootnoteReference"/>
          <w:rFonts w:ascii="Cambria" w:hAnsi="Cambria"/>
          <w:sz w:val="20"/>
          <w:szCs w:val="20"/>
        </w:rPr>
        <w:footnoteReference w:id="219"/>
      </w:r>
      <w:r w:rsidR="00B86176" w:rsidRPr="00B8721C">
        <w:rPr>
          <w:rFonts w:ascii="Cambria" w:hAnsi="Cambria"/>
          <w:sz w:val="20"/>
          <w:szCs w:val="20"/>
        </w:rPr>
        <w:t xml:space="preserve"> </w:t>
      </w:r>
      <w:r w:rsidRPr="00B8721C">
        <w:rPr>
          <w:rFonts w:ascii="Cambria" w:hAnsi="Cambria"/>
          <w:sz w:val="20"/>
          <w:szCs w:val="20"/>
        </w:rPr>
        <w:t>In addition, the United Nations Special Rapporteur on violence against women has maintained that States have an obligation to respond with due diligence to acts of sexual violence against women.</w:t>
      </w:r>
      <w:r w:rsidR="00B86176" w:rsidRPr="00B8721C">
        <w:rPr>
          <w:rStyle w:val="FootnoteReference"/>
          <w:rFonts w:ascii="Cambria" w:hAnsi="Cambria"/>
          <w:sz w:val="20"/>
          <w:szCs w:val="20"/>
        </w:rPr>
        <w:footnoteReference w:id="220"/>
      </w:r>
      <w:r w:rsidR="00B86176" w:rsidRPr="00B8721C">
        <w:rPr>
          <w:rFonts w:ascii="Cambria" w:hAnsi="Cambria"/>
          <w:sz w:val="20"/>
          <w:szCs w:val="20"/>
        </w:rPr>
        <w:t xml:space="preserve"> </w:t>
      </w:r>
    </w:p>
    <w:p w:rsidR="00196B17" w:rsidRPr="00B8721C" w:rsidRDefault="00196B17" w:rsidP="00196B1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E31AA8" w:rsidRPr="00B8721C" w:rsidRDefault="00196B17" w:rsidP="00E31A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In this context, the Commission has pointed out that States must have an adequate legal framework of protection, effective means for its implementation, and prevention policies and practices that allow them to respond effectively to complaints of sexual violence.</w:t>
      </w:r>
      <w:r w:rsidR="00B86176" w:rsidRPr="00B8721C">
        <w:rPr>
          <w:rStyle w:val="FootnoteReference"/>
          <w:rFonts w:ascii="Cambria" w:hAnsi="Cambria"/>
          <w:sz w:val="20"/>
          <w:szCs w:val="20"/>
        </w:rPr>
        <w:footnoteReference w:id="221"/>
      </w:r>
      <w:r w:rsidR="00B86176" w:rsidRPr="00B8721C">
        <w:rPr>
          <w:rFonts w:ascii="Cambria" w:hAnsi="Cambria"/>
          <w:sz w:val="20"/>
          <w:szCs w:val="20"/>
        </w:rPr>
        <w:t xml:space="preserve"> </w:t>
      </w:r>
      <w:r w:rsidRPr="00B8721C">
        <w:rPr>
          <w:rFonts w:ascii="Cambria" w:hAnsi="Cambria"/>
          <w:sz w:val="20"/>
          <w:szCs w:val="20"/>
        </w:rPr>
        <w:t>The Inter-American Court emphasized that, in cases of sexual violence, the investigation should try, whenever possible,  to avoid re-victimization or the reliving of the profound traumatic experience each time the victim remembers or testifies about what happened.</w:t>
      </w:r>
      <w:r w:rsidR="00B86176" w:rsidRPr="00B8721C">
        <w:rPr>
          <w:rStyle w:val="FootnoteReference"/>
          <w:rFonts w:ascii="Cambria" w:hAnsi="Cambria"/>
          <w:sz w:val="20"/>
          <w:szCs w:val="20"/>
        </w:rPr>
        <w:footnoteReference w:id="222"/>
      </w:r>
    </w:p>
    <w:p w:rsidR="00E31AA8" w:rsidRPr="00B8721C" w:rsidRDefault="00E31AA8" w:rsidP="00E31A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F1C38" w:rsidRPr="00B8721C" w:rsidRDefault="00E31AA8" w:rsidP="006F1C3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lastRenderedPageBreak/>
        <w:t>The Court has also specified that a criminal investigation into sexual violence</w:t>
      </w:r>
      <w:r w:rsidR="00B86176" w:rsidRPr="00B8721C">
        <w:rPr>
          <w:rFonts w:ascii="Cambria" w:hAnsi="Cambria"/>
          <w:sz w:val="20"/>
          <w:szCs w:val="20"/>
        </w:rPr>
        <w:t xml:space="preserve">: </w:t>
      </w:r>
      <w:r w:rsidRPr="00B8721C">
        <w:rPr>
          <w:rFonts w:ascii="Cambria" w:hAnsi="Cambria"/>
          <w:sz w:val="20"/>
          <w:szCs w:val="20"/>
        </w:rPr>
        <w:t>i) the victim’s statement should be taken in a safe and comfortable environment, providing privacy and trust; ii) the victim’s statement should be recorded to avoid or limit the need for repetition; iii) the victim should be provided with medical, health care and psychological treatment, both on an emergency basis, and continuously if required, through an assistance protocol designed to lessen the consequences of rape; iv) a complete and detailed medical and psychological examination should be conducted immediately by suitable trained personnel, of the sex preferred by the victim insofar as this is possible, and the victim should be informed that she may be accompanied by a trusted person if she so wishes; v) the investigative tasks should be coordinated and documented and the evidence handled with care, taking sufficient samples and performing all possible tests to determine the perpetrator of the act, and obtaining other evidence such as the victim’s clothing, immediate examination of the crime scene and guaranteeing the proper chain of custody of the evidence, and vi) access to free legal assistance at all stages of the proceedings should be provided for the victim.</w:t>
      </w:r>
      <w:r w:rsidR="00B86176" w:rsidRPr="00B8721C">
        <w:rPr>
          <w:rStyle w:val="FootnoteReference"/>
          <w:rFonts w:ascii="Cambria" w:hAnsi="Cambria"/>
          <w:sz w:val="20"/>
          <w:szCs w:val="20"/>
        </w:rPr>
        <w:footnoteReference w:id="223"/>
      </w:r>
      <w:r w:rsidR="00B86176" w:rsidRPr="00B8721C">
        <w:rPr>
          <w:rFonts w:ascii="Cambria" w:hAnsi="Cambria"/>
          <w:sz w:val="20"/>
          <w:szCs w:val="20"/>
        </w:rPr>
        <w:t xml:space="preserve"> </w:t>
      </w:r>
    </w:p>
    <w:p w:rsidR="006F1C38" w:rsidRPr="00B8721C" w:rsidRDefault="006F1C38" w:rsidP="006F1C3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8F0D79" w:rsidRPr="00B8721C" w:rsidRDefault="00F85888" w:rsidP="008F0D7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According to the World Health Organization, in cases of alleged rape, gynecological examination should be performed as soon as possible</w:t>
      </w:r>
      <w:r w:rsidR="001D4890" w:rsidRPr="00B8721C">
        <w:rPr>
          <w:rFonts w:ascii="Cambria" w:hAnsi="Cambria"/>
          <w:sz w:val="20"/>
          <w:szCs w:val="20"/>
        </w:rPr>
        <w:t>.</w:t>
      </w:r>
      <w:r w:rsidR="00B86176" w:rsidRPr="00B8721C">
        <w:rPr>
          <w:rStyle w:val="FootnoteReference"/>
          <w:rFonts w:ascii="Cambria" w:hAnsi="Cambria"/>
          <w:sz w:val="20"/>
          <w:szCs w:val="20"/>
        </w:rPr>
        <w:footnoteReference w:id="224"/>
      </w:r>
      <w:r w:rsidR="00B86176" w:rsidRPr="00B8721C">
        <w:rPr>
          <w:rFonts w:ascii="Cambria" w:hAnsi="Cambria"/>
          <w:sz w:val="20"/>
          <w:szCs w:val="20"/>
        </w:rPr>
        <w:t xml:space="preserve"> </w:t>
      </w:r>
      <w:r w:rsidRPr="00B8721C">
        <w:rPr>
          <w:rFonts w:ascii="Cambria" w:hAnsi="Cambria"/>
          <w:sz w:val="20"/>
          <w:szCs w:val="20"/>
        </w:rPr>
        <w:t>The Court has indicated that this expert examination must be conducted, if it is considered appropriate, and with the prior and informed consent of the alleged victim, during the first 72 hours following the alleged act, based on a specific protocol for the care of victims of sexual violence.</w:t>
      </w:r>
      <w:r w:rsidR="00B86176" w:rsidRPr="00B8721C">
        <w:rPr>
          <w:rStyle w:val="FootnoteReference"/>
          <w:rFonts w:ascii="Cambria" w:hAnsi="Cambria"/>
          <w:sz w:val="20"/>
          <w:szCs w:val="20"/>
        </w:rPr>
        <w:footnoteReference w:id="225"/>
      </w:r>
      <w:r w:rsidRPr="00B8721C">
        <w:rPr>
          <w:rFonts w:ascii="Cambria" w:hAnsi="Cambria"/>
          <w:sz w:val="20"/>
          <w:szCs w:val="20"/>
        </w:rPr>
        <w:t xml:space="preserve"> Without prejudice to the above, the Court added that the appropriateness of a gynecological examination must be considered on a case by case basis, taking into account the time that has elapsed since the sexual violence is alleged to have occurred.</w:t>
      </w:r>
      <w:r w:rsidR="00B86176" w:rsidRPr="00B8721C">
        <w:rPr>
          <w:rStyle w:val="FootnoteReference"/>
          <w:rFonts w:ascii="Cambria" w:hAnsi="Cambria"/>
          <w:sz w:val="20"/>
          <w:szCs w:val="20"/>
        </w:rPr>
        <w:footnoteReference w:id="226"/>
      </w:r>
    </w:p>
    <w:p w:rsidR="008F0D79" w:rsidRPr="00B8721C" w:rsidRDefault="008F0D79" w:rsidP="008F0D7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8F0D79" w:rsidRPr="00B8721C" w:rsidRDefault="008F0D79" w:rsidP="008F0D7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In addition, criminal investigations must include a gender perspective and be conducted by officials trained in similar cases and in the care of victims of discrimination and gender-based violence.</w:t>
      </w:r>
      <w:r w:rsidR="00B86176" w:rsidRPr="00B8721C">
        <w:rPr>
          <w:rStyle w:val="FootnoteReference"/>
          <w:rFonts w:ascii="Cambria" w:hAnsi="Cambria"/>
          <w:sz w:val="20"/>
          <w:szCs w:val="20"/>
        </w:rPr>
        <w:footnoteReference w:id="227"/>
      </w:r>
      <w:r w:rsidRPr="00B8721C">
        <w:rPr>
          <w:rFonts w:ascii="Cambria" w:hAnsi="Cambria"/>
          <w:sz w:val="20"/>
          <w:szCs w:val="20"/>
        </w:rPr>
        <w:t xml:space="preserve"> Such an investigation should be conducted in accordance with protocols aimed specifically at documenting evidence in cases of gender-based violence.</w:t>
      </w:r>
      <w:r w:rsidRPr="00B8721C">
        <w:rPr>
          <w:rStyle w:val="FootnoteReference"/>
          <w:rFonts w:ascii="Cambria" w:hAnsi="Cambria"/>
          <w:sz w:val="20"/>
          <w:szCs w:val="20"/>
          <w:vertAlign w:val="baseline"/>
        </w:rPr>
        <w:t xml:space="preserve"> </w:t>
      </w:r>
      <w:r w:rsidR="00B86176" w:rsidRPr="00B8721C">
        <w:rPr>
          <w:rStyle w:val="FootnoteReference"/>
          <w:rFonts w:ascii="Cambria" w:hAnsi="Cambria"/>
          <w:sz w:val="20"/>
          <w:szCs w:val="20"/>
        </w:rPr>
        <w:footnoteReference w:id="228"/>
      </w:r>
    </w:p>
    <w:p w:rsidR="008F0D79" w:rsidRPr="00B8721C" w:rsidRDefault="008F0D79" w:rsidP="008F0D7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D80751" w:rsidRPr="00B8721C" w:rsidRDefault="008F0D79" w:rsidP="008F0D7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Impunity for such crimes sends the message that violence against women is tolerated, which encourages its perpetuation and social acceptance, fosters a sense and feeling of insecurity in women, and contributes to their continued distrust of the justice system.</w:t>
      </w:r>
      <w:r w:rsidR="00B86176" w:rsidRPr="00B8721C">
        <w:rPr>
          <w:rStyle w:val="FootnoteReference"/>
          <w:rFonts w:ascii="Cambria" w:hAnsi="Cambria"/>
          <w:sz w:val="20"/>
          <w:szCs w:val="20"/>
        </w:rPr>
        <w:footnoteReference w:id="229"/>
      </w:r>
    </w:p>
    <w:p w:rsidR="00A515BA" w:rsidRPr="00B8721C" w:rsidRDefault="00A515BA" w:rsidP="00A515BA">
      <w:pPr>
        <w:pStyle w:val="ListParagraph"/>
        <w:rPr>
          <w:sz w:val="20"/>
          <w:szCs w:val="20"/>
        </w:rPr>
      </w:pPr>
    </w:p>
    <w:p w:rsidR="00A515BA" w:rsidRPr="00B8721C" w:rsidRDefault="00A515BA" w:rsidP="00A515B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2E5B65" w:rsidRPr="00B8721C" w:rsidRDefault="00635682" w:rsidP="00117834">
      <w:pPr>
        <w:pStyle w:val="Heading3"/>
        <w:numPr>
          <w:ilvl w:val="0"/>
          <w:numId w:val="62"/>
        </w:numPr>
        <w:ind w:left="1440" w:hanging="720"/>
        <w:rPr>
          <w:lang w:val="en-US"/>
        </w:rPr>
      </w:pPr>
      <w:r w:rsidRPr="00B8721C">
        <w:rPr>
          <w:lang w:val="en-US"/>
        </w:rPr>
        <w:t xml:space="preserve"> </w:t>
      </w:r>
      <w:bookmarkStart w:id="35" w:name="_Toc534731312"/>
      <w:r w:rsidR="004D6904" w:rsidRPr="00B8721C">
        <w:rPr>
          <w:lang w:val="en-US"/>
        </w:rPr>
        <w:t>Application of the foregoing obligations to the facts of the case</w:t>
      </w:r>
      <w:bookmarkEnd w:id="35"/>
      <w:r w:rsidR="002E5B65" w:rsidRPr="00B8721C">
        <w:rPr>
          <w:lang w:val="en-US"/>
        </w:rPr>
        <w:t xml:space="preserve"> </w:t>
      </w:r>
    </w:p>
    <w:p w:rsidR="002E5B65" w:rsidRPr="00B8721C" w:rsidRDefault="002E5B65" w:rsidP="005A03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p>
    <w:p w:rsidR="004932BB" w:rsidRPr="00B8721C" w:rsidRDefault="00253555" w:rsidP="002535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Cambria" w:hAnsi="Cambria"/>
          <w:sz w:val="20"/>
          <w:szCs w:val="20"/>
        </w:rPr>
      </w:pPr>
      <w:r w:rsidRPr="00B8721C">
        <w:rPr>
          <w:rFonts w:ascii="Cambria" w:hAnsi="Cambria"/>
          <w:sz w:val="20"/>
          <w:szCs w:val="20"/>
        </w:rPr>
        <w:t>The Commission will examine whether, through the investigations initiated at the domestic level, the State has complied with its obligation to investigate the facts of this case in compliance with the standards described above. This analysis will be conducted, first, with respect to due diligence in the investigation and, second, with respect to compliance with the reasonable time guarantee</w:t>
      </w:r>
      <w:r w:rsidR="004932BB" w:rsidRPr="00B8721C">
        <w:rPr>
          <w:rFonts w:ascii="Cambria" w:hAnsi="Cambria"/>
          <w:sz w:val="20"/>
          <w:szCs w:val="20"/>
        </w:rPr>
        <w:t xml:space="preserve">. </w:t>
      </w:r>
    </w:p>
    <w:p w:rsidR="004932BB" w:rsidRPr="00B8721C" w:rsidRDefault="004932BB" w:rsidP="005A03C0">
      <w:pPr>
        <w:rPr>
          <w:rFonts w:ascii="Cambria" w:hAnsi="Cambria"/>
          <w:sz w:val="20"/>
          <w:szCs w:val="20"/>
        </w:rPr>
      </w:pPr>
    </w:p>
    <w:p w:rsidR="004932BB" w:rsidRPr="00B8721C" w:rsidRDefault="00484944" w:rsidP="005A03C0">
      <w:pPr>
        <w:numPr>
          <w:ilvl w:val="0"/>
          <w:numId w:val="59"/>
        </w:numPr>
        <w:rPr>
          <w:rFonts w:ascii="Cambria" w:hAnsi="Cambria"/>
          <w:sz w:val="20"/>
          <w:szCs w:val="20"/>
          <w:u w:val="single"/>
        </w:rPr>
      </w:pPr>
      <w:r w:rsidRPr="00B8721C">
        <w:rPr>
          <w:rFonts w:ascii="Cambria" w:hAnsi="Cambria"/>
          <w:sz w:val="20"/>
          <w:szCs w:val="20"/>
          <w:u w:val="single"/>
        </w:rPr>
        <w:t xml:space="preserve">The duty to investigate with due diligence </w:t>
      </w:r>
    </w:p>
    <w:p w:rsidR="004932BB" w:rsidRPr="00B8721C" w:rsidRDefault="004932BB" w:rsidP="005A03C0">
      <w:pPr>
        <w:ind w:left="1440"/>
        <w:rPr>
          <w:rFonts w:ascii="Cambria" w:hAnsi="Cambria"/>
          <w:sz w:val="20"/>
          <w:szCs w:val="20"/>
        </w:rPr>
      </w:pPr>
    </w:p>
    <w:p w:rsidR="004B2DAC" w:rsidRPr="00B8721C" w:rsidRDefault="00497242" w:rsidP="004B2DA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rPr>
        <w:lastRenderedPageBreak/>
        <w:t>The case file indicates that</w:t>
      </w:r>
      <w:r w:rsidR="006019E3" w:rsidRPr="00B8721C">
        <w:rPr>
          <w:rFonts w:ascii="Cambria" w:hAnsi="Cambria"/>
          <w:sz w:val="20"/>
          <w:szCs w:val="20"/>
        </w:rPr>
        <w:t xml:space="preserve"> </w:t>
      </w:r>
      <w:r w:rsidRPr="00B8721C">
        <w:rPr>
          <w:rFonts w:ascii="Cambria" w:hAnsi="Cambria"/>
          <w:sz w:val="20"/>
          <w:szCs w:val="20"/>
        </w:rPr>
        <w:t xml:space="preserve">on May 26, 2000, the Office of the Prosecutor General ordered the opening of the criminal investigation into the facts of this case. This investigation was initiated at the preliminary stage for the crimes of simple kidnapping and violent sexual act, and was in under the responsibility of </w:t>
      </w:r>
      <w:r w:rsidR="0043470A">
        <w:rPr>
          <w:rFonts w:ascii="Cambria" w:hAnsi="Cambria"/>
          <w:sz w:val="20"/>
          <w:szCs w:val="20"/>
        </w:rPr>
        <w:t>Special Prosecutor</w:t>
      </w:r>
      <w:r w:rsidRPr="00B8721C">
        <w:rPr>
          <w:rFonts w:ascii="Cambria" w:hAnsi="Cambria"/>
          <w:sz w:val="20"/>
          <w:szCs w:val="20"/>
        </w:rPr>
        <w:t xml:space="preserve"> 103 assigned to the Bogotá Specialized Anti-kidnapping Unit [</w:t>
      </w:r>
      <w:r w:rsidRPr="00B8721C">
        <w:rPr>
          <w:rFonts w:ascii="Cambria" w:hAnsi="Cambria"/>
          <w:i/>
          <w:sz w:val="20"/>
          <w:szCs w:val="20"/>
        </w:rPr>
        <w:t xml:space="preserve">Grupo de Acción Unificada por la </w:t>
      </w:r>
      <w:r w:rsidR="00B8721C">
        <w:rPr>
          <w:rFonts w:ascii="Cambria" w:hAnsi="Cambria"/>
          <w:i/>
          <w:sz w:val="20"/>
          <w:szCs w:val="20"/>
        </w:rPr>
        <w:t xml:space="preserve">Libertad </w:t>
      </w:r>
      <w:r w:rsidRPr="00B8721C">
        <w:rPr>
          <w:rFonts w:ascii="Cambria" w:hAnsi="Cambria"/>
          <w:i/>
          <w:sz w:val="20"/>
          <w:szCs w:val="20"/>
        </w:rPr>
        <w:t xml:space="preserve">Personal - </w:t>
      </w:r>
      <w:r w:rsidRPr="00B8721C">
        <w:rPr>
          <w:rFonts w:ascii="Cambria" w:hAnsi="Cambria"/>
          <w:sz w:val="20"/>
          <w:szCs w:val="20"/>
        </w:rPr>
        <w:t>GAULA] of the Office of the Prosecutor General.</w:t>
      </w:r>
      <w:r w:rsidR="006019E3" w:rsidRPr="00B8721C">
        <w:rPr>
          <w:rFonts w:ascii="Cambria" w:hAnsi="Cambria"/>
          <w:sz w:val="20"/>
          <w:szCs w:val="20"/>
        </w:rPr>
        <w:t xml:space="preserve"> </w:t>
      </w:r>
      <w:r w:rsidRPr="00B8721C">
        <w:rPr>
          <w:rFonts w:ascii="Cambria" w:hAnsi="Cambria"/>
          <w:sz w:val="20"/>
          <w:szCs w:val="20"/>
        </w:rPr>
        <w:t xml:space="preserve">On June 6, 2000, the </w:t>
      </w:r>
      <w:r w:rsidR="00E82ECB">
        <w:rPr>
          <w:rFonts w:ascii="Cambria" w:hAnsi="Cambria"/>
          <w:sz w:val="20"/>
          <w:szCs w:val="20"/>
        </w:rPr>
        <w:t>Prosecutor’s</w:t>
      </w:r>
      <w:r w:rsidRPr="00B8721C">
        <w:rPr>
          <w:rFonts w:ascii="Cambria" w:hAnsi="Cambria"/>
          <w:sz w:val="20"/>
          <w:szCs w:val="20"/>
        </w:rPr>
        <w:t xml:space="preserve"> Office assigned the investigation of the case to the National Human Rights Unit, which referred the case to the 6</w:t>
      </w:r>
      <w:r w:rsidRPr="00B8721C">
        <w:rPr>
          <w:rFonts w:ascii="Cambria" w:hAnsi="Cambria"/>
          <w:sz w:val="20"/>
          <w:szCs w:val="20"/>
          <w:vertAlign w:val="superscript"/>
        </w:rPr>
        <w:t>th</w:t>
      </w:r>
      <w:r w:rsidRPr="00B8721C">
        <w:rPr>
          <w:rFonts w:ascii="Cambria" w:hAnsi="Cambria"/>
          <w:sz w:val="20"/>
          <w:szCs w:val="20"/>
        </w:rPr>
        <w:t xml:space="preserve"> </w:t>
      </w:r>
      <w:r w:rsidR="0043470A">
        <w:rPr>
          <w:rFonts w:ascii="Cambria" w:hAnsi="Cambria"/>
          <w:sz w:val="20"/>
          <w:szCs w:val="20"/>
        </w:rPr>
        <w:t>Special Prosecutor</w:t>
      </w:r>
      <w:r w:rsidRPr="00B8721C">
        <w:rPr>
          <w:rFonts w:ascii="Cambria" w:hAnsi="Cambria"/>
          <w:sz w:val="20"/>
          <w:szCs w:val="20"/>
        </w:rPr>
        <w:t xml:space="preserve"> for Human Rights and IHL. This Prosecutor headed the preliminary phase of the investigation for 11 years, </w:t>
      </w:r>
      <w:r w:rsidRPr="00831C9D">
        <w:rPr>
          <w:rFonts w:ascii="Cambria" w:hAnsi="Cambria"/>
          <w:sz w:val="20"/>
          <w:szCs w:val="20"/>
        </w:rPr>
        <w:t>without making any progress beyond the taking of evidence.</w:t>
      </w:r>
      <w:r w:rsidR="00EF37D4" w:rsidRPr="00831C9D">
        <w:rPr>
          <w:rStyle w:val="FootnoteReference"/>
          <w:rFonts w:ascii="Cambria" w:hAnsi="Cambria"/>
          <w:sz w:val="20"/>
          <w:szCs w:val="20"/>
        </w:rPr>
        <w:footnoteReference w:id="230"/>
      </w:r>
      <w:r w:rsidRPr="00831C9D">
        <w:rPr>
          <w:rFonts w:ascii="Cambria" w:hAnsi="Cambria"/>
          <w:sz w:val="20"/>
          <w:szCs w:val="20"/>
        </w:rPr>
        <w:t xml:space="preserve"> I</w:t>
      </w:r>
      <w:r w:rsidR="00BF6D2E" w:rsidRPr="00831C9D">
        <w:rPr>
          <w:rFonts w:ascii="Cambria" w:hAnsi="Cambria"/>
          <w:sz w:val="20"/>
          <w:szCs w:val="20"/>
        </w:rPr>
        <w:t xml:space="preserve">n </w:t>
      </w:r>
      <w:r w:rsidRPr="00831C9D">
        <w:rPr>
          <w:rFonts w:ascii="Cambria" w:hAnsi="Cambria"/>
          <w:sz w:val="20"/>
          <w:szCs w:val="20"/>
        </w:rPr>
        <w:t>January</w:t>
      </w:r>
      <w:r w:rsidR="0058210C" w:rsidRPr="00831C9D">
        <w:rPr>
          <w:rFonts w:ascii="Cambria" w:hAnsi="Cambria"/>
          <w:sz w:val="20"/>
          <w:szCs w:val="20"/>
        </w:rPr>
        <w:t xml:space="preserve"> 2011 Jineth Bedoya </w:t>
      </w:r>
      <w:r w:rsidRPr="00831C9D">
        <w:rPr>
          <w:rFonts w:ascii="Cambria" w:hAnsi="Cambria"/>
          <w:sz w:val="20"/>
          <w:szCs w:val="20"/>
        </w:rPr>
        <w:t>became a civil party to the case</w:t>
      </w:r>
      <w:r w:rsidR="0058210C" w:rsidRPr="00831C9D">
        <w:rPr>
          <w:rFonts w:ascii="Cambria" w:hAnsi="Cambria"/>
          <w:sz w:val="20"/>
          <w:szCs w:val="20"/>
        </w:rPr>
        <w:t xml:space="preserve">. </w:t>
      </w:r>
      <w:r w:rsidRPr="00831C9D">
        <w:rPr>
          <w:rFonts w:ascii="Cambria" w:hAnsi="Cambria"/>
          <w:sz w:val="20"/>
          <w:szCs w:val="20"/>
        </w:rPr>
        <w:t>In February 2011, the Office of the Inspector General of Colombia ordered the disciplinary investigation of the 6</w:t>
      </w:r>
      <w:r w:rsidRPr="00831C9D">
        <w:rPr>
          <w:rFonts w:ascii="Cambria" w:hAnsi="Cambria"/>
          <w:sz w:val="20"/>
          <w:szCs w:val="20"/>
          <w:vertAlign w:val="superscript"/>
        </w:rPr>
        <w:t xml:space="preserve">th </w:t>
      </w:r>
      <w:r w:rsidR="0043470A" w:rsidRPr="00831C9D">
        <w:rPr>
          <w:rFonts w:ascii="Cambria" w:hAnsi="Cambria"/>
          <w:sz w:val="20"/>
          <w:szCs w:val="20"/>
        </w:rPr>
        <w:t>Special Prosecutor</w:t>
      </w:r>
      <w:r w:rsidRPr="00831C9D">
        <w:rPr>
          <w:rFonts w:ascii="Cambria" w:hAnsi="Cambria"/>
          <w:sz w:val="20"/>
          <w:szCs w:val="20"/>
        </w:rPr>
        <w:t xml:space="preserve"> for investigative and evidentiary deficiencies in the criminal proceedings under his charge</w:t>
      </w:r>
      <w:r w:rsidR="002A54F9" w:rsidRPr="00831C9D">
        <w:rPr>
          <w:rFonts w:ascii="Cambria" w:hAnsi="Cambria"/>
          <w:sz w:val="20"/>
          <w:szCs w:val="20"/>
        </w:rPr>
        <w:t xml:space="preserve">. </w:t>
      </w:r>
      <w:r w:rsidRPr="00831C9D">
        <w:rPr>
          <w:rFonts w:ascii="Cambria" w:hAnsi="Cambria"/>
          <w:sz w:val="20"/>
          <w:szCs w:val="20"/>
        </w:rPr>
        <w:t xml:space="preserve">Consequently, on August 23, 2011, the investigation was reassigned to </w:t>
      </w:r>
      <w:r w:rsidR="002715D3" w:rsidRPr="00831C9D">
        <w:rPr>
          <w:rFonts w:ascii="Cambria" w:hAnsi="Cambria"/>
          <w:sz w:val="20"/>
          <w:szCs w:val="20"/>
        </w:rPr>
        <w:t>Office of the 49</w:t>
      </w:r>
      <w:r w:rsidR="002715D3" w:rsidRPr="00831C9D">
        <w:rPr>
          <w:rFonts w:ascii="Cambria" w:hAnsi="Cambria"/>
          <w:sz w:val="20"/>
          <w:szCs w:val="20"/>
          <w:vertAlign w:val="superscript"/>
        </w:rPr>
        <w:t>th</w:t>
      </w:r>
      <w:r w:rsidR="002715D3" w:rsidRPr="00831C9D">
        <w:rPr>
          <w:rFonts w:ascii="Cambria" w:hAnsi="Cambria"/>
          <w:sz w:val="20"/>
          <w:szCs w:val="20"/>
        </w:rPr>
        <w:t xml:space="preserve"> Special Prosecutor</w:t>
      </w:r>
      <w:r w:rsidRPr="00831C9D">
        <w:rPr>
          <w:rFonts w:ascii="Cambria" w:hAnsi="Cambria"/>
          <w:sz w:val="20"/>
          <w:szCs w:val="20"/>
        </w:rPr>
        <w:t xml:space="preserve"> of the NHRU</w:t>
      </w:r>
      <w:r w:rsidR="0058210C" w:rsidRPr="00831C9D">
        <w:rPr>
          <w:rFonts w:ascii="Cambria" w:hAnsi="Cambria"/>
          <w:sz w:val="20"/>
          <w:szCs w:val="20"/>
        </w:rPr>
        <w:t xml:space="preserve">. </w:t>
      </w:r>
      <w:r w:rsidRPr="00831C9D">
        <w:rPr>
          <w:rFonts w:ascii="Cambria" w:hAnsi="Cambria"/>
          <w:color w:val="000000"/>
          <w:sz w:val="20"/>
          <w:szCs w:val="20"/>
          <w:bdr w:val="none" w:sz="0" w:space="0" w:color="auto"/>
        </w:rPr>
        <w:t xml:space="preserve">On February 23, 2013, the </w:t>
      </w:r>
      <w:r w:rsidR="00E82ECB" w:rsidRPr="00831C9D">
        <w:rPr>
          <w:rFonts w:ascii="Cambria" w:hAnsi="Cambria"/>
          <w:color w:val="000000"/>
          <w:sz w:val="20"/>
          <w:szCs w:val="20"/>
          <w:bdr w:val="none" w:sz="0" w:space="0" w:color="auto"/>
        </w:rPr>
        <w:t>Prosecutor’s</w:t>
      </w:r>
      <w:r w:rsidRPr="00831C9D">
        <w:rPr>
          <w:rFonts w:ascii="Cambria" w:hAnsi="Cambria"/>
          <w:color w:val="000000"/>
          <w:sz w:val="20"/>
          <w:szCs w:val="20"/>
          <w:bdr w:val="none" w:sz="0" w:space="0" w:color="auto"/>
        </w:rPr>
        <w:t xml:space="preserve"> Office ordered the suspension of the investigation against three alleged perpetrators, due to their status as former paramilitary members with applications pending before the National Unit for Justice and Peace</w:t>
      </w:r>
      <w:r w:rsidR="00E809FB" w:rsidRPr="00831C9D">
        <w:rPr>
          <w:rFonts w:ascii="Cambria" w:hAnsi="Cambria"/>
          <w:color w:val="000000"/>
          <w:sz w:val="20"/>
          <w:szCs w:val="20"/>
          <w:bdr w:val="none" w:sz="0" w:space="0" w:color="auto"/>
        </w:rPr>
        <w:t xml:space="preserve">. </w:t>
      </w:r>
      <w:r w:rsidRPr="00831C9D">
        <w:rPr>
          <w:rFonts w:ascii="Cambria" w:hAnsi="Cambria"/>
          <w:color w:val="000000"/>
          <w:sz w:val="20"/>
          <w:szCs w:val="20"/>
          <w:bdr w:val="none" w:sz="0" w:space="0" w:color="auto"/>
        </w:rPr>
        <w:t>However, on 7 October the suspension</w:t>
      </w:r>
      <w:r w:rsidRPr="00B8721C">
        <w:rPr>
          <w:rFonts w:ascii="Cambria" w:hAnsi="Cambria"/>
          <w:color w:val="000000"/>
          <w:sz w:val="20"/>
          <w:szCs w:val="20"/>
          <w:bdr w:val="none" w:sz="0" w:space="0" w:color="auto"/>
        </w:rPr>
        <w:t xml:space="preserve"> was lifted. On June 12, 2015, the case was reassigned to </w:t>
      </w:r>
      <w:r w:rsidR="00F31C9F" w:rsidRPr="00B8721C">
        <w:rPr>
          <w:rFonts w:ascii="Cambria" w:hAnsi="Cambria"/>
          <w:sz w:val="20"/>
          <w:szCs w:val="20"/>
        </w:rPr>
        <w:t xml:space="preserve">the </w:t>
      </w:r>
      <w:r w:rsidR="002715D3">
        <w:rPr>
          <w:rFonts w:ascii="Cambria" w:hAnsi="Cambria"/>
          <w:sz w:val="20"/>
          <w:szCs w:val="20"/>
        </w:rPr>
        <w:t>Office of the 50</w:t>
      </w:r>
      <w:r w:rsidR="002715D3" w:rsidRPr="002715D3">
        <w:rPr>
          <w:rFonts w:ascii="Cambria" w:hAnsi="Cambria"/>
          <w:sz w:val="20"/>
          <w:szCs w:val="20"/>
          <w:vertAlign w:val="superscript"/>
        </w:rPr>
        <w:t>th</w:t>
      </w:r>
      <w:r w:rsidR="002715D3">
        <w:rPr>
          <w:rFonts w:ascii="Cambria" w:hAnsi="Cambria"/>
          <w:sz w:val="20"/>
          <w:szCs w:val="20"/>
        </w:rPr>
        <w:t xml:space="preserve"> Special Prosecutor for Human Rights and IHL</w:t>
      </w:r>
      <w:r w:rsidRPr="00B8721C">
        <w:rPr>
          <w:rFonts w:ascii="Cambria" w:hAnsi="Cambria"/>
          <w:sz w:val="20"/>
          <w:szCs w:val="20"/>
        </w:rPr>
        <w:t xml:space="preserve">. </w:t>
      </w:r>
      <w:r w:rsidR="00963124" w:rsidRPr="00B8721C">
        <w:rPr>
          <w:rFonts w:ascii="Cambria" w:hAnsi="Cambria"/>
          <w:sz w:val="20"/>
          <w:szCs w:val="20"/>
        </w:rPr>
        <w:t>According to the information presented by the State, the investigation carried out by the various prosecutors of the Human Rights Unit of the Office of the Prosecutor General finally led to the identification of three individuals as the perpetrators of the kidnapping, torture, and rape of journalist Jineth Bedoya, who were brought to trial and convicted for the events of May 25, 2000</w:t>
      </w:r>
      <w:r w:rsidR="00106E9D" w:rsidRPr="00B8721C">
        <w:rPr>
          <w:rFonts w:ascii="Cambria" w:hAnsi="Cambria"/>
          <w:sz w:val="20"/>
          <w:szCs w:val="20"/>
        </w:rPr>
        <w:t>:</w:t>
      </w:r>
      <w:r w:rsidR="00894E19" w:rsidRPr="00B8721C">
        <w:rPr>
          <w:rFonts w:ascii="Cambria" w:hAnsi="Cambria"/>
          <w:sz w:val="20"/>
          <w:szCs w:val="20"/>
        </w:rPr>
        <w:t xml:space="preserve"> Armando Lugo, </w:t>
      </w:r>
      <w:r w:rsidR="00963124" w:rsidRPr="00B8721C">
        <w:rPr>
          <w:rFonts w:ascii="Cambria" w:hAnsi="Cambria"/>
          <w:sz w:val="20"/>
          <w:szCs w:val="20"/>
        </w:rPr>
        <w:t>who entered into</w:t>
      </w:r>
      <w:r w:rsidR="00894E19" w:rsidRPr="00B8721C">
        <w:rPr>
          <w:rFonts w:ascii="Cambria" w:hAnsi="Cambria"/>
          <w:sz w:val="20"/>
          <w:szCs w:val="20"/>
        </w:rPr>
        <w:t xml:space="preserve"> a </w:t>
      </w:r>
      <w:r w:rsidR="0094087A" w:rsidRPr="00B8721C">
        <w:rPr>
          <w:rFonts w:ascii="Cambria" w:hAnsi="Cambria"/>
          <w:sz w:val="20"/>
          <w:szCs w:val="20"/>
        </w:rPr>
        <w:t>plea agreement</w:t>
      </w:r>
      <w:r w:rsidR="00894E19" w:rsidRPr="00B8721C">
        <w:rPr>
          <w:rFonts w:ascii="Cambria" w:hAnsi="Cambria"/>
          <w:sz w:val="20"/>
          <w:szCs w:val="20"/>
        </w:rPr>
        <w:t xml:space="preserve"> </w:t>
      </w:r>
      <w:r w:rsidR="00963124" w:rsidRPr="00B8721C">
        <w:rPr>
          <w:rFonts w:ascii="Cambria" w:hAnsi="Cambria"/>
          <w:sz w:val="20"/>
          <w:szCs w:val="20"/>
        </w:rPr>
        <w:t>on February</w:t>
      </w:r>
      <w:r w:rsidR="00894E19" w:rsidRPr="00B8721C">
        <w:rPr>
          <w:rFonts w:ascii="Cambria" w:hAnsi="Cambria"/>
          <w:sz w:val="20"/>
          <w:szCs w:val="20"/>
        </w:rPr>
        <w:t xml:space="preserve"> 27</w:t>
      </w:r>
      <w:r w:rsidR="00963124" w:rsidRPr="00B8721C">
        <w:rPr>
          <w:rFonts w:ascii="Cambria" w:hAnsi="Cambria"/>
          <w:sz w:val="20"/>
          <w:szCs w:val="20"/>
        </w:rPr>
        <w:t>,</w:t>
      </w:r>
      <w:r w:rsidR="00894E19" w:rsidRPr="00B8721C">
        <w:rPr>
          <w:rFonts w:ascii="Cambria" w:hAnsi="Cambria"/>
          <w:sz w:val="20"/>
          <w:szCs w:val="20"/>
        </w:rPr>
        <w:t xml:space="preserve"> </w:t>
      </w:r>
      <w:r w:rsidR="00963124" w:rsidRPr="00B8721C">
        <w:rPr>
          <w:rFonts w:ascii="Cambria" w:hAnsi="Cambria"/>
          <w:sz w:val="20"/>
          <w:szCs w:val="20"/>
        </w:rPr>
        <w:t>2015;</w:t>
      </w:r>
      <w:r w:rsidR="00894E19" w:rsidRPr="00B8721C">
        <w:rPr>
          <w:rFonts w:ascii="Cambria" w:hAnsi="Cambria"/>
          <w:sz w:val="20"/>
          <w:szCs w:val="20"/>
        </w:rPr>
        <w:t xml:space="preserve"> Mario Jaimes Mejía</w:t>
      </w:r>
      <w:r w:rsidR="00963124" w:rsidRPr="00B8721C">
        <w:rPr>
          <w:rFonts w:ascii="Cambria" w:hAnsi="Cambria"/>
          <w:sz w:val="20"/>
          <w:szCs w:val="20"/>
        </w:rPr>
        <w:t>, convicted on March</w:t>
      </w:r>
      <w:r w:rsidR="00894E19" w:rsidRPr="00B8721C">
        <w:rPr>
          <w:rFonts w:ascii="Cambria" w:hAnsi="Cambria"/>
          <w:sz w:val="20"/>
          <w:szCs w:val="20"/>
        </w:rPr>
        <w:t xml:space="preserve"> </w:t>
      </w:r>
      <w:r w:rsidR="00963124" w:rsidRPr="00B8721C">
        <w:rPr>
          <w:rFonts w:ascii="Cambria" w:hAnsi="Cambria"/>
          <w:sz w:val="20"/>
          <w:szCs w:val="20"/>
        </w:rPr>
        <w:t>18, 2016, and</w:t>
      </w:r>
      <w:r w:rsidR="00894E19" w:rsidRPr="00B8721C">
        <w:rPr>
          <w:rFonts w:ascii="Cambria" w:hAnsi="Cambria"/>
          <w:sz w:val="20"/>
          <w:szCs w:val="20"/>
        </w:rPr>
        <w:t xml:space="preserve"> A</w:t>
      </w:r>
      <w:r w:rsidR="00963124" w:rsidRPr="00B8721C">
        <w:rPr>
          <w:rFonts w:ascii="Cambria" w:hAnsi="Cambria"/>
          <w:sz w:val="20"/>
          <w:szCs w:val="20"/>
        </w:rPr>
        <w:t xml:space="preserve">lejandro Cárdenas Orozco, convicted on February 24, </w:t>
      </w:r>
      <w:r w:rsidR="00894E19" w:rsidRPr="00B8721C">
        <w:rPr>
          <w:rFonts w:ascii="Cambria" w:hAnsi="Cambria"/>
          <w:sz w:val="20"/>
          <w:szCs w:val="20"/>
        </w:rPr>
        <w:t>2016</w:t>
      </w:r>
      <w:r w:rsidR="00106E9D" w:rsidRPr="00B8721C">
        <w:rPr>
          <w:rFonts w:ascii="Cambria" w:hAnsi="Cambria"/>
          <w:sz w:val="20"/>
          <w:szCs w:val="20"/>
        </w:rPr>
        <w:t>.</w:t>
      </w:r>
    </w:p>
    <w:p w:rsidR="004B2DAC" w:rsidRPr="00B8721C" w:rsidRDefault="004B2DAC" w:rsidP="004B2DA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045461" w:rsidRPr="00B8721C" w:rsidRDefault="004B2DAC" w:rsidP="000454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Style w:val="CharacterStyle2"/>
          <w:rFonts w:ascii="Cambria" w:hAnsi="Cambria"/>
          <w:color w:val="000000"/>
          <w:bdr w:val="none" w:sz="0" w:space="0" w:color="auto"/>
        </w:rPr>
      </w:pPr>
      <w:r w:rsidRPr="00B8721C">
        <w:rPr>
          <w:rStyle w:val="CharacterStyle2"/>
          <w:rFonts w:ascii="Cambria" w:hAnsi="Cambria"/>
          <w:color w:val="000000"/>
          <w:bdr w:val="none" w:sz="0" w:space="0" w:color="auto"/>
        </w:rPr>
        <w:t>It also follows from the facts that the authorities opened at least four investigations into the threats against the journalist, according to complaints filed in November</w:t>
      </w:r>
      <w:r w:rsidR="00373A43" w:rsidRPr="00B8721C">
        <w:rPr>
          <w:rStyle w:val="CharacterStyle2"/>
          <w:rFonts w:ascii="Cambria" w:hAnsi="Cambria"/>
          <w:color w:val="000000"/>
          <w:bdr w:val="none" w:sz="0" w:space="0" w:color="auto"/>
        </w:rPr>
        <w:t xml:space="preserve"> </w:t>
      </w:r>
      <w:r w:rsidR="00106E9D" w:rsidRPr="00B8721C">
        <w:rPr>
          <w:rStyle w:val="CharacterStyle2"/>
          <w:rFonts w:ascii="Cambria" w:hAnsi="Cambria"/>
          <w:color w:val="000000"/>
          <w:bdr w:val="none" w:sz="0" w:space="0" w:color="auto"/>
        </w:rPr>
        <w:t xml:space="preserve">2010, </w:t>
      </w:r>
      <w:r w:rsidRPr="00B8721C">
        <w:rPr>
          <w:rStyle w:val="CharacterStyle2"/>
          <w:rFonts w:ascii="Cambria" w:hAnsi="Cambria"/>
          <w:color w:val="000000"/>
          <w:bdr w:val="none" w:sz="0" w:space="0" w:color="auto"/>
        </w:rPr>
        <w:t>May</w:t>
      </w:r>
      <w:r w:rsidR="00106E9D" w:rsidRPr="00B8721C">
        <w:rPr>
          <w:rStyle w:val="CharacterStyle2"/>
          <w:rFonts w:ascii="Cambria" w:hAnsi="Cambria"/>
          <w:color w:val="000000"/>
          <w:bdr w:val="none" w:sz="0" w:space="0" w:color="auto"/>
        </w:rPr>
        <w:t xml:space="preserve"> 2011, </w:t>
      </w:r>
      <w:r w:rsidRPr="00B8721C">
        <w:rPr>
          <w:rStyle w:val="CharacterStyle2"/>
          <w:rFonts w:ascii="Cambria" w:hAnsi="Cambria"/>
          <w:color w:val="000000"/>
          <w:bdr w:val="none" w:sz="0" w:space="0" w:color="auto"/>
        </w:rPr>
        <w:t>June</w:t>
      </w:r>
      <w:r w:rsidR="00106E9D" w:rsidRPr="00B8721C">
        <w:rPr>
          <w:rStyle w:val="CharacterStyle2"/>
          <w:rFonts w:ascii="Cambria" w:hAnsi="Cambria"/>
          <w:color w:val="000000"/>
          <w:bdr w:val="none" w:sz="0" w:space="0" w:color="auto"/>
        </w:rPr>
        <w:t xml:space="preserve"> 2011</w:t>
      </w:r>
      <w:r w:rsidRPr="00B8721C">
        <w:rPr>
          <w:rStyle w:val="CharacterStyle2"/>
          <w:rFonts w:ascii="Cambria" w:hAnsi="Cambria"/>
          <w:color w:val="000000"/>
          <w:bdr w:val="none" w:sz="0" w:space="0" w:color="auto"/>
        </w:rPr>
        <w:t>,</w:t>
      </w:r>
      <w:r w:rsidR="00106E9D" w:rsidRPr="00B8721C">
        <w:rPr>
          <w:rStyle w:val="CharacterStyle2"/>
          <w:rFonts w:ascii="Cambria" w:hAnsi="Cambria"/>
          <w:color w:val="000000"/>
          <w:bdr w:val="none" w:sz="0" w:space="0" w:color="auto"/>
        </w:rPr>
        <w:t xml:space="preserve"> </w:t>
      </w:r>
      <w:r w:rsidRPr="00B8721C">
        <w:rPr>
          <w:rStyle w:val="CharacterStyle2"/>
          <w:rFonts w:ascii="Cambria" w:hAnsi="Cambria"/>
          <w:color w:val="000000"/>
          <w:bdr w:val="none" w:sz="0" w:space="0" w:color="auto"/>
        </w:rPr>
        <w:t>and September</w:t>
      </w:r>
      <w:r w:rsidR="00106E9D" w:rsidRPr="00B8721C">
        <w:rPr>
          <w:rStyle w:val="CharacterStyle2"/>
          <w:rFonts w:ascii="Cambria" w:hAnsi="Cambria"/>
          <w:color w:val="000000"/>
          <w:bdr w:val="none" w:sz="0" w:space="0" w:color="auto"/>
        </w:rPr>
        <w:t xml:space="preserve"> 2011</w:t>
      </w:r>
      <w:r w:rsidR="00373A43" w:rsidRPr="00B8721C">
        <w:rPr>
          <w:rStyle w:val="CharacterStyle2"/>
          <w:rFonts w:ascii="Cambria" w:hAnsi="Cambria"/>
          <w:color w:val="000000"/>
          <w:bdr w:val="none" w:sz="0" w:space="0" w:color="auto"/>
        </w:rPr>
        <w:t xml:space="preserve">. </w:t>
      </w:r>
      <w:r w:rsidRPr="00B8721C">
        <w:rPr>
          <w:rStyle w:val="CharacterStyle2"/>
          <w:rFonts w:ascii="Cambria" w:hAnsi="Cambria"/>
          <w:color w:val="000000"/>
          <w:bdr w:val="none" w:sz="0" w:space="0" w:color="auto"/>
        </w:rPr>
        <w:t>These investigations were all closed</w:t>
      </w:r>
      <w:r w:rsidR="00956E41" w:rsidRPr="00B8721C">
        <w:rPr>
          <w:rStyle w:val="CharacterStyle2"/>
          <w:rFonts w:ascii="Cambria" w:hAnsi="Cambria"/>
          <w:color w:val="000000"/>
          <w:bdr w:val="none" w:sz="0" w:space="0" w:color="auto"/>
        </w:rPr>
        <w:t xml:space="preserve">. </w:t>
      </w:r>
      <w:r w:rsidRPr="00B8721C">
        <w:rPr>
          <w:rStyle w:val="CharacterStyle2"/>
          <w:rFonts w:ascii="Cambria" w:hAnsi="Cambria"/>
          <w:color w:val="000000"/>
          <w:bdr w:val="none" w:sz="0" w:space="0" w:color="auto"/>
        </w:rPr>
        <w:t>The State informed the IACHR that it is considering the possibility of ordering the reopening of those investigations, “in order to continue gathering evidence to shed light on the facts alleged by the journalist.”</w:t>
      </w:r>
    </w:p>
    <w:p w:rsidR="00045461" w:rsidRPr="00B8721C" w:rsidRDefault="00045461" w:rsidP="0004546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Style w:val="CharacterStyle2"/>
          <w:rFonts w:ascii="Cambria" w:hAnsi="Cambria"/>
          <w:color w:val="000000"/>
          <w:bdr w:val="none" w:sz="0" w:space="0" w:color="auto"/>
        </w:rPr>
      </w:pPr>
    </w:p>
    <w:p w:rsidR="00D01515" w:rsidRPr="00B8721C" w:rsidRDefault="002A14C9" w:rsidP="00D015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rPr>
        <w:t>The IACHR observes that the 6</w:t>
      </w:r>
      <w:r w:rsidRPr="00B8721C">
        <w:rPr>
          <w:rFonts w:ascii="Cambria" w:hAnsi="Cambria"/>
          <w:sz w:val="20"/>
          <w:szCs w:val="20"/>
          <w:vertAlign w:val="superscript"/>
        </w:rPr>
        <w:t>th</w:t>
      </w:r>
      <w:r w:rsidRPr="00B8721C">
        <w:rPr>
          <w:rFonts w:ascii="Cambria" w:hAnsi="Cambria"/>
          <w:sz w:val="20"/>
          <w:szCs w:val="20"/>
        </w:rPr>
        <w:t xml:space="preserve"> </w:t>
      </w:r>
      <w:r w:rsidR="0043470A">
        <w:rPr>
          <w:rFonts w:ascii="Cambria" w:hAnsi="Cambria"/>
          <w:sz w:val="20"/>
          <w:szCs w:val="20"/>
        </w:rPr>
        <w:t>Special Prosecutor</w:t>
      </w:r>
      <w:r w:rsidR="00E82ECB">
        <w:rPr>
          <w:rFonts w:ascii="Cambria" w:hAnsi="Cambria"/>
          <w:sz w:val="20"/>
          <w:szCs w:val="20"/>
        </w:rPr>
        <w:t>’s</w:t>
      </w:r>
      <w:r w:rsidRPr="00B8721C">
        <w:rPr>
          <w:rFonts w:ascii="Cambria" w:hAnsi="Cambria"/>
          <w:sz w:val="20"/>
          <w:szCs w:val="20"/>
        </w:rPr>
        <w:t xml:space="preserve"> Office of the Human Rights and IHL Unit conducted the preliminary investigation for 11 years, without being able to establish the facts or identify those responsible for the crimes</w:t>
      </w:r>
      <w:r w:rsidR="009D1D5E" w:rsidRPr="00B8721C">
        <w:rPr>
          <w:rFonts w:ascii="Cambria" w:hAnsi="Cambria"/>
          <w:sz w:val="20"/>
          <w:szCs w:val="20"/>
        </w:rPr>
        <w:t xml:space="preserve">. </w:t>
      </w:r>
      <w:r w:rsidRPr="00B8721C">
        <w:rPr>
          <w:rFonts w:ascii="Cambria" w:hAnsi="Cambria"/>
          <w:sz w:val="20"/>
          <w:szCs w:val="20"/>
        </w:rPr>
        <w:t xml:space="preserve">It is clear from the case file that this absence of tangible results may have </w:t>
      </w:r>
      <w:r w:rsidR="00045461" w:rsidRPr="00B8721C">
        <w:rPr>
          <w:rFonts w:ascii="Cambria" w:hAnsi="Cambria"/>
          <w:sz w:val="20"/>
          <w:szCs w:val="20"/>
        </w:rPr>
        <w:t>arisen</w:t>
      </w:r>
      <w:r w:rsidRPr="00B8721C">
        <w:rPr>
          <w:rFonts w:ascii="Cambria" w:hAnsi="Cambria"/>
          <w:sz w:val="20"/>
          <w:szCs w:val="20"/>
        </w:rPr>
        <w:t xml:space="preserve">, in part, from the failure to </w:t>
      </w:r>
      <w:r w:rsidR="00045461" w:rsidRPr="00B8721C">
        <w:rPr>
          <w:rFonts w:ascii="Cambria" w:hAnsi="Cambria"/>
          <w:sz w:val="20"/>
          <w:szCs w:val="20"/>
        </w:rPr>
        <w:t xml:space="preserve">timely conduct </w:t>
      </w:r>
      <w:r w:rsidRPr="00B8721C">
        <w:rPr>
          <w:rFonts w:ascii="Cambria" w:hAnsi="Cambria"/>
          <w:sz w:val="20"/>
          <w:szCs w:val="20"/>
        </w:rPr>
        <w:t>and assess the investigative proceedings needed to clarify the facts and identify the direct perpetrators and masterminds, including the possible active or passive participation of State agents</w:t>
      </w:r>
      <w:r w:rsidR="00045461" w:rsidRPr="00B8721C">
        <w:rPr>
          <w:rFonts w:ascii="Cambria" w:hAnsi="Cambria"/>
          <w:sz w:val="20"/>
          <w:szCs w:val="20"/>
        </w:rPr>
        <w:t xml:space="preserve"> in the crimes</w:t>
      </w:r>
      <w:r w:rsidRPr="00B8721C">
        <w:rPr>
          <w:rFonts w:ascii="Cambria" w:hAnsi="Cambria"/>
          <w:sz w:val="20"/>
          <w:szCs w:val="20"/>
        </w:rPr>
        <w:t xml:space="preserve">. </w:t>
      </w:r>
      <w:r w:rsidR="00045461" w:rsidRPr="00B8721C">
        <w:rPr>
          <w:rFonts w:ascii="Cambria" w:hAnsi="Cambria"/>
          <w:sz w:val="20"/>
          <w:szCs w:val="20"/>
        </w:rPr>
        <w:t>For instance, the collection of key evidence—such as cell phone records, security camera footage from the National Model Prison in Bogotá, and copies of the videos from the tolls on the Bogotá-Villavicencio road—was ordered many years later, by which time it was impossible to obtain</w:t>
      </w:r>
      <w:r w:rsidR="001D4308" w:rsidRPr="00B8721C">
        <w:rPr>
          <w:rFonts w:ascii="Cambria" w:hAnsi="Cambria"/>
          <w:sz w:val="20"/>
          <w:szCs w:val="20"/>
        </w:rPr>
        <w:t xml:space="preserve">. </w:t>
      </w:r>
      <w:r w:rsidR="00045461" w:rsidRPr="00B8721C">
        <w:rPr>
          <w:rFonts w:ascii="Cambria" w:hAnsi="Cambria"/>
          <w:sz w:val="20"/>
          <w:szCs w:val="20"/>
        </w:rPr>
        <w:t xml:space="preserve">The Commission also notes that the </w:t>
      </w:r>
      <w:r w:rsidR="00E82ECB">
        <w:rPr>
          <w:rFonts w:ascii="Cambria" w:hAnsi="Cambria"/>
          <w:sz w:val="20"/>
          <w:szCs w:val="20"/>
        </w:rPr>
        <w:t>Prosecutor’s</w:t>
      </w:r>
      <w:r w:rsidR="00045461" w:rsidRPr="00B8721C">
        <w:rPr>
          <w:rFonts w:ascii="Cambria" w:hAnsi="Cambria"/>
          <w:sz w:val="20"/>
          <w:szCs w:val="20"/>
        </w:rPr>
        <w:t xml:space="preserve"> Office failed to promptly identify the individuals working as prison guards on May 25, 2000, and it was not until 2010 that the authorities were able to take statements from some prison guards and the inspector of the National Penitentiary and Prison Institute. The aforementioned failures and omissions in obtaining critical evidence demonstrate the State's lack of due diligence in recovering evidentiary material.</w:t>
      </w:r>
    </w:p>
    <w:p w:rsidR="00D01515" w:rsidRPr="00B8721C" w:rsidRDefault="00D01515" w:rsidP="00D0151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D01515" w:rsidRPr="00B8721C" w:rsidRDefault="00BC6F9E" w:rsidP="00D015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rPr>
        <w:t>It is noted that the investigation also failed to include effective measures aimed at determining the relationship between the threats received by Jineth Bedoya before and after her abduction and the perpetrators of the crime. As has been demonstrated, Ms. Bedoya began receiving threats related to her work on the National Model Prison and the internal armed conflict in Colombia long before the events in question. These threats, which have continued to this day, were neither investigated nor clearly introduced a contextual elements of the investigation.</w:t>
      </w:r>
    </w:p>
    <w:p w:rsidR="00D01515" w:rsidRPr="00B8721C" w:rsidRDefault="00D01515" w:rsidP="00D0151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F951AD" w:rsidRPr="00B8721C" w:rsidRDefault="00D01515" w:rsidP="00F951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rPr>
        <w:lastRenderedPageBreak/>
        <w:t xml:space="preserve">In addition, a reading of the case file shows that during the first 11 years of the investigation, the information relevant to the establishment of the facts was provided by the victim, on the basis of what she investigated from journalistic sources. In fact, in some years, the </w:t>
      </w:r>
      <w:r w:rsidR="00E82ECB">
        <w:rPr>
          <w:rFonts w:ascii="Cambria" w:hAnsi="Cambria"/>
          <w:sz w:val="20"/>
          <w:szCs w:val="20"/>
        </w:rPr>
        <w:t>Prosecutor’s</w:t>
      </w:r>
      <w:r w:rsidRPr="00B8721C">
        <w:rPr>
          <w:rFonts w:ascii="Cambria" w:hAnsi="Cambria"/>
          <w:sz w:val="20"/>
          <w:szCs w:val="20"/>
        </w:rPr>
        <w:t xml:space="preserve"> Office carried out very few evidentiary proceedings, which were ordered on the basis of the information that Jineth Bedoya contributed to the case through at least seven </w:t>
      </w:r>
      <w:r w:rsidRPr="00DA496F">
        <w:rPr>
          <w:rFonts w:ascii="Cambria" w:hAnsi="Cambria"/>
          <w:sz w:val="20"/>
          <w:szCs w:val="20"/>
        </w:rPr>
        <w:t>supplemental statements. In addition to the fact that this places an inadmissible procedural burden on the victim, the IACHR believes that the repetition of these supplemental statements—in which the victim had to refer on numerous occasions to the events of May 25, 2000—had a revictimizing effect on her</w:t>
      </w:r>
      <w:r w:rsidR="000758BD" w:rsidRPr="00DA496F">
        <w:rPr>
          <w:rFonts w:ascii="Cambria" w:hAnsi="Cambria"/>
          <w:sz w:val="20"/>
          <w:szCs w:val="20"/>
        </w:rPr>
        <w:t xml:space="preserve">. </w:t>
      </w:r>
      <w:r w:rsidRPr="00DA496F">
        <w:rPr>
          <w:rFonts w:ascii="Cambria" w:hAnsi="Cambria"/>
          <w:sz w:val="20"/>
          <w:szCs w:val="20"/>
        </w:rPr>
        <w:t xml:space="preserve">The IACHR has </w:t>
      </w:r>
      <w:r w:rsidR="00635B5B" w:rsidRPr="00DA496F">
        <w:rPr>
          <w:rFonts w:ascii="Cambria" w:hAnsi="Cambria"/>
          <w:sz w:val="20"/>
          <w:szCs w:val="20"/>
        </w:rPr>
        <w:t>emphasized</w:t>
      </w:r>
      <w:r w:rsidRPr="00DA496F">
        <w:rPr>
          <w:rFonts w:ascii="Cambria" w:hAnsi="Cambria"/>
          <w:sz w:val="20"/>
          <w:szCs w:val="20"/>
        </w:rPr>
        <w:t xml:space="preserve"> that in cases of</w:t>
      </w:r>
      <w:r w:rsidR="0079060E" w:rsidRPr="00DA496F">
        <w:rPr>
          <w:rFonts w:ascii="Cambria" w:hAnsi="Cambria"/>
          <w:sz w:val="20"/>
          <w:szCs w:val="20"/>
        </w:rPr>
        <w:t xml:space="preserve"> sexual</w:t>
      </w:r>
      <w:r w:rsidRPr="00DA496F">
        <w:rPr>
          <w:rFonts w:ascii="Cambria" w:hAnsi="Cambria"/>
          <w:sz w:val="20"/>
          <w:szCs w:val="20"/>
        </w:rPr>
        <w:t xml:space="preserve"> violence, insofar as possible, the investigation must try to avoid revictimization or the re-experiencing of the profoundly traumatic experience each time the victim remembers or testifies about what happened</w:t>
      </w:r>
      <w:r w:rsidRPr="00B8721C">
        <w:rPr>
          <w:rFonts w:ascii="Cambria" w:hAnsi="Cambria"/>
          <w:sz w:val="20"/>
          <w:szCs w:val="20"/>
        </w:rPr>
        <w:t>.</w:t>
      </w:r>
      <w:r w:rsidR="0079060E" w:rsidRPr="00B8721C">
        <w:rPr>
          <w:rStyle w:val="FootnoteReference"/>
          <w:rFonts w:ascii="Cambria" w:hAnsi="Cambria"/>
          <w:sz w:val="20"/>
          <w:szCs w:val="20"/>
        </w:rPr>
        <w:footnoteReference w:id="231"/>
      </w:r>
    </w:p>
    <w:p w:rsidR="00F951AD" w:rsidRPr="00B8721C" w:rsidRDefault="00F951AD" w:rsidP="00F951A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3B28AC" w:rsidRPr="00B8721C" w:rsidRDefault="001B5B1D" w:rsidP="003B28A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rPr>
        <w:t>The IACHR notes that the authorities in charge of the investigation in this case did not follow procedures that were in line with international standards for the investigation of crimes of sexual violence. In cases of violence against women, certain international instruments are useful for clarifying and giving substance to the heightened state obligation to investigate with due diligence.</w:t>
      </w:r>
      <w:r w:rsidR="00EF5320" w:rsidRPr="00B8721C">
        <w:rPr>
          <w:rStyle w:val="FootnoteReference"/>
          <w:rFonts w:ascii="Cambria" w:hAnsi="Cambria"/>
          <w:sz w:val="20"/>
          <w:szCs w:val="20"/>
        </w:rPr>
        <w:footnoteReference w:id="232"/>
      </w:r>
      <w:r w:rsidR="0093555C" w:rsidRPr="00B8721C">
        <w:rPr>
          <w:rFonts w:ascii="Cambria" w:hAnsi="Cambria"/>
          <w:sz w:val="20"/>
          <w:szCs w:val="20"/>
        </w:rPr>
        <w:t xml:space="preserve"> </w:t>
      </w:r>
      <w:r w:rsidR="00F951AD" w:rsidRPr="00B8721C">
        <w:rPr>
          <w:rFonts w:ascii="Cambria" w:hAnsi="Cambria"/>
          <w:sz w:val="20"/>
          <w:szCs w:val="20"/>
        </w:rPr>
        <w:t>In a criminal investigation of sexual violence, both the IACHR and the Inter-American Court have emphasized that it is necessary for the authorities to immediately conduct a full and detailed medical and psychological examination by qualified and trained personnel and to diligently handle the evidence, taking sufficient samples, conducting studies to determine the likely perpetrator of the act, securing other evidence such as the victim’s clothing, immediately investigating the scene of the crime, and ensuring the proper chain of custody.</w:t>
      </w:r>
      <w:r w:rsidR="0093555C" w:rsidRPr="00B8721C">
        <w:rPr>
          <w:rStyle w:val="FootnoteReference"/>
          <w:rFonts w:ascii="Cambria" w:hAnsi="Cambria"/>
          <w:sz w:val="20"/>
          <w:szCs w:val="20"/>
        </w:rPr>
        <w:footnoteReference w:id="233"/>
      </w:r>
    </w:p>
    <w:p w:rsidR="003B28AC" w:rsidRPr="00B8721C" w:rsidRDefault="003B28AC" w:rsidP="003B28A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110F57" w:rsidRPr="00B8721C" w:rsidRDefault="003E2AC8" w:rsidP="00110F5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rPr>
        <w:t>The IACHR observes that the results of the medical examinations performed on the victim were added to the case file several months after the fact, despite repeated requests by the authorities. According to the information from petitioner that was not disputed by the State, the medical examinations were not completely incorporated into the case file, “as several of the results were either lost or had disappeared.”</w:t>
      </w:r>
      <w:r w:rsidR="0070078A" w:rsidRPr="00B8721C">
        <w:rPr>
          <w:rFonts w:ascii="Cambria" w:hAnsi="Cambria"/>
          <w:sz w:val="20"/>
          <w:szCs w:val="20"/>
        </w:rPr>
        <w:t xml:space="preserve"> </w:t>
      </w:r>
      <w:r w:rsidRPr="00B8721C">
        <w:rPr>
          <w:rFonts w:ascii="Cambria" w:hAnsi="Cambria"/>
          <w:sz w:val="20"/>
          <w:szCs w:val="20"/>
        </w:rPr>
        <w:t>T</w:t>
      </w:r>
      <w:r w:rsidR="00716276" w:rsidRPr="00B8721C">
        <w:rPr>
          <w:rFonts w:ascii="Cambria" w:hAnsi="Cambria"/>
          <w:sz w:val="20"/>
          <w:szCs w:val="20"/>
        </w:rPr>
        <w:t>he petitioner</w:t>
      </w:r>
      <w:r w:rsidR="002F2054" w:rsidRPr="00B8721C">
        <w:rPr>
          <w:rFonts w:ascii="Cambria" w:hAnsi="Cambria"/>
          <w:sz w:val="20"/>
          <w:szCs w:val="20"/>
        </w:rPr>
        <w:t xml:space="preserve"> </w:t>
      </w:r>
      <w:r w:rsidRPr="00B8721C">
        <w:rPr>
          <w:rFonts w:ascii="Cambria" w:hAnsi="Cambria"/>
          <w:sz w:val="20"/>
          <w:szCs w:val="20"/>
        </w:rPr>
        <w:t>contended that</w:t>
      </w:r>
      <w:r w:rsidR="002F2054" w:rsidRPr="00B8721C">
        <w:rPr>
          <w:rFonts w:ascii="Cambria" w:hAnsi="Cambria"/>
          <w:sz w:val="20"/>
          <w:szCs w:val="20"/>
        </w:rPr>
        <w:t xml:space="preserve"> “</w:t>
      </w:r>
      <w:r w:rsidRPr="00B8721C">
        <w:rPr>
          <w:rFonts w:ascii="Cambria" w:hAnsi="Cambria"/>
          <w:sz w:val="20"/>
          <w:szCs w:val="20"/>
        </w:rPr>
        <w:t>There is no information to establish whether the appropriate steps were taken to determine and extract possible traces of semen, nor is it known what happened to the clothing that Jineth was wearing at the time of the rape, or whether any steps were taken to identify evidence that could facilitate the identification of the perpetrators.</w:t>
      </w:r>
      <w:r w:rsidR="002F2054" w:rsidRPr="00B8721C">
        <w:rPr>
          <w:rFonts w:ascii="Cambria" w:hAnsi="Cambria"/>
          <w:sz w:val="20"/>
          <w:szCs w:val="20"/>
        </w:rPr>
        <w:t>”</w:t>
      </w:r>
      <w:r w:rsidR="00C27AC1" w:rsidRPr="00B8721C">
        <w:rPr>
          <w:rFonts w:ascii="Cambria" w:hAnsi="Cambria"/>
          <w:color w:val="000000"/>
          <w:sz w:val="20"/>
          <w:szCs w:val="20"/>
          <w:bdr w:val="none" w:sz="0" w:space="0" w:color="auto"/>
        </w:rPr>
        <w:t xml:space="preserve"> </w:t>
      </w:r>
      <w:r w:rsidR="003B28AC" w:rsidRPr="00B8721C">
        <w:rPr>
          <w:rFonts w:ascii="Cambria" w:hAnsi="Cambria"/>
          <w:color w:val="000000"/>
          <w:sz w:val="20"/>
          <w:szCs w:val="20"/>
          <w:bdr w:val="none" w:sz="0" w:space="0" w:color="auto"/>
        </w:rPr>
        <w:t>The Commission finds that there is indeed no indication in the court file that the investigating authorities had gathered such evidence or taken steps to obtain it.</w:t>
      </w:r>
    </w:p>
    <w:p w:rsidR="00110F57" w:rsidRPr="00B8721C" w:rsidRDefault="00110F57" w:rsidP="00110F5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BD56AB" w:rsidRPr="00B8721C" w:rsidRDefault="000A261B" w:rsidP="00BD56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bCs/>
          <w:sz w:val="20"/>
          <w:szCs w:val="20"/>
        </w:rPr>
        <w:t>The IACHR acknowledges that from the beginning of the investigation, the State took steps to investigate the relationship betw</w:t>
      </w:r>
      <w:r w:rsidR="00A51B6B" w:rsidRPr="00B8721C">
        <w:rPr>
          <w:rFonts w:ascii="Cambria" w:hAnsi="Cambria"/>
          <w:bCs/>
          <w:sz w:val="20"/>
          <w:szCs w:val="20"/>
        </w:rPr>
        <w:t>een the crime and Jineth Bedoya’</w:t>
      </w:r>
      <w:r w:rsidRPr="00B8721C">
        <w:rPr>
          <w:rFonts w:ascii="Cambria" w:hAnsi="Cambria"/>
          <w:bCs/>
          <w:sz w:val="20"/>
          <w:szCs w:val="20"/>
        </w:rPr>
        <w:t xml:space="preserve">s journalistic work. However, it also notes that at the beginning of the investigation, </w:t>
      </w:r>
      <w:r w:rsidRPr="00B8721C">
        <w:rPr>
          <w:rFonts w:ascii="Cambria" w:hAnsi="Cambria"/>
          <w:sz w:val="20"/>
          <w:szCs w:val="20"/>
        </w:rPr>
        <w:t>the 6</w:t>
      </w:r>
      <w:r w:rsidRPr="00B8721C">
        <w:rPr>
          <w:rFonts w:ascii="Cambria" w:hAnsi="Cambria"/>
          <w:sz w:val="20"/>
          <w:szCs w:val="20"/>
          <w:vertAlign w:val="superscript"/>
        </w:rPr>
        <w:t>th</w:t>
      </w:r>
      <w:r w:rsidRPr="00B8721C">
        <w:rPr>
          <w:rFonts w:ascii="Cambria" w:hAnsi="Cambria"/>
          <w:sz w:val="20"/>
          <w:szCs w:val="20"/>
        </w:rPr>
        <w:t xml:space="preserve"> </w:t>
      </w:r>
      <w:r w:rsidR="0043470A">
        <w:rPr>
          <w:rFonts w:ascii="Cambria" w:hAnsi="Cambria"/>
          <w:sz w:val="20"/>
          <w:szCs w:val="20"/>
        </w:rPr>
        <w:t>Special Prosecutor</w:t>
      </w:r>
      <w:r w:rsidRPr="00B8721C">
        <w:rPr>
          <w:rFonts w:ascii="Cambria" w:hAnsi="Cambria"/>
          <w:sz w:val="20"/>
          <w:szCs w:val="20"/>
        </w:rPr>
        <w:t xml:space="preserve"> for Human Rights and IHL</w:t>
      </w:r>
      <w:r w:rsidRPr="00B8721C">
        <w:rPr>
          <w:rFonts w:ascii="Cambria" w:hAnsi="Cambria"/>
          <w:bCs/>
          <w:sz w:val="20"/>
          <w:szCs w:val="20"/>
        </w:rPr>
        <w:t xml:space="preserve"> </w:t>
      </w:r>
      <w:r w:rsidR="00A51B6B" w:rsidRPr="00B8721C">
        <w:rPr>
          <w:rFonts w:ascii="Cambria" w:hAnsi="Cambria"/>
          <w:bCs/>
          <w:sz w:val="20"/>
          <w:szCs w:val="20"/>
        </w:rPr>
        <w:t>looked into</w:t>
      </w:r>
      <w:r w:rsidRPr="00B8721C">
        <w:rPr>
          <w:rFonts w:ascii="Cambria" w:hAnsi="Cambria"/>
          <w:bCs/>
          <w:sz w:val="20"/>
          <w:szCs w:val="20"/>
        </w:rPr>
        <w:t xml:space="preserve"> an alleged love affair between Jineth Bedoya and a member of the guerrilla as a way of discrediting or calling into question the origin of the risk</w:t>
      </w:r>
      <w:r w:rsidR="00A51B6B" w:rsidRPr="00B8721C">
        <w:rPr>
          <w:rFonts w:ascii="Cambria" w:hAnsi="Cambria"/>
          <w:bCs/>
          <w:sz w:val="20"/>
          <w:szCs w:val="20"/>
        </w:rPr>
        <w:t>,</w:t>
      </w:r>
      <w:r w:rsidRPr="00B8721C">
        <w:rPr>
          <w:rFonts w:ascii="Cambria" w:hAnsi="Cambria"/>
          <w:bCs/>
          <w:sz w:val="20"/>
          <w:szCs w:val="20"/>
        </w:rPr>
        <w:t xml:space="preserve"> </w:t>
      </w:r>
      <w:r w:rsidR="00A51B6B" w:rsidRPr="00B8721C">
        <w:rPr>
          <w:rFonts w:ascii="Cambria" w:hAnsi="Cambria"/>
          <w:bCs/>
          <w:sz w:val="20"/>
          <w:szCs w:val="20"/>
        </w:rPr>
        <w:t>revealing</w:t>
      </w:r>
      <w:r w:rsidRPr="00B8721C">
        <w:rPr>
          <w:rFonts w:ascii="Cambria" w:hAnsi="Cambria"/>
          <w:bCs/>
          <w:sz w:val="20"/>
          <w:szCs w:val="20"/>
        </w:rPr>
        <w:t xml:space="preserve"> sexist prejudices and discriminatory gender stereotypes against women</w:t>
      </w:r>
      <w:r w:rsidR="00563F01" w:rsidRPr="00B8721C">
        <w:rPr>
          <w:rFonts w:ascii="Cambria" w:hAnsi="Cambria"/>
          <w:sz w:val="20"/>
          <w:szCs w:val="20"/>
        </w:rPr>
        <w:t>.</w:t>
      </w:r>
      <w:r w:rsidR="005D279F" w:rsidRPr="00B8721C">
        <w:rPr>
          <w:rFonts w:ascii="Cambria" w:hAnsi="Cambria"/>
          <w:sz w:val="20"/>
          <w:szCs w:val="20"/>
        </w:rPr>
        <w:t xml:space="preserve"> </w:t>
      </w:r>
      <w:r w:rsidR="003506A6" w:rsidRPr="00B8721C">
        <w:rPr>
          <w:rFonts w:ascii="Cambria" w:hAnsi="Cambria"/>
          <w:sz w:val="20"/>
          <w:szCs w:val="20"/>
        </w:rPr>
        <w:t>The</w:t>
      </w:r>
      <w:r w:rsidRPr="00B8721C">
        <w:rPr>
          <w:rFonts w:ascii="Cambria" w:hAnsi="Cambria"/>
          <w:sz w:val="20"/>
          <w:szCs w:val="20"/>
        </w:rPr>
        <w:t xml:space="preserve"> case file </w:t>
      </w:r>
      <w:r w:rsidR="003506A6" w:rsidRPr="00B8721C">
        <w:rPr>
          <w:rFonts w:ascii="Cambria" w:hAnsi="Cambria"/>
          <w:sz w:val="20"/>
          <w:szCs w:val="20"/>
        </w:rPr>
        <w:t xml:space="preserve">shows </w:t>
      </w:r>
      <w:r w:rsidRPr="00B8721C">
        <w:rPr>
          <w:rFonts w:ascii="Cambria" w:hAnsi="Cambria"/>
          <w:sz w:val="20"/>
          <w:szCs w:val="20"/>
        </w:rPr>
        <w:t xml:space="preserve">that after alias “Popeye” claimed that the journalist was </w:t>
      </w:r>
      <w:r w:rsidR="003506A6" w:rsidRPr="00B8721C">
        <w:rPr>
          <w:rFonts w:ascii="Cambria" w:hAnsi="Cambria"/>
          <w:sz w:val="20"/>
          <w:szCs w:val="20"/>
        </w:rPr>
        <w:t>the</w:t>
      </w:r>
      <w:r w:rsidRPr="00B8721C">
        <w:rPr>
          <w:rFonts w:ascii="Cambria" w:hAnsi="Cambria"/>
          <w:sz w:val="20"/>
          <w:szCs w:val="20"/>
        </w:rPr>
        <w:t xml:space="preserve"> lover of a guerrilla in the National Model Prison, the </w:t>
      </w:r>
      <w:r w:rsidR="00E82ECB">
        <w:rPr>
          <w:rFonts w:ascii="Cambria" w:hAnsi="Cambria"/>
          <w:sz w:val="20"/>
          <w:szCs w:val="20"/>
        </w:rPr>
        <w:t>Prosecutor’s</w:t>
      </w:r>
      <w:r w:rsidRPr="00B8721C">
        <w:rPr>
          <w:rFonts w:ascii="Cambria" w:hAnsi="Cambria"/>
          <w:sz w:val="20"/>
          <w:szCs w:val="20"/>
        </w:rPr>
        <w:t xml:space="preserve"> Office ordered an interview “to determine the connection between </w:t>
      </w:r>
      <w:r w:rsidR="003506A6" w:rsidRPr="00B8721C">
        <w:rPr>
          <w:rFonts w:ascii="Cambria" w:hAnsi="Cambria"/>
          <w:sz w:val="20"/>
          <w:szCs w:val="20"/>
        </w:rPr>
        <w:t>[the guerrilla]</w:t>
      </w:r>
      <w:r w:rsidRPr="00B8721C">
        <w:rPr>
          <w:rFonts w:ascii="Cambria" w:hAnsi="Cambria"/>
          <w:sz w:val="20"/>
          <w:szCs w:val="20"/>
        </w:rPr>
        <w:t xml:space="preserve"> and the journalist,” as well as to inspect the visitor log to find out who had visited him. Although this theory was not supported by evidence and was ultimately disproved, it is clear that the authorities were influenced by gende</w:t>
      </w:r>
      <w:r w:rsidR="003506A6" w:rsidRPr="00B8721C">
        <w:rPr>
          <w:rFonts w:ascii="Cambria" w:hAnsi="Cambria"/>
          <w:sz w:val="20"/>
          <w:szCs w:val="20"/>
        </w:rPr>
        <w:t>r stereotypes that discriminate</w:t>
      </w:r>
      <w:r w:rsidRPr="00B8721C">
        <w:rPr>
          <w:rFonts w:ascii="Cambria" w:hAnsi="Cambria"/>
          <w:sz w:val="20"/>
          <w:szCs w:val="20"/>
        </w:rPr>
        <w:t xml:space="preserve"> against women in the course of this investigation, which could affect their ability to investigate the connection between the crimes committed against women and the practice of their profession.  </w:t>
      </w:r>
    </w:p>
    <w:p w:rsidR="00BD56AB" w:rsidRPr="00B8721C" w:rsidRDefault="00BD56AB" w:rsidP="00BD56A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B913C5" w:rsidRPr="00B8721C" w:rsidRDefault="0011786E" w:rsidP="00B913C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cs="Cambria"/>
          <w:sz w:val="20"/>
          <w:szCs w:val="20"/>
        </w:rPr>
        <w:t xml:space="preserve">The IACHR stresses that discriminatory sociocultural patterns also have an impact on the investigation, prosecution, and punishment of cases of violence against women. In particular, the IACHR has </w:t>
      </w:r>
      <w:r w:rsidRPr="00B8721C">
        <w:rPr>
          <w:rFonts w:ascii="Cambria" w:hAnsi="Cambria" w:cs="Cambria"/>
          <w:sz w:val="20"/>
          <w:szCs w:val="20"/>
        </w:rPr>
        <w:lastRenderedPageBreak/>
        <w:t>explained that, because of prevailing gender stereotypes, justice authorities tend not to treat cases of violence as a priority and fail to examine evidence that is crucial to the investigation and punishment of the perpetrators</w:t>
      </w:r>
      <w:r w:rsidR="00ED56D9" w:rsidRPr="00B8721C">
        <w:rPr>
          <w:rFonts w:ascii="Cambria" w:hAnsi="Cambria" w:cs="Cambria"/>
          <w:sz w:val="20"/>
          <w:szCs w:val="20"/>
        </w:rPr>
        <w:t xml:space="preserve">. </w:t>
      </w:r>
      <w:r w:rsidRPr="00B8721C">
        <w:rPr>
          <w:rFonts w:ascii="Cambria" w:hAnsi="Cambria" w:cs="Cambria"/>
          <w:sz w:val="20"/>
          <w:szCs w:val="20"/>
        </w:rPr>
        <w:t>In addition, they give little credibility to the victim’s assertions; they discredit her; they blame her for what happened</w:t>
      </w:r>
      <w:r w:rsidR="00ED56D9" w:rsidRPr="00B8721C">
        <w:rPr>
          <w:rFonts w:ascii="Cambria" w:hAnsi="Cambria" w:cs="Cambria"/>
          <w:sz w:val="20"/>
          <w:szCs w:val="20"/>
        </w:rPr>
        <w:t xml:space="preserve"> “</w:t>
      </w:r>
      <w:r w:rsidRPr="00B8721C">
        <w:rPr>
          <w:rFonts w:ascii="Cambria" w:hAnsi="Cambria" w:cs="Cambria"/>
          <w:sz w:val="20"/>
          <w:szCs w:val="20"/>
        </w:rPr>
        <w:t>because of her manner of dress, her occupation, her sexual conduct, relationship or kinship to the assailant</w:t>
      </w:r>
      <w:r w:rsidR="00ED56D9" w:rsidRPr="00B8721C">
        <w:rPr>
          <w:rFonts w:ascii="Cambria" w:hAnsi="Cambria" w:cs="Cambria"/>
          <w:sz w:val="20"/>
          <w:szCs w:val="20"/>
        </w:rPr>
        <w:t>,”</w:t>
      </w:r>
      <w:r w:rsidR="00ED56D9" w:rsidRPr="00B8721C">
        <w:rPr>
          <w:rFonts w:ascii="Cambria" w:hAnsi="Cambria" w:cs="Cambria"/>
          <w:sz w:val="20"/>
          <w:szCs w:val="20"/>
          <w:vertAlign w:val="superscript"/>
        </w:rPr>
        <w:footnoteReference w:id="234"/>
      </w:r>
      <w:r w:rsidR="00ED56D9" w:rsidRPr="00B8721C">
        <w:rPr>
          <w:rFonts w:ascii="Cambria" w:hAnsi="Cambria"/>
          <w:sz w:val="20"/>
          <w:szCs w:val="20"/>
        </w:rPr>
        <w:t xml:space="preserve"> </w:t>
      </w:r>
      <w:r w:rsidRPr="00B8721C">
        <w:rPr>
          <w:rFonts w:ascii="Cambria" w:hAnsi="Cambria" w:cs="Cambria"/>
          <w:sz w:val="20"/>
          <w:szCs w:val="20"/>
        </w:rPr>
        <w:t>and provide the victim with inadequate services when she attempts to cooperate in the investigation of the facts</w:t>
      </w:r>
      <w:r w:rsidR="00ED56D9" w:rsidRPr="00B8721C">
        <w:rPr>
          <w:rFonts w:ascii="Cambria" w:hAnsi="Cambria" w:cs="Cambria"/>
          <w:sz w:val="20"/>
          <w:szCs w:val="20"/>
        </w:rPr>
        <w:t>.</w:t>
      </w:r>
      <w:r w:rsidR="00ED56D9" w:rsidRPr="00B8721C">
        <w:rPr>
          <w:rStyle w:val="FootnoteReference"/>
          <w:rFonts w:ascii="Cambria" w:hAnsi="Cambria" w:cs="Cambria"/>
          <w:sz w:val="20"/>
          <w:szCs w:val="20"/>
        </w:rPr>
        <w:footnoteReference w:id="235"/>
      </w:r>
      <w:r w:rsidR="00ED56D9" w:rsidRPr="00B8721C">
        <w:rPr>
          <w:rFonts w:ascii="Cambria" w:hAnsi="Cambria" w:cs="Cambria"/>
          <w:sz w:val="20"/>
          <w:szCs w:val="20"/>
        </w:rPr>
        <w:t xml:space="preserve"> </w:t>
      </w:r>
      <w:r w:rsidR="00DF5D34" w:rsidRPr="00B8721C">
        <w:rPr>
          <w:rFonts w:ascii="Cambria" w:hAnsi="Cambria" w:cs="Cambria"/>
          <w:sz w:val="20"/>
          <w:szCs w:val="20"/>
        </w:rPr>
        <w:t xml:space="preserve"> </w:t>
      </w:r>
      <w:r w:rsidRPr="00B8721C">
        <w:rPr>
          <w:rFonts w:ascii="Cambria" w:hAnsi="Cambria"/>
          <w:sz w:val="20"/>
          <w:szCs w:val="20"/>
        </w:rPr>
        <w:t>In this regard, the Inter-American Court has made clear that</w:t>
      </w:r>
      <w:r w:rsidR="00ED56D9" w:rsidRPr="00B8721C">
        <w:rPr>
          <w:rFonts w:ascii="Cambria" w:hAnsi="Cambria"/>
          <w:sz w:val="20"/>
          <w:szCs w:val="20"/>
        </w:rPr>
        <w:t xml:space="preserve"> “</w:t>
      </w:r>
      <w:r w:rsidR="00BD56AB" w:rsidRPr="00B8721C">
        <w:rPr>
          <w:rFonts w:ascii="Cambria" w:hAnsi="Cambria"/>
          <w:sz w:val="20"/>
          <w:szCs w:val="20"/>
        </w:rPr>
        <w:t>the opening of lines of investigation into the prior social or sexual behavior of victims in cases of gender violence is nothing more than the manifestation of policies or attitudes that are based on gender stereotypes</w:t>
      </w:r>
      <w:r w:rsidR="00ED56D9" w:rsidRPr="00B8721C">
        <w:rPr>
          <w:rFonts w:ascii="Cambria" w:hAnsi="Cambria"/>
          <w:sz w:val="20"/>
          <w:szCs w:val="20"/>
        </w:rPr>
        <w:t>”</w:t>
      </w:r>
      <w:r w:rsidR="00ED56D9" w:rsidRPr="00B8721C">
        <w:rPr>
          <w:rStyle w:val="FootnoteReference"/>
          <w:rFonts w:ascii="Cambria" w:hAnsi="Cambria"/>
          <w:sz w:val="20"/>
          <w:szCs w:val="20"/>
        </w:rPr>
        <w:footnoteReference w:id="236"/>
      </w:r>
      <w:r w:rsidR="00ED56D9" w:rsidRPr="00B8721C">
        <w:rPr>
          <w:rFonts w:ascii="Cambria" w:hAnsi="Cambria"/>
          <w:sz w:val="20"/>
          <w:szCs w:val="20"/>
        </w:rPr>
        <w:t xml:space="preserve"> </w:t>
      </w:r>
      <w:r w:rsidR="00BD56AB" w:rsidRPr="00B8721C">
        <w:rPr>
          <w:rFonts w:ascii="Cambria" w:hAnsi="Cambria"/>
          <w:sz w:val="20"/>
          <w:szCs w:val="20"/>
        </w:rPr>
        <w:t>about the socially acceptable roles and behaviors of women in their interpersonal relationships</w:t>
      </w:r>
      <w:r w:rsidR="00ED56D9" w:rsidRPr="00B8721C">
        <w:rPr>
          <w:rFonts w:ascii="Cambria" w:hAnsi="Cambria"/>
          <w:sz w:val="20"/>
          <w:szCs w:val="20"/>
        </w:rPr>
        <w:t xml:space="preserve">. </w:t>
      </w:r>
      <w:r w:rsidR="00BD56AB" w:rsidRPr="00B8721C">
        <w:rPr>
          <w:rFonts w:ascii="Cambria" w:hAnsi="Cambria"/>
          <w:sz w:val="20"/>
          <w:szCs w:val="20"/>
        </w:rPr>
        <w:t>This is particularly relevant in the case of women journalists, where there is a persistent perception that journalism is not an appropriate profession for women and the threats and risks they experience are trivialized.</w:t>
      </w:r>
    </w:p>
    <w:p w:rsidR="00B913C5" w:rsidRPr="00B8721C" w:rsidRDefault="00B913C5" w:rsidP="00B913C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0B7B25" w:rsidRPr="00B8721C" w:rsidRDefault="00B913C5" w:rsidP="000B7B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sz w:val="20"/>
          <w:szCs w:val="20"/>
        </w:rPr>
        <w:t xml:space="preserve">In addition, the court file shows that there was evidence, from the beginning of the investigation, of the possible participation of State agents as perpetrators or accessories to the events of May 25, 2000. However, according to the information available to the IACHR up to the date of issue of this report, this was not seriously investigated by the </w:t>
      </w:r>
      <w:r w:rsidR="00E82ECB">
        <w:rPr>
          <w:rFonts w:ascii="Cambria" w:hAnsi="Cambria"/>
          <w:sz w:val="20"/>
          <w:szCs w:val="20"/>
        </w:rPr>
        <w:t>Prosecutor’s</w:t>
      </w:r>
      <w:r w:rsidRPr="00B8721C">
        <w:rPr>
          <w:rFonts w:ascii="Cambria" w:hAnsi="Cambria"/>
          <w:sz w:val="20"/>
          <w:szCs w:val="20"/>
        </w:rPr>
        <w:t xml:space="preserve"> Office, which failed to take effective investigative action to exhaust this theory. In this regard, it should be reiterated that the State has a special obligation to investigate with due diligence those crimes in which its agents may be involved, whether by direct action, tolerance, or sponsorship, or when members of the government, or persons with ties to the government, have attempted to obstruct the investigation.</w:t>
      </w:r>
    </w:p>
    <w:p w:rsidR="000B7B25" w:rsidRPr="00B8721C" w:rsidRDefault="000B7B25" w:rsidP="000B7B2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5638FA" w:rsidRPr="00B8721C" w:rsidRDefault="0029289B" w:rsidP="005638F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bCs/>
          <w:sz w:val="20"/>
          <w:szCs w:val="20"/>
        </w:rPr>
        <w:t>This investigation necessarily involves taking account of the patterns of action of these power structures. As can be seen from the case file, the crimes against Jineth Bedoya were executed with a high level of planning, reflected in the acts leading up to the execution of the crime, the threats made to the victim, and the place where the events occurred</w:t>
      </w:r>
      <w:r w:rsidR="002A14CA" w:rsidRPr="00B8721C">
        <w:rPr>
          <w:rFonts w:ascii="Cambria" w:hAnsi="Cambria" w:cs="Calibri"/>
          <w:color w:val="000000"/>
          <w:sz w:val="20"/>
          <w:szCs w:val="20"/>
          <w:shd w:val="clear" w:color="auto" w:fill="FFFFFF"/>
        </w:rPr>
        <w:t xml:space="preserve">. </w:t>
      </w:r>
      <w:r w:rsidRPr="00B8721C">
        <w:rPr>
          <w:rFonts w:ascii="Cambria" w:hAnsi="Cambria" w:cs="Calibri"/>
          <w:color w:val="000000"/>
          <w:sz w:val="20"/>
          <w:szCs w:val="20"/>
          <w:shd w:val="clear" w:color="auto" w:fill="FFFFFF"/>
        </w:rPr>
        <w:t>The IACHR reiterates that crimes against journalists on account of their profession are selective crimes, and therefore cannot be investigated as ordinary or traditional crimes. These crimes reflect a plan or strategy designed by a criminal organization, network, or power structure, the execution of which aims to cause the death of an individual because of the practice of journalism, to silence him or her, to provoke fear, and ultimately to curtail the right to freedom of expression. Consequently, the obligation to investigate and prosecute these types of crimes with due diligence has specific characteristics. It is an obligation of strict due diligence, which in this case is also heightened if the violence against journalists is part of a context of conflict or massive violations of rights</w:t>
      </w:r>
      <w:r w:rsidR="002A14CA" w:rsidRPr="00B8721C">
        <w:rPr>
          <w:rFonts w:ascii="Cambria" w:hAnsi="Cambria" w:cs="Calibri"/>
          <w:sz w:val="20"/>
          <w:szCs w:val="20"/>
        </w:rPr>
        <w:t xml:space="preserve">. </w:t>
      </w:r>
    </w:p>
    <w:p w:rsidR="005638FA" w:rsidRPr="00B8721C" w:rsidRDefault="005638FA" w:rsidP="005638F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9A348D" w:rsidRPr="00B8721C" w:rsidRDefault="005638FA" w:rsidP="005638F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bdr w:val="none" w:sz="0" w:space="0" w:color="auto"/>
        </w:rPr>
      </w:pPr>
      <w:r w:rsidRPr="00B8721C">
        <w:rPr>
          <w:rFonts w:ascii="Cambria" w:hAnsi="Cambria"/>
          <w:bCs/>
          <w:sz w:val="20"/>
          <w:szCs w:val="20"/>
        </w:rPr>
        <w:t>In view of the foregoing, the IACHR considers that the measures taken to move the investigation forward have not been adequate and sufficient to satisfy the State's obligation to conduct an exhaustive and diligent investigation, given the seriousness of the crime under investigation and the heightened obligations in this area. This could have had a strong chilling effect on the exercise of freedom of expression not only by the journalist, but also by her team and by Colombian society as a whole, with obvious consequences for democratic discourse in the country.</w:t>
      </w:r>
    </w:p>
    <w:p w:rsidR="005638FA" w:rsidRPr="00B8721C" w:rsidRDefault="005638FA" w:rsidP="009A348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2E6214" w:rsidRPr="00B8721C" w:rsidRDefault="005638FA" w:rsidP="00A515BA">
      <w:pPr>
        <w:ind w:left="720"/>
        <w:rPr>
          <w:rFonts w:ascii="Cambria" w:hAnsi="Cambria"/>
          <w:sz w:val="20"/>
          <w:szCs w:val="20"/>
          <w:u w:val="single"/>
        </w:rPr>
      </w:pPr>
      <w:r w:rsidRPr="00B8721C">
        <w:rPr>
          <w:rFonts w:ascii="Cambria" w:hAnsi="Cambria"/>
          <w:sz w:val="20"/>
          <w:szCs w:val="20"/>
          <w:u w:val="single"/>
        </w:rPr>
        <w:t>Reasonable time period</w:t>
      </w:r>
    </w:p>
    <w:p w:rsidR="00785744" w:rsidRPr="00B8721C" w:rsidRDefault="00785744" w:rsidP="001D51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000000"/>
          <w:sz w:val="20"/>
          <w:szCs w:val="20"/>
          <w:bdr w:val="none" w:sz="0" w:space="0" w:color="auto"/>
        </w:rPr>
      </w:pPr>
    </w:p>
    <w:p w:rsidR="00041BEE" w:rsidRPr="00B8721C" w:rsidRDefault="00785744" w:rsidP="00041B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360"/>
        </w:tabs>
        <w:ind w:left="0" w:firstLine="720"/>
        <w:jc w:val="both"/>
        <w:rPr>
          <w:rFonts w:ascii="Cambria" w:hAnsi="Cambria"/>
          <w:color w:val="000000"/>
          <w:sz w:val="20"/>
          <w:szCs w:val="20"/>
          <w:bdr w:val="none" w:sz="0" w:space="0" w:color="auto"/>
        </w:rPr>
      </w:pPr>
      <w:r w:rsidRPr="00B8721C">
        <w:rPr>
          <w:rFonts w:ascii="Cambria" w:hAnsi="Cambria"/>
          <w:bCs/>
          <w:sz w:val="20"/>
          <w:szCs w:val="20"/>
        </w:rPr>
        <w:t xml:space="preserve">In complying with their duty to pursue justice for acts of violence against journalists, States have an obligation to ensure that criminal investigations and prosecutions are carried out within a reasonable period of time. </w:t>
      </w:r>
      <w:r w:rsidRPr="00B8721C">
        <w:rPr>
          <w:rFonts w:ascii="Cambria" w:hAnsi="Cambria"/>
          <w:sz w:val="20"/>
          <w:szCs w:val="20"/>
          <w:bdr w:val="none" w:sz="0" w:space="0" w:color="auto"/>
        </w:rPr>
        <w:t xml:space="preserve">In this regard, the Inter-American Court has established that excessive delay in the investigation of acts of violence can constitute a </w:t>
      </w:r>
      <w:r w:rsidRPr="00B8721C">
        <w:rPr>
          <w:rFonts w:ascii="Cambria" w:hAnsi="Cambria"/>
          <w:i/>
          <w:sz w:val="20"/>
          <w:szCs w:val="20"/>
          <w:bdr w:val="none" w:sz="0" w:space="0" w:color="auto"/>
        </w:rPr>
        <w:t>per se</w:t>
      </w:r>
      <w:r w:rsidRPr="00B8721C">
        <w:rPr>
          <w:rFonts w:ascii="Cambria" w:hAnsi="Cambria"/>
          <w:sz w:val="20"/>
          <w:szCs w:val="20"/>
          <w:bdr w:val="none" w:sz="0" w:space="0" w:color="auto"/>
        </w:rPr>
        <w:t xml:space="preserve"> violation of the right to a fair trial</w:t>
      </w:r>
      <w:r w:rsidRPr="00B8721C">
        <w:rPr>
          <w:rFonts w:ascii="Cambria" w:hAnsi="Cambria"/>
          <w:bCs/>
          <w:sz w:val="20"/>
          <w:szCs w:val="20"/>
        </w:rPr>
        <w:t>.</w:t>
      </w:r>
      <w:r w:rsidR="00F64256" w:rsidRPr="00B8721C">
        <w:rPr>
          <w:rFonts w:ascii="Cambria" w:hAnsi="Cambria"/>
          <w:bCs/>
          <w:sz w:val="20"/>
          <w:szCs w:val="20"/>
          <w:vertAlign w:val="superscript"/>
        </w:rPr>
        <w:footnoteReference w:id="237"/>
      </w:r>
      <w:r w:rsidR="00F64256" w:rsidRPr="00B8721C">
        <w:rPr>
          <w:rFonts w:ascii="Cambria" w:hAnsi="Cambria"/>
          <w:bCs/>
          <w:sz w:val="20"/>
          <w:szCs w:val="20"/>
        </w:rPr>
        <w:t xml:space="preserve"> </w:t>
      </w:r>
      <w:r w:rsidRPr="00B8721C">
        <w:rPr>
          <w:rFonts w:ascii="Cambria" w:hAnsi="Cambria"/>
          <w:sz w:val="20"/>
          <w:szCs w:val="20"/>
          <w:bdr w:val="none" w:sz="0" w:space="0" w:color="auto"/>
        </w:rPr>
        <w:t xml:space="preserve">The authorities </w:t>
      </w:r>
      <w:r w:rsidRPr="00B8721C">
        <w:rPr>
          <w:rFonts w:ascii="Cambria" w:hAnsi="Cambria"/>
          <w:sz w:val="20"/>
          <w:szCs w:val="20"/>
          <w:bdr w:val="none" w:sz="0" w:space="0" w:color="auto"/>
        </w:rPr>
        <w:lastRenderedPageBreak/>
        <w:t>responsible for the investigation should conduct the proceedings expeditiously, avoiding unwarranted delays or hindrances that lead to impunity and violate the due judicial protection of rights</w:t>
      </w:r>
      <w:r w:rsidRPr="00B8721C">
        <w:rPr>
          <w:rFonts w:ascii="Cambria" w:hAnsi="Cambria"/>
          <w:bCs/>
          <w:sz w:val="20"/>
          <w:szCs w:val="20"/>
        </w:rPr>
        <w:t>.</w:t>
      </w:r>
      <w:r w:rsidR="00F64256" w:rsidRPr="00B8721C">
        <w:rPr>
          <w:rFonts w:ascii="Cambria" w:hAnsi="Cambria"/>
          <w:bCs/>
          <w:sz w:val="20"/>
          <w:szCs w:val="20"/>
          <w:vertAlign w:val="superscript"/>
        </w:rPr>
        <w:footnoteReference w:id="238"/>
      </w:r>
    </w:p>
    <w:p w:rsidR="00041BEE" w:rsidRPr="00B8721C" w:rsidRDefault="00041BEE" w:rsidP="00041BE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CB6C1F" w:rsidRPr="00B8721C" w:rsidRDefault="00041BEE" w:rsidP="00CB6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360"/>
        </w:tabs>
        <w:ind w:left="0" w:firstLine="720"/>
        <w:jc w:val="both"/>
        <w:rPr>
          <w:rFonts w:ascii="Cambria" w:hAnsi="Cambria"/>
          <w:color w:val="000000"/>
          <w:sz w:val="20"/>
          <w:szCs w:val="20"/>
          <w:bdr w:val="none" w:sz="0" w:space="0" w:color="auto"/>
        </w:rPr>
      </w:pPr>
      <w:r w:rsidRPr="00B8721C">
        <w:rPr>
          <w:rFonts w:ascii="Cambria" w:hAnsi="Cambria"/>
          <w:bCs/>
          <w:sz w:val="20"/>
          <w:szCs w:val="20"/>
        </w:rPr>
        <w:t>From its initiation in 2000, the investigation has spanned more than 18 years. The State argued that this delay is not attributable to the conduct of the authorities, but to the complexity of the case.</w:t>
      </w:r>
    </w:p>
    <w:p w:rsidR="00CB6C1F" w:rsidRPr="00B8721C" w:rsidRDefault="00CB6C1F" w:rsidP="00CB6C1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CB6C1F" w:rsidRPr="00B8721C" w:rsidRDefault="00D52440" w:rsidP="00CB6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360"/>
        </w:tabs>
        <w:ind w:left="0" w:firstLine="720"/>
        <w:jc w:val="both"/>
        <w:rPr>
          <w:rFonts w:ascii="Cambria" w:hAnsi="Cambria"/>
          <w:color w:val="000000"/>
          <w:sz w:val="20"/>
          <w:szCs w:val="20"/>
          <w:bdr w:val="none" w:sz="0" w:space="0" w:color="auto"/>
        </w:rPr>
      </w:pPr>
      <w:r w:rsidRPr="00B8721C">
        <w:rPr>
          <w:rFonts w:ascii="Cambria" w:hAnsi="Cambria"/>
          <w:bCs/>
          <w:sz w:val="20"/>
          <w:szCs w:val="20"/>
        </w:rPr>
        <w:t>The IACHR observes that during the first 11 years the investigation showed long periods of inactivity and no results. As the petitioner asserts, there were extensive stretches of time during those years, sometimes up to 19 consecutive months, in which the authorities leading the investigation did not undertake or order any investigative proceedings. The investigation was spurred on after journalist Jineth Bedoya became a civil party to the case in 2011, which coincides with the filing of this petition to the Commission for its consideration</w:t>
      </w:r>
      <w:r w:rsidR="00500234" w:rsidRPr="00B8721C">
        <w:rPr>
          <w:rFonts w:ascii="Cambria" w:hAnsi="Cambria"/>
          <w:bCs/>
          <w:sz w:val="20"/>
          <w:szCs w:val="20"/>
        </w:rPr>
        <w:t xml:space="preserve"> </w:t>
      </w:r>
      <w:r w:rsidRPr="00B8721C">
        <w:rPr>
          <w:rFonts w:ascii="Cambria" w:hAnsi="Cambria"/>
          <w:bCs/>
          <w:sz w:val="20"/>
          <w:szCs w:val="20"/>
        </w:rPr>
        <w:t xml:space="preserve">and with the launch of </w:t>
      </w:r>
      <w:r w:rsidRPr="00B8721C">
        <w:rPr>
          <w:rFonts w:ascii="Cambria" w:hAnsi="Cambria"/>
          <w:sz w:val="20"/>
          <w:szCs w:val="20"/>
        </w:rPr>
        <w:t>the “</w:t>
      </w:r>
      <w:r w:rsidRPr="00B8721C">
        <w:rPr>
          <w:rFonts w:ascii="Cambria" w:hAnsi="Cambria"/>
          <w:i/>
          <w:sz w:val="20"/>
          <w:szCs w:val="20"/>
        </w:rPr>
        <w:t>No Es Hora De Callar</w:t>
      </w:r>
      <w:r w:rsidRPr="00B8721C">
        <w:rPr>
          <w:rFonts w:ascii="Cambria" w:hAnsi="Cambria"/>
          <w:sz w:val="20"/>
          <w:szCs w:val="20"/>
        </w:rPr>
        <w:t xml:space="preserve">” [“It’s No Time to Be Quiet”] campaign. </w:t>
      </w:r>
      <w:r w:rsidR="00CB6C1F" w:rsidRPr="00B8721C">
        <w:rPr>
          <w:rFonts w:ascii="Cambria" w:hAnsi="Cambria"/>
          <w:sz w:val="20"/>
          <w:szCs w:val="20"/>
        </w:rPr>
        <w:t xml:space="preserve">Nevertheless, even after that, the </w:t>
      </w:r>
      <w:r w:rsidR="00E82ECB">
        <w:rPr>
          <w:rFonts w:ascii="Cambria" w:hAnsi="Cambria"/>
          <w:sz w:val="20"/>
          <w:szCs w:val="20"/>
        </w:rPr>
        <w:t>Prosecutor’s</w:t>
      </w:r>
      <w:r w:rsidR="00CB6C1F" w:rsidRPr="00B8721C">
        <w:rPr>
          <w:rFonts w:ascii="Cambria" w:hAnsi="Cambria"/>
          <w:sz w:val="20"/>
          <w:szCs w:val="20"/>
        </w:rPr>
        <w:t xml:space="preserve"> Office took at least five years to name three individuals as suspects in the case and obtain their conviction as the direct perpetrators. The investigation remains open with respect to other direct perpetrators and masterminds, including an investigation into the possible active or passive participation of State agents in the events of May 25, 2000. Therefore, the IACHR concludes that the investigation of the crime against journalist Jineth Bedoya Lima has not been carried out within a reasonable period of time</w:t>
      </w:r>
      <w:r w:rsidR="00CB5F7E" w:rsidRPr="00B8721C">
        <w:rPr>
          <w:rFonts w:ascii="Cambria" w:hAnsi="Cambria"/>
          <w:bCs/>
          <w:sz w:val="20"/>
          <w:szCs w:val="20"/>
        </w:rPr>
        <w:t>.</w:t>
      </w:r>
    </w:p>
    <w:p w:rsidR="00CB6C1F" w:rsidRPr="00B8721C" w:rsidRDefault="00CB6C1F" w:rsidP="00CB6C1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bdr w:val="none" w:sz="0" w:space="0" w:color="auto"/>
        </w:rPr>
      </w:pPr>
    </w:p>
    <w:p w:rsidR="0047326A" w:rsidRPr="00B8721C" w:rsidRDefault="00CB6C1F" w:rsidP="00CB6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360"/>
        </w:tabs>
        <w:ind w:left="0" w:firstLine="720"/>
        <w:jc w:val="both"/>
        <w:rPr>
          <w:rFonts w:ascii="Cambria" w:hAnsi="Cambria"/>
          <w:color w:val="000000"/>
          <w:sz w:val="20"/>
          <w:szCs w:val="20"/>
          <w:bdr w:val="none" w:sz="0" w:space="0" w:color="auto"/>
        </w:rPr>
      </w:pPr>
      <w:r w:rsidRPr="00B8721C">
        <w:rPr>
          <w:rFonts w:ascii="Cambria" w:hAnsi="Cambria"/>
          <w:bCs/>
          <w:sz w:val="20"/>
          <w:szCs w:val="20"/>
        </w:rPr>
        <w:t>In light of all of the above considerations, the IACHR concludes that</w:t>
      </w:r>
      <w:r w:rsidR="0047326A" w:rsidRPr="00B8721C">
        <w:rPr>
          <w:rFonts w:ascii="Cambria" w:hAnsi="Cambria"/>
          <w:bCs/>
          <w:sz w:val="20"/>
          <w:szCs w:val="20"/>
        </w:rPr>
        <w:t xml:space="preserve"> </w:t>
      </w:r>
      <w:r w:rsidR="00716276" w:rsidRPr="00B8721C">
        <w:rPr>
          <w:rFonts w:ascii="Cambria" w:hAnsi="Cambria"/>
          <w:bCs/>
          <w:sz w:val="20"/>
          <w:szCs w:val="20"/>
        </w:rPr>
        <w:t>the State</w:t>
      </w:r>
      <w:r w:rsidR="0047326A" w:rsidRPr="00B8721C">
        <w:rPr>
          <w:rFonts w:ascii="Cambria" w:hAnsi="Cambria"/>
          <w:bCs/>
          <w:sz w:val="20"/>
          <w:szCs w:val="20"/>
        </w:rPr>
        <w:t xml:space="preserve"> ha</w:t>
      </w:r>
      <w:r w:rsidRPr="00B8721C">
        <w:rPr>
          <w:rFonts w:ascii="Cambria" w:hAnsi="Cambria"/>
          <w:bCs/>
          <w:sz w:val="20"/>
          <w:szCs w:val="20"/>
        </w:rPr>
        <w:t xml:space="preserve">s violated the rights </w:t>
      </w:r>
      <w:r w:rsidR="00840CD7" w:rsidRPr="00B8721C">
        <w:rPr>
          <w:rFonts w:ascii="Cambria" w:hAnsi="Cambria"/>
          <w:bCs/>
          <w:sz w:val="20"/>
          <w:szCs w:val="20"/>
        </w:rPr>
        <w:t>to a fair trial</w:t>
      </w:r>
      <w:r w:rsidR="0047326A" w:rsidRPr="00B8721C">
        <w:rPr>
          <w:rFonts w:ascii="Cambria" w:hAnsi="Cambria"/>
          <w:bCs/>
          <w:sz w:val="20"/>
          <w:szCs w:val="20"/>
        </w:rPr>
        <w:t xml:space="preserve"> </w:t>
      </w:r>
      <w:r w:rsidRPr="00B8721C">
        <w:rPr>
          <w:rFonts w:ascii="Cambria" w:hAnsi="Cambria"/>
          <w:bCs/>
          <w:sz w:val="20"/>
          <w:szCs w:val="20"/>
        </w:rPr>
        <w:t xml:space="preserve">and to judicial protection established in Articles </w:t>
      </w:r>
      <w:r w:rsidR="0047326A" w:rsidRPr="00B8721C">
        <w:rPr>
          <w:rFonts w:ascii="Cambria" w:hAnsi="Cambria"/>
          <w:bCs/>
          <w:sz w:val="20"/>
          <w:szCs w:val="20"/>
        </w:rPr>
        <w:t>8</w:t>
      </w:r>
      <w:r w:rsidR="007C2F9E">
        <w:rPr>
          <w:rFonts w:ascii="Cambria" w:hAnsi="Cambria"/>
          <w:bCs/>
          <w:sz w:val="20"/>
          <w:szCs w:val="20"/>
        </w:rPr>
        <w:t>.1</w:t>
      </w:r>
      <w:r w:rsidR="0047326A" w:rsidRPr="00B8721C">
        <w:rPr>
          <w:rFonts w:ascii="Cambria" w:hAnsi="Cambria"/>
          <w:bCs/>
          <w:sz w:val="20"/>
          <w:szCs w:val="20"/>
        </w:rPr>
        <w:t xml:space="preserve"> </w:t>
      </w:r>
      <w:r w:rsidRPr="00B8721C">
        <w:rPr>
          <w:rFonts w:ascii="Cambria" w:hAnsi="Cambria"/>
          <w:bCs/>
          <w:sz w:val="20"/>
          <w:szCs w:val="20"/>
        </w:rPr>
        <w:t>and</w:t>
      </w:r>
      <w:r w:rsidR="0047326A" w:rsidRPr="00B8721C">
        <w:rPr>
          <w:rFonts w:ascii="Cambria" w:hAnsi="Cambria"/>
          <w:bCs/>
          <w:sz w:val="20"/>
          <w:szCs w:val="20"/>
        </w:rPr>
        <w:t xml:space="preserve"> 25</w:t>
      </w:r>
      <w:r w:rsidR="007C2F9E">
        <w:rPr>
          <w:rFonts w:ascii="Cambria" w:hAnsi="Cambria"/>
          <w:bCs/>
          <w:sz w:val="20"/>
          <w:szCs w:val="20"/>
        </w:rPr>
        <w:t>.1</w:t>
      </w:r>
      <w:r w:rsidR="0047326A" w:rsidRPr="00B8721C">
        <w:rPr>
          <w:rFonts w:ascii="Cambria" w:hAnsi="Cambria"/>
          <w:bCs/>
          <w:sz w:val="20"/>
          <w:szCs w:val="20"/>
        </w:rPr>
        <w:t xml:space="preserve"> </w:t>
      </w:r>
      <w:r w:rsidRPr="00B8721C">
        <w:rPr>
          <w:rFonts w:ascii="Cambria" w:hAnsi="Cambria"/>
          <w:bCs/>
          <w:sz w:val="20"/>
          <w:szCs w:val="20"/>
        </w:rPr>
        <w:t>of the American Convention</w:t>
      </w:r>
      <w:r w:rsidR="0047326A" w:rsidRPr="00B8721C">
        <w:rPr>
          <w:rFonts w:ascii="Cambria" w:hAnsi="Cambria"/>
          <w:bCs/>
          <w:sz w:val="20"/>
          <w:szCs w:val="20"/>
        </w:rPr>
        <w:t xml:space="preserve">, </w:t>
      </w:r>
      <w:r w:rsidRPr="00B8721C">
        <w:rPr>
          <w:rFonts w:ascii="Cambria" w:hAnsi="Cambria"/>
          <w:bCs/>
          <w:sz w:val="20"/>
          <w:szCs w:val="20"/>
        </w:rPr>
        <w:t>in relation to Articles</w:t>
      </w:r>
      <w:r w:rsidR="0047326A" w:rsidRPr="00B8721C">
        <w:rPr>
          <w:rFonts w:ascii="Cambria" w:hAnsi="Cambria"/>
          <w:bCs/>
          <w:sz w:val="20"/>
          <w:szCs w:val="20"/>
        </w:rPr>
        <w:t xml:space="preserve"> 1.1</w:t>
      </w:r>
      <w:r w:rsidR="00BA7EB2" w:rsidRPr="00B8721C">
        <w:rPr>
          <w:rFonts w:ascii="Cambria" w:hAnsi="Cambria"/>
          <w:bCs/>
          <w:sz w:val="20"/>
          <w:szCs w:val="20"/>
        </w:rPr>
        <w:t>,</w:t>
      </w:r>
      <w:r w:rsidR="007C2F9E">
        <w:rPr>
          <w:rFonts w:ascii="Cambria" w:hAnsi="Cambria"/>
          <w:bCs/>
          <w:sz w:val="20"/>
          <w:szCs w:val="20"/>
        </w:rPr>
        <w:t xml:space="preserve"> 5.1, 5.2,</w:t>
      </w:r>
      <w:r w:rsidR="00BA7EB2" w:rsidRPr="00B8721C">
        <w:rPr>
          <w:rFonts w:ascii="Cambria" w:hAnsi="Cambria"/>
          <w:bCs/>
          <w:sz w:val="20"/>
          <w:szCs w:val="20"/>
        </w:rPr>
        <w:t xml:space="preserve"> 11</w:t>
      </w:r>
      <w:r w:rsidRPr="00B8721C">
        <w:rPr>
          <w:rFonts w:ascii="Cambria" w:hAnsi="Cambria"/>
          <w:bCs/>
          <w:sz w:val="20"/>
          <w:szCs w:val="20"/>
        </w:rPr>
        <w:t xml:space="preserve">, and </w:t>
      </w:r>
      <w:r w:rsidR="0047326A" w:rsidRPr="00B8721C">
        <w:rPr>
          <w:rFonts w:ascii="Cambria" w:hAnsi="Cambria"/>
          <w:bCs/>
          <w:sz w:val="20"/>
          <w:szCs w:val="20"/>
        </w:rPr>
        <w:t xml:space="preserve">13 </w:t>
      </w:r>
      <w:r w:rsidRPr="00B8721C">
        <w:rPr>
          <w:rFonts w:ascii="Cambria" w:hAnsi="Cambria"/>
          <w:bCs/>
          <w:sz w:val="20"/>
          <w:szCs w:val="20"/>
        </w:rPr>
        <w:t>thereof</w:t>
      </w:r>
      <w:r w:rsidR="0047326A" w:rsidRPr="00B8721C">
        <w:rPr>
          <w:rFonts w:ascii="Cambria" w:hAnsi="Cambria"/>
          <w:bCs/>
          <w:sz w:val="20"/>
          <w:szCs w:val="20"/>
        </w:rPr>
        <w:t>,</w:t>
      </w:r>
      <w:r w:rsidR="0047326A" w:rsidRPr="00B8721C">
        <w:rPr>
          <w:rFonts w:ascii="Cambria" w:hAnsi="Cambria"/>
          <w:sz w:val="20"/>
          <w:szCs w:val="20"/>
        </w:rPr>
        <w:t xml:space="preserve"> </w:t>
      </w:r>
      <w:r w:rsidRPr="00B8721C">
        <w:rPr>
          <w:rFonts w:ascii="Cambria" w:hAnsi="Cambria"/>
          <w:sz w:val="20"/>
          <w:szCs w:val="20"/>
        </w:rPr>
        <w:t>Article</w:t>
      </w:r>
      <w:r w:rsidR="0047326A" w:rsidRPr="00B8721C">
        <w:rPr>
          <w:rFonts w:ascii="Cambria" w:hAnsi="Cambria"/>
          <w:sz w:val="20"/>
          <w:szCs w:val="20"/>
        </w:rPr>
        <w:t xml:space="preserve"> 7.b </w:t>
      </w:r>
      <w:r w:rsidRPr="00B8721C">
        <w:rPr>
          <w:rFonts w:ascii="Cambria" w:hAnsi="Cambria"/>
          <w:sz w:val="20"/>
          <w:szCs w:val="20"/>
        </w:rPr>
        <w:t>of the Convention of Belém do Pará, and Articles 1, 6, and 8 of</w:t>
      </w:r>
      <w:r w:rsidR="0047326A" w:rsidRPr="00B8721C">
        <w:rPr>
          <w:rFonts w:ascii="Cambria" w:hAnsi="Cambria"/>
          <w:sz w:val="20"/>
          <w:szCs w:val="20"/>
        </w:rPr>
        <w:t xml:space="preserve"> </w:t>
      </w:r>
      <w:r w:rsidR="00792493" w:rsidRPr="00B8721C">
        <w:rPr>
          <w:rFonts w:ascii="Cambria" w:hAnsi="Cambria"/>
          <w:sz w:val="20"/>
          <w:szCs w:val="20"/>
        </w:rPr>
        <w:t>the IACPPT</w:t>
      </w:r>
      <w:r w:rsidR="0047326A" w:rsidRPr="00B8721C">
        <w:rPr>
          <w:rFonts w:ascii="Cambria" w:hAnsi="Cambria"/>
          <w:bCs/>
          <w:sz w:val="20"/>
          <w:szCs w:val="20"/>
        </w:rPr>
        <w:t xml:space="preserve">, </w:t>
      </w:r>
      <w:r w:rsidRPr="00B8721C">
        <w:rPr>
          <w:rFonts w:ascii="Cambria" w:hAnsi="Cambria"/>
          <w:bCs/>
          <w:sz w:val="20"/>
          <w:szCs w:val="20"/>
        </w:rPr>
        <w:t>to the detriment of</w:t>
      </w:r>
      <w:r w:rsidR="0047326A" w:rsidRPr="00B8721C">
        <w:rPr>
          <w:rFonts w:ascii="Cambria" w:hAnsi="Cambria"/>
          <w:bCs/>
          <w:sz w:val="20"/>
          <w:szCs w:val="20"/>
        </w:rPr>
        <w:t xml:space="preserve"> Jineth Bedoya</w:t>
      </w:r>
      <w:r w:rsidR="00D10688" w:rsidRPr="00B8721C">
        <w:rPr>
          <w:rFonts w:ascii="Cambria" w:hAnsi="Cambria"/>
          <w:bCs/>
          <w:sz w:val="20"/>
          <w:szCs w:val="20"/>
        </w:rPr>
        <w:t>.</w:t>
      </w:r>
      <w:r w:rsidR="0047326A" w:rsidRPr="00B8721C">
        <w:rPr>
          <w:rFonts w:ascii="Cambria" w:hAnsi="Cambria"/>
          <w:bCs/>
          <w:sz w:val="20"/>
          <w:szCs w:val="20"/>
        </w:rPr>
        <w:t xml:space="preserve"> </w:t>
      </w:r>
    </w:p>
    <w:p w:rsidR="005E4373" w:rsidRPr="00B8721C" w:rsidRDefault="006F57A6" w:rsidP="00117834">
      <w:pPr>
        <w:pStyle w:val="Heading3"/>
        <w:keepNex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1440" w:hanging="720"/>
        <w:rPr>
          <w:lang w:val="en-US"/>
        </w:rPr>
      </w:pPr>
      <w:bookmarkStart w:id="36" w:name="_Toc534731313"/>
      <w:bookmarkStart w:id="37" w:name="_Toc392690369"/>
      <w:r w:rsidRPr="00B8721C">
        <w:rPr>
          <w:lang w:val="en-US"/>
        </w:rPr>
        <w:t>Analysis of the violation of the right to humane treatment (Article 5.1) and in relation to the general obligation to respect rights (Article 1.1) of the American Convention</w:t>
      </w:r>
      <w:bookmarkEnd w:id="36"/>
    </w:p>
    <w:bookmarkEnd w:id="37"/>
    <w:p w:rsidR="005E4373" w:rsidRPr="00B8721C" w:rsidRDefault="005E4373" w:rsidP="005A03C0">
      <w:pPr>
        <w:ind w:firstLine="720"/>
        <w:jc w:val="both"/>
        <w:rPr>
          <w:rFonts w:ascii="Cambria" w:hAnsi="Cambria"/>
          <w:color w:val="000000"/>
          <w:sz w:val="20"/>
          <w:szCs w:val="20"/>
        </w:rPr>
      </w:pPr>
    </w:p>
    <w:p w:rsidR="00C81AC6" w:rsidRPr="00B8721C" w:rsidRDefault="00761E1F" w:rsidP="00C81A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rPr>
      </w:pPr>
      <w:r w:rsidRPr="00B8721C">
        <w:rPr>
          <w:rFonts w:ascii="Cambria" w:hAnsi="Cambria"/>
          <w:sz w:val="20"/>
          <w:szCs w:val="20"/>
        </w:rPr>
        <w:t>The Inter-American Court</w:t>
      </w:r>
      <w:r w:rsidR="005E4373" w:rsidRPr="00B8721C">
        <w:rPr>
          <w:rFonts w:ascii="Cambria" w:hAnsi="Cambria"/>
          <w:sz w:val="20"/>
          <w:szCs w:val="20"/>
        </w:rPr>
        <w:t xml:space="preserve"> </w:t>
      </w:r>
      <w:r w:rsidR="00171090" w:rsidRPr="00B8721C">
        <w:rPr>
          <w:rFonts w:ascii="Cambria" w:hAnsi="Cambria"/>
          <w:sz w:val="20"/>
          <w:szCs w:val="20"/>
        </w:rPr>
        <w:t>has repeatedly held that the relatives of the victims of certain human rights violations can, in turn, be victims.</w:t>
      </w:r>
      <w:r w:rsidR="005E4373" w:rsidRPr="00B8721C">
        <w:rPr>
          <w:rFonts w:ascii="Cambria" w:hAnsi="Cambria"/>
          <w:sz w:val="20"/>
          <w:szCs w:val="20"/>
          <w:vertAlign w:val="superscript"/>
        </w:rPr>
        <w:footnoteReference w:id="239"/>
      </w:r>
      <w:r w:rsidR="005E4373" w:rsidRPr="00B8721C">
        <w:rPr>
          <w:rFonts w:ascii="Cambria" w:hAnsi="Cambria"/>
          <w:sz w:val="20"/>
          <w:szCs w:val="20"/>
        </w:rPr>
        <w:t xml:space="preserve"> </w:t>
      </w:r>
      <w:r w:rsidR="00171090" w:rsidRPr="00B8721C">
        <w:rPr>
          <w:rFonts w:ascii="Cambria" w:hAnsi="Cambria"/>
          <w:sz w:val="20"/>
          <w:szCs w:val="20"/>
        </w:rPr>
        <w:t>Specifically,</w:t>
      </w:r>
      <w:r w:rsidR="005E4373" w:rsidRPr="00B8721C">
        <w:rPr>
          <w:rFonts w:ascii="Cambria" w:hAnsi="Cambria"/>
          <w:sz w:val="20"/>
          <w:szCs w:val="20"/>
        </w:rPr>
        <w:t xml:space="preserve"> </w:t>
      </w:r>
      <w:r w:rsidR="00171090" w:rsidRPr="00B8721C">
        <w:rPr>
          <w:rFonts w:ascii="Cambria" w:hAnsi="Cambria"/>
          <w:sz w:val="20"/>
          <w:szCs w:val="20"/>
        </w:rPr>
        <w:t xml:space="preserve">the Court has said that the </w:t>
      </w:r>
      <w:r w:rsidR="00C81AC6" w:rsidRPr="00B8721C">
        <w:rPr>
          <w:rFonts w:ascii="Cambria" w:hAnsi="Cambria"/>
          <w:sz w:val="20"/>
          <w:szCs w:val="20"/>
        </w:rPr>
        <w:t>mental and emotional integr</w:t>
      </w:r>
      <w:r w:rsidR="00171090" w:rsidRPr="00B8721C">
        <w:rPr>
          <w:rFonts w:ascii="Cambria" w:hAnsi="Cambria"/>
          <w:sz w:val="20"/>
          <w:szCs w:val="20"/>
        </w:rPr>
        <w:t>ity of victims’ relatives can be affected as a consequence of the particular situations experienced by their loved ones, and of the subsequent acts or omissions of national authorities vis-à-vis such events.</w:t>
      </w:r>
      <w:r w:rsidR="005E4373" w:rsidRPr="00B8721C">
        <w:rPr>
          <w:rFonts w:ascii="Cambria" w:hAnsi="Cambria"/>
          <w:sz w:val="20"/>
          <w:szCs w:val="20"/>
          <w:vertAlign w:val="superscript"/>
        </w:rPr>
        <w:footnoteReference w:id="240"/>
      </w:r>
      <w:r w:rsidR="005E4373" w:rsidRPr="00B8721C">
        <w:rPr>
          <w:rFonts w:ascii="Cambria" w:hAnsi="Cambria"/>
          <w:sz w:val="20"/>
          <w:szCs w:val="20"/>
        </w:rPr>
        <w:t xml:space="preserve"> </w:t>
      </w:r>
      <w:r w:rsidR="00171090" w:rsidRPr="00B8721C">
        <w:rPr>
          <w:rFonts w:ascii="Cambria" w:hAnsi="Cambria"/>
          <w:sz w:val="20"/>
          <w:szCs w:val="20"/>
        </w:rPr>
        <w:t>The</w:t>
      </w:r>
      <w:r w:rsidRPr="00B8721C">
        <w:rPr>
          <w:rFonts w:ascii="Cambria" w:hAnsi="Cambria"/>
          <w:sz w:val="20"/>
          <w:szCs w:val="20"/>
        </w:rPr>
        <w:t xml:space="preserve"> Inter-American Court</w:t>
      </w:r>
      <w:r w:rsidR="005E4373" w:rsidRPr="00B8721C">
        <w:rPr>
          <w:rFonts w:ascii="Cambria" w:hAnsi="Cambria"/>
          <w:sz w:val="20"/>
          <w:szCs w:val="20"/>
        </w:rPr>
        <w:t xml:space="preserve"> </w:t>
      </w:r>
      <w:r w:rsidR="00171090" w:rsidRPr="00B8721C">
        <w:rPr>
          <w:rFonts w:ascii="Cambria" w:hAnsi="Cambria"/>
          <w:sz w:val="20"/>
          <w:szCs w:val="20"/>
        </w:rPr>
        <w:t>has also established that “the</w:t>
      </w:r>
      <w:r w:rsidR="005E4373" w:rsidRPr="00B8721C">
        <w:rPr>
          <w:rFonts w:ascii="Cambria" w:hAnsi="Cambria"/>
          <w:sz w:val="20"/>
          <w:szCs w:val="20"/>
        </w:rPr>
        <w:t xml:space="preserve"> </w:t>
      </w:r>
      <w:r w:rsidR="00171090" w:rsidRPr="00B8721C">
        <w:rPr>
          <w:rFonts w:ascii="Cambria" w:hAnsi="Cambria"/>
          <w:sz w:val="20"/>
          <w:szCs w:val="20"/>
        </w:rPr>
        <w:t>obligation to investigate human rights violations is among the positive measures that the State must adopt to guarantee the rights established in the Convention</w:t>
      </w:r>
      <w:r w:rsidR="005E4373" w:rsidRPr="00B8721C">
        <w:rPr>
          <w:rFonts w:ascii="Cambria" w:hAnsi="Cambria"/>
          <w:sz w:val="20"/>
          <w:szCs w:val="20"/>
        </w:rPr>
        <w:t xml:space="preserve">. </w:t>
      </w:r>
      <w:r w:rsidR="00171090" w:rsidRPr="00B8721C">
        <w:rPr>
          <w:rFonts w:ascii="Cambria" w:hAnsi="Cambria"/>
          <w:sz w:val="20"/>
          <w:szCs w:val="20"/>
        </w:rPr>
        <w:t>Additionally, the State must, if possible, try to reestablish a right that has been violated and, if applicable, repair the damage produced by human rights violations.</w:t>
      </w:r>
      <w:r w:rsidR="005E4373" w:rsidRPr="00B8721C">
        <w:rPr>
          <w:rFonts w:ascii="Cambria" w:hAnsi="Cambria"/>
          <w:sz w:val="20"/>
          <w:szCs w:val="20"/>
        </w:rPr>
        <w:t>”</w:t>
      </w:r>
      <w:r w:rsidR="005E4373" w:rsidRPr="00B8721C">
        <w:rPr>
          <w:rFonts w:ascii="Cambria" w:hAnsi="Cambria"/>
          <w:sz w:val="20"/>
          <w:szCs w:val="20"/>
          <w:vertAlign w:val="superscript"/>
        </w:rPr>
        <w:footnoteReference w:id="241"/>
      </w:r>
      <w:r w:rsidR="005E4373" w:rsidRPr="00B8721C">
        <w:rPr>
          <w:rFonts w:ascii="Cambria" w:hAnsi="Cambria"/>
          <w:sz w:val="20"/>
          <w:szCs w:val="20"/>
        </w:rPr>
        <w:t xml:space="preserve"> </w:t>
      </w:r>
      <w:r w:rsidR="00171090" w:rsidRPr="00B8721C">
        <w:rPr>
          <w:rFonts w:ascii="Cambria" w:hAnsi="Cambria"/>
          <w:sz w:val="20"/>
          <w:szCs w:val="20"/>
        </w:rPr>
        <w:t>Accordingly</w:t>
      </w:r>
      <w:r w:rsidR="005E4373" w:rsidRPr="00B8721C">
        <w:rPr>
          <w:rFonts w:ascii="Cambria" w:hAnsi="Cambria"/>
          <w:sz w:val="20"/>
          <w:szCs w:val="20"/>
        </w:rPr>
        <w:t xml:space="preserve">, </w:t>
      </w:r>
      <w:r w:rsidRPr="00B8721C">
        <w:rPr>
          <w:rFonts w:ascii="Cambria" w:hAnsi="Cambria"/>
          <w:sz w:val="20"/>
          <w:szCs w:val="20"/>
        </w:rPr>
        <w:t>the Inter-American Court</w:t>
      </w:r>
      <w:r w:rsidR="005E4373" w:rsidRPr="00B8721C">
        <w:rPr>
          <w:rFonts w:ascii="Cambria" w:hAnsi="Cambria"/>
          <w:sz w:val="20"/>
          <w:szCs w:val="20"/>
        </w:rPr>
        <w:t xml:space="preserve"> </w:t>
      </w:r>
      <w:r w:rsidR="00171090" w:rsidRPr="00B8721C">
        <w:rPr>
          <w:rFonts w:ascii="Cambria" w:hAnsi="Cambria"/>
          <w:sz w:val="20"/>
          <w:szCs w:val="20"/>
        </w:rPr>
        <w:t xml:space="preserve">has held that the absence of effective remedies is a source of additional suffering and distress for victims’ relatives. </w:t>
      </w:r>
    </w:p>
    <w:p w:rsidR="00C81AC6" w:rsidRPr="00B8721C" w:rsidRDefault="00C81AC6" w:rsidP="00C81AC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rPr>
      </w:pPr>
    </w:p>
    <w:p w:rsidR="00C81AC6" w:rsidRPr="00B8721C" w:rsidRDefault="00C81AC6" w:rsidP="00C81A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rPr>
      </w:pPr>
      <w:r w:rsidRPr="00B8721C">
        <w:rPr>
          <w:rFonts w:ascii="Cambria" w:hAnsi="Cambria"/>
          <w:sz w:val="20"/>
          <w:szCs w:val="20"/>
        </w:rPr>
        <w:t>The IACHR</w:t>
      </w:r>
      <w:r w:rsidR="005E4373" w:rsidRPr="00B8721C">
        <w:rPr>
          <w:rFonts w:ascii="Cambria" w:hAnsi="Cambria"/>
          <w:sz w:val="20"/>
          <w:szCs w:val="20"/>
        </w:rPr>
        <w:t xml:space="preserve"> </w:t>
      </w:r>
      <w:r w:rsidRPr="00B8721C">
        <w:rPr>
          <w:rFonts w:ascii="Cambria" w:hAnsi="Cambria"/>
          <w:sz w:val="20"/>
          <w:szCs w:val="20"/>
        </w:rPr>
        <w:t>observes that, although it did not address the alleged violations of Article 5.1 in its admissibility report, the facts that support those violations are an integral and essential part of the case and, moreover, arise from the information and documents provided by the parties over the course of the proceedings before the IACHR</w:t>
      </w:r>
      <w:r w:rsidR="005E4373" w:rsidRPr="00B8721C">
        <w:rPr>
          <w:rFonts w:ascii="Cambria" w:hAnsi="Cambria"/>
          <w:sz w:val="20"/>
          <w:szCs w:val="20"/>
        </w:rPr>
        <w:t xml:space="preserve">. </w:t>
      </w:r>
    </w:p>
    <w:p w:rsidR="00C81AC6" w:rsidRPr="00B8721C" w:rsidRDefault="00C81AC6" w:rsidP="00C81AC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olor w:val="000000"/>
          <w:sz w:val="20"/>
          <w:szCs w:val="20"/>
        </w:rPr>
      </w:pPr>
    </w:p>
    <w:p w:rsidR="005E4373" w:rsidRPr="00B8721C" w:rsidRDefault="00C81AC6" w:rsidP="00C81AC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color w:val="000000"/>
          <w:sz w:val="20"/>
          <w:szCs w:val="20"/>
        </w:rPr>
      </w:pPr>
      <w:r w:rsidRPr="00B8721C">
        <w:rPr>
          <w:rFonts w:ascii="Cambria" w:hAnsi="Cambria"/>
          <w:sz w:val="20"/>
          <w:szCs w:val="20"/>
        </w:rPr>
        <w:lastRenderedPageBreak/>
        <w:t xml:space="preserve">With respect to the violation of Jineth Bedoya’s mother’s right to </w:t>
      </w:r>
      <w:r w:rsidR="00716276" w:rsidRPr="00B8721C">
        <w:rPr>
          <w:rFonts w:ascii="Cambria" w:hAnsi="Cambria"/>
          <w:sz w:val="20"/>
          <w:szCs w:val="20"/>
        </w:rPr>
        <w:t>humane treatment</w:t>
      </w:r>
      <w:r w:rsidRPr="00B8721C">
        <w:rPr>
          <w:rFonts w:ascii="Cambria" w:hAnsi="Cambria"/>
          <w:sz w:val="20"/>
          <w:szCs w:val="20"/>
        </w:rPr>
        <w:t>, the Commission</w:t>
      </w:r>
      <w:r w:rsidR="005E4373" w:rsidRPr="00B8721C">
        <w:rPr>
          <w:rFonts w:ascii="Cambria" w:hAnsi="Cambria"/>
          <w:sz w:val="20"/>
          <w:szCs w:val="20"/>
        </w:rPr>
        <w:t xml:space="preserve"> </w:t>
      </w:r>
      <w:r w:rsidRPr="00B8721C">
        <w:rPr>
          <w:rFonts w:ascii="Cambria" w:hAnsi="Cambria"/>
          <w:sz w:val="20"/>
          <w:szCs w:val="20"/>
        </w:rPr>
        <w:t>observes that</w:t>
      </w:r>
      <w:r w:rsidR="005E4373" w:rsidRPr="00B8721C">
        <w:rPr>
          <w:rFonts w:ascii="Cambria" w:hAnsi="Cambria"/>
          <w:sz w:val="20"/>
          <w:szCs w:val="20"/>
        </w:rPr>
        <w:t xml:space="preserve">, </w:t>
      </w:r>
      <w:r w:rsidRPr="00B8721C">
        <w:rPr>
          <w:rFonts w:ascii="Cambria" w:hAnsi="Cambria"/>
          <w:sz w:val="20"/>
          <w:szCs w:val="20"/>
        </w:rPr>
        <w:t xml:space="preserve">as has been set forth, </w:t>
      </w:r>
      <w:r w:rsidR="00716276" w:rsidRPr="00B8721C">
        <w:rPr>
          <w:rFonts w:ascii="Cambria" w:hAnsi="Cambria"/>
          <w:sz w:val="20"/>
          <w:szCs w:val="20"/>
        </w:rPr>
        <w:t>the State</w:t>
      </w:r>
      <w:r w:rsidRPr="00B8721C">
        <w:rPr>
          <w:rFonts w:ascii="Cambria" w:hAnsi="Cambria"/>
          <w:sz w:val="20"/>
          <w:szCs w:val="20"/>
        </w:rPr>
        <w:t xml:space="preserve"> is responsi</w:t>
      </w:r>
      <w:r w:rsidR="005E4373" w:rsidRPr="00B8721C">
        <w:rPr>
          <w:rFonts w:ascii="Cambria" w:hAnsi="Cambria"/>
          <w:sz w:val="20"/>
          <w:szCs w:val="20"/>
        </w:rPr>
        <w:t xml:space="preserve">ble </w:t>
      </w:r>
      <w:r w:rsidRPr="00B8721C">
        <w:rPr>
          <w:rFonts w:ascii="Cambria" w:hAnsi="Cambria"/>
          <w:sz w:val="20"/>
          <w:szCs w:val="20"/>
        </w:rPr>
        <w:t xml:space="preserve">for failing to investigate the threats, kidnapping, torture, and sexual violence with due diligence, </w:t>
      </w:r>
      <w:r w:rsidR="00CB6C1F" w:rsidRPr="00B8721C">
        <w:rPr>
          <w:rFonts w:ascii="Cambria" w:hAnsi="Cambria"/>
          <w:sz w:val="20"/>
          <w:szCs w:val="20"/>
        </w:rPr>
        <w:t>to the detriment of</w:t>
      </w:r>
      <w:r w:rsidR="005E4373" w:rsidRPr="00B8721C">
        <w:rPr>
          <w:rFonts w:ascii="Cambria" w:hAnsi="Cambria"/>
          <w:sz w:val="20"/>
          <w:szCs w:val="20"/>
        </w:rPr>
        <w:t xml:space="preserve"> </w:t>
      </w:r>
      <w:r w:rsidRPr="00B8721C">
        <w:rPr>
          <w:rFonts w:ascii="Cambria" w:hAnsi="Cambria"/>
          <w:sz w:val="20"/>
          <w:szCs w:val="20"/>
        </w:rPr>
        <w:t>the journalist</w:t>
      </w:r>
      <w:r w:rsidR="005E4373" w:rsidRPr="00B8721C">
        <w:rPr>
          <w:rFonts w:ascii="Cambria" w:hAnsi="Cambria"/>
          <w:sz w:val="20"/>
          <w:szCs w:val="20"/>
        </w:rPr>
        <w:t xml:space="preserve">. </w:t>
      </w:r>
      <w:r w:rsidRPr="00B8721C">
        <w:rPr>
          <w:rFonts w:ascii="Cambria" w:hAnsi="Cambria"/>
          <w:sz w:val="20"/>
          <w:szCs w:val="20"/>
        </w:rPr>
        <w:t>It finds that the absence of a diligent investigation has affected the</w:t>
      </w:r>
      <w:r w:rsidR="005E4373" w:rsidRPr="00B8721C">
        <w:rPr>
          <w:rFonts w:ascii="Cambria" w:hAnsi="Cambria"/>
          <w:sz w:val="20"/>
          <w:szCs w:val="20"/>
        </w:rPr>
        <w:t xml:space="preserve"> </w:t>
      </w:r>
      <w:r w:rsidRPr="00B8721C">
        <w:rPr>
          <w:rFonts w:ascii="Cambria" w:hAnsi="Cambria"/>
          <w:sz w:val="20"/>
          <w:szCs w:val="20"/>
        </w:rPr>
        <w:t>mental and emotional integrity</w:t>
      </w:r>
      <w:r w:rsidR="005E4373" w:rsidRPr="00B8721C">
        <w:rPr>
          <w:rFonts w:ascii="Cambria" w:hAnsi="Cambria"/>
          <w:sz w:val="20"/>
          <w:szCs w:val="20"/>
        </w:rPr>
        <w:t xml:space="preserve"> </w:t>
      </w:r>
      <w:r w:rsidRPr="00B8721C">
        <w:rPr>
          <w:rFonts w:ascii="Cambria" w:hAnsi="Cambria"/>
          <w:sz w:val="20"/>
          <w:szCs w:val="20"/>
        </w:rPr>
        <w:t xml:space="preserve">of the </w:t>
      </w:r>
      <w:r w:rsidR="0082252F">
        <w:rPr>
          <w:rFonts w:ascii="Cambria" w:hAnsi="Cambria"/>
          <w:sz w:val="20"/>
          <w:szCs w:val="20"/>
        </w:rPr>
        <w:t>journalist’s</w:t>
      </w:r>
      <w:r w:rsidRPr="00B8721C">
        <w:rPr>
          <w:rFonts w:ascii="Cambria" w:hAnsi="Cambria"/>
          <w:sz w:val="20"/>
          <w:szCs w:val="20"/>
        </w:rPr>
        <w:t xml:space="preserve"> mother</w:t>
      </w:r>
      <w:r w:rsidR="005E4373" w:rsidRPr="00B8721C">
        <w:rPr>
          <w:rFonts w:ascii="Cambria" w:hAnsi="Cambria"/>
          <w:sz w:val="20"/>
          <w:szCs w:val="20"/>
        </w:rPr>
        <w:t xml:space="preserve">, </w:t>
      </w:r>
      <w:r w:rsidRPr="00B8721C">
        <w:rPr>
          <w:rFonts w:ascii="Cambria" w:hAnsi="Cambria"/>
          <w:sz w:val="20"/>
          <w:szCs w:val="20"/>
        </w:rPr>
        <w:t>in addition to the suffering and distress caused by the more than 18-year delay in obtaining justice. The IACHR</w:t>
      </w:r>
      <w:r w:rsidR="005E4373" w:rsidRPr="00B8721C">
        <w:rPr>
          <w:rFonts w:ascii="Cambria" w:hAnsi="Cambria"/>
          <w:sz w:val="20"/>
          <w:szCs w:val="20"/>
        </w:rPr>
        <w:t xml:space="preserve"> </w:t>
      </w:r>
      <w:r w:rsidRPr="00B8721C">
        <w:rPr>
          <w:rFonts w:ascii="Cambria" w:hAnsi="Cambria"/>
          <w:sz w:val="20"/>
          <w:szCs w:val="20"/>
        </w:rPr>
        <w:t>concludes that</w:t>
      </w:r>
      <w:r w:rsidR="005E4373" w:rsidRPr="00B8721C">
        <w:rPr>
          <w:rFonts w:ascii="Cambria" w:hAnsi="Cambria"/>
          <w:sz w:val="20"/>
          <w:szCs w:val="20"/>
        </w:rPr>
        <w:t xml:space="preserve"> </w:t>
      </w:r>
      <w:r w:rsidR="00716276" w:rsidRPr="00B8721C">
        <w:rPr>
          <w:rFonts w:ascii="Cambria" w:hAnsi="Cambria"/>
          <w:sz w:val="20"/>
          <w:szCs w:val="20"/>
        </w:rPr>
        <w:t>the State</w:t>
      </w:r>
      <w:r w:rsidR="005E4373" w:rsidRPr="00B8721C">
        <w:rPr>
          <w:rFonts w:ascii="Cambria" w:hAnsi="Cambria"/>
          <w:sz w:val="20"/>
          <w:szCs w:val="20"/>
        </w:rPr>
        <w:t xml:space="preserve"> </w:t>
      </w:r>
      <w:r w:rsidRPr="00B8721C">
        <w:rPr>
          <w:rFonts w:ascii="Cambria" w:hAnsi="Cambria"/>
          <w:sz w:val="20"/>
          <w:szCs w:val="20"/>
        </w:rPr>
        <w:t>violated the rights enshrined in Article</w:t>
      </w:r>
      <w:r w:rsidR="005E4373" w:rsidRPr="00B8721C">
        <w:rPr>
          <w:rFonts w:ascii="Cambria" w:hAnsi="Cambria"/>
          <w:sz w:val="20"/>
          <w:szCs w:val="20"/>
        </w:rPr>
        <w:t xml:space="preserve"> 5.1 </w:t>
      </w:r>
      <w:r w:rsidRPr="00B8721C">
        <w:rPr>
          <w:rFonts w:ascii="Cambria" w:hAnsi="Cambria"/>
          <w:sz w:val="20"/>
          <w:szCs w:val="20"/>
        </w:rPr>
        <w:t>of the Convention</w:t>
      </w:r>
      <w:r w:rsidR="005E4373" w:rsidRPr="00B8721C">
        <w:rPr>
          <w:rFonts w:ascii="Cambria" w:hAnsi="Cambria"/>
          <w:sz w:val="20"/>
          <w:szCs w:val="20"/>
        </w:rPr>
        <w:t xml:space="preserve">, </w:t>
      </w:r>
      <w:r w:rsidRPr="00B8721C">
        <w:rPr>
          <w:rFonts w:ascii="Cambria" w:hAnsi="Cambria"/>
          <w:sz w:val="20"/>
          <w:szCs w:val="20"/>
        </w:rPr>
        <w:t>in relation to</w:t>
      </w:r>
      <w:r w:rsidR="005E4373" w:rsidRPr="00B8721C">
        <w:rPr>
          <w:rFonts w:ascii="Cambria" w:hAnsi="Cambria"/>
          <w:sz w:val="20"/>
          <w:szCs w:val="20"/>
        </w:rPr>
        <w:t xml:space="preserve"> </w:t>
      </w:r>
      <w:r w:rsidRPr="00B8721C">
        <w:rPr>
          <w:rFonts w:ascii="Cambria" w:hAnsi="Cambria"/>
          <w:sz w:val="20"/>
          <w:szCs w:val="20"/>
        </w:rPr>
        <w:t>Article</w:t>
      </w:r>
      <w:r w:rsidR="005E4373" w:rsidRPr="00B8721C">
        <w:rPr>
          <w:rFonts w:ascii="Cambria" w:hAnsi="Cambria"/>
          <w:sz w:val="20"/>
          <w:szCs w:val="20"/>
        </w:rPr>
        <w:t xml:space="preserve"> 1.1 </w:t>
      </w:r>
      <w:r w:rsidRPr="00B8721C">
        <w:rPr>
          <w:rFonts w:ascii="Cambria" w:hAnsi="Cambria"/>
          <w:sz w:val="20"/>
          <w:szCs w:val="20"/>
        </w:rPr>
        <w:t>thereof</w:t>
      </w:r>
      <w:r w:rsidR="005E4373" w:rsidRPr="00B8721C">
        <w:rPr>
          <w:rFonts w:ascii="Cambria" w:hAnsi="Cambria"/>
          <w:sz w:val="20"/>
          <w:szCs w:val="20"/>
        </w:rPr>
        <w:t xml:space="preserve">, </w:t>
      </w:r>
      <w:r w:rsidR="00CB6C1F" w:rsidRPr="00B8721C">
        <w:rPr>
          <w:rFonts w:ascii="Cambria" w:hAnsi="Cambria"/>
          <w:sz w:val="20"/>
          <w:szCs w:val="20"/>
        </w:rPr>
        <w:t>to the detriment of</w:t>
      </w:r>
      <w:r w:rsidR="001A25C8">
        <w:rPr>
          <w:rFonts w:ascii="Cambria" w:hAnsi="Cambria"/>
          <w:sz w:val="20"/>
          <w:szCs w:val="20"/>
        </w:rPr>
        <w:t xml:space="preserve"> Luz Nelly</w:t>
      </w:r>
      <w:r w:rsidR="00D10688" w:rsidRPr="00B8721C">
        <w:rPr>
          <w:rFonts w:ascii="Cambria" w:hAnsi="Cambria"/>
          <w:sz w:val="20"/>
          <w:szCs w:val="20"/>
        </w:rPr>
        <w:t xml:space="preserve"> Lima</w:t>
      </w:r>
      <w:r w:rsidR="005E4373" w:rsidRPr="00B8721C">
        <w:rPr>
          <w:rFonts w:ascii="Cambria" w:hAnsi="Cambria"/>
          <w:sz w:val="20"/>
          <w:szCs w:val="20"/>
        </w:rPr>
        <w:t>.</w:t>
      </w:r>
    </w:p>
    <w:p w:rsidR="005E4373" w:rsidRPr="00B8721C" w:rsidRDefault="005E4373" w:rsidP="005A03C0">
      <w:pPr>
        <w:rPr>
          <w:rFonts w:ascii="Cambria" w:hAnsi="Cambria"/>
          <w:sz w:val="20"/>
          <w:szCs w:val="20"/>
        </w:rPr>
      </w:pPr>
    </w:p>
    <w:p w:rsidR="005E4373" w:rsidRPr="00B8721C" w:rsidRDefault="006F57A6" w:rsidP="005A03C0">
      <w:pPr>
        <w:pStyle w:val="Heading1"/>
        <w:keepLines/>
        <w:pBdr>
          <w:top w:val="nil"/>
          <w:left w:val="nil"/>
          <w:bottom w:val="nil"/>
          <w:right w:val="nil"/>
          <w:between w:val="nil"/>
          <w:bar w:val="nil"/>
        </w:pBdr>
        <w:tabs>
          <w:tab w:val="clear" w:pos="1440"/>
        </w:tabs>
        <w:rPr>
          <w:color w:val="auto"/>
          <w:szCs w:val="20"/>
        </w:rPr>
      </w:pPr>
      <w:bookmarkStart w:id="38" w:name="_Toc534731314"/>
      <w:r w:rsidRPr="00B8721C">
        <w:rPr>
          <w:color w:val="auto"/>
          <w:szCs w:val="20"/>
        </w:rPr>
        <w:t>CONCLUSIONS</w:t>
      </w:r>
      <w:bookmarkEnd w:id="38"/>
      <w:r w:rsidR="005E4373" w:rsidRPr="00B8721C">
        <w:rPr>
          <w:color w:val="auto"/>
          <w:szCs w:val="20"/>
        </w:rPr>
        <w:t xml:space="preserve"> </w:t>
      </w:r>
    </w:p>
    <w:p w:rsidR="005E4373" w:rsidRPr="00B8721C" w:rsidRDefault="005E4373" w:rsidP="005A03C0">
      <w:pPr>
        <w:ind w:firstLine="720"/>
        <w:contextualSpacing/>
        <w:jc w:val="both"/>
        <w:rPr>
          <w:rFonts w:ascii="Cambria" w:hAnsi="Cambria"/>
          <w:color w:val="000000"/>
          <w:sz w:val="20"/>
          <w:szCs w:val="20"/>
        </w:rPr>
      </w:pPr>
    </w:p>
    <w:p w:rsidR="00706E50" w:rsidRPr="00B8721C" w:rsidRDefault="00C81AC6" w:rsidP="00C364F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810"/>
        <w:jc w:val="both"/>
        <w:rPr>
          <w:rFonts w:ascii="Cambria" w:hAnsi="Cambria"/>
          <w:sz w:val="20"/>
          <w:szCs w:val="20"/>
        </w:rPr>
      </w:pPr>
      <w:r w:rsidRPr="00B8721C">
        <w:rPr>
          <w:rFonts w:ascii="Cambria" w:hAnsi="Cambria"/>
          <w:sz w:val="20"/>
          <w:szCs w:val="20"/>
        </w:rPr>
        <w:t>Based on the foregoing legal and factual considerations</w:t>
      </w:r>
      <w:r w:rsidR="005E4373" w:rsidRPr="00B8721C">
        <w:rPr>
          <w:rFonts w:ascii="Cambria" w:hAnsi="Cambria"/>
          <w:sz w:val="20"/>
          <w:szCs w:val="20"/>
        </w:rPr>
        <w:t xml:space="preserve">, </w:t>
      </w:r>
      <w:r w:rsidRPr="00B8721C">
        <w:rPr>
          <w:rFonts w:ascii="Cambria" w:hAnsi="Cambria"/>
          <w:sz w:val="20"/>
          <w:szCs w:val="20"/>
        </w:rPr>
        <w:t xml:space="preserve">the </w:t>
      </w:r>
      <w:r w:rsidR="00C364F9" w:rsidRPr="00B8721C">
        <w:rPr>
          <w:rFonts w:ascii="Cambria" w:hAnsi="Cambria"/>
          <w:sz w:val="20"/>
          <w:szCs w:val="20"/>
        </w:rPr>
        <w:t xml:space="preserve">Inter-American </w:t>
      </w:r>
      <w:r w:rsidRPr="00B8721C">
        <w:rPr>
          <w:rFonts w:ascii="Cambria" w:hAnsi="Cambria"/>
          <w:sz w:val="20"/>
          <w:szCs w:val="20"/>
        </w:rPr>
        <w:t>Commission</w:t>
      </w:r>
      <w:r w:rsidR="005E4373" w:rsidRPr="00B8721C">
        <w:rPr>
          <w:rFonts w:ascii="Cambria" w:hAnsi="Cambria"/>
          <w:sz w:val="20"/>
          <w:szCs w:val="20"/>
        </w:rPr>
        <w:t xml:space="preserve"> </w:t>
      </w:r>
      <w:r w:rsidR="00C364F9" w:rsidRPr="00B8721C">
        <w:rPr>
          <w:rFonts w:ascii="Cambria" w:hAnsi="Cambria"/>
          <w:sz w:val="20"/>
          <w:szCs w:val="20"/>
        </w:rPr>
        <w:t>concludes that</w:t>
      </w:r>
      <w:r w:rsidR="005E4373" w:rsidRPr="00B8721C">
        <w:rPr>
          <w:rFonts w:ascii="Cambria" w:hAnsi="Cambria"/>
          <w:sz w:val="20"/>
          <w:szCs w:val="20"/>
        </w:rPr>
        <w:t xml:space="preserve"> </w:t>
      </w:r>
      <w:r w:rsidR="00716276" w:rsidRPr="00B8721C">
        <w:rPr>
          <w:rFonts w:ascii="Cambria" w:hAnsi="Cambria"/>
          <w:sz w:val="20"/>
          <w:szCs w:val="20"/>
        </w:rPr>
        <w:t xml:space="preserve">the </w:t>
      </w:r>
      <w:r w:rsidR="00C364F9" w:rsidRPr="00B8721C">
        <w:rPr>
          <w:rFonts w:ascii="Cambria" w:hAnsi="Cambria"/>
          <w:sz w:val="20"/>
          <w:szCs w:val="20"/>
        </w:rPr>
        <w:t xml:space="preserve">Colombian </w:t>
      </w:r>
      <w:r w:rsidR="00716276" w:rsidRPr="00B8721C">
        <w:rPr>
          <w:rFonts w:ascii="Cambria" w:hAnsi="Cambria"/>
          <w:sz w:val="20"/>
          <w:szCs w:val="20"/>
        </w:rPr>
        <w:t>State</w:t>
      </w:r>
      <w:r w:rsidR="005E4373" w:rsidRPr="00B8721C">
        <w:rPr>
          <w:rFonts w:ascii="Cambria" w:hAnsi="Cambria"/>
          <w:sz w:val="20"/>
          <w:szCs w:val="20"/>
        </w:rPr>
        <w:t xml:space="preserve"> </w:t>
      </w:r>
      <w:r w:rsidR="00C364F9" w:rsidRPr="00B8721C">
        <w:rPr>
          <w:rFonts w:ascii="Cambria" w:hAnsi="Cambria"/>
          <w:sz w:val="20"/>
          <w:szCs w:val="20"/>
        </w:rPr>
        <w:t>is responsible for</w:t>
      </w:r>
      <w:r w:rsidR="005E4373" w:rsidRPr="00B8721C">
        <w:rPr>
          <w:rFonts w:ascii="Cambria" w:hAnsi="Cambria"/>
          <w:sz w:val="20"/>
          <w:szCs w:val="20"/>
        </w:rPr>
        <w:t>:</w:t>
      </w:r>
    </w:p>
    <w:p w:rsidR="00706E50" w:rsidRPr="00B8721C" w:rsidRDefault="00706E50" w:rsidP="005A03C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06E50" w:rsidRPr="007C2F9E" w:rsidRDefault="00C364F9" w:rsidP="005A03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720"/>
        <w:jc w:val="both"/>
        <w:rPr>
          <w:rFonts w:ascii="Cambria" w:hAnsi="Cambria"/>
          <w:sz w:val="20"/>
          <w:szCs w:val="20"/>
        </w:rPr>
      </w:pPr>
      <w:r w:rsidRPr="00B8721C">
        <w:rPr>
          <w:rFonts w:ascii="Cambria" w:hAnsi="Cambria"/>
          <w:sz w:val="20"/>
          <w:szCs w:val="20"/>
        </w:rPr>
        <w:t>The violation of the rights to life</w:t>
      </w:r>
      <w:r w:rsidR="00706E50" w:rsidRPr="00B8721C">
        <w:rPr>
          <w:rFonts w:ascii="Cambria" w:hAnsi="Cambria"/>
          <w:sz w:val="20"/>
          <w:szCs w:val="20"/>
        </w:rPr>
        <w:t xml:space="preserve">, </w:t>
      </w:r>
      <w:r w:rsidR="00716276" w:rsidRPr="007C2F9E">
        <w:rPr>
          <w:rFonts w:ascii="Cambria" w:hAnsi="Cambria"/>
          <w:sz w:val="20"/>
          <w:szCs w:val="20"/>
        </w:rPr>
        <w:t>humane treatment</w:t>
      </w:r>
      <w:r w:rsidR="00706E50" w:rsidRPr="007C2F9E">
        <w:rPr>
          <w:rFonts w:ascii="Cambria" w:hAnsi="Cambria"/>
          <w:sz w:val="20"/>
          <w:szCs w:val="20"/>
        </w:rPr>
        <w:t xml:space="preserve">, </w:t>
      </w:r>
      <w:r w:rsidR="00C44436" w:rsidRPr="007C2F9E">
        <w:rPr>
          <w:rFonts w:ascii="Cambria" w:hAnsi="Cambria"/>
          <w:sz w:val="20"/>
          <w:szCs w:val="20"/>
        </w:rPr>
        <w:t>personal liberty</w:t>
      </w:r>
      <w:r w:rsidR="00706E50" w:rsidRPr="007C2F9E">
        <w:rPr>
          <w:rFonts w:ascii="Cambria" w:hAnsi="Cambria"/>
          <w:sz w:val="20"/>
          <w:szCs w:val="20"/>
        </w:rPr>
        <w:t xml:space="preserve">, </w:t>
      </w:r>
      <w:r w:rsidRPr="007C2F9E">
        <w:rPr>
          <w:rFonts w:ascii="Cambria" w:hAnsi="Cambria"/>
          <w:sz w:val="20"/>
          <w:szCs w:val="20"/>
        </w:rPr>
        <w:t>privacy</w:t>
      </w:r>
      <w:r w:rsidR="00706E50" w:rsidRPr="007C2F9E">
        <w:rPr>
          <w:rFonts w:ascii="Cambria" w:hAnsi="Cambria"/>
          <w:sz w:val="20"/>
          <w:szCs w:val="20"/>
        </w:rPr>
        <w:t xml:space="preserve">, </w:t>
      </w:r>
      <w:r w:rsidRPr="007C2F9E">
        <w:rPr>
          <w:rFonts w:ascii="Cambria" w:hAnsi="Cambria"/>
          <w:sz w:val="20"/>
          <w:szCs w:val="20"/>
        </w:rPr>
        <w:t>freedom of expression</w:t>
      </w:r>
      <w:r w:rsidR="005E4373" w:rsidRPr="007C2F9E">
        <w:rPr>
          <w:rFonts w:ascii="Cambria" w:hAnsi="Cambria"/>
          <w:sz w:val="20"/>
          <w:szCs w:val="20"/>
        </w:rPr>
        <w:t>,</w:t>
      </w:r>
      <w:r w:rsidR="00706E50" w:rsidRPr="007C2F9E">
        <w:rPr>
          <w:rFonts w:ascii="Cambria" w:hAnsi="Cambria"/>
          <w:sz w:val="20"/>
          <w:szCs w:val="20"/>
        </w:rPr>
        <w:t xml:space="preserve"> </w:t>
      </w:r>
      <w:r w:rsidRPr="007C2F9E">
        <w:rPr>
          <w:rFonts w:ascii="Cambria" w:hAnsi="Cambria"/>
          <w:sz w:val="20"/>
          <w:szCs w:val="20"/>
        </w:rPr>
        <w:t>and equal protection</w:t>
      </w:r>
      <w:r w:rsidR="00706E50" w:rsidRPr="007C2F9E">
        <w:rPr>
          <w:rFonts w:ascii="Cambria" w:hAnsi="Cambria"/>
          <w:sz w:val="20"/>
          <w:szCs w:val="20"/>
        </w:rPr>
        <w:t>,</w:t>
      </w:r>
      <w:r w:rsidR="005E4373" w:rsidRPr="007C2F9E">
        <w:rPr>
          <w:rFonts w:ascii="Cambria" w:hAnsi="Cambria"/>
          <w:sz w:val="20"/>
          <w:szCs w:val="20"/>
        </w:rPr>
        <w:t xml:space="preserve"> </w:t>
      </w:r>
      <w:r w:rsidRPr="007C2F9E">
        <w:rPr>
          <w:rFonts w:ascii="Cambria" w:hAnsi="Cambria"/>
          <w:sz w:val="20"/>
          <w:szCs w:val="20"/>
        </w:rPr>
        <w:t>enshrined in Articles</w:t>
      </w:r>
      <w:r w:rsidR="002A14CA" w:rsidRPr="007C2F9E">
        <w:rPr>
          <w:rFonts w:ascii="Cambria" w:hAnsi="Cambria"/>
          <w:sz w:val="20"/>
          <w:szCs w:val="20"/>
        </w:rPr>
        <w:t xml:space="preserve"> 4</w:t>
      </w:r>
      <w:r w:rsidR="007C55A7" w:rsidRPr="007C2F9E">
        <w:rPr>
          <w:rFonts w:ascii="Cambria" w:hAnsi="Cambria"/>
          <w:sz w:val="20"/>
          <w:szCs w:val="20"/>
        </w:rPr>
        <w:t>.1</w:t>
      </w:r>
      <w:r w:rsidR="002A14CA" w:rsidRPr="007C2F9E">
        <w:rPr>
          <w:rFonts w:ascii="Cambria" w:hAnsi="Cambria"/>
          <w:sz w:val="20"/>
          <w:szCs w:val="20"/>
        </w:rPr>
        <w:t>, 5</w:t>
      </w:r>
      <w:r w:rsidR="007C55A7" w:rsidRPr="007C2F9E">
        <w:rPr>
          <w:rFonts w:ascii="Cambria" w:hAnsi="Cambria"/>
          <w:sz w:val="20"/>
          <w:szCs w:val="20"/>
        </w:rPr>
        <w:t>.1, 5.2</w:t>
      </w:r>
      <w:r w:rsidR="00706E50" w:rsidRPr="007C2F9E">
        <w:rPr>
          <w:rFonts w:ascii="Cambria" w:hAnsi="Cambria"/>
          <w:sz w:val="20"/>
          <w:szCs w:val="20"/>
        </w:rPr>
        <w:t xml:space="preserve">, 7, 11, </w:t>
      </w:r>
      <w:r w:rsidR="005E4373" w:rsidRPr="007C2F9E">
        <w:rPr>
          <w:rFonts w:ascii="Cambria" w:hAnsi="Cambria"/>
          <w:sz w:val="20"/>
          <w:szCs w:val="20"/>
        </w:rPr>
        <w:t>13</w:t>
      </w:r>
      <w:r w:rsidRPr="007C2F9E">
        <w:rPr>
          <w:rFonts w:ascii="Cambria" w:hAnsi="Cambria"/>
          <w:sz w:val="20"/>
          <w:szCs w:val="20"/>
        </w:rPr>
        <w:t xml:space="preserve">, and </w:t>
      </w:r>
      <w:r w:rsidR="00706E50" w:rsidRPr="007C2F9E">
        <w:rPr>
          <w:rFonts w:ascii="Cambria" w:hAnsi="Cambria"/>
          <w:sz w:val="20"/>
          <w:szCs w:val="20"/>
        </w:rPr>
        <w:t>24</w:t>
      </w:r>
      <w:r w:rsidR="005E4373" w:rsidRPr="007C2F9E">
        <w:rPr>
          <w:rFonts w:ascii="Cambria" w:hAnsi="Cambria"/>
          <w:sz w:val="20"/>
          <w:szCs w:val="20"/>
        </w:rPr>
        <w:t xml:space="preserve"> </w:t>
      </w:r>
      <w:r w:rsidR="00CB6C1F" w:rsidRPr="007C2F9E">
        <w:rPr>
          <w:rFonts w:ascii="Cambria" w:hAnsi="Cambria"/>
          <w:sz w:val="20"/>
          <w:szCs w:val="20"/>
        </w:rPr>
        <w:t>of the American Convention</w:t>
      </w:r>
      <w:r w:rsidR="005E4373" w:rsidRPr="007C2F9E">
        <w:rPr>
          <w:rFonts w:ascii="Cambria" w:hAnsi="Cambria"/>
          <w:sz w:val="20"/>
          <w:szCs w:val="20"/>
        </w:rPr>
        <w:t xml:space="preserve">, </w:t>
      </w:r>
      <w:r w:rsidRPr="007C2F9E">
        <w:rPr>
          <w:rFonts w:ascii="Cambria" w:hAnsi="Cambria"/>
          <w:sz w:val="20"/>
          <w:szCs w:val="20"/>
        </w:rPr>
        <w:t xml:space="preserve">in connection with </w:t>
      </w:r>
      <w:r w:rsidR="00C81AC6" w:rsidRPr="007C2F9E">
        <w:rPr>
          <w:rFonts w:ascii="Cambria" w:hAnsi="Cambria"/>
          <w:sz w:val="20"/>
          <w:szCs w:val="20"/>
        </w:rPr>
        <w:t>Article</w:t>
      </w:r>
      <w:r w:rsidR="005E4373" w:rsidRPr="007C2F9E">
        <w:rPr>
          <w:rFonts w:ascii="Cambria" w:hAnsi="Cambria"/>
          <w:sz w:val="20"/>
          <w:szCs w:val="20"/>
        </w:rPr>
        <w:t xml:space="preserve"> 1.1 </w:t>
      </w:r>
      <w:r w:rsidRPr="007C2F9E">
        <w:rPr>
          <w:rFonts w:ascii="Cambria" w:hAnsi="Cambria"/>
          <w:sz w:val="20"/>
          <w:szCs w:val="20"/>
        </w:rPr>
        <w:t>thereof</w:t>
      </w:r>
      <w:r w:rsidR="005E4373" w:rsidRPr="007C2F9E">
        <w:rPr>
          <w:rFonts w:ascii="Cambria" w:hAnsi="Cambria"/>
          <w:sz w:val="20"/>
          <w:szCs w:val="20"/>
        </w:rPr>
        <w:t xml:space="preserve">, </w:t>
      </w:r>
      <w:r w:rsidR="00C81AC6" w:rsidRPr="007C2F9E">
        <w:rPr>
          <w:rFonts w:ascii="Cambria" w:hAnsi="Cambria"/>
          <w:sz w:val="20"/>
          <w:szCs w:val="20"/>
        </w:rPr>
        <w:t>Article</w:t>
      </w:r>
      <w:r w:rsidR="00706E50" w:rsidRPr="007C2F9E">
        <w:rPr>
          <w:rFonts w:ascii="Cambria" w:hAnsi="Cambria"/>
          <w:sz w:val="20"/>
          <w:szCs w:val="20"/>
        </w:rPr>
        <w:t xml:space="preserve"> 7.b </w:t>
      </w:r>
      <w:r w:rsidR="00C81AC6" w:rsidRPr="007C2F9E">
        <w:rPr>
          <w:rFonts w:ascii="Cambria" w:hAnsi="Cambria"/>
          <w:sz w:val="20"/>
          <w:szCs w:val="20"/>
        </w:rPr>
        <w:t>of the Convention</w:t>
      </w:r>
      <w:r w:rsidRPr="007C2F9E">
        <w:rPr>
          <w:rFonts w:ascii="Cambria" w:hAnsi="Cambria"/>
          <w:sz w:val="20"/>
          <w:szCs w:val="20"/>
        </w:rPr>
        <w:t xml:space="preserve"> of Belém do Pará, and Articles 1, 6, and 8 of</w:t>
      </w:r>
      <w:r w:rsidR="00706E50" w:rsidRPr="007C2F9E">
        <w:rPr>
          <w:rFonts w:ascii="Cambria" w:hAnsi="Cambria"/>
          <w:sz w:val="20"/>
          <w:szCs w:val="20"/>
        </w:rPr>
        <w:t xml:space="preserve"> </w:t>
      </w:r>
      <w:r w:rsidR="00792493" w:rsidRPr="007C2F9E">
        <w:rPr>
          <w:rFonts w:ascii="Cambria" w:hAnsi="Cambria"/>
          <w:sz w:val="20"/>
          <w:szCs w:val="20"/>
        </w:rPr>
        <w:t>the IACPPT</w:t>
      </w:r>
      <w:r w:rsidR="00706E50" w:rsidRPr="007C2F9E">
        <w:rPr>
          <w:rFonts w:ascii="Cambria" w:hAnsi="Cambria"/>
          <w:bCs/>
          <w:sz w:val="20"/>
          <w:szCs w:val="20"/>
        </w:rPr>
        <w:t xml:space="preserve">, </w:t>
      </w:r>
      <w:r w:rsidR="00CB6C1F" w:rsidRPr="007C2F9E">
        <w:rPr>
          <w:rFonts w:ascii="Cambria" w:hAnsi="Cambria"/>
          <w:bCs/>
          <w:sz w:val="20"/>
          <w:szCs w:val="20"/>
        </w:rPr>
        <w:t>to the detriment of</w:t>
      </w:r>
      <w:r w:rsidR="00706E50" w:rsidRPr="007C2F9E">
        <w:rPr>
          <w:rFonts w:ascii="Cambria" w:hAnsi="Cambria"/>
          <w:bCs/>
          <w:sz w:val="20"/>
          <w:szCs w:val="20"/>
        </w:rPr>
        <w:t xml:space="preserve"> Jineth Bedoya. </w:t>
      </w:r>
    </w:p>
    <w:p w:rsidR="005E4373" w:rsidRPr="007C2F9E" w:rsidRDefault="00C364F9" w:rsidP="005A03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720"/>
        <w:jc w:val="both"/>
        <w:rPr>
          <w:rFonts w:ascii="Cambria" w:hAnsi="Cambria"/>
          <w:sz w:val="20"/>
          <w:szCs w:val="20"/>
        </w:rPr>
      </w:pPr>
      <w:r w:rsidRPr="007C2F9E">
        <w:rPr>
          <w:rFonts w:ascii="Cambria" w:hAnsi="Cambria"/>
          <w:sz w:val="20"/>
          <w:szCs w:val="20"/>
        </w:rPr>
        <w:t xml:space="preserve">The violation of the rights to </w:t>
      </w:r>
      <w:r w:rsidR="00840CD7" w:rsidRPr="007C2F9E">
        <w:rPr>
          <w:rFonts w:ascii="Cambria" w:hAnsi="Cambria"/>
          <w:sz w:val="20"/>
          <w:szCs w:val="20"/>
        </w:rPr>
        <w:t>a fair trial</w:t>
      </w:r>
      <w:r w:rsidR="00706E50" w:rsidRPr="007C2F9E">
        <w:rPr>
          <w:rFonts w:ascii="Cambria" w:hAnsi="Cambria"/>
          <w:sz w:val="20"/>
          <w:szCs w:val="20"/>
        </w:rPr>
        <w:t xml:space="preserve"> </w:t>
      </w:r>
      <w:r w:rsidRPr="007C2F9E">
        <w:rPr>
          <w:rFonts w:ascii="Cambria" w:hAnsi="Cambria"/>
          <w:sz w:val="20"/>
          <w:szCs w:val="20"/>
        </w:rPr>
        <w:t>and judicial protection</w:t>
      </w:r>
      <w:r w:rsidR="00706E50" w:rsidRPr="007C2F9E">
        <w:rPr>
          <w:rFonts w:ascii="Cambria" w:hAnsi="Cambria"/>
          <w:sz w:val="20"/>
          <w:szCs w:val="20"/>
        </w:rPr>
        <w:t xml:space="preserve">, </w:t>
      </w:r>
      <w:r w:rsidRPr="007C2F9E">
        <w:rPr>
          <w:rFonts w:ascii="Cambria" w:hAnsi="Cambria"/>
          <w:sz w:val="20"/>
          <w:szCs w:val="20"/>
        </w:rPr>
        <w:t>enshrined in Articles 8</w:t>
      </w:r>
      <w:r w:rsidR="007C2F9E" w:rsidRPr="007C2F9E">
        <w:rPr>
          <w:rFonts w:ascii="Cambria" w:hAnsi="Cambria"/>
          <w:sz w:val="20"/>
          <w:szCs w:val="20"/>
        </w:rPr>
        <w:t>.1</w:t>
      </w:r>
      <w:r w:rsidRPr="007C2F9E">
        <w:rPr>
          <w:rFonts w:ascii="Cambria" w:hAnsi="Cambria"/>
          <w:sz w:val="20"/>
          <w:szCs w:val="20"/>
        </w:rPr>
        <w:t xml:space="preserve"> and</w:t>
      </w:r>
      <w:r w:rsidR="00706E50" w:rsidRPr="007C2F9E">
        <w:rPr>
          <w:rFonts w:ascii="Cambria" w:hAnsi="Cambria"/>
          <w:sz w:val="20"/>
          <w:szCs w:val="20"/>
        </w:rPr>
        <w:t xml:space="preserve"> 25</w:t>
      </w:r>
      <w:r w:rsidR="007C2F9E" w:rsidRPr="007C2F9E">
        <w:rPr>
          <w:rFonts w:ascii="Cambria" w:hAnsi="Cambria"/>
          <w:sz w:val="20"/>
          <w:szCs w:val="20"/>
        </w:rPr>
        <w:t>.1</w:t>
      </w:r>
      <w:r w:rsidR="00706E50" w:rsidRPr="007C2F9E">
        <w:rPr>
          <w:rFonts w:ascii="Cambria" w:hAnsi="Cambria"/>
          <w:sz w:val="20"/>
          <w:szCs w:val="20"/>
        </w:rPr>
        <w:t xml:space="preserve"> </w:t>
      </w:r>
      <w:r w:rsidR="00CB6C1F" w:rsidRPr="007C2F9E">
        <w:rPr>
          <w:rFonts w:ascii="Cambria" w:hAnsi="Cambria"/>
          <w:sz w:val="20"/>
          <w:szCs w:val="20"/>
        </w:rPr>
        <w:t>of the American Convention</w:t>
      </w:r>
      <w:r w:rsidR="00706E50" w:rsidRPr="007C2F9E">
        <w:rPr>
          <w:rFonts w:ascii="Cambria" w:hAnsi="Cambria"/>
          <w:sz w:val="20"/>
          <w:szCs w:val="20"/>
        </w:rPr>
        <w:t xml:space="preserve">, </w:t>
      </w:r>
      <w:r w:rsidRPr="007C2F9E">
        <w:rPr>
          <w:rFonts w:ascii="Cambria" w:hAnsi="Cambria"/>
          <w:sz w:val="20"/>
          <w:szCs w:val="20"/>
        </w:rPr>
        <w:t xml:space="preserve">in connection with Articles </w:t>
      </w:r>
      <w:r w:rsidR="00706E50" w:rsidRPr="007C2F9E">
        <w:rPr>
          <w:rFonts w:ascii="Cambria" w:hAnsi="Cambria"/>
          <w:sz w:val="20"/>
          <w:szCs w:val="20"/>
        </w:rPr>
        <w:t>1.1</w:t>
      </w:r>
      <w:r w:rsidR="00BA7EB2" w:rsidRPr="007C2F9E">
        <w:rPr>
          <w:rFonts w:ascii="Cambria" w:hAnsi="Cambria"/>
          <w:sz w:val="20"/>
          <w:szCs w:val="20"/>
        </w:rPr>
        <w:t xml:space="preserve">, </w:t>
      </w:r>
      <w:r w:rsidR="002A14CA" w:rsidRPr="007C2F9E">
        <w:rPr>
          <w:rFonts w:ascii="Cambria" w:hAnsi="Cambria"/>
          <w:sz w:val="20"/>
          <w:szCs w:val="20"/>
        </w:rPr>
        <w:t>5</w:t>
      </w:r>
      <w:r w:rsidR="007C55A7" w:rsidRPr="007C2F9E">
        <w:rPr>
          <w:rFonts w:ascii="Cambria" w:hAnsi="Cambria"/>
          <w:sz w:val="20"/>
          <w:szCs w:val="20"/>
        </w:rPr>
        <w:t>.1, 5.2</w:t>
      </w:r>
      <w:r w:rsidR="002A14CA" w:rsidRPr="007C2F9E">
        <w:rPr>
          <w:rFonts w:ascii="Cambria" w:hAnsi="Cambria"/>
          <w:sz w:val="20"/>
          <w:szCs w:val="20"/>
        </w:rPr>
        <w:t xml:space="preserve">, </w:t>
      </w:r>
      <w:r w:rsidR="00BA7EB2" w:rsidRPr="007C2F9E">
        <w:rPr>
          <w:rFonts w:ascii="Cambria" w:hAnsi="Cambria"/>
          <w:sz w:val="20"/>
          <w:szCs w:val="20"/>
        </w:rPr>
        <w:t>11</w:t>
      </w:r>
      <w:r w:rsidRPr="007C2F9E">
        <w:rPr>
          <w:rFonts w:ascii="Cambria" w:hAnsi="Cambria"/>
          <w:sz w:val="20"/>
          <w:szCs w:val="20"/>
        </w:rPr>
        <w:t>, and</w:t>
      </w:r>
      <w:r w:rsidR="00706E50" w:rsidRPr="007C2F9E">
        <w:rPr>
          <w:rFonts w:ascii="Cambria" w:hAnsi="Cambria"/>
          <w:sz w:val="20"/>
          <w:szCs w:val="20"/>
        </w:rPr>
        <w:t xml:space="preserve"> 13 </w:t>
      </w:r>
      <w:r w:rsidRPr="007C2F9E">
        <w:rPr>
          <w:rFonts w:ascii="Cambria" w:hAnsi="Cambria"/>
          <w:sz w:val="20"/>
          <w:szCs w:val="20"/>
        </w:rPr>
        <w:t>thereof</w:t>
      </w:r>
      <w:r w:rsidR="00706E50" w:rsidRPr="007C2F9E">
        <w:rPr>
          <w:rFonts w:ascii="Cambria" w:hAnsi="Cambria"/>
          <w:sz w:val="20"/>
          <w:szCs w:val="20"/>
        </w:rPr>
        <w:t xml:space="preserve">, </w:t>
      </w:r>
      <w:r w:rsidR="00C81AC6" w:rsidRPr="007C2F9E">
        <w:rPr>
          <w:rFonts w:ascii="Cambria" w:hAnsi="Cambria"/>
          <w:sz w:val="20"/>
          <w:szCs w:val="20"/>
        </w:rPr>
        <w:t>Article</w:t>
      </w:r>
      <w:r w:rsidR="00706E50" w:rsidRPr="007C2F9E">
        <w:rPr>
          <w:rFonts w:ascii="Cambria" w:hAnsi="Cambria"/>
          <w:sz w:val="20"/>
          <w:szCs w:val="20"/>
        </w:rPr>
        <w:t xml:space="preserve"> 7.b </w:t>
      </w:r>
      <w:r w:rsidR="00C81AC6" w:rsidRPr="007C2F9E">
        <w:rPr>
          <w:rFonts w:ascii="Cambria" w:hAnsi="Cambria"/>
          <w:sz w:val="20"/>
          <w:szCs w:val="20"/>
        </w:rPr>
        <w:t xml:space="preserve">of the </w:t>
      </w:r>
      <w:r w:rsidRPr="007C2F9E">
        <w:rPr>
          <w:rFonts w:ascii="Cambria" w:hAnsi="Cambria"/>
          <w:sz w:val="20"/>
          <w:szCs w:val="20"/>
        </w:rPr>
        <w:t>Convention of Belém do Pará, and Articles 1, 6, and 8 of the IACPPT</w:t>
      </w:r>
      <w:r w:rsidRPr="007C2F9E">
        <w:rPr>
          <w:rFonts w:ascii="Cambria" w:hAnsi="Cambria"/>
          <w:bCs/>
          <w:sz w:val="20"/>
          <w:szCs w:val="20"/>
        </w:rPr>
        <w:t xml:space="preserve">, </w:t>
      </w:r>
      <w:r w:rsidR="00CB6C1F" w:rsidRPr="007C2F9E">
        <w:rPr>
          <w:rFonts w:ascii="Cambria" w:hAnsi="Cambria"/>
          <w:bCs/>
          <w:sz w:val="20"/>
          <w:szCs w:val="20"/>
        </w:rPr>
        <w:t>to the detriment of</w:t>
      </w:r>
      <w:r w:rsidR="00706E50" w:rsidRPr="007C2F9E">
        <w:rPr>
          <w:rFonts w:ascii="Cambria" w:hAnsi="Cambria"/>
          <w:bCs/>
          <w:sz w:val="20"/>
          <w:szCs w:val="20"/>
        </w:rPr>
        <w:t xml:space="preserve"> Jineth Bedoya.</w:t>
      </w:r>
    </w:p>
    <w:p w:rsidR="005E4373" w:rsidRPr="00B8721C" w:rsidRDefault="00C364F9" w:rsidP="005A03C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720"/>
        <w:jc w:val="both"/>
        <w:rPr>
          <w:rFonts w:ascii="Cambria" w:hAnsi="Cambria"/>
          <w:sz w:val="20"/>
          <w:szCs w:val="20"/>
        </w:rPr>
      </w:pPr>
      <w:r w:rsidRPr="00B8721C">
        <w:rPr>
          <w:rFonts w:ascii="Cambria" w:hAnsi="Cambria"/>
          <w:sz w:val="20"/>
          <w:szCs w:val="20"/>
        </w:rPr>
        <w:t>The violation of the right to</w:t>
      </w:r>
      <w:r w:rsidR="005E4373" w:rsidRPr="00B8721C">
        <w:rPr>
          <w:rFonts w:ascii="Cambria" w:hAnsi="Cambria"/>
          <w:sz w:val="20"/>
          <w:szCs w:val="20"/>
        </w:rPr>
        <w:t xml:space="preserve"> </w:t>
      </w:r>
      <w:r w:rsidR="00716276" w:rsidRPr="00B8721C">
        <w:rPr>
          <w:rFonts w:ascii="Cambria" w:hAnsi="Cambria"/>
          <w:sz w:val="20"/>
          <w:szCs w:val="20"/>
        </w:rPr>
        <w:t>humane treatment</w:t>
      </w:r>
      <w:r w:rsidR="005E4373" w:rsidRPr="00B8721C">
        <w:rPr>
          <w:rFonts w:ascii="Cambria" w:hAnsi="Cambria"/>
          <w:sz w:val="20"/>
          <w:szCs w:val="20"/>
        </w:rPr>
        <w:t xml:space="preserve"> </w:t>
      </w:r>
      <w:r w:rsidRPr="00B8721C">
        <w:rPr>
          <w:rFonts w:ascii="Cambria" w:hAnsi="Cambria"/>
          <w:sz w:val="20"/>
          <w:szCs w:val="20"/>
        </w:rPr>
        <w:t xml:space="preserve">enshrined </w:t>
      </w:r>
      <w:r w:rsidR="00C81AC6" w:rsidRPr="00B8721C">
        <w:rPr>
          <w:rFonts w:ascii="Cambria" w:hAnsi="Cambria"/>
          <w:sz w:val="20"/>
          <w:szCs w:val="20"/>
        </w:rPr>
        <w:t>in Article</w:t>
      </w:r>
      <w:r w:rsidR="005E4373" w:rsidRPr="00B8721C">
        <w:rPr>
          <w:rFonts w:ascii="Cambria" w:hAnsi="Cambria"/>
          <w:sz w:val="20"/>
          <w:szCs w:val="20"/>
        </w:rPr>
        <w:t xml:space="preserve"> 5.1 </w:t>
      </w:r>
      <w:r w:rsidR="00CB6C1F" w:rsidRPr="00B8721C">
        <w:rPr>
          <w:rFonts w:ascii="Cambria" w:hAnsi="Cambria"/>
          <w:sz w:val="20"/>
          <w:szCs w:val="20"/>
        </w:rPr>
        <w:t>of the American Convention</w:t>
      </w:r>
      <w:r w:rsidR="005E4373" w:rsidRPr="00B8721C">
        <w:rPr>
          <w:rFonts w:ascii="Cambria" w:hAnsi="Cambria"/>
          <w:sz w:val="20"/>
          <w:szCs w:val="20"/>
        </w:rPr>
        <w:t xml:space="preserve">, </w:t>
      </w:r>
      <w:r w:rsidRPr="00B8721C">
        <w:rPr>
          <w:rFonts w:ascii="Cambria" w:hAnsi="Cambria"/>
          <w:sz w:val="20"/>
          <w:szCs w:val="20"/>
        </w:rPr>
        <w:t>in connection with</w:t>
      </w:r>
      <w:r w:rsidR="005E4373" w:rsidRPr="00B8721C">
        <w:rPr>
          <w:rFonts w:ascii="Cambria" w:hAnsi="Cambria"/>
          <w:sz w:val="20"/>
          <w:szCs w:val="20"/>
        </w:rPr>
        <w:t xml:space="preserve"> </w:t>
      </w:r>
      <w:r w:rsidR="00C81AC6" w:rsidRPr="00B8721C">
        <w:rPr>
          <w:rFonts w:ascii="Cambria" w:hAnsi="Cambria"/>
          <w:sz w:val="20"/>
          <w:szCs w:val="20"/>
        </w:rPr>
        <w:t>Article</w:t>
      </w:r>
      <w:r w:rsidR="005E4373" w:rsidRPr="00B8721C">
        <w:rPr>
          <w:rFonts w:ascii="Cambria" w:hAnsi="Cambria"/>
          <w:sz w:val="20"/>
          <w:szCs w:val="20"/>
        </w:rPr>
        <w:t xml:space="preserve"> 1.1. </w:t>
      </w:r>
      <w:r w:rsidRPr="00B8721C">
        <w:rPr>
          <w:rFonts w:ascii="Cambria" w:hAnsi="Cambria"/>
          <w:sz w:val="20"/>
          <w:szCs w:val="20"/>
        </w:rPr>
        <w:t>thereof,</w:t>
      </w:r>
      <w:r w:rsidR="005E4373" w:rsidRPr="00B8721C">
        <w:rPr>
          <w:rFonts w:ascii="Cambria" w:hAnsi="Cambria"/>
          <w:sz w:val="20"/>
          <w:szCs w:val="20"/>
        </w:rPr>
        <w:t xml:space="preserve"> </w:t>
      </w:r>
      <w:r w:rsidR="00CB6C1F" w:rsidRPr="00B8721C">
        <w:rPr>
          <w:rFonts w:ascii="Cambria" w:hAnsi="Cambria"/>
          <w:sz w:val="20"/>
          <w:szCs w:val="20"/>
        </w:rPr>
        <w:t>to the detriment of</w:t>
      </w:r>
      <w:r w:rsidR="005E4373" w:rsidRPr="00B8721C">
        <w:rPr>
          <w:rFonts w:ascii="Cambria" w:hAnsi="Cambria"/>
          <w:sz w:val="20"/>
          <w:szCs w:val="20"/>
        </w:rPr>
        <w:t xml:space="preserve"> </w:t>
      </w:r>
      <w:r w:rsidR="001A25C8">
        <w:rPr>
          <w:rFonts w:ascii="Cambria" w:hAnsi="Cambria"/>
          <w:sz w:val="20"/>
          <w:szCs w:val="20"/>
        </w:rPr>
        <w:t>Luz Nelly</w:t>
      </w:r>
      <w:r w:rsidR="00706E50" w:rsidRPr="00B8721C">
        <w:rPr>
          <w:rFonts w:ascii="Cambria" w:hAnsi="Cambria"/>
          <w:sz w:val="20"/>
          <w:szCs w:val="20"/>
        </w:rPr>
        <w:t xml:space="preserve"> Lima</w:t>
      </w:r>
      <w:r w:rsidR="005E4373" w:rsidRPr="00B8721C">
        <w:rPr>
          <w:rFonts w:ascii="Cambria" w:hAnsi="Cambria"/>
          <w:sz w:val="20"/>
          <w:szCs w:val="20"/>
        </w:rPr>
        <w:t xml:space="preserve">. </w:t>
      </w:r>
    </w:p>
    <w:p w:rsidR="005E4373" w:rsidRPr="00B8721C" w:rsidRDefault="005E4373" w:rsidP="005A03C0">
      <w:pPr>
        <w:pStyle w:val="Style1"/>
        <w:ind w:left="720" w:firstLine="0"/>
        <w:rPr>
          <w:lang w:val="en-US"/>
        </w:rPr>
      </w:pPr>
    </w:p>
    <w:p w:rsidR="005E4373" w:rsidRPr="00B8721C" w:rsidRDefault="006F57A6" w:rsidP="005A03C0">
      <w:pPr>
        <w:pStyle w:val="Heading1"/>
        <w:keepLines/>
        <w:pBdr>
          <w:top w:val="nil"/>
          <w:left w:val="nil"/>
          <w:bottom w:val="nil"/>
          <w:right w:val="nil"/>
          <w:between w:val="nil"/>
          <w:bar w:val="nil"/>
        </w:pBdr>
        <w:tabs>
          <w:tab w:val="clear" w:pos="1440"/>
        </w:tabs>
        <w:rPr>
          <w:color w:val="auto"/>
          <w:szCs w:val="20"/>
        </w:rPr>
      </w:pPr>
      <w:bookmarkStart w:id="39" w:name="_Toc534731315"/>
      <w:r w:rsidRPr="00B8721C">
        <w:rPr>
          <w:color w:val="auto"/>
          <w:szCs w:val="20"/>
        </w:rPr>
        <w:t>RECOMMENDATIONS</w:t>
      </w:r>
      <w:bookmarkEnd w:id="39"/>
    </w:p>
    <w:p w:rsidR="005E4373" w:rsidRPr="00B8721C" w:rsidRDefault="005E4373" w:rsidP="005A03C0">
      <w:pPr>
        <w:pStyle w:val="Style1"/>
        <w:ind w:left="720" w:firstLine="0"/>
        <w:rPr>
          <w:lang w:val="en-US"/>
        </w:rPr>
      </w:pPr>
    </w:p>
    <w:p w:rsidR="005E4373" w:rsidRPr="00B8721C" w:rsidRDefault="00C81AC6" w:rsidP="005A03C0">
      <w:pPr>
        <w:ind w:firstLine="720"/>
        <w:jc w:val="both"/>
        <w:rPr>
          <w:rFonts w:ascii="Cambria" w:hAnsi="Cambria" w:cs="Arial"/>
          <w:b/>
          <w:bCs/>
          <w:sz w:val="20"/>
          <w:szCs w:val="20"/>
        </w:rPr>
      </w:pPr>
      <w:r w:rsidRPr="00B8721C">
        <w:rPr>
          <w:rFonts w:ascii="Cambria" w:hAnsi="Cambria" w:cs="Arial"/>
          <w:b/>
          <w:bCs/>
          <w:sz w:val="20"/>
          <w:szCs w:val="20"/>
        </w:rPr>
        <w:t xml:space="preserve">THE </w:t>
      </w:r>
      <w:r w:rsidR="00C364F9" w:rsidRPr="00B8721C">
        <w:rPr>
          <w:rFonts w:ascii="Cambria" w:hAnsi="Cambria" w:cs="Arial"/>
          <w:b/>
          <w:bCs/>
          <w:sz w:val="20"/>
          <w:szCs w:val="20"/>
        </w:rPr>
        <w:t xml:space="preserve">INTER-AMERICAN </w:t>
      </w:r>
      <w:r w:rsidRPr="00B8721C">
        <w:rPr>
          <w:rFonts w:ascii="Cambria" w:hAnsi="Cambria" w:cs="Arial"/>
          <w:b/>
          <w:bCs/>
          <w:sz w:val="20"/>
          <w:szCs w:val="20"/>
        </w:rPr>
        <w:t>COMMISSION</w:t>
      </w:r>
      <w:r w:rsidR="005E4373" w:rsidRPr="00B8721C">
        <w:rPr>
          <w:rFonts w:ascii="Cambria" w:hAnsi="Cambria" w:cs="Arial"/>
          <w:b/>
          <w:bCs/>
          <w:sz w:val="20"/>
          <w:szCs w:val="20"/>
        </w:rPr>
        <w:t xml:space="preserve"> </w:t>
      </w:r>
      <w:r w:rsidR="00C364F9" w:rsidRPr="00B8721C">
        <w:rPr>
          <w:rFonts w:ascii="Cambria" w:hAnsi="Cambria" w:cs="Arial"/>
          <w:b/>
          <w:bCs/>
          <w:sz w:val="20"/>
          <w:szCs w:val="20"/>
        </w:rPr>
        <w:t xml:space="preserve">ON HUMAN RIGHTS RECOMMENDS THAT THE STATE OF </w:t>
      </w:r>
      <w:r w:rsidR="005E4373" w:rsidRPr="00B8721C">
        <w:rPr>
          <w:rFonts w:ascii="Cambria" w:hAnsi="Cambria" w:cs="Arial"/>
          <w:b/>
          <w:bCs/>
          <w:sz w:val="20"/>
          <w:szCs w:val="20"/>
        </w:rPr>
        <w:t>COLOMBIA:</w:t>
      </w:r>
    </w:p>
    <w:p w:rsidR="005E4373" w:rsidRPr="00B8721C" w:rsidRDefault="005E4373" w:rsidP="005A03C0">
      <w:pPr>
        <w:ind w:firstLine="720"/>
        <w:jc w:val="both"/>
        <w:rPr>
          <w:rFonts w:ascii="Cambria" w:hAnsi="Cambria" w:cs="Arial"/>
          <w:b/>
          <w:bCs/>
          <w:sz w:val="20"/>
          <w:szCs w:val="20"/>
        </w:rPr>
      </w:pPr>
    </w:p>
    <w:p w:rsidR="005E4373" w:rsidRPr="00B8721C" w:rsidRDefault="00E32778" w:rsidP="005A03C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B8721C">
        <w:rPr>
          <w:rFonts w:ascii="Cambria" w:hAnsi="Cambria"/>
          <w:sz w:val="20"/>
          <w:szCs w:val="20"/>
        </w:rPr>
        <w:t>Conduct a complete, impart</w:t>
      </w:r>
      <w:r w:rsidR="005E4373" w:rsidRPr="00B8721C">
        <w:rPr>
          <w:rFonts w:ascii="Cambria" w:hAnsi="Cambria"/>
          <w:sz w:val="20"/>
          <w:szCs w:val="20"/>
        </w:rPr>
        <w:t xml:space="preserve">ial, </w:t>
      </w:r>
      <w:r w:rsidRPr="00B8721C">
        <w:rPr>
          <w:rFonts w:ascii="Cambria" w:hAnsi="Cambria"/>
          <w:sz w:val="20"/>
          <w:szCs w:val="20"/>
        </w:rPr>
        <w:t xml:space="preserve">and </w:t>
      </w:r>
      <w:r w:rsidR="005E4373" w:rsidRPr="00B8721C">
        <w:rPr>
          <w:rFonts w:ascii="Cambria" w:hAnsi="Cambria"/>
          <w:sz w:val="20"/>
          <w:szCs w:val="20"/>
        </w:rPr>
        <w:t>e</w:t>
      </w:r>
      <w:r w:rsidRPr="00B8721C">
        <w:rPr>
          <w:rFonts w:ascii="Cambria" w:hAnsi="Cambria"/>
          <w:sz w:val="20"/>
          <w:szCs w:val="20"/>
        </w:rPr>
        <w:t>ffective</w:t>
      </w:r>
      <w:r w:rsidR="005E4373" w:rsidRPr="00B8721C">
        <w:rPr>
          <w:rFonts w:ascii="Cambria" w:hAnsi="Cambria"/>
          <w:sz w:val="20"/>
          <w:szCs w:val="20"/>
        </w:rPr>
        <w:t xml:space="preserve"> </w:t>
      </w:r>
      <w:r w:rsidRPr="00B8721C">
        <w:rPr>
          <w:rFonts w:ascii="Cambria" w:hAnsi="Cambria"/>
          <w:sz w:val="20"/>
          <w:szCs w:val="20"/>
        </w:rPr>
        <w:t>investigation, within a reasonable period of time</w:t>
      </w:r>
      <w:r w:rsidR="00D444B2" w:rsidRPr="00B8721C">
        <w:rPr>
          <w:rFonts w:ascii="Cambria" w:hAnsi="Cambria"/>
          <w:sz w:val="20"/>
          <w:szCs w:val="20"/>
        </w:rPr>
        <w:t>,</w:t>
      </w:r>
      <w:r w:rsidRPr="00B8721C">
        <w:rPr>
          <w:rFonts w:ascii="Cambria" w:hAnsi="Cambria"/>
          <w:sz w:val="20"/>
          <w:szCs w:val="20"/>
        </w:rPr>
        <w:t xml:space="preserve"> that establishes all of the circumstances surrounding all of the crimes committed against journalist</w:t>
      </w:r>
      <w:r w:rsidR="00706E50" w:rsidRPr="00B8721C">
        <w:rPr>
          <w:rFonts w:ascii="Cambria" w:hAnsi="Cambria"/>
          <w:sz w:val="20"/>
          <w:szCs w:val="20"/>
        </w:rPr>
        <w:t xml:space="preserve"> Jineth Bedoya Lima</w:t>
      </w:r>
      <w:r w:rsidR="008A564B" w:rsidRPr="00B8721C">
        <w:rPr>
          <w:rFonts w:ascii="Cambria" w:hAnsi="Cambria"/>
          <w:sz w:val="20"/>
          <w:szCs w:val="20"/>
        </w:rPr>
        <w:t xml:space="preserve">, </w:t>
      </w:r>
      <w:r w:rsidR="00D444B2" w:rsidRPr="00B8721C">
        <w:rPr>
          <w:rFonts w:ascii="Cambria" w:hAnsi="Cambria"/>
          <w:sz w:val="20"/>
          <w:szCs w:val="20"/>
        </w:rPr>
        <w:t>including the threats and sexual violence</w:t>
      </w:r>
      <w:r w:rsidR="008A564B" w:rsidRPr="00B8721C">
        <w:rPr>
          <w:rFonts w:ascii="Cambria" w:hAnsi="Cambria"/>
          <w:sz w:val="20"/>
          <w:szCs w:val="20"/>
        </w:rPr>
        <w:t>,</w:t>
      </w:r>
      <w:r w:rsidR="005E4373" w:rsidRPr="00B8721C">
        <w:rPr>
          <w:rFonts w:ascii="Cambria" w:hAnsi="Cambria"/>
          <w:sz w:val="20"/>
          <w:szCs w:val="20"/>
        </w:rPr>
        <w:t xml:space="preserve"> </w:t>
      </w:r>
      <w:r w:rsidR="00D444B2" w:rsidRPr="00B8721C">
        <w:rPr>
          <w:rFonts w:ascii="Cambria" w:hAnsi="Cambria"/>
          <w:sz w:val="20"/>
          <w:szCs w:val="20"/>
        </w:rPr>
        <w:t xml:space="preserve">and determine all of the respective responsibilities (direct perpetrators, masterminds, accomplices, and accessories), including the possible participation of State agents. </w:t>
      </w:r>
    </w:p>
    <w:p w:rsidR="005E4373" w:rsidRPr="00B8721C" w:rsidRDefault="005E4373" w:rsidP="005A03C0">
      <w:pPr>
        <w:pStyle w:val="Default"/>
        <w:ind w:firstLine="720"/>
        <w:jc w:val="both"/>
        <w:rPr>
          <w:rFonts w:ascii="Cambria" w:hAnsi="Cambria"/>
          <w:sz w:val="20"/>
          <w:szCs w:val="20"/>
        </w:rPr>
      </w:pPr>
    </w:p>
    <w:p w:rsidR="005E4373" w:rsidRPr="00B8721C" w:rsidRDefault="00D444B2" w:rsidP="005A03C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B8721C">
        <w:rPr>
          <w:rFonts w:ascii="Cambria" w:hAnsi="Cambria" w:cs="Calibri"/>
          <w:sz w:val="20"/>
          <w:szCs w:val="20"/>
        </w:rPr>
        <w:t xml:space="preserve">Take the necessary measures to guarantee the safety of </w:t>
      </w:r>
      <w:r w:rsidR="00706E50" w:rsidRPr="00B8721C">
        <w:rPr>
          <w:rFonts w:ascii="Cambria" w:hAnsi="Cambria" w:cs="Calibri"/>
          <w:sz w:val="20"/>
          <w:szCs w:val="20"/>
        </w:rPr>
        <w:t xml:space="preserve">Jineth Bedoya </w:t>
      </w:r>
      <w:r w:rsidRPr="00B8721C">
        <w:rPr>
          <w:rFonts w:ascii="Cambria" w:hAnsi="Cambria" w:cs="Calibri"/>
          <w:sz w:val="20"/>
          <w:szCs w:val="20"/>
        </w:rPr>
        <w:t>and her family over the course of these investigations and proceedings.</w:t>
      </w:r>
    </w:p>
    <w:p w:rsidR="005E4373" w:rsidRPr="00B8721C" w:rsidRDefault="005E4373" w:rsidP="005A03C0">
      <w:pPr>
        <w:pStyle w:val="ListParagraph"/>
        <w:rPr>
          <w:sz w:val="20"/>
          <w:szCs w:val="20"/>
        </w:rPr>
      </w:pPr>
    </w:p>
    <w:p w:rsidR="005E4373" w:rsidRPr="00B8721C" w:rsidRDefault="00D444B2" w:rsidP="005A03C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B8721C">
        <w:rPr>
          <w:rFonts w:ascii="Cambria" w:hAnsi="Cambria"/>
          <w:sz w:val="20"/>
          <w:szCs w:val="20"/>
        </w:rPr>
        <w:t>Adopt effective protection measures to guarantee the safety of women journalists who are exposed to special risks on account of the practice of their profession, from a gender perspective.</w:t>
      </w:r>
      <w:r w:rsidR="005E4373" w:rsidRPr="00B8721C">
        <w:rPr>
          <w:rFonts w:ascii="Cambria" w:hAnsi="Cambria" w:cs="Calibri"/>
          <w:sz w:val="20"/>
          <w:szCs w:val="20"/>
        </w:rPr>
        <w:t xml:space="preserve"> </w:t>
      </w:r>
    </w:p>
    <w:p w:rsidR="008A564B" w:rsidRPr="00B8721C" w:rsidRDefault="008A564B" w:rsidP="008A564B">
      <w:pPr>
        <w:pStyle w:val="ListParagraph"/>
        <w:rPr>
          <w:rFonts w:cs="Calibri"/>
          <w:sz w:val="20"/>
          <w:szCs w:val="20"/>
        </w:rPr>
      </w:pPr>
    </w:p>
    <w:p w:rsidR="008A564B" w:rsidRPr="00B8721C" w:rsidRDefault="00D444B2" w:rsidP="005A03C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B8721C">
        <w:rPr>
          <w:rFonts w:ascii="Cambria" w:hAnsi="Cambria"/>
          <w:sz w:val="20"/>
          <w:szCs w:val="20"/>
        </w:rPr>
        <w:t>Implement training programs for public servants, security forces, and justice authorities in order to ensure that they have the necessary knowledge to identify gender-based acts and manifestations of violence against women that affect female journalists</w:t>
      </w:r>
      <w:r w:rsidR="008A564B" w:rsidRPr="00B8721C">
        <w:rPr>
          <w:rFonts w:ascii="Cambria" w:eastAsia="Times New Roman" w:hAnsi="Cambria" w:cs="Courier New"/>
          <w:sz w:val="20"/>
          <w:szCs w:val="20"/>
        </w:rPr>
        <w:t xml:space="preserve">, </w:t>
      </w:r>
      <w:r w:rsidRPr="00B8721C">
        <w:rPr>
          <w:rFonts w:ascii="Cambria" w:eastAsia="Times New Roman" w:hAnsi="Cambria" w:cs="Courier New"/>
          <w:sz w:val="20"/>
          <w:szCs w:val="20"/>
        </w:rPr>
        <w:t xml:space="preserve">protect them in dangerous situations, and investigate and prosecute the perpetrators, </w:t>
      </w:r>
      <w:r w:rsidR="00B8721C" w:rsidRPr="00B8721C">
        <w:rPr>
          <w:rFonts w:ascii="Cambria" w:eastAsia="Times New Roman" w:hAnsi="Cambria" w:cs="Courier New"/>
          <w:sz w:val="20"/>
          <w:szCs w:val="20"/>
        </w:rPr>
        <w:t>including</w:t>
      </w:r>
      <w:r w:rsidRPr="00B8721C">
        <w:rPr>
          <w:rFonts w:ascii="Cambria" w:eastAsia="Times New Roman" w:hAnsi="Cambria" w:cs="Courier New"/>
          <w:sz w:val="20"/>
          <w:szCs w:val="20"/>
        </w:rPr>
        <w:t xml:space="preserve"> through the provision of tools and training on technical and legal aspects of these types of crimes. </w:t>
      </w:r>
    </w:p>
    <w:p w:rsidR="008A564B" w:rsidRPr="00B8721C" w:rsidRDefault="008A564B" w:rsidP="008A564B">
      <w:pPr>
        <w:pStyle w:val="ListParagraph"/>
        <w:rPr>
          <w:rFonts w:cs="Calibri"/>
          <w:sz w:val="20"/>
          <w:szCs w:val="20"/>
        </w:rPr>
      </w:pPr>
    </w:p>
    <w:p w:rsidR="008A564B" w:rsidRPr="00B8721C" w:rsidRDefault="000D5459" w:rsidP="005A03C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B8721C">
        <w:rPr>
          <w:rFonts w:ascii="Cambria" w:hAnsi="Cambria" w:cs="Calibri Light"/>
          <w:sz w:val="20"/>
          <w:szCs w:val="20"/>
        </w:rPr>
        <w:t>Implement measures to raise public awareness</w:t>
      </w:r>
      <w:r w:rsidR="008A564B" w:rsidRPr="00B8721C">
        <w:rPr>
          <w:rFonts w:ascii="Cambria" w:eastAsia="Times New Roman" w:hAnsi="Cambria" w:cs="Courier New"/>
          <w:sz w:val="20"/>
          <w:szCs w:val="20"/>
        </w:rPr>
        <w:t xml:space="preserve"> </w:t>
      </w:r>
      <w:r w:rsidRPr="00B8721C">
        <w:rPr>
          <w:rFonts w:ascii="Cambria" w:eastAsia="Times New Roman" w:hAnsi="Cambria" w:cs="Courier New"/>
          <w:sz w:val="20"/>
          <w:szCs w:val="20"/>
        </w:rPr>
        <w:t>about gender-based acts of violence against women journalists as attacks on freedom of expression, and provide clear information about the legal services and mechanisms available to support the victims of these types of acts.</w:t>
      </w:r>
      <w:r w:rsidR="008A564B" w:rsidRPr="00B8721C">
        <w:rPr>
          <w:rFonts w:ascii="Cambria" w:eastAsia="Times New Roman" w:hAnsi="Cambria" w:cs="Courier New"/>
          <w:sz w:val="20"/>
          <w:szCs w:val="20"/>
        </w:rPr>
        <w:t xml:space="preserve"> </w:t>
      </w:r>
    </w:p>
    <w:p w:rsidR="005E4373" w:rsidRPr="00B8721C" w:rsidRDefault="005E4373" w:rsidP="005A03C0">
      <w:pPr>
        <w:ind w:firstLine="720"/>
        <w:jc w:val="both"/>
        <w:rPr>
          <w:rFonts w:ascii="Cambria" w:hAnsi="Cambria"/>
          <w:sz w:val="20"/>
          <w:szCs w:val="20"/>
        </w:rPr>
      </w:pPr>
    </w:p>
    <w:p w:rsidR="005E4373" w:rsidRPr="00B8721C" w:rsidRDefault="000D5459" w:rsidP="005A03C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B8721C">
        <w:rPr>
          <w:rFonts w:ascii="Cambria" w:hAnsi="Cambria"/>
          <w:sz w:val="20"/>
          <w:szCs w:val="20"/>
        </w:rPr>
        <w:t xml:space="preserve">Provide appropriate </w:t>
      </w:r>
      <w:r w:rsidR="00BB7F21" w:rsidRPr="00B8721C">
        <w:rPr>
          <w:rFonts w:ascii="Cambria" w:hAnsi="Cambria"/>
          <w:sz w:val="20"/>
          <w:szCs w:val="20"/>
        </w:rPr>
        <w:t xml:space="preserve">pecuniary and non-pecuniary </w:t>
      </w:r>
      <w:r w:rsidRPr="00B8721C">
        <w:rPr>
          <w:rFonts w:ascii="Cambria" w:hAnsi="Cambria"/>
          <w:sz w:val="20"/>
          <w:szCs w:val="20"/>
        </w:rPr>
        <w:t xml:space="preserve">reparations </w:t>
      </w:r>
      <w:r w:rsidR="00BB7F21" w:rsidRPr="00B8721C">
        <w:rPr>
          <w:rFonts w:ascii="Cambria" w:hAnsi="Cambria"/>
          <w:sz w:val="20"/>
          <w:szCs w:val="20"/>
        </w:rPr>
        <w:t xml:space="preserve">for the human </w:t>
      </w:r>
      <w:r w:rsidRPr="00B8721C">
        <w:rPr>
          <w:rFonts w:ascii="Cambria" w:hAnsi="Cambria"/>
          <w:sz w:val="20"/>
          <w:szCs w:val="20"/>
        </w:rPr>
        <w:t xml:space="preserve">rights violations </w:t>
      </w:r>
      <w:r w:rsidR="00BB7F21" w:rsidRPr="00B8721C">
        <w:rPr>
          <w:rFonts w:ascii="Cambria" w:hAnsi="Cambria"/>
          <w:sz w:val="20"/>
          <w:szCs w:val="20"/>
        </w:rPr>
        <w:t>that this report finds to have been committed</w:t>
      </w:r>
      <w:r w:rsidRPr="00B8721C">
        <w:rPr>
          <w:rFonts w:ascii="Cambria" w:hAnsi="Cambria"/>
          <w:sz w:val="20"/>
          <w:szCs w:val="20"/>
        </w:rPr>
        <w:t xml:space="preserve"> </w:t>
      </w:r>
      <w:r w:rsidR="0082252F">
        <w:rPr>
          <w:rFonts w:ascii="Cambria" w:hAnsi="Cambria"/>
          <w:sz w:val="20"/>
          <w:szCs w:val="20"/>
        </w:rPr>
        <w:t>against</w:t>
      </w:r>
      <w:r w:rsidR="00EA74A4" w:rsidRPr="00B8721C">
        <w:rPr>
          <w:rFonts w:ascii="Cambria" w:hAnsi="Cambria"/>
          <w:sz w:val="20"/>
          <w:szCs w:val="20"/>
        </w:rPr>
        <w:t xml:space="preserve"> </w:t>
      </w:r>
      <w:r w:rsidRPr="00B8721C">
        <w:rPr>
          <w:rFonts w:ascii="Cambria" w:hAnsi="Cambria"/>
          <w:sz w:val="20"/>
          <w:szCs w:val="20"/>
        </w:rPr>
        <w:t xml:space="preserve">journalist </w:t>
      </w:r>
      <w:r w:rsidR="00EA74A4" w:rsidRPr="00B8721C">
        <w:rPr>
          <w:rFonts w:ascii="Cambria" w:hAnsi="Cambria"/>
          <w:sz w:val="20"/>
          <w:szCs w:val="20"/>
        </w:rPr>
        <w:t>Jineth Bedoya.</w:t>
      </w:r>
    </w:p>
    <w:p w:rsidR="00B86176" w:rsidRPr="00B8721C" w:rsidRDefault="00B86176" w:rsidP="005A03C0">
      <w:pPr>
        <w:suppressAutoHyphens/>
        <w:jc w:val="both"/>
        <w:rPr>
          <w:rFonts w:ascii="Cambria" w:hAnsi="Cambria"/>
          <w:sz w:val="20"/>
          <w:szCs w:val="20"/>
        </w:rPr>
      </w:pPr>
    </w:p>
    <w:sectPr w:rsidR="00B86176" w:rsidRPr="00B8721C" w:rsidSect="007C1BF9">
      <w:headerReference w:type="even" r:id="rId17"/>
      <w:headerReference w:type="default" r:id="rId18"/>
      <w:footerReference w:type="default" r:id="rId19"/>
      <w:footerReference w:type="first" r:id="rId20"/>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B49" w:rsidRDefault="00533B49">
      <w:r>
        <w:separator/>
      </w:r>
    </w:p>
  </w:endnote>
  <w:endnote w:type="continuationSeparator" w:id="0">
    <w:p w:rsidR="00533B49" w:rsidRDefault="0053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Italic">
    <w:charset w:val="00"/>
    <w:family w:val="auto"/>
    <w:pitch w:val="variable"/>
    <w:sig w:usb0="A10006FF" w:usb1="4000205B" w:usb2="00000010" w:usb3="00000000" w:csb0="0000019F" w:csb1="00000000"/>
  </w:font>
  <w:font w:name="Times-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6" w:rsidRPr="006311DA" w:rsidRDefault="00637A0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p w:rsidR="00637A06" w:rsidRDefault="00637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6" w:rsidRDefault="00637A06">
    <w:pPr>
      <w:pStyle w:val="Footer"/>
      <w:jc w:val="center"/>
    </w:pPr>
  </w:p>
  <w:p w:rsidR="00637A06" w:rsidRDefault="00637A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6" w:rsidRPr="00934A2C" w:rsidRDefault="00637A0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D6AFA">
      <w:rPr>
        <w:noProof/>
        <w:sz w:val="16"/>
        <w:szCs w:val="22"/>
      </w:rPr>
      <w:t>22</w:t>
    </w:r>
    <w:r w:rsidRPr="00934A2C">
      <w:rPr>
        <w:noProof/>
        <w:sz w:val="16"/>
        <w:szCs w:val="22"/>
      </w:rPr>
      <w:fldChar w:fldCharType="end"/>
    </w:r>
  </w:p>
  <w:p w:rsidR="00637A06" w:rsidRDefault="00637A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6" w:rsidRPr="00934A2C" w:rsidRDefault="00637A06">
    <w:pPr>
      <w:pStyle w:val="Footer"/>
      <w:jc w:val="center"/>
      <w:rPr>
        <w:sz w:val="16"/>
        <w:szCs w:val="22"/>
      </w:rPr>
    </w:pPr>
  </w:p>
  <w:p w:rsidR="00637A06" w:rsidRDefault="00637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B49" w:rsidRPr="00A61248" w:rsidRDefault="00533B49">
      <w:pPr>
        <w:rPr>
          <w:rFonts w:ascii="Cambria" w:hAnsi="Cambria"/>
          <w:sz w:val="16"/>
          <w:szCs w:val="16"/>
        </w:rPr>
      </w:pPr>
      <w:r w:rsidRPr="00A61248">
        <w:rPr>
          <w:rFonts w:ascii="Cambria" w:hAnsi="Cambria"/>
          <w:sz w:val="16"/>
          <w:szCs w:val="16"/>
        </w:rPr>
        <w:separator/>
      </w:r>
    </w:p>
  </w:footnote>
  <w:footnote w:type="continuationSeparator" w:id="0">
    <w:p w:rsidR="00533B49" w:rsidRPr="00A61248" w:rsidRDefault="00533B49" w:rsidP="009F11F2">
      <w:pPr>
        <w:rPr>
          <w:rFonts w:ascii="Cambria" w:hAnsi="Cambria"/>
          <w:sz w:val="16"/>
          <w:szCs w:val="16"/>
        </w:rPr>
      </w:pPr>
      <w:r w:rsidRPr="00A61248">
        <w:rPr>
          <w:rFonts w:ascii="Cambria" w:hAnsi="Cambria"/>
          <w:sz w:val="16"/>
          <w:szCs w:val="16"/>
        </w:rPr>
        <w:separator/>
      </w:r>
    </w:p>
    <w:p w:rsidR="00533B49" w:rsidRPr="00A61248" w:rsidRDefault="00533B49" w:rsidP="009F11F2">
      <w:pPr>
        <w:pStyle w:val="Footer"/>
        <w:rPr>
          <w:sz w:val="16"/>
          <w:szCs w:val="16"/>
        </w:rPr>
      </w:pPr>
      <w:r w:rsidRPr="00A61248">
        <w:rPr>
          <w:sz w:val="16"/>
          <w:szCs w:val="16"/>
        </w:rPr>
        <w:t xml:space="preserve">[… </w:t>
      </w:r>
      <w:proofErr w:type="spellStart"/>
      <w:r w:rsidRPr="00A61248">
        <w:rPr>
          <w:sz w:val="16"/>
          <w:szCs w:val="16"/>
        </w:rPr>
        <w:t>continuación</w:t>
      </w:r>
      <w:proofErr w:type="spellEnd"/>
      <w:r w:rsidRPr="00A61248">
        <w:rPr>
          <w:sz w:val="16"/>
          <w:szCs w:val="16"/>
        </w:rPr>
        <w:t>]</w:t>
      </w:r>
    </w:p>
  </w:footnote>
  <w:footnote w:type="continuationNotice" w:id="1">
    <w:p w:rsidR="00533B49" w:rsidRPr="00A61248" w:rsidRDefault="00533B49" w:rsidP="009F11F2">
      <w:pPr>
        <w:jc w:val="right"/>
        <w:rPr>
          <w:rFonts w:ascii="Cambria" w:hAnsi="Cambria"/>
          <w:sz w:val="16"/>
          <w:szCs w:val="16"/>
          <w:lang w:val="es-ES"/>
        </w:rPr>
      </w:pPr>
      <w:r w:rsidRPr="00A61248">
        <w:rPr>
          <w:rFonts w:ascii="Cambria" w:hAnsi="Cambria"/>
          <w:sz w:val="16"/>
          <w:szCs w:val="16"/>
          <w:lang w:val="es-ES"/>
        </w:rPr>
        <w:t>[continúa…]</w:t>
      </w:r>
    </w:p>
  </w:footnote>
  <w:footnote w:id="2">
    <w:p w:rsidR="00637A06" w:rsidRPr="009F1142" w:rsidRDefault="00637A06" w:rsidP="009F1142">
      <w:pPr>
        <w:pStyle w:val="FootnoteText"/>
        <w:tabs>
          <w:tab w:val="left" w:pos="72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In compliance with the terms of Article 17.2 of the Commission’s Rules of Procedure, Commissioner Luis Ernesto Vargas Silva, a Colombian national, did not participate in discussing or deciding this case. </w:t>
      </w:r>
    </w:p>
  </w:footnote>
  <w:footnote w:id="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vertAlign w:val="superscript"/>
        </w:rPr>
        <w:t xml:space="preserve"> </w:t>
      </w:r>
      <w:r w:rsidRPr="009F1142">
        <w:rPr>
          <w:rFonts w:ascii="Cambria" w:hAnsi="Cambria"/>
          <w:color w:val="auto"/>
          <w:sz w:val="16"/>
          <w:szCs w:val="16"/>
        </w:rPr>
        <w:t xml:space="preserve">Inter-American Commission on Human Rights (IACHR), Report No. 50/14/10, Petition 779-01, Admissibility,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Colombia, July 21, 2014. In this report, the IACHR declared that the Petition meets the applicable admissibility requirements concerning the possible violation of: </w:t>
      </w:r>
      <w:proofErr w:type="spellStart"/>
      <w:r w:rsidRPr="009F1142">
        <w:rPr>
          <w:rFonts w:ascii="Cambria" w:hAnsi="Cambria"/>
          <w:color w:val="auto"/>
          <w:sz w:val="16"/>
          <w:szCs w:val="16"/>
        </w:rPr>
        <w:t>i</w:t>
      </w:r>
      <w:proofErr w:type="spellEnd"/>
      <w:r w:rsidRPr="009F1142">
        <w:rPr>
          <w:rFonts w:ascii="Cambria" w:hAnsi="Cambria"/>
          <w:color w:val="auto"/>
          <w:sz w:val="16"/>
          <w:szCs w:val="16"/>
        </w:rPr>
        <w:t xml:space="preserve">) Articles 4, 5, 7, 8, 11, 13, 17, 22, 24 and 25 of the American Convention on Human Rights, in connection with articles 1.1 and 2 thereof; ii) articles 1, 6 and 8 of the Inter-American Convention to Prevent and Punish Torture; and iii) article 7 of the Convention of </w:t>
      </w:r>
      <w:proofErr w:type="spellStart"/>
      <w:r w:rsidRPr="009F1142">
        <w:rPr>
          <w:rFonts w:ascii="Cambria" w:hAnsi="Cambria"/>
          <w:color w:val="auto"/>
          <w:sz w:val="16"/>
          <w:szCs w:val="16"/>
        </w:rPr>
        <w:t>Belém</w:t>
      </w:r>
      <w:proofErr w:type="spellEnd"/>
      <w:r w:rsidRPr="009F1142">
        <w:rPr>
          <w:rFonts w:ascii="Cambria" w:hAnsi="Cambria"/>
          <w:color w:val="auto"/>
          <w:sz w:val="16"/>
          <w:szCs w:val="16"/>
        </w:rPr>
        <w:t xml:space="preserve"> do </w:t>
      </w:r>
      <w:proofErr w:type="spellStart"/>
      <w:r w:rsidRPr="009F1142">
        <w:rPr>
          <w:rFonts w:ascii="Cambria" w:hAnsi="Cambria"/>
          <w:color w:val="auto"/>
          <w:sz w:val="16"/>
          <w:szCs w:val="16"/>
        </w:rPr>
        <w:t>Pará</w:t>
      </w:r>
      <w:proofErr w:type="spellEnd"/>
      <w:r w:rsidRPr="009F1142">
        <w:rPr>
          <w:rFonts w:ascii="Cambria" w:hAnsi="Cambria"/>
          <w:color w:val="auto"/>
          <w:sz w:val="16"/>
          <w:szCs w:val="16"/>
        </w:rPr>
        <w:t>.</w:t>
      </w:r>
    </w:p>
  </w:footnote>
  <w:footnote w:id="4">
    <w:p w:rsidR="00637A06" w:rsidRPr="009F1142" w:rsidRDefault="00637A06" w:rsidP="009F1142">
      <w:pPr>
        <w:pStyle w:val="FootnoteText"/>
        <w:tabs>
          <w:tab w:val="left" w:pos="720"/>
        </w:tabs>
        <w:jc w:val="both"/>
        <w:rPr>
          <w:rFonts w:ascii="Cambria" w:hAnsi="Cambria"/>
          <w:sz w:val="16"/>
          <w:szCs w:val="16"/>
        </w:rPr>
      </w:pPr>
      <w:r w:rsidRPr="009F1142">
        <w:rPr>
          <w:rStyle w:val="FootnoteReference"/>
          <w:rFonts w:ascii="Cambria" w:hAnsi="Cambria"/>
          <w:sz w:val="16"/>
          <w:szCs w:val="16"/>
          <w:lang w:val="es-CO"/>
        </w:rPr>
        <w:footnoteRef/>
      </w:r>
      <w:r w:rsidRPr="009F1142">
        <w:rPr>
          <w:rFonts w:ascii="Cambria" w:hAnsi="Cambria"/>
          <w:sz w:val="16"/>
          <w:szCs w:val="16"/>
        </w:rPr>
        <w:t xml:space="preserve"> </w:t>
      </w:r>
      <w:r w:rsidRPr="009F1142">
        <w:rPr>
          <w:rFonts w:ascii="Cambria" w:hAnsi="Cambria"/>
          <w:color w:val="auto"/>
          <w:sz w:val="16"/>
          <w:szCs w:val="16"/>
        </w:rPr>
        <w:t>Rules of Procedure of the IACHR, article 43.1. “</w:t>
      </w:r>
      <w:r w:rsidRPr="009F1142">
        <w:rPr>
          <w:rFonts w:ascii="Cambria" w:hAnsi="Cambria" w:cs="Tahoma"/>
          <w:color w:val="auto"/>
          <w:sz w:val="16"/>
          <w:szCs w:val="16"/>
          <w:shd w:val="clear" w:color="auto" w:fill="FFFFFF"/>
        </w:rPr>
        <w:t>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w:t>
      </w:r>
      <w:r w:rsidRPr="009F1142">
        <w:rPr>
          <w:rFonts w:ascii="Cambria" w:hAnsi="Cambria"/>
          <w:color w:val="auto"/>
          <w:spacing w:val="-3"/>
          <w:sz w:val="16"/>
          <w:szCs w:val="16"/>
        </w:rPr>
        <w:t>”.</w:t>
      </w:r>
    </w:p>
  </w:footnote>
  <w:footnote w:id="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Communication of the petitioner received by the IACHR on May 11, 2011, p. 9; and communication of the petitioner received on May 29, 2015, pp. 16-18. See also the communication of the State received by the IACHR on April 5, 2016, p. 2</w:t>
      </w:r>
      <w:r w:rsidRPr="009F1142">
        <w:rPr>
          <w:rFonts w:ascii="Cambria" w:hAnsi="Cambria"/>
          <w:sz w:val="16"/>
          <w:szCs w:val="16"/>
        </w:rPr>
        <w:t xml:space="preserve">. </w:t>
      </w:r>
    </w:p>
  </w:footnote>
  <w:footnote w:id="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According to the information provided by the petitioner, which was not challenged by the State,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is the author of the following books: “Los Patios del </w:t>
      </w:r>
      <w:proofErr w:type="spellStart"/>
      <w:r w:rsidRPr="009F1142">
        <w:rPr>
          <w:rFonts w:ascii="Cambria" w:hAnsi="Cambria"/>
          <w:color w:val="auto"/>
          <w:sz w:val="16"/>
          <w:szCs w:val="16"/>
        </w:rPr>
        <w:t>Infierno</w:t>
      </w:r>
      <w:proofErr w:type="spellEnd"/>
      <w:r w:rsidRPr="009F1142">
        <w:rPr>
          <w:rFonts w:ascii="Cambria" w:hAnsi="Cambria"/>
          <w:color w:val="auto"/>
          <w:sz w:val="16"/>
          <w:szCs w:val="16"/>
        </w:rPr>
        <w:t>” (2002); “</w:t>
      </w:r>
      <w:proofErr w:type="spellStart"/>
      <w:r w:rsidRPr="009F1142">
        <w:rPr>
          <w:rFonts w:ascii="Cambria" w:hAnsi="Cambria"/>
          <w:color w:val="auto"/>
          <w:sz w:val="16"/>
          <w:szCs w:val="16"/>
        </w:rPr>
        <w:t>Diario</w:t>
      </w:r>
      <w:proofErr w:type="spellEnd"/>
      <w:r w:rsidRPr="009F1142">
        <w:rPr>
          <w:rFonts w:ascii="Cambria" w:hAnsi="Cambria"/>
          <w:color w:val="auto"/>
          <w:sz w:val="16"/>
          <w:szCs w:val="16"/>
        </w:rPr>
        <w:t xml:space="preserve"> de un </w:t>
      </w:r>
      <w:proofErr w:type="spellStart"/>
      <w:r w:rsidRPr="009F1142">
        <w:rPr>
          <w:rFonts w:ascii="Cambria" w:hAnsi="Cambria"/>
          <w:color w:val="auto"/>
          <w:sz w:val="16"/>
          <w:szCs w:val="16"/>
        </w:rPr>
        <w:t>Combate</w:t>
      </w:r>
      <w:proofErr w:type="spellEnd"/>
      <w:r w:rsidRPr="009F1142">
        <w:rPr>
          <w:rFonts w:ascii="Cambria" w:hAnsi="Cambria"/>
          <w:color w:val="auto"/>
          <w:sz w:val="16"/>
          <w:szCs w:val="16"/>
        </w:rPr>
        <w:t>” (2005); “</w:t>
      </w:r>
      <w:proofErr w:type="spellStart"/>
      <w:r w:rsidRPr="009F1142">
        <w:rPr>
          <w:rFonts w:ascii="Cambria" w:hAnsi="Cambria"/>
          <w:color w:val="auto"/>
          <w:sz w:val="16"/>
          <w:szCs w:val="16"/>
        </w:rPr>
        <w:t>En</w:t>
      </w:r>
      <w:proofErr w:type="spellEnd"/>
      <w:r w:rsidRPr="009F1142">
        <w:rPr>
          <w:rFonts w:ascii="Cambria" w:hAnsi="Cambria"/>
          <w:color w:val="auto"/>
          <w:sz w:val="16"/>
          <w:szCs w:val="16"/>
        </w:rPr>
        <w:t xml:space="preserve"> las </w:t>
      </w:r>
      <w:proofErr w:type="spellStart"/>
      <w:r w:rsidRPr="009F1142">
        <w:rPr>
          <w:rFonts w:ascii="Cambria" w:hAnsi="Cambria"/>
          <w:color w:val="auto"/>
          <w:sz w:val="16"/>
          <w:szCs w:val="16"/>
        </w:rPr>
        <w:t>Trincheras</w:t>
      </w:r>
      <w:proofErr w:type="spellEnd"/>
      <w:r w:rsidRPr="009F1142">
        <w:rPr>
          <w:rFonts w:ascii="Cambria" w:hAnsi="Cambria"/>
          <w:color w:val="auto"/>
          <w:sz w:val="16"/>
          <w:szCs w:val="16"/>
        </w:rPr>
        <w:t xml:space="preserve"> del Plan </w:t>
      </w:r>
      <w:proofErr w:type="spellStart"/>
      <w:r w:rsidRPr="009F1142">
        <w:rPr>
          <w:rFonts w:ascii="Cambria" w:hAnsi="Cambria"/>
          <w:color w:val="auto"/>
          <w:sz w:val="16"/>
          <w:szCs w:val="16"/>
        </w:rPr>
        <w:t>Patriota</w:t>
      </w:r>
      <w:proofErr w:type="spellEnd"/>
      <w:r w:rsidRPr="009F1142">
        <w:rPr>
          <w:rFonts w:ascii="Cambria" w:hAnsi="Cambria"/>
          <w:color w:val="auto"/>
          <w:sz w:val="16"/>
          <w:szCs w:val="16"/>
        </w:rPr>
        <w:t xml:space="preserve">” (2008); “La </w:t>
      </w:r>
      <w:proofErr w:type="spellStart"/>
      <w:r w:rsidRPr="009F1142">
        <w:rPr>
          <w:rFonts w:ascii="Cambria" w:hAnsi="Cambria"/>
          <w:color w:val="auto"/>
          <w:sz w:val="16"/>
          <w:szCs w:val="16"/>
        </w:rPr>
        <w:t>Pirámide</w:t>
      </w:r>
      <w:proofErr w:type="spellEnd"/>
      <w:r w:rsidRPr="009F1142">
        <w:rPr>
          <w:rFonts w:ascii="Cambria" w:hAnsi="Cambria"/>
          <w:color w:val="auto"/>
          <w:sz w:val="16"/>
          <w:szCs w:val="16"/>
        </w:rPr>
        <w:t xml:space="preserve"> de David Murcia” (2009); “</w:t>
      </w:r>
      <w:proofErr w:type="spellStart"/>
      <w:r w:rsidRPr="009F1142">
        <w:rPr>
          <w:rFonts w:ascii="Cambria" w:hAnsi="Cambria"/>
          <w:color w:val="auto"/>
          <w:sz w:val="16"/>
          <w:szCs w:val="16"/>
        </w:rPr>
        <w:t>Te</w:t>
      </w:r>
      <w:proofErr w:type="spellEnd"/>
      <w:r w:rsidRPr="009F1142">
        <w:rPr>
          <w:rFonts w:ascii="Cambria" w:hAnsi="Cambria"/>
          <w:color w:val="auto"/>
          <w:sz w:val="16"/>
          <w:szCs w:val="16"/>
        </w:rPr>
        <w:t xml:space="preserve"> </w:t>
      </w:r>
      <w:proofErr w:type="spellStart"/>
      <w:r w:rsidRPr="009F1142">
        <w:rPr>
          <w:rFonts w:ascii="Cambria" w:hAnsi="Cambria"/>
          <w:color w:val="auto"/>
          <w:sz w:val="16"/>
          <w:szCs w:val="16"/>
        </w:rPr>
        <w:t>hablo</w:t>
      </w:r>
      <w:proofErr w:type="spellEnd"/>
      <w:r w:rsidRPr="009F1142">
        <w:rPr>
          <w:rFonts w:ascii="Cambria" w:hAnsi="Cambria"/>
          <w:color w:val="auto"/>
          <w:sz w:val="16"/>
          <w:szCs w:val="16"/>
        </w:rPr>
        <w:t xml:space="preserve"> </w:t>
      </w:r>
      <w:proofErr w:type="spellStart"/>
      <w:r w:rsidRPr="009F1142">
        <w:rPr>
          <w:rFonts w:ascii="Cambria" w:hAnsi="Cambria"/>
          <w:color w:val="auto"/>
          <w:sz w:val="16"/>
          <w:szCs w:val="16"/>
        </w:rPr>
        <w:t>desde</w:t>
      </w:r>
      <w:proofErr w:type="spellEnd"/>
      <w:r w:rsidRPr="009F1142">
        <w:rPr>
          <w:rFonts w:ascii="Cambria" w:hAnsi="Cambria"/>
          <w:color w:val="auto"/>
          <w:sz w:val="16"/>
          <w:szCs w:val="16"/>
        </w:rPr>
        <w:t xml:space="preserve"> la </w:t>
      </w:r>
      <w:proofErr w:type="spellStart"/>
      <w:r w:rsidRPr="009F1142">
        <w:rPr>
          <w:rFonts w:ascii="Cambria" w:hAnsi="Cambria"/>
          <w:color w:val="auto"/>
          <w:sz w:val="16"/>
          <w:szCs w:val="16"/>
        </w:rPr>
        <w:t>prisión</w:t>
      </w:r>
      <w:proofErr w:type="spellEnd"/>
      <w:r w:rsidRPr="009F1142">
        <w:rPr>
          <w:rFonts w:ascii="Cambria" w:hAnsi="Cambria"/>
          <w:color w:val="auto"/>
          <w:sz w:val="16"/>
          <w:szCs w:val="16"/>
        </w:rPr>
        <w:t xml:space="preserve">” (2010); “Vida y </w:t>
      </w:r>
      <w:proofErr w:type="spellStart"/>
      <w:r w:rsidRPr="009F1142">
        <w:rPr>
          <w:rFonts w:ascii="Cambria" w:hAnsi="Cambria"/>
          <w:color w:val="auto"/>
          <w:sz w:val="16"/>
          <w:szCs w:val="16"/>
        </w:rPr>
        <w:t>muerte</w:t>
      </w:r>
      <w:proofErr w:type="spellEnd"/>
      <w:r w:rsidRPr="009F1142">
        <w:rPr>
          <w:rFonts w:ascii="Cambria" w:hAnsi="Cambria"/>
          <w:color w:val="auto"/>
          <w:sz w:val="16"/>
          <w:szCs w:val="16"/>
        </w:rPr>
        <w:t xml:space="preserve"> del ‘Mono </w:t>
      </w:r>
      <w:proofErr w:type="spellStart"/>
      <w:r w:rsidRPr="009F1142">
        <w:rPr>
          <w:rFonts w:ascii="Cambria" w:hAnsi="Cambria"/>
          <w:color w:val="auto"/>
          <w:sz w:val="16"/>
          <w:szCs w:val="16"/>
        </w:rPr>
        <w:t>Jojoy</w:t>
      </w:r>
      <w:proofErr w:type="spellEnd"/>
      <w:r w:rsidRPr="009F1142">
        <w:rPr>
          <w:rFonts w:ascii="Cambria" w:hAnsi="Cambria"/>
          <w:color w:val="auto"/>
          <w:sz w:val="16"/>
          <w:szCs w:val="16"/>
        </w:rPr>
        <w:t xml:space="preserve">’” (2010); “Blanco </w:t>
      </w:r>
      <w:proofErr w:type="spellStart"/>
      <w:r w:rsidRPr="009F1142">
        <w:rPr>
          <w:rFonts w:ascii="Cambria" w:hAnsi="Cambria"/>
          <w:color w:val="auto"/>
          <w:sz w:val="16"/>
          <w:szCs w:val="16"/>
        </w:rPr>
        <w:t>neutralizado</w:t>
      </w:r>
      <w:proofErr w:type="spellEnd"/>
      <w:r w:rsidRPr="009F1142">
        <w:rPr>
          <w:rFonts w:ascii="Cambria" w:hAnsi="Cambria"/>
          <w:color w:val="auto"/>
          <w:sz w:val="16"/>
          <w:szCs w:val="16"/>
        </w:rPr>
        <w:t xml:space="preserve"> (2013); “Las </w:t>
      </w:r>
      <w:proofErr w:type="spellStart"/>
      <w:r w:rsidRPr="009F1142">
        <w:rPr>
          <w:rFonts w:ascii="Cambria" w:hAnsi="Cambria"/>
          <w:color w:val="auto"/>
          <w:sz w:val="16"/>
          <w:szCs w:val="16"/>
        </w:rPr>
        <w:t>batallas</w:t>
      </w:r>
      <w:proofErr w:type="spellEnd"/>
      <w:r w:rsidRPr="009F1142">
        <w:rPr>
          <w:rFonts w:ascii="Cambria" w:hAnsi="Cambria"/>
          <w:color w:val="auto"/>
          <w:sz w:val="16"/>
          <w:szCs w:val="16"/>
        </w:rPr>
        <w:t xml:space="preserve"> de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(2014).</w:t>
      </w:r>
    </w:p>
  </w:footnote>
  <w:footnote w:id="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According to the information provided by the petitioner, which was not challenged by the State,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has received the following prizes and awards, among others: Courage in Journalism Award (New York, 2001); CJFE’s International Press Freedom Award (Toronto, Canada, 2000) for her journalistic coverage at Colombian prisons; International Women of Courage Awards (Washington, DC, 2012); The </w:t>
      </w:r>
      <w:proofErr w:type="spellStart"/>
      <w:r w:rsidRPr="009F1142">
        <w:rPr>
          <w:rFonts w:ascii="Cambria" w:hAnsi="Cambria"/>
          <w:color w:val="auto"/>
          <w:sz w:val="16"/>
          <w:szCs w:val="16"/>
        </w:rPr>
        <w:t>Simón</w:t>
      </w:r>
      <w:proofErr w:type="spellEnd"/>
      <w:r w:rsidRPr="009F1142">
        <w:rPr>
          <w:rFonts w:ascii="Cambria" w:hAnsi="Cambria"/>
          <w:color w:val="auto"/>
          <w:sz w:val="16"/>
          <w:szCs w:val="16"/>
        </w:rPr>
        <w:t xml:space="preserve"> Bolivar National Award for Journalism (Colombia, 2001 and 2012); Honorific Award at the International </w:t>
      </w:r>
      <w:proofErr w:type="spellStart"/>
      <w:r w:rsidRPr="009F1142">
        <w:rPr>
          <w:rFonts w:ascii="Cambria" w:hAnsi="Cambria"/>
          <w:color w:val="auto"/>
          <w:sz w:val="16"/>
          <w:szCs w:val="16"/>
        </w:rPr>
        <w:t>Pirineos</w:t>
      </w:r>
      <w:proofErr w:type="spellEnd"/>
      <w:r w:rsidRPr="009F1142">
        <w:rPr>
          <w:rFonts w:ascii="Cambria" w:hAnsi="Cambria"/>
          <w:color w:val="auto"/>
          <w:sz w:val="16"/>
          <w:szCs w:val="16"/>
        </w:rPr>
        <w:t xml:space="preserve"> Sur Festival (Aragón, Spain, 2014); Alfonso López </w:t>
      </w:r>
      <w:proofErr w:type="spellStart"/>
      <w:r w:rsidRPr="009F1142">
        <w:rPr>
          <w:rFonts w:ascii="Cambria" w:hAnsi="Cambria"/>
          <w:color w:val="auto"/>
          <w:sz w:val="16"/>
          <w:szCs w:val="16"/>
        </w:rPr>
        <w:t>Michelsen</w:t>
      </w:r>
      <w:proofErr w:type="spellEnd"/>
      <w:r w:rsidRPr="009F1142">
        <w:rPr>
          <w:rFonts w:ascii="Cambria" w:hAnsi="Cambria"/>
          <w:color w:val="auto"/>
          <w:sz w:val="16"/>
          <w:szCs w:val="16"/>
        </w:rPr>
        <w:t xml:space="preserve"> National Communication and Journalism Award (Colombia, 2014); The Anna </w:t>
      </w:r>
      <w:proofErr w:type="spellStart"/>
      <w:r w:rsidRPr="009F1142">
        <w:rPr>
          <w:rFonts w:ascii="Cambria" w:hAnsi="Cambria"/>
          <w:color w:val="auto"/>
          <w:sz w:val="16"/>
          <w:szCs w:val="16"/>
        </w:rPr>
        <w:t>Politkovskaya</w:t>
      </w:r>
      <w:proofErr w:type="spellEnd"/>
      <w:r w:rsidRPr="009F1142">
        <w:rPr>
          <w:rFonts w:ascii="Cambria" w:hAnsi="Cambria"/>
          <w:color w:val="auto"/>
          <w:sz w:val="16"/>
          <w:szCs w:val="16"/>
        </w:rPr>
        <w:t xml:space="preserve"> Award (2017).</w:t>
      </w:r>
    </w:p>
  </w:footnote>
  <w:footnote w:id="8">
    <w:p w:rsidR="00637A06" w:rsidRPr="009F1142" w:rsidRDefault="00637A06" w:rsidP="009F1142">
      <w:pPr>
        <w:pStyle w:val="FootnoteText"/>
        <w:jc w:val="both"/>
        <w:rPr>
          <w:rFonts w:ascii="Cambria" w:hAnsi="Cambria"/>
          <w:sz w:val="16"/>
          <w:szCs w:val="16"/>
          <w:lang w:val="es-ES"/>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Campaign “No </w:t>
      </w:r>
      <w:proofErr w:type="spellStart"/>
      <w:r w:rsidRPr="009F1142">
        <w:rPr>
          <w:rFonts w:ascii="Cambria" w:hAnsi="Cambria"/>
          <w:color w:val="auto"/>
          <w:sz w:val="16"/>
          <w:szCs w:val="16"/>
        </w:rPr>
        <w:t>es</w:t>
      </w:r>
      <w:proofErr w:type="spellEnd"/>
      <w:r w:rsidRPr="009F1142">
        <w:rPr>
          <w:rFonts w:ascii="Cambria" w:hAnsi="Cambria"/>
          <w:color w:val="auto"/>
          <w:sz w:val="16"/>
          <w:szCs w:val="16"/>
        </w:rPr>
        <w:t xml:space="preserve"> hora de </w:t>
      </w:r>
      <w:proofErr w:type="spellStart"/>
      <w:r w:rsidRPr="009F1142">
        <w:rPr>
          <w:rFonts w:ascii="Cambria" w:hAnsi="Cambria"/>
          <w:color w:val="auto"/>
          <w:sz w:val="16"/>
          <w:szCs w:val="16"/>
        </w:rPr>
        <w:t>Callar</w:t>
      </w:r>
      <w:proofErr w:type="spellEnd"/>
      <w:r w:rsidRPr="009F1142">
        <w:rPr>
          <w:rFonts w:ascii="Cambria" w:hAnsi="Cambria"/>
          <w:color w:val="auto"/>
          <w:sz w:val="16"/>
          <w:szCs w:val="16"/>
        </w:rPr>
        <w:t xml:space="preserve">” by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The following videos of the campaign are available online: You Tube. </w:t>
      </w:r>
      <w:r w:rsidRPr="009F1142">
        <w:rPr>
          <w:rFonts w:ascii="Cambria" w:hAnsi="Cambria"/>
          <w:color w:val="auto"/>
          <w:sz w:val="16"/>
          <w:szCs w:val="16"/>
          <w:lang w:val="es-US"/>
        </w:rPr>
        <w:t xml:space="preserve">El Tiempo. ¿Qué es No es hora de callar?; </w:t>
      </w:r>
      <w:hyperlink r:id="rId1" w:history="1">
        <w:r w:rsidRPr="009F1142">
          <w:rPr>
            <w:rStyle w:val="Hyperlink"/>
            <w:rFonts w:ascii="Cambria" w:hAnsi="Cambria"/>
            <w:color w:val="auto"/>
            <w:sz w:val="16"/>
            <w:szCs w:val="16"/>
            <w:lang w:val="es-US"/>
          </w:rPr>
          <w:t>https://www.youtube.com/watch?v=JuBDxVKtexs</w:t>
        </w:r>
      </w:hyperlink>
      <w:r w:rsidRPr="009F1142">
        <w:rPr>
          <w:rFonts w:ascii="Cambria" w:hAnsi="Cambria"/>
          <w:color w:val="auto"/>
          <w:sz w:val="16"/>
          <w:szCs w:val="16"/>
          <w:lang w:val="es-US"/>
        </w:rPr>
        <w:t xml:space="preserve">; </w:t>
      </w:r>
      <w:hyperlink r:id="rId2" w:history="1">
        <w:r w:rsidRPr="009F1142">
          <w:rPr>
            <w:rStyle w:val="Hyperlink"/>
            <w:rFonts w:ascii="Cambria" w:hAnsi="Cambria"/>
            <w:color w:val="auto"/>
            <w:sz w:val="16"/>
            <w:szCs w:val="16"/>
            <w:lang w:val="es-US"/>
          </w:rPr>
          <w:t>https://www.youtube.com/watch?v=3G818CATeYY</w:t>
        </w:r>
      </w:hyperlink>
      <w:r w:rsidRPr="009F1142">
        <w:rPr>
          <w:rFonts w:ascii="Cambria" w:hAnsi="Cambria"/>
          <w:color w:val="auto"/>
          <w:sz w:val="16"/>
          <w:szCs w:val="16"/>
          <w:lang w:val="es-US"/>
        </w:rPr>
        <w:t xml:space="preserve">; </w:t>
      </w:r>
      <w:hyperlink r:id="rId3" w:history="1">
        <w:r w:rsidRPr="009F1142">
          <w:rPr>
            <w:rStyle w:val="Hyperlink"/>
            <w:rFonts w:ascii="Cambria" w:hAnsi="Cambria"/>
            <w:color w:val="auto"/>
            <w:sz w:val="16"/>
            <w:szCs w:val="16"/>
            <w:lang w:val="es-US"/>
          </w:rPr>
          <w:t>https://www.youtube.com/watch?v=LxhpEcMfXYw</w:t>
        </w:r>
      </w:hyperlink>
      <w:r w:rsidRPr="009F1142">
        <w:rPr>
          <w:rFonts w:ascii="Cambria" w:hAnsi="Cambria"/>
          <w:color w:val="auto"/>
          <w:sz w:val="16"/>
          <w:szCs w:val="16"/>
          <w:lang w:val="es-US"/>
        </w:rPr>
        <w:t xml:space="preserve">; </w:t>
      </w:r>
      <w:hyperlink r:id="rId4" w:history="1">
        <w:r w:rsidRPr="009F1142">
          <w:rPr>
            <w:rStyle w:val="Hyperlink"/>
            <w:rFonts w:ascii="Cambria" w:hAnsi="Cambria"/>
            <w:color w:val="auto"/>
            <w:sz w:val="16"/>
            <w:szCs w:val="16"/>
            <w:lang w:val="es-US"/>
          </w:rPr>
          <w:t>https://www.youtube.com/watch?v=w89kNT488-0</w:t>
        </w:r>
      </w:hyperlink>
    </w:p>
  </w:footnote>
  <w:footnote w:id="9">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1. Employment contract between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and the newspaper </w:t>
      </w:r>
      <w:r w:rsidRPr="009F1142">
        <w:rPr>
          <w:rFonts w:ascii="Cambria" w:hAnsi="Cambria"/>
          <w:i/>
          <w:color w:val="auto"/>
          <w:sz w:val="16"/>
          <w:szCs w:val="16"/>
        </w:rPr>
        <w:t xml:space="preserve">El </w:t>
      </w:r>
      <w:proofErr w:type="spellStart"/>
      <w:r w:rsidRPr="009F1142">
        <w:rPr>
          <w:rFonts w:ascii="Cambria" w:hAnsi="Cambria"/>
          <w:i/>
          <w:color w:val="auto"/>
          <w:sz w:val="16"/>
          <w:szCs w:val="16"/>
        </w:rPr>
        <w:t>Espectador</w:t>
      </w:r>
      <w:proofErr w:type="spellEnd"/>
      <w:r w:rsidRPr="009F1142">
        <w:rPr>
          <w:rFonts w:ascii="Cambria" w:hAnsi="Cambria"/>
          <w:color w:val="auto"/>
          <w:sz w:val="16"/>
          <w:szCs w:val="16"/>
        </w:rPr>
        <w:t>. February 15, 2015. Office of the National Prosecutor General [</w:t>
      </w:r>
      <w:proofErr w:type="spellStart"/>
      <w:r w:rsidRPr="009F1142">
        <w:rPr>
          <w:rFonts w:ascii="Cambria" w:hAnsi="Cambria"/>
          <w:i/>
          <w:color w:val="auto"/>
          <w:sz w:val="16"/>
          <w:szCs w:val="16"/>
        </w:rPr>
        <w:t>Fiscalía</w:t>
      </w:r>
      <w:proofErr w:type="spellEnd"/>
      <w:r w:rsidRPr="009F1142">
        <w:rPr>
          <w:rFonts w:ascii="Cambria" w:hAnsi="Cambria"/>
          <w:i/>
          <w:color w:val="auto"/>
          <w:sz w:val="16"/>
          <w:szCs w:val="16"/>
        </w:rPr>
        <w:t xml:space="preserve"> General de la </w:t>
      </w:r>
      <w:proofErr w:type="spellStart"/>
      <w:r w:rsidRPr="009F1142">
        <w:rPr>
          <w:rFonts w:ascii="Cambria" w:hAnsi="Cambria"/>
          <w:i/>
          <w:color w:val="auto"/>
          <w:sz w:val="16"/>
          <w:szCs w:val="16"/>
        </w:rPr>
        <w:t>Nación</w:t>
      </w:r>
      <w:proofErr w:type="spellEnd"/>
      <w:r w:rsidRPr="009F1142">
        <w:rPr>
          <w:rFonts w:ascii="Cambria" w:hAnsi="Cambria"/>
          <w:color w:val="auto"/>
          <w:sz w:val="16"/>
          <w:szCs w:val="16"/>
        </w:rPr>
        <w:t xml:space="preserve">]. Case 807. C3 pp. 21-22. Annexed to the communication of the petitioner received on May 29, 2015; Annex 2. Office of the National Prosecutor General. UNDH. Sworn statement of Jorge Enrique Cardona </w:t>
      </w:r>
      <w:proofErr w:type="spellStart"/>
      <w:r w:rsidRPr="009F1142">
        <w:rPr>
          <w:rFonts w:ascii="Cambria" w:hAnsi="Cambria"/>
          <w:color w:val="auto"/>
          <w:sz w:val="16"/>
          <w:szCs w:val="16"/>
        </w:rPr>
        <w:t>Álzate</w:t>
      </w:r>
      <w:proofErr w:type="spellEnd"/>
      <w:r w:rsidRPr="009F1142">
        <w:rPr>
          <w:rFonts w:ascii="Cambria" w:hAnsi="Cambria"/>
          <w:color w:val="auto"/>
          <w:sz w:val="16"/>
          <w:szCs w:val="16"/>
        </w:rPr>
        <w:t>. November 1, 2011. Case 807, C8, pp. 95-107. Annexed to the communication of the petitioner received on May 29, 2015.</w:t>
      </w:r>
    </w:p>
  </w:footnote>
  <w:footnote w:id="10">
    <w:p w:rsidR="00637A06" w:rsidRPr="009F1142" w:rsidRDefault="00637A06" w:rsidP="009F1142">
      <w:pPr>
        <w:pStyle w:val="FootnoteText"/>
        <w:tabs>
          <w:tab w:val="left" w:pos="0"/>
        </w:tabs>
        <w:jc w:val="both"/>
        <w:rPr>
          <w:rFonts w:ascii="Cambria" w:hAnsi="Cambria"/>
          <w:sz w:val="16"/>
          <w:szCs w:val="16"/>
          <w:lang w:val="es-ES"/>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3. Office of the 49</w:t>
      </w:r>
      <w:r w:rsidRPr="009F1142">
        <w:rPr>
          <w:rFonts w:ascii="Cambria" w:hAnsi="Cambria"/>
          <w:color w:val="auto"/>
          <w:sz w:val="16"/>
          <w:szCs w:val="16"/>
          <w:vertAlign w:val="superscript"/>
        </w:rPr>
        <w:t>th</w:t>
      </w:r>
      <w:r w:rsidRPr="009F1142">
        <w:rPr>
          <w:rFonts w:ascii="Cambria" w:hAnsi="Cambria"/>
          <w:color w:val="auto"/>
          <w:sz w:val="16"/>
          <w:szCs w:val="16"/>
        </w:rPr>
        <w:t xml:space="preserve"> Special Prosecutor of the National Prosecutor’s Office for Human Rights and International Humanitarian Law [</w:t>
      </w:r>
      <w:proofErr w:type="spellStart"/>
      <w:r w:rsidRPr="009F1142">
        <w:rPr>
          <w:rFonts w:ascii="Cambria" w:hAnsi="Cambria"/>
          <w:i/>
          <w:color w:val="auto"/>
          <w:sz w:val="16"/>
          <w:szCs w:val="16"/>
        </w:rPr>
        <w:t>Dirección</w:t>
      </w:r>
      <w:proofErr w:type="spellEnd"/>
      <w:r w:rsidRPr="009F1142">
        <w:rPr>
          <w:rFonts w:ascii="Cambria" w:hAnsi="Cambria"/>
          <w:i/>
          <w:color w:val="auto"/>
          <w:sz w:val="16"/>
          <w:szCs w:val="16"/>
        </w:rPr>
        <w:t xml:space="preserve"> de </w:t>
      </w:r>
      <w:proofErr w:type="spellStart"/>
      <w:r w:rsidRPr="009F1142">
        <w:rPr>
          <w:rFonts w:ascii="Cambria" w:hAnsi="Cambria"/>
          <w:i/>
          <w:color w:val="auto"/>
          <w:sz w:val="16"/>
          <w:szCs w:val="16"/>
        </w:rPr>
        <w:t>Fiscalía</w:t>
      </w:r>
      <w:proofErr w:type="spellEnd"/>
      <w:r w:rsidRPr="009F1142">
        <w:rPr>
          <w:rFonts w:ascii="Cambria" w:hAnsi="Cambria"/>
          <w:i/>
          <w:color w:val="auto"/>
          <w:sz w:val="16"/>
          <w:szCs w:val="16"/>
        </w:rPr>
        <w:t xml:space="preserve"> Nacional </w:t>
      </w:r>
      <w:proofErr w:type="spellStart"/>
      <w:r w:rsidRPr="009F1142">
        <w:rPr>
          <w:rFonts w:ascii="Cambria" w:hAnsi="Cambria"/>
          <w:i/>
          <w:color w:val="auto"/>
          <w:sz w:val="16"/>
          <w:szCs w:val="16"/>
        </w:rPr>
        <w:t>Especializada</w:t>
      </w:r>
      <w:proofErr w:type="spellEnd"/>
      <w:r w:rsidRPr="009F1142">
        <w:rPr>
          <w:rFonts w:ascii="Cambria" w:hAnsi="Cambria"/>
          <w:i/>
          <w:color w:val="auto"/>
          <w:sz w:val="16"/>
          <w:szCs w:val="16"/>
        </w:rPr>
        <w:t xml:space="preserve"> de Derechos </w:t>
      </w:r>
      <w:proofErr w:type="spellStart"/>
      <w:r w:rsidRPr="009F1142">
        <w:rPr>
          <w:rFonts w:ascii="Cambria" w:hAnsi="Cambria"/>
          <w:i/>
          <w:color w:val="auto"/>
          <w:sz w:val="16"/>
          <w:szCs w:val="16"/>
        </w:rPr>
        <w:t>Humanos</w:t>
      </w:r>
      <w:proofErr w:type="spellEnd"/>
      <w:r w:rsidRPr="009F1142">
        <w:rPr>
          <w:rFonts w:ascii="Cambria" w:hAnsi="Cambria"/>
          <w:i/>
          <w:color w:val="auto"/>
          <w:sz w:val="16"/>
          <w:szCs w:val="16"/>
        </w:rPr>
        <w:t xml:space="preserve"> y Derecho </w:t>
      </w:r>
      <w:proofErr w:type="spellStart"/>
      <w:r w:rsidRPr="009F1142">
        <w:rPr>
          <w:rFonts w:ascii="Cambria" w:hAnsi="Cambria"/>
          <w:i/>
          <w:color w:val="auto"/>
          <w:sz w:val="16"/>
          <w:szCs w:val="16"/>
        </w:rPr>
        <w:t>Internacional</w:t>
      </w:r>
      <w:proofErr w:type="spellEnd"/>
      <w:r w:rsidRPr="009F1142">
        <w:rPr>
          <w:rFonts w:ascii="Cambria" w:hAnsi="Cambria"/>
          <w:i/>
          <w:color w:val="auto"/>
          <w:sz w:val="16"/>
          <w:szCs w:val="16"/>
        </w:rPr>
        <w:t xml:space="preserve"> </w:t>
      </w:r>
      <w:proofErr w:type="spellStart"/>
      <w:r w:rsidRPr="009F1142">
        <w:rPr>
          <w:rFonts w:ascii="Cambria" w:hAnsi="Cambria"/>
          <w:i/>
          <w:color w:val="auto"/>
          <w:sz w:val="16"/>
          <w:szCs w:val="16"/>
        </w:rPr>
        <w:t>Humanitario</w:t>
      </w:r>
      <w:proofErr w:type="spellEnd"/>
      <w:r w:rsidRPr="009F1142">
        <w:rPr>
          <w:rFonts w:ascii="Cambria" w:hAnsi="Cambria"/>
          <w:i/>
          <w:color w:val="auto"/>
          <w:sz w:val="16"/>
          <w:szCs w:val="16"/>
        </w:rPr>
        <w:t xml:space="preserve">. </w:t>
      </w:r>
      <w:r w:rsidRPr="009F1142">
        <w:rPr>
          <w:rFonts w:ascii="Cambria" w:hAnsi="Cambria"/>
          <w:i/>
          <w:color w:val="auto"/>
          <w:sz w:val="16"/>
          <w:szCs w:val="16"/>
          <w:lang w:val="es-US"/>
        </w:rPr>
        <w:t>Fiscalía Cuarenta y Nueve Especializada</w:t>
      </w:r>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Determination</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on</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the</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Merits</w:t>
      </w:r>
      <w:proofErr w:type="spellEnd"/>
      <w:r w:rsidRPr="009F1142">
        <w:rPr>
          <w:rFonts w:ascii="Cambria" w:hAnsi="Cambria"/>
          <w:color w:val="auto"/>
          <w:sz w:val="16"/>
          <w:szCs w:val="16"/>
          <w:lang w:val="es-US"/>
        </w:rPr>
        <w:t xml:space="preserve"> of </w:t>
      </w:r>
      <w:proofErr w:type="spellStart"/>
      <w:r w:rsidRPr="009F1142">
        <w:rPr>
          <w:rFonts w:ascii="Cambria" w:hAnsi="Cambria"/>
          <w:color w:val="auto"/>
          <w:sz w:val="16"/>
          <w:szCs w:val="16"/>
          <w:lang w:val="es-US"/>
        </w:rPr>
        <w:t>the</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Investigation</w:t>
      </w:r>
      <w:proofErr w:type="spellEnd"/>
      <w:r w:rsidRPr="009F1142">
        <w:rPr>
          <w:rFonts w:ascii="Cambria" w:hAnsi="Cambria"/>
          <w:color w:val="auto"/>
          <w:sz w:val="16"/>
          <w:szCs w:val="16"/>
          <w:lang w:val="es-US"/>
        </w:rPr>
        <w:t xml:space="preserve"> [</w:t>
      </w:r>
      <w:r w:rsidRPr="009F1142">
        <w:rPr>
          <w:rFonts w:ascii="Cambria" w:hAnsi="Cambria"/>
          <w:i/>
          <w:color w:val="auto"/>
          <w:sz w:val="16"/>
          <w:szCs w:val="16"/>
          <w:lang w:val="es-US"/>
        </w:rPr>
        <w:t>Calificación de Mérito Sumarial]</w:t>
      </w:r>
      <w:r w:rsidRPr="009F1142">
        <w:rPr>
          <w:rFonts w:ascii="Cambria" w:hAnsi="Cambria"/>
          <w:color w:val="auto"/>
          <w:sz w:val="16"/>
          <w:szCs w:val="16"/>
          <w:lang w:val="es-US"/>
        </w:rPr>
        <w:t xml:space="preserve">. </w:t>
      </w:r>
      <w:r w:rsidRPr="009F1142">
        <w:rPr>
          <w:rFonts w:ascii="Cambria" w:hAnsi="Cambria"/>
          <w:color w:val="auto"/>
          <w:sz w:val="16"/>
          <w:szCs w:val="16"/>
        </w:rPr>
        <w:t xml:space="preserve">September 26, 2014. Case 807, C18, pp. 1-51. Annex 12 to the communication of the petitioner received on May 29, 2015. </w:t>
      </w:r>
      <w:proofErr w:type="spellStart"/>
      <w:r w:rsidRPr="009F1142">
        <w:rPr>
          <w:rFonts w:ascii="Cambria" w:hAnsi="Cambria"/>
          <w:color w:val="auto"/>
          <w:sz w:val="16"/>
          <w:szCs w:val="16"/>
          <w:lang w:val="es-US"/>
        </w:rPr>
        <w:t>According</w:t>
      </w:r>
      <w:proofErr w:type="spellEnd"/>
      <w:r w:rsidRPr="009F1142">
        <w:rPr>
          <w:rFonts w:ascii="Cambria" w:hAnsi="Cambria"/>
          <w:color w:val="auto"/>
          <w:sz w:val="16"/>
          <w:szCs w:val="16"/>
          <w:lang w:val="es-US"/>
        </w:rPr>
        <w:t xml:space="preserve"> to </w:t>
      </w:r>
      <w:proofErr w:type="spellStart"/>
      <w:r w:rsidRPr="009F1142">
        <w:rPr>
          <w:rFonts w:ascii="Cambria" w:hAnsi="Cambria"/>
          <w:color w:val="auto"/>
          <w:sz w:val="16"/>
          <w:szCs w:val="16"/>
          <w:lang w:val="es-US"/>
        </w:rPr>
        <w:t>the</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information</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presented</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by</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the</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petitioner</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which</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was</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not</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challenged</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by</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the</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State</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Jineth</w:t>
      </w:r>
      <w:proofErr w:type="spellEnd"/>
      <w:r w:rsidRPr="009F1142">
        <w:rPr>
          <w:rFonts w:ascii="Cambria" w:hAnsi="Cambria"/>
          <w:color w:val="auto"/>
          <w:sz w:val="16"/>
          <w:szCs w:val="16"/>
          <w:lang w:val="es-US"/>
        </w:rPr>
        <w:t xml:space="preserve"> Bedoya </w:t>
      </w:r>
      <w:proofErr w:type="spellStart"/>
      <w:r w:rsidRPr="009F1142">
        <w:rPr>
          <w:rFonts w:ascii="Cambria" w:hAnsi="Cambria"/>
          <w:color w:val="auto"/>
          <w:sz w:val="16"/>
          <w:szCs w:val="16"/>
          <w:lang w:val="es-US"/>
        </w:rPr>
        <w:t>wrote</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the</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following</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articles</w:t>
      </w:r>
      <w:proofErr w:type="spellEnd"/>
      <w:r w:rsidRPr="009F1142">
        <w:rPr>
          <w:rFonts w:ascii="Cambria" w:hAnsi="Cambria"/>
          <w:color w:val="auto"/>
          <w:sz w:val="16"/>
          <w:szCs w:val="16"/>
          <w:lang w:val="es-US"/>
        </w:rPr>
        <w:t xml:space="preserve"> in 1999 </w:t>
      </w:r>
      <w:proofErr w:type="spellStart"/>
      <w:r w:rsidRPr="009F1142">
        <w:rPr>
          <w:rFonts w:ascii="Cambria" w:hAnsi="Cambria"/>
          <w:color w:val="auto"/>
          <w:sz w:val="16"/>
          <w:szCs w:val="16"/>
          <w:lang w:val="es-US"/>
        </w:rPr>
        <w:t>about</w:t>
      </w:r>
      <w:proofErr w:type="spellEnd"/>
      <w:r w:rsidRPr="009F1142">
        <w:rPr>
          <w:rFonts w:ascii="Cambria" w:hAnsi="Cambria"/>
          <w:color w:val="auto"/>
          <w:sz w:val="16"/>
          <w:szCs w:val="16"/>
          <w:lang w:val="es-US"/>
        </w:rPr>
        <w:t xml:space="preserve"> </w:t>
      </w:r>
      <w:proofErr w:type="spellStart"/>
      <w:r w:rsidRPr="009F1142">
        <w:rPr>
          <w:rFonts w:ascii="Cambria" w:hAnsi="Cambria"/>
          <w:color w:val="auto"/>
          <w:sz w:val="16"/>
          <w:szCs w:val="16"/>
          <w:lang w:val="es-US"/>
        </w:rPr>
        <w:t>the</w:t>
      </w:r>
      <w:proofErr w:type="spellEnd"/>
      <w:r w:rsidRPr="009F1142">
        <w:rPr>
          <w:rFonts w:ascii="Cambria" w:hAnsi="Cambria"/>
          <w:color w:val="auto"/>
          <w:sz w:val="16"/>
          <w:szCs w:val="16"/>
          <w:lang w:val="es-US"/>
        </w:rPr>
        <w:t xml:space="preserve"> La Modelo </w:t>
      </w:r>
      <w:proofErr w:type="spellStart"/>
      <w:r w:rsidRPr="009F1142">
        <w:rPr>
          <w:rFonts w:ascii="Cambria" w:hAnsi="Cambria"/>
          <w:color w:val="auto"/>
          <w:sz w:val="16"/>
          <w:szCs w:val="16"/>
          <w:lang w:val="es-US"/>
        </w:rPr>
        <w:t>prison</w:t>
      </w:r>
      <w:proofErr w:type="spellEnd"/>
      <w:r w:rsidRPr="009F1142">
        <w:rPr>
          <w:rFonts w:ascii="Cambria" w:hAnsi="Cambria"/>
          <w:color w:val="auto"/>
          <w:sz w:val="16"/>
          <w:szCs w:val="16"/>
          <w:lang w:val="es-US"/>
        </w:rPr>
        <w:t>: “Cerradas casas fiscales de la cárcel Modelo” (</w:t>
      </w:r>
      <w:proofErr w:type="spellStart"/>
      <w:r w:rsidRPr="009F1142">
        <w:rPr>
          <w:rFonts w:ascii="Cambria" w:hAnsi="Cambria"/>
          <w:color w:val="auto"/>
          <w:sz w:val="16"/>
          <w:szCs w:val="16"/>
          <w:lang w:val="es-US"/>
        </w:rPr>
        <w:t>February</w:t>
      </w:r>
      <w:proofErr w:type="spellEnd"/>
      <w:r w:rsidRPr="009F1142">
        <w:rPr>
          <w:rFonts w:ascii="Cambria" w:hAnsi="Cambria"/>
          <w:color w:val="auto"/>
          <w:sz w:val="16"/>
          <w:szCs w:val="16"/>
          <w:lang w:val="es-US"/>
        </w:rPr>
        <w:t xml:space="preserve"> 1999); “Masacre en la Modelo” (</w:t>
      </w:r>
      <w:proofErr w:type="spellStart"/>
      <w:r w:rsidRPr="009F1142">
        <w:rPr>
          <w:rFonts w:ascii="Cambria" w:hAnsi="Cambria"/>
          <w:color w:val="auto"/>
          <w:sz w:val="16"/>
          <w:szCs w:val="16"/>
          <w:lang w:val="es-US"/>
        </w:rPr>
        <w:t>April</w:t>
      </w:r>
      <w:proofErr w:type="spellEnd"/>
      <w:r w:rsidRPr="009F1142">
        <w:rPr>
          <w:rFonts w:ascii="Cambria" w:hAnsi="Cambria"/>
          <w:color w:val="auto"/>
          <w:sz w:val="16"/>
          <w:szCs w:val="16"/>
          <w:lang w:val="es-US"/>
        </w:rPr>
        <w:t xml:space="preserve"> 1999); “Mando de mujer en la Modelo” (</w:t>
      </w:r>
      <w:proofErr w:type="spellStart"/>
      <w:r w:rsidRPr="009F1142">
        <w:rPr>
          <w:rFonts w:ascii="Cambria" w:hAnsi="Cambria"/>
          <w:color w:val="auto"/>
          <w:sz w:val="16"/>
          <w:szCs w:val="16"/>
          <w:lang w:val="es-US"/>
        </w:rPr>
        <w:t>April</w:t>
      </w:r>
      <w:proofErr w:type="spellEnd"/>
      <w:r w:rsidRPr="009F1142">
        <w:rPr>
          <w:rFonts w:ascii="Cambria" w:hAnsi="Cambria"/>
          <w:color w:val="auto"/>
          <w:sz w:val="16"/>
          <w:szCs w:val="16"/>
          <w:lang w:val="es-US"/>
        </w:rPr>
        <w:t xml:space="preserve"> 11, 1999); “Caciques mandan en la cárcel Modelo” (</w:t>
      </w:r>
      <w:proofErr w:type="spellStart"/>
      <w:r w:rsidRPr="009F1142">
        <w:rPr>
          <w:rFonts w:ascii="Cambria" w:hAnsi="Cambria"/>
          <w:color w:val="auto"/>
          <w:sz w:val="16"/>
          <w:szCs w:val="16"/>
          <w:lang w:val="es-US"/>
        </w:rPr>
        <w:t>undated</w:t>
      </w:r>
      <w:proofErr w:type="spellEnd"/>
      <w:r w:rsidRPr="009F1142">
        <w:rPr>
          <w:rFonts w:ascii="Cambria" w:hAnsi="Cambria"/>
          <w:color w:val="auto"/>
          <w:sz w:val="16"/>
          <w:szCs w:val="16"/>
          <w:lang w:val="es-US"/>
        </w:rPr>
        <w:t>); “Espectacular fuga de presos” (</w:t>
      </w:r>
      <w:proofErr w:type="spellStart"/>
      <w:r w:rsidRPr="009F1142">
        <w:rPr>
          <w:rFonts w:ascii="Cambria" w:hAnsi="Cambria"/>
          <w:color w:val="auto"/>
          <w:sz w:val="16"/>
          <w:szCs w:val="16"/>
          <w:lang w:val="es-US"/>
        </w:rPr>
        <w:t>undated</w:t>
      </w:r>
      <w:proofErr w:type="spellEnd"/>
      <w:r w:rsidRPr="009F1142">
        <w:rPr>
          <w:rFonts w:ascii="Cambria" w:hAnsi="Cambria"/>
          <w:color w:val="auto"/>
          <w:sz w:val="16"/>
          <w:szCs w:val="16"/>
          <w:lang w:val="es-US"/>
        </w:rPr>
        <w:t>); “Otro plan de fuga en la Modelo de Bogotá” (</w:t>
      </w:r>
      <w:proofErr w:type="spellStart"/>
      <w:r w:rsidRPr="009F1142">
        <w:rPr>
          <w:rFonts w:ascii="Cambria" w:hAnsi="Cambria"/>
          <w:color w:val="auto"/>
          <w:sz w:val="16"/>
          <w:szCs w:val="16"/>
          <w:lang w:val="es-US"/>
        </w:rPr>
        <w:t>September</w:t>
      </w:r>
      <w:proofErr w:type="spellEnd"/>
      <w:r w:rsidRPr="009F1142">
        <w:rPr>
          <w:rFonts w:ascii="Cambria" w:hAnsi="Cambria"/>
          <w:color w:val="auto"/>
          <w:sz w:val="16"/>
          <w:szCs w:val="16"/>
          <w:lang w:val="es-US"/>
        </w:rPr>
        <w:t xml:space="preserve"> 7, 1999); “Pesca Milagrosa en la Modelo” (</w:t>
      </w:r>
      <w:proofErr w:type="spellStart"/>
      <w:r w:rsidRPr="009F1142">
        <w:rPr>
          <w:rFonts w:ascii="Cambria" w:hAnsi="Cambria"/>
          <w:color w:val="auto"/>
          <w:sz w:val="16"/>
          <w:szCs w:val="16"/>
          <w:lang w:val="es-US"/>
        </w:rPr>
        <w:t>October</w:t>
      </w:r>
      <w:proofErr w:type="spellEnd"/>
      <w:r w:rsidRPr="009F1142">
        <w:rPr>
          <w:rFonts w:ascii="Cambria" w:hAnsi="Cambria"/>
          <w:color w:val="auto"/>
          <w:sz w:val="16"/>
          <w:szCs w:val="16"/>
          <w:lang w:val="es-US"/>
        </w:rPr>
        <w:t xml:space="preserve"> 23, 1999); “Asesinado procesado de cartel de la Costa” (</w:t>
      </w:r>
      <w:proofErr w:type="spellStart"/>
      <w:r w:rsidRPr="009F1142">
        <w:rPr>
          <w:rFonts w:ascii="Cambria" w:hAnsi="Cambria"/>
          <w:color w:val="auto"/>
          <w:sz w:val="16"/>
          <w:szCs w:val="16"/>
          <w:lang w:val="es-US"/>
        </w:rPr>
        <w:t>November</w:t>
      </w:r>
      <w:proofErr w:type="spellEnd"/>
      <w:r w:rsidRPr="009F1142">
        <w:rPr>
          <w:rFonts w:ascii="Cambria" w:hAnsi="Cambria"/>
          <w:color w:val="auto"/>
          <w:sz w:val="16"/>
          <w:szCs w:val="16"/>
          <w:lang w:val="es-US"/>
        </w:rPr>
        <w:t xml:space="preserve"> 27, 1999); “Tiroteo en la Modelo: once muertos” (</w:t>
      </w:r>
      <w:proofErr w:type="spellStart"/>
      <w:r w:rsidRPr="009F1142">
        <w:rPr>
          <w:rFonts w:ascii="Cambria" w:hAnsi="Cambria"/>
          <w:color w:val="auto"/>
          <w:sz w:val="16"/>
          <w:szCs w:val="16"/>
          <w:lang w:val="es-US"/>
        </w:rPr>
        <w:t>December</w:t>
      </w:r>
      <w:proofErr w:type="spellEnd"/>
      <w:r w:rsidRPr="009F1142">
        <w:rPr>
          <w:rFonts w:ascii="Cambria" w:hAnsi="Cambria"/>
          <w:color w:val="auto"/>
          <w:sz w:val="16"/>
          <w:szCs w:val="16"/>
          <w:lang w:val="es-US"/>
        </w:rPr>
        <w:t xml:space="preserve"> 9, 1999).</w:t>
      </w:r>
    </w:p>
  </w:footnote>
  <w:footnote w:id="1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3. Office of the 49</w:t>
      </w:r>
      <w:r w:rsidRPr="009F1142">
        <w:rPr>
          <w:rFonts w:ascii="Cambria" w:hAnsi="Cambria"/>
          <w:color w:val="auto"/>
          <w:sz w:val="16"/>
          <w:szCs w:val="16"/>
          <w:vertAlign w:val="superscript"/>
        </w:rPr>
        <w:t>th</w:t>
      </w:r>
      <w:r w:rsidRPr="009F1142">
        <w:rPr>
          <w:rFonts w:ascii="Cambria" w:hAnsi="Cambria"/>
          <w:color w:val="auto"/>
          <w:sz w:val="16"/>
          <w:szCs w:val="16"/>
        </w:rPr>
        <w:t xml:space="preserve"> Special Prosecutor of the National Prosecutor’s Office for Human Rights and International Humanitarian Law. Determination on the Merits of the Investigation. September 26, 2014. Case 807, C18, pp. 1-51. Annex 12 to the communication of the petitioner received on May 29, 2015.</w:t>
      </w:r>
    </w:p>
  </w:footnote>
  <w:footnote w:id="12">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vertAlign w:val="superscript"/>
        </w:rPr>
        <w:t xml:space="preserve"> </w:t>
      </w:r>
      <w:r w:rsidRPr="009F1142">
        <w:rPr>
          <w:rFonts w:ascii="Cambria" w:hAnsi="Cambria"/>
          <w:color w:val="auto"/>
          <w:sz w:val="16"/>
          <w:szCs w:val="16"/>
        </w:rPr>
        <w:t xml:space="preserve">Annex 4.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June 8, 2000. Case 807, C1, pp. 85-94. Annexes to the communication of the petitioner received on May 29, 2015; Annex 2. Office of the National Prosecutor General. UNDH. Sworn statement of Jorge Enrique Cardona </w:t>
      </w:r>
      <w:proofErr w:type="spellStart"/>
      <w:r w:rsidRPr="009F1142">
        <w:rPr>
          <w:rFonts w:ascii="Cambria" w:hAnsi="Cambria"/>
          <w:color w:val="auto"/>
          <w:sz w:val="16"/>
          <w:szCs w:val="16"/>
        </w:rPr>
        <w:t>Álzate</w:t>
      </w:r>
      <w:proofErr w:type="spellEnd"/>
      <w:r w:rsidRPr="009F1142">
        <w:rPr>
          <w:rFonts w:ascii="Cambria" w:hAnsi="Cambria"/>
          <w:color w:val="auto"/>
          <w:sz w:val="16"/>
          <w:szCs w:val="16"/>
        </w:rPr>
        <w:t xml:space="preserve">. November 1, 2011. Case 807, C8, pp. 95-107. Annex 12 to the communication of the petitioner received on May 29, 2015; and Annex 5. Office of the National Prosecutor General. Anti-Extortion and Kidnapping Sub-Unit. Complaint filed by Jorge Cardona </w:t>
      </w:r>
      <w:proofErr w:type="spellStart"/>
      <w:r w:rsidRPr="009F1142">
        <w:rPr>
          <w:rFonts w:ascii="Cambria" w:hAnsi="Cambria"/>
          <w:color w:val="auto"/>
          <w:sz w:val="16"/>
          <w:szCs w:val="16"/>
        </w:rPr>
        <w:t>Alzate</w:t>
      </w:r>
      <w:proofErr w:type="spellEnd"/>
      <w:r w:rsidRPr="009F1142">
        <w:rPr>
          <w:rFonts w:ascii="Cambria" w:hAnsi="Cambria"/>
          <w:color w:val="auto"/>
          <w:sz w:val="16"/>
          <w:szCs w:val="16"/>
        </w:rPr>
        <w:t>. May 26, 2000. C1, pp. 1-4. Annex 12 to the communication of the petitioner received on May 29, 2015.</w:t>
      </w:r>
    </w:p>
  </w:footnote>
  <w:footnote w:id="13">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4.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June 8, 2000. Case 807, C1, pp. 85-94. Annex 12 to the communication of the petitioner received on May 29, 2015; Annex 2. Office of the National Prosecutor General. UNDH. Sworn statement of Jorge Enrique Cardona </w:t>
      </w:r>
      <w:proofErr w:type="spellStart"/>
      <w:r w:rsidRPr="009F1142">
        <w:rPr>
          <w:rFonts w:ascii="Cambria" w:hAnsi="Cambria"/>
          <w:color w:val="auto"/>
          <w:sz w:val="16"/>
          <w:szCs w:val="16"/>
        </w:rPr>
        <w:t>Álzate</w:t>
      </w:r>
      <w:proofErr w:type="spellEnd"/>
      <w:r w:rsidRPr="009F1142">
        <w:rPr>
          <w:rFonts w:ascii="Cambria" w:hAnsi="Cambria"/>
          <w:color w:val="auto"/>
          <w:sz w:val="16"/>
          <w:szCs w:val="16"/>
        </w:rPr>
        <w:t xml:space="preserve">. November 1, 2011. Case 807, C8, pp. 95-107. Annex 12 to the communication of the petitioner received on May 29, 2015; and Annex 5. Office of the National Prosecutor General. Anti-Extortion and Kidnapping Sub-Unit. Complaint filed by Jorge Cardona </w:t>
      </w:r>
      <w:proofErr w:type="spellStart"/>
      <w:r w:rsidRPr="009F1142">
        <w:rPr>
          <w:rFonts w:ascii="Cambria" w:hAnsi="Cambria"/>
          <w:color w:val="auto"/>
          <w:sz w:val="16"/>
          <w:szCs w:val="16"/>
        </w:rPr>
        <w:t>Alzate</w:t>
      </w:r>
      <w:proofErr w:type="spellEnd"/>
      <w:r w:rsidRPr="009F1142">
        <w:rPr>
          <w:rFonts w:ascii="Cambria" w:hAnsi="Cambria"/>
          <w:color w:val="auto"/>
          <w:sz w:val="16"/>
          <w:szCs w:val="16"/>
        </w:rPr>
        <w:t>. May 26, 2000. C1, pp. 1-4. Annex 12 to the communication of the petitioner received on May 29, 2015.</w:t>
      </w:r>
    </w:p>
  </w:footnote>
  <w:footnote w:id="14">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6. Security Administration Department (DAS). August 25, 1999. Annex 13 to the communication of the petitioner received on May 29, 2015.</w:t>
      </w:r>
    </w:p>
  </w:footnote>
  <w:footnote w:id="15">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7.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Communication to the DAS Director of Protection. September 20, 1999. Annex 13 to the communication of the petitioner received on May 29, 2015.</w:t>
      </w:r>
    </w:p>
  </w:footnote>
  <w:footnote w:id="16">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4.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June 8, 2000. Case 807, C1, pp. 85-94. Annex 12 to the communication of the petitioner received on May 29, 2015.</w:t>
      </w:r>
    </w:p>
  </w:footnote>
  <w:footnote w:id="17">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4.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June 8, 2000. Case 807, C1, pp. 85-94. Annex 12 to the communication of the petitioner received on May 29, 2015.</w:t>
      </w:r>
    </w:p>
  </w:footnote>
  <w:footnote w:id="18">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8. Ministry of the Interior. Special Administrative Unit for Human Rights. Communication of the Director of Protection to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November 24, 1999. Annex 24 to the communication of the petitioner received on May 29, 2015.</w:t>
      </w:r>
    </w:p>
  </w:footnote>
  <w:footnote w:id="19">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8. Ministry of the Interior. Special Administrative Unit for Human Rights. Communication of the Director of Protection to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November 24, 1999. Annex 24 to the communication of the petitioner received on May 29, 2015; Annex 4.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June 8, 2000. Case 807, C1, pp. 85-88. Annex 12 to the communication of the petitioner received on May 29, 2015; Annex 2. Office of the National Prosecutor General. UNDH. Sworn statement of Jorge Enrique Cardona </w:t>
      </w:r>
      <w:proofErr w:type="spellStart"/>
      <w:r w:rsidRPr="009F1142">
        <w:rPr>
          <w:rFonts w:ascii="Cambria" w:hAnsi="Cambria"/>
          <w:color w:val="auto"/>
          <w:sz w:val="16"/>
          <w:szCs w:val="16"/>
        </w:rPr>
        <w:t>Álzate</w:t>
      </w:r>
      <w:proofErr w:type="spellEnd"/>
      <w:r w:rsidRPr="009F1142">
        <w:rPr>
          <w:rFonts w:ascii="Cambria" w:hAnsi="Cambria"/>
          <w:color w:val="auto"/>
          <w:sz w:val="16"/>
          <w:szCs w:val="16"/>
        </w:rPr>
        <w:t>. November 1, 2011. Case 807, C8, pp. 95-107. Annex 12 to the communication of the petitioner received on May 29, 2015.</w:t>
      </w:r>
    </w:p>
  </w:footnote>
  <w:footnote w:id="20">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9.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May 30, 2000. Case 807, C1, pp. 60-68. Annexes to the communication of the petitioner received on May 29, 2015; and Annex 2. Office of the National Prosecutor General. UNDH. Sworn statement of Jorge Enrique Cardona </w:t>
      </w:r>
      <w:proofErr w:type="spellStart"/>
      <w:r w:rsidRPr="009F1142">
        <w:rPr>
          <w:rFonts w:ascii="Cambria" w:hAnsi="Cambria"/>
          <w:color w:val="auto"/>
          <w:sz w:val="16"/>
          <w:szCs w:val="16"/>
        </w:rPr>
        <w:t>Álzate</w:t>
      </w:r>
      <w:proofErr w:type="spellEnd"/>
      <w:r w:rsidRPr="009F1142">
        <w:rPr>
          <w:rFonts w:ascii="Cambria" w:hAnsi="Cambria"/>
          <w:color w:val="auto"/>
          <w:sz w:val="16"/>
          <w:szCs w:val="16"/>
        </w:rPr>
        <w:t>. November 1, 2011. Case 807, C8, pp. 95-107. Annex 12 to the communication of the petitioner received on May 29, 2015.</w:t>
      </w:r>
    </w:p>
  </w:footnote>
  <w:footnote w:id="2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9.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May 30, 2000. Case 807, C1, pp. 60-68. Annexes to the communication of the petitioner received on May 29, 2015; Annex 4.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June 8, 2000. Case 807, C1, pp. 85-88. Annexes to the communication of the petitioner received on May 29, 2015.</w:t>
      </w:r>
    </w:p>
  </w:footnote>
  <w:footnote w:id="22">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2. Office of the National Prosecutor General. UNDH. Sworn statement of Jorge Enrique Cardona </w:t>
      </w:r>
      <w:proofErr w:type="spellStart"/>
      <w:r w:rsidRPr="009F1142">
        <w:rPr>
          <w:rFonts w:ascii="Cambria" w:hAnsi="Cambria"/>
          <w:color w:val="auto"/>
          <w:sz w:val="16"/>
          <w:szCs w:val="16"/>
        </w:rPr>
        <w:t>Álzate</w:t>
      </w:r>
      <w:proofErr w:type="spellEnd"/>
      <w:r w:rsidRPr="009F1142">
        <w:rPr>
          <w:rFonts w:ascii="Cambria" w:hAnsi="Cambria"/>
          <w:color w:val="auto"/>
          <w:sz w:val="16"/>
          <w:szCs w:val="16"/>
        </w:rPr>
        <w:t xml:space="preserve">. November 1, 2011. Case 807, C8, pp. 95-107. Annex 12 to the communication of the petitioner received on May 29, 2015, Annex 5. Office of the National Prosecutor General. Anti-Extortion and Kidnapping Sub-Unit. Complaint filed by Jorge Cardona </w:t>
      </w:r>
      <w:proofErr w:type="spellStart"/>
      <w:r w:rsidRPr="009F1142">
        <w:rPr>
          <w:rFonts w:ascii="Cambria" w:hAnsi="Cambria"/>
          <w:color w:val="auto"/>
          <w:sz w:val="16"/>
          <w:szCs w:val="16"/>
        </w:rPr>
        <w:t>Alzate</w:t>
      </w:r>
      <w:proofErr w:type="spellEnd"/>
      <w:r w:rsidRPr="009F1142">
        <w:rPr>
          <w:rFonts w:ascii="Cambria" w:hAnsi="Cambria"/>
          <w:color w:val="auto"/>
          <w:sz w:val="16"/>
          <w:szCs w:val="16"/>
        </w:rPr>
        <w:t xml:space="preserve">. May 26, 2000. C1, pp. 1-4. Annex 12 to the communication of the petitioner received on May 29, 2015; Annex 10. Office of the National Prosecutor General. UNDH. Statement of Julian Oswaldo Rios Rojas. June 22, 2000. Case 807, C1, pp. 178-183. Annex 12 to the communication of the petitioner received on May 29, 2015; Annex 11. Office of the National Prosecutor General. UNDH. Statement of </w:t>
      </w:r>
      <w:proofErr w:type="spellStart"/>
      <w:r w:rsidRPr="009F1142">
        <w:rPr>
          <w:rFonts w:ascii="Cambria" w:hAnsi="Cambria"/>
          <w:color w:val="auto"/>
          <w:sz w:val="16"/>
          <w:szCs w:val="16"/>
        </w:rPr>
        <w:t>Arle</w:t>
      </w:r>
      <w:proofErr w:type="spellEnd"/>
      <w:r w:rsidRPr="009F1142">
        <w:rPr>
          <w:rFonts w:ascii="Cambria" w:hAnsi="Cambria"/>
          <w:color w:val="auto"/>
          <w:sz w:val="16"/>
          <w:szCs w:val="16"/>
        </w:rPr>
        <w:t xml:space="preserve"> </w:t>
      </w:r>
      <w:proofErr w:type="spellStart"/>
      <w:r w:rsidRPr="009F1142">
        <w:rPr>
          <w:rFonts w:ascii="Cambria" w:hAnsi="Cambria"/>
          <w:color w:val="auto"/>
          <w:sz w:val="16"/>
          <w:szCs w:val="16"/>
        </w:rPr>
        <w:t>Oyala</w:t>
      </w:r>
      <w:proofErr w:type="spellEnd"/>
      <w:r w:rsidRPr="009F1142">
        <w:rPr>
          <w:rFonts w:ascii="Cambria" w:hAnsi="Cambria"/>
          <w:color w:val="auto"/>
          <w:sz w:val="16"/>
          <w:szCs w:val="16"/>
        </w:rPr>
        <w:t>. April 26, 2001. Case 807, C1, pp. 178-183. Annex 12 to the communication of the petitioner received on May 29, 2015.</w:t>
      </w:r>
    </w:p>
  </w:footnote>
  <w:footnote w:id="2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2. Office of the National Prosecutor General. UNDH. Sworn statement of Jorge Enrique Cardona </w:t>
      </w:r>
      <w:proofErr w:type="spellStart"/>
      <w:r w:rsidRPr="009F1142">
        <w:rPr>
          <w:rFonts w:ascii="Cambria" w:hAnsi="Cambria"/>
          <w:color w:val="auto"/>
          <w:sz w:val="16"/>
          <w:szCs w:val="16"/>
        </w:rPr>
        <w:t>Álzate</w:t>
      </w:r>
      <w:proofErr w:type="spellEnd"/>
      <w:r w:rsidRPr="009F1142">
        <w:rPr>
          <w:rFonts w:ascii="Cambria" w:hAnsi="Cambria"/>
          <w:color w:val="auto"/>
          <w:sz w:val="16"/>
          <w:szCs w:val="16"/>
        </w:rPr>
        <w:t>. November 1, 2011. Case 807, C8, pp. 95-107. Annex 12 to the communication of the petitioner received on May 29, 2015.</w:t>
      </w:r>
    </w:p>
  </w:footnote>
  <w:footnote w:id="24">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9. Office of the National Prosecutor General. UNDH. Supplemental statement  of </w:t>
      </w:r>
      <w:proofErr w:type="spellStart"/>
      <w:r w:rsidRPr="009F1142">
        <w:rPr>
          <w:rFonts w:ascii="Cambria" w:hAnsi="Cambria"/>
          <w:sz w:val="16"/>
          <w:szCs w:val="16"/>
        </w:rPr>
        <w:t>Jineth</w:t>
      </w:r>
      <w:proofErr w:type="spellEnd"/>
      <w:r w:rsidRPr="009F1142">
        <w:rPr>
          <w:rFonts w:ascii="Cambria" w:hAnsi="Cambria"/>
          <w:sz w:val="16"/>
          <w:szCs w:val="16"/>
        </w:rPr>
        <w:t xml:space="preserve"> Bedoya Lima. May 30, 2000. Case 807, C1, pp. 60-68. Annexes to the communication of the petitioner received on May 29, 2015.</w:t>
      </w:r>
    </w:p>
  </w:footnote>
  <w:footnote w:id="25">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9. Office of the National Prosecutor General. UNDH. Supplemental statement  of </w:t>
      </w:r>
      <w:proofErr w:type="spellStart"/>
      <w:r w:rsidRPr="009F1142">
        <w:rPr>
          <w:rFonts w:ascii="Cambria" w:hAnsi="Cambria"/>
          <w:sz w:val="16"/>
          <w:szCs w:val="16"/>
        </w:rPr>
        <w:t>Jineth</w:t>
      </w:r>
      <w:proofErr w:type="spellEnd"/>
      <w:r w:rsidRPr="009F1142">
        <w:rPr>
          <w:rFonts w:ascii="Cambria" w:hAnsi="Cambria"/>
          <w:sz w:val="16"/>
          <w:szCs w:val="16"/>
        </w:rPr>
        <w:t xml:space="preserve"> Bedoya Lima. May 30, 2000. Case 807, C1, pp. 60-68. Annexes to the communication of the petitioner received on May 29, 2015; Annex 2. Office of the National Prosecutor General. UNDH. Sworn statement of Jorge Enrique Cardona </w:t>
      </w:r>
      <w:proofErr w:type="spellStart"/>
      <w:r w:rsidRPr="009F1142">
        <w:rPr>
          <w:rFonts w:ascii="Cambria" w:hAnsi="Cambria"/>
          <w:sz w:val="16"/>
          <w:szCs w:val="16"/>
        </w:rPr>
        <w:t>Álzate</w:t>
      </w:r>
      <w:proofErr w:type="spellEnd"/>
      <w:r w:rsidRPr="009F1142">
        <w:rPr>
          <w:rFonts w:ascii="Cambria" w:hAnsi="Cambria"/>
          <w:sz w:val="16"/>
          <w:szCs w:val="16"/>
        </w:rPr>
        <w:t xml:space="preserve">. November 1, 2011. Case 807, C8, pp. 95-107. Annex 12 to the communication of the petitioner received on May 29, 2015; Annex 5. Office of the National Prosecutor General. Anti-Extortion and Kidnapping Sub-Unit. Complaint filed by Jorge Cardona </w:t>
      </w:r>
      <w:proofErr w:type="spellStart"/>
      <w:r w:rsidRPr="009F1142">
        <w:rPr>
          <w:rFonts w:ascii="Cambria" w:hAnsi="Cambria"/>
          <w:sz w:val="16"/>
          <w:szCs w:val="16"/>
        </w:rPr>
        <w:t>Alzate</w:t>
      </w:r>
      <w:proofErr w:type="spellEnd"/>
      <w:r w:rsidRPr="009F1142">
        <w:rPr>
          <w:rFonts w:ascii="Cambria" w:hAnsi="Cambria"/>
          <w:sz w:val="16"/>
          <w:szCs w:val="16"/>
        </w:rPr>
        <w:t>. May 26, 2000. C1, pp. 1-4. Annex 12 to the communication of the petitioner received on May 29, 2015.</w:t>
      </w:r>
    </w:p>
  </w:footnote>
  <w:footnote w:id="26">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vertAlign w:val="superscript"/>
        </w:rPr>
        <w:t xml:space="preserve"> </w:t>
      </w:r>
      <w:r w:rsidRPr="009F1142">
        <w:rPr>
          <w:rFonts w:ascii="Cambria" w:hAnsi="Cambria"/>
          <w:sz w:val="16"/>
          <w:szCs w:val="16"/>
        </w:rPr>
        <w:t xml:space="preserve">Annex 9. Office of the National Prosecutor General. UNDH. Supplemental statement  of </w:t>
      </w:r>
      <w:proofErr w:type="spellStart"/>
      <w:r w:rsidRPr="009F1142">
        <w:rPr>
          <w:rFonts w:ascii="Cambria" w:hAnsi="Cambria"/>
          <w:sz w:val="16"/>
          <w:szCs w:val="16"/>
        </w:rPr>
        <w:t>Jineth</w:t>
      </w:r>
      <w:proofErr w:type="spellEnd"/>
      <w:r w:rsidRPr="009F1142">
        <w:rPr>
          <w:rFonts w:ascii="Cambria" w:hAnsi="Cambria"/>
          <w:sz w:val="16"/>
          <w:szCs w:val="16"/>
        </w:rPr>
        <w:t xml:space="preserve"> Bedoya Lima. May 30, 2000. Case 807, C1, pp. 60-68. Annexes to the communication of the petitioner received on May 29, 2015; and Annex 3. Office of the 49</w:t>
      </w:r>
      <w:r w:rsidRPr="009F1142">
        <w:rPr>
          <w:rFonts w:ascii="Cambria" w:hAnsi="Cambria"/>
          <w:sz w:val="16"/>
          <w:szCs w:val="16"/>
          <w:vertAlign w:val="superscript"/>
        </w:rPr>
        <w:t xml:space="preserve">th </w:t>
      </w:r>
      <w:r w:rsidRPr="009F1142">
        <w:rPr>
          <w:rFonts w:ascii="Cambria" w:hAnsi="Cambria"/>
          <w:sz w:val="16"/>
          <w:szCs w:val="16"/>
        </w:rPr>
        <w:t>Special Prosecutor of the National Prosecutor’s Office for Human Rights and International Humanitarian Law. Determination on the Merits of the Investigation. September 26, 2014. Case 807, C18, pp. 1-51. Annex 12 to the communication of the petitioner received on May 29, 2015.</w:t>
      </w:r>
    </w:p>
  </w:footnote>
  <w:footnote w:id="27">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9.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May 30, 2000. Case 807, C1, pp. 60-68. Annexes to the communication of the petitioner received on May 29, 2015.</w:t>
      </w:r>
    </w:p>
  </w:footnote>
  <w:footnote w:id="28">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vertAlign w:val="superscript"/>
        </w:rPr>
        <w:t xml:space="preserve"> </w:t>
      </w:r>
      <w:r w:rsidRPr="009F1142">
        <w:rPr>
          <w:rFonts w:ascii="Cambria" w:hAnsi="Cambria"/>
          <w:color w:val="auto"/>
          <w:sz w:val="16"/>
          <w:szCs w:val="16"/>
        </w:rPr>
        <w:t xml:space="preserve">Annex 9.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May 30, 2000. Case 807, C1, pp. 60-68. Annexes to the communication of the petitioner received on May 29, 2015.</w:t>
      </w:r>
    </w:p>
  </w:footnote>
  <w:footnote w:id="29">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9. Office of the National Prosecutor General. UNDH. Supplemental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May 30, 2000. Case 807, C1, pp. 60-68. Annexes to the communication of the petitioner received on May 29, 2015.</w:t>
      </w:r>
    </w:p>
  </w:footnote>
  <w:footnote w:id="30">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9. Office of the National Prosecutor General. UNDH. Supplemental statement  of </w:t>
      </w:r>
      <w:proofErr w:type="spellStart"/>
      <w:r w:rsidRPr="009F1142">
        <w:rPr>
          <w:rFonts w:ascii="Cambria" w:hAnsi="Cambria"/>
          <w:sz w:val="16"/>
          <w:szCs w:val="16"/>
        </w:rPr>
        <w:t>Jineth</w:t>
      </w:r>
      <w:proofErr w:type="spellEnd"/>
      <w:r w:rsidRPr="009F1142">
        <w:rPr>
          <w:rFonts w:ascii="Cambria" w:hAnsi="Cambria"/>
          <w:sz w:val="16"/>
          <w:szCs w:val="16"/>
        </w:rPr>
        <w:t xml:space="preserve"> Bedoya Lima. May 30, 2000. Case 807, C1, pp. 60-68. Annexes to the communication of the petitioner received on May 29, 2015; Annex 12. Office of the National Prosecutor General. Technical Investigations Unit of Villavicencio. Report No. 195 FGN.CTI.SI. May 26, 2000. Case 807, C1, pp. 17-20. Annex 12 to the communication of the petitioner received on May 29, 2015; and Annex 5. Office of the National Prosecutor General. Anti-Extortion and Kidnapping Sub-Unit. Complaint filed by Jorge Cardona </w:t>
      </w:r>
      <w:proofErr w:type="spellStart"/>
      <w:r w:rsidRPr="009F1142">
        <w:rPr>
          <w:rFonts w:ascii="Cambria" w:hAnsi="Cambria"/>
          <w:sz w:val="16"/>
          <w:szCs w:val="16"/>
        </w:rPr>
        <w:t>Alzate</w:t>
      </w:r>
      <w:proofErr w:type="spellEnd"/>
      <w:r w:rsidRPr="009F1142">
        <w:rPr>
          <w:rFonts w:ascii="Cambria" w:hAnsi="Cambria"/>
          <w:sz w:val="16"/>
          <w:szCs w:val="16"/>
        </w:rPr>
        <w:t>. May 26, 2000. C1, pp. 1-4. Annex 12 to the communication of the petitioner received on May 29, 2015; and Annex 3. Office of the 49</w:t>
      </w:r>
      <w:r w:rsidRPr="009F1142">
        <w:rPr>
          <w:rFonts w:ascii="Cambria" w:hAnsi="Cambria"/>
          <w:sz w:val="16"/>
          <w:szCs w:val="16"/>
          <w:vertAlign w:val="superscript"/>
        </w:rPr>
        <w:t>th</w:t>
      </w:r>
      <w:r w:rsidRPr="009F1142">
        <w:rPr>
          <w:rFonts w:ascii="Cambria" w:hAnsi="Cambria"/>
          <w:sz w:val="16"/>
          <w:szCs w:val="16"/>
        </w:rPr>
        <w:t xml:space="preserve"> Special Prosecutor of the National Prosecutor’s Office for Human Rights and International Humanitarian Law. Determination on the Merits of the Investigation. September 26, 2014. Case 807, C18, pp. 1-51. Annex 12 to the communication of the petitioner received on May 29, 2015.</w:t>
      </w:r>
    </w:p>
  </w:footnote>
  <w:footnote w:id="3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5. Office of the National Prosecutor General. Anti-Extortion and Kidnapping Sub-Unit. Complaint filed by Jorge Cardona </w:t>
      </w:r>
      <w:proofErr w:type="spellStart"/>
      <w:r w:rsidRPr="009F1142">
        <w:rPr>
          <w:rFonts w:ascii="Cambria" w:hAnsi="Cambria"/>
          <w:color w:val="auto"/>
          <w:sz w:val="16"/>
          <w:szCs w:val="16"/>
        </w:rPr>
        <w:t>Alzate</w:t>
      </w:r>
      <w:proofErr w:type="spellEnd"/>
      <w:r w:rsidRPr="009F1142">
        <w:rPr>
          <w:rFonts w:ascii="Cambria" w:hAnsi="Cambria"/>
          <w:color w:val="auto"/>
          <w:sz w:val="16"/>
          <w:szCs w:val="16"/>
        </w:rPr>
        <w:t xml:space="preserve">. May 26, 2000. C1, pp. 1-4. Annex 12 to the communication of the petitioner received on May 29, 2015; and Annex 2. Office of the National Prosecutor General. UNDH. Sworn statement of Jorge Enrique Cardona </w:t>
      </w:r>
      <w:proofErr w:type="spellStart"/>
      <w:r w:rsidRPr="009F1142">
        <w:rPr>
          <w:rFonts w:ascii="Cambria" w:hAnsi="Cambria"/>
          <w:color w:val="auto"/>
          <w:sz w:val="16"/>
          <w:szCs w:val="16"/>
        </w:rPr>
        <w:t>Álzate</w:t>
      </w:r>
      <w:proofErr w:type="spellEnd"/>
      <w:r w:rsidRPr="009F1142">
        <w:rPr>
          <w:rFonts w:ascii="Cambria" w:hAnsi="Cambria"/>
          <w:color w:val="auto"/>
          <w:sz w:val="16"/>
          <w:szCs w:val="16"/>
        </w:rPr>
        <w:t>. November 1, 2011. Case 807, C8, pp. 95-107. Annex 12 to the communication of the petitioner received on May 29, 2015.</w:t>
      </w:r>
    </w:p>
  </w:footnote>
  <w:footnote w:id="32">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5. Office of the National Prosecutor General. Anti-Extortion and Kidnapping Sub-Unit. Complaint filed by Jorge Cardona </w:t>
      </w:r>
      <w:proofErr w:type="spellStart"/>
      <w:r w:rsidRPr="009F1142">
        <w:rPr>
          <w:rFonts w:ascii="Cambria" w:hAnsi="Cambria"/>
          <w:sz w:val="16"/>
          <w:szCs w:val="16"/>
        </w:rPr>
        <w:t>Alzate</w:t>
      </w:r>
      <w:proofErr w:type="spellEnd"/>
      <w:r w:rsidRPr="009F1142">
        <w:rPr>
          <w:rFonts w:ascii="Cambria" w:hAnsi="Cambria"/>
          <w:sz w:val="16"/>
          <w:szCs w:val="16"/>
        </w:rPr>
        <w:t>. May 26, 2000. C1, pp. 1-4. Annex 12 to the communication of the petitioner received on May 29, 2015.</w:t>
      </w:r>
    </w:p>
  </w:footnote>
  <w:footnote w:id="33">
    <w:p w:rsidR="00637A06" w:rsidRPr="009F1142" w:rsidRDefault="00637A06" w:rsidP="009F1142">
      <w:pPr>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13. Office of the National Prosecutor General. Anti-Extortion and Kidnapping Sub-Unit. Order to Open Preliminary Criminal Investigation. May 26, 2000, Case 807, C1, pp. 9-12. Annex 12 to the communication of the petitioner received on May 29, 2015. The Prosecutor ordered the obtainment of: 1) a sworn statement of </w:t>
      </w:r>
      <w:proofErr w:type="spellStart"/>
      <w:r w:rsidRPr="009F1142">
        <w:rPr>
          <w:rFonts w:ascii="Cambria" w:hAnsi="Cambria"/>
          <w:sz w:val="16"/>
          <w:szCs w:val="16"/>
        </w:rPr>
        <w:t>Jineth</w:t>
      </w:r>
      <w:proofErr w:type="spellEnd"/>
      <w:r w:rsidRPr="009F1142">
        <w:rPr>
          <w:rFonts w:ascii="Cambria" w:hAnsi="Cambria"/>
          <w:sz w:val="16"/>
          <w:szCs w:val="16"/>
        </w:rPr>
        <w:t xml:space="preserve"> Bedoya; 2) Bedoya’s forensic medical studies and medical record; 3) a statement of the director of </w:t>
      </w:r>
      <w:r w:rsidRPr="009F1142">
        <w:rPr>
          <w:rFonts w:ascii="Cambria" w:hAnsi="Cambria"/>
          <w:i/>
          <w:sz w:val="16"/>
          <w:szCs w:val="16"/>
        </w:rPr>
        <w:t xml:space="preserve">El </w:t>
      </w:r>
      <w:proofErr w:type="spellStart"/>
      <w:r w:rsidRPr="009F1142">
        <w:rPr>
          <w:rFonts w:ascii="Cambria" w:hAnsi="Cambria"/>
          <w:i/>
          <w:sz w:val="16"/>
          <w:szCs w:val="16"/>
        </w:rPr>
        <w:t>Espectador</w:t>
      </w:r>
      <w:proofErr w:type="spellEnd"/>
      <w:r w:rsidRPr="009F1142">
        <w:rPr>
          <w:rFonts w:ascii="Cambria" w:hAnsi="Cambria"/>
          <w:sz w:val="16"/>
          <w:szCs w:val="16"/>
        </w:rPr>
        <w:t xml:space="preserve">; 4) a statement of </w:t>
      </w:r>
      <w:proofErr w:type="spellStart"/>
      <w:r w:rsidRPr="009F1142">
        <w:rPr>
          <w:rFonts w:ascii="Cambria" w:hAnsi="Cambria"/>
          <w:sz w:val="16"/>
          <w:szCs w:val="16"/>
        </w:rPr>
        <w:t>Jineth</w:t>
      </w:r>
      <w:proofErr w:type="spellEnd"/>
      <w:r w:rsidRPr="009F1142">
        <w:rPr>
          <w:rFonts w:ascii="Cambria" w:hAnsi="Cambria"/>
          <w:sz w:val="16"/>
          <w:szCs w:val="16"/>
        </w:rPr>
        <w:t xml:space="preserve"> Bedoya’s colleagues who were also threatened; 5) a list of the inmates of the </w:t>
      </w:r>
      <w:proofErr w:type="spellStart"/>
      <w:r w:rsidRPr="009F1142">
        <w:rPr>
          <w:rFonts w:ascii="Cambria" w:hAnsi="Cambria"/>
          <w:sz w:val="16"/>
          <w:szCs w:val="16"/>
        </w:rPr>
        <w:t>Cárcel</w:t>
      </w:r>
      <w:proofErr w:type="spellEnd"/>
      <w:r w:rsidRPr="009F1142">
        <w:rPr>
          <w:rFonts w:ascii="Cambria" w:hAnsi="Cambria"/>
          <w:sz w:val="16"/>
          <w:szCs w:val="16"/>
        </w:rPr>
        <w:t xml:space="preserve"> Nacional </w:t>
      </w:r>
      <w:proofErr w:type="spellStart"/>
      <w:r w:rsidRPr="009F1142">
        <w:rPr>
          <w:rFonts w:ascii="Cambria" w:hAnsi="Cambria"/>
          <w:sz w:val="16"/>
          <w:szCs w:val="16"/>
        </w:rPr>
        <w:t>Modelo</w:t>
      </w:r>
      <w:proofErr w:type="spellEnd"/>
      <w:r w:rsidRPr="009F1142">
        <w:rPr>
          <w:rFonts w:ascii="Cambria" w:hAnsi="Cambria"/>
          <w:sz w:val="16"/>
          <w:szCs w:val="16"/>
        </w:rPr>
        <w:t xml:space="preserve"> who were at courtyards 4 and 5, and the visitor log books listing Bedoya’s visits; and 6) Bedoya’s phone call records.</w:t>
      </w:r>
    </w:p>
  </w:footnote>
  <w:footnote w:id="3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14. Office of the National Prosecutor General. Office of the Prosecutor assigned to the Bogotá Specialized Anti-kidnapping Unit [</w:t>
      </w:r>
      <w:proofErr w:type="spellStart"/>
      <w:r w:rsidRPr="009F1142">
        <w:rPr>
          <w:rFonts w:ascii="Cambria" w:hAnsi="Cambria"/>
          <w:i/>
          <w:color w:val="auto"/>
          <w:sz w:val="16"/>
          <w:szCs w:val="16"/>
        </w:rPr>
        <w:t>Grupo</w:t>
      </w:r>
      <w:proofErr w:type="spellEnd"/>
      <w:r w:rsidRPr="009F1142">
        <w:rPr>
          <w:rFonts w:ascii="Cambria" w:hAnsi="Cambria"/>
          <w:i/>
          <w:color w:val="auto"/>
          <w:sz w:val="16"/>
          <w:szCs w:val="16"/>
        </w:rPr>
        <w:t xml:space="preserve"> de </w:t>
      </w:r>
      <w:proofErr w:type="spellStart"/>
      <w:r w:rsidRPr="009F1142">
        <w:rPr>
          <w:rFonts w:ascii="Cambria" w:hAnsi="Cambria"/>
          <w:i/>
          <w:color w:val="auto"/>
          <w:sz w:val="16"/>
          <w:szCs w:val="16"/>
        </w:rPr>
        <w:t>Acción</w:t>
      </w:r>
      <w:proofErr w:type="spellEnd"/>
      <w:r w:rsidRPr="009F1142">
        <w:rPr>
          <w:rFonts w:ascii="Cambria" w:hAnsi="Cambria"/>
          <w:i/>
          <w:color w:val="auto"/>
          <w:sz w:val="16"/>
          <w:szCs w:val="16"/>
        </w:rPr>
        <w:t xml:space="preserve"> </w:t>
      </w:r>
      <w:proofErr w:type="spellStart"/>
      <w:r w:rsidRPr="009F1142">
        <w:rPr>
          <w:rFonts w:ascii="Cambria" w:hAnsi="Cambria"/>
          <w:i/>
          <w:color w:val="auto"/>
          <w:sz w:val="16"/>
          <w:szCs w:val="16"/>
        </w:rPr>
        <w:t>Unificada</w:t>
      </w:r>
      <w:proofErr w:type="spellEnd"/>
      <w:r w:rsidRPr="009F1142">
        <w:rPr>
          <w:rFonts w:ascii="Cambria" w:hAnsi="Cambria"/>
          <w:i/>
          <w:color w:val="auto"/>
          <w:sz w:val="16"/>
          <w:szCs w:val="16"/>
        </w:rPr>
        <w:t xml:space="preserve"> </w:t>
      </w:r>
      <w:proofErr w:type="spellStart"/>
      <w:r w:rsidRPr="009F1142">
        <w:rPr>
          <w:rFonts w:ascii="Cambria" w:hAnsi="Cambria"/>
          <w:i/>
          <w:color w:val="auto"/>
          <w:sz w:val="16"/>
          <w:szCs w:val="16"/>
        </w:rPr>
        <w:t>por</w:t>
      </w:r>
      <w:proofErr w:type="spellEnd"/>
      <w:r w:rsidRPr="009F1142">
        <w:rPr>
          <w:rFonts w:ascii="Cambria" w:hAnsi="Cambria"/>
          <w:i/>
          <w:color w:val="auto"/>
          <w:sz w:val="16"/>
          <w:szCs w:val="16"/>
        </w:rPr>
        <w:t xml:space="preserve"> la Libertad Personal - </w:t>
      </w:r>
      <w:r w:rsidRPr="009F1142">
        <w:rPr>
          <w:rFonts w:ascii="Cambria" w:hAnsi="Cambria"/>
          <w:color w:val="auto"/>
          <w:sz w:val="16"/>
          <w:szCs w:val="16"/>
        </w:rPr>
        <w:t>GAULA]. Minutes of May 26, 2000. Case 807, C1, pp. 14-15. Annex 12 to the communication of the petitioner received on May 29, 2015.</w:t>
      </w:r>
    </w:p>
  </w:footnote>
  <w:footnote w:id="35">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9. Office of the National Prosecutor General. UNDH. Supplemental statement  of </w:t>
      </w:r>
      <w:proofErr w:type="spellStart"/>
      <w:r w:rsidRPr="009F1142">
        <w:rPr>
          <w:rFonts w:ascii="Cambria" w:hAnsi="Cambria"/>
          <w:sz w:val="16"/>
          <w:szCs w:val="16"/>
        </w:rPr>
        <w:t>Jineth</w:t>
      </w:r>
      <w:proofErr w:type="spellEnd"/>
      <w:r w:rsidRPr="009F1142">
        <w:rPr>
          <w:rFonts w:ascii="Cambria" w:hAnsi="Cambria"/>
          <w:sz w:val="16"/>
          <w:szCs w:val="16"/>
        </w:rPr>
        <w:t xml:space="preserve"> Bedoya Lima. May 30, 2000. Case 807, C1, pp. 60-68. Annexes to the communication of the petitioner received on May 29, 2015.</w:t>
      </w:r>
    </w:p>
  </w:footnote>
  <w:footnote w:id="3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12. Office of the National Prosecutor General. Technical Investigations Unit of Villavicencio. Report No. 195 FGN.CTI.SI. May 26, 2000. Case 807, C1, pp. 17-20. Annex 12 to the communication of the petitioner received on May 29, 2015.</w:t>
      </w:r>
    </w:p>
  </w:footnote>
  <w:footnote w:id="3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15. Office of the National Prosecutor General. </w:t>
      </w:r>
      <w:r w:rsidRPr="009F1142">
        <w:rPr>
          <w:rFonts w:ascii="Cambria" w:hAnsi="Cambria"/>
          <w:color w:val="auto"/>
          <w:sz w:val="16"/>
          <w:szCs w:val="16"/>
          <w:lang w:val="fr-CA"/>
        </w:rPr>
        <w:t xml:space="preserve">Report 2803 FGN-DNCTI-SI-DE-C3-4-Z3. </w:t>
      </w:r>
      <w:r w:rsidRPr="009F1142">
        <w:rPr>
          <w:rFonts w:ascii="Cambria" w:hAnsi="Cambria"/>
          <w:color w:val="auto"/>
          <w:sz w:val="16"/>
          <w:szCs w:val="16"/>
        </w:rPr>
        <w:t>May 26, 2000. Preliminary Proceeding No. 807, C1, pp. 32-38. Annex 12 to the communication of the petitioner received on May 29, 2015.</w:t>
      </w:r>
    </w:p>
  </w:footnote>
  <w:footnote w:id="3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16. Office of the National Prosecutor General. Preliminary Proceeding No. 807. C1, pp. 39-50. Annex 12 to the communication of the petitioner received on May 29, 2015.</w:t>
      </w:r>
    </w:p>
  </w:footnote>
  <w:footnote w:id="3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17. Office of the National Prosecutor General. Statement of Mario </w:t>
      </w:r>
      <w:proofErr w:type="spellStart"/>
      <w:r w:rsidRPr="009F1142">
        <w:rPr>
          <w:rFonts w:ascii="Cambria" w:hAnsi="Cambria"/>
          <w:color w:val="auto"/>
          <w:sz w:val="16"/>
          <w:szCs w:val="16"/>
        </w:rPr>
        <w:t>Jaimes</w:t>
      </w:r>
      <w:proofErr w:type="spellEnd"/>
      <w:r w:rsidRPr="009F1142">
        <w:rPr>
          <w:rFonts w:ascii="Cambria" w:hAnsi="Cambria"/>
          <w:color w:val="auto"/>
          <w:sz w:val="16"/>
          <w:szCs w:val="16"/>
        </w:rPr>
        <w:t xml:space="preserve"> Mejia. June 2, 2000. Preliminary Proceeding No. 807. C1, pp. 76-78. Annex 12 to the communication of the petitioner received on May 29, 2015.</w:t>
      </w:r>
    </w:p>
  </w:footnote>
  <w:footnote w:id="4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18. Office of the National Prosecutor General. Resolution 0907. June 6, 2000. Preliminary Proceeding No. 807. C1, pp. 80-81. Annex 12 to the communication of the petitioner received on May 29, 2015.</w:t>
      </w:r>
    </w:p>
  </w:footnote>
  <w:footnote w:id="41">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4. Office of the National Prosecutor General. UNDH. Supplemental statement  of </w:t>
      </w:r>
      <w:proofErr w:type="spellStart"/>
      <w:r w:rsidRPr="009F1142">
        <w:rPr>
          <w:rFonts w:ascii="Cambria" w:hAnsi="Cambria"/>
          <w:sz w:val="16"/>
          <w:szCs w:val="16"/>
        </w:rPr>
        <w:t>Jineth</w:t>
      </w:r>
      <w:proofErr w:type="spellEnd"/>
      <w:r w:rsidRPr="009F1142">
        <w:rPr>
          <w:rFonts w:ascii="Cambria" w:hAnsi="Cambria"/>
          <w:sz w:val="16"/>
          <w:szCs w:val="16"/>
        </w:rPr>
        <w:t xml:space="preserve"> Bedoya Lima. June 8, 2000. Case 807, C1, pp. 85-94. Annexes to the communication of the petitioner received on May 29, 2015.</w:t>
      </w:r>
    </w:p>
  </w:footnote>
  <w:footnote w:id="4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19. Office of the National Prosecutor General. UNDH. Resolution of June 12, 2000. Case 807. Annex 12 to the communication of the petitioner received on May 29, 2015.</w:t>
      </w:r>
    </w:p>
  </w:footnote>
  <w:footnote w:id="4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20. Office of the National Prosecutor General. UNDH. Supplemental statement  procedure by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June 19, 2000. Case 807. C1, pp. 156-158. Annex 12 to the communication of the petitioner received on May 29, 2015.</w:t>
      </w:r>
    </w:p>
  </w:footnote>
  <w:footnote w:id="4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21. Office of the National Prosecutor General. UNDH. Resolution of June 19, 2000. Case 807. C1, pp. 162-163. Annex 12 to the communication of the petitioner received on May 29, 2015.</w:t>
      </w:r>
    </w:p>
  </w:footnote>
  <w:footnote w:id="4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22. Office of the National Prosecutor General. UNDH. Judicial inspection. June 20, 2000. Case 807. C2, p. 169. Annex 12 to the communication of the petitioner received on May 29, 2015.</w:t>
      </w:r>
    </w:p>
  </w:footnote>
  <w:footnote w:id="4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23. Office of the National Prosecutor General. CTI. Report No. 03342 FGN-DNCTI-SI-DE-C3-4-Z3 and attached documents (Opinion 398-EZ-LBF2000SME of the National Forensic Medicine and Sciences Institute dated June 2, 2000, and Official Communication HOCEN.BIO.EST/447 No. 1158 dated May 31 with a photocopy of the medical record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June 20, 2000. Case 807. C1, pp. 162-163. Annex 12 to the communication of the petitioner received on May 29, 2015.</w:t>
      </w:r>
    </w:p>
  </w:footnote>
  <w:footnote w:id="4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24. Office of the National Prosecutor General. CTI (illegible date). Mission No 3612.00 GDH. Report on resolution proceedings dated June 19, 2000. Case 807. C2, pp. 181-187. Annex 12 to the communication of the petitioner received on May 29, 2015.</w:t>
      </w:r>
    </w:p>
  </w:footnote>
  <w:footnote w:id="4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25. Office of the National Prosecutor General. CTI. Report No. 178-2000. Mission No 123-2000. Report on resolution proceedings dated November 8, 2000. Case 807. C2, pp. 220-263. Annex 12 to the communication of the petitioner received on May 29, 2015.</w:t>
      </w:r>
    </w:p>
  </w:footnote>
  <w:footnote w:id="4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26. Office of the National Prosecutor General. CTI. Report No. 183-2000. Mission No 123-2000. Case 807. C2, pp. 265-266. Annex 12 to the communication of the petitioner received on May 29, 2015.</w:t>
      </w:r>
    </w:p>
  </w:footnote>
  <w:footnote w:id="5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27. Office of the National Prosecutor General. CTI. Report (illegible document number and date). Mission No. 4799. Case 807. C2, pp. 361-364. Annex 12 to the communication of the petitioner received on May 29, 2015.</w:t>
      </w:r>
    </w:p>
  </w:footnote>
  <w:footnote w:id="5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28. Office of the National Prosecutor General. UNDH. Resolution dated January 23, 2001. Case 807. C2, p. 377. Annex 12 to the communication of the petitioner received on May 29, 2015.</w:t>
      </w:r>
    </w:p>
  </w:footnote>
  <w:footnote w:id="5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29. Office of the National Prosecutor General. UNDH. Resolution dated April 18, 2001. Case 807. C3, p. 1. Annex 12 to the communication of the petitioner received on May 29, 2015.</w:t>
      </w:r>
    </w:p>
  </w:footnote>
  <w:footnote w:id="5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30. Office of the National Prosecutor General. UNDH. Photo array. February 2, 2001. Case 807. C2, p. 379. Annex 12 to the communication of the petitioner received on May 29, 2015.</w:t>
      </w:r>
    </w:p>
  </w:footnote>
  <w:footnote w:id="5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31. Office of the National Prosecutor General. UNDH. Statement of </w:t>
      </w:r>
      <w:proofErr w:type="spellStart"/>
      <w:r w:rsidRPr="009F1142">
        <w:rPr>
          <w:rFonts w:ascii="Cambria" w:hAnsi="Cambria"/>
          <w:color w:val="auto"/>
          <w:sz w:val="16"/>
          <w:szCs w:val="16"/>
        </w:rPr>
        <w:t>Arle</w:t>
      </w:r>
      <w:proofErr w:type="spellEnd"/>
      <w:r w:rsidRPr="009F1142">
        <w:rPr>
          <w:rFonts w:ascii="Cambria" w:hAnsi="Cambria"/>
          <w:color w:val="auto"/>
          <w:sz w:val="16"/>
          <w:szCs w:val="16"/>
        </w:rPr>
        <w:t xml:space="preserve"> </w:t>
      </w:r>
      <w:proofErr w:type="spellStart"/>
      <w:r w:rsidRPr="009F1142">
        <w:rPr>
          <w:rFonts w:ascii="Cambria" w:hAnsi="Cambria"/>
          <w:color w:val="auto"/>
          <w:sz w:val="16"/>
          <w:szCs w:val="16"/>
        </w:rPr>
        <w:t>Olaya</w:t>
      </w:r>
      <w:proofErr w:type="spellEnd"/>
      <w:r w:rsidRPr="009F1142">
        <w:rPr>
          <w:rFonts w:ascii="Cambria" w:hAnsi="Cambria"/>
          <w:color w:val="auto"/>
          <w:sz w:val="16"/>
          <w:szCs w:val="16"/>
        </w:rPr>
        <w:t>. April 26, 2001. Case 807. C3, pp. 6-9. Annex 12 to the communication of the petitioner received on May 29, 2015.</w:t>
      </w:r>
    </w:p>
  </w:footnote>
  <w:footnote w:id="5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32. Office of the National Prosecutor General. UNDH. Official Communication FGN CTI GDH 0039422/C6. December 10. Transmission of Report No. 6191 by the CTI. Case 807. C3, pp. 12-16. Annex 12 to the communication of the petitioner received on May 29, 2015.</w:t>
      </w:r>
    </w:p>
  </w:footnote>
  <w:footnote w:id="5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33. Office of the National Prosecutor General. UNDH. Resolution dated April 1, 2002. Case 807. C3, p. 17. Annex 12 to the communication of the petitioner received on May 29, 2015.</w:t>
      </w:r>
    </w:p>
  </w:footnote>
  <w:footnote w:id="5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lang w:val="es-ES"/>
        </w:rPr>
        <w:t xml:space="preserve"> </w:t>
      </w:r>
      <w:proofErr w:type="spellStart"/>
      <w:r w:rsidRPr="009F1142">
        <w:rPr>
          <w:rFonts w:ascii="Cambria" w:hAnsi="Cambria"/>
          <w:color w:val="auto"/>
          <w:sz w:val="16"/>
          <w:szCs w:val="16"/>
          <w:lang w:val="es-US"/>
        </w:rPr>
        <w:t>Annex</w:t>
      </w:r>
      <w:proofErr w:type="spellEnd"/>
      <w:r w:rsidRPr="009F1142">
        <w:rPr>
          <w:rFonts w:ascii="Cambria" w:hAnsi="Cambria"/>
          <w:color w:val="auto"/>
          <w:sz w:val="16"/>
          <w:szCs w:val="16"/>
          <w:lang w:val="es-US"/>
        </w:rPr>
        <w:t xml:space="preserve"> 34. </w:t>
      </w:r>
      <w:proofErr w:type="spellStart"/>
      <w:r w:rsidRPr="009F1142">
        <w:rPr>
          <w:rFonts w:ascii="Cambria" w:hAnsi="Cambria"/>
          <w:color w:val="auto"/>
          <w:sz w:val="16"/>
          <w:szCs w:val="16"/>
          <w:lang w:val="es-US"/>
        </w:rPr>
        <w:t>Newspaper</w:t>
      </w:r>
      <w:proofErr w:type="spellEnd"/>
      <w:r w:rsidRPr="009F1142">
        <w:rPr>
          <w:rFonts w:ascii="Cambria" w:hAnsi="Cambria"/>
          <w:color w:val="auto"/>
          <w:sz w:val="16"/>
          <w:szCs w:val="16"/>
          <w:lang w:val="es-US"/>
        </w:rPr>
        <w:t xml:space="preserve"> </w:t>
      </w:r>
      <w:r w:rsidRPr="009F1142">
        <w:rPr>
          <w:rFonts w:ascii="Cambria" w:hAnsi="Cambria"/>
          <w:i/>
          <w:color w:val="auto"/>
          <w:sz w:val="16"/>
          <w:szCs w:val="16"/>
          <w:lang w:val="es-US"/>
        </w:rPr>
        <w:t>El Espectador</w:t>
      </w:r>
      <w:r w:rsidRPr="009F1142">
        <w:rPr>
          <w:rFonts w:ascii="Cambria" w:hAnsi="Cambria"/>
          <w:color w:val="auto"/>
          <w:sz w:val="16"/>
          <w:szCs w:val="16"/>
          <w:lang w:val="es-US"/>
        </w:rPr>
        <w:t xml:space="preserve">. UNDH. </w:t>
      </w:r>
      <w:r w:rsidRPr="009F1142">
        <w:rPr>
          <w:rFonts w:ascii="Cambria" w:hAnsi="Cambria"/>
          <w:color w:val="auto"/>
          <w:sz w:val="16"/>
          <w:szCs w:val="16"/>
        </w:rPr>
        <w:t>Note of April 12, 2002, and annexes. Case 807. C3, pp. 20-24. Annex 12 to the communication of the petitioner received on May 29, 2015.</w:t>
      </w:r>
    </w:p>
  </w:footnote>
  <w:footnote w:id="5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35. Office of the National Prosecutor General. UNDH. Resolution dated August 28, 2002 and Official Communication No. 155. Case 807. C3, pp. 26-7. Annex 12 to the communication of the petitioner received on May 29, 2015.</w:t>
      </w:r>
    </w:p>
  </w:footnote>
  <w:footnote w:id="5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36. Office of the National Prosecutor General. UNDH. Report No. 01429 dated April 1, 2003. Case 807. C3, pp. 30-35. Annex 12 to the communication of the petitioner received on May 29, 2015.</w:t>
      </w:r>
    </w:p>
  </w:footnote>
  <w:footnote w:id="6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37. Note dated April 25, 2003, signed by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and annexes. Case 807. C3, pp. 36-50. Annex 12 to the communication of the petitioner received on May 29, 2015.</w:t>
      </w:r>
    </w:p>
  </w:footnote>
  <w:footnote w:id="6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38. Office of the National Prosecutor General. UNDH. Supplemental statement  procedure by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May 22, 2003. Case 807. C3, pp. 59-67. Annex 12 to the communication of the petitioner received on May 29, 2015.</w:t>
      </w:r>
    </w:p>
  </w:footnote>
  <w:footnote w:id="6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39. Office of the National Prosecutor General. UNDH. Statement of Oscar Alberto </w:t>
      </w:r>
      <w:proofErr w:type="spellStart"/>
      <w:r w:rsidRPr="009F1142">
        <w:rPr>
          <w:rFonts w:ascii="Cambria" w:hAnsi="Cambria"/>
          <w:color w:val="auto"/>
          <w:sz w:val="16"/>
          <w:szCs w:val="16"/>
        </w:rPr>
        <w:t>Tarazona</w:t>
      </w:r>
      <w:proofErr w:type="spellEnd"/>
      <w:r w:rsidRPr="009F1142">
        <w:rPr>
          <w:rFonts w:ascii="Cambria" w:hAnsi="Cambria"/>
          <w:color w:val="auto"/>
          <w:sz w:val="16"/>
          <w:szCs w:val="16"/>
        </w:rPr>
        <w:t>. June 19, 2003. Case 807. C3, pp. 72-75. Annex 12 to the communication of the petitioner received on May 29, 2015.</w:t>
      </w:r>
    </w:p>
  </w:footnote>
  <w:footnote w:id="6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40. Office of the National Prosecutor General. UNDH. Resolution dated August 26, 2003. Case 807. C3, p. 76. Annex 12 to the communication of the petitioner received on May 29, 2015.</w:t>
      </w:r>
    </w:p>
  </w:footnote>
  <w:footnote w:id="6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41. Office of the National Prosecutor General. UNDH. Official Communication of September 23, 2003. Case 807. C3, p. 80. Annex 12 to the communication of the petitioner received on May 29, 2015.</w:t>
      </w:r>
    </w:p>
  </w:footnote>
  <w:footnote w:id="6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42. Office of the National Prosecutor General. UNDH. CTI. Report No. 155406 dated February 27, 2004. Case 807. C3, pp. 93-113. Annex 12 to the communication of the petitioner received on May 29, 2015.</w:t>
      </w:r>
    </w:p>
  </w:footnote>
  <w:footnote w:id="6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43. Office of the National Prosecutor General. UNDH. Voluntary Statement of José Ricardo Rodríguez. May 11, 2004. Case 807. C3, pp. 123-126. Annex 12 to the communication of the petitioner received on May 29, 2015.</w:t>
      </w:r>
    </w:p>
  </w:footnote>
  <w:footnote w:id="6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44. Office of the National Prosecutor General. UNDH. Resolution dated June 29, 2004. Case 807. C3, pp. 129-130. Annex 12 to the communication of the petitioner received on May 29, 2015.</w:t>
      </w:r>
    </w:p>
  </w:footnote>
  <w:footnote w:id="6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45. Office of the National Prosecutor General. UNDH. CTI. Report No. 077 CTI-UDH-DIH dated October 1, 2004. Case 807. C3, pp. 148-150. Annex 12 to the communication of the petitioner received on May 29, 2015.</w:t>
      </w:r>
    </w:p>
  </w:footnote>
  <w:footnote w:id="6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46. Office of the National Prosecutor General. UNDH. Resolution dated January 31, 2004. Case 807. C3, pp. 155-156. Annex 12 to the communication of the petitioner received on May 29, 2015.</w:t>
      </w:r>
    </w:p>
  </w:footnote>
  <w:footnote w:id="7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47. Office of the National Prosecutor General. UNDH. CTI. Report No. 1530 FGN-SIA-CTI dated April 13, 2004. Case 807. C3, pp. 158-159. Annex 12 to the communication of the petitioner received on May 29, 2015.</w:t>
      </w:r>
    </w:p>
  </w:footnote>
  <w:footnote w:id="7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47. Office of the National Prosecutor General. UNDH. CTI. Report No. 1530 FGN-SIA-CTI dated April 13, 2004. Case 807. C3, pp. 158-169. Annex 12 to the communication of the petitioner received on May 29, 2015.</w:t>
      </w:r>
    </w:p>
  </w:footnote>
  <w:footnote w:id="7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48. Office of the National Prosecutor General. UNDH. Resolution dated August 13, 2004. Case 807. C3, p. 200. Annex 12 to the communication of the petitioner received on May 29, 2015.</w:t>
      </w:r>
    </w:p>
  </w:footnote>
  <w:footnote w:id="7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49. Office of the National Prosecutor General. UNDH. Supplemental statement  procedure by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August 28, 2007. Case 807. C3, pp. 203-206. Annex 12 to the communication of the petitioner received on May 29, 2015.</w:t>
      </w:r>
    </w:p>
  </w:footnote>
  <w:footnote w:id="7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50. Office of the National Prosecutor General. UNDH. CTI. Report No. 362253 FGN-CTI-DI dated September 15, 2007. Case 807. C3, pp. 207-209. Annex 12 to the communication of the petitioner received on May 29, 2015.</w:t>
      </w:r>
    </w:p>
  </w:footnote>
  <w:footnote w:id="7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51. Office of the National Prosecutor General. UNDH. CTI. Report No. 369037 FGN-DSCTI-UPE dated April 13, 2004. Case 807. C3, pp. 228-231. Annex 12 to the communication of the petitioner received on May 29, 2015.</w:t>
      </w:r>
    </w:p>
  </w:footnote>
  <w:footnote w:id="7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52. Office of the National Prosecutor General. UNDH. Resolution dated August 21, 2008. Case 807. C3, pp. 251-253. Annex 12 to the communication of the petitioner received on May 29, 2015.</w:t>
      </w:r>
    </w:p>
  </w:footnote>
  <w:footnote w:id="77">
    <w:p w:rsidR="00637A06" w:rsidRPr="009F1142" w:rsidRDefault="00637A06" w:rsidP="009F1142">
      <w:pPr>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53. Constitutional Court of Colombia. Ruling 092</w:t>
      </w:r>
      <w:r w:rsidR="00BC49D6" w:rsidRPr="009F1142">
        <w:rPr>
          <w:rFonts w:ascii="Cambria" w:hAnsi="Cambria"/>
          <w:sz w:val="16"/>
          <w:szCs w:val="16"/>
        </w:rPr>
        <w:t xml:space="preserve"> of 2008</w:t>
      </w:r>
      <w:r w:rsidRPr="009F1142">
        <w:rPr>
          <w:rFonts w:ascii="Cambria" w:hAnsi="Cambria"/>
          <w:sz w:val="16"/>
          <w:szCs w:val="16"/>
        </w:rPr>
        <w:t>.</w:t>
      </w:r>
      <w:r w:rsidR="00BC49D6" w:rsidRPr="009F1142">
        <w:rPr>
          <w:rFonts w:ascii="Cambria" w:hAnsi="Cambria"/>
          <w:sz w:val="16"/>
          <w:szCs w:val="16"/>
        </w:rPr>
        <w:t xml:space="preserve"> </w:t>
      </w:r>
      <w:r w:rsidR="00A36AE0">
        <w:rPr>
          <w:rFonts w:ascii="Cambria" w:hAnsi="Cambria"/>
          <w:sz w:val="16"/>
          <w:szCs w:val="16"/>
        </w:rPr>
        <w:t xml:space="preserve">J. Manuel Jose </w:t>
      </w:r>
      <w:proofErr w:type="spellStart"/>
      <w:r w:rsidR="00A36AE0">
        <w:rPr>
          <w:rFonts w:ascii="Cambria" w:hAnsi="Cambria"/>
          <w:sz w:val="16"/>
          <w:szCs w:val="16"/>
        </w:rPr>
        <w:t>Cepeda</w:t>
      </w:r>
      <w:proofErr w:type="spellEnd"/>
      <w:r w:rsidR="00A36AE0">
        <w:rPr>
          <w:rFonts w:ascii="Cambria" w:hAnsi="Cambria"/>
          <w:sz w:val="16"/>
          <w:szCs w:val="16"/>
        </w:rPr>
        <w:t xml:space="preserve"> Espinosa.</w:t>
      </w:r>
      <w:r w:rsidRPr="009F1142">
        <w:rPr>
          <w:rFonts w:ascii="Cambria" w:hAnsi="Cambria"/>
          <w:sz w:val="16"/>
          <w:szCs w:val="16"/>
        </w:rPr>
        <w:t xml:space="preserve"> April 14, 2008. Annex 17 to the communication of the petitioner received on May 29, 2015.</w:t>
      </w:r>
      <w:r w:rsidR="00BC49D6" w:rsidRPr="009F1142">
        <w:rPr>
          <w:rFonts w:ascii="Cambria" w:hAnsi="Cambria"/>
          <w:sz w:val="16"/>
          <w:szCs w:val="16"/>
        </w:rPr>
        <w:t xml:space="preserve"> </w:t>
      </w:r>
    </w:p>
  </w:footnote>
  <w:footnote w:id="78">
    <w:p w:rsidR="00637A06" w:rsidRPr="009F1142" w:rsidRDefault="00637A06" w:rsidP="009F1142">
      <w:pPr>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54. Constitutional Court of Colombia. Fifth follow-up report on Ruling 092 of the Constitutional Court of Colombia (Classified). Annex. October 2013. Annex 19 to the communication of the petitioner received on May 29, 2015.</w:t>
      </w:r>
    </w:p>
  </w:footnote>
  <w:footnote w:id="7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55. Office of the National Prosecutor General. UNDH. Case 807. Annex 12 to the communication of the petitioner received on May 29, 2015.</w:t>
      </w:r>
    </w:p>
  </w:footnote>
  <w:footnote w:id="8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56. Department of Criminal Investigations. Resolution dated January 7, 2009. Case 807. C3, pp. 257-258. Annex 12 to the communication of the petitioner received on May 29, 2015.</w:t>
      </w:r>
    </w:p>
  </w:footnote>
  <w:footnote w:id="8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57. Office of the National Prosecutor General. UNDH. Resolution dated January 7, 2009. Case 807. C3, pp. 263-266. Annex 12 to the communication of the petitioner received on May 29, 2015.</w:t>
      </w:r>
    </w:p>
  </w:footnote>
  <w:footnote w:id="8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58. Office of the National Prosecutor General. UNDH. Statement of Mario </w:t>
      </w:r>
      <w:proofErr w:type="spellStart"/>
      <w:r w:rsidRPr="009F1142">
        <w:rPr>
          <w:rFonts w:ascii="Cambria" w:hAnsi="Cambria"/>
          <w:color w:val="auto"/>
          <w:sz w:val="16"/>
          <w:szCs w:val="16"/>
        </w:rPr>
        <w:t>Jaimes</w:t>
      </w:r>
      <w:proofErr w:type="spellEnd"/>
      <w:r w:rsidRPr="009F1142">
        <w:rPr>
          <w:rFonts w:ascii="Cambria" w:hAnsi="Cambria"/>
          <w:color w:val="auto"/>
          <w:sz w:val="16"/>
          <w:szCs w:val="16"/>
        </w:rPr>
        <w:t xml:space="preserve"> Mejia. September 18, 2009. Case 807. C3, pp. 297-299. Annex 12 to the communication of the petitioner received on May 29, 2015.</w:t>
      </w:r>
    </w:p>
  </w:footnote>
  <w:footnote w:id="8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59. Office of the National Prosecutor General. UNDH. Resolution dated December 30, 2009. Case 807. C4, p. 9. Annex 12 to the communication of the petitioner received on May 29, 2015.</w:t>
      </w:r>
    </w:p>
  </w:footnote>
  <w:footnote w:id="8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60. Office of the National Prosecutor General. UNDH. Resolution dated February 1, 2010. Case 807. C3, pp. 263-266. Annex 12 to the communication of the petitioner received on May 29, 2015</w:t>
      </w:r>
      <w:r w:rsidRPr="009F1142">
        <w:rPr>
          <w:rFonts w:ascii="Cambria" w:hAnsi="Cambria"/>
          <w:sz w:val="16"/>
          <w:szCs w:val="16"/>
        </w:rPr>
        <w:t>.</w:t>
      </w:r>
    </w:p>
  </w:footnote>
  <w:footnote w:id="8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61. Ministry of National Defense. National Police. Department of Criminal Investigations and Interpol. Official Communication No. 0796 and annexes. March 4, 2010. Case 807. C4, pp. 15-18. Annex 12 to the communication of the petitioner received on May 29, 2015.</w:t>
      </w:r>
    </w:p>
  </w:footnote>
  <w:footnote w:id="86">
    <w:p w:rsidR="00637A06" w:rsidRPr="009F1142" w:rsidRDefault="00637A06" w:rsidP="009F1142">
      <w:pPr>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62. National Institute of Concessions. Communication to the Prosecutions Assistant II UNHR and IHL, dated February 8, 2010. Annex to the communication of the petitioners received on June 20, 2011.</w:t>
      </w:r>
    </w:p>
  </w:footnote>
  <w:footnote w:id="8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63. Office of the National Prosecutor General. UNDH. Resolution dated July 27, 2010. Case 807. C4, p. 34. Annex 12 to the communication of the petitioner received on May 29, 2015.</w:t>
      </w:r>
    </w:p>
  </w:footnote>
  <w:footnote w:id="8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64. Office of the National Prosecutor General. UNDH. Supplementary complaint filed by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August 11, 2010. Case 807. C4, pp. 41-42. Annex 12 to the communication of the petitioner received on May 29, 2015.</w:t>
      </w:r>
    </w:p>
  </w:footnote>
  <w:footnote w:id="8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65. Office of the National Prosecutor General. UNDH. Resolution dated August 12, 2010. Case 807. C4, p. 44. Annex 12 to the communication of the petitioner received on May 29, 2015.</w:t>
      </w:r>
    </w:p>
  </w:footnote>
  <w:footnote w:id="9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66. Office of the National Prosecutor General. UNDH. Statement of </w:t>
      </w:r>
      <w:proofErr w:type="spellStart"/>
      <w:r w:rsidRPr="009F1142">
        <w:rPr>
          <w:rFonts w:ascii="Cambria" w:hAnsi="Cambria"/>
          <w:color w:val="auto"/>
          <w:sz w:val="16"/>
          <w:szCs w:val="16"/>
        </w:rPr>
        <w:t>Jhon</w:t>
      </w:r>
      <w:proofErr w:type="spellEnd"/>
      <w:r w:rsidRPr="009F1142">
        <w:rPr>
          <w:rFonts w:ascii="Cambria" w:hAnsi="Cambria"/>
          <w:color w:val="auto"/>
          <w:sz w:val="16"/>
          <w:szCs w:val="16"/>
        </w:rPr>
        <w:t xml:space="preserve"> Jairo Velázquez </w:t>
      </w:r>
      <w:proofErr w:type="spellStart"/>
      <w:r w:rsidRPr="009F1142">
        <w:rPr>
          <w:rFonts w:ascii="Cambria" w:hAnsi="Cambria"/>
          <w:color w:val="auto"/>
          <w:sz w:val="16"/>
          <w:szCs w:val="16"/>
        </w:rPr>
        <w:t>Vásquez</w:t>
      </w:r>
      <w:proofErr w:type="spellEnd"/>
      <w:r w:rsidRPr="009F1142">
        <w:rPr>
          <w:rFonts w:ascii="Cambria" w:hAnsi="Cambria"/>
          <w:color w:val="auto"/>
          <w:sz w:val="16"/>
          <w:szCs w:val="16"/>
        </w:rPr>
        <w:t xml:space="preserve"> dated September 9, 2010. Case 807. C4, pp. 48-52. Annex 12 to the communication of the petitioner received on May 29, 2015.</w:t>
      </w:r>
    </w:p>
  </w:footnote>
  <w:footnote w:id="9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67. Office of the National Prosecutor General. UNDH. CTI. Report No. 571005 dated November 12, 2010. Case 807. C4, unnumbered. Annex 12 to the communication of the petitioner received on May 29, 2015.</w:t>
      </w:r>
    </w:p>
  </w:footnote>
  <w:footnote w:id="9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lang w:val="es-ES"/>
        </w:rPr>
        <w:t xml:space="preserve"> </w:t>
      </w:r>
      <w:proofErr w:type="spellStart"/>
      <w:r w:rsidRPr="009F1142">
        <w:rPr>
          <w:rFonts w:ascii="Cambria" w:hAnsi="Cambria"/>
          <w:color w:val="auto"/>
          <w:sz w:val="16"/>
          <w:szCs w:val="16"/>
          <w:lang w:val="es-US"/>
        </w:rPr>
        <w:t>Annex</w:t>
      </w:r>
      <w:proofErr w:type="spellEnd"/>
      <w:r w:rsidRPr="009F1142">
        <w:rPr>
          <w:rFonts w:ascii="Cambria" w:hAnsi="Cambria"/>
          <w:color w:val="auto"/>
          <w:sz w:val="16"/>
          <w:szCs w:val="16"/>
          <w:lang w:val="es-US"/>
        </w:rPr>
        <w:t xml:space="preserve"> 68. Fundación para la Libertad de Prensa. </w:t>
      </w:r>
      <w:r w:rsidRPr="009F1142">
        <w:rPr>
          <w:rFonts w:ascii="Cambria" w:hAnsi="Cambria"/>
          <w:color w:val="auto"/>
          <w:sz w:val="16"/>
          <w:szCs w:val="16"/>
        </w:rPr>
        <w:t>Communications of April 12 and 19, 2011. Case 807. C4, pp. 120-137. Annex 12 to the communication of the petitioner received on May 29, 2015.</w:t>
      </w:r>
    </w:p>
  </w:footnote>
  <w:footnote w:id="9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69. Office of the National Prosecutor General. UNDH. Resolution dated April 14, 2010. Case 807. C4, pp. 118. Annex 12 to the communication of the petitioner received on May 29, 2015.</w:t>
      </w:r>
    </w:p>
  </w:footnote>
  <w:footnote w:id="9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70. Office of the National Prosecutor General. UNDH. Resolution dated April 29, 2010. Case 807. C4, pp. 139-140. Annex 12 to the communication of the petitioner received on May 29, 2015.</w:t>
      </w:r>
    </w:p>
  </w:footnote>
  <w:footnote w:id="9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lang w:val="es-ES"/>
        </w:rPr>
        <w:t xml:space="preserve"> </w:t>
      </w:r>
      <w:proofErr w:type="spellStart"/>
      <w:r w:rsidRPr="009F1142">
        <w:rPr>
          <w:rFonts w:ascii="Cambria" w:hAnsi="Cambria"/>
          <w:color w:val="auto"/>
          <w:sz w:val="16"/>
          <w:szCs w:val="16"/>
          <w:lang w:val="es-US"/>
        </w:rPr>
        <w:t>Annex</w:t>
      </w:r>
      <w:proofErr w:type="spellEnd"/>
      <w:r w:rsidRPr="009F1142">
        <w:rPr>
          <w:rFonts w:ascii="Cambria" w:hAnsi="Cambria"/>
          <w:color w:val="auto"/>
          <w:sz w:val="16"/>
          <w:szCs w:val="16"/>
          <w:lang w:val="es-US"/>
        </w:rPr>
        <w:t xml:space="preserve"> 71. Fundación para la Libertad de Prensa. </w:t>
      </w:r>
      <w:r w:rsidRPr="009F1142">
        <w:rPr>
          <w:rFonts w:ascii="Cambria" w:hAnsi="Cambria"/>
          <w:color w:val="auto"/>
          <w:sz w:val="16"/>
          <w:szCs w:val="16"/>
        </w:rPr>
        <w:t>Communication of May 2, 2011. Case 807. C4, pp. 144-151. Annex 12 to the communication of the petitioner received on May 29, 2015.</w:t>
      </w:r>
    </w:p>
  </w:footnote>
  <w:footnote w:id="9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lang w:val="es-ES"/>
        </w:rPr>
        <w:t xml:space="preserve"> </w:t>
      </w:r>
      <w:proofErr w:type="spellStart"/>
      <w:r w:rsidRPr="009F1142">
        <w:rPr>
          <w:rFonts w:ascii="Cambria" w:hAnsi="Cambria"/>
          <w:color w:val="auto"/>
          <w:sz w:val="16"/>
          <w:szCs w:val="16"/>
          <w:lang w:val="es-US"/>
        </w:rPr>
        <w:t>Annex</w:t>
      </w:r>
      <w:proofErr w:type="spellEnd"/>
      <w:r w:rsidRPr="009F1142">
        <w:rPr>
          <w:rFonts w:ascii="Cambria" w:hAnsi="Cambria"/>
          <w:color w:val="auto"/>
          <w:sz w:val="16"/>
          <w:szCs w:val="16"/>
          <w:lang w:val="es-US"/>
        </w:rPr>
        <w:t xml:space="preserve"> 72. Fundación para la Libertad de Prensa. </w:t>
      </w:r>
      <w:r w:rsidRPr="009F1142">
        <w:rPr>
          <w:rFonts w:ascii="Cambria" w:hAnsi="Cambria"/>
          <w:color w:val="auto"/>
          <w:sz w:val="16"/>
          <w:szCs w:val="16"/>
        </w:rPr>
        <w:t>Communication dated May 4, 2011. Case 807. C4, pp. 153-172. Annex 12 to the communication of the petitioner received on May 29, 2015.</w:t>
      </w:r>
    </w:p>
  </w:footnote>
  <w:footnote w:id="9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73. Office of the National Prosecutor General. UNDH. CTI. Report No. 602029 dated April 29, 2011. Case 807. C4, pp. 173-176. Annex 12 to the communication of the petitioner received on May 29, 2015.</w:t>
      </w:r>
    </w:p>
  </w:footnote>
  <w:footnote w:id="9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74. Office of the National Prosecutor General. UNDH. Resolution dated April 29, 2011. Case 807. C4, pp. 191-198. Annex 12 to the communication of the petitioner received on May 29, 2015.</w:t>
      </w:r>
    </w:p>
  </w:footnote>
  <w:footnote w:id="9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75. Office of the National Prosecutor General. UNDH. Statement of Mario </w:t>
      </w:r>
      <w:proofErr w:type="spellStart"/>
      <w:r w:rsidRPr="009F1142">
        <w:rPr>
          <w:rFonts w:ascii="Cambria" w:hAnsi="Cambria"/>
          <w:color w:val="auto"/>
          <w:sz w:val="16"/>
          <w:szCs w:val="16"/>
        </w:rPr>
        <w:t>Jaimes</w:t>
      </w:r>
      <w:proofErr w:type="spellEnd"/>
      <w:r w:rsidRPr="009F1142">
        <w:rPr>
          <w:rFonts w:ascii="Cambria" w:hAnsi="Cambria"/>
          <w:color w:val="auto"/>
          <w:sz w:val="16"/>
          <w:szCs w:val="16"/>
        </w:rPr>
        <w:t xml:space="preserve"> Mejia dated May 24, 2011. Case 807. C4, pp. 229-230. Annex 12 to the communication of the petitioner received on May 29, 2015.</w:t>
      </w:r>
    </w:p>
  </w:footnote>
  <w:footnote w:id="10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76. Office of the National Prosecutor General. UNDH. Resolution dated June 8, 2011. Case 807. C4, pp. 243-246. Annex 12 to the communication of the petitioner received on May 29, 2015.</w:t>
      </w:r>
    </w:p>
  </w:footnote>
  <w:footnote w:id="10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77. Office of the National Prosecutor General. UNDH. Decision dated June 22, 2011. Case 807. C4, p. 284. Annex 12 to the communication of the petitioner received on May 29, 2015.</w:t>
      </w:r>
    </w:p>
  </w:footnote>
  <w:footnote w:id="10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78. Office of the National Prosecutor General. UNDH. CTI. Report No. 611687 dated June 29, 2011 and annexes. Case 807. C4 and C5, p. 287 ff. Annex 12 to the communication of the petitioner received on May 29, 2015.</w:t>
      </w:r>
    </w:p>
  </w:footnote>
  <w:footnote w:id="10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79. Office of the National Prosecutor General. UNDH. Resolution dated July 22, 2011. Case 807. C5, p. 90. Annex 12 to the communication of the petitioner received on May 29, 2015.</w:t>
      </w:r>
    </w:p>
  </w:footnote>
  <w:footnote w:id="10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80. Office of the National Prosecutor General. UNDH. CTI. Report No. 618177 dated June 29, 2011. Case 807. C5, pp. 101-104. Annex 12 to the communication of the petitioner received on May 29, 2015.</w:t>
      </w:r>
    </w:p>
  </w:footnote>
  <w:footnote w:id="10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81. Office of the National Prosecutor General. UNDH. Order to Open Pretrial Investigation [</w:t>
      </w:r>
      <w:proofErr w:type="spellStart"/>
      <w:r w:rsidRPr="009F1142">
        <w:rPr>
          <w:rFonts w:ascii="Cambria" w:hAnsi="Cambria"/>
          <w:i/>
          <w:color w:val="auto"/>
          <w:sz w:val="16"/>
          <w:szCs w:val="16"/>
        </w:rPr>
        <w:t>Apertura</w:t>
      </w:r>
      <w:proofErr w:type="spellEnd"/>
      <w:r w:rsidRPr="009F1142">
        <w:rPr>
          <w:rFonts w:ascii="Cambria" w:hAnsi="Cambria"/>
          <w:i/>
          <w:color w:val="auto"/>
          <w:sz w:val="16"/>
          <w:szCs w:val="16"/>
        </w:rPr>
        <w:t xml:space="preserve"> de </w:t>
      </w:r>
      <w:proofErr w:type="spellStart"/>
      <w:r w:rsidRPr="009F1142">
        <w:rPr>
          <w:rFonts w:ascii="Cambria" w:hAnsi="Cambria"/>
          <w:i/>
          <w:color w:val="auto"/>
          <w:sz w:val="16"/>
          <w:szCs w:val="16"/>
        </w:rPr>
        <w:t>Instrucción</w:t>
      </w:r>
      <w:proofErr w:type="spellEnd"/>
      <w:r w:rsidRPr="009F1142">
        <w:rPr>
          <w:rFonts w:ascii="Cambria" w:hAnsi="Cambria"/>
          <w:color w:val="auto"/>
          <w:sz w:val="16"/>
          <w:szCs w:val="16"/>
        </w:rPr>
        <w:t>] August 5, 2011. Case 807. C 5, pp. 112-116. Annex 12 to the communication of the petitioner received on May 29, 2015.</w:t>
      </w:r>
    </w:p>
  </w:footnote>
  <w:footnote w:id="10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82. Office of the National Prosecutor General. UNDH. Decision of August 11, 2011. Case 807. C5, p. 126. Annex 12 to the communication of the petitioner received on May 29, 2015.</w:t>
      </w:r>
    </w:p>
  </w:footnote>
  <w:footnote w:id="10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83. Ministry of National Defense. National Police. No. 0991-DIPON-SEGEN-ARJUR-15.1. Statement of Oscar Naranjo Trujillo. August 18, 2011. Case 807. C5, pp. 153-161. Annex 12 to the communication of the petitioner received on May 29, 2015.</w:t>
      </w:r>
    </w:p>
  </w:footnote>
  <w:footnote w:id="10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84. Office of the National Prosecutor General. UNDH. Resolution No. 000172 dated August 23, 2011. Case 807. C5, pp. 163-166. Annex 12 to the communication of the petitioner received on May 29, 2015.</w:t>
      </w:r>
    </w:p>
  </w:footnote>
  <w:footnote w:id="10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85. Office of the National Prosecutor General. UNDH. Resolution dated September 2, 2011. Case 807. C5, pp. 169-171. Annex 12 to the communication of the petitioner received on May 29, 2015.</w:t>
      </w:r>
    </w:p>
  </w:footnote>
  <w:footnote w:id="11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86. Office of the National Prosecutor General. National Prosecution Unit for Justice and Peace. Case 807. C8, pp. 24-32. Annex 12 to the communication of the petitioner received on May 29, 2015.</w:t>
      </w:r>
    </w:p>
  </w:footnote>
  <w:footnote w:id="11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87. Office of the National Prosecutor General. UNDH. Office of the 49</w:t>
      </w:r>
      <w:r w:rsidRPr="009F1142">
        <w:rPr>
          <w:rFonts w:ascii="Cambria" w:hAnsi="Cambria"/>
          <w:color w:val="auto"/>
          <w:sz w:val="16"/>
          <w:szCs w:val="16"/>
          <w:vertAlign w:val="superscript"/>
        </w:rPr>
        <w:t>th</w:t>
      </w:r>
      <w:r w:rsidRPr="009F1142">
        <w:rPr>
          <w:rFonts w:ascii="Cambria" w:hAnsi="Cambria"/>
          <w:color w:val="auto"/>
          <w:sz w:val="16"/>
          <w:szCs w:val="16"/>
        </w:rPr>
        <w:t xml:space="preserve"> Special Prosecutor. Resolution dated September 13, 2011. Case 807. C8, pp. 11-12. Annex 12 to the communication of the petitioner received on May 29, 2015; and Annex 88. Office of the National Prosecutor General. UNDH. Office of the 49</w:t>
      </w:r>
      <w:r w:rsidRPr="009F1142">
        <w:rPr>
          <w:rFonts w:ascii="Cambria" w:hAnsi="Cambria"/>
          <w:color w:val="auto"/>
          <w:sz w:val="16"/>
          <w:szCs w:val="16"/>
          <w:vertAlign w:val="superscript"/>
        </w:rPr>
        <w:t xml:space="preserve">th </w:t>
      </w:r>
      <w:r w:rsidRPr="009F1142">
        <w:rPr>
          <w:rFonts w:ascii="Cambria" w:hAnsi="Cambria"/>
          <w:color w:val="auto"/>
          <w:sz w:val="16"/>
          <w:szCs w:val="16"/>
        </w:rPr>
        <w:t>Special Prosecutor. Resolution dated October 12, 2011. Case 807. C8, pp. 46-50. Annex 12 to the communication of the petitioner received on May 29, 2015.</w:t>
      </w:r>
    </w:p>
  </w:footnote>
  <w:footnote w:id="11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89. Office of the National Prosecutor General. UNDH. Statement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dated November 26, 2011. Case 807. C8, pp. 267-274. Annex 12 to the communication of the petitioner received on May 29, 2015.</w:t>
      </w:r>
    </w:p>
  </w:footnote>
  <w:footnote w:id="11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90. Office of the National Prosecutor General. UNDH. Office of the 49</w:t>
      </w:r>
      <w:r w:rsidRPr="009F1142">
        <w:rPr>
          <w:rFonts w:ascii="Cambria" w:hAnsi="Cambria"/>
          <w:color w:val="auto"/>
          <w:sz w:val="16"/>
          <w:szCs w:val="16"/>
          <w:vertAlign w:val="superscript"/>
        </w:rPr>
        <w:t>th</w:t>
      </w:r>
      <w:r w:rsidRPr="009F1142">
        <w:rPr>
          <w:rFonts w:ascii="Cambria" w:hAnsi="Cambria"/>
          <w:color w:val="auto"/>
          <w:sz w:val="16"/>
          <w:szCs w:val="16"/>
        </w:rPr>
        <w:t xml:space="preserve"> Special Prosecutor. Resolution dated November 26, 2011. Case 807. C8, p. 275. Annex 12 to the communication of the petitioner received on May 29, 2015.</w:t>
      </w:r>
    </w:p>
  </w:footnote>
  <w:footnote w:id="11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91. Office of the National Prosecutor General. UNDH. Office of the 49</w:t>
      </w:r>
      <w:r w:rsidRPr="009F1142">
        <w:rPr>
          <w:rFonts w:ascii="Cambria" w:hAnsi="Cambria"/>
          <w:color w:val="auto"/>
          <w:sz w:val="16"/>
          <w:szCs w:val="16"/>
          <w:vertAlign w:val="superscript"/>
        </w:rPr>
        <w:t>th</w:t>
      </w:r>
      <w:r w:rsidRPr="009F1142">
        <w:rPr>
          <w:rFonts w:ascii="Cambria" w:hAnsi="Cambria"/>
          <w:color w:val="auto"/>
          <w:sz w:val="16"/>
          <w:szCs w:val="16"/>
        </w:rPr>
        <w:t xml:space="preserve"> Special Prosecutor. Case 807. C8, p. 275. Annex 12 to the communication of the petitioner received on May 29, 2015.</w:t>
      </w:r>
    </w:p>
  </w:footnote>
  <w:footnote w:id="11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92. Office of the National Prosecutor General. UNDH. Statement of Alejandro Cárdenas dated February 6, 2012. Case 807. C9, pp. 176-183. Annex 12 to the communication of the petitioner received on May 29, 2015.</w:t>
      </w:r>
    </w:p>
  </w:footnote>
  <w:footnote w:id="11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93. Office of the National Prosecutor General. UNDH. Statement of Mario </w:t>
      </w:r>
      <w:proofErr w:type="spellStart"/>
      <w:r w:rsidRPr="009F1142">
        <w:rPr>
          <w:rFonts w:ascii="Cambria" w:hAnsi="Cambria"/>
          <w:color w:val="auto"/>
          <w:sz w:val="16"/>
          <w:szCs w:val="16"/>
        </w:rPr>
        <w:t>Jaimes</w:t>
      </w:r>
      <w:proofErr w:type="spellEnd"/>
      <w:r w:rsidRPr="009F1142">
        <w:rPr>
          <w:rFonts w:ascii="Cambria" w:hAnsi="Cambria"/>
          <w:color w:val="auto"/>
          <w:sz w:val="16"/>
          <w:szCs w:val="16"/>
        </w:rPr>
        <w:t xml:space="preserve"> </w:t>
      </w:r>
      <w:proofErr w:type="spellStart"/>
      <w:r w:rsidRPr="009F1142">
        <w:rPr>
          <w:rFonts w:ascii="Cambria" w:hAnsi="Cambria"/>
          <w:color w:val="auto"/>
          <w:sz w:val="16"/>
          <w:szCs w:val="16"/>
        </w:rPr>
        <w:t>Mejía</w:t>
      </w:r>
      <w:proofErr w:type="spellEnd"/>
      <w:r w:rsidRPr="009F1142">
        <w:rPr>
          <w:rFonts w:ascii="Cambria" w:hAnsi="Cambria"/>
          <w:color w:val="auto"/>
          <w:sz w:val="16"/>
          <w:szCs w:val="16"/>
        </w:rPr>
        <w:t xml:space="preserve"> dated February 8, 2012. Case 807. C9, pp. 187-190. Annex 12 to the communication of the petitioner received on May 29, 2015.</w:t>
      </w:r>
    </w:p>
  </w:footnote>
  <w:footnote w:id="11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94. Office of the National Prosecutor General. UNDH. Judicial inspection dated June 25, 2012. Case 807. C11, pp. 264-265. Annex 12 to the communication of the petitioner received on May 29, 2015.</w:t>
      </w:r>
    </w:p>
  </w:footnote>
  <w:footnote w:id="11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Information provided by the State of Colombia via communication received on April 5, 2016, which was not challenged by the petitioner.</w:t>
      </w:r>
    </w:p>
  </w:footnote>
  <w:footnote w:id="11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95. Office of the National Prosecutor General. UNDH. Charging Document for the Plea Agreement [</w:t>
      </w:r>
      <w:proofErr w:type="spellStart"/>
      <w:r w:rsidRPr="009F1142">
        <w:rPr>
          <w:rFonts w:ascii="Cambria" w:hAnsi="Cambria"/>
          <w:i/>
          <w:color w:val="auto"/>
          <w:sz w:val="16"/>
          <w:szCs w:val="16"/>
        </w:rPr>
        <w:t>Sentencia</w:t>
      </w:r>
      <w:proofErr w:type="spellEnd"/>
      <w:r w:rsidRPr="009F1142">
        <w:rPr>
          <w:rFonts w:ascii="Cambria" w:hAnsi="Cambria"/>
          <w:i/>
          <w:color w:val="auto"/>
          <w:sz w:val="16"/>
          <w:szCs w:val="16"/>
        </w:rPr>
        <w:t xml:space="preserve"> </w:t>
      </w:r>
      <w:proofErr w:type="spellStart"/>
      <w:r w:rsidRPr="009F1142">
        <w:rPr>
          <w:rFonts w:ascii="Cambria" w:hAnsi="Cambria"/>
          <w:i/>
          <w:color w:val="auto"/>
          <w:sz w:val="16"/>
          <w:szCs w:val="16"/>
        </w:rPr>
        <w:t>Anticipada</w:t>
      </w:r>
      <w:proofErr w:type="spellEnd"/>
      <w:r w:rsidRPr="009F1142">
        <w:rPr>
          <w:rFonts w:ascii="Cambria" w:hAnsi="Cambria"/>
          <w:color w:val="auto"/>
          <w:sz w:val="16"/>
          <w:szCs w:val="16"/>
        </w:rPr>
        <w:t>] of Alejandro Cárdenas Orozco. February 22, 2014. Case 807. C14, pp. 33-265. Annex 12 to the communication of the petitioner received on May 29, 2015.</w:t>
      </w:r>
    </w:p>
  </w:footnote>
  <w:footnote w:id="12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Information provided by the State of Colombia via communication received on April 5, 2016, which was not challenged by the petitioner.</w:t>
      </w:r>
    </w:p>
  </w:footnote>
  <w:footnote w:id="12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96. Office of the National Prosecutor General. UNDH. Partial closure of investigations related to Mario </w:t>
      </w:r>
      <w:proofErr w:type="spellStart"/>
      <w:r w:rsidRPr="009F1142">
        <w:rPr>
          <w:rFonts w:ascii="Cambria" w:hAnsi="Cambria"/>
          <w:color w:val="auto"/>
          <w:sz w:val="16"/>
          <w:szCs w:val="16"/>
        </w:rPr>
        <w:t>Jaimes</w:t>
      </w:r>
      <w:proofErr w:type="spellEnd"/>
      <w:r w:rsidRPr="009F1142">
        <w:rPr>
          <w:rFonts w:ascii="Cambria" w:hAnsi="Cambria"/>
          <w:color w:val="auto"/>
          <w:sz w:val="16"/>
          <w:szCs w:val="16"/>
        </w:rPr>
        <w:t xml:space="preserve"> </w:t>
      </w:r>
      <w:proofErr w:type="spellStart"/>
      <w:r w:rsidRPr="009F1142">
        <w:rPr>
          <w:rFonts w:ascii="Cambria" w:hAnsi="Cambria"/>
          <w:color w:val="auto"/>
          <w:sz w:val="16"/>
          <w:szCs w:val="16"/>
        </w:rPr>
        <w:t>Mejía</w:t>
      </w:r>
      <w:proofErr w:type="spellEnd"/>
      <w:r w:rsidRPr="009F1142">
        <w:rPr>
          <w:rFonts w:ascii="Cambria" w:hAnsi="Cambria"/>
          <w:color w:val="auto"/>
          <w:sz w:val="16"/>
          <w:szCs w:val="16"/>
        </w:rPr>
        <w:t>. April 8, 2014. Case 807. C16, pp. 219-222. Annex 12 to the communication of the petitioner received on May 29, 2015.</w:t>
      </w:r>
    </w:p>
  </w:footnote>
  <w:footnote w:id="12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97. Office of the National Prosecutor General. UNDH. Decision on the request for the revocation of preventive measures and termination of the investigation of Alejandro Cárdenas. April 8, 2014. Case 807. C16, pp. 209-218. Annex 12 to the communication of the petitioner received on May 29, 2015.</w:t>
      </w:r>
    </w:p>
  </w:footnote>
  <w:footnote w:id="12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98. Office of the National Inspector General [</w:t>
      </w:r>
      <w:proofErr w:type="spellStart"/>
      <w:r w:rsidRPr="009F1142">
        <w:rPr>
          <w:rFonts w:ascii="Cambria" w:hAnsi="Cambria"/>
          <w:i/>
          <w:color w:val="auto"/>
          <w:sz w:val="16"/>
          <w:szCs w:val="16"/>
        </w:rPr>
        <w:t>Procuraduría</w:t>
      </w:r>
      <w:proofErr w:type="spellEnd"/>
      <w:r w:rsidRPr="009F1142">
        <w:rPr>
          <w:rFonts w:ascii="Cambria" w:hAnsi="Cambria"/>
          <w:i/>
          <w:color w:val="auto"/>
          <w:sz w:val="16"/>
          <w:szCs w:val="16"/>
        </w:rPr>
        <w:t xml:space="preserve"> General de la </w:t>
      </w:r>
      <w:proofErr w:type="spellStart"/>
      <w:r w:rsidRPr="009F1142">
        <w:rPr>
          <w:rFonts w:ascii="Cambria" w:hAnsi="Cambria"/>
          <w:i/>
          <w:color w:val="auto"/>
          <w:sz w:val="16"/>
          <w:szCs w:val="16"/>
        </w:rPr>
        <w:t>Nación</w:t>
      </w:r>
      <w:proofErr w:type="spellEnd"/>
      <w:r w:rsidRPr="009F1142">
        <w:rPr>
          <w:rFonts w:ascii="Cambria" w:hAnsi="Cambria"/>
          <w:color w:val="auto"/>
          <w:sz w:val="16"/>
          <w:szCs w:val="16"/>
        </w:rPr>
        <w:t>]. Initial pleadings [</w:t>
      </w:r>
      <w:proofErr w:type="spellStart"/>
      <w:r w:rsidRPr="009F1142">
        <w:rPr>
          <w:rFonts w:ascii="Cambria" w:hAnsi="Cambria"/>
          <w:i/>
          <w:color w:val="auto"/>
          <w:sz w:val="16"/>
          <w:szCs w:val="16"/>
        </w:rPr>
        <w:t>Alegatos</w:t>
      </w:r>
      <w:proofErr w:type="spellEnd"/>
      <w:r w:rsidRPr="009F1142">
        <w:rPr>
          <w:rFonts w:ascii="Cambria" w:hAnsi="Cambria"/>
          <w:i/>
          <w:color w:val="auto"/>
          <w:sz w:val="16"/>
          <w:szCs w:val="16"/>
        </w:rPr>
        <w:t xml:space="preserve"> </w:t>
      </w:r>
      <w:proofErr w:type="spellStart"/>
      <w:r w:rsidRPr="009F1142">
        <w:rPr>
          <w:rFonts w:ascii="Cambria" w:hAnsi="Cambria"/>
          <w:i/>
          <w:color w:val="auto"/>
          <w:sz w:val="16"/>
          <w:szCs w:val="16"/>
        </w:rPr>
        <w:t>precalificatorios</w:t>
      </w:r>
      <w:proofErr w:type="spellEnd"/>
      <w:r w:rsidRPr="009F1142">
        <w:rPr>
          <w:rFonts w:ascii="Cambria" w:hAnsi="Cambria"/>
          <w:color w:val="auto"/>
          <w:sz w:val="16"/>
          <w:szCs w:val="16"/>
        </w:rPr>
        <w:t>]. June 25, 2014. Case 807. C17, pp. 189-223. Annex 12 to the communication of the petitioner received on May 29, 2015.</w:t>
      </w:r>
    </w:p>
  </w:footnote>
  <w:footnote w:id="12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99. FLIP. Initial pleadings. June 25, 2014. Case 807. C17, pp. 224-234. Annex 12 to the communication of the petitioner received on May 29, 2015.</w:t>
      </w:r>
    </w:p>
  </w:footnote>
  <w:footnote w:id="12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100. Office of the National Prosecutor General. UNDH. Determination on the Merits of the Investigation against Mario </w:t>
      </w:r>
      <w:proofErr w:type="spellStart"/>
      <w:r w:rsidRPr="009F1142">
        <w:rPr>
          <w:rFonts w:ascii="Cambria" w:hAnsi="Cambria"/>
          <w:color w:val="auto"/>
          <w:sz w:val="16"/>
          <w:szCs w:val="16"/>
        </w:rPr>
        <w:t>Jaimes</w:t>
      </w:r>
      <w:proofErr w:type="spellEnd"/>
      <w:r w:rsidRPr="009F1142">
        <w:rPr>
          <w:rFonts w:ascii="Cambria" w:hAnsi="Cambria"/>
          <w:color w:val="auto"/>
          <w:sz w:val="16"/>
          <w:szCs w:val="16"/>
        </w:rPr>
        <w:t xml:space="preserve"> Mejia, </w:t>
      </w:r>
      <w:r w:rsidRPr="009F1142">
        <w:rPr>
          <w:rFonts w:ascii="Cambria" w:hAnsi="Cambria"/>
          <w:i/>
          <w:color w:val="auto"/>
          <w:sz w:val="16"/>
          <w:szCs w:val="16"/>
        </w:rPr>
        <w:t>alias</w:t>
      </w:r>
      <w:r w:rsidRPr="009F1142">
        <w:rPr>
          <w:rFonts w:ascii="Cambria" w:hAnsi="Cambria"/>
          <w:color w:val="auto"/>
          <w:sz w:val="16"/>
          <w:szCs w:val="16"/>
        </w:rPr>
        <w:t xml:space="preserve"> el </w:t>
      </w:r>
      <w:proofErr w:type="spellStart"/>
      <w:r w:rsidRPr="009F1142">
        <w:rPr>
          <w:rFonts w:ascii="Cambria" w:hAnsi="Cambria"/>
          <w:color w:val="auto"/>
          <w:sz w:val="16"/>
          <w:szCs w:val="16"/>
        </w:rPr>
        <w:t>Panadero</w:t>
      </w:r>
      <w:proofErr w:type="spellEnd"/>
      <w:r w:rsidRPr="009F1142">
        <w:rPr>
          <w:rFonts w:ascii="Cambria" w:hAnsi="Cambria"/>
          <w:color w:val="auto"/>
          <w:sz w:val="16"/>
          <w:szCs w:val="16"/>
        </w:rPr>
        <w:t>. April 8, 2014. Case 807. C16, pp. 209-218. Annex 12 to the communication of the petitioner received on May 29, 2015.</w:t>
      </w:r>
    </w:p>
  </w:footnote>
  <w:footnote w:id="12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101. Office of the National Prosecutor General. UNDH. Statement of Armando Lugo dated February 27, 2015. Case 807. C18, pp. 179-187. Annex 12 to the communication of the petitioner received on May 29, 2015.</w:t>
      </w:r>
    </w:p>
  </w:footnote>
  <w:footnote w:id="12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Information provided by the State of Colombia via communication received on April 5, 2016, which was not challenged by the petitioner.</w:t>
      </w:r>
    </w:p>
  </w:footnote>
  <w:footnote w:id="12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Information provided by the State of Colombia via communication received on April 5, 2016, which was not challenged by the petitioner.</w:t>
      </w:r>
    </w:p>
  </w:footnote>
  <w:footnote w:id="12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Information provided by the State of Colombia via communication received on April 5, 2016, which was not challenged by the petitioner.</w:t>
      </w:r>
    </w:p>
  </w:footnote>
  <w:footnote w:id="13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Information provided by the State of Colombia via communication received on April 5, 2016, which was not challenged by the petitioner.</w:t>
      </w:r>
    </w:p>
  </w:footnote>
  <w:footnote w:id="13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Information provided by the State of Colombia via communication received on April 5, 2016, which was not challenged by the petitioner.</w:t>
      </w:r>
    </w:p>
  </w:footnote>
  <w:footnote w:id="13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102. Office of the National Inspector General. Official Communication No. 011PJ19. Authenticated Copy Request, Case 807 HR and IHL. February 29, 2011. Annex 23 to the communication of the petitioner received on May 29, 2015.</w:t>
      </w:r>
    </w:p>
  </w:footnote>
  <w:footnote w:id="13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102. Office of the National Inspector General. Official Communication No. 011PJ19. Authenticated Copy Request, Case 807 HR and IHL. February 29, 2011. Annex 23 to the communication of the petitioner received on May 29, 2015.</w:t>
      </w:r>
    </w:p>
  </w:footnote>
  <w:footnote w:id="134">
    <w:p w:rsidR="00637A06" w:rsidRPr="009F1142" w:rsidRDefault="00637A06" w:rsidP="009F1142">
      <w:pPr>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Annex 103. Office of the National Prosecutor General. Official Communication No. 01734 to </w:t>
      </w:r>
      <w:proofErr w:type="spellStart"/>
      <w:r w:rsidRPr="009F1142">
        <w:rPr>
          <w:rFonts w:ascii="Cambria" w:hAnsi="Cambria"/>
          <w:sz w:val="16"/>
          <w:szCs w:val="16"/>
        </w:rPr>
        <w:t>Jineth</w:t>
      </w:r>
      <w:proofErr w:type="spellEnd"/>
      <w:r w:rsidRPr="009F1142">
        <w:rPr>
          <w:rFonts w:ascii="Cambria" w:hAnsi="Cambria"/>
          <w:sz w:val="16"/>
          <w:szCs w:val="16"/>
        </w:rPr>
        <w:t xml:space="preserve"> Bedoya. Record 1200174. March 25, 2015. Annex 28 to the communication of the petitioner received on May 29, 2015.</w:t>
      </w:r>
    </w:p>
  </w:footnote>
  <w:footnote w:id="13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104. IACHR. File of Precautionary Measures. MC 132-00.</w:t>
      </w:r>
    </w:p>
  </w:footnote>
  <w:footnote w:id="13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104. IACHR. File of Precautionary Measures. MC 132-00.</w:t>
      </w:r>
    </w:p>
  </w:footnote>
  <w:footnote w:id="137">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Inter-American Commission on Human Rights. Annual Report of the Office of the Special Rapporteur for Freedom of Expression. 2003, para. 65.</w:t>
      </w:r>
    </w:p>
  </w:footnote>
  <w:footnote w:id="138">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105. Interview (FPJ-14) of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Lima, p. 21. December 28, 2012. Annex 14. Office of the National Inspector General, p. 9. Bogota D.C., April 23, 2013.</w:t>
      </w:r>
    </w:p>
  </w:footnote>
  <w:footnote w:id="13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Annex 106. Office of the National Prosecutor General. </w:t>
      </w:r>
      <w:r w:rsidRPr="009F1142">
        <w:rPr>
          <w:rFonts w:ascii="Cambria" w:hAnsi="Cambria"/>
          <w:color w:val="auto"/>
          <w:sz w:val="16"/>
          <w:szCs w:val="16"/>
          <w:lang w:val="es-US"/>
        </w:rPr>
        <w:t xml:space="preserve">Bogotá D.C., June 13, 2013, p. 129-133. </w:t>
      </w:r>
      <w:r w:rsidRPr="009F1142">
        <w:rPr>
          <w:rFonts w:ascii="Cambria" w:hAnsi="Cambria"/>
          <w:color w:val="auto"/>
          <w:sz w:val="16"/>
          <w:szCs w:val="16"/>
        </w:rPr>
        <w:t>Annex 14 to the communication of the petitioner received on May 29, 2015.</w:t>
      </w:r>
    </w:p>
  </w:footnote>
  <w:footnote w:id="14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107. Office of the National Prosecutor General. Annexes 14, 20, 25 and 26 of the communication of the petitioner received on May 29, 2015.</w:t>
      </w:r>
    </w:p>
  </w:footnote>
  <w:footnote w:id="141">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 108. Office of the National Prosecutor General. Criminal Proceeding, Executive Report. Cundinamarca. Bogotá D.C., 24-02-2014. Annex 26 to the communication of the petitioner received on May 29, 2015.</w:t>
      </w:r>
    </w:p>
  </w:footnote>
  <w:footnote w:id="142">
    <w:p w:rsidR="00637A06" w:rsidRPr="009F1142" w:rsidRDefault="00637A06" w:rsidP="009F1142">
      <w:pPr>
        <w:pStyle w:val="FootnoteText"/>
        <w:tabs>
          <w:tab w:val="left" w:pos="0"/>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vertAlign w:val="superscript"/>
        </w:rPr>
        <w:t xml:space="preserve">  </w:t>
      </w:r>
      <w:r w:rsidRPr="009F1142">
        <w:rPr>
          <w:rFonts w:ascii="Cambria" w:hAnsi="Cambria"/>
          <w:color w:val="auto"/>
          <w:sz w:val="16"/>
          <w:szCs w:val="16"/>
        </w:rPr>
        <w:t>Annex 108. Office of the National Prosecutor General. Criminal Proceeding, Executive Report. Cundinamarca. Bogotá D.C., 24-02-2014. Annex 26 to the communication of the petitioner received on May 29, 2015.</w:t>
      </w:r>
    </w:p>
  </w:footnote>
  <w:footnote w:id="14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proofErr w:type="spellStart"/>
      <w:r w:rsidRPr="009F1142">
        <w:rPr>
          <w:rFonts w:ascii="Cambria" w:hAnsi="Cambria"/>
          <w:color w:val="auto"/>
          <w:sz w:val="16"/>
          <w:szCs w:val="16"/>
        </w:rPr>
        <w:t>Cfr</w:t>
      </w:r>
      <w:proofErr w:type="spellEnd"/>
      <w:r w:rsidRPr="009F1142">
        <w:rPr>
          <w:rFonts w:ascii="Cambria" w:hAnsi="Cambria"/>
          <w:color w:val="auto"/>
          <w:sz w:val="16"/>
          <w:szCs w:val="16"/>
        </w:rPr>
        <w:t xml:space="preserve">. Inter-American Court of Human Rights (I/A Court H.R). </w:t>
      </w:r>
      <w:r w:rsidRPr="009F1142">
        <w:rPr>
          <w:rFonts w:ascii="Cambria" w:hAnsi="Cambria"/>
          <w:i/>
          <w:color w:val="auto"/>
          <w:sz w:val="16"/>
          <w:szCs w:val="16"/>
        </w:rPr>
        <w:t>Case of the 19 Tradesmen v. Colombia</w:t>
      </w:r>
      <w:r w:rsidRPr="009F1142">
        <w:rPr>
          <w:rFonts w:ascii="Cambria" w:hAnsi="Cambria"/>
          <w:color w:val="auto"/>
          <w:sz w:val="16"/>
          <w:szCs w:val="16"/>
        </w:rPr>
        <w:t>. Merits, Reparations and Costs. Judgment of July 5, 2004. Series C, No. 109, para. 86c.</w:t>
      </w:r>
    </w:p>
  </w:footnote>
  <w:footnote w:id="14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proofErr w:type="spellStart"/>
      <w:r w:rsidRPr="009F1142">
        <w:rPr>
          <w:rFonts w:ascii="Cambria" w:hAnsi="Cambria"/>
          <w:color w:val="auto"/>
          <w:sz w:val="16"/>
          <w:szCs w:val="16"/>
        </w:rPr>
        <w:t>Cfr</w:t>
      </w:r>
      <w:proofErr w:type="spellEnd"/>
      <w:r w:rsidRPr="009F1142">
        <w:rPr>
          <w:rFonts w:ascii="Cambria" w:hAnsi="Cambria"/>
          <w:color w:val="auto"/>
          <w:sz w:val="16"/>
          <w:szCs w:val="16"/>
        </w:rPr>
        <w:t xml:space="preserve">. I/A Court H.R. </w:t>
      </w:r>
      <w:r w:rsidRPr="009F1142">
        <w:rPr>
          <w:rFonts w:ascii="Cambria" w:hAnsi="Cambria"/>
          <w:i/>
          <w:color w:val="auto"/>
          <w:sz w:val="16"/>
          <w:szCs w:val="16"/>
        </w:rPr>
        <w:t>Case of the “</w:t>
      </w:r>
      <w:proofErr w:type="spellStart"/>
      <w:r w:rsidRPr="009F1142">
        <w:rPr>
          <w:rFonts w:ascii="Cambria" w:hAnsi="Cambria"/>
          <w:i/>
          <w:color w:val="auto"/>
          <w:sz w:val="16"/>
          <w:szCs w:val="16"/>
        </w:rPr>
        <w:t>Mapiripán</w:t>
      </w:r>
      <w:proofErr w:type="spellEnd"/>
      <w:r w:rsidRPr="009F1142">
        <w:rPr>
          <w:rFonts w:ascii="Cambria" w:hAnsi="Cambria"/>
          <w:i/>
          <w:color w:val="auto"/>
          <w:sz w:val="16"/>
          <w:szCs w:val="16"/>
        </w:rPr>
        <w:t xml:space="preserve"> Massacre” v. Colombia</w:t>
      </w:r>
      <w:r w:rsidRPr="009F1142">
        <w:rPr>
          <w:rFonts w:ascii="Cambria" w:hAnsi="Cambria"/>
          <w:color w:val="auto"/>
          <w:sz w:val="16"/>
          <w:szCs w:val="16"/>
        </w:rPr>
        <w:t xml:space="preserve">. Judgment of September 15, 2005. Series C, No. 134, para. 123; I/A Court H.R. </w:t>
      </w:r>
      <w:r w:rsidRPr="009F1142">
        <w:rPr>
          <w:rFonts w:ascii="Cambria" w:hAnsi="Cambria"/>
          <w:i/>
          <w:color w:val="auto"/>
          <w:sz w:val="16"/>
          <w:szCs w:val="16"/>
        </w:rPr>
        <w:t xml:space="preserve">Case of the “La </w:t>
      </w:r>
      <w:proofErr w:type="spellStart"/>
      <w:r w:rsidRPr="009F1142">
        <w:rPr>
          <w:rFonts w:ascii="Cambria" w:hAnsi="Cambria"/>
          <w:i/>
          <w:color w:val="auto"/>
          <w:sz w:val="16"/>
          <w:szCs w:val="16"/>
        </w:rPr>
        <w:t>Rochela</w:t>
      </w:r>
      <w:proofErr w:type="spellEnd"/>
      <w:r w:rsidRPr="009F1142">
        <w:rPr>
          <w:rFonts w:ascii="Cambria" w:hAnsi="Cambria"/>
          <w:i/>
          <w:color w:val="auto"/>
          <w:sz w:val="16"/>
          <w:szCs w:val="16"/>
        </w:rPr>
        <w:t xml:space="preserve"> Massacre” v. Colombia</w:t>
      </w:r>
      <w:r w:rsidRPr="009F1142">
        <w:rPr>
          <w:rFonts w:ascii="Cambria" w:hAnsi="Cambria"/>
          <w:color w:val="auto"/>
          <w:sz w:val="16"/>
          <w:szCs w:val="16"/>
        </w:rPr>
        <w:t>. Merits, Reparations and Costs. Judgment of May 11, 2007. Series C, No. 163, para. 82, 93 and 101.a.</w:t>
      </w:r>
    </w:p>
  </w:footnote>
  <w:footnote w:id="14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proofErr w:type="spellStart"/>
      <w:r w:rsidRPr="009F1142">
        <w:rPr>
          <w:rFonts w:ascii="Cambria" w:hAnsi="Cambria"/>
          <w:color w:val="auto"/>
          <w:sz w:val="16"/>
          <w:szCs w:val="16"/>
        </w:rPr>
        <w:t>Cfr</w:t>
      </w:r>
      <w:proofErr w:type="spellEnd"/>
      <w:r w:rsidRPr="009F1142">
        <w:rPr>
          <w:rFonts w:ascii="Cambria" w:hAnsi="Cambria"/>
          <w:color w:val="auto"/>
          <w:sz w:val="16"/>
          <w:szCs w:val="16"/>
        </w:rPr>
        <w:t>. I/A Court H.R.</w:t>
      </w:r>
      <w:r w:rsidRPr="009F1142">
        <w:rPr>
          <w:rFonts w:ascii="Cambria" w:hAnsi="Cambria"/>
          <w:i/>
          <w:color w:val="auto"/>
          <w:sz w:val="16"/>
          <w:szCs w:val="16"/>
        </w:rPr>
        <w:t xml:space="preserve"> Case of the 19 Tradesmen v. Colombia</w:t>
      </w:r>
      <w:r w:rsidRPr="009F1142">
        <w:rPr>
          <w:rFonts w:ascii="Cambria" w:hAnsi="Cambria"/>
          <w:color w:val="auto"/>
          <w:sz w:val="16"/>
          <w:szCs w:val="16"/>
        </w:rPr>
        <w:t>. Merits, Reparations and Costs. Judgment of July 5, 2004. Series C, No. 109, para. 86a</w:t>
      </w:r>
      <w:r w:rsidRPr="009F1142">
        <w:rPr>
          <w:rFonts w:ascii="Cambria" w:hAnsi="Cambria"/>
          <w:sz w:val="16"/>
          <w:szCs w:val="16"/>
        </w:rPr>
        <w:t>.</w:t>
      </w:r>
    </w:p>
  </w:footnote>
  <w:footnote w:id="14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proofErr w:type="spellStart"/>
      <w:r w:rsidRPr="009F1142">
        <w:rPr>
          <w:rFonts w:ascii="Cambria" w:hAnsi="Cambria"/>
          <w:color w:val="auto"/>
          <w:sz w:val="16"/>
          <w:szCs w:val="16"/>
        </w:rPr>
        <w:t>Cfr</w:t>
      </w:r>
      <w:proofErr w:type="spellEnd"/>
      <w:r w:rsidRPr="009F1142">
        <w:rPr>
          <w:rFonts w:ascii="Cambria" w:hAnsi="Cambria"/>
          <w:color w:val="auto"/>
          <w:sz w:val="16"/>
          <w:szCs w:val="16"/>
        </w:rPr>
        <w:t xml:space="preserve">. I/A Court H.R. </w:t>
      </w:r>
      <w:r w:rsidRPr="009F1142">
        <w:rPr>
          <w:rFonts w:ascii="Cambria" w:hAnsi="Cambria"/>
          <w:i/>
          <w:color w:val="auto"/>
          <w:sz w:val="16"/>
          <w:szCs w:val="16"/>
        </w:rPr>
        <w:t xml:space="preserve">Case of the Afro-Descendant Communities Displaced from the </w:t>
      </w:r>
      <w:proofErr w:type="spellStart"/>
      <w:r w:rsidRPr="009F1142">
        <w:rPr>
          <w:rFonts w:ascii="Cambria" w:hAnsi="Cambria"/>
          <w:i/>
          <w:color w:val="auto"/>
          <w:sz w:val="16"/>
          <w:szCs w:val="16"/>
        </w:rPr>
        <w:t>Cacarica</w:t>
      </w:r>
      <w:proofErr w:type="spellEnd"/>
      <w:r w:rsidRPr="009F1142">
        <w:rPr>
          <w:rFonts w:ascii="Cambria" w:hAnsi="Cambria"/>
          <w:i/>
          <w:color w:val="auto"/>
          <w:sz w:val="16"/>
          <w:szCs w:val="16"/>
        </w:rPr>
        <w:t xml:space="preserve"> River Basin (Operation Genesis) v. Colombia</w:t>
      </w:r>
      <w:r w:rsidRPr="009F1142">
        <w:rPr>
          <w:rFonts w:ascii="Cambria" w:hAnsi="Cambria"/>
          <w:color w:val="auto"/>
          <w:sz w:val="16"/>
          <w:szCs w:val="16"/>
        </w:rPr>
        <w:t xml:space="preserve">, para. 249. </w:t>
      </w:r>
      <w:proofErr w:type="spellStart"/>
      <w:r w:rsidRPr="009F1142">
        <w:rPr>
          <w:rFonts w:ascii="Cambria" w:hAnsi="Cambria"/>
          <w:color w:val="auto"/>
          <w:sz w:val="16"/>
          <w:szCs w:val="16"/>
        </w:rPr>
        <w:t>Cfr</w:t>
      </w:r>
      <w:proofErr w:type="spellEnd"/>
      <w:r w:rsidRPr="009F1142">
        <w:rPr>
          <w:rFonts w:ascii="Cambria" w:hAnsi="Cambria"/>
          <w:color w:val="auto"/>
          <w:sz w:val="16"/>
          <w:szCs w:val="16"/>
        </w:rPr>
        <w:t>. also Supreme Court of Justice of Colombia, Criminal Chamber: Review Judgment No 30516, March 11, 2009, Appeal Judgment No. 24448, September 12, 2007, cited by: Section on Prosecutor Offices [</w:t>
      </w:r>
      <w:r w:rsidRPr="009F1142">
        <w:rPr>
          <w:rFonts w:ascii="Cambria" w:hAnsi="Cambria"/>
          <w:i/>
          <w:color w:val="auto"/>
          <w:sz w:val="16"/>
          <w:szCs w:val="16"/>
        </w:rPr>
        <w:t xml:space="preserve">Director </w:t>
      </w:r>
      <w:proofErr w:type="spellStart"/>
      <w:r w:rsidRPr="009F1142">
        <w:rPr>
          <w:rFonts w:ascii="Cambria" w:hAnsi="Cambria"/>
          <w:i/>
          <w:color w:val="auto"/>
          <w:sz w:val="16"/>
          <w:szCs w:val="16"/>
        </w:rPr>
        <w:t>Seccional</w:t>
      </w:r>
      <w:proofErr w:type="spellEnd"/>
      <w:r w:rsidRPr="009F1142">
        <w:rPr>
          <w:rFonts w:ascii="Cambria" w:hAnsi="Cambria"/>
          <w:i/>
          <w:color w:val="auto"/>
          <w:sz w:val="16"/>
          <w:szCs w:val="16"/>
        </w:rPr>
        <w:t xml:space="preserve"> de </w:t>
      </w:r>
      <w:proofErr w:type="spellStart"/>
      <w:r w:rsidRPr="009F1142">
        <w:rPr>
          <w:rFonts w:ascii="Cambria" w:hAnsi="Cambria"/>
          <w:i/>
          <w:color w:val="auto"/>
          <w:sz w:val="16"/>
          <w:szCs w:val="16"/>
        </w:rPr>
        <w:t>Fiscalías</w:t>
      </w:r>
      <w:proofErr w:type="spellEnd"/>
      <w:r w:rsidRPr="009F1142">
        <w:rPr>
          <w:rFonts w:ascii="Cambria" w:hAnsi="Cambria"/>
          <w:color w:val="auto"/>
          <w:sz w:val="16"/>
          <w:szCs w:val="16"/>
        </w:rPr>
        <w:t xml:space="preserve">], Memorandum No. 0035 dated April 28, 2009 pp. 106-18; Constitutional Court of Colombia, Ruling 005 dated January 26, 2009; and State Council, Third Section, Direct Compensation Process, Judgment No. 68001-23-15-000-1996-01698-01, Reporting Counselor Olga </w:t>
      </w:r>
      <w:proofErr w:type="spellStart"/>
      <w:r w:rsidRPr="009F1142">
        <w:rPr>
          <w:rFonts w:ascii="Cambria" w:hAnsi="Cambria"/>
          <w:color w:val="auto"/>
          <w:sz w:val="16"/>
          <w:szCs w:val="16"/>
        </w:rPr>
        <w:t>Melida</w:t>
      </w:r>
      <w:proofErr w:type="spellEnd"/>
      <w:r w:rsidRPr="009F1142">
        <w:rPr>
          <w:rFonts w:ascii="Cambria" w:hAnsi="Cambria"/>
          <w:color w:val="auto"/>
          <w:sz w:val="16"/>
          <w:szCs w:val="16"/>
        </w:rPr>
        <w:t xml:space="preserve"> Valle de la Oz, dated February 27, 2013 p. 13.</w:t>
      </w:r>
    </w:p>
  </w:footnote>
  <w:footnote w:id="14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w:t>
      </w:r>
      <w:r w:rsidR="00BC49D6" w:rsidRPr="009F1142">
        <w:rPr>
          <w:rFonts w:ascii="Cambria" w:hAnsi="Cambria"/>
          <w:color w:val="auto"/>
          <w:sz w:val="16"/>
          <w:szCs w:val="16"/>
        </w:rPr>
        <w:t xml:space="preserve"> 53</w:t>
      </w:r>
      <w:r w:rsidRPr="009F1142">
        <w:rPr>
          <w:rFonts w:ascii="Cambria" w:hAnsi="Cambria"/>
          <w:color w:val="auto"/>
          <w:sz w:val="16"/>
          <w:szCs w:val="16"/>
        </w:rPr>
        <w:t xml:space="preserve">. </w:t>
      </w:r>
      <w:r w:rsidR="00BC49D6" w:rsidRPr="009F1142">
        <w:rPr>
          <w:rFonts w:ascii="Cambria" w:hAnsi="Cambria"/>
          <w:sz w:val="16"/>
          <w:szCs w:val="16"/>
        </w:rPr>
        <w:t xml:space="preserve">Constitutional Court of Colombia. Ruling 092 of 2008. </w:t>
      </w:r>
      <w:r w:rsidR="00BC49D6" w:rsidRPr="009F1142">
        <w:rPr>
          <w:rFonts w:ascii="Cambria" w:hAnsi="Cambria"/>
          <w:color w:val="auto"/>
          <w:sz w:val="16"/>
          <w:szCs w:val="16"/>
        </w:rPr>
        <w:t xml:space="preserve">J. Manuel Jose </w:t>
      </w:r>
      <w:proofErr w:type="spellStart"/>
      <w:r w:rsidR="00BC49D6" w:rsidRPr="009F1142">
        <w:rPr>
          <w:rFonts w:ascii="Cambria" w:hAnsi="Cambria"/>
          <w:color w:val="auto"/>
          <w:sz w:val="16"/>
          <w:szCs w:val="16"/>
        </w:rPr>
        <w:t>Cepeda</w:t>
      </w:r>
      <w:proofErr w:type="spellEnd"/>
      <w:r w:rsidR="00BC49D6" w:rsidRPr="009F1142">
        <w:rPr>
          <w:rFonts w:ascii="Cambria" w:hAnsi="Cambria"/>
          <w:color w:val="auto"/>
          <w:sz w:val="16"/>
          <w:szCs w:val="16"/>
        </w:rPr>
        <w:t xml:space="preserve"> Espinosa. </w:t>
      </w:r>
      <w:r w:rsidR="00BC49D6" w:rsidRPr="009F1142">
        <w:rPr>
          <w:rFonts w:ascii="Cambria" w:hAnsi="Cambria"/>
          <w:sz w:val="16"/>
          <w:szCs w:val="16"/>
        </w:rPr>
        <w:t xml:space="preserve"> April 14, 2008. Annex 17 to the communication of the petitioner received on May 29, 2015.</w:t>
      </w:r>
    </w:p>
  </w:footnote>
  <w:footnote w:id="14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w:t>
      </w:r>
      <w:r w:rsidR="00BC49D6" w:rsidRPr="009F1142">
        <w:rPr>
          <w:rFonts w:ascii="Cambria" w:hAnsi="Cambria"/>
          <w:color w:val="auto"/>
          <w:sz w:val="16"/>
          <w:szCs w:val="16"/>
        </w:rPr>
        <w:t xml:space="preserve"> 53</w:t>
      </w:r>
      <w:r w:rsidRPr="009F1142">
        <w:rPr>
          <w:rFonts w:ascii="Cambria" w:hAnsi="Cambria"/>
          <w:color w:val="auto"/>
          <w:sz w:val="16"/>
          <w:szCs w:val="16"/>
        </w:rPr>
        <w:t xml:space="preserve">. </w:t>
      </w:r>
      <w:r w:rsidR="00BC49D6" w:rsidRPr="009F1142">
        <w:rPr>
          <w:rFonts w:ascii="Cambria" w:hAnsi="Cambria"/>
          <w:sz w:val="16"/>
          <w:szCs w:val="16"/>
        </w:rPr>
        <w:t xml:space="preserve">Constitutional Court of Colombia. Ruling 092 of 2008. </w:t>
      </w:r>
      <w:r w:rsidR="00BC49D6" w:rsidRPr="009F1142">
        <w:rPr>
          <w:rFonts w:ascii="Cambria" w:hAnsi="Cambria"/>
          <w:color w:val="auto"/>
          <w:sz w:val="16"/>
          <w:szCs w:val="16"/>
        </w:rPr>
        <w:t xml:space="preserve">J. Manuel Jose </w:t>
      </w:r>
      <w:proofErr w:type="spellStart"/>
      <w:r w:rsidR="00BC49D6" w:rsidRPr="009F1142">
        <w:rPr>
          <w:rFonts w:ascii="Cambria" w:hAnsi="Cambria"/>
          <w:color w:val="auto"/>
          <w:sz w:val="16"/>
          <w:szCs w:val="16"/>
        </w:rPr>
        <w:t>Cepeda</w:t>
      </w:r>
      <w:proofErr w:type="spellEnd"/>
      <w:r w:rsidR="00BC49D6" w:rsidRPr="009F1142">
        <w:rPr>
          <w:rFonts w:ascii="Cambria" w:hAnsi="Cambria"/>
          <w:color w:val="auto"/>
          <w:sz w:val="16"/>
          <w:szCs w:val="16"/>
        </w:rPr>
        <w:t xml:space="preserve"> Espinosa. </w:t>
      </w:r>
      <w:r w:rsidR="00BC49D6" w:rsidRPr="009F1142">
        <w:rPr>
          <w:rFonts w:ascii="Cambria" w:hAnsi="Cambria"/>
          <w:sz w:val="16"/>
          <w:szCs w:val="16"/>
        </w:rPr>
        <w:t xml:space="preserve"> April 14, 2008. Annex 17 to the communication of the petitioner received on May 29, 2015.</w:t>
      </w:r>
    </w:p>
  </w:footnote>
  <w:footnote w:id="14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Annex</w:t>
      </w:r>
      <w:r w:rsidR="00BC49D6" w:rsidRPr="009F1142">
        <w:rPr>
          <w:rFonts w:ascii="Cambria" w:hAnsi="Cambria"/>
          <w:color w:val="auto"/>
          <w:sz w:val="16"/>
          <w:szCs w:val="16"/>
        </w:rPr>
        <w:t xml:space="preserve"> 53</w:t>
      </w:r>
      <w:r w:rsidRPr="009F1142">
        <w:rPr>
          <w:rFonts w:ascii="Cambria" w:hAnsi="Cambria"/>
          <w:color w:val="auto"/>
          <w:sz w:val="16"/>
          <w:szCs w:val="16"/>
        </w:rPr>
        <w:t xml:space="preserve">. </w:t>
      </w:r>
      <w:r w:rsidR="00BC49D6" w:rsidRPr="009F1142">
        <w:rPr>
          <w:rFonts w:ascii="Cambria" w:hAnsi="Cambria"/>
          <w:sz w:val="16"/>
          <w:szCs w:val="16"/>
        </w:rPr>
        <w:t xml:space="preserve">Constitutional Court of Colombia. Ruling 092 of 2008. </w:t>
      </w:r>
      <w:r w:rsidR="00BC49D6" w:rsidRPr="009F1142">
        <w:rPr>
          <w:rFonts w:ascii="Cambria" w:hAnsi="Cambria"/>
          <w:color w:val="auto"/>
          <w:sz w:val="16"/>
          <w:szCs w:val="16"/>
        </w:rPr>
        <w:t xml:space="preserve">J. Manuel Jose </w:t>
      </w:r>
      <w:proofErr w:type="spellStart"/>
      <w:r w:rsidR="00BC49D6" w:rsidRPr="009F1142">
        <w:rPr>
          <w:rFonts w:ascii="Cambria" w:hAnsi="Cambria"/>
          <w:color w:val="auto"/>
          <w:sz w:val="16"/>
          <w:szCs w:val="16"/>
        </w:rPr>
        <w:t>Cepeda</w:t>
      </w:r>
      <w:proofErr w:type="spellEnd"/>
      <w:r w:rsidR="00BC49D6" w:rsidRPr="009F1142">
        <w:rPr>
          <w:rFonts w:ascii="Cambria" w:hAnsi="Cambria"/>
          <w:color w:val="auto"/>
          <w:sz w:val="16"/>
          <w:szCs w:val="16"/>
        </w:rPr>
        <w:t xml:space="preserve"> Espinosa. </w:t>
      </w:r>
      <w:r w:rsidR="00BC49D6" w:rsidRPr="009F1142">
        <w:rPr>
          <w:rFonts w:ascii="Cambria" w:hAnsi="Cambria"/>
          <w:sz w:val="16"/>
          <w:szCs w:val="16"/>
        </w:rPr>
        <w:t xml:space="preserve"> April 14, 2008. Annex 17 to the communication of the petitioner received on May 29, 2015.</w:t>
      </w:r>
    </w:p>
  </w:footnote>
  <w:footnote w:id="150">
    <w:p w:rsidR="00637A06" w:rsidRPr="009F1142" w:rsidRDefault="00637A06" w:rsidP="009F1142">
      <w:pPr>
        <w:pStyle w:val="FootnoteText"/>
        <w:jc w:val="both"/>
        <w:rPr>
          <w:rFonts w:ascii="Cambria" w:hAnsi="Cambria"/>
          <w:sz w:val="16"/>
          <w:szCs w:val="16"/>
          <w:lang w:val="es-ES"/>
        </w:rPr>
      </w:pPr>
      <w:r w:rsidRPr="009F1142">
        <w:rPr>
          <w:rStyle w:val="FootnoteReference"/>
          <w:rFonts w:ascii="Cambria" w:hAnsi="Cambria"/>
          <w:sz w:val="16"/>
          <w:szCs w:val="16"/>
        </w:rPr>
        <w:footnoteRef/>
      </w:r>
      <w:r w:rsidRPr="009F1142">
        <w:rPr>
          <w:rFonts w:ascii="Cambria" w:hAnsi="Cambria"/>
          <w:sz w:val="16"/>
          <w:szCs w:val="16"/>
          <w:lang w:val="es-CO"/>
        </w:rPr>
        <w:t xml:space="preserve"> </w:t>
      </w:r>
      <w:proofErr w:type="spellStart"/>
      <w:r w:rsidRPr="009F1142">
        <w:rPr>
          <w:rFonts w:ascii="Cambria" w:hAnsi="Cambria"/>
          <w:color w:val="auto"/>
          <w:sz w:val="16"/>
          <w:szCs w:val="16"/>
          <w:lang w:val="es-US"/>
        </w:rPr>
        <w:t>Annex</w:t>
      </w:r>
      <w:proofErr w:type="spellEnd"/>
      <w:r w:rsidR="00BC49D6" w:rsidRPr="009F1142">
        <w:rPr>
          <w:rFonts w:ascii="Cambria" w:hAnsi="Cambria"/>
          <w:color w:val="auto"/>
          <w:sz w:val="16"/>
          <w:szCs w:val="16"/>
          <w:lang w:val="es-US"/>
        </w:rPr>
        <w:t xml:space="preserve"> 1</w:t>
      </w:r>
      <w:r w:rsidRPr="009F1142">
        <w:rPr>
          <w:rFonts w:ascii="Cambria" w:hAnsi="Cambria"/>
          <w:color w:val="auto"/>
          <w:sz w:val="16"/>
          <w:szCs w:val="16"/>
          <w:lang w:val="es-US"/>
        </w:rPr>
        <w:t>0</w:t>
      </w:r>
      <w:r w:rsidR="00BC49D6" w:rsidRPr="009F1142">
        <w:rPr>
          <w:rFonts w:ascii="Cambria" w:hAnsi="Cambria"/>
          <w:color w:val="auto"/>
          <w:sz w:val="16"/>
          <w:szCs w:val="16"/>
          <w:lang w:val="es-US"/>
        </w:rPr>
        <w:t>9</w:t>
      </w:r>
      <w:r w:rsidRPr="009F1142">
        <w:rPr>
          <w:rFonts w:ascii="Cambria" w:hAnsi="Cambria"/>
          <w:color w:val="auto"/>
          <w:sz w:val="16"/>
          <w:szCs w:val="16"/>
          <w:lang w:val="es-US"/>
        </w:rPr>
        <w:t xml:space="preserve">. La Palabra y el Silencio: La violencia contra periodistas en Colombia (1977-2015). </w:t>
      </w:r>
      <w:proofErr w:type="spellStart"/>
      <w:r w:rsidRPr="009F1142">
        <w:rPr>
          <w:rFonts w:ascii="Cambria" w:hAnsi="Cambria"/>
          <w:color w:val="auto"/>
          <w:sz w:val="16"/>
          <w:szCs w:val="16"/>
          <w:lang w:val="es-ES"/>
        </w:rPr>
        <w:t>Report</w:t>
      </w:r>
      <w:proofErr w:type="spellEnd"/>
      <w:r w:rsidRPr="009F1142">
        <w:rPr>
          <w:rFonts w:ascii="Cambria" w:hAnsi="Cambria"/>
          <w:color w:val="auto"/>
          <w:sz w:val="16"/>
          <w:szCs w:val="16"/>
          <w:lang w:val="es-ES"/>
        </w:rPr>
        <w:t xml:space="preserve"> of </w:t>
      </w:r>
      <w:proofErr w:type="spellStart"/>
      <w:r w:rsidRPr="009F1142">
        <w:rPr>
          <w:rFonts w:ascii="Cambria" w:hAnsi="Cambria"/>
          <w:color w:val="auto"/>
          <w:sz w:val="16"/>
          <w:szCs w:val="16"/>
          <w:lang w:val="es-ES"/>
        </w:rPr>
        <w:t>the</w:t>
      </w:r>
      <w:proofErr w:type="spellEnd"/>
      <w:r w:rsidRPr="009F1142">
        <w:rPr>
          <w:rFonts w:ascii="Cambria" w:hAnsi="Cambria"/>
          <w:color w:val="auto"/>
          <w:sz w:val="16"/>
          <w:szCs w:val="16"/>
          <w:lang w:val="es-ES"/>
        </w:rPr>
        <w:t xml:space="preserve"> </w:t>
      </w:r>
      <w:proofErr w:type="spellStart"/>
      <w:r w:rsidRPr="009F1142">
        <w:rPr>
          <w:rFonts w:ascii="Cambria" w:hAnsi="Cambria"/>
          <w:color w:val="auto"/>
          <w:sz w:val="16"/>
          <w:szCs w:val="16"/>
          <w:lang w:val="es-ES"/>
        </w:rPr>
        <w:t>National</w:t>
      </w:r>
      <w:proofErr w:type="spellEnd"/>
      <w:r w:rsidRPr="009F1142">
        <w:rPr>
          <w:rFonts w:ascii="Cambria" w:hAnsi="Cambria"/>
          <w:color w:val="auto"/>
          <w:sz w:val="16"/>
          <w:szCs w:val="16"/>
          <w:lang w:val="es-ES"/>
        </w:rPr>
        <w:t xml:space="preserve"> Center </w:t>
      </w:r>
      <w:proofErr w:type="spellStart"/>
      <w:r w:rsidRPr="009F1142">
        <w:rPr>
          <w:rFonts w:ascii="Cambria" w:hAnsi="Cambria"/>
          <w:color w:val="auto"/>
          <w:sz w:val="16"/>
          <w:szCs w:val="16"/>
          <w:lang w:val="es-ES"/>
        </w:rPr>
        <w:t>for</w:t>
      </w:r>
      <w:proofErr w:type="spellEnd"/>
      <w:r w:rsidRPr="009F1142">
        <w:rPr>
          <w:rFonts w:ascii="Cambria" w:hAnsi="Cambria"/>
          <w:color w:val="auto"/>
          <w:sz w:val="16"/>
          <w:szCs w:val="16"/>
          <w:lang w:val="es-ES"/>
        </w:rPr>
        <w:t xml:space="preserve"> </w:t>
      </w:r>
      <w:proofErr w:type="spellStart"/>
      <w:r w:rsidRPr="009F1142">
        <w:rPr>
          <w:rFonts w:ascii="Cambria" w:hAnsi="Cambria"/>
          <w:color w:val="auto"/>
          <w:sz w:val="16"/>
          <w:szCs w:val="16"/>
          <w:lang w:val="es-ES"/>
        </w:rPr>
        <w:t>Historical</w:t>
      </w:r>
      <w:proofErr w:type="spellEnd"/>
      <w:r w:rsidRPr="009F1142">
        <w:rPr>
          <w:rFonts w:ascii="Cambria" w:hAnsi="Cambria"/>
          <w:color w:val="auto"/>
          <w:sz w:val="16"/>
          <w:szCs w:val="16"/>
          <w:lang w:val="es-ES"/>
        </w:rPr>
        <w:t xml:space="preserve"> </w:t>
      </w:r>
      <w:proofErr w:type="spellStart"/>
      <w:r w:rsidRPr="009F1142">
        <w:rPr>
          <w:rFonts w:ascii="Cambria" w:hAnsi="Cambria"/>
          <w:color w:val="auto"/>
          <w:sz w:val="16"/>
          <w:szCs w:val="16"/>
          <w:lang w:val="es-ES"/>
        </w:rPr>
        <w:t>Memory</w:t>
      </w:r>
      <w:proofErr w:type="spellEnd"/>
      <w:r w:rsidRPr="009F1142">
        <w:rPr>
          <w:rFonts w:ascii="Cambria" w:hAnsi="Cambria"/>
          <w:color w:val="auto"/>
          <w:sz w:val="16"/>
          <w:szCs w:val="16"/>
          <w:lang w:val="es-ES"/>
        </w:rPr>
        <w:t xml:space="preserve"> [</w:t>
      </w:r>
      <w:r w:rsidRPr="009F1142">
        <w:rPr>
          <w:rFonts w:ascii="Cambria" w:hAnsi="Cambria"/>
          <w:i/>
          <w:color w:val="auto"/>
          <w:sz w:val="16"/>
          <w:szCs w:val="16"/>
          <w:lang w:val="es-ES"/>
        </w:rPr>
        <w:t>Centro Nacional de Memoria Histórica</w:t>
      </w:r>
      <w:r w:rsidRPr="009F1142">
        <w:rPr>
          <w:rFonts w:ascii="Cambria" w:hAnsi="Cambria"/>
          <w:color w:val="auto"/>
          <w:sz w:val="16"/>
          <w:szCs w:val="16"/>
          <w:lang w:val="es-ES"/>
        </w:rPr>
        <w:t xml:space="preserve">]. </w:t>
      </w:r>
      <w:proofErr w:type="spellStart"/>
      <w:r w:rsidRPr="009F1142">
        <w:rPr>
          <w:rFonts w:ascii="Cambria" w:hAnsi="Cambria"/>
          <w:color w:val="auto"/>
          <w:sz w:val="16"/>
          <w:szCs w:val="16"/>
          <w:lang w:val="es-ES"/>
        </w:rPr>
        <w:t>November</w:t>
      </w:r>
      <w:proofErr w:type="spellEnd"/>
      <w:r w:rsidRPr="009F1142">
        <w:rPr>
          <w:rFonts w:ascii="Cambria" w:hAnsi="Cambria"/>
          <w:color w:val="auto"/>
          <w:sz w:val="16"/>
          <w:szCs w:val="16"/>
          <w:lang w:val="es-ES"/>
        </w:rPr>
        <w:t xml:space="preserve"> 2015, pp. 19-24.</w:t>
      </w:r>
    </w:p>
  </w:footnote>
  <w:footnote w:id="15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lang w:val="es-CO"/>
        </w:rPr>
        <w:t xml:space="preserve"> </w:t>
      </w:r>
      <w:proofErr w:type="spellStart"/>
      <w:r w:rsidRPr="009F1142">
        <w:rPr>
          <w:rFonts w:ascii="Cambria" w:hAnsi="Cambria"/>
          <w:color w:val="auto"/>
          <w:sz w:val="16"/>
          <w:szCs w:val="16"/>
          <w:lang w:val="es-US"/>
        </w:rPr>
        <w:t>Annex</w:t>
      </w:r>
      <w:proofErr w:type="spellEnd"/>
      <w:r w:rsidR="00BC49D6" w:rsidRPr="009F1142">
        <w:rPr>
          <w:rFonts w:ascii="Cambria" w:hAnsi="Cambria"/>
          <w:color w:val="auto"/>
          <w:sz w:val="16"/>
          <w:szCs w:val="16"/>
          <w:lang w:val="es-US"/>
        </w:rPr>
        <w:t xml:space="preserve"> 1</w:t>
      </w:r>
      <w:r w:rsidRPr="009F1142">
        <w:rPr>
          <w:rFonts w:ascii="Cambria" w:hAnsi="Cambria"/>
          <w:color w:val="auto"/>
          <w:sz w:val="16"/>
          <w:szCs w:val="16"/>
          <w:lang w:val="es-US"/>
        </w:rPr>
        <w:t>0</w:t>
      </w:r>
      <w:r w:rsidR="00BC49D6" w:rsidRPr="009F1142">
        <w:rPr>
          <w:rFonts w:ascii="Cambria" w:hAnsi="Cambria"/>
          <w:color w:val="auto"/>
          <w:sz w:val="16"/>
          <w:szCs w:val="16"/>
          <w:lang w:val="es-US"/>
        </w:rPr>
        <w:t>9</w:t>
      </w:r>
      <w:r w:rsidRPr="009F1142">
        <w:rPr>
          <w:rFonts w:ascii="Cambria" w:hAnsi="Cambria"/>
          <w:color w:val="auto"/>
          <w:sz w:val="16"/>
          <w:szCs w:val="16"/>
          <w:lang w:val="es-US"/>
        </w:rPr>
        <w:t xml:space="preserve">. La Palabra y el Silencio: La violencia contra periodistas en Colombia (1977-2015). </w:t>
      </w:r>
      <w:r w:rsidRPr="009F1142">
        <w:rPr>
          <w:rFonts w:ascii="Cambria" w:hAnsi="Cambria"/>
          <w:color w:val="auto"/>
          <w:sz w:val="16"/>
          <w:szCs w:val="16"/>
        </w:rPr>
        <w:t>Report of the National Center for Historical Memory. November 2015, pp. 19-24.</w:t>
      </w:r>
    </w:p>
  </w:footnote>
  <w:footnote w:id="15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IACHR. Office of the Special Rapporteur for Freedom of Expression. Impunity, Self-censorship and Armed Internal Conflict: An Analysis of the State of Freedom of Expression in Colombia. OEA/</w:t>
      </w:r>
      <w:proofErr w:type="spellStart"/>
      <w:r w:rsidRPr="009F1142">
        <w:rPr>
          <w:rFonts w:ascii="Cambria" w:hAnsi="Cambria"/>
          <w:color w:val="auto"/>
          <w:sz w:val="16"/>
          <w:szCs w:val="16"/>
        </w:rPr>
        <w:t>Ser.L</w:t>
      </w:r>
      <w:proofErr w:type="spellEnd"/>
      <w:r w:rsidRPr="009F1142">
        <w:rPr>
          <w:rFonts w:ascii="Cambria" w:hAnsi="Cambria"/>
          <w:color w:val="auto"/>
          <w:sz w:val="16"/>
          <w:szCs w:val="16"/>
        </w:rPr>
        <w:t>/V/II, Doc.51, August 25, 2005. Para. 5.</w:t>
      </w:r>
    </w:p>
  </w:footnote>
  <w:footnote w:id="15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IACHR. Office of the Special Rapporteur for Freedom of Expression. Impunity, Self-censorship and Armed Internal Conflict: An Analysis of the State of Freedom of Expression in Colombia. OEA/</w:t>
      </w:r>
      <w:proofErr w:type="spellStart"/>
      <w:r w:rsidRPr="009F1142">
        <w:rPr>
          <w:rFonts w:ascii="Cambria" w:hAnsi="Cambria"/>
          <w:color w:val="auto"/>
          <w:sz w:val="16"/>
          <w:szCs w:val="16"/>
        </w:rPr>
        <w:t>Ser.L</w:t>
      </w:r>
      <w:proofErr w:type="spellEnd"/>
      <w:r w:rsidRPr="009F1142">
        <w:rPr>
          <w:rFonts w:ascii="Cambria" w:hAnsi="Cambria"/>
          <w:color w:val="auto"/>
          <w:sz w:val="16"/>
          <w:szCs w:val="16"/>
        </w:rPr>
        <w:t>/V/II, Doc.51, August 25, 2005. Para. 53.</w:t>
      </w:r>
    </w:p>
  </w:footnote>
  <w:footnote w:id="154">
    <w:p w:rsidR="00637A06" w:rsidRPr="009F1142" w:rsidRDefault="00637A06" w:rsidP="009F1142">
      <w:pPr>
        <w:pStyle w:val="ListParagraph"/>
        <w:shd w:val="clear" w:color="auto" w:fill="FFFFFF"/>
        <w:tabs>
          <w:tab w:val="left" w:pos="810"/>
        </w:tabs>
        <w:ind w:left="0"/>
        <w:jc w:val="both"/>
        <w:rPr>
          <w:sz w:val="16"/>
          <w:szCs w:val="16"/>
        </w:rPr>
      </w:pPr>
      <w:r w:rsidRPr="009F1142">
        <w:rPr>
          <w:rStyle w:val="FootnoteReference"/>
          <w:sz w:val="16"/>
          <w:szCs w:val="16"/>
        </w:rPr>
        <w:footnoteRef/>
      </w:r>
      <w:r w:rsidRPr="009F1142">
        <w:rPr>
          <w:sz w:val="16"/>
          <w:szCs w:val="16"/>
        </w:rPr>
        <w:t xml:space="preserve"> </w:t>
      </w:r>
      <w:r w:rsidRPr="009F1142">
        <w:rPr>
          <w:color w:val="auto"/>
          <w:sz w:val="16"/>
          <w:szCs w:val="16"/>
        </w:rPr>
        <w:t>Article 4 of the American Convention establishes that “[e]very person has the right to have his life respected. This right shall be protected by law and, in general, from the moment of conception. No one shall be arbitrarily deprived of his life</w:t>
      </w:r>
      <w:r w:rsidRPr="009F1142">
        <w:rPr>
          <w:rFonts w:cs="Tahoma"/>
          <w:color w:val="auto"/>
          <w:sz w:val="16"/>
          <w:szCs w:val="16"/>
        </w:rPr>
        <w:t>”.</w:t>
      </w:r>
    </w:p>
  </w:footnote>
  <w:footnote w:id="155">
    <w:p w:rsidR="00637A06" w:rsidRPr="009F1142" w:rsidRDefault="00637A06" w:rsidP="009F11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Article 5 of the American Convention establishes that: “1) [e]very person has the right to have his physical, mental, and moral integrity respected. 2) No one shall be subjected to torture or to cruel, inhuman, or degrading punishment or treatment. All persons deprived of their liberty shall be treated with respect for the inherent dignity of the human person”</w:t>
      </w:r>
      <w:r w:rsidRPr="009F1142">
        <w:rPr>
          <w:rFonts w:ascii="Cambria" w:hAnsi="Cambria"/>
          <w:spacing w:val="-3"/>
          <w:sz w:val="16"/>
          <w:szCs w:val="16"/>
        </w:rPr>
        <w:t>.</w:t>
      </w:r>
    </w:p>
  </w:footnote>
  <w:footnote w:id="156">
    <w:p w:rsidR="00637A06" w:rsidRPr="009F1142" w:rsidRDefault="00637A06" w:rsidP="009F1142">
      <w:pPr>
        <w:pStyle w:val="NormalWeb"/>
        <w:spacing w:before="0" w:beforeAutospacing="0" w:after="0" w:afterAutospacing="0"/>
        <w:jc w:val="both"/>
        <w:rPr>
          <w:rFonts w:ascii="Cambria" w:hAnsi="Cambria"/>
          <w:sz w:val="16"/>
          <w:szCs w:val="16"/>
          <w:lang w:val="en-US"/>
        </w:rPr>
      </w:pPr>
      <w:r w:rsidRPr="009F1142">
        <w:rPr>
          <w:rStyle w:val="FootnoteReference"/>
          <w:rFonts w:ascii="Cambria" w:hAnsi="Cambria"/>
          <w:sz w:val="16"/>
          <w:szCs w:val="16"/>
        </w:rPr>
        <w:footnoteRef/>
      </w:r>
      <w:r w:rsidRPr="009F1142">
        <w:rPr>
          <w:rFonts w:ascii="Cambria" w:hAnsi="Cambria"/>
          <w:sz w:val="16"/>
          <w:szCs w:val="16"/>
          <w:lang w:val="en-US"/>
        </w:rPr>
        <w:t xml:space="preserve"> In this regard, Article 7 of the American Convention establishes that: “</w:t>
      </w:r>
      <w:r w:rsidRPr="009F1142">
        <w:rPr>
          <w:rFonts w:ascii="Cambria" w:hAnsi="Cambria" w:cs="Tahoma"/>
          <w:sz w:val="16"/>
          <w:szCs w:val="16"/>
          <w:lang w:val="en-US"/>
        </w:rPr>
        <w:t>1) [e]</w:t>
      </w:r>
      <w:r w:rsidRPr="009F1142">
        <w:rPr>
          <w:rFonts w:ascii="Cambria" w:hAnsi="Cambria"/>
          <w:sz w:val="16"/>
          <w:szCs w:val="16"/>
          <w:lang w:val="en-US"/>
        </w:rPr>
        <w:t>very person has the right to personal liberty and security</w:t>
      </w:r>
      <w:r w:rsidRPr="009F1142">
        <w:rPr>
          <w:rFonts w:ascii="Cambria" w:hAnsi="Cambria" w:cs="Tahoma"/>
          <w:sz w:val="16"/>
          <w:szCs w:val="16"/>
          <w:lang w:val="en-US"/>
        </w:rPr>
        <w:t xml:space="preserve">. 2) </w:t>
      </w:r>
      <w:r w:rsidRPr="009F1142">
        <w:rPr>
          <w:rFonts w:ascii="Cambria" w:hAnsi="Cambria"/>
          <w:sz w:val="16"/>
          <w:szCs w:val="16"/>
          <w:lang w:val="en-US"/>
        </w:rPr>
        <w:t>No one shall be deprived of his physical liberty except for the reasons and under the conditions established beforehand by the constitution of the State Party concerned or by a law established pursuant thereto</w:t>
      </w:r>
      <w:r w:rsidRPr="009F1142">
        <w:rPr>
          <w:rFonts w:ascii="Cambria" w:hAnsi="Cambria" w:cs="Tahoma"/>
          <w:sz w:val="16"/>
          <w:szCs w:val="16"/>
          <w:lang w:val="en-US"/>
        </w:rPr>
        <w:t xml:space="preserve">. 3) </w:t>
      </w:r>
      <w:r w:rsidRPr="009F1142">
        <w:rPr>
          <w:rFonts w:ascii="Cambria" w:hAnsi="Cambria"/>
          <w:sz w:val="16"/>
          <w:szCs w:val="16"/>
          <w:lang w:val="en-US"/>
        </w:rPr>
        <w:t>No one shall be subject to arbitrary arrest or imprisonment”</w:t>
      </w:r>
      <w:r w:rsidRPr="009F1142">
        <w:rPr>
          <w:rFonts w:ascii="Cambria" w:hAnsi="Cambria" w:cs="Tahoma"/>
          <w:sz w:val="16"/>
          <w:szCs w:val="16"/>
          <w:lang w:val="en-US"/>
        </w:rPr>
        <w:t>.</w:t>
      </w:r>
    </w:p>
  </w:footnote>
  <w:footnote w:id="157">
    <w:p w:rsidR="00637A06" w:rsidRPr="009F1142" w:rsidRDefault="00637A06" w:rsidP="009F11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Article 11 of the American Convention establishes, in this regard</w:t>
      </w:r>
      <w:r w:rsidRPr="009F1142">
        <w:rPr>
          <w:rFonts w:ascii="Cambria" w:eastAsia="Times New Roman" w:hAnsi="Cambria" w:cs="Cambria"/>
          <w:sz w:val="16"/>
          <w:szCs w:val="16"/>
          <w:u w:color="000000"/>
          <w:lang w:eastAsia="es-ES"/>
        </w:rPr>
        <w:t xml:space="preserve">: </w:t>
      </w:r>
      <w:r w:rsidRPr="009F1142">
        <w:rPr>
          <w:rFonts w:ascii="Cambria" w:hAnsi="Cambria"/>
          <w:spacing w:val="-3"/>
          <w:sz w:val="16"/>
          <w:szCs w:val="16"/>
        </w:rPr>
        <w:t>1) [e]</w:t>
      </w:r>
      <w:proofErr w:type="spellStart"/>
      <w:r w:rsidRPr="009F1142">
        <w:rPr>
          <w:rFonts w:ascii="Cambria" w:hAnsi="Cambria"/>
          <w:sz w:val="16"/>
          <w:szCs w:val="16"/>
        </w:rPr>
        <w:t>veryone</w:t>
      </w:r>
      <w:proofErr w:type="spellEnd"/>
      <w:r w:rsidRPr="009F1142">
        <w:rPr>
          <w:rFonts w:ascii="Cambria" w:hAnsi="Cambria"/>
          <w:sz w:val="16"/>
          <w:szCs w:val="16"/>
        </w:rPr>
        <w:t xml:space="preserve"> has the right to have his honor respected and his dignity recognized. 2) No one may be the object of arbitrary or abusive interference with his private life, his family, his home, or his correspondence, or of unlawful attacks on his honor or reputation</w:t>
      </w:r>
      <w:r w:rsidRPr="009F1142">
        <w:rPr>
          <w:rFonts w:ascii="Cambria" w:hAnsi="Cambria"/>
          <w:spacing w:val="-3"/>
          <w:sz w:val="16"/>
          <w:szCs w:val="16"/>
        </w:rPr>
        <w:t>.</w:t>
      </w:r>
    </w:p>
  </w:footnote>
  <w:footnote w:id="15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Article 13 of the American Convention establishes, in this regard</w:t>
      </w:r>
      <w:r w:rsidRPr="009F1142">
        <w:rPr>
          <w:rFonts w:ascii="Cambria" w:hAnsi="Cambria" w:cs="Tahoma"/>
          <w:color w:val="auto"/>
          <w:sz w:val="16"/>
          <w:szCs w:val="16"/>
        </w:rPr>
        <w:t>, that “[e]</w:t>
      </w:r>
      <w:proofErr w:type="spellStart"/>
      <w:r w:rsidRPr="009F1142">
        <w:rPr>
          <w:rFonts w:ascii="Cambria" w:hAnsi="Cambria"/>
          <w:color w:val="auto"/>
          <w:sz w:val="16"/>
          <w:szCs w:val="16"/>
        </w:rPr>
        <w:t>veryone</w:t>
      </w:r>
      <w:proofErr w:type="spellEnd"/>
      <w:r w:rsidRPr="009F1142">
        <w:rPr>
          <w:rFonts w:ascii="Cambria" w:hAnsi="Cambria"/>
          <w:color w:val="auto"/>
          <w:sz w:val="16"/>
          <w:szCs w:val="16"/>
        </w:rPr>
        <w:t xml:space="preserve"> has the right to freedom of thought and expression. This right includes freedom to seek, receive, and impart information and ideas of all kinds, regardless of frontiers, either orally, in writing, in print, in the form of art, or through any other medium of one's choice</w:t>
      </w:r>
      <w:r w:rsidRPr="009F1142">
        <w:rPr>
          <w:rFonts w:ascii="Cambria" w:hAnsi="Cambria" w:cs="Tahoma"/>
          <w:color w:val="auto"/>
          <w:sz w:val="16"/>
          <w:szCs w:val="16"/>
        </w:rPr>
        <w:t>”.</w:t>
      </w:r>
    </w:p>
  </w:footnote>
  <w:footnote w:id="159">
    <w:p w:rsidR="00637A06" w:rsidRPr="009F1142" w:rsidRDefault="00637A06" w:rsidP="009F11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eastAsia="Times New Roman" w:hAnsi="Cambria" w:cs="Cambria"/>
          <w:sz w:val="16"/>
          <w:szCs w:val="16"/>
          <w:u w:color="000000"/>
          <w:lang w:eastAsia="es-ES"/>
        </w:rPr>
        <w:t xml:space="preserve">Article 24 </w:t>
      </w:r>
      <w:r w:rsidRPr="009F1142">
        <w:rPr>
          <w:rFonts w:ascii="Cambria" w:hAnsi="Cambria"/>
          <w:sz w:val="16"/>
          <w:szCs w:val="16"/>
        </w:rPr>
        <w:t>of the American Convention establishes, in this sense</w:t>
      </w:r>
      <w:r w:rsidRPr="009F1142">
        <w:rPr>
          <w:rFonts w:ascii="Cambria" w:eastAsia="Times New Roman" w:hAnsi="Cambria" w:cs="Cambria"/>
          <w:sz w:val="16"/>
          <w:szCs w:val="16"/>
          <w:u w:color="000000"/>
          <w:lang w:eastAsia="es-ES"/>
        </w:rPr>
        <w:t>: “</w:t>
      </w:r>
      <w:r w:rsidRPr="009F1142">
        <w:rPr>
          <w:rFonts w:ascii="Cambria" w:hAnsi="Cambria"/>
          <w:sz w:val="16"/>
          <w:szCs w:val="16"/>
        </w:rPr>
        <w:t>All persons are equal before the law. Consequently, they are entitled, without discrimination, to equal protection of the law”</w:t>
      </w:r>
      <w:r w:rsidRPr="009F1142">
        <w:rPr>
          <w:rFonts w:ascii="Cambria" w:hAnsi="Cambria"/>
          <w:spacing w:val="-3"/>
          <w:sz w:val="16"/>
          <w:szCs w:val="16"/>
        </w:rPr>
        <w:t>.</w:t>
      </w:r>
    </w:p>
  </w:footnote>
  <w:footnote w:id="16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Article 1.1 of the American Convention establishes that: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61">
    <w:p w:rsidR="00637A06" w:rsidRPr="009F1142" w:rsidRDefault="00637A06" w:rsidP="009F11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Article 7.a) of the Convention of </w:t>
      </w:r>
      <w:proofErr w:type="spellStart"/>
      <w:r w:rsidRPr="009F1142">
        <w:rPr>
          <w:rFonts w:ascii="Cambria" w:hAnsi="Cambria"/>
          <w:sz w:val="16"/>
          <w:szCs w:val="16"/>
        </w:rPr>
        <w:t>Belém</w:t>
      </w:r>
      <w:proofErr w:type="spellEnd"/>
      <w:r w:rsidRPr="009F1142">
        <w:rPr>
          <w:rFonts w:ascii="Cambria" w:hAnsi="Cambria"/>
          <w:sz w:val="16"/>
          <w:szCs w:val="16"/>
        </w:rPr>
        <w:t xml:space="preserve"> do </w:t>
      </w:r>
      <w:proofErr w:type="spellStart"/>
      <w:r w:rsidRPr="009F1142">
        <w:rPr>
          <w:rFonts w:ascii="Cambria" w:hAnsi="Cambria"/>
          <w:sz w:val="16"/>
          <w:szCs w:val="16"/>
        </w:rPr>
        <w:t>Pará</w:t>
      </w:r>
      <w:proofErr w:type="spellEnd"/>
      <w:r w:rsidRPr="009F1142">
        <w:rPr>
          <w:rFonts w:ascii="Cambria" w:hAnsi="Cambria"/>
          <w:sz w:val="16"/>
          <w:szCs w:val="16"/>
        </w:rPr>
        <w:t xml:space="preserve"> affirms: “</w:t>
      </w:r>
      <w:r w:rsidRPr="009F1142">
        <w:rPr>
          <w:rFonts w:ascii="Cambria" w:hAnsi="Cambria" w:cs="Tahoma"/>
          <w:sz w:val="16"/>
          <w:szCs w:val="16"/>
          <w:lang w:eastAsia="pt-BR"/>
        </w:rPr>
        <w:t>The States Parties condemn all forms of violence against women and agree to pursue, by all appropriate means and without delay, policies to prevent, punish and eradicate such violence and undertake to: refrain from engaging in any act or practice of violence against women and to ensure that their authorities, officials, personnel, agents, and institutions act in conformity with this obligation”.</w:t>
      </w:r>
    </w:p>
  </w:footnote>
  <w:footnote w:id="162">
    <w:p w:rsidR="00637A06" w:rsidRPr="009F1142" w:rsidRDefault="00637A06" w:rsidP="009F11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Article</w:t>
      </w:r>
      <w:r w:rsidRPr="009F1142">
        <w:rPr>
          <w:rFonts w:ascii="Cambria" w:hAnsi="Cambria" w:cs="Tahoma"/>
          <w:sz w:val="16"/>
          <w:szCs w:val="16"/>
        </w:rPr>
        <w:t xml:space="preserve"> 1 of the Inter-American Convention to Prevent and Punish Torture affirms: “</w:t>
      </w:r>
      <w:r w:rsidRPr="009F1142">
        <w:rPr>
          <w:rFonts w:ascii="Cambria" w:hAnsi="Cambria" w:cs="Tahoma"/>
          <w:sz w:val="16"/>
          <w:szCs w:val="16"/>
          <w:lang w:eastAsia="pt-BR"/>
        </w:rPr>
        <w:t>The State Parties undertake to prevent and punish torture in accordance with the terms of this Convention”</w:t>
      </w:r>
      <w:r w:rsidRPr="009F1142">
        <w:rPr>
          <w:rFonts w:ascii="Cambria" w:hAnsi="Cambria" w:cs="Tahoma"/>
          <w:sz w:val="16"/>
          <w:szCs w:val="16"/>
        </w:rPr>
        <w:t>.</w:t>
      </w:r>
    </w:p>
  </w:footnote>
  <w:footnote w:id="163">
    <w:p w:rsidR="00637A06" w:rsidRPr="009F1142" w:rsidRDefault="00637A06" w:rsidP="009F11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In this regard, article 6 of the </w:t>
      </w:r>
      <w:r w:rsidRPr="009F1142">
        <w:rPr>
          <w:rFonts w:ascii="Cambria" w:hAnsi="Cambria" w:cs="Tahoma"/>
          <w:sz w:val="16"/>
          <w:szCs w:val="16"/>
        </w:rPr>
        <w:t>Inter-American Convention to Prevent and Punish Torture highlights that: “[</w:t>
      </w:r>
      <w:proofErr w:type="spellStart"/>
      <w:r w:rsidRPr="009F1142">
        <w:rPr>
          <w:rFonts w:ascii="Cambria" w:hAnsi="Cambria" w:cs="Tahoma"/>
          <w:sz w:val="16"/>
          <w:szCs w:val="16"/>
        </w:rPr>
        <w:t>i</w:t>
      </w:r>
      <w:proofErr w:type="spellEnd"/>
      <w:r w:rsidRPr="009F1142">
        <w:rPr>
          <w:rFonts w:ascii="Cambria" w:hAnsi="Cambria" w:cs="Tahoma"/>
          <w:sz w:val="16"/>
          <w:szCs w:val="16"/>
        </w:rPr>
        <w:t>]</w:t>
      </w:r>
      <w:r w:rsidRPr="009F1142">
        <w:rPr>
          <w:rFonts w:ascii="Cambria" w:hAnsi="Cambria" w:cs="Tahoma"/>
          <w:sz w:val="16"/>
          <w:szCs w:val="16"/>
          <w:lang w:eastAsia="pt-BR"/>
        </w:rPr>
        <w:t>n accordance with the terms of Article 1, the States Parties shall take effective measures to prevent and punish torture within their jurisdiction”.</w:t>
      </w:r>
    </w:p>
  </w:footnote>
  <w:footnote w:id="164">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bCs/>
          <w:color w:val="auto"/>
          <w:sz w:val="16"/>
          <w:szCs w:val="16"/>
          <w:lang w:eastAsia="x-none"/>
        </w:rPr>
        <w:t>IACHR. Report No.</w:t>
      </w:r>
      <w:r w:rsidRPr="009F1142">
        <w:rPr>
          <w:rFonts w:ascii="Cambria" w:hAnsi="Cambria"/>
          <w:color w:val="auto"/>
          <w:sz w:val="16"/>
          <w:szCs w:val="16"/>
          <w:lang w:eastAsia="x-none"/>
        </w:rPr>
        <w:t xml:space="preserve"> 136/10. Case 12.658. Luis Gonzalo “Richard” </w:t>
      </w:r>
      <w:proofErr w:type="spellStart"/>
      <w:r w:rsidRPr="009F1142">
        <w:rPr>
          <w:rFonts w:ascii="Cambria" w:hAnsi="Cambria"/>
          <w:color w:val="auto"/>
          <w:sz w:val="16"/>
          <w:szCs w:val="16"/>
          <w:lang w:eastAsia="x-none"/>
        </w:rPr>
        <w:t>Vélez</w:t>
      </w:r>
      <w:proofErr w:type="spellEnd"/>
      <w:r w:rsidRPr="009F1142">
        <w:rPr>
          <w:rFonts w:ascii="Cambria" w:hAnsi="Cambria"/>
          <w:color w:val="auto"/>
          <w:sz w:val="16"/>
          <w:szCs w:val="16"/>
          <w:lang w:eastAsia="x-none"/>
        </w:rPr>
        <w:t xml:space="preserve"> </w:t>
      </w:r>
      <w:proofErr w:type="spellStart"/>
      <w:r w:rsidRPr="009F1142">
        <w:rPr>
          <w:rFonts w:ascii="Cambria" w:hAnsi="Cambria"/>
          <w:color w:val="auto"/>
          <w:sz w:val="16"/>
          <w:szCs w:val="16"/>
          <w:lang w:eastAsia="x-none"/>
        </w:rPr>
        <w:t>Restrepo</w:t>
      </w:r>
      <w:proofErr w:type="spellEnd"/>
      <w:r w:rsidRPr="009F1142">
        <w:rPr>
          <w:rFonts w:ascii="Cambria" w:hAnsi="Cambria"/>
          <w:color w:val="auto"/>
          <w:sz w:val="16"/>
          <w:szCs w:val="16"/>
          <w:lang w:eastAsia="x-none"/>
        </w:rPr>
        <w:t xml:space="preserve"> and Family (Colombia). October 23, 2010. Para. 136; IACHR. Report No. 50/99. Case 11.739. Héctor Félix Miranda (Mexico). April 13, 1999. Para. 52; IACHR. Report No. 130/99. Case No. 11.740. Víctor Manuel </w:t>
      </w:r>
      <w:proofErr w:type="spellStart"/>
      <w:r w:rsidRPr="009F1142">
        <w:rPr>
          <w:rFonts w:ascii="Cambria" w:hAnsi="Cambria"/>
          <w:color w:val="auto"/>
          <w:sz w:val="16"/>
          <w:szCs w:val="16"/>
          <w:lang w:eastAsia="x-none"/>
        </w:rPr>
        <w:t>Oropeza</w:t>
      </w:r>
      <w:proofErr w:type="spellEnd"/>
      <w:r w:rsidRPr="009F1142">
        <w:rPr>
          <w:rFonts w:ascii="Cambria" w:hAnsi="Cambria"/>
          <w:color w:val="auto"/>
          <w:sz w:val="16"/>
          <w:szCs w:val="16"/>
          <w:lang w:eastAsia="x-none"/>
        </w:rPr>
        <w:t xml:space="preserve"> (Mexico). November 19, 1999. Para. 58. See also I/A Court H.R. </w:t>
      </w:r>
      <w:r w:rsidRPr="009F1142">
        <w:rPr>
          <w:rFonts w:ascii="Cambria" w:hAnsi="Cambria"/>
          <w:bCs/>
          <w:i/>
          <w:color w:val="auto"/>
          <w:sz w:val="16"/>
          <w:szCs w:val="16"/>
          <w:lang w:eastAsia="x-none"/>
        </w:rPr>
        <w:t xml:space="preserve">Case of </w:t>
      </w:r>
      <w:proofErr w:type="spellStart"/>
      <w:r w:rsidRPr="009F1142">
        <w:rPr>
          <w:rFonts w:ascii="Cambria" w:hAnsi="Cambria"/>
          <w:bCs/>
          <w:i/>
          <w:color w:val="auto"/>
          <w:sz w:val="16"/>
          <w:szCs w:val="16"/>
          <w:lang w:eastAsia="x-none"/>
        </w:rPr>
        <w:t>Vélez</w:t>
      </w:r>
      <w:proofErr w:type="spellEnd"/>
      <w:r w:rsidRPr="009F1142">
        <w:rPr>
          <w:rFonts w:ascii="Cambria" w:hAnsi="Cambria"/>
          <w:bCs/>
          <w:i/>
          <w:color w:val="auto"/>
          <w:sz w:val="16"/>
          <w:szCs w:val="16"/>
          <w:lang w:eastAsia="x-none"/>
        </w:rPr>
        <w:t xml:space="preserve"> </w:t>
      </w:r>
      <w:proofErr w:type="spellStart"/>
      <w:r w:rsidRPr="009F1142">
        <w:rPr>
          <w:rFonts w:ascii="Cambria" w:hAnsi="Cambria"/>
          <w:bCs/>
          <w:i/>
          <w:color w:val="auto"/>
          <w:sz w:val="16"/>
          <w:szCs w:val="16"/>
          <w:lang w:eastAsia="x-none"/>
        </w:rPr>
        <w:t>Restrepo</w:t>
      </w:r>
      <w:proofErr w:type="spellEnd"/>
      <w:r w:rsidRPr="009F1142">
        <w:rPr>
          <w:rFonts w:ascii="Cambria" w:hAnsi="Cambria"/>
          <w:bCs/>
          <w:i/>
          <w:color w:val="auto"/>
          <w:sz w:val="16"/>
          <w:szCs w:val="16"/>
          <w:lang w:eastAsia="x-none"/>
        </w:rPr>
        <w:t xml:space="preserve"> and Family v. Colombia. </w:t>
      </w:r>
      <w:r w:rsidRPr="009F1142">
        <w:rPr>
          <w:rFonts w:ascii="Cambria" w:hAnsi="Cambria"/>
          <w:bCs/>
          <w:color w:val="auto"/>
          <w:sz w:val="16"/>
          <w:szCs w:val="16"/>
          <w:lang w:eastAsia="x-none"/>
        </w:rPr>
        <w:t>Preliminary Objection</w:t>
      </w:r>
      <w:r w:rsidRPr="009F1142">
        <w:rPr>
          <w:rFonts w:ascii="Cambria" w:hAnsi="Cambria"/>
          <w:color w:val="auto"/>
          <w:sz w:val="16"/>
          <w:szCs w:val="16"/>
          <w:lang w:eastAsia="x-none"/>
        </w:rPr>
        <w:t xml:space="preserve">, Merits, Reparations and Costs. Judgment of September 3, 2012. Series C, No. 248. Para. 194; and 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et al. v. Colombia</w:t>
      </w:r>
      <w:r w:rsidRPr="009F1142">
        <w:rPr>
          <w:rFonts w:ascii="Cambria" w:hAnsi="Cambria"/>
          <w:color w:val="auto"/>
          <w:sz w:val="16"/>
          <w:szCs w:val="16"/>
          <w:lang w:eastAsia="x-none"/>
        </w:rPr>
        <w:t>. Merits, Reparations and Costs. Judgment of March 13, 2018. Para. 175.</w:t>
      </w:r>
    </w:p>
  </w:footnote>
  <w:footnote w:id="165">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bCs/>
          <w:i/>
          <w:color w:val="auto"/>
          <w:sz w:val="16"/>
          <w:szCs w:val="16"/>
          <w:lang w:eastAsia="x-none"/>
        </w:rPr>
        <w:t xml:space="preserve">Case of </w:t>
      </w:r>
      <w:proofErr w:type="spellStart"/>
      <w:r w:rsidRPr="009F1142">
        <w:rPr>
          <w:rFonts w:ascii="Cambria" w:hAnsi="Cambria"/>
          <w:bCs/>
          <w:i/>
          <w:color w:val="auto"/>
          <w:sz w:val="16"/>
          <w:szCs w:val="16"/>
          <w:lang w:eastAsia="x-none"/>
        </w:rPr>
        <w:t>Vélez</w:t>
      </w:r>
      <w:proofErr w:type="spellEnd"/>
      <w:r w:rsidRPr="009F1142">
        <w:rPr>
          <w:rFonts w:ascii="Cambria" w:hAnsi="Cambria"/>
          <w:bCs/>
          <w:i/>
          <w:color w:val="auto"/>
          <w:sz w:val="16"/>
          <w:szCs w:val="16"/>
          <w:lang w:eastAsia="x-none"/>
        </w:rPr>
        <w:t xml:space="preserve"> </w:t>
      </w:r>
      <w:proofErr w:type="spellStart"/>
      <w:r w:rsidRPr="009F1142">
        <w:rPr>
          <w:rFonts w:ascii="Cambria" w:hAnsi="Cambria"/>
          <w:bCs/>
          <w:i/>
          <w:color w:val="auto"/>
          <w:sz w:val="16"/>
          <w:szCs w:val="16"/>
          <w:lang w:eastAsia="x-none"/>
        </w:rPr>
        <w:t>Restrepo</w:t>
      </w:r>
      <w:proofErr w:type="spellEnd"/>
      <w:r w:rsidRPr="009F1142">
        <w:rPr>
          <w:rFonts w:ascii="Cambria" w:hAnsi="Cambria"/>
          <w:bCs/>
          <w:i/>
          <w:color w:val="auto"/>
          <w:sz w:val="16"/>
          <w:szCs w:val="16"/>
          <w:lang w:eastAsia="x-none"/>
        </w:rPr>
        <w:t xml:space="preserve"> and Family v. Colombia</w:t>
      </w:r>
      <w:r w:rsidRPr="009F1142">
        <w:rPr>
          <w:rFonts w:ascii="Cambria" w:hAnsi="Cambria"/>
          <w:bCs/>
          <w:color w:val="auto"/>
          <w:sz w:val="16"/>
          <w:szCs w:val="16"/>
          <w:lang w:eastAsia="x-none"/>
        </w:rPr>
        <w:t xml:space="preserve">. </w:t>
      </w:r>
      <w:r w:rsidRPr="009F1142">
        <w:rPr>
          <w:rFonts w:ascii="Cambria" w:hAnsi="Cambria"/>
          <w:color w:val="auto"/>
          <w:sz w:val="16"/>
          <w:szCs w:val="16"/>
          <w:lang w:eastAsia="x-none"/>
        </w:rPr>
        <w:t>Preliminary Objection, Merits, Reparations and Costs. Judgment of September 3, 2012. Series C, No. 248. Para. 209.</w:t>
      </w:r>
    </w:p>
  </w:footnote>
  <w:footnote w:id="166">
    <w:p w:rsidR="00637A06" w:rsidRPr="009F1142" w:rsidRDefault="00637A06" w:rsidP="009F1142">
      <w:pPr>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rPr>
        <w:footnoteRef/>
      </w:r>
      <w:r w:rsidRPr="009F1142">
        <w:rPr>
          <w:rFonts w:ascii="Cambria" w:hAnsi="Cambria"/>
          <w:sz w:val="16"/>
          <w:szCs w:val="16"/>
        </w:rPr>
        <w:t xml:space="preserve"> I/A Court H.R. </w:t>
      </w:r>
      <w:r w:rsidRPr="009F1142">
        <w:rPr>
          <w:rFonts w:ascii="Cambria" w:hAnsi="Cambria"/>
          <w:i/>
          <w:sz w:val="16"/>
          <w:szCs w:val="16"/>
        </w:rPr>
        <w:t xml:space="preserve">Case of </w:t>
      </w:r>
      <w:proofErr w:type="spellStart"/>
      <w:r w:rsidRPr="009F1142">
        <w:rPr>
          <w:rFonts w:ascii="Cambria" w:hAnsi="Cambria"/>
          <w:i/>
          <w:sz w:val="16"/>
          <w:szCs w:val="16"/>
        </w:rPr>
        <w:t>Ivcher</w:t>
      </w:r>
      <w:proofErr w:type="spellEnd"/>
      <w:r w:rsidRPr="009F1142">
        <w:rPr>
          <w:rFonts w:ascii="Cambria" w:hAnsi="Cambria"/>
          <w:i/>
          <w:sz w:val="16"/>
          <w:szCs w:val="16"/>
        </w:rPr>
        <w:t xml:space="preserve"> Bronstein v. Peru</w:t>
      </w:r>
      <w:r w:rsidRPr="009F1142">
        <w:rPr>
          <w:rFonts w:ascii="Cambria" w:hAnsi="Cambria"/>
          <w:sz w:val="16"/>
          <w:szCs w:val="16"/>
        </w:rPr>
        <w:t xml:space="preserve">. Merits, Reparations and Costs. Judgment of February 6, 2001. Series C, No. 74. Para. 150; I/A Court H.R. </w:t>
      </w:r>
      <w:r w:rsidRPr="009F1142">
        <w:rPr>
          <w:rFonts w:ascii="Cambria" w:hAnsi="Cambria"/>
          <w:i/>
          <w:sz w:val="16"/>
          <w:szCs w:val="16"/>
        </w:rPr>
        <w:t>Case of Herrera Ulloa v. Costa Rica</w:t>
      </w:r>
      <w:r w:rsidRPr="009F1142">
        <w:rPr>
          <w:rFonts w:ascii="Cambria" w:hAnsi="Cambria"/>
          <w:sz w:val="16"/>
          <w:szCs w:val="16"/>
        </w:rPr>
        <w:t>. Preliminary Objections, Merits, Reparations and Costs. Judgment of July 2, 2004. Series C, No. 107. Para. 119.</w:t>
      </w:r>
    </w:p>
  </w:footnote>
  <w:footnote w:id="16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et al. v. Colombia.</w:t>
      </w:r>
      <w:r w:rsidRPr="009F1142">
        <w:rPr>
          <w:rFonts w:ascii="Cambria" w:hAnsi="Cambria"/>
          <w:color w:val="auto"/>
          <w:sz w:val="16"/>
          <w:szCs w:val="16"/>
          <w:lang w:eastAsia="x-none"/>
        </w:rPr>
        <w:t xml:space="preserve"> Merits, Reparations and Costs. Judgment of March 13, 2018. Para. 177.</w:t>
      </w:r>
    </w:p>
  </w:footnote>
  <w:footnote w:id="16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et al. v. Colombia</w:t>
      </w:r>
      <w:r w:rsidRPr="009F1142">
        <w:rPr>
          <w:rFonts w:ascii="Cambria" w:hAnsi="Cambria"/>
          <w:color w:val="auto"/>
          <w:sz w:val="16"/>
          <w:szCs w:val="16"/>
          <w:lang w:eastAsia="x-none"/>
        </w:rPr>
        <w:t>. Merits, Reparations and Costs. Judgment of March 13, 2018. Para. 176.</w:t>
      </w:r>
    </w:p>
  </w:footnote>
  <w:footnote w:id="169">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IACHR. </w:t>
      </w:r>
      <w:hyperlink r:id="rId5" w:history="1">
        <w:r w:rsidRPr="009F1142">
          <w:rPr>
            <w:rStyle w:val="Hyperlink"/>
            <w:rFonts w:ascii="Cambria" w:hAnsi="Cambria"/>
            <w:color w:val="auto"/>
            <w:sz w:val="16"/>
            <w:szCs w:val="16"/>
            <w:lang w:eastAsia="x-none"/>
          </w:rPr>
          <w:t>Annual Report 2013. Annual Report of the Office of the Special Rapporteur for Freedom of Expression</w:t>
        </w:r>
      </w:hyperlink>
      <w:r w:rsidRPr="009F1142">
        <w:rPr>
          <w:rFonts w:ascii="Cambria" w:hAnsi="Cambria"/>
          <w:color w:val="auto"/>
          <w:sz w:val="16"/>
          <w:szCs w:val="16"/>
          <w:lang w:eastAsia="x-none"/>
        </w:rPr>
        <w:t>. Chapter III (Violence against journalists and media workers: Inter-American Standards and national practices on prevention, protection and prosecution of perpetrators).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/V/II.149. Doc. 50. December 31, 2013. Para. 31.</w:t>
      </w:r>
    </w:p>
  </w:footnote>
  <w:footnote w:id="170">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iCs/>
          <w:color w:val="auto"/>
          <w:sz w:val="16"/>
          <w:szCs w:val="16"/>
          <w:lang w:eastAsia="x-none"/>
        </w:rPr>
        <w:t>Case of the Pueblo Bello Massacre v. Colombia</w:t>
      </w:r>
      <w:r w:rsidRPr="009F1142">
        <w:rPr>
          <w:rFonts w:ascii="Cambria" w:hAnsi="Cambria"/>
          <w:iCs/>
          <w:color w:val="auto"/>
          <w:sz w:val="16"/>
          <w:szCs w:val="16"/>
          <w:lang w:eastAsia="x-none"/>
        </w:rPr>
        <w:t>.</w:t>
      </w:r>
      <w:r w:rsidRPr="009F1142">
        <w:rPr>
          <w:rFonts w:ascii="Cambria" w:hAnsi="Cambria"/>
          <w:color w:val="auto"/>
          <w:sz w:val="16"/>
          <w:szCs w:val="16"/>
          <w:lang w:eastAsia="x-none"/>
        </w:rPr>
        <w:t xml:space="preserve"> Judgment of January 31, 2006. Series C, No. 140. Para. 124, citing the European Court of Human Rights,</w:t>
      </w:r>
      <w:r w:rsidRPr="009F1142">
        <w:rPr>
          <w:rFonts w:ascii="Cambria" w:hAnsi="Cambria"/>
          <w:i/>
          <w:color w:val="auto"/>
          <w:sz w:val="16"/>
          <w:szCs w:val="16"/>
          <w:lang w:eastAsia="x-none"/>
        </w:rPr>
        <w:t xml:space="preserve"> Case of </w:t>
      </w:r>
      <w:proofErr w:type="spellStart"/>
      <w:r w:rsidRPr="009F1142">
        <w:rPr>
          <w:rFonts w:ascii="Cambria" w:hAnsi="Cambria"/>
          <w:i/>
          <w:color w:val="auto"/>
          <w:sz w:val="16"/>
          <w:szCs w:val="16"/>
          <w:lang w:eastAsia="x-none"/>
        </w:rPr>
        <w:t>Kılıç</w:t>
      </w:r>
      <w:proofErr w:type="spellEnd"/>
      <w:r w:rsidRPr="009F1142">
        <w:rPr>
          <w:rFonts w:ascii="Cambria" w:hAnsi="Cambria"/>
          <w:i/>
          <w:color w:val="auto"/>
          <w:sz w:val="16"/>
          <w:szCs w:val="16"/>
          <w:lang w:eastAsia="x-none"/>
        </w:rPr>
        <w:t xml:space="preserve"> v. Turkey.</w:t>
      </w:r>
      <w:r w:rsidRPr="009F1142">
        <w:rPr>
          <w:rFonts w:ascii="Cambria" w:hAnsi="Cambria"/>
          <w:color w:val="auto"/>
          <w:sz w:val="16"/>
          <w:szCs w:val="16"/>
          <w:lang w:eastAsia="x-none"/>
        </w:rPr>
        <w:t xml:space="preserve"> Application no. 22492/93. Judgment of 28 March 2000. Para. 63.</w:t>
      </w:r>
    </w:p>
  </w:footnote>
  <w:footnote w:id="171">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Vélez</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Restrepo</w:t>
      </w:r>
      <w:proofErr w:type="spellEnd"/>
      <w:r w:rsidRPr="009F1142">
        <w:rPr>
          <w:rFonts w:ascii="Cambria" w:hAnsi="Cambria"/>
          <w:i/>
          <w:color w:val="auto"/>
          <w:sz w:val="16"/>
          <w:szCs w:val="16"/>
          <w:lang w:eastAsia="x-none"/>
        </w:rPr>
        <w:t xml:space="preserve"> and Family v. Colombia.</w:t>
      </w:r>
      <w:r w:rsidRPr="009F1142">
        <w:rPr>
          <w:rFonts w:ascii="Cambria" w:hAnsi="Cambria"/>
          <w:color w:val="auto"/>
          <w:sz w:val="16"/>
          <w:szCs w:val="16"/>
          <w:lang w:eastAsia="x-none"/>
        </w:rPr>
        <w:t xml:space="preserve"> Preliminary Objection, Merits, Reparations and Costs. Judgment of September 3, 2012. Series C, No. 248. Para. 193-94.</w:t>
      </w:r>
    </w:p>
  </w:footnote>
  <w:footnote w:id="172">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Vélez</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Restrepo</w:t>
      </w:r>
      <w:proofErr w:type="spellEnd"/>
      <w:r w:rsidRPr="009F1142">
        <w:rPr>
          <w:rFonts w:ascii="Cambria" w:hAnsi="Cambria"/>
          <w:i/>
          <w:color w:val="auto"/>
          <w:sz w:val="16"/>
          <w:szCs w:val="16"/>
          <w:lang w:eastAsia="x-none"/>
        </w:rPr>
        <w:t xml:space="preserve"> and Family v. Colombia.</w:t>
      </w:r>
      <w:r w:rsidRPr="009F1142">
        <w:rPr>
          <w:rFonts w:ascii="Cambria" w:hAnsi="Cambria"/>
          <w:color w:val="auto"/>
          <w:sz w:val="16"/>
          <w:szCs w:val="16"/>
          <w:lang w:eastAsia="x-none"/>
        </w:rPr>
        <w:t xml:space="preserve"> Preliminary Objection, Merits, Reparations and Costs. Judgment of September 3, 2012. Series C, No. 248. Para. 201.</w:t>
      </w:r>
    </w:p>
  </w:footnote>
  <w:footnote w:id="173">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IACHR. </w:t>
      </w:r>
      <w:hyperlink r:id="rId6" w:history="1">
        <w:r w:rsidRPr="009F1142">
          <w:rPr>
            <w:rStyle w:val="Hyperlink"/>
            <w:rFonts w:ascii="Cambria" w:hAnsi="Cambria"/>
            <w:color w:val="auto"/>
            <w:sz w:val="16"/>
            <w:szCs w:val="16"/>
            <w:lang w:eastAsia="x-none"/>
          </w:rPr>
          <w:t>Annual Report 2013. Annual Report of the Office of the Special Rapporteur for Freedom of Expression</w:t>
        </w:r>
      </w:hyperlink>
      <w:r w:rsidRPr="009F1142">
        <w:rPr>
          <w:rFonts w:ascii="Cambria" w:hAnsi="Cambria"/>
          <w:color w:val="auto"/>
          <w:sz w:val="16"/>
          <w:szCs w:val="16"/>
          <w:lang w:eastAsia="x-none"/>
        </w:rPr>
        <w:t>. Chapter III (Violence against journalists and media workers: Inter-American Standards and national practices on prevention, protection and prosecution of perpetrators).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 xml:space="preserve">/V/II.149. Doc. 50. December 31, 2013. Para. 72; 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June 25, 2012. </w:t>
      </w:r>
      <w:hyperlink r:id="rId7" w:history="1">
        <w:r w:rsidRPr="009F1142">
          <w:rPr>
            <w:rStyle w:val="Hyperlink"/>
            <w:rFonts w:ascii="Cambria" w:hAnsi="Cambria" w:cs="Cambria"/>
            <w:i/>
            <w:color w:val="auto"/>
            <w:sz w:val="16"/>
            <w:szCs w:val="16"/>
            <w:lang w:eastAsia="x-none"/>
          </w:rPr>
          <w:t>Joint Declaration on Crimes against Freedom of Expression</w:t>
        </w:r>
      </w:hyperlink>
      <w:r w:rsidRPr="009F1142">
        <w:rPr>
          <w:rFonts w:ascii="Cambria" w:hAnsi="Cambria"/>
          <w:color w:val="auto"/>
          <w:sz w:val="16"/>
          <w:szCs w:val="16"/>
          <w:lang w:eastAsia="x-none"/>
        </w:rPr>
        <w:t>.</w:t>
      </w:r>
    </w:p>
  </w:footnote>
  <w:footnote w:id="17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lang w:eastAsia="x-none"/>
        </w:rPr>
        <w:t xml:space="preserve">IACHR. </w:t>
      </w:r>
      <w:hyperlink r:id="rId8" w:history="1">
        <w:r w:rsidRPr="009F1142">
          <w:rPr>
            <w:rStyle w:val="Hyperlink"/>
            <w:rFonts w:ascii="Cambria" w:hAnsi="Cambria"/>
            <w:color w:val="auto"/>
            <w:sz w:val="16"/>
            <w:szCs w:val="16"/>
            <w:lang w:eastAsia="x-none"/>
          </w:rPr>
          <w:t>Annual Report 2013. Annual Report of the Office of the Special Rapporteur for Freedom of Expression</w:t>
        </w:r>
      </w:hyperlink>
      <w:r w:rsidRPr="009F1142">
        <w:rPr>
          <w:rFonts w:ascii="Cambria" w:hAnsi="Cambria" w:cs="Cambria"/>
          <w:color w:val="auto"/>
          <w:sz w:val="16"/>
          <w:szCs w:val="16"/>
        </w:rPr>
        <w:t>. Chapter III (Violence against journalists and media workers: Inter-American Standards and national practices on prevention, protection and prosecution of perpetrators). OEA/</w:t>
      </w:r>
      <w:proofErr w:type="spellStart"/>
      <w:r w:rsidRPr="009F1142">
        <w:rPr>
          <w:rFonts w:ascii="Cambria" w:hAnsi="Cambria" w:cs="Cambria"/>
          <w:color w:val="auto"/>
          <w:sz w:val="16"/>
          <w:szCs w:val="16"/>
        </w:rPr>
        <w:t>Ser.L</w:t>
      </w:r>
      <w:proofErr w:type="spellEnd"/>
      <w:r w:rsidRPr="009F1142">
        <w:rPr>
          <w:rFonts w:ascii="Cambria" w:hAnsi="Cambria" w:cs="Cambria"/>
          <w:color w:val="auto"/>
          <w:sz w:val="16"/>
          <w:szCs w:val="16"/>
        </w:rPr>
        <w:t xml:space="preserve">/V/II.149. Doc. 50. December 31, 2013. Para. </w:t>
      </w:r>
      <w:r w:rsidRPr="009F1142">
        <w:rPr>
          <w:rFonts w:ascii="Cambria" w:hAnsi="Cambria" w:cs="Cambria"/>
          <w:bCs/>
          <w:color w:val="auto"/>
          <w:sz w:val="16"/>
          <w:szCs w:val="16"/>
        </w:rPr>
        <w:t>251.</w:t>
      </w:r>
    </w:p>
  </w:footnote>
  <w:footnote w:id="17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s="Cambria"/>
          <w:color w:val="auto"/>
          <w:sz w:val="16"/>
          <w:szCs w:val="16"/>
        </w:rPr>
        <w:t xml:space="preserve">UN General Assembly. </w:t>
      </w:r>
      <w:hyperlink r:id="rId9" w:history="1">
        <w:r w:rsidRPr="009F1142">
          <w:rPr>
            <w:rStyle w:val="Hyperlink"/>
            <w:rFonts w:ascii="Cambria" w:hAnsi="Cambria" w:cs="Cambria"/>
            <w:color w:val="auto"/>
            <w:sz w:val="16"/>
            <w:szCs w:val="16"/>
          </w:rPr>
          <w:t>The safety of journalists and the issue of impunity. Report of the Secretary General</w:t>
        </w:r>
      </w:hyperlink>
      <w:r w:rsidRPr="009F1142">
        <w:rPr>
          <w:rFonts w:ascii="Cambria" w:hAnsi="Cambria" w:cs="Cambria"/>
          <w:color w:val="auto"/>
          <w:sz w:val="16"/>
          <w:szCs w:val="16"/>
        </w:rPr>
        <w:t>. A/72/290. August 4, 2017. Para. 8.</w:t>
      </w:r>
    </w:p>
  </w:footnote>
  <w:footnote w:id="176">
    <w:p w:rsidR="00637A06" w:rsidRPr="009F1142" w:rsidRDefault="00637A06" w:rsidP="009F1142">
      <w:pPr>
        <w:pStyle w:val="FootnoteText"/>
        <w:jc w:val="both"/>
        <w:rPr>
          <w:rFonts w:ascii="Cambria" w:hAnsi="Cambria"/>
          <w:sz w:val="16"/>
          <w:szCs w:val="16"/>
          <w:lang w:val="uz-Cyrl-UZ"/>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IACHR. Press Release </w:t>
      </w:r>
      <w:hyperlink r:id="rId10" w:history="1">
        <w:r w:rsidRPr="009F1142">
          <w:rPr>
            <w:rStyle w:val="Hyperlink"/>
            <w:rFonts w:ascii="Cambria" w:hAnsi="Cambria"/>
            <w:color w:val="auto"/>
            <w:sz w:val="16"/>
            <w:szCs w:val="16"/>
          </w:rPr>
          <w:t>192/17. IACHR Calls on States to recognize and protect the work of women human rights defenders</w:t>
        </w:r>
      </w:hyperlink>
      <w:r w:rsidRPr="009F1142">
        <w:rPr>
          <w:rFonts w:ascii="Cambria" w:hAnsi="Cambria"/>
          <w:color w:val="auto"/>
          <w:sz w:val="16"/>
          <w:szCs w:val="16"/>
        </w:rPr>
        <w:t xml:space="preserve">. Washington, D.C., November 29, 2017. See also: IACHR. </w:t>
      </w:r>
      <w:hyperlink r:id="rId11" w:history="1">
        <w:r w:rsidRPr="009F1142">
          <w:rPr>
            <w:rStyle w:val="Hyperlink"/>
            <w:rFonts w:ascii="Cambria" w:hAnsi="Cambria"/>
            <w:color w:val="auto"/>
            <w:sz w:val="16"/>
            <w:szCs w:val="16"/>
          </w:rPr>
          <w:t>Second report on the situation of human rights defenders in the Americas</w:t>
        </w:r>
      </w:hyperlink>
      <w:r w:rsidRPr="009F1142">
        <w:rPr>
          <w:rFonts w:ascii="Cambria" w:hAnsi="Cambria"/>
          <w:color w:val="auto"/>
          <w:sz w:val="16"/>
          <w:szCs w:val="16"/>
        </w:rPr>
        <w:t>, OEA/</w:t>
      </w:r>
      <w:proofErr w:type="spellStart"/>
      <w:r w:rsidRPr="009F1142">
        <w:rPr>
          <w:rFonts w:ascii="Cambria" w:hAnsi="Cambria"/>
          <w:color w:val="auto"/>
          <w:sz w:val="16"/>
          <w:szCs w:val="16"/>
        </w:rPr>
        <w:t>Ser.L</w:t>
      </w:r>
      <w:proofErr w:type="spellEnd"/>
      <w:r w:rsidRPr="009F1142">
        <w:rPr>
          <w:rFonts w:ascii="Cambria" w:hAnsi="Cambria"/>
          <w:color w:val="auto"/>
          <w:sz w:val="16"/>
          <w:szCs w:val="16"/>
        </w:rPr>
        <w:t xml:space="preserve">/V/II. Doc. 66, December 31, 2011. Para. 283; IACHR. </w:t>
      </w:r>
      <w:hyperlink r:id="rId12" w:history="1">
        <w:r w:rsidRPr="009F1142">
          <w:rPr>
            <w:rStyle w:val="Hyperlink"/>
            <w:rFonts w:ascii="Cambria" w:hAnsi="Cambria"/>
            <w:color w:val="auto"/>
            <w:sz w:val="16"/>
            <w:szCs w:val="16"/>
          </w:rPr>
          <w:t>Toward a comprehensive policy to protect human right defenders</w:t>
        </w:r>
      </w:hyperlink>
      <w:r w:rsidRPr="009F1142">
        <w:rPr>
          <w:rFonts w:ascii="Cambria" w:hAnsi="Cambria"/>
          <w:color w:val="auto"/>
          <w:sz w:val="16"/>
          <w:szCs w:val="16"/>
        </w:rPr>
        <w:t>. OEA/</w:t>
      </w:r>
      <w:proofErr w:type="spellStart"/>
      <w:r w:rsidRPr="009F1142">
        <w:rPr>
          <w:rFonts w:ascii="Cambria" w:hAnsi="Cambria"/>
          <w:color w:val="auto"/>
          <w:sz w:val="16"/>
          <w:szCs w:val="16"/>
        </w:rPr>
        <w:t>Ser.L</w:t>
      </w:r>
      <w:proofErr w:type="spellEnd"/>
      <w:r w:rsidRPr="009F1142">
        <w:rPr>
          <w:rFonts w:ascii="Cambria" w:hAnsi="Cambria"/>
          <w:color w:val="auto"/>
          <w:sz w:val="16"/>
          <w:szCs w:val="16"/>
        </w:rPr>
        <w:t xml:space="preserve">/V/II (available in Spanish). Doc. 207/17. December 29, 2017. Para. 43. IACHR. </w:t>
      </w:r>
      <w:hyperlink r:id="rId13" w:history="1">
        <w:r w:rsidRPr="009F1142">
          <w:rPr>
            <w:rStyle w:val="Hyperlink"/>
            <w:rFonts w:ascii="Cambria" w:hAnsi="Cambria"/>
            <w:color w:val="auto"/>
            <w:sz w:val="16"/>
            <w:szCs w:val="16"/>
          </w:rPr>
          <w:t>Criminalization of human rights defenders</w:t>
        </w:r>
      </w:hyperlink>
      <w:r w:rsidRPr="009F1142">
        <w:rPr>
          <w:rFonts w:ascii="Cambria" w:hAnsi="Cambria"/>
          <w:color w:val="auto"/>
          <w:sz w:val="16"/>
          <w:szCs w:val="16"/>
        </w:rPr>
        <w:t>. OEA/</w:t>
      </w:r>
      <w:proofErr w:type="spellStart"/>
      <w:r w:rsidRPr="009F1142">
        <w:rPr>
          <w:rFonts w:ascii="Cambria" w:hAnsi="Cambria"/>
          <w:color w:val="auto"/>
          <w:sz w:val="16"/>
          <w:szCs w:val="16"/>
        </w:rPr>
        <w:t>Ser.L</w:t>
      </w:r>
      <w:proofErr w:type="spellEnd"/>
      <w:r w:rsidRPr="009F1142">
        <w:rPr>
          <w:rFonts w:ascii="Cambria" w:hAnsi="Cambria"/>
          <w:color w:val="auto"/>
          <w:sz w:val="16"/>
          <w:szCs w:val="16"/>
        </w:rPr>
        <w:t xml:space="preserve">/V/II. Doc. 49/15. December 31, 2015, p. 37. The IACHR affirms that human rights defenders are persons who promote or seek by any means to realize the human rights and fundamental freedoms recognized at the national or international level. The key criterion for identifying a human rights defender is the very nature of the activities performed by a person, instead of other factors such as being paid for his or her work, or being a member of a civilian or professional association. See. IACHR. </w:t>
      </w:r>
      <w:hyperlink r:id="rId14" w:history="1">
        <w:r w:rsidRPr="009F1142">
          <w:rPr>
            <w:rStyle w:val="Hyperlink"/>
            <w:rFonts w:ascii="Cambria" w:hAnsi="Cambria"/>
            <w:color w:val="auto"/>
            <w:sz w:val="16"/>
            <w:szCs w:val="16"/>
          </w:rPr>
          <w:t>Second report on the situation of human rights defenders in the Americas</w:t>
        </w:r>
      </w:hyperlink>
      <w:r w:rsidRPr="009F1142">
        <w:rPr>
          <w:rFonts w:ascii="Cambria" w:hAnsi="Cambria"/>
          <w:color w:val="auto"/>
          <w:sz w:val="16"/>
          <w:szCs w:val="16"/>
        </w:rPr>
        <w:t>, OEA/</w:t>
      </w:r>
      <w:proofErr w:type="spellStart"/>
      <w:r w:rsidRPr="009F1142">
        <w:rPr>
          <w:rFonts w:ascii="Cambria" w:hAnsi="Cambria"/>
          <w:color w:val="auto"/>
          <w:sz w:val="16"/>
          <w:szCs w:val="16"/>
        </w:rPr>
        <w:t>Ser.L</w:t>
      </w:r>
      <w:proofErr w:type="spellEnd"/>
      <w:r w:rsidRPr="009F1142">
        <w:rPr>
          <w:rFonts w:ascii="Cambria" w:hAnsi="Cambria"/>
          <w:color w:val="auto"/>
          <w:sz w:val="16"/>
          <w:szCs w:val="16"/>
        </w:rPr>
        <w:t>/V/II., Doc. 66, December 31, 2011.</w:t>
      </w:r>
    </w:p>
  </w:footnote>
  <w:footnote w:id="177">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OAS. General Assembly. “Right to freedom of thought and expression and the safety of journalists and media workers”. In: AG/RES. 2908 (XLVII-O/17). Promotion and protection of human rights. Adopted at the Third Plenary Session held on June 21, 2017.</w:t>
      </w:r>
    </w:p>
  </w:footnote>
  <w:footnote w:id="17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UN General Assembly. </w:t>
      </w:r>
      <w:hyperlink r:id="rId15" w:history="1">
        <w:r w:rsidRPr="009F1142">
          <w:rPr>
            <w:rStyle w:val="Hyperlink"/>
            <w:rFonts w:ascii="Cambria" w:hAnsi="Cambria"/>
            <w:color w:val="auto"/>
            <w:sz w:val="16"/>
            <w:szCs w:val="16"/>
          </w:rPr>
          <w:t>The safety of journalists and the issue of impunity</w:t>
        </w:r>
      </w:hyperlink>
      <w:r w:rsidRPr="009F1142">
        <w:rPr>
          <w:rFonts w:ascii="Cambria" w:hAnsi="Cambria"/>
          <w:color w:val="auto"/>
          <w:sz w:val="16"/>
          <w:szCs w:val="16"/>
        </w:rPr>
        <w:t>. November 13, 2017. A/C.3/72/L.35/Rev.1, pg. 5.</w:t>
      </w:r>
    </w:p>
  </w:footnote>
  <w:footnote w:id="17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lang w:val="es-AR"/>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hyperlink r:id="rId16" w:history="1">
        <w:r w:rsidRPr="009F1142">
          <w:rPr>
            <w:rStyle w:val="Hyperlink"/>
            <w:rFonts w:ascii="Cambria" w:hAnsi="Cambria"/>
            <w:i/>
            <w:color w:val="auto"/>
            <w:sz w:val="16"/>
            <w:szCs w:val="16"/>
          </w:rPr>
          <w:t>Case of Fernández Ortega et al. v. Mexico</w:t>
        </w:r>
      </w:hyperlink>
      <w:r w:rsidRPr="009F1142">
        <w:rPr>
          <w:rFonts w:ascii="Cambria" w:hAnsi="Cambria"/>
          <w:color w:val="auto"/>
          <w:sz w:val="16"/>
          <w:szCs w:val="16"/>
        </w:rPr>
        <w:t>. Preliminary Objection, Merits, Reparations and Costs. Judgment of August 30, 2010. Series C, No. 215. Para. 193.</w:t>
      </w:r>
    </w:p>
  </w:footnote>
  <w:footnote w:id="18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UNESCO. Plan of Action. Principles.</w:t>
      </w:r>
    </w:p>
  </w:footnote>
  <w:footnote w:id="18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Style w:val="Strong"/>
          <w:rFonts w:ascii="Cambria" w:hAnsi="Cambria"/>
          <w:b w:val="0"/>
          <w:color w:val="auto"/>
          <w:sz w:val="16"/>
          <w:szCs w:val="16"/>
          <w:shd w:val="clear" w:color="auto" w:fill="FFFFFF"/>
        </w:rPr>
        <w:t xml:space="preserve">I/A Court H.R. </w:t>
      </w:r>
      <w:r w:rsidRPr="009F1142">
        <w:rPr>
          <w:rStyle w:val="Strong"/>
          <w:rFonts w:ascii="Cambria" w:hAnsi="Cambria"/>
          <w:b w:val="0"/>
          <w:i/>
          <w:color w:val="auto"/>
          <w:sz w:val="16"/>
          <w:szCs w:val="16"/>
          <w:shd w:val="clear" w:color="auto" w:fill="FFFFFF"/>
        </w:rPr>
        <w:t xml:space="preserve">Case of </w:t>
      </w:r>
      <w:proofErr w:type="spellStart"/>
      <w:r w:rsidRPr="009F1142">
        <w:rPr>
          <w:rStyle w:val="Strong"/>
          <w:rFonts w:ascii="Cambria" w:hAnsi="Cambria"/>
          <w:b w:val="0"/>
          <w:i/>
          <w:color w:val="auto"/>
          <w:sz w:val="16"/>
          <w:szCs w:val="16"/>
          <w:shd w:val="clear" w:color="auto" w:fill="FFFFFF"/>
        </w:rPr>
        <w:t>Veliz</w:t>
      </w:r>
      <w:proofErr w:type="spellEnd"/>
      <w:r w:rsidRPr="009F1142">
        <w:rPr>
          <w:rStyle w:val="Strong"/>
          <w:rFonts w:ascii="Cambria" w:hAnsi="Cambria"/>
          <w:b w:val="0"/>
          <w:i/>
          <w:color w:val="auto"/>
          <w:sz w:val="16"/>
          <w:szCs w:val="16"/>
          <w:shd w:val="clear" w:color="auto" w:fill="FFFFFF"/>
        </w:rPr>
        <w:t xml:space="preserve"> Franco et al. v. Guatemala</w:t>
      </w:r>
      <w:r w:rsidRPr="009F1142">
        <w:rPr>
          <w:rStyle w:val="Strong"/>
          <w:rFonts w:ascii="Cambria" w:hAnsi="Cambria"/>
          <w:b w:val="0"/>
          <w:color w:val="auto"/>
          <w:sz w:val="16"/>
          <w:szCs w:val="16"/>
          <w:shd w:val="clear" w:color="auto" w:fill="FFFFFF"/>
        </w:rPr>
        <w:t xml:space="preserve">. Preliminary Objections, Merits, Reparations and Costs. Judgment of May 19, 2014. Series C, No. 277, para. 134. See also: IACHR, Report No. 53/13, Case 12.777, </w:t>
      </w:r>
      <w:proofErr w:type="spellStart"/>
      <w:r w:rsidRPr="009F1142">
        <w:rPr>
          <w:rStyle w:val="Strong"/>
          <w:rFonts w:ascii="Cambria" w:hAnsi="Cambria"/>
          <w:b w:val="0"/>
          <w:color w:val="auto"/>
          <w:sz w:val="16"/>
          <w:szCs w:val="16"/>
          <w:shd w:val="clear" w:color="auto" w:fill="FFFFFF"/>
        </w:rPr>
        <w:t>Claudina</w:t>
      </w:r>
      <w:proofErr w:type="spellEnd"/>
      <w:r w:rsidRPr="009F1142">
        <w:rPr>
          <w:rStyle w:val="Strong"/>
          <w:rFonts w:ascii="Cambria" w:hAnsi="Cambria"/>
          <w:b w:val="0"/>
          <w:color w:val="auto"/>
          <w:sz w:val="16"/>
          <w:szCs w:val="16"/>
          <w:shd w:val="clear" w:color="auto" w:fill="FFFFFF"/>
        </w:rPr>
        <w:t xml:space="preserve"> Isabel </w:t>
      </w:r>
      <w:proofErr w:type="spellStart"/>
      <w:r w:rsidRPr="009F1142">
        <w:rPr>
          <w:rStyle w:val="Strong"/>
          <w:rFonts w:ascii="Cambria" w:hAnsi="Cambria"/>
          <w:b w:val="0"/>
          <w:color w:val="auto"/>
          <w:sz w:val="16"/>
          <w:szCs w:val="16"/>
          <w:shd w:val="clear" w:color="auto" w:fill="FFFFFF"/>
        </w:rPr>
        <w:t>Velásquez</w:t>
      </w:r>
      <w:proofErr w:type="spellEnd"/>
      <w:r w:rsidRPr="009F1142">
        <w:rPr>
          <w:rStyle w:val="Strong"/>
          <w:rFonts w:ascii="Cambria" w:hAnsi="Cambria"/>
          <w:b w:val="0"/>
          <w:color w:val="auto"/>
          <w:sz w:val="16"/>
          <w:szCs w:val="16"/>
          <w:shd w:val="clear" w:color="auto" w:fill="FFFFFF"/>
        </w:rPr>
        <w:t xml:space="preserve"> </w:t>
      </w:r>
      <w:proofErr w:type="spellStart"/>
      <w:r w:rsidRPr="009F1142">
        <w:rPr>
          <w:rStyle w:val="Strong"/>
          <w:rFonts w:ascii="Cambria" w:hAnsi="Cambria"/>
          <w:b w:val="0"/>
          <w:color w:val="auto"/>
          <w:sz w:val="16"/>
          <w:szCs w:val="16"/>
          <w:shd w:val="clear" w:color="auto" w:fill="FFFFFF"/>
        </w:rPr>
        <w:t>Paiz</w:t>
      </w:r>
      <w:proofErr w:type="spellEnd"/>
      <w:r w:rsidRPr="009F1142">
        <w:rPr>
          <w:rStyle w:val="Strong"/>
          <w:rFonts w:ascii="Cambria" w:hAnsi="Cambria"/>
          <w:b w:val="0"/>
          <w:color w:val="auto"/>
          <w:sz w:val="16"/>
          <w:szCs w:val="16"/>
          <w:shd w:val="clear" w:color="auto" w:fill="FFFFFF"/>
        </w:rPr>
        <w:t xml:space="preserve"> et al. Merits. Guatemala, November 4, 2013, para. 88.</w:t>
      </w:r>
    </w:p>
  </w:footnote>
  <w:footnote w:id="182">
    <w:p w:rsidR="00637A06" w:rsidRPr="009F1142" w:rsidRDefault="00637A06" w:rsidP="009F1142">
      <w:pPr>
        <w:pStyle w:val="FootnoteText"/>
        <w:tabs>
          <w:tab w:val="left" w:pos="709"/>
        </w:tabs>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I/A Court H.R. Case</w:t>
      </w:r>
      <w:r w:rsidRPr="009F1142">
        <w:rPr>
          <w:rFonts w:ascii="Cambria" w:hAnsi="Cambria"/>
          <w:i/>
          <w:color w:val="auto"/>
          <w:sz w:val="16"/>
          <w:szCs w:val="16"/>
        </w:rPr>
        <w:t xml:space="preserve"> of Rosendo Cantú et al. v. Mexico</w:t>
      </w:r>
      <w:r w:rsidRPr="009F1142">
        <w:rPr>
          <w:rFonts w:ascii="Cambria" w:hAnsi="Cambria"/>
          <w:color w:val="auto"/>
          <w:sz w:val="16"/>
          <w:szCs w:val="16"/>
        </w:rPr>
        <w:t xml:space="preserve">, Preliminary Objection, Merits, Reparation and Costs. Judgment of August 31, 2010. Series C, No. 216. Para. 109. Citing. </w:t>
      </w:r>
      <w:proofErr w:type="spellStart"/>
      <w:r w:rsidRPr="009F1142">
        <w:rPr>
          <w:rFonts w:ascii="Cambria" w:hAnsi="Cambria"/>
          <w:color w:val="auto"/>
          <w:sz w:val="16"/>
          <w:szCs w:val="16"/>
        </w:rPr>
        <w:t>Cfr</w:t>
      </w:r>
      <w:proofErr w:type="spellEnd"/>
      <w:r w:rsidRPr="009F1142">
        <w:rPr>
          <w:rFonts w:ascii="Cambria" w:hAnsi="Cambria"/>
          <w:color w:val="auto"/>
          <w:sz w:val="16"/>
          <w:szCs w:val="16"/>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rPr>
        <w:t xml:space="preserve">Case of the Miguel Castro </w:t>
      </w:r>
      <w:proofErr w:type="spellStart"/>
      <w:r w:rsidRPr="009F1142">
        <w:rPr>
          <w:rFonts w:ascii="Cambria" w:hAnsi="Cambria"/>
          <w:i/>
          <w:color w:val="auto"/>
          <w:sz w:val="16"/>
          <w:szCs w:val="16"/>
        </w:rPr>
        <w:t>Castro</w:t>
      </w:r>
      <w:proofErr w:type="spellEnd"/>
      <w:r w:rsidRPr="009F1142">
        <w:rPr>
          <w:rFonts w:ascii="Cambria" w:hAnsi="Cambria"/>
          <w:i/>
          <w:color w:val="auto"/>
          <w:sz w:val="16"/>
          <w:szCs w:val="16"/>
        </w:rPr>
        <w:t xml:space="preserve"> Prison v. Peru</w:t>
      </w:r>
      <w:r w:rsidRPr="009F1142">
        <w:rPr>
          <w:rFonts w:ascii="Cambria" w:hAnsi="Cambria"/>
          <w:color w:val="auto"/>
          <w:sz w:val="16"/>
          <w:szCs w:val="16"/>
        </w:rPr>
        <w:t xml:space="preserve">. Merits, Reparations and Costs. Judgment of November 25, 2006. Series C, No. 160, para. 306. See also International Criminal Tribunal for Rwanda, </w:t>
      </w:r>
      <w:r w:rsidRPr="009F1142">
        <w:rPr>
          <w:rFonts w:ascii="Cambria" w:hAnsi="Cambria"/>
          <w:i/>
          <w:color w:val="auto"/>
          <w:sz w:val="16"/>
          <w:szCs w:val="16"/>
        </w:rPr>
        <w:t xml:space="preserve">Case of Prosecutor v. Jean-Paul </w:t>
      </w:r>
      <w:proofErr w:type="spellStart"/>
      <w:r w:rsidRPr="009F1142">
        <w:rPr>
          <w:rFonts w:ascii="Cambria" w:hAnsi="Cambria"/>
          <w:i/>
          <w:color w:val="auto"/>
          <w:sz w:val="16"/>
          <w:szCs w:val="16"/>
        </w:rPr>
        <w:t>Akayesu</w:t>
      </w:r>
      <w:proofErr w:type="spellEnd"/>
      <w:r w:rsidRPr="009F1142">
        <w:rPr>
          <w:rFonts w:ascii="Cambria" w:hAnsi="Cambria"/>
          <w:color w:val="auto"/>
          <w:sz w:val="16"/>
          <w:szCs w:val="16"/>
        </w:rPr>
        <w:t>. Judgment of September 2, 1998. Case No. ICTR-96-4-T, para. 688.</w:t>
      </w:r>
    </w:p>
  </w:footnote>
  <w:footnote w:id="183">
    <w:p w:rsidR="00637A06" w:rsidRPr="009F1142" w:rsidRDefault="00637A06" w:rsidP="009F1142">
      <w:pPr>
        <w:pStyle w:val="FootnoteText"/>
        <w:jc w:val="both"/>
        <w:rPr>
          <w:rFonts w:ascii="Cambria" w:hAnsi="Cambria"/>
          <w:sz w:val="16"/>
          <w:szCs w:val="16"/>
        </w:rPr>
      </w:pPr>
      <w:r w:rsidRPr="009F1142">
        <w:rPr>
          <w:rFonts w:ascii="Cambria" w:hAnsi="Cambria"/>
          <w:sz w:val="16"/>
          <w:szCs w:val="16"/>
        </w:rPr>
        <w:t xml:space="preserve"> </w:t>
      </w:r>
      <w:r w:rsidRPr="009F1142">
        <w:rPr>
          <w:rStyle w:val="FootnoteReference"/>
          <w:rFonts w:ascii="Cambria" w:hAnsi="Cambria"/>
          <w:sz w:val="16"/>
          <w:szCs w:val="16"/>
        </w:rPr>
        <w:footnoteRef/>
      </w:r>
      <w:r w:rsidRPr="009F1142">
        <w:rPr>
          <w:rFonts w:ascii="Cambria" w:hAnsi="Cambria"/>
          <w:sz w:val="16"/>
          <w:szCs w:val="16"/>
        </w:rPr>
        <w:t xml:space="preserve"> I/A Court H.R. Case</w:t>
      </w:r>
      <w:r w:rsidRPr="009F1142">
        <w:rPr>
          <w:rFonts w:ascii="Cambria" w:hAnsi="Cambria"/>
          <w:i/>
          <w:sz w:val="16"/>
          <w:szCs w:val="16"/>
        </w:rPr>
        <w:t xml:space="preserve"> of Rosendo Cantú et al. v. Mexico</w:t>
      </w:r>
      <w:r w:rsidRPr="009F1142">
        <w:rPr>
          <w:rFonts w:ascii="Cambria" w:hAnsi="Cambria"/>
          <w:sz w:val="16"/>
          <w:szCs w:val="16"/>
        </w:rPr>
        <w:t>, Preliminary Objection, Merits, Reparation and Costs. Judgment of August 31, 2010. Series C, No. 216. Para. 109.</w:t>
      </w:r>
    </w:p>
  </w:footnote>
  <w:footnote w:id="184">
    <w:p w:rsidR="00637A06" w:rsidRPr="009F1142" w:rsidRDefault="00637A06" w:rsidP="009F1142">
      <w:pPr>
        <w:pStyle w:val="FootnoteText"/>
        <w:tabs>
          <w:tab w:val="left" w:pos="426"/>
        </w:tabs>
        <w:jc w:val="both"/>
        <w:rPr>
          <w:rFonts w:ascii="Cambria" w:hAnsi="Cambria"/>
          <w:spacing w:val="-4"/>
          <w:sz w:val="16"/>
          <w:szCs w:val="16"/>
        </w:rPr>
      </w:pPr>
      <w:r w:rsidRPr="009F1142">
        <w:rPr>
          <w:rStyle w:val="FootnoteReference"/>
          <w:rFonts w:ascii="Cambria" w:hAnsi="Cambria"/>
          <w:spacing w:val="-4"/>
          <w:sz w:val="16"/>
          <w:szCs w:val="16"/>
        </w:rPr>
        <w:footnoteRef/>
      </w:r>
      <w:r w:rsidRPr="009F1142">
        <w:rPr>
          <w:rFonts w:ascii="Cambria" w:hAnsi="Cambria"/>
          <w:spacing w:val="-4"/>
          <w:sz w:val="16"/>
          <w:szCs w:val="16"/>
        </w:rPr>
        <w:t xml:space="preserve"> </w:t>
      </w:r>
      <w:r w:rsidRPr="009F1142">
        <w:rPr>
          <w:rFonts w:ascii="Cambria" w:hAnsi="Cambria" w:cs="Verdana"/>
          <w:bCs/>
          <w:color w:val="auto"/>
          <w:sz w:val="16"/>
          <w:szCs w:val="16"/>
        </w:rPr>
        <w:t xml:space="preserve">I/A Court H.R. </w:t>
      </w:r>
      <w:r w:rsidRPr="009F1142">
        <w:rPr>
          <w:rFonts w:ascii="Cambria" w:hAnsi="Cambria" w:cs="Verdana"/>
          <w:bCs/>
          <w:i/>
          <w:color w:val="auto"/>
          <w:sz w:val="16"/>
          <w:szCs w:val="16"/>
        </w:rPr>
        <w:t>Case of J. v. Peru</w:t>
      </w:r>
      <w:r w:rsidRPr="009F1142">
        <w:rPr>
          <w:rFonts w:ascii="Cambria" w:hAnsi="Cambria" w:cs="Verdana"/>
          <w:bCs/>
          <w:color w:val="auto"/>
          <w:sz w:val="16"/>
          <w:szCs w:val="16"/>
        </w:rPr>
        <w:t xml:space="preserve">. Preliminary Objection, Merits, Reparations and Costs. Judgment of November 27, 2013. Series C, No. 275, Para. </w:t>
      </w:r>
      <w:r w:rsidRPr="009F1142">
        <w:rPr>
          <w:rFonts w:ascii="Cambria" w:hAnsi="Cambria"/>
          <w:color w:val="auto"/>
          <w:spacing w:val="-4"/>
          <w:sz w:val="16"/>
          <w:szCs w:val="16"/>
        </w:rPr>
        <w:t xml:space="preserve">359. Citing </w:t>
      </w:r>
      <w:proofErr w:type="spellStart"/>
      <w:r w:rsidRPr="009F1142">
        <w:rPr>
          <w:rFonts w:ascii="Cambria" w:hAnsi="Cambria"/>
          <w:color w:val="auto"/>
          <w:spacing w:val="-4"/>
          <w:sz w:val="16"/>
          <w:szCs w:val="16"/>
        </w:rPr>
        <w:t>Cfr</w:t>
      </w:r>
      <w:proofErr w:type="spellEnd"/>
      <w:r w:rsidRPr="009F1142">
        <w:rPr>
          <w:rFonts w:ascii="Cambria" w:hAnsi="Cambria"/>
          <w:color w:val="auto"/>
          <w:spacing w:val="-4"/>
          <w:sz w:val="16"/>
          <w:szCs w:val="16"/>
        </w:rPr>
        <w:t xml:space="preserve">. </w:t>
      </w:r>
      <w:r w:rsidRPr="009F1142">
        <w:rPr>
          <w:rFonts w:ascii="Cambria" w:hAnsi="Cambria"/>
          <w:color w:val="auto"/>
          <w:sz w:val="16"/>
          <w:szCs w:val="16"/>
          <w:lang w:eastAsia="x-none"/>
        </w:rPr>
        <w:t xml:space="preserve">I/A Court H.R. </w:t>
      </w:r>
      <w:r w:rsidRPr="009F1142">
        <w:rPr>
          <w:rFonts w:ascii="Cambria" w:hAnsi="Cambria"/>
          <w:bCs/>
          <w:i/>
          <w:color w:val="auto"/>
          <w:spacing w:val="-4"/>
          <w:sz w:val="16"/>
          <w:szCs w:val="16"/>
        </w:rPr>
        <w:t xml:space="preserve">Case of the Miguel Castro </w:t>
      </w:r>
      <w:proofErr w:type="spellStart"/>
      <w:r w:rsidRPr="009F1142">
        <w:rPr>
          <w:rFonts w:ascii="Cambria" w:hAnsi="Cambria"/>
          <w:bCs/>
          <w:i/>
          <w:color w:val="auto"/>
          <w:spacing w:val="-4"/>
          <w:sz w:val="16"/>
          <w:szCs w:val="16"/>
        </w:rPr>
        <w:t>Castro</w:t>
      </w:r>
      <w:proofErr w:type="spellEnd"/>
      <w:r w:rsidRPr="009F1142">
        <w:rPr>
          <w:rFonts w:ascii="Cambria" w:hAnsi="Cambria"/>
          <w:bCs/>
          <w:i/>
          <w:color w:val="auto"/>
          <w:spacing w:val="-4"/>
          <w:sz w:val="16"/>
          <w:szCs w:val="16"/>
        </w:rPr>
        <w:t xml:space="preserve"> Prison v. Peru</w:t>
      </w:r>
      <w:r w:rsidRPr="009F1142">
        <w:rPr>
          <w:rFonts w:ascii="Cambria" w:hAnsi="Cambria"/>
          <w:bCs/>
          <w:color w:val="auto"/>
          <w:spacing w:val="-4"/>
          <w:sz w:val="16"/>
          <w:szCs w:val="16"/>
        </w:rPr>
        <w:t>.</w:t>
      </w:r>
      <w:r w:rsidRPr="009F1142">
        <w:rPr>
          <w:rFonts w:ascii="Cambria" w:hAnsi="Cambria"/>
          <w:color w:val="auto"/>
          <w:spacing w:val="-4"/>
          <w:sz w:val="16"/>
          <w:szCs w:val="16"/>
        </w:rPr>
        <w:t xml:space="preserve"> Merits, Reparation and Costs, supra, para. 310.</w:t>
      </w:r>
    </w:p>
  </w:footnote>
  <w:footnote w:id="185">
    <w:p w:rsidR="00637A06" w:rsidRPr="009F1142" w:rsidRDefault="00637A06" w:rsidP="009F1142">
      <w:pPr>
        <w:pStyle w:val="FootnoteText"/>
        <w:tabs>
          <w:tab w:val="left" w:pos="426"/>
        </w:tabs>
        <w:jc w:val="both"/>
        <w:rPr>
          <w:rFonts w:ascii="Cambria" w:hAnsi="Cambria"/>
          <w:spacing w:val="-4"/>
          <w:sz w:val="16"/>
          <w:szCs w:val="16"/>
        </w:rPr>
      </w:pPr>
      <w:r w:rsidRPr="009F1142">
        <w:rPr>
          <w:rStyle w:val="FootnoteReference"/>
          <w:rFonts w:ascii="Cambria" w:hAnsi="Cambria"/>
          <w:spacing w:val="-4"/>
          <w:sz w:val="16"/>
          <w:szCs w:val="16"/>
        </w:rPr>
        <w:footnoteRef/>
      </w:r>
      <w:r w:rsidRPr="009F1142">
        <w:rPr>
          <w:rFonts w:ascii="Cambria" w:hAnsi="Cambria"/>
          <w:spacing w:val="-4"/>
          <w:sz w:val="16"/>
          <w:szCs w:val="16"/>
        </w:rPr>
        <w:t xml:space="preserve"> </w:t>
      </w:r>
      <w:r w:rsidRPr="009F1142">
        <w:rPr>
          <w:rFonts w:ascii="Cambria" w:hAnsi="Cambria" w:cs="Verdana"/>
          <w:bCs/>
          <w:color w:val="auto"/>
          <w:sz w:val="16"/>
          <w:szCs w:val="16"/>
        </w:rPr>
        <w:t xml:space="preserve">I/A Court H.R. </w:t>
      </w:r>
      <w:r w:rsidRPr="009F1142">
        <w:rPr>
          <w:rFonts w:ascii="Cambria" w:hAnsi="Cambria" w:cs="Verdana"/>
          <w:bCs/>
          <w:i/>
          <w:color w:val="auto"/>
          <w:sz w:val="16"/>
          <w:szCs w:val="16"/>
        </w:rPr>
        <w:t>Case of J. v. Peru</w:t>
      </w:r>
      <w:r w:rsidRPr="009F1142">
        <w:rPr>
          <w:rFonts w:ascii="Cambria" w:hAnsi="Cambria" w:cs="Verdana"/>
          <w:bCs/>
          <w:color w:val="auto"/>
          <w:sz w:val="16"/>
          <w:szCs w:val="16"/>
        </w:rPr>
        <w:t xml:space="preserve">. Preliminary Objection, Merits, Reparations and Costs. Judgment of November 27, 2013. Series C, No. 275, Para. </w:t>
      </w:r>
      <w:r w:rsidRPr="009F1142">
        <w:rPr>
          <w:rFonts w:ascii="Cambria" w:hAnsi="Cambria"/>
          <w:color w:val="auto"/>
          <w:spacing w:val="-4"/>
          <w:sz w:val="16"/>
          <w:szCs w:val="16"/>
        </w:rPr>
        <w:t xml:space="preserve">359, citing. </w:t>
      </w:r>
      <w:proofErr w:type="spellStart"/>
      <w:r w:rsidRPr="009F1142">
        <w:rPr>
          <w:rFonts w:ascii="Cambria" w:hAnsi="Cambria"/>
          <w:color w:val="auto"/>
          <w:spacing w:val="-4"/>
          <w:sz w:val="16"/>
          <w:szCs w:val="16"/>
        </w:rPr>
        <w:t>Cfr</w:t>
      </w:r>
      <w:proofErr w:type="spellEnd"/>
      <w:r w:rsidRPr="009F1142">
        <w:rPr>
          <w:rFonts w:ascii="Cambria" w:hAnsi="Cambria"/>
          <w:color w:val="auto"/>
          <w:spacing w:val="-4"/>
          <w:sz w:val="16"/>
          <w:szCs w:val="16"/>
        </w:rPr>
        <w:t xml:space="preserve">. International Criminal Tribunal for the Former Yugoslavia. </w:t>
      </w:r>
      <w:r w:rsidRPr="009F1142">
        <w:rPr>
          <w:rFonts w:ascii="Cambria" w:hAnsi="Cambria"/>
          <w:i/>
          <w:color w:val="auto"/>
          <w:spacing w:val="-4"/>
          <w:sz w:val="16"/>
          <w:szCs w:val="16"/>
        </w:rPr>
        <w:t xml:space="preserve">Prosecutor v. </w:t>
      </w:r>
      <w:proofErr w:type="spellStart"/>
      <w:r w:rsidRPr="009F1142">
        <w:rPr>
          <w:rFonts w:ascii="Cambria" w:hAnsi="Cambria"/>
          <w:i/>
          <w:color w:val="auto"/>
          <w:spacing w:val="-4"/>
          <w:sz w:val="16"/>
          <w:szCs w:val="16"/>
        </w:rPr>
        <w:t>Anto</w:t>
      </w:r>
      <w:proofErr w:type="spellEnd"/>
      <w:r w:rsidRPr="009F1142">
        <w:rPr>
          <w:rFonts w:ascii="Cambria" w:hAnsi="Cambria"/>
          <w:i/>
          <w:color w:val="auto"/>
          <w:spacing w:val="-4"/>
          <w:sz w:val="16"/>
          <w:szCs w:val="16"/>
        </w:rPr>
        <w:t xml:space="preserve"> </w:t>
      </w:r>
      <w:proofErr w:type="spellStart"/>
      <w:r w:rsidRPr="009F1142">
        <w:rPr>
          <w:rFonts w:ascii="Cambria" w:hAnsi="Cambria"/>
          <w:i/>
          <w:color w:val="auto"/>
          <w:spacing w:val="-4"/>
          <w:sz w:val="16"/>
          <w:szCs w:val="16"/>
        </w:rPr>
        <w:t>Furundzija</w:t>
      </w:r>
      <w:proofErr w:type="spellEnd"/>
      <w:r w:rsidRPr="009F1142">
        <w:rPr>
          <w:rFonts w:ascii="Cambria" w:hAnsi="Cambria"/>
          <w:color w:val="auto"/>
          <w:spacing w:val="-4"/>
          <w:sz w:val="16"/>
          <w:szCs w:val="16"/>
        </w:rPr>
        <w:t xml:space="preserve">. Judgment of December 10, 1998, Case No. IT-95-17/1-T, para. 185; International Criminal Tribunal for the Former Yugoslavia. </w:t>
      </w:r>
      <w:r w:rsidRPr="009F1142">
        <w:rPr>
          <w:rFonts w:ascii="Cambria" w:hAnsi="Cambria"/>
          <w:i/>
          <w:color w:val="auto"/>
          <w:spacing w:val="-4"/>
          <w:sz w:val="16"/>
          <w:szCs w:val="16"/>
        </w:rPr>
        <w:t xml:space="preserve">Prosecutor v. </w:t>
      </w:r>
      <w:proofErr w:type="spellStart"/>
      <w:r w:rsidRPr="009F1142">
        <w:rPr>
          <w:rFonts w:ascii="Cambria" w:hAnsi="Cambria"/>
          <w:i/>
          <w:color w:val="auto"/>
          <w:spacing w:val="-4"/>
          <w:sz w:val="16"/>
          <w:szCs w:val="16"/>
        </w:rPr>
        <w:t>Kunarac</w:t>
      </w:r>
      <w:proofErr w:type="spellEnd"/>
      <w:r w:rsidRPr="009F1142">
        <w:rPr>
          <w:rFonts w:ascii="Cambria" w:hAnsi="Cambria"/>
          <w:i/>
          <w:color w:val="auto"/>
          <w:spacing w:val="-4"/>
          <w:sz w:val="16"/>
          <w:szCs w:val="16"/>
        </w:rPr>
        <w:t xml:space="preserve"> et al</w:t>
      </w:r>
      <w:r w:rsidRPr="009F1142">
        <w:rPr>
          <w:rFonts w:ascii="Cambria" w:hAnsi="Cambria"/>
          <w:color w:val="auto"/>
          <w:spacing w:val="-4"/>
          <w:sz w:val="16"/>
          <w:szCs w:val="16"/>
        </w:rPr>
        <w:t xml:space="preserve">. Judgment of February 2, 2001, Case No. IT-96-23-T and IT-96-23/1-T, para. 437 and 438; International Criminal Tribunal for the Former Yugoslavia. </w:t>
      </w:r>
      <w:r w:rsidRPr="009F1142">
        <w:rPr>
          <w:rFonts w:ascii="Cambria" w:hAnsi="Cambria"/>
          <w:i/>
          <w:color w:val="auto"/>
          <w:spacing w:val="-4"/>
          <w:sz w:val="16"/>
          <w:szCs w:val="16"/>
        </w:rPr>
        <w:t xml:space="preserve">Prosecutor v. </w:t>
      </w:r>
      <w:proofErr w:type="spellStart"/>
      <w:r w:rsidRPr="009F1142">
        <w:rPr>
          <w:rFonts w:ascii="Cambria" w:hAnsi="Cambria"/>
          <w:i/>
          <w:color w:val="auto"/>
          <w:spacing w:val="-4"/>
          <w:sz w:val="16"/>
          <w:szCs w:val="16"/>
        </w:rPr>
        <w:t>Kunarac</w:t>
      </w:r>
      <w:proofErr w:type="spellEnd"/>
      <w:r w:rsidRPr="009F1142">
        <w:rPr>
          <w:rFonts w:ascii="Cambria" w:hAnsi="Cambria"/>
          <w:i/>
          <w:color w:val="auto"/>
          <w:spacing w:val="-4"/>
          <w:sz w:val="16"/>
          <w:szCs w:val="16"/>
        </w:rPr>
        <w:t xml:space="preserve"> et al.</w:t>
      </w:r>
      <w:r w:rsidRPr="009F1142">
        <w:rPr>
          <w:rFonts w:ascii="Cambria" w:hAnsi="Cambria"/>
          <w:color w:val="auto"/>
          <w:spacing w:val="-4"/>
          <w:sz w:val="16"/>
          <w:szCs w:val="16"/>
        </w:rPr>
        <w:t xml:space="preserve"> Appeal Judgment of June 12, 2002, Case No. IT-96-23-T and IT-96-23/1-T, para. 127. The Assembly of States Parties to the Rome Statute of the International Criminal Court also highlighted, for the purpose of typifying crimes against humanity and sexual violence as a war crime, that a sexual violation has taken place whenever “[t]</w:t>
      </w:r>
      <w:r w:rsidRPr="009F1142">
        <w:rPr>
          <w:rFonts w:ascii="Cambria" w:hAnsi="Cambria"/>
          <w:sz w:val="16"/>
          <w:szCs w:val="16"/>
        </w:rPr>
        <w:t>he perpetrator invaded the body of a person by conduct resulting in penetration, however slight, of any part of the body of the victim or of the perpetrator with a sexual organ, or of the anal or genital opening of the victim with any object or any other part of the body</w:t>
      </w:r>
      <w:r w:rsidRPr="009F1142">
        <w:rPr>
          <w:rFonts w:ascii="Cambria" w:hAnsi="Cambria"/>
          <w:color w:val="auto"/>
          <w:spacing w:val="-4"/>
          <w:sz w:val="16"/>
          <w:szCs w:val="16"/>
        </w:rPr>
        <w:t xml:space="preserve">”. </w:t>
      </w:r>
      <w:proofErr w:type="spellStart"/>
      <w:r w:rsidRPr="009F1142">
        <w:rPr>
          <w:rFonts w:ascii="Cambria" w:hAnsi="Cambria"/>
          <w:color w:val="auto"/>
          <w:spacing w:val="-4"/>
          <w:sz w:val="16"/>
          <w:szCs w:val="16"/>
        </w:rPr>
        <w:t>Cfr</w:t>
      </w:r>
      <w:proofErr w:type="spellEnd"/>
      <w:r w:rsidRPr="009F1142">
        <w:rPr>
          <w:rFonts w:ascii="Cambria" w:hAnsi="Cambria"/>
          <w:color w:val="auto"/>
          <w:spacing w:val="-4"/>
          <w:sz w:val="16"/>
          <w:szCs w:val="16"/>
        </w:rPr>
        <w:t xml:space="preserve">. Elements of Crimes, September 9, 2002, ICC-ASP/1/3 (part-II-B), article 7 1) g)-1 and article 8 2) e) vi)-1. Available at </w:t>
      </w:r>
      <w:hyperlink r:id="rId17" w:history="1">
        <w:r w:rsidRPr="009F1142">
          <w:rPr>
            <w:rStyle w:val="Hyperlink"/>
            <w:rFonts w:ascii="Cambria" w:hAnsi="Cambria"/>
            <w:sz w:val="16"/>
            <w:szCs w:val="16"/>
          </w:rPr>
          <w:t>http://legal.un.org/icc/asp/1stsession/report/english/part_ii_b_e.pdf</w:t>
        </w:r>
      </w:hyperlink>
      <w:r w:rsidRPr="009F1142">
        <w:rPr>
          <w:rFonts w:ascii="Cambria" w:hAnsi="Cambria"/>
          <w:color w:val="auto"/>
          <w:spacing w:val="-4"/>
          <w:sz w:val="16"/>
          <w:szCs w:val="16"/>
        </w:rPr>
        <w:t xml:space="preserve">; Special Court for Sierra Leone, </w:t>
      </w:r>
      <w:r w:rsidRPr="009F1142">
        <w:rPr>
          <w:rFonts w:ascii="Cambria" w:hAnsi="Cambria"/>
          <w:i/>
          <w:color w:val="auto"/>
          <w:spacing w:val="-4"/>
          <w:sz w:val="16"/>
          <w:szCs w:val="16"/>
        </w:rPr>
        <w:t xml:space="preserve">Prosecutor v. </w:t>
      </w:r>
      <w:proofErr w:type="spellStart"/>
      <w:r w:rsidRPr="009F1142">
        <w:rPr>
          <w:rFonts w:ascii="Cambria" w:hAnsi="Cambria"/>
          <w:i/>
          <w:color w:val="auto"/>
          <w:spacing w:val="-4"/>
          <w:sz w:val="16"/>
          <w:szCs w:val="16"/>
        </w:rPr>
        <w:t>Issa</w:t>
      </w:r>
      <w:proofErr w:type="spellEnd"/>
      <w:r w:rsidRPr="009F1142">
        <w:rPr>
          <w:rFonts w:ascii="Cambria" w:hAnsi="Cambria"/>
          <w:i/>
          <w:color w:val="auto"/>
          <w:spacing w:val="-4"/>
          <w:sz w:val="16"/>
          <w:szCs w:val="16"/>
        </w:rPr>
        <w:t xml:space="preserve"> Hassan </w:t>
      </w:r>
      <w:proofErr w:type="spellStart"/>
      <w:r w:rsidRPr="009F1142">
        <w:rPr>
          <w:rFonts w:ascii="Cambria" w:hAnsi="Cambria"/>
          <w:i/>
          <w:color w:val="auto"/>
          <w:spacing w:val="-4"/>
          <w:sz w:val="16"/>
          <w:szCs w:val="16"/>
        </w:rPr>
        <w:t>Sesay</w:t>
      </w:r>
      <w:proofErr w:type="spellEnd"/>
      <w:r w:rsidRPr="009F1142">
        <w:rPr>
          <w:rFonts w:ascii="Cambria" w:hAnsi="Cambria"/>
          <w:i/>
          <w:color w:val="auto"/>
          <w:spacing w:val="-4"/>
          <w:sz w:val="16"/>
          <w:szCs w:val="16"/>
        </w:rPr>
        <w:t xml:space="preserve"> et al</w:t>
      </w:r>
      <w:r w:rsidRPr="009F1142">
        <w:rPr>
          <w:rFonts w:ascii="Cambria" w:hAnsi="Cambria"/>
          <w:color w:val="auto"/>
          <w:spacing w:val="-4"/>
          <w:sz w:val="16"/>
          <w:szCs w:val="16"/>
        </w:rPr>
        <w:t>. Judgment of March 2, 2009, Case No. SCSL-04-15-T, para. 145 and 146.</w:t>
      </w:r>
    </w:p>
  </w:footnote>
  <w:footnote w:id="18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s="Verdana"/>
          <w:bCs/>
          <w:color w:val="auto"/>
          <w:sz w:val="16"/>
          <w:szCs w:val="16"/>
        </w:rPr>
        <w:t xml:space="preserve">I/A Court H.R. </w:t>
      </w:r>
      <w:r w:rsidRPr="009F1142">
        <w:rPr>
          <w:rFonts w:ascii="Cambria" w:hAnsi="Cambria" w:cs="Verdana"/>
          <w:bCs/>
          <w:i/>
          <w:color w:val="auto"/>
          <w:sz w:val="16"/>
          <w:szCs w:val="16"/>
        </w:rPr>
        <w:t>Case of J. v. Peru</w:t>
      </w:r>
      <w:r w:rsidRPr="009F1142">
        <w:rPr>
          <w:rFonts w:ascii="Cambria" w:hAnsi="Cambria" w:cs="Verdana"/>
          <w:bCs/>
          <w:color w:val="auto"/>
          <w:sz w:val="16"/>
          <w:szCs w:val="16"/>
        </w:rPr>
        <w:t xml:space="preserve">. Preliminary Objection, Merits, Reparations and Costs. Judgment of November 27, 2013. Series C, No. 275, Para. </w:t>
      </w:r>
      <w:r w:rsidRPr="009F1142">
        <w:rPr>
          <w:rFonts w:ascii="Cambria" w:hAnsi="Cambria"/>
          <w:color w:val="auto"/>
          <w:sz w:val="16"/>
          <w:szCs w:val="16"/>
        </w:rPr>
        <w:t>359.</w:t>
      </w:r>
    </w:p>
  </w:footnote>
  <w:footnote w:id="18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lang w:val="es-ES"/>
        </w:rPr>
        <w:footnoteRef/>
      </w:r>
      <w:r w:rsidRPr="009F1142">
        <w:rPr>
          <w:rFonts w:ascii="Cambria" w:hAnsi="Cambria"/>
          <w:sz w:val="16"/>
          <w:szCs w:val="16"/>
        </w:rPr>
        <w:t xml:space="preserve"> </w:t>
      </w:r>
      <w:r w:rsidRPr="009F1142">
        <w:rPr>
          <w:rFonts w:ascii="Cambria" w:hAnsi="Cambria"/>
          <w:color w:val="auto"/>
          <w:sz w:val="16"/>
          <w:szCs w:val="16"/>
        </w:rPr>
        <w:t>United Nations, E./CN.4/1986/15, para. 119 and 431.</w:t>
      </w:r>
    </w:p>
  </w:footnote>
  <w:footnote w:id="18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IACHR. Report 5/96. Case 10.970. Peru. </w:t>
      </w:r>
      <w:r w:rsidRPr="009F1142">
        <w:rPr>
          <w:rFonts w:ascii="Cambria" w:hAnsi="Cambria"/>
          <w:color w:val="auto"/>
          <w:sz w:val="16"/>
          <w:szCs w:val="16"/>
          <w:lang w:val="es-US"/>
        </w:rPr>
        <w:t xml:space="preserve">Raquel Martín de Mejía. </w:t>
      </w:r>
      <w:proofErr w:type="spellStart"/>
      <w:r w:rsidRPr="009F1142">
        <w:rPr>
          <w:rFonts w:ascii="Cambria" w:hAnsi="Cambria"/>
          <w:color w:val="auto"/>
          <w:sz w:val="16"/>
          <w:szCs w:val="16"/>
          <w:lang w:val="es-US"/>
        </w:rPr>
        <w:t>March</w:t>
      </w:r>
      <w:proofErr w:type="spellEnd"/>
      <w:r w:rsidRPr="009F1142">
        <w:rPr>
          <w:rFonts w:ascii="Cambria" w:hAnsi="Cambria"/>
          <w:color w:val="auto"/>
          <w:sz w:val="16"/>
          <w:szCs w:val="16"/>
          <w:lang w:val="es-US"/>
        </w:rPr>
        <w:t xml:space="preserve"> 1, 1996; IACHR. </w:t>
      </w:r>
      <w:r w:rsidRPr="009F1142">
        <w:rPr>
          <w:rFonts w:ascii="Cambria" w:hAnsi="Cambria"/>
          <w:color w:val="auto"/>
          <w:sz w:val="16"/>
          <w:szCs w:val="16"/>
        </w:rPr>
        <w:t>Violence and discrimination against women in the armed conflict in Colombia. OEA/</w:t>
      </w:r>
      <w:proofErr w:type="spellStart"/>
      <w:r w:rsidRPr="009F1142">
        <w:rPr>
          <w:rFonts w:ascii="Cambria" w:hAnsi="Cambria"/>
          <w:color w:val="auto"/>
          <w:sz w:val="16"/>
          <w:szCs w:val="16"/>
        </w:rPr>
        <w:t>Ser.L</w:t>
      </w:r>
      <w:proofErr w:type="spellEnd"/>
      <w:r w:rsidRPr="009F1142">
        <w:rPr>
          <w:rFonts w:ascii="Cambria" w:hAnsi="Cambria"/>
          <w:color w:val="auto"/>
          <w:sz w:val="16"/>
          <w:szCs w:val="16"/>
        </w:rPr>
        <w:t>/V/II. Doc. 67. October 18, 2006. Para. 54; I/A Court H.R. Case</w:t>
      </w:r>
      <w:r w:rsidRPr="009F1142">
        <w:rPr>
          <w:rFonts w:ascii="Cambria" w:hAnsi="Cambria"/>
          <w:i/>
          <w:color w:val="auto"/>
          <w:sz w:val="16"/>
          <w:szCs w:val="16"/>
        </w:rPr>
        <w:t xml:space="preserve"> of Rosendo Cantú et al. v. Mexico</w:t>
      </w:r>
      <w:r w:rsidRPr="009F1142">
        <w:rPr>
          <w:rFonts w:ascii="Cambria" w:hAnsi="Cambria"/>
          <w:color w:val="auto"/>
          <w:sz w:val="16"/>
          <w:szCs w:val="16"/>
        </w:rPr>
        <w:t xml:space="preserve">, Preliminary Objection, Merits, Reparation and Costs. Judgment of August 31, 2010. Series C, No. 216; </w:t>
      </w:r>
      <w:r w:rsidRPr="009F1142">
        <w:rPr>
          <w:rFonts w:ascii="Cambria" w:hAnsi="Cambria"/>
          <w:color w:val="auto"/>
          <w:sz w:val="16"/>
          <w:szCs w:val="16"/>
          <w:lang w:eastAsia="x-none"/>
        </w:rPr>
        <w:t xml:space="preserve">I/A Court H.R. </w:t>
      </w:r>
      <w:r w:rsidRPr="009F1142">
        <w:rPr>
          <w:rFonts w:ascii="Cambria" w:hAnsi="Cambria"/>
          <w:i/>
          <w:color w:val="auto"/>
          <w:sz w:val="16"/>
          <w:szCs w:val="16"/>
        </w:rPr>
        <w:t>Case of Fernández Ortega et al. v. Mexico</w:t>
      </w:r>
      <w:r w:rsidRPr="009F1142">
        <w:rPr>
          <w:rFonts w:ascii="Cambria" w:hAnsi="Cambria"/>
          <w:color w:val="auto"/>
          <w:sz w:val="16"/>
          <w:szCs w:val="16"/>
        </w:rPr>
        <w:t xml:space="preserve">. Merits, Reparations and Costs. Judgment of August 30, 2010, Series C, No. 215; </w:t>
      </w:r>
      <w:r w:rsidRPr="009F1142">
        <w:rPr>
          <w:rFonts w:ascii="Cambria" w:hAnsi="Cambria" w:cs="Verdana"/>
          <w:bCs/>
          <w:color w:val="auto"/>
          <w:sz w:val="16"/>
          <w:szCs w:val="16"/>
        </w:rPr>
        <w:t xml:space="preserve">I/A Court H.R. </w:t>
      </w:r>
      <w:r w:rsidRPr="009F1142">
        <w:rPr>
          <w:rFonts w:ascii="Cambria" w:hAnsi="Cambria" w:cs="Verdana"/>
          <w:bCs/>
          <w:i/>
          <w:color w:val="auto"/>
          <w:sz w:val="16"/>
          <w:szCs w:val="16"/>
        </w:rPr>
        <w:t xml:space="preserve">Case of Espinoza </w:t>
      </w:r>
      <w:proofErr w:type="spellStart"/>
      <w:r w:rsidRPr="009F1142">
        <w:rPr>
          <w:rFonts w:ascii="Cambria" w:hAnsi="Cambria" w:cs="Verdana"/>
          <w:bCs/>
          <w:i/>
          <w:color w:val="auto"/>
          <w:sz w:val="16"/>
          <w:szCs w:val="16"/>
        </w:rPr>
        <w:t>Gonzáles</w:t>
      </w:r>
      <w:proofErr w:type="spellEnd"/>
      <w:r w:rsidRPr="009F1142">
        <w:rPr>
          <w:rFonts w:ascii="Cambria" w:hAnsi="Cambria" w:cs="Verdana"/>
          <w:bCs/>
          <w:i/>
          <w:color w:val="auto"/>
          <w:sz w:val="16"/>
          <w:szCs w:val="16"/>
        </w:rPr>
        <w:t xml:space="preserve"> v. Peru</w:t>
      </w:r>
      <w:r w:rsidRPr="009F1142">
        <w:rPr>
          <w:rFonts w:ascii="Cambria" w:hAnsi="Cambria" w:cs="Verdana"/>
          <w:bCs/>
          <w:color w:val="auto"/>
          <w:sz w:val="16"/>
          <w:szCs w:val="16"/>
        </w:rPr>
        <w:t>. Preliminary Objections, Merits, Reparations and Costs. Judgment of November 20, 2014. Series C, No. 289</w:t>
      </w:r>
      <w:r w:rsidRPr="009F1142">
        <w:rPr>
          <w:rFonts w:ascii="Cambria" w:hAnsi="Cambria"/>
          <w:color w:val="auto"/>
          <w:sz w:val="16"/>
          <w:szCs w:val="16"/>
        </w:rPr>
        <w:t>.</w:t>
      </w:r>
    </w:p>
  </w:footnote>
  <w:footnote w:id="189">
    <w:p w:rsidR="00637A06" w:rsidRPr="009F1142" w:rsidRDefault="00637A06" w:rsidP="009F1142">
      <w:pPr>
        <w:autoSpaceDE w:val="0"/>
        <w:autoSpaceDN w:val="0"/>
        <w:adjustRightInd w:val="0"/>
        <w:jc w:val="both"/>
        <w:rPr>
          <w:rFonts w:ascii="Cambria" w:hAnsi="Cambria"/>
          <w:sz w:val="16"/>
          <w:szCs w:val="16"/>
        </w:rPr>
      </w:pPr>
      <w:r w:rsidRPr="009F1142">
        <w:rPr>
          <w:rStyle w:val="FootnoteReference"/>
          <w:rFonts w:ascii="Cambria" w:hAnsi="Cambria"/>
          <w:sz w:val="16"/>
          <w:szCs w:val="16"/>
          <w:lang w:val="es-ES"/>
        </w:rPr>
        <w:footnoteRef/>
      </w:r>
      <w:r w:rsidRPr="009F1142">
        <w:rPr>
          <w:rFonts w:ascii="Cambria" w:hAnsi="Cambria"/>
          <w:sz w:val="16"/>
          <w:szCs w:val="16"/>
          <w:lang w:val="es-ES"/>
        </w:rPr>
        <w:t xml:space="preserve"> </w:t>
      </w:r>
      <w:r w:rsidRPr="009F1142">
        <w:rPr>
          <w:rFonts w:ascii="Cambria" w:hAnsi="Cambria"/>
          <w:sz w:val="16"/>
          <w:szCs w:val="16"/>
          <w:lang w:val="es-US"/>
        </w:rPr>
        <w:t xml:space="preserve">IACHR. </w:t>
      </w:r>
      <w:proofErr w:type="spellStart"/>
      <w:r w:rsidRPr="009F1142">
        <w:rPr>
          <w:rFonts w:ascii="Cambria" w:hAnsi="Cambria"/>
          <w:sz w:val="16"/>
          <w:szCs w:val="16"/>
          <w:lang w:val="es-US"/>
        </w:rPr>
        <w:t>Report</w:t>
      </w:r>
      <w:proofErr w:type="spellEnd"/>
      <w:r w:rsidRPr="009F1142">
        <w:rPr>
          <w:rFonts w:ascii="Cambria" w:hAnsi="Cambria"/>
          <w:sz w:val="16"/>
          <w:szCs w:val="16"/>
          <w:lang w:val="es-US"/>
        </w:rPr>
        <w:t xml:space="preserve"> No 53/01. Case 11.565. Ana, Beatriz and Celia González Pérez. </w:t>
      </w:r>
      <w:r w:rsidRPr="009F1142">
        <w:rPr>
          <w:rFonts w:ascii="Cambria" w:hAnsi="Cambria"/>
          <w:sz w:val="16"/>
          <w:szCs w:val="16"/>
        </w:rPr>
        <w:t>Mexico. April 4, 2001. Para. 45; I/A Court H.R. Case</w:t>
      </w:r>
      <w:r w:rsidRPr="009F1142">
        <w:rPr>
          <w:rFonts w:ascii="Cambria" w:hAnsi="Cambria"/>
          <w:bCs/>
          <w:i/>
          <w:sz w:val="16"/>
          <w:szCs w:val="16"/>
        </w:rPr>
        <w:t xml:space="preserve"> of the Miguel Castro </w:t>
      </w:r>
      <w:proofErr w:type="spellStart"/>
      <w:r w:rsidRPr="009F1142">
        <w:rPr>
          <w:rFonts w:ascii="Cambria" w:hAnsi="Cambria"/>
          <w:bCs/>
          <w:i/>
          <w:sz w:val="16"/>
          <w:szCs w:val="16"/>
        </w:rPr>
        <w:t>Castro</w:t>
      </w:r>
      <w:proofErr w:type="spellEnd"/>
      <w:r w:rsidRPr="009F1142">
        <w:rPr>
          <w:rFonts w:ascii="Cambria" w:hAnsi="Cambria"/>
          <w:bCs/>
          <w:i/>
          <w:sz w:val="16"/>
          <w:szCs w:val="16"/>
        </w:rPr>
        <w:t xml:space="preserve"> Prison v. Peru</w:t>
      </w:r>
      <w:r w:rsidRPr="009F1142">
        <w:rPr>
          <w:rFonts w:ascii="Cambria" w:hAnsi="Cambria"/>
          <w:bCs/>
          <w:sz w:val="16"/>
          <w:szCs w:val="16"/>
        </w:rPr>
        <w:t xml:space="preserve">. </w:t>
      </w:r>
      <w:r w:rsidRPr="009F1142">
        <w:rPr>
          <w:rFonts w:ascii="Cambria" w:hAnsi="Cambria"/>
          <w:sz w:val="16"/>
          <w:szCs w:val="16"/>
        </w:rPr>
        <w:t xml:space="preserve">Merits, Reparations and Costs. Judgment of November 25, 2006. Series C, No. 160, para. 313, citing </w:t>
      </w:r>
      <w:proofErr w:type="spellStart"/>
      <w:r w:rsidRPr="009F1142">
        <w:rPr>
          <w:rFonts w:ascii="Cambria" w:hAnsi="Cambria" w:cs="Verdana-Italic"/>
          <w:iCs/>
          <w:sz w:val="16"/>
          <w:szCs w:val="16"/>
        </w:rPr>
        <w:t>Cfr</w:t>
      </w:r>
      <w:proofErr w:type="spellEnd"/>
      <w:r w:rsidRPr="009F1142">
        <w:rPr>
          <w:rFonts w:ascii="Cambria" w:hAnsi="Cambria" w:cs="Verdana"/>
          <w:sz w:val="16"/>
          <w:szCs w:val="16"/>
        </w:rPr>
        <w:t>. United Nations Commission on Human Rights, Fifty-fourth session. Report of the Special Rapporteur on violence against women, its causes and consequences, Ms.</w:t>
      </w:r>
      <w:r w:rsidRPr="009F1142">
        <w:rPr>
          <w:rFonts w:ascii="Cambria" w:hAnsi="Cambria" w:cs="Verdana-Italic"/>
          <w:iCs/>
          <w:sz w:val="16"/>
          <w:szCs w:val="16"/>
        </w:rPr>
        <w:t xml:space="preserve"> Radhika </w:t>
      </w:r>
      <w:proofErr w:type="spellStart"/>
      <w:r w:rsidRPr="009F1142">
        <w:rPr>
          <w:rFonts w:ascii="Cambria" w:hAnsi="Cambria" w:cs="Verdana-Italic"/>
          <w:iCs/>
          <w:sz w:val="16"/>
          <w:szCs w:val="16"/>
        </w:rPr>
        <w:t>Coomaraswamy</w:t>
      </w:r>
      <w:proofErr w:type="spellEnd"/>
      <w:r w:rsidRPr="009F1142">
        <w:rPr>
          <w:rFonts w:ascii="Cambria" w:hAnsi="Cambria" w:cs="Verdana-Italic"/>
          <w:iCs/>
          <w:sz w:val="16"/>
          <w:szCs w:val="16"/>
        </w:rPr>
        <w:t>, submitted in accordance with Commission resolution 1997/44</w:t>
      </w:r>
      <w:r w:rsidRPr="009F1142">
        <w:rPr>
          <w:rFonts w:ascii="Cambria" w:hAnsi="Cambria"/>
          <w:sz w:val="16"/>
          <w:szCs w:val="16"/>
        </w:rPr>
        <w:t>. Doc. E/CN.4/1998/54, of 26 January 1998, para. 14.</w:t>
      </w:r>
    </w:p>
  </w:footnote>
  <w:footnote w:id="190">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lang w:val="es-ES"/>
        </w:rPr>
        <w:footnoteRef/>
      </w:r>
      <w:r w:rsidRPr="009F1142">
        <w:rPr>
          <w:rFonts w:ascii="Cambria" w:hAnsi="Cambria"/>
          <w:sz w:val="16"/>
          <w:szCs w:val="16"/>
        </w:rPr>
        <w:t xml:space="preserve"> I/A Court H.R. Case</w:t>
      </w:r>
      <w:r w:rsidRPr="009F1142">
        <w:rPr>
          <w:rFonts w:ascii="Cambria" w:hAnsi="Cambria"/>
          <w:bCs/>
          <w:i/>
          <w:sz w:val="16"/>
          <w:szCs w:val="16"/>
        </w:rPr>
        <w:t xml:space="preserve"> of the Miguel Castro </w:t>
      </w:r>
      <w:proofErr w:type="spellStart"/>
      <w:r w:rsidRPr="009F1142">
        <w:rPr>
          <w:rFonts w:ascii="Cambria" w:hAnsi="Cambria"/>
          <w:bCs/>
          <w:i/>
          <w:sz w:val="16"/>
          <w:szCs w:val="16"/>
        </w:rPr>
        <w:t>Castro</w:t>
      </w:r>
      <w:proofErr w:type="spellEnd"/>
      <w:r w:rsidRPr="009F1142">
        <w:rPr>
          <w:rFonts w:ascii="Cambria" w:hAnsi="Cambria"/>
          <w:bCs/>
          <w:i/>
          <w:sz w:val="16"/>
          <w:szCs w:val="16"/>
        </w:rPr>
        <w:t xml:space="preserve"> Prison v. Peru</w:t>
      </w:r>
      <w:r w:rsidRPr="009F1142">
        <w:rPr>
          <w:rFonts w:ascii="Cambria" w:hAnsi="Cambria"/>
          <w:bCs/>
          <w:sz w:val="16"/>
          <w:szCs w:val="16"/>
        </w:rPr>
        <w:t xml:space="preserve">. </w:t>
      </w:r>
      <w:r w:rsidRPr="009F1142">
        <w:rPr>
          <w:rFonts w:ascii="Cambria" w:hAnsi="Cambria"/>
          <w:sz w:val="16"/>
          <w:szCs w:val="16"/>
        </w:rPr>
        <w:t xml:space="preserve">Merits, Reparations and Costs. Judgment of November 25, 2006. Series C, No. 160, para. 311, citing United Nations Commission on Human Rights, Fiftieth session. Question of the human rights of all persons subjected to any form of detention or imprisonment, in particular: torture or other cruel, inhuman or degrading treatment or punishment. Report of the Special Rapporteur, Mr. Nigel S. </w:t>
      </w:r>
      <w:proofErr w:type="spellStart"/>
      <w:r w:rsidRPr="009F1142">
        <w:rPr>
          <w:rFonts w:ascii="Cambria" w:hAnsi="Cambria"/>
          <w:sz w:val="16"/>
          <w:szCs w:val="16"/>
        </w:rPr>
        <w:t>Rodley</w:t>
      </w:r>
      <w:proofErr w:type="spellEnd"/>
      <w:r w:rsidRPr="009F1142">
        <w:rPr>
          <w:rFonts w:ascii="Cambria" w:hAnsi="Cambria"/>
          <w:sz w:val="16"/>
          <w:szCs w:val="16"/>
        </w:rPr>
        <w:t>, submitted pursuant to Commission on Human Rights resolution 1992/32. Doc. E/CN.4/1995/34 of 12 January 1995, para. 19.</w:t>
      </w:r>
    </w:p>
  </w:footnote>
  <w:footnote w:id="191">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lang w:val="es-ES"/>
        </w:rPr>
        <w:footnoteRef/>
      </w:r>
      <w:r w:rsidRPr="009F1142">
        <w:rPr>
          <w:rFonts w:ascii="Cambria" w:hAnsi="Cambria"/>
          <w:sz w:val="16"/>
          <w:szCs w:val="16"/>
        </w:rPr>
        <w:t xml:space="preserve"> I/A Court H.R. Case</w:t>
      </w:r>
      <w:r w:rsidRPr="009F1142">
        <w:rPr>
          <w:rFonts w:ascii="Cambria" w:hAnsi="Cambria"/>
          <w:bCs/>
          <w:i/>
          <w:sz w:val="16"/>
          <w:szCs w:val="16"/>
        </w:rPr>
        <w:t xml:space="preserve"> of the Miguel Castro </w:t>
      </w:r>
      <w:proofErr w:type="spellStart"/>
      <w:r w:rsidRPr="009F1142">
        <w:rPr>
          <w:rFonts w:ascii="Cambria" w:hAnsi="Cambria"/>
          <w:bCs/>
          <w:i/>
          <w:sz w:val="16"/>
          <w:szCs w:val="16"/>
        </w:rPr>
        <w:t>Castro</w:t>
      </w:r>
      <w:proofErr w:type="spellEnd"/>
      <w:r w:rsidRPr="009F1142">
        <w:rPr>
          <w:rFonts w:ascii="Cambria" w:hAnsi="Cambria"/>
          <w:bCs/>
          <w:i/>
          <w:sz w:val="16"/>
          <w:szCs w:val="16"/>
        </w:rPr>
        <w:t xml:space="preserve"> Prison v. Peru</w:t>
      </w:r>
      <w:r w:rsidRPr="009F1142">
        <w:rPr>
          <w:rFonts w:ascii="Cambria" w:hAnsi="Cambria"/>
          <w:bCs/>
          <w:sz w:val="16"/>
          <w:szCs w:val="16"/>
        </w:rPr>
        <w:t xml:space="preserve">. </w:t>
      </w:r>
      <w:r w:rsidRPr="009F1142">
        <w:rPr>
          <w:rFonts w:ascii="Cambria" w:hAnsi="Cambria"/>
          <w:sz w:val="16"/>
          <w:szCs w:val="16"/>
        </w:rPr>
        <w:t xml:space="preserve">Merits, Reparations and Costs. Judgment of November 25, 2006. Series C, No. 160, para. 311, citing European Court of Human Rights., </w:t>
      </w:r>
      <w:r w:rsidRPr="009F1142">
        <w:rPr>
          <w:rFonts w:ascii="Cambria" w:hAnsi="Cambria"/>
          <w:i/>
          <w:sz w:val="16"/>
          <w:szCs w:val="16"/>
        </w:rPr>
        <w:t>Case of Aydin v. Turkey (GC)</w:t>
      </w:r>
      <w:r w:rsidRPr="009F1142">
        <w:rPr>
          <w:rFonts w:ascii="Cambria" w:hAnsi="Cambria"/>
          <w:sz w:val="16"/>
          <w:szCs w:val="16"/>
        </w:rPr>
        <w:t>. Judgment of 25 September 1997, Application No. 57/1996/676/866, para. 83.</w:t>
      </w:r>
    </w:p>
  </w:footnote>
  <w:footnote w:id="192">
    <w:p w:rsidR="00637A06" w:rsidRPr="009F1142" w:rsidRDefault="00637A06" w:rsidP="009F1142">
      <w:pPr>
        <w:pStyle w:val="FootnoteText"/>
        <w:jc w:val="both"/>
        <w:rPr>
          <w:rFonts w:ascii="Cambria" w:hAnsi="Cambria"/>
          <w:sz w:val="16"/>
          <w:szCs w:val="16"/>
          <w:lang w:val="es-CO"/>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IACHR. Report 5/96. Case 10.970. Peru. </w:t>
      </w:r>
      <w:r w:rsidRPr="009F1142">
        <w:rPr>
          <w:rFonts w:ascii="Cambria" w:hAnsi="Cambria"/>
          <w:color w:val="auto"/>
          <w:sz w:val="16"/>
          <w:szCs w:val="16"/>
          <w:lang w:val="es-US"/>
        </w:rPr>
        <w:t xml:space="preserve">Raquel Martín de Mejía. </w:t>
      </w:r>
      <w:proofErr w:type="spellStart"/>
      <w:r w:rsidRPr="009F1142">
        <w:rPr>
          <w:rFonts w:ascii="Cambria" w:hAnsi="Cambria"/>
          <w:color w:val="auto"/>
          <w:sz w:val="16"/>
          <w:szCs w:val="16"/>
          <w:lang w:val="es-US"/>
        </w:rPr>
        <w:t>March</w:t>
      </w:r>
      <w:proofErr w:type="spellEnd"/>
      <w:r w:rsidRPr="009F1142">
        <w:rPr>
          <w:rFonts w:ascii="Cambria" w:hAnsi="Cambria"/>
          <w:color w:val="auto"/>
          <w:sz w:val="16"/>
          <w:szCs w:val="16"/>
          <w:lang w:val="es-US"/>
        </w:rPr>
        <w:t xml:space="preserve"> 1, 1996.</w:t>
      </w:r>
    </w:p>
  </w:footnote>
  <w:footnote w:id="19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I/A Court H.R. Case</w:t>
      </w:r>
      <w:r w:rsidRPr="009F1142">
        <w:rPr>
          <w:rFonts w:ascii="Cambria" w:hAnsi="Cambria"/>
          <w:i/>
          <w:color w:val="auto"/>
          <w:sz w:val="16"/>
          <w:szCs w:val="16"/>
        </w:rPr>
        <w:t xml:space="preserve"> of Rosendo Cantú et al. v. Mexico</w:t>
      </w:r>
      <w:r w:rsidRPr="009F1142">
        <w:rPr>
          <w:rFonts w:ascii="Cambria" w:hAnsi="Cambria"/>
          <w:color w:val="auto"/>
          <w:sz w:val="16"/>
          <w:szCs w:val="16"/>
        </w:rPr>
        <w:t xml:space="preserve">, Preliminary Objection, Merits, Reparation and Costs. Judgment of August 31, 2010. Series C, No. 216, para. 119; </w:t>
      </w:r>
      <w:r w:rsidRPr="009F1142">
        <w:rPr>
          <w:rFonts w:ascii="Cambria" w:hAnsi="Cambria"/>
          <w:color w:val="auto"/>
          <w:sz w:val="16"/>
          <w:szCs w:val="16"/>
          <w:lang w:eastAsia="x-none"/>
        </w:rPr>
        <w:t xml:space="preserve">I/A Court H.R. </w:t>
      </w:r>
      <w:r w:rsidRPr="009F1142">
        <w:rPr>
          <w:rFonts w:ascii="Cambria" w:hAnsi="Cambria"/>
          <w:i/>
          <w:color w:val="auto"/>
          <w:sz w:val="16"/>
          <w:szCs w:val="16"/>
        </w:rPr>
        <w:t>Case of Fernández Ortega et al. v. Mexico</w:t>
      </w:r>
      <w:r w:rsidRPr="009F1142">
        <w:rPr>
          <w:rFonts w:ascii="Cambria" w:hAnsi="Cambria"/>
          <w:color w:val="auto"/>
          <w:sz w:val="16"/>
          <w:szCs w:val="16"/>
        </w:rPr>
        <w:t xml:space="preserve">. Merits, Reparations and Costs. Judgment of August 30, 2010, Series C, No. 215, para. 129, citing European Court of Human Rights, </w:t>
      </w:r>
      <w:r w:rsidRPr="009F1142">
        <w:rPr>
          <w:rFonts w:ascii="Cambria" w:hAnsi="Cambria"/>
          <w:i/>
          <w:color w:val="auto"/>
          <w:sz w:val="16"/>
          <w:szCs w:val="16"/>
        </w:rPr>
        <w:t>Case of M.C. v. Bulgaria</w:t>
      </w:r>
      <w:r w:rsidRPr="009F1142">
        <w:rPr>
          <w:rFonts w:ascii="Cambria" w:hAnsi="Cambria"/>
          <w:color w:val="auto"/>
          <w:sz w:val="16"/>
          <w:szCs w:val="16"/>
        </w:rPr>
        <w:t xml:space="preserve">. Judgment of </w:t>
      </w:r>
      <w:r w:rsidRPr="009F1142">
        <w:rPr>
          <w:rFonts w:ascii="Cambria" w:hAnsi="Cambria" w:cs="Times-Roman"/>
          <w:color w:val="auto"/>
          <w:sz w:val="16"/>
          <w:szCs w:val="16"/>
          <w:lang w:bidi="en-US"/>
        </w:rPr>
        <w:t>4 December 2003</w:t>
      </w:r>
      <w:r w:rsidRPr="009F1142">
        <w:rPr>
          <w:rFonts w:ascii="Cambria" w:hAnsi="Cambria"/>
          <w:color w:val="auto"/>
          <w:sz w:val="16"/>
          <w:szCs w:val="16"/>
        </w:rPr>
        <w:t xml:space="preserve">, App. No. </w:t>
      </w:r>
      <w:r w:rsidRPr="009F1142">
        <w:rPr>
          <w:rFonts w:ascii="Cambria" w:hAnsi="Cambria" w:cs="Times-Roman"/>
          <w:color w:val="auto"/>
          <w:sz w:val="16"/>
          <w:szCs w:val="16"/>
          <w:lang w:bidi="en-US"/>
        </w:rPr>
        <w:t>39272/98</w:t>
      </w:r>
      <w:r w:rsidRPr="009F1142">
        <w:rPr>
          <w:rFonts w:ascii="Cambria" w:hAnsi="Cambria"/>
          <w:color w:val="auto"/>
          <w:sz w:val="16"/>
          <w:szCs w:val="16"/>
        </w:rPr>
        <w:t xml:space="preserve">, para. 150, and International Criminal Tribunal for the Former Yugoslavia, </w:t>
      </w:r>
      <w:r w:rsidRPr="009F1142">
        <w:rPr>
          <w:rFonts w:ascii="Cambria" w:hAnsi="Cambria"/>
          <w:i/>
          <w:color w:val="auto"/>
          <w:sz w:val="16"/>
          <w:szCs w:val="16"/>
        </w:rPr>
        <w:t xml:space="preserve">Case of </w:t>
      </w:r>
      <w:proofErr w:type="spellStart"/>
      <w:r w:rsidRPr="009F1142">
        <w:rPr>
          <w:rFonts w:ascii="Cambria" w:hAnsi="Cambria"/>
          <w:i/>
          <w:color w:val="auto"/>
          <w:sz w:val="16"/>
          <w:szCs w:val="16"/>
        </w:rPr>
        <w:t>Mucic</w:t>
      </w:r>
      <w:proofErr w:type="spellEnd"/>
      <w:r w:rsidRPr="009F1142">
        <w:rPr>
          <w:rFonts w:ascii="Cambria" w:hAnsi="Cambria"/>
          <w:i/>
          <w:color w:val="auto"/>
          <w:sz w:val="16"/>
          <w:szCs w:val="16"/>
        </w:rPr>
        <w:t xml:space="preserve"> et. al. “</w:t>
      </w:r>
      <w:proofErr w:type="spellStart"/>
      <w:r w:rsidRPr="009F1142">
        <w:rPr>
          <w:rFonts w:ascii="Cambria" w:hAnsi="Cambria"/>
          <w:i/>
          <w:color w:val="auto"/>
          <w:sz w:val="16"/>
          <w:szCs w:val="16"/>
        </w:rPr>
        <w:t>Celebici</w:t>
      </w:r>
      <w:proofErr w:type="spellEnd"/>
      <w:r w:rsidRPr="009F1142">
        <w:rPr>
          <w:rFonts w:ascii="Cambria" w:hAnsi="Cambria"/>
          <w:i/>
          <w:color w:val="auto"/>
          <w:sz w:val="16"/>
          <w:szCs w:val="16"/>
        </w:rPr>
        <w:t xml:space="preserve"> Camp”</w:t>
      </w:r>
      <w:r w:rsidRPr="009F1142">
        <w:rPr>
          <w:rFonts w:ascii="Cambria" w:hAnsi="Cambria"/>
          <w:color w:val="auto"/>
          <w:sz w:val="16"/>
          <w:szCs w:val="16"/>
        </w:rPr>
        <w:t>. Judgment of November 16, 1998. Case No. IT-96-21-T, para. 492.</w:t>
      </w:r>
    </w:p>
  </w:footnote>
  <w:footnote w:id="19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Vélez</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Restrepo</w:t>
      </w:r>
      <w:proofErr w:type="spellEnd"/>
      <w:r w:rsidRPr="009F1142">
        <w:rPr>
          <w:rFonts w:ascii="Cambria" w:hAnsi="Cambria"/>
          <w:i/>
          <w:color w:val="auto"/>
          <w:sz w:val="16"/>
          <w:szCs w:val="16"/>
          <w:lang w:eastAsia="x-none"/>
        </w:rPr>
        <w:t xml:space="preserve"> and Family v. Colombia. </w:t>
      </w:r>
      <w:r w:rsidRPr="009F1142">
        <w:rPr>
          <w:rFonts w:ascii="Cambria" w:hAnsi="Cambria"/>
          <w:color w:val="auto"/>
          <w:sz w:val="16"/>
          <w:szCs w:val="16"/>
          <w:lang w:eastAsia="x-none"/>
        </w:rPr>
        <w:t>Preliminary Objection, Merits, Reparations and Costs. Judgment of September 3, 2012. Series C, No. 248.</w:t>
      </w:r>
    </w:p>
  </w:footnote>
  <w:footnote w:id="19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et al. v. Colombia.</w:t>
      </w:r>
      <w:r w:rsidRPr="009F1142">
        <w:rPr>
          <w:rFonts w:ascii="Cambria" w:hAnsi="Cambria"/>
          <w:color w:val="auto"/>
          <w:sz w:val="16"/>
          <w:szCs w:val="16"/>
          <w:lang w:eastAsia="x-none"/>
        </w:rPr>
        <w:t xml:space="preserve"> Merits, Reparations and Costs. Judgment of March 13, 2018.</w:t>
      </w:r>
    </w:p>
  </w:footnote>
  <w:footnote w:id="19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IACHR. Report 5/96. Case 10.970. Peru. Raquel Martín de </w:t>
      </w:r>
      <w:proofErr w:type="spellStart"/>
      <w:r w:rsidRPr="009F1142">
        <w:rPr>
          <w:rFonts w:ascii="Cambria" w:hAnsi="Cambria"/>
          <w:color w:val="auto"/>
          <w:sz w:val="16"/>
          <w:szCs w:val="16"/>
        </w:rPr>
        <w:t>Mejía</w:t>
      </w:r>
      <w:proofErr w:type="spellEnd"/>
      <w:r w:rsidRPr="009F1142">
        <w:rPr>
          <w:rFonts w:ascii="Cambria" w:hAnsi="Cambria"/>
          <w:color w:val="auto"/>
          <w:sz w:val="16"/>
          <w:szCs w:val="16"/>
        </w:rPr>
        <w:t>. March 1, 1996.</w:t>
      </w:r>
    </w:p>
  </w:footnote>
  <w:footnote w:id="19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I/A Court H.R. Case</w:t>
      </w:r>
      <w:r w:rsidRPr="009F1142">
        <w:rPr>
          <w:rFonts w:ascii="Cambria" w:hAnsi="Cambria"/>
          <w:i/>
          <w:color w:val="auto"/>
          <w:sz w:val="16"/>
          <w:szCs w:val="16"/>
        </w:rPr>
        <w:t xml:space="preserve"> of Rosendo Cantú et al. v. Mexico</w:t>
      </w:r>
      <w:r w:rsidRPr="009F1142">
        <w:rPr>
          <w:rFonts w:ascii="Cambria" w:hAnsi="Cambria"/>
          <w:color w:val="auto"/>
          <w:sz w:val="16"/>
          <w:szCs w:val="16"/>
        </w:rPr>
        <w:t xml:space="preserve">, Preliminary Objection, Merits, Reparation and Costs. Judgment of August 31, 2010. Series C, No. 216, para. 119; </w:t>
      </w:r>
      <w:r w:rsidRPr="009F1142">
        <w:rPr>
          <w:rFonts w:ascii="Cambria" w:hAnsi="Cambria"/>
          <w:color w:val="auto"/>
          <w:sz w:val="16"/>
          <w:szCs w:val="16"/>
          <w:lang w:eastAsia="x-none"/>
        </w:rPr>
        <w:t xml:space="preserve">I/A Court H.R. </w:t>
      </w:r>
      <w:r w:rsidRPr="009F1142">
        <w:rPr>
          <w:rFonts w:ascii="Cambria" w:hAnsi="Cambria"/>
          <w:i/>
          <w:color w:val="auto"/>
          <w:sz w:val="16"/>
          <w:szCs w:val="16"/>
        </w:rPr>
        <w:t>Case of Fernández Ortega et al. v. Mexico</w:t>
      </w:r>
      <w:r w:rsidRPr="009F1142">
        <w:rPr>
          <w:rFonts w:ascii="Cambria" w:hAnsi="Cambria"/>
          <w:color w:val="auto"/>
          <w:sz w:val="16"/>
          <w:szCs w:val="16"/>
        </w:rPr>
        <w:t xml:space="preserve">. Merits, Reparations and Costs. Judgment of August 30, 2010, Series C, No. 215, para. 129, citing European Court of Human Rights, </w:t>
      </w:r>
      <w:r w:rsidRPr="009F1142">
        <w:rPr>
          <w:rFonts w:ascii="Cambria" w:hAnsi="Cambria"/>
          <w:i/>
          <w:color w:val="auto"/>
          <w:sz w:val="16"/>
          <w:szCs w:val="16"/>
        </w:rPr>
        <w:t>Case of M.C. v. Bulgaria</w:t>
      </w:r>
      <w:r w:rsidRPr="009F1142">
        <w:rPr>
          <w:rFonts w:ascii="Cambria" w:hAnsi="Cambria"/>
          <w:color w:val="auto"/>
          <w:sz w:val="16"/>
          <w:szCs w:val="16"/>
        </w:rPr>
        <w:t xml:space="preserve">. Judgment of </w:t>
      </w:r>
      <w:r w:rsidRPr="009F1142">
        <w:rPr>
          <w:rFonts w:ascii="Cambria" w:hAnsi="Cambria" w:cs="Times-Roman"/>
          <w:color w:val="auto"/>
          <w:sz w:val="16"/>
          <w:szCs w:val="16"/>
          <w:lang w:bidi="en-US"/>
        </w:rPr>
        <w:t>4 December 2003</w:t>
      </w:r>
      <w:r w:rsidRPr="009F1142">
        <w:rPr>
          <w:rFonts w:ascii="Cambria" w:hAnsi="Cambria"/>
          <w:color w:val="auto"/>
          <w:sz w:val="16"/>
          <w:szCs w:val="16"/>
        </w:rPr>
        <w:t xml:space="preserve">, App. No. </w:t>
      </w:r>
      <w:r w:rsidRPr="009F1142">
        <w:rPr>
          <w:rFonts w:ascii="Cambria" w:hAnsi="Cambria" w:cs="Times-Roman"/>
          <w:color w:val="auto"/>
          <w:sz w:val="16"/>
          <w:szCs w:val="16"/>
          <w:lang w:bidi="en-US"/>
        </w:rPr>
        <w:t>39272/98</w:t>
      </w:r>
      <w:r w:rsidRPr="009F1142">
        <w:rPr>
          <w:rFonts w:ascii="Cambria" w:hAnsi="Cambria"/>
          <w:color w:val="auto"/>
          <w:sz w:val="16"/>
          <w:szCs w:val="16"/>
        </w:rPr>
        <w:t xml:space="preserve">, para. 150, and International Criminal Tribunal for the Former Yugoslavia, </w:t>
      </w:r>
      <w:r w:rsidRPr="009F1142">
        <w:rPr>
          <w:rFonts w:ascii="Cambria" w:hAnsi="Cambria"/>
          <w:i/>
          <w:color w:val="auto"/>
          <w:sz w:val="16"/>
          <w:szCs w:val="16"/>
        </w:rPr>
        <w:t xml:space="preserve">Case of </w:t>
      </w:r>
      <w:proofErr w:type="spellStart"/>
      <w:r w:rsidRPr="009F1142">
        <w:rPr>
          <w:rFonts w:ascii="Cambria" w:hAnsi="Cambria"/>
          <w:i/>
          <w:color w:val="auto"/>
          <w:sz w:val="16"/>
          <w:szCs w:val="16"/>
        </w:rPr>
        <w:t>Mucic</w:t>
      </w:r>
      <w:proofErr w:type="spellEnd"/>
      <w:r w:rsidRPr="009F1142">
        <w:rPr>
          <w:rFonts w:ascii="Cambria" w:hAnsi="Cambria"/>
          <w:i/>
          <w:color w:val="auto"/>
          <w:sz w:val="16"/>
          <w:szCs w:val="16"/>
        </w:rPr>
        <w:t xml:space="preserve"> et. al. “</w:t>
      </w:r>
      <w:proofErr w:type="spellStart"/>
      <w:r w:rsidRPr="009F1142">
        <w:rPr>
          <w:rFonts w:ascii="Cambria" w:hAnsi="Cambria"/>
          <w:i/>
          <w:color w:val="auto"/>
          <w:sz w:val="16"/>
          <w:szCs w:val="16"/>
        </w:rPr>
        <w:t>Celebici</w:t>
      </w:r>
      <w:proofErr w:type="spellEnd"/>
      <w:r w:rsidRPr="009F1142">
        <w:rPr>
          <w:rFonts w:ascii="Cambria" w:hAnsi="Cambria"/>
          <w:i/>
          <w:color w:val="auto"/>
          <w:sz w:val="16"/>
          <w:szCs w:val="16"/>
        </w:rPr>
        <w:t xml:space="preserve"> Camp”</w:t>
      </w:r>
      <w:r w:rsidRPr="009F1142">
        <w:rPr>
          <w:rFonts w:ascii="Cambria" w:hAnsi="Cambria"/>
          <w:color w:val="auto"/>
          <w:sz w:val="16"/>
          <w:szCs w:val="16"/>
        </w:rPr>
        <w:t>. Judgment of November 16, 1998. Case No. IT-96-21-T, para. 492.</w:t>
      </w:r>
    </w:p>
  </w:footnote>
  <w:footnote w:id="198">
    <w:p w:rsidR="00637A06" w:rsidRPr="009F1142" w:rsidRDefault="00637A06" w:rsidP="009F1142">
      <w:pP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I/A Court H.R. </w:t>
      </w:r>
      <w:r w:rsidRPr="009F1142">
        <w:rPr>
          <w:rFonts w:ascii="Cambria" w:hAnsi="Cambria"/>
          <w:i/>
          <w:sz w:val="16"/>
          <w:szCs w:val="16"/>
        </w:rPr>
        <w:t xml:space="preserve">Case of </w:t>
      </w:r>
      <w:proofErr w:type="spellStart"/>
      <w:r w:rsidRPr="009F1142">
        <w:rPr>
          <w:rFonts w:ascii="Cambria" w:hAnsi="Cambria"/>
          <w:i/>
          <w:sz w:val="16"/>
          <w:szCs w:val="16"/>
        </w:rPr>
        <w:t>Vélez</w:t>
      </w:r>
      <w:proofErr w:type="spellEnd"/>
      <w:r w:rsidRPr="009F1142">
        <w:rPr>
          <w:rFonts w:ascii="Cambria" w:hAnsi="Cambria"/>
          <w:i/>
          <w:sz w:val="16"/>
          <w:szCs w:val="16"/>
        </w:rPr>
        <w:t xml:space="preserve"> </w:t>
      </w:r>
      <w:proofErr w:type="spellStart"/>
      <w:r w:rsidRPr="009F1142">
        <w:rPr>
          <w:rFonts w:ascii="Cambria" w:hAnsi="Cambria"/>
          <w:i/>
          <w:sz w:val="16"/>
          <w:szCs w:val="16"/>
        </w:rPr>
        <w:t>Restrepo</w:t>
      </w:r>
      <w:proofErr w:type="spellEnd"/>
      <w:r w:rsidRPr="009F1142">
        <w:rPr>
          <w:rFonts w:ascii="Cambria" w:hAnsi="Cambria"/>
          <w:i/>
          <w:sz w:val="16"/>
          <w:szCs w:val="16"/>
        </w:rPr>
        <w:t xml:space="preserve"> and Family v. Colombia</w:t>
      </w:r>
      <w:r w:rsidRPr="009F1142">
        <w:rPr>
          <w:rFonts w:ascii="Cambria" w:hAnsi="Cambria"/>
          <w:sz w:val="16"/>
          <w:szCs w:val="16"/>
        </w:rPr>
        <w:t xml:space="preserve">. Merits, Reparations and Costs. Judgment of September 3, 2012. Series C, No. 248. para. 220; </w:t>
      </w:r>
      <w:r w:rsidRPr="009F1142">
        <w:rPr>
          <w:rFonts w:ascii="Cambria" w:hAnsi="Cambria"/>
          <w:sz w:val="16"/>
          <w:szCs w:val="16"/>
          <w:lang w:eastAsia="x-none"/>
        </w:rPr>
        <w:t xml:space="preserve">I/A Court H.R. </w:t>
      </w:r>
      <w:r w:rsidRPr="009F1142">
        <w:rPr>
          <w:rFonts w:ascii="Cambria" w:hAnsi="Cambria"/>
          <w:i/>
          <w:sz w:val="16"/>
          <w:szCs w:val="16"/>
          <w:lang w:eastAsia="x-none"/>
        </w:rPr>
        <w:t>Case of Valle Jaramillo et al. v. Colombia</w:t>
      </w:r>
      <w:r w:rsidRPr="009F1142">
        <w:rPr>
          <w:rFonts w:ascii="Cambria" w:hAnsi="Cambria"/>
          <w:sz w:val="16"/>
          <w:szCs w:val="16"/>
          <w:lang w:eastAsia="x-none"/>
        </w:rPr>
        <w:t xml:space="preserve">. Merits, Reparations and Costs. Judgment of November 27, 2008. Series C, No. 192. Para. 140-144; </w:t>
      </w:r>
      <w:r w:rsidRPr="009F1142">
        <w:rPr>
          <w:rFonts w:ascii="Cambria" w:hAnsi="Cambria"/>
          <w:sz w:val="16"/>
          <w:szCs w:val="16"/>
        </w:rPr>
        <w:t>I/A Court H.R.</w:t>
      </w:r>
      <w:r w:rsidRPr="009F1142">
        <w:rPr>
          <w:rFonts w:ascii="Cambria" w:hAnsi="Cambria"/>
          <w:i/>
          <w:sz w:val="16"/>
          <w:szCs w:val="16"/>
        </w:rPr>
        <w:t xml:space="preserve"> </w:t>
      </w:r>
      <w:r w:rsidRPr="009F1142">
        <w:rPr>
          <w:rFonts w:ascii="Cambria" w:hAnsi="Cambria"/>
          <w:bCs/>
          <w:i/>
          <w:sz w:val="16"/>
          <w:szCs w:val="16"/>
        </w:rPr>
        <w:t xml:space="preserve">Case of Manuel </w:t>
      </w:r>
      <w:proofErr w:type="spellStart"/>
      <w:r w:rsidRPr="009F1142">
        <w:rPr>
          <w:rFonts w:ascii="Cambria" w:hAnsi="Cambria"/>
          <w:bCs/>
          <w:i/>
          <w:sz w:val="16"/>
          <w:szCs w:val="16"/>
        </w:rPr>
        <w:t>Cepeda</w:t>
      </w:r>
      <w:proofErr w:type="spellEnd"/>
      <w:r w:rsidRPr="009F1142">
        <w:rPr>
          <w:rFonts w:ascii="Cambria" w:hAnsi="Cambria"/>
          <w:bCs/>
          <w:i/>
          <w:sz w:val="16"/>
          <w:szCs w:val="16"/>
        </w:rPr>
        <w:t xml:space="preserve"> Vargas v. Colombia.</w:t>
      </w:r>
      <w:r w:rsidRPr="009F1142">
        <w:rPr>
          <w:rFonts w:ascii="Cambria" w:hAnsi="Cambria"/>
          <w:b/>
          <w:bCs/>
          <w:sz w:val="16"/>
          <w:szCs w:val="16"/>
        </w:rPr>
        <w:t xml:space="preserve"> </w:t>
      </w:r>
      <w:r w:rsidRPr="009F1142">
        <w:rPr>
          <w:rFonts w:ascii="Cambria" w:hAnsi="Cambria"/>
          <w:sz w:val="16"/>
          <w:szCs w:val="16"/>
        </w:rPr>
        <w:t>Preliminary Objections, Merits, Reparations and Costs. Judgment of May 26, 2010. Series C, No. 213.</w:t>
      </w:r>
    </w:p>
  </w:footnote>
  <w:footnote w:id="19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rPr>
        <w:t xml:space="preserve">Case of </w:t>
      </w:r>
      <w:proofErr w:type="spellStart"/>
      <w:r w:rsidRPr="009F1142">
        <w:rPr>
          <w:rFonts w:ascii="Cambria" w:hAnsi="Cambria"/>
          <w:i/>
          <w:color w:val="auto"/>
          <w:sz w:val="16"/>
          <w:szCs w:val="16"/>
        </w:rPr>
        <w:t>Vélez</w:t>
      </w:r>
      <w:proofErr w:type="spellEnd"/>
      <w:r w:rsidRPr="009F1142">
        <w:rPr>
          <w:rFonts w:ascii="Cambria" w:hAnsi="Cambria"/>
          <w:i/>
          <w:color w:val="auto"/>
          <w:sz w:val="16"/>
          <w:szCs w:val="16"/>
        </w:rPr>
        <w:t xml:space="preserve"> </w:t>
      </w:r>
      <w:proofErr w:type="spellStart"/>
      <w:r w:rsidRPr="009F1142">
        <w:rPr>
          <w:rFonts w:ascii="Cambria" w:hAnsi="Cambria"/>
          <w:i/>
          <w:color w:val="auto"/>
          <w:sz w:val="16"/>
          <w:szCs w:val="16"/>
        </w:rPr>
        <w:t>Restrepo</w:t>
      </w:r>
      <w:proofErr w:type="spellEnd"/>
      <w:r w:rsidRPr="009F1142">
        <w:rPr>
          <w:rFonts w:ascii="Cambria" w:hAnsi="Cambria"/>
          <w:i/>
          <w:color w:val="auto"/>
          <w:sz w:val="16"/>
          <w:szCs w:val="16"/>
        </w:rPr>
        <w:t xml:space="preserve"> and Family v. Colombia</w:t>
      </w:r>
      <w:r w:rsidRPr="009F1142">
        <w:rPr>
          <w:rFonts w:ascii="Cambria" w:hAnsi="Cambria"/>
          <w:color w:val="auto"/>
          <w:sz w:val="16"/>
          <w:szCs w:val="16"/>
        </w:rPr>
        <w:t xml:space="preserve">. Merits, Reparations and Costs. Judgment of September 3, 2012. Series C, No. 248. para. 220; and 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Carvajal</w:t>
      </w:r>
      <w:proofErr w:type="spellEnd"/>
      <w:r w:rsidRPr="009F1142">
        <w:rPr>
          <w:rFonts w:ascii="Cambria" w:hAnsi="Cambria"/>
          <w:i/>
          <w:color w:val="auto"/>
          <w:sz w:val="16"/>
          <w:szCs w:val="16"/>
          <w:lang w:eastAsia="x-none"/>
        </w:rPr>
        <w:t xml:space="preserve"> et al. v. Colombia.</w:t>
      </w:r>
      <w:r w:rsidRPr="009F1142">
        <w:rPr>
          <w:rFonts w:ascii="Cambria" w:hAnsi="Cambria"/>
          <w:color w:val="auto"/>
          <w:sz w:val="16"/>
          <w:szCs w:val="16"/>
          <w:lang w:eastAsia="x-none"/>
        </w:rPr>
        <w:t xml:space="preserve"> Merits, Reparations and Costs. Judgment of March 13, 2018.</w:t>
      </w:r>
    </w:p>
  </w:footnote>
  <w:footnote w:id="200">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Vélez</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Restrepo</w:t>
      </w:r>
      <w:proofErr w:type="spellEnd"/>
      <w:r w:rsidRPr="009F1142">
        <w:rPr>
          <w:rFonts w:ascii="Cambria" w:hAnsi="Cambria"/>
          <w:i/>
          <w:color w:val="auto"/>
          <w:sz w:val="16"/>
          <w:szCs w:val="16"/>
          <w:lang w:eastAsia="x-none"/>
        </w:rPr>
        <w:t xml:space="preserve"> and Family v. Colombia. </w:t>
      </w:r>
      <w:r w:rsidRPr="009F1142">
        <w:rPr>
          <w:rFonts w:ascii="Cambria" w:hAnsi="Cambria"/>
          <w:color w:val="auto"/>
          <w:sz w:val="16"/>
          <w:szCs w:val="16"/>
          <w:lang w:eastAsia="x-none"/>
        </w:rPr>
        <w:t>Preliminary Objection, Merits, Reparations and Costs. Judgment of September 3, 2012. Series C, No. 248. Para. 215.</w:t>
      </w:r>
    </w:p>
  </w:footnote>
  <w:footnote w:id="201">
    <w:p w:rsidR="00637A06" w:rsidRPr="00A36AE0" w:rsidRDefault="00637A06" w:rsidP="00A36AE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3"/>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Article</w:t>
      </w:r>
      <w:r w:rsidRPr="009F1142">
        <w:rPr>
          <w:rFonts w:ascii="Cambria" w:hAnsi="Cambria"/>
          <w:spacing w:val="-3"/>
          <w:sz w:val="16"/>
          <w:szCs w:val="16"/>
        </w:rPr>
        <w:t xml:space="preserve"> 8.1 of the American Convention establishes that: “</w:t>
      </w:r>
      <w:r w:rsidRPr="009F1142">
        <w:rPr>
          <w:rFonts w:ascii="Cambria" w:hAnsi="Cambria"/>
          <w:color w:val="000000"/>
          <w:sz w:val="16"/>
          <w:szCs w:val="16"/>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202">
    <w:p w:rsidR="00637A06" w:rsidRPr="00A36AE0" w:rsidRDefault="00637A06" w:rsidP="00A36AE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Cambria"/>
          <w:sz w:val="16"/>
          <w:szCs w:val="16"/>
          <w:u w:color="000000"/>
          <w:lang w:eastAsia="es-ES"/>
        </w:rPr>
      </w:pPr>
      <w:r w:rsidRPr="009F1142">
        <w:rPr>
          <w:rStyle w:val="FootnoteReference"/>
          <w:rFonts w:ascii="Cambria" w:hAnsi="Cambria"/>
          <w:sz w:val="16"/>
          <w:szCs w:val="16"/>
        </w:rPr>
        <w:footnoteRef/>
      </w:r>
      <w:r w:rsidRPr="009F1142">
        <w:rPr>
          <w:rFonts w:ascii="Cambria" w:hAnsi="Cambria"/>
          <w:sz w:val="16"/>
          <w:szCs w:val="16"/>
        </w:rPr>
        <w:t xml:space="preserve"> Article</w:t>
      </w:r>
      <w:r w:rsidRPr="009F1142">
        <w:rPr>
          <w:rFonts w:ascii="Cambria" w:hAnsi="Cambria"/>
          <w:spacing w:val="-3"/>
          <w:sz w:val="16"/>
          <w:szCs w:val="16"/>
        </w:rPr>
        <w:t xml:space="preserve"> 25.1 of the American Convention establishes that: “</w:t>
      </w:r>
      <w:r w:rsidRPr="009F1142">
        <w:rPr>
          <w:rFonts w:ascii="Cambria" w:hAnsi="Cambria"/>
          <w:color w:val="000000"/>
          <w:sz w:val="16"/>
          <w:szCs w:val="16"/>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9F1142">
        <w:rPr>
          <w:rFonts w:ascii="Cambria" w:hAnsi="Cambria"/>
          <w:spacing w:val="-3"/>
          <w:sz w:val="16"/>
          <w:szCs w:val="16"/>
        </w:rPr>
        <w:t>.</w:t>
      </w:r>
    </w:p>
  </w:footnote>
  <w:footnote w:id="203">
    <w:p w:rsidR="00637A06" w:rsidRPr="009F1142" w:rsidRDefault="00637A06" w:rsidP="009F11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Articles 1, 6 and 8 of the </w:t>
      </w:r>
      <w:r w:rsidRPr="009F1142">
        <w:rPr>
          <w:rFonts w:ascii="Cambria" w:hAnsi="Cambria" w:cs="Tahoma"/>
          <w:sz w:val="16"/>
          <w:szCs w:val="16"/>
        </w:rPr>
        <w:t>Inter-American Convention to Prevent and Punish Torture</w:t>
      </w:r>
      <w:r w:rsidRPr="009F1142">
        <w:rPr>
          <w:rFonts w:ascii="Cambria" w:hAnsi="Cambria"/>
          <w:sz w:val="16"/>
          <w:szCs w:val="16"/>
        </w:rPr>
        <w:t xml:space="preserve"> establish that: “</w:t>
      </w:r>
      <w:r w:rsidRPr="009F1142">
        <w:rPr>
          <w:rFonts w:ascii="Cambria" w:hAnsi="Cambria" w:cs="Verdana"/>
          <w:kern w:val="1"/>
          <w:sz w:val="16"/>
          <w:szCs w:val="16"/>
          <w:lang w:bidi="en-US"/>
        </w:rPr>
        <w:t>Article 1.</w:t>
      </w:r>
      <w:r w:rsidRPr="009F1142">
        <w:rPr>
          <w:rFonts w:ascii="Cambria" w:hAnsi="Cambria" w:cs="Verdana"/>
          <w:spacing w:val="-4"/>
          <w:kern w:val="1"/>
          <w:sz w:val="16"/>
          <w:szCs w:val="16"/>
          <w:lang w:bidi="en-US"/>
        </w:rPr>
        <w:t xml:space="preserve"> </w:t>
      </w:r>
      <w:r w:rsidRPr="009F1142">
        <w:rPr>
          <w:rFonts w:ascii="Cambria" w:hAnsi="Cambria" w:cs="Tahoma"/>
          <w:sz w:val="16"/>
          <w:szCs w:val="16"/>
          <w:lang w:eastAsia="pt-BR"/>
        </w:rPr>
        <w:t>The State Parties undertake to prevent and punish torture in accordance with the terms of this Convention”</w:t>
      </w:r>
      <w:r w:rsidRPr="009F1142">
        <w:rPr>
          <w:rFonts w:ascii="Cambria" w:hAnsi="Cambria" w:cs="Verdana"/>
          <w:spacing w:val="-4"/>
          <w:kern w:val="1"/>
          <w:sz w:val="16"/>
          <w:szCs w:val="16"/>
          <w:lang w:bidi="en-US"/>
        </w:rPr>
        <w:t>. “</w:t>
      </w:r>
      <w:r w:rsidRPr="009F1142">
        <w:rPr>
          <w:rFonts w:ascii="Cambria" w:hAnsi="Cambria"/>
          <w:sz w:val="16"/>
          <w:szCs w:val="16"/>
        </w:rPr>
        <w:t xml:space="preserve">Article 6. […] </w:t>
      </w:r>
      <w:r w:rsidRPr="009F1142">
        <w:rPr>
          <w:rFonts w:ascii="Cambria" w:hAnsi="Cambria" w:cs="Tahoma"/>
          <w:sz w:val="16"/>
          <w:szCs w:val="16"/>
          <w:lang w:eastAsia="pt-BR"/>
        </w:rPr>
        <w:t>The States Parties shall ensure that all acts of torture and attempts to commit torture are offenses under their criminal law and shall make such acts punishable by severe penalties that take into account their serious nature</w:t>
      </w:r>
      <w:r w:rsidRPr="009F1142">
        <w:rPr>
          <w:rFonts w:ascii="Cambria" w:hAnsi="Cambria"/>
          <w:sz w:val="16"/>
          <w:szCs w:val="16"/>
        </w:rPr>
        <w:t xml:space="preserve">. </w:t>
      </w:r>
      <w:r w:rsidRPr="009F1142">
        <w:rPr>
          <w:rFonts w:ascii="Cambria" w:hAnsi="Cambria" w:cs="Tahoma"/>
          <w:sz w:val="16"/>
          <w:szCs w:val="16"/>
          <w:lang w:eastAsia="pt-BR"/>
        </w:rPr>
        <w:t>The States Parties likewise shall take effective measures to prevent and punish other cruel, inhuman, or degrading treatment or punishment within their jurisdiction</w:t>
      </w:r>
      <w:r w:rsidRPr="009F1142">
        <w:rPr>
          <w:rFonts w:ascii="Cambria" w:hAnsi="Cambria"/>
          <w:sz w:val="16"/>
          <w:szCs w:val="16"/>
          <w:lang w:eastAsia="pt-BR"/>
        </w:rPr>
        <w:t>”</w:t>
      </w:r>
      <w:r w:rsidRPr="009F1142">
        <w:rPr>
          <w:rFonts w:ascii="Cambria" w:hAnsi="Cambria"/>
          <w:sz w:val="16"/>
          <w:szCs w:val="16"/>
        </w:rPr>
        <w:t xml:space="preserve">. “Article 8. </w:t>
      </w:r>
      <w:r w:rsidRPr="009F1142">
        <w:rPr>
          <w:rFonts w:ascii="Cambria" w:hAnsi="Cambria" w:cs="Tahoma"/>
          <w:sz w:val="16"/>
          <w:szCs w:val="16"/>
          <w:lang w:eastAsia="pt-BR"/>
        </w:rPr>
        <w:t>The States Parties shall guarantee that any person making an accusation of having been subjected to torture within their jurisdiction shall have the right to an impartial examination of his case</w:t>
      </w:r>
      <w:r w:rsidRPr="009F1142">
        <w:rPr>
          <w:rFonts w:ascii="Cambria" w:hAnsi="Cambria"/>
          <w:sz w:val="16"/>
          <w:szCs w:val="16"/>
        </w:rPr>
        <w:t xml:space="preserve">. </w:t>
      </w:r>
      <w:r w:rsidRPr="009F1142">
        <w:rPr>
          <w:rFonts w:ascii="Cambria" w:hAnsi="Cambria" w:cs="Tahoma"/>
          <w:sz w:val="16"/>
          <w:szCs w:val="16"/>
          <w:lang w:eastAsia="pt-BR"/>
        </w:rPr>
        <w:t>Likewise, 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w:t>
      </w:r>
      <w:r w:rsidRPr="009F1142">
        <w:rPr>
          <w:rFonts w:ascii="Cambria" w:hAnsi="Cambria"/>
          <w:sz w:val="16"/>
          <w:szCs w:val="16"/>
        </w:rPr>
        <w:t xml:space="preserve">. </w:t>
      </w:r>
      <w:r w:rsidRPr="009F1142">
        <w:rPr>
          <w:rFonts w:ascii="Cambria" w:hAnsi="Cambria" w:cs="Tahoma"/>
          <w:sz w:val="16"/>
          <w:szCs w:val="16"/>
          <w:lang w:eastAsia="pt-BR"/>
        </w:rPr>
        <w:t>After all the domestic legal procedures of the respective State and the corresponding appeals have been exhausted, the case may be submitted to the international fora whose competence has been recognized by that State</w:t>
      </w:r>
      <w:r w:rsidRPr="009F1142">
        <w:rPr>
          <w:rFonts w:ascii="Cambria" w:hAnsi="Cambria"/>
          <w:sz w:val="16"/>
          <w:szCs w:val="16"/>
          <w:lang w:eastAsia="pt-BR"/>
        </w:rPr>
        <w:t>”</w:t>
      </w:r>
      <w:r w:rsidRPr="009F1142">
        <w:rPr>
          <w:rFonts w:ascii="Cambria" w:hAnsi="Cambria"/>
          <w:sz w:val="16"/>
          <w:szCs w:val="16"/>
        </w:rPr>
        <w:t>.</w:t>
      </w:r>
    </w:p>
  </w:footnote>
  <w:footnote w:id="204">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rPr>
        <w:t>Case of the “</w:t>
      </w:r>
      <w:proofErr w:type="spellStart"/>
      <w:r w:rsidRPr="009F1142">
        <w:rPr>
          <w:rFonts w:ascii="Cambria" w:hAnsi="Cambria"/>
          <w:i/>
          <w:color w:val="auto"/>
          <w:sz w:val="16"/>
          <w:szCs w:val="16"/>
        </w:rPr>
        <w:t>Mapiripán</w:t>
      </w:r>
      <w:proofErr w:type="spellEnd"/>
      <w:r w:rsidRPr="009F1142">
        <w:rPr>
          <w:rFonts w:ascii="Cambria" w:hAnsi="Cambria"/>
          <w:i/>
          <w:color w:val="auto"/>
          <w:sz w:val="16"/>
          <w:szCs w:val="16"/>
        </w:rPr>
        <w:t xml:space="preserve"> Massacre” v. Colombia</w:t>
      </w:r>
      <w:r w:rsidRPr="009F1142">
        <w:rPr>
          <w:rFonts w:ascii="Cambria" w:hAnsi="Cambria"/>
          <w:i/>
          <w:iCs/>
          <w:color w:val="auto"/>
          <w:sz w:val="16"/>
          <w:szCs w:val="16"/>
          <w:lang w:eastAsia="x-none"/>
        </w:rPr>
        <w:t xml:space="preserve">. </w:t>
      </w:r>
      <w:r w:rsidRPr="009F1142">
        <w:rPr>
          <w:rFonts w:ascii="Cambria" w:hAnsi="Cambria"/>
          <w:iCs/>
          <w:color w:val="auto"/>
          <w:sz w:val="16"/>
          <w:szCs w:val="16"/>
          <w:lang w:eastAsia="x-none"/>
        </w:rPr>
        <w:t xml:space="preserve">Merits, Reparations and Costs. Judgment of </w:t>
      </w:r>
      <w:r w:rsidRPr="009F1142">
        <w:rPr>
          <w:rFonts w:ascii="Cambria" w:hAnsi="Cambria"/>
          <w:color w:val="auto"/>
          <w:sz w:val="16"/>
          <w:szCs w:val="16"/>
          <w:lang w:eastAsia="x-none"/>
        </w:rPr>
        <w:t xml:space="preserve">September 15, 2005. Series C, No. 134. Para. 219; I/A Court H.R. </w:t>
      </w:r>
      <w:r w:rsidRPr="009F1142">
        <w:rPr>
          <w:rFonts w:ascii="Cambria" w:hAnsi="Cambria"/>
          <w:i/>
          <w:iCs/>
          <w:color w:val="auto"/>
          <w:sz w:val="16"/>
          <w:szCs w:val="16"/>
          <w:lang w:eastAsia="x-none"/>
        </w:rPr>
        <w:t xml:space="preserve">Case of the </w:t>
      </w:r>
      <w:proofErr w:type="spellStart"/>
      <w:r w:rsidRPr="009F1142">
        <w:rPr>
          <w:rFonts w:ascii="Cambria" w:hAnsi="Cambria"/>
          <w:i/>
          <w:iCs/>
          <w:color w:val="auto"/>
          <w:sz w:val="16"/>
          <w:szCs w:val="16"/>
          <w:lang w:eastAsia="x-none"/>
        </w:rPr>
        <w:t>Moiwana</w:t>
      </w:r>
      <w:proofErr w:type="spellEnd"/>
      <w:r w:rsidRPr="009F1142">
        <w:rPr>
          <w:rFonts w:ascii="Cambria" w:hAnsi="Cambria"/>
          <w:i/>
          <w:iCs/>
          <w:color w:val="auto"/>
          <w:sz w:val="16"/>
          <w:szCs w:val="16"/>
          <w:lang w:eastAsia="x-none"/>
        </w:rPr>
        <w:t xml:space="preserve"> Community v. Suriname. </w:t>
      </w:r>
      <w:r w:rsidRPr="009F1142">
        <w:rPr>
          <w:rFonts w:ascii="Cambria" w:hAnsi="Cambria"/>
          <w:iCs/>
          <w:color w:val="auto"/>
          <w:sz w:val="16"/>
          <w:szCs w:val="16"/>
          <w:lang w:eastAsia="x-none"/>
        </w:rPr>
        <w:t xml:space="preserve">Preliminary Objections, Merits, Reparations and Costs. Judgment of </w:t>
      </w:r>
      <w:r w:rsidRPr="009F1142">
        <w:rPr>
          <w:rFonts w:ascii="Cambria" w:hAnsi="Cambria"/>
          <w:color w:val="auto"/>
          <w:sz w:val="16"/>
          <w:szCs w:val="16"/>
          <w:lang w:eastAsia="x-none"/>
        </w:rPr>
        <w:t xml:space="preserve">June 15, 2005. Series C, No. 124. Para. 147; I/A Court H.R. </w:t>
      </w:r>
      <w:r w:rsidRPr="009F1142">
        <w:rPr>
          <w:rFonts w:ascii="Cambria" w:hAnsi="Cambria"/>
          <w:i/>
          <w:iCs/>
          <w:color w:val="auto"/>
          <w:sz w:val="16"/>
          <w:szCs w:val="16"/>
          <w:lang w:eastAsia="x-none"/>
        </w:rPr>
        <w:t xml:space="preserve">Case of the Serrano Cruz Sisters v. El Salvador. </w:t>
      </w:r>
      <w:r w:rsidRPr="009F1142">
        <w:rPr>
          <w:rFonts w:ascii="Cambria" w:hAnsi="Cambria"/>
          <w:iCs/>
          <w:color w:val="auto"/>
          <w:sz w:val="16"/>
          <w:szCs w:val="16"/>
          <w:lang w:eastAsia="x-none"/>
        </w:rPr>
        <w:t xml:space="preserve">Merits, Reparations and Costs. Judgment of </w:t>
      </w:r>
      <w:r w:rsidRPr="009F1142">
        <w:rPr>
          <w:rFonts w:ascii="Cambria" w:hAnsi="Cambria"/>
          <w:color w:val="auto"/>
          <w:sz w:val="16"/>
          <w:szCs w:val="16"/>
          <w:lang w:eastAsia="x-none"/>
        </w:rPr>
        <w:t>March 1, 2005. Series C, No. 120. Para. 63.</w:t>
      </w:r>
    </w:p>
  </w:footnote>
  <w:footnote w:id="205">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Kawas</w:t>
      </w:r>
      <w:proofErr w:type="spellEnd"/>
      <w:r w:rsidRPr="009F1142">
        <w:rPr>
          <w:rFonts w:ascii="Cambria" w:hAnsi="Cambria"/>
          <w:i/>
          <w:color w:val="auto"/>
          <w:sz w:val="16"/>
          <w:szCs w:val="16"/>
          <w:lang w:eastAsia="x-none"/>
        </w:rPr>
        <w:t xml:space="preserve"> Fernández v. Honduras</w:t>
      </w:r>
      <w:r w:rsidRPr="009F1142">
        <w:rPr>
          <w:rFonts w:ascii="Cambria" w:hAnsi="Cambria"/>
          <w:color w:val="auto"/>
          <w:sz w:val="16"/>
          <w:szCs w:val="16"/>
          <w:lang w:eastAsia="x-none"/>
        </w:rPr>
        <w:t>. Merits, Reparations and Costs. Judgment of April 3, 2009. Series C, No. 134. Para. 75.</w:t>
      </w:r>
    </w:p>
  </w:footnote>
  <w:footnote w:id="20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rPr>
        <w:t>Case of Human Rights Defender et al. v. Guatemala</w:t>
      </w:r>
      <w:r w:rsidRPr="009F1142">
        <w:rPr>
          <w:rFonts w:ascii="Cambria" w:hAnsi="Cambria"/>
          <w:color w:val="auto"/>
          <w:sz w:val="16"/>
          <w:szCs w:val="16"/>
        </w:rPr>
        <w:t>. Preliminary Objections, Merits, Reparations and Costs. Judgment of August 28, 2014. Series C, No. 283, para. 199.</w:t>
      </w:r>
    </w:p>
  </w:footnote>
  <w:footnote w:id="20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Style w:val="Strong"/>
          <w:rFonts w:ascii="Cambria" w:hAnsi="Cambria"/>
          <w:b w:val="0"/>
          <w:color w:val="auto"/>
          <w:sz w:val="16"/>
          <w:szCs w:val="16"/>
          <w:shd w:val="clear" w:color="auto" w:fill="FFFFFF"/>
        </w:rPr>
        <w:t xml:space="preserve">I/A Court H.R. </w:t>
      </w:r>
      <w:r w:rsidRPr="009F1142">
        <w:rPr>
          <w:rStyle w:val="Strong"/>
          <w:rFonts w:ascii="Cambria" w:hAnsi="Cambria"/>
          <w:b w:val="0"/>
          <w:i/>
          <w:color w:val="auto"/>
          <w:sz w:val="16"/>
          <w:szCs w:val="16"/>
          <w:shd w:val="clear" w:color="auto" w:fill="FFFFFF"/>
        </w:rPr>
        <w:t xml:space="preserve">Case of Espinoza </w:t>
      </w:r>
      <w:proofErr w:type="spellStart"/>
      <w:r w:rsidRPr="009F1142">
        <w:rPr>
          <w:rStyle w:val="Strong"/>
          <w:rFonts w:ascii="Cambria" w:hAnsi="Cambria"/>
          <w:b w:val="0"/>
          <w:i/>
          <w:color w:val="auto"/>
          <w:sz w:val="16"/>
          <w:szCs w:val="16"/>
          <w:shd w:val="clear" w:color="auto" w:fill="FFFFFF"/>
        </w:rPr>
        <w:t>Gonzáles</w:t>
      </w:r>
      <w:proofErr w:type="spellEnd"/>
      <w:r w:rsidRPr="009F1142">
        <w:rPr>
          <w:rStyle w:val="Strong"/>
          <w:rFonts w:ascii="Cambria" w:hAnsi="Cambria"/>
          <w:b w:val="0"/>
          <w:i/>
          <w:color w:val="auto"/>
          <w:sz w:val="16"/>
          <w:szCs w:val="16"/>
          <w:shd w:val="clear" w:color="auto" w:fill="FFFFFF"/>
        </w:rPr>
        <w:t xml:space="preserve"> v. Peru</w:t>
      </w:r>
      <w:r w:rsidRPr="009F1142">
        <w:rPr>
          <w:rStyle w:val="Strong"/>
          <w:rFonts w:ascii="Cambria" w:hAnsi="Cambria"/>
          <w:b w:val="0"/>
          <w:color w:val="auto"/>
          <w:sz w:val="16"/>
          <w:szCs w:val="16"/>
          <w:shd w:val="clear" w:color="auto" w:fill="FFFFFF"/>
        </w:rPr>
        <w:t>. Preliminary Objections, Merits, Reparations and Costs. Judgment of November 20, 2014. Series C, No. 289, para. 237.</w:t>
      </w:r>
    </w:p>
  </w:footnote>
  <w:footnote w:id="20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rPr>
        <w:t>Case of Human Rights Defender et al. v. Guatemala</w:t>
      </w:r>
      <w:r w:rsidRPr="009F1142">
        <w:rPr>
          <w:rFonts w:ascii="Cambria" w:hAnsi="Cambria"/>
          <w:color w:val="auto"/>
          <w:sz w:val="16"/>
          <w:szCs w:val="16"/>
        </w:rPr>
        <w:t>. Preliminary Objections, Merits, Reparations and Costs. Judgment of August 28, 2014. Series C, No. 283, para. 199.</w:t>
      </w:r>
    </w:p>
  </w:footnote>
  <w:footnote w:id="20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Style w:val="Strong"/>
          <w:rFonts w:ascii="Cambria" w:hAnsi="Cambria"/>
          <w:b w:val="0"/>
          <w:color w:val="auto"/>
          <w:sz w:val="16"/>
          <w:szCs w:val="16"/>
          <w:shd w:val="clear" w:color="auto" w:fill="FFFFFF"/>
        </w:rPr>
        <w:t xml:space="preserve">I/A Court H.R. </w:t>
      </w:r>
      <w:r w:rsidRPr="009F1142">
        <w:rPr>
          <w:rStyle w:val="Strong"/>
          <w:rFonts w:ascii="Cambria" w:hAnsi="Cambria"/>
          <w:b w:val="0"/>
          <w:i/>
          <w:color w:val="auto"/>
          <w:sz w:val="16"/>
          <w:szCs w:val="16"/>
          <w:shd w:val="clear" w:color="auto" w:fill="FFFFFF"/>
        </w:rPr>
        <w:t xml:space="preserve">Case of </w:t>
      </w:r>
      <w:proofErr w:type="spellStart"/>
      <w:r w:rsidRPr="009F1142">
        <w:rPr>
          <w:rStyle w:val="Strong"/>
          <w:rFonts w:ascii="Cambria" w:hAnsi="Cambria"/>
          <w:b w:val="0"/>
          <w:i/>
          <w:color w:val="auto"/>
          <w:sz w:val="16"/>
          <w:szCs w:val="16"/>
          <w:shd w:val="clear" w:color="auto" w:fill="FFFFFF"/>
        </w:rPr>
        <w:t>Chitay</w:t>
      </w:r>
      <w:proofErr w:type="spellEnd"/>
      <w:r w:rsidRPr="009F1142">
        <w:rPr>
          <w:rStyle w:val="Strong"/>
          <w:rFonts w:ascii="Cambria" w:hAnsi="Cambria"/>
          <w:b w:val="0"/>
          <w:i/>
          <w:color w:val="auto"/>
          <w:sz w:val="16"/>
          <w:szCs w:val="16"/>
          <w:shd w:val="clear" w:color="auto" w:fill="FFFFFF"/>
        </w:rPr>
        <w:t xml:space="preserve"> </w:t>
      </w:r>
      <w:proofErr w:type="spellStart"/>
      <w:r w:rsidRPr="009F1142">
        <w:rPr>
          <w:rStyle w:val="Strong"/>
          <w:rFonts w:ascii="Cambria" w:hAnsi="Cambria"/>
          <w:b w:val="0"/>
          <w:i/>
          <w:color w:val="auto"/>
          <w:sz w:val="16"/>
          <w:szCs w:val="16"/>
          <w:shd w:val="clear" w:color="auto" w:fill="FFFFFF"/>
        </w:rPr>
        <w:t>Nech</w:t>
      </w:r>
      <w:proofErr w:type="spellEnd"/>
      <w:r w:rsidRPr="009F1142">
        <w:rPr>
          <w:rStyle w:val="Strong"/>
          <w:rFonts w:ascii="Cambria" w:hAnsi="Cambria"/>
          <w:b w:val="0"/>
          <w:i/>
          <w:color w:val="auto"/>
          <w:sz w:val="16"/>
          <w:szCs w:val="16"/>
          <w:shd w:val="clear" w:color="auto" w:fill="FFFFFF"/>
        </w:rPr>
        <w:t xml:space="preserve"> et al. v. Guatemala</w:t>
      </w:r>
      <w:r w:rsidRPr="009F1142">
        <w:rPr>
          <w:rStyle w:val="Strong"/>
          <w:rFonts w:ascii="Cambria" w:hAnsi="Cambria"/>
          <w:b w:val="0"/>
          <w:color w:val="auto"/>
          <w:sz w:val="16"/>
          <w:szCs w:val="16"/>
          <w:shd w:val="clear" w:color="auto" w:fill="FFFFFF"/>
        </w:rPr>
        <w:t>. Preliminary Objections, Merits, Reparations and Costs. Judgment of May 25, 2010. Series C, No. 212, para. 192.</w:t>
      </w:r>
    </w:p>
  </w:footnote>
  <w:footnote w:id="21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rPr>
        <w:t>Case of Juan Humberto Sánchez v. Honduras</w:t>
      </w:r>
      <w:r w:rsidRPr="009F1142">
        <w:rPr>
          <w:rFonts w:ascii="Cambria" w:hAnsi="Cambria"/>
          <w:color w:val="auto"/>
          <w:sz w:val="16"/>
          <w:szCs w:val="16"/>
        </w:rPr>
        <w:t>. Preliminary Objection, Merits, Reparations and Costs. Judgment of June 7, 2003. Series C, No. 99, para. 127.</w:t>
      </w:r>
    </w:p>
  </w:footnote>
  <w:footnote w:id="211">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iCs/>
          <w:color w:val="auto"/>
          <w:sz w:val="16"/>
          <w:szCs w:val="16"/>
          <w:lang w:eastAsia="x-none"/>
        </w:rPr>
        <w:t xml:space="preserve">Case of </w:t>
      </w:r>
      <w:proofErr w:type="spellStart"/>
      <w:r w:rsidRPr="009F1142">
        <w:rPr>
          <w:rFonts w:ascii="Cambria" w:hAnsi="Cambria"/>
          <w:i/>
          <w:iCs/>
          <w:color w:val="auto"/>
          <w:sz w:val="16"/>
          <w:szCs w:val="16"/>
          <w:lang w:eastAsia="x-none"/>
        </w:rPr>
        <w:t>Vélez</w:t>
      </w:r>
      <w:proofErr w:type="spellEnd"/>
      <w:r w:rsidRPr="009F1142">
        <w:rPr>
          <w:rFonts w:ascii="Cambria" w:hAnsi="Cambria"/>
          <w:i/>
          <w:iCs/>
          <w:color w:val="auto"/>
          <w:sz w:val="16"/>
          <w:szCs w:val="16"/>
          <w:lang w:eastAsia="x-none"/>
        </w:rPr>
        <w:t xml:space="preserve"> </w:t>
      </w:r>
      <w:proofErr w:type="spellStart"/>
      <w:r w:rsidRPr="009F1142">
        <w:rPr>
          <w:rFonts w:ascii="Cambria" w:hAnsi="Cambria"/>
          <w:i/>
          <w:iCs/>
          <w:color w:val="auto"/>
          <w:sz w:val="16"/>
          <w:szCs w:val="16"/>
          <w:lang w:eastAsia="x-none"/>
        </w:rPr>
        <w:t>Restrepo</w:t>
      </w:r>
      <w:proofErr w:type="spellEnd"/>
      <w:r w:rsidRPr="009F1142">
        <w:rPr>
          <w:rFonts w:ascii="Cambria" w:hAnsi="Cambria"/>
          <w:i/>
          <w:iCs/>
          <w:color w:val="auto"/>
          <w:sz w:val="16"/>
          <w:szCs w:val="16"/>
          <w:lang w:eastAsia="x-none"/>
        </w:rPr>
        <w:t xml:space="preserve"> and Family v. Colombia. </w:t>
      </w:r>
      <w:r w:rsidRPr="009F1142">
        <w:rPr>
          <w:rFonts w:ascii="Cambria" w:hAnsi="Cambria"/>
          <w:iCs/>
          <w:color w:val="auto"/>
          <w:sz w:val="16"/>
          <w:szCs w:val="16"/>
          <w:lang w:eastAsia="x-none"/>
        </w:rPr>
        <w:t xml:space="preserve">Preliminary Objection, Merits, Reparations and Costs. Judgment of </w:t>
      </w:r>
      <w:r w:rsidRPr="009F1142">
        <w:rPr>
          <w:rFonts w:ascii="Cambria" w:hAnsi="Cambria"/>
          <w:color w:val="auto"/>
          <w:sz w:val="16"/>
          <w:szCs w:val="16"/>
          <w:lang w:eastAsia="x-none"/>
        </w:rPr>
        <w:t xml:space="preserve">September 3, 2012. Series C, No. 248. Para. 148; IACHR. Report No. 136/10. Case 12.658. Luis Gonzalo “Richard” </w:t>
      </w:r>
      <w:proofErr w:type="spellStart"/>
      <w:r w:rsidRPr="009F1142">
        <w:rPr>
          <w:rFonts w:ascii="Cambria" w:hAnsi="Cambria"/>
          <w:color w:val="auto"/>
          <w:sz w:val="16"/>
          <w:szCs w:val="16"/>
          <w:lang w:eastAsia="x-none"/>
        </w:rPr>
        <w:t>Vélez</w:t>
      </w:r>
      <w:proofErr w:type="spellEnd"/>
      <w:r w:rsidRPr="009F1142">
        <w:rPr>
          <w:rFonts w:ascii="Cambria" w:hAnsi="Cambria"/>
          <w:color w:val="auto"/>
          <w:sz w:val="16"/>
          <w:szCs w:val="16"/>
          <w:lang w:eastAsia="x-none"/>
        </w:rPr>
        <w:t xml:space="preserve"> </w:t>
      </w:r>
      <w:proofErr w:type="spellStart"/>
      <w:r w:rsidRPr="009F1142">
        <w:rPr>
          <w:rFonts w:ascii="Cambria" w:hAnsi="Cambria"/>
          <w:color w:val="auto"/>
          <w:sz w:val="16"/>
          <w:szCs w:val="16"/>
          <w:lang w:eastAsia="x-none"/>
        </w:rPr>
        <w:t>Restrepo</w:t>
      </w:r>
      <w:proofErr w:type="spellEnd"/>
      <w:r w:rsidRPr="009F1142">
        <w:rPr>
          <w:rFonts w:ascii="Cambria" w:hAnsi="Cambria"/>
          <w:color w:val="auto"/>
          <w:sz w:val="16"/>
          <w:szCs w:val="16"/>
          <w:lang w:eastAsia="x-none"/>
        </w:rPr>
        <w:t xml:space="preserve"> and Family (Colombia)</w:t>
      </w:r>
      <w:r w:rsidRPr="009F1142">
        <w:rPr>
          <w:rFonts w:ascii="Cambria" w:hAnsi="Cambria"/>
          <w:iCs/>
          <w:color w:val="auto"/>
          <w:sz w:val="16"/>
          <w:szCs w:val="16"/>
          <w:lang w:eastAsia="x-none"/>
        </w:rPr>
        <w:t>. October 23, 2010</w:t>
      </w:r>
      <w:r w:rsidRPr="009F1142">
        <w:rPr>
          <w:rFonts w:ascii="Cambria" w:hAnsi="Cambria"/>
          <w:color w:val="auto"/>
          <w:sz w:val="16"/>
          <w:szCs w:val="16"/>
          <w:lang w:eastAsia="x-none"/>
        </w:rPr>
        <w:t xml:space="preserve">. Para. 136; IACHR. Report No. 50/99. Case 11.739. </w:t>
      </w:r>
      <w:r w:rsidRPr="009F1142">
        <w:rPr>
          <w:rFonts w:ascii="Cambria" w:hAnsi="Cambria"/>
          <w:iCs/>
          <w:color w:val="auto"/>
          <w:sz w:val="16"/>
          <w:szCs w:val="16"/>
          <w:lang w:eastAsia="x-none"/>
        </w:rPr>
        <w:t>Héctor Félix Miranda (Mexico). April 13, 1999</w:t>
      </w:r>
      <w:r w:rsidRPr="009F1142">
        <w:rPr>
          <w:rFonts w:ascii="Cambria" w:hAnsi="Cambria"/>
          <w:color w:val="auto"/>
          <w:sz w:val="16"/>
          <w:szCs w:val="16"/>
          <w:lang w:eastAsia="x-none"/>
        </w:rPr>
        <w:t xml:space="preserve">. Para. 52; IACHR. Report No. 130/99. Case No. 11.740. </w:t>
      </w:r>
      <w:r w:rsidRPr="009F1142">
        <w:rPr>
          <w:rFonts w:ascii="Cambria" w:hAnsi="Cambria"/>
          <w:iCs/>
          <w:color w:val="auto"/>
          <w:sz w:val="16"/>
          <w:szCs w:val="16"/>
          <w:lang w:eastAsia="x-none"/>
        </w:rPr>
        <w:t xml:space="preserve">Víctor Manuel </w:t>
      </w:r>
      <w:proofErr w:type="spellStart"/>
      <w:r w:rsidRPr="009F1142">
        <w:rPr>
          <w:rFonts w:ascii="Cambria" w:hAnsi="Cambria"/>
          <w:iCs/>
          <w:color w:val="auto"/>
          <w:sz w:val="16"/>
          <w:szCs w:val="16"/>
          <w:lang w:eastAsia="x-none"/>
        </w:rPr>
        <w:t>Oropeza</w:t>
      </w:r>
      <w:proofErr w:type="spellEnd"/>
      <w:r w:rsidRPr="009F1142">
        <w:rPr>
          <w:rFonts w:ascii="Cambria" w:hAnsi="Cambria"/>
          <w:iCs/>
          <w:color w:val="auto"/>
          <w:sz w:val="16"/>
          <w:szCs w:val="16"/>
          <w:lang w:eastAsia="x-none"/>
        </w:rPr>
        <w:t xml:space="preserve"> (Mexico). November 19, 1999</w:t>
      </w:r>
      <w:r w:rsidRPr="009F1142">
        <w:rPr>
          <w:rFonts w:ascii="Cambria" w:hAnsi="Cambria"/>
          <w:color w:val="auto"/>
          <w:sz w:val="16"/>
          <w:szCs w:val="16"/>
          <w:lang w:eastAsia="x-none"/>
        </w:rPr>
        <w:t xml:space="preserve">. Para. 58. See also, IACHR. </w:t>
      </w:r>
      <w:hyperlink r:id="rId18" w:history="1">
        <w:r w:rsidRPr="009F1142">
          <w:rPr>
            <w:rStyle w:val="Hyperlink"/>
            <w:rFonts w:ascii="Cambria" w:hAnsi="Cambria"/>
            <w:color w:val="auto"/>
            <w:sz w:val="16"/>
            <w:szCs w:val="16"/>
            <w:lang w:eastAsia="x-none"/>
          </w:rPr>
          <w:t>Annual Report 2010. Report of the Office of the Special Rapporteur for Freedom of Expression</w:t>
        </w:r>
      </w:hyperlink>
      <w:r w:rsidRPr="009F1142">
        <w:rPr>
          <w:rFonts w:ascii="Cambria" w:hAnsi="Cambria"/>
          <w:color w:val="auto"/>
          <w:sz w:val="16"/>
          <w:szCs w:val="16"/>
          <w:lang w:eastAsia="x-none"/>
        </w:rPr>
        <w:t>. Chapter II: Mexico: 2010 Special Report on Freedom of Expression in Mexico.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/V/II. Doc. 5. March 4, 2011. Para. 716.</w:t>
      </w:r>
    </w:p>
  </w:footnote>
  <w:footnote w:id="212">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IACHR. Report No. 136/10. Case 12.658. Luis Gonzalo “Richard” </w:t>
      </w:r>
      <w:proofErr w:type="spellStart"/>
      <w:r w:rsidRPr="009F1142">
        <w:rPr>
          <w:rFonts w:ascii="Cambria" w:hAnsi="Cambria"/>
          <w:color w:val="auto"/>
          <w:sz w:val="16"/>
          <w:szCs w:val="16"/>
          <w:lang w:eastAsia="x-none"/>
        </w:rPr>
        <w:t>Vélez</w:t>
      </w:r>
      <w:proofErr w:type="spellEnd"/>
      <w:r w:rsidRPr="009F1142">
        <w:rPr>
          <w:rFonts w:ascii="Cambria" w:hAnsi="Cambria"/>
          <w:color w:val="auto"/>
          <w:sz w:val="16"/>
          <w:szCs w:val="16"/>
          <w:lang w:eastAsia="x-none"/>
        </w:rPr>
        <w:t xml:space="preserve"> </w:t>
      </w:r>
      <w:proofErr w:type="spellStart"/>
      <w:r w:rsidRPr="009F1142">
        <w:rPr>
          <w:rFonts w:ascii="Cambria" w:hAnsi="Cambria"/>
          <w:color w:val="auto"/>
          <w:sz w:val="16"/>
          <w:szCs w:val="16"/>
          <w:lang w:eastAsia="x-none"/>
        </w:rPr>
        <w:t>Restrepo</w:t>
      </w:r>
      <w:proofErr w:type="spellEnd"/>
      <w:r w:rsidRPr="009F1142">
        <w:rPr>
          <w:rFonts w:ascii="Cambria" w:hAnsi="Cambria"/>
          <w:color w:val="auto"/>
          <w:sz w:val="16"/>
          <w:szCs w:val="16"/>
          <w:lang w:eastAsia="x-none"/>
        </w:rPr>
        <w:t xml:space="preserve"> and Family (Colombia)</w:t>
      </w:r>
      <w:r w:rsidRPr="009F1142">
        <w:rPr>
          <w:rFonts w:ascii="Cambria" w:hAnsi="Cambria"/>
          <w:iCs/>
          <w:color w:val="auto"/>
          <w:sz w:val="16"/>
          <w:szCs w:val="16"/>
          <w:lang w:eastAsia="x-none"/>
        </w:rPr>
        <w:t>. October 23, 2010</w:t>
      </w:r>
      <w:r w:rsidRPr="009F1142">
        <w:rPr>
          <w:rFonts w:ascii="Cambria" w:hAnsi="Cambria"/>
          <w:color w:val="auto"/>
          <w:sz w:val="16"/>
          <w:szCs w:val="16"/>
          <w:lang w:eastAsia="x-none"/>
        </w:rPr>
        <w:t xml:space="preserve">. Para. 136; IACHR. Report No. 50/99. Case 11.739. </w:t>
      </w:r>
      <w:r w:rsidRPr="009F1142">
        <w:rPr>
          <w:rFonts w:ascii="Cambria" w:hAnsi="Cambria"/>
          <w:iCs/>
          <w:color w:val="auto"/>
          <w:sz w:val="16"/>
          <w:szCs w:val="16"/>
          <w:lang w:eastAsia="x-none"/>
        </w:rPr>
        <w:t>Héctor Félix Miranda (Mexico). April 13, 1999</w:t>
      </w:r>
      <w:r w:rsidRPr="009F1142">
        <w:rPr>
          <w:rFonts w:ascii="Cambria" w:hAnsi="Cambria"/>
          <w:color w:val="auto"/>
          <w:sz w:val="16"/>
          <w:szCs w:val="16"/>
          <w:lang w:eastAsia="x-none"/>
        </w:rPr>
        <w:t xml:space="preserve">. Para. 52; IACHR. Report No. 130/99. Case No. 11.740. </w:t>
      </w:r>
      <w:r w:rsidRPr="009F1142">
        <w:rPr>
          <w:rFonts w:ascii="Cambria" w:hAnsi="Cambria"/>
          <w:iCs/>
          <w:color w:val="auto"/>
          <w:sz w:val="16"/>
          <w:szCs w:val="16"/>
          <w:lang w:eastAsia="x-none"/>
        </w:rPr>
        <w:t xml:space="preserve">Víctor Manuel </w:t>
      </w:r>
      <w:proofErr w:type="spellStart"/>
      <w:r w:rsidRPr="009F1142">
        <w:rPr>
          <w:rFonts w:ascii="Cambria" w:hAnsi="Cambria"/>
          <w:iCs/>
          <w:color w:val="auto"/>
          <w:sz w:val="16"/>
          <w:szCs w:val="16"/>
          <w:lang w:eastAsia="x-none"/>
        </w:rPr>
        <w:t>Oropeza</w:t>
      </w:r>
      <w:proofErr w:type="spellEnd"/>
      <w:r w:rsidRPr="009F1142">
        <w:rPr>
          <w:rFonts w:ascii="Cambria" w:hAnsi="Cambria"/>
          <w:iCs/>
          <w:color w:val="auto"/>
          <w:sz w:val="16"/>
          <w:szCs w:val="16"/>
          <w:lang w:eastAsia="x-none"/>
        </w:rPr>
        <w:t xml:space="preserve"> (Mexico). November 19, 1999</w:t>
      </w:r>
      <w:r w:rsidRPr="009F1142">
        <w:rPr>
          <w:rFonts w:ascii="Cambria" w:hAnsi="Cambria"/>
          <w:color w:val="auto"/>
          <w:sz w:val="16"/>
          <w:szCs w:val="16"/>
          <w:lang w:eastAsia="x-none"/>
        </w:rPr>
        <w:t xml:space="preserve">. Para. 58. See also: IACHR. </w:t>
      </w:r>
      <w:hyperlink r:id="rId19" w:history="1">
        <w:r w:rsidRPr="009F1142">
          <w:rPr>
            <w:rStyle w:val="Hyperlink"/>
            <w:rFonts w:ascii="Cambria" w:hAnsi="Cambria"/>
            <w:color w:val="auto"/>
            <w:sz w:val="16"/>
            <w:szCs w:val="16"/>
            <w:lang w:eastAsia="x-none"/>
          </w:rPr>
          <w:t>Annual Report 2010. Report of the Office of the Special Rapporteur for Freedom of Expression</w:t>
        </w:r>
      </w:hyperlink>
      <w:r w:rsidRPr="009F1142">
        <w:rPr>
          <w:rFonts w:ascii="Cambria" w:hAnsi="Cambria"/>
          <w:color w:val="auto"/>
          <w:sz w:val="16"/>
          <w:szCs w:val="16"/>
          <w:lang w:eastAsia="x-none"/>
        </w:rPr>
        <w:t>. Chapter II: Mexico: 2010 Special Report on Freedom of Expression in Mexico.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 xml:space="preserve">/V/II. Doc. 5. March 4, 2011. Para. 716. See also: I/A Court H.R. </w:t>
      </w:r>
      <w:r w:rsidRPr="009F1142">
        <w:rPr>
          <w:rFonts w:ascii="Cambria" w:hAnsi="Cambria"/>
          <w:i/>
          <w:iCs/>
          <w:color w:val="auto"/>
          <w:sz w:val="16"/>
          <w:szCs w:val="16"/>
          <w:lang w:eastAsia="x-none"/>
        </w:rPr>
        <w:t xml:space="preserve">Case of </w:t>
      </w:r>
      <w:proofErr w:type="spellStart"/>
      <w:r w:rsidRPr="009F1142">
        <w:rPr>
          <w:rFonts w:ascii="Cambria" w:hAnsi="Cambria"/>
          <w:i/>
          <w:iCs/>
          <w:color w:val="auto"/>
          <w:sz w:val="16"/>
          <w:szCs w:val="16"/>
          <w:lang w:eastAsia="x-none"/>
        </w:rPr>
        <w:t>Vélez</w:t>
      </w:r>
      <w:proofErr w:type="spellEnd"/>
      <w:r w:rsidRPr="009F1142">
        <w:rPr>
          <w:rFonts w:ascii="Cambria" w:hAnsi="Cambria"/>
          <w:i/>
          <w:iCs/>
          <w:color w:val="auto"/>
          <w:sz w:val="16"/>
          <w:szCs w:val="16"/>
          <w:lang w:eastAsia="x-none"/>
        </w:rPr>
        <w:t xml:space="preserve"> </w:t>
      </w:r>
      <w:proofErr w:type="spellStart"/>
      <w:r w:rsidRPr="009F1142">
        <w:rPr>
          <w:rFonts w:ascii="Cambria" w:hAnsi="Cambria"/>
          <w:i/>
          <w:iCs/>
          <w:color w:val="auto"/>
          <w:sz w:val="16"/>
          <w:szCs w:val="16"/>
          <w:lang w:eastAsia="x-none"/>
        </w:rPr>
        <w:t>Restrepo</w:t>
      </w:r>
      <w:proofErr w:type="spellEnd"/>
      <w:r w:rsidRPr="009F1142">
        <w:rPr>
          <w:rFonts w:ascii="Cambria" w:hAnsi="Cambria"/>
          <w:i/>
          <w:iCs/>
          <w:color w:val="auto"/>
          <w:sz w:val="16"/>
          <w:szCs w:val="16"/>
          <w:lang w:eastAsia="x-none"/>
        </w:rPr>
        <w:t xml:space="preserve"> and Family v. Colombia. </w:t>
      </w:r>
      <w:r w:rsidRPr="009F1142">
        <w:rPr>
          <w:rFonts w:ascii="Cambria" w:hAnsi="Cambria"/>
          <w:iCs/>
          <w:color w:val="auto"/>
          <w:sz w:val="16"/>
          <w:szCs w:val="16"/>
          <w:lang w:eastAsia="x-none"/>
        </w:rPr>
        <w:t xml:space="preserve">Preliminary Objection, Merits, Reparations and Costs. Judgment of </w:t>
      </w:r>
      <w:r w:rsidRPr="009F1142">
        <w:rPr>
          <w:rFonts w:ascii="Cambria" w:hAnsi="Cambria"/>
          <w:color w:val="auto"/>
          <w:sz w:val="16"/>
          <w:szCs w:val="16"/>
          <w:lang w:eastAsia="x-none"/>
        </w:rPr>
        <w:t>September 3, 2012. Series C, No. 248. Para. 211.</w:t>
      </w:r>
    </w:p>
  </w:footnote>
  <w:footnote w:id="213">
    <w:p w:rsidR="00637A06" w:rsidRPr="009F1142" w:rsidRDefault="00637A06" w:rsidP="009F1142">
      <w:pPr>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rPr>
        <w:footnoteRef/>
      </w:r>
      <w:r w:rsidRPr="009F1142">
        <w:rPr>
          <w:rFonts w:ascii="Cambria" w:hAnsi="Cambria"/>
          <w:sz w:val="16"/>
          <w:szCs w:val="16"/>
        </w:rPr>
        <w:t xml:space="preserve"> I/A Court H.R. </w:t>
      </w:r>
      <w:r w:rsidRPr="009F1142">
        <w:rPr>
          <w:rFonts w:ascii="Cambria" w:hAnsi="Cambria"/>
          <w:i/>
          <w:iCs/>
          <w:sz w:val="16"/>
          <w:szCs w:val="16"/>
        </w:rPr>
        <w:t xml:space="preserve">Case of </w:t>
      </w:r>
      <w:proofErr w:type="spellStart"/>
      <w:r w:rsidRPr="009F1142">
        <w:rPr>
          <w:rFonts w:ascii="Cambria" w:hAnsi="Cambria"/>
          <w:i/>
          <w:iCs/>
          <w:sz w:val="16"/>
          <w:szCs w:val="16"/>
        </w:rPr>
        <w:t>Ivcher</w:t>
      </w:r>
      <w:proofErr w:type="spellEnd"/>
      <w:r w:rsidRPr="009F1142">
        <w:rPr>
          <w:rFonts w:ascii="Cambria" w:hAnsi="Cambria"/>
          <w:i/>
          <w:iCs/>
          <w:sz w:val="16"/>
          <w:szCs w:val="16"/>
        </w:rPr>
        <w:t xml:space="preserve"> Bronstein v. Peru. </w:t>
      </w:r>
      <w:r w:rsidRPr="009F1142">
        <w:rPr>
          <w:rFonts w:ascii="Cambria" w:hAnsi="Cambria"/>
          <w:iCs/>
          <w:sz w:val="16"/>
          <w:szCs w:val="16"/>
        </w:rPr>
        <w:t xml:space="preserve">Merits, Reparations and Costs. Judgment of </w:t>
      </w:r>
      <w:r w:rsidRPr="009F1142">
        <w:rPr>
          <w:rFonts w:ascii="Cambria" w:hAnsi="Cambria"/>
          <w:sz w:val="16"/>
          <w:szCs w:val="16"/>
        </w:rPr>
        <w:t xml:space="preserve">February 6, 2001. Series C, No. 74. Para. 186; I/A Court H.R. </w:t>
      </w:r>
      <w:r w:rsidRPr="009F1142">
        <w:rPr>
          <w:rFonts w:ascii="Cambria" w:hAnsi="Cambria"/>
          <w:i/>
          <w:iCs/>
          <w:sz w:val="16"/>
          <w:szCs w:val="16"/>
        </w:rPr>
        <w:t xml:space="preserve">Case of the Constitutional Court v. Peru. </w:t>
      </w:r>
      <w:r w:rsidRPr="009F1142">
        <w:rPr>
          <w:rFonts w:ascii="Cambria" w:hAnsi="Cambria"/>
          <w:iCs/>
          <w:sz w:val="16"/>
          <w:szCs w:val="16"/>
        </w:rPr>
        <w:t xml:space="preserve">Merits, Reparations and Costs. Judgment of </w:t>
      </w:r>
      <w:r w:rsidRPr="009F1142">
        <w:rPr>
          <w:rFonts w:ascii="Cambria" w:hAnsi="Cambria"/>
          <w:sz w:val="16"/>
          <w:szCs w:val="16"/>
        </w:rPr>
        <w:t xml:space="preserve">January 31, 2001. Series C, No. 71. Para. 123; I/A Court H.R. </w:t>
      </w:r>
      <w:r w:rsidRPr="009F1142">
        <w:rPr>
          <w:rFonts w:ascii="Cambria" w:hAnsi="Cambria"/>
          <w:i/>
          <w:iCs/>
          <w:sz w:val="16"/>
          <w:szCs w:val="16"/>
        </w:rPr>
        <w:t xml:space="preserve">Case of </w:t>
      </w:r>
      <w:proofErr w:type="spellStart"/>
      <w:r w:rsidRPr="009F1142">
        <w:rPr>
          <w:rFonts w:ascii="Cambria" w:hAnsi="Cambria"/>
          <w:i/>
          <w:iCs/>
          <w:sz w:val="16"/>
          <w:szCs w:val="16"/>
        </w:rPr>
        <w:t>Bámaca</w:t>
      </w:r>
      <w:proofErr w:type="spellEnd"/>
      <w:r w:rsidRPr="009F1142">
        <w:rPr>
          <w:rFonts w:ascii="Cambria" w:hAnsi="Cambria"/>
          <w:i/>
          <w:iCs/>
          <w:sz w:val="16"/>
          <w:szCs w:val="16"/>
        </w:rPr>
        <w:t xml:space="preserve"> </w:t>
      </w:r>
      <w:proofErr w:type="spellStart"/>
      <w:r w:rsidRPr="009F1142">
        <w:rPr>
          <w:rFonts w:ascii="Cambria" w:hAnsi="Cambria"/>
          <w:i/>
          <w:iCs/>
          <w:sz w:val="16"/>
          <w:szCs w:val="16"/>
        </w:rPr>
        <w:t>Velásquez</w:t>
      </w:r>
      <w:proofErr w:type="spellEnd"/>
      <w:r w:rsidRPr="009F1142">
        <w:rPr>
          <w:rFonts w:ascii="Cambria" w:hAnsi="Cambria"/>
          <w:i/>
          <w:iCs/>
          <w:sz w:val="16"/>
          <w:szCs w:val="16"/>
        </w:rPr>
        <w:t xml:space="preserve"> v. Guatemala. </w:t>
      </w:r>
      <w:r w:rsidRPr="009F1142">
        <w:rPr>
          <w:rFonts w:ascii="Cambria" w:hAnsi="Cambria"/>
          <w:iCs/>
          <w:sz w:val="16"/>
          <w:szCs w:val="16"/>
        </w:rPr>
        <w:t>Merits.</w:t>
      </w:r>
      <w:r w:rsidRPr="009F1142">
        <w:rPr>
          <w:rFonts w:ascii="Cambria" w:hAnsi="Cambria"/>
          <w:sz w:val="16"/>
          <w:szCs w:val="16"/>
        </w:rPr>
        <w:t xml:space="preserve"> Judgment of November 25, 2000. Series C, No. 70. Para. 211.</w:t>
      </w:r>
    </w:p>
  </w:footnote>
  <w:footnote w:id="214">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IACHR. </w:t>
      </w:r>
      <w:hyperlink r:id="rId20" w:history="1">
        <w:r w:rsidRPr="009F1142">
          <w:rPr>
            <w:rStyle w:val="Hyperlink"/>
            <w:rFonts w:ascii="Cambria" w:hAnsi="Cambria"/>
            <w:color w:val="auto"/>
            <w:sz w:val="16"/>
            <w:szCs w:val="16"/>
            <w:lang w:eastAsia="x-none"/>
          </w:rPr>
          <w:t>Annual Report 2012. Report of the Office of the Special Rapporteur for Freedom of Expression</w:t>
        </w:r>
      </w:hyperlink>
      <w:r w:rsidRPr="009F1142">
        <w:rPr>
          <w:rFonts w:ascii="Cambria" w:hAnsi="Cambria"/>
          <w:color w:val="auto"/>
          <w:sz w:val="16"/>
          <w:szCs w:val="16"/>
          <w:lang w:eastAsia="x-none"/>
        </w:rPr>
        <w:t>. Chapter V (Conclusions and Recommendations).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 xml:space="preserve">/V/II.147. Doc. 1. March 5, 2013. Para. 4(c). See also: IACHR. </w:t>
      </w:r>
      <w:hyperlink r:id="rId21" w:history="1">
        <w:r w:rsidRPr="009F1142">
          <w:rPr>
            <w:rStyle w:val="Hyperlink"/>
            <w:rFonts w:ascii="Cambria" w:hAnsi="Cambria"/>
            <w:color w:val="auto"/>
            <w:sz w:val="16"/>
            <w:szCs w:val="16"/>
            <w:lang w:eastAsia="x-none"/>
          </w:rPr>
          <w:t>Annual Report 2009. Report of the Office of the Special Rapporteur for Freedom of Expression</w:t>
        </w:r>
      </w:hyperlink>
      <w:r w:rsidRPr="009F1142">
        <w:rPr>
          <w:rFonts w:ascii="Cambria" w:hAnsi="Cambria"/>
          <w:color w:val="auto"/>
          <w:sz w:val="16"/>
          <w:szCs w:val="16"/>
          <w:lang w:eastAsia="x-none"/>
        </w:rPr>
        <w:t>. Chapter VII (Conclusions and Recommendations).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 xml:space="preserve">/V/II. Doc. 51. December 30, 2009. Para. 4(a); IACHR. </w:t>
      </w:r>
      <w:hyperlink r:id="rId22" w:history="1">
        <w:r w:rsidRPr="009F1142">
          <w:rPr>
            <w:rStyle w:val="Hyperlink"/>
            <w:rFonts w:ascii="Cambria" w:hAnsi="Cambria"/>
            <w:color w:val="auto"/>
            <w:sz w:val="16"/>
            <w:szCs w:val="16"/>
            <w:lang w:eastAsia="x-none"/>
          </w:rPr>
          <w:t>Annual Report 2010. Report of the Office of the Special Rapporteur for Freedom of Expression</w:t>
        </w:r>
      </w:hyperlink>
      <w:r w:rsidRPr="009F1142">
        <w:rPr>
          <w:rFonts w:ascii="Cambria" w:hAnsi="Cambria"/>
          <w:color w:val="auto"/>
          <w:sz w:val="16"/>
          <w:szCs w:val="16"/>
          <w:lang w:eastAsia="x-none"/>
        </w:rPr>
        <w:t>. Chapter VI (Conclusions and Recommendations).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 xml:space="preserve">/V/II. Doc. 5. March 4, 2011. Para. 4(a); IACHR. </w:t>
      </w:r>
      <w:hyperlink r:id="rId23" w:history="1">
        <w:r w:rsidRPr="009F1142">
          <w:rPr>
            <w:rStyle w:val="Hyperlink"/>
            <w:rFonts w:ascii="Cambria" w:hAnsi="Cambria"/>
            <w:color w:val="auto"/>
            <w:sz w:val="16"/>
            <w:szCs w:val="16"/>
            <w:lang w:eastAsia="x-none"/>
          </w:rPr>
          <w:t>Annual Report 2011. Report of the Office of the Special Rapporteur for Freedom of Expression</w:t>
        </w:r>
      </w:hyperlink>
      <w:r w:rsidRPr="009F1142">
        <w:rPr>
          <w:rFonts w:ascii="Cambria" w:hAnsi="Cambria"/>
          <w:color w:val="auto"/>
          <w:sz w:val="16"/>
          <w:szCs w:val="16"/>
          <w:lang w:eastAsia="x-none"/>
        </w:rPr>
        <w:t>. Chapter V (Conclusions and Recommendations).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/V/II. Doc. 69. December 30, 2011. Para. 4(c).</w:t>
      </w:r>
    </w:p>
  </w:footnote>
  <w:footnote w:id="215">
    <w:p w:rsidR="00637A06" w:rsidRPr="009F1142" w:rsidRDefault="00637A06" w:rsidP="009F1142">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rPr>
      </w:pPr>
      <w:r w:rsidRPr="009F1142">
        <w:rPr>
          <w:rStyle w:val="FootnoteReference"/>
          <w:rFonts w:ascii="Cambria" w:hAnsi="Cambria" w:cs="Cambria"/>
          <w:sz w:val="16"/>
          <w:szCs w:val="16"/>
          <w:lang w:val="es-AR"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IACHR. </w:t>
      </w:r>
      <w:hyperlink r:id="rId24" w:history="1">
        <w:r w:rsidRPr="009F1142">
          <w:rPr>
            <w:rStyle w:val="Hyperlink"/>
            <w:rFonts w:ascii="Cambria" w:hAnsi="Cambria"/>
            <w:color w:val="auto"/>
            <w:sz w:val="16"/>
            <w:szCs w:val="16"/>
            <w:lang w:eastAsia="x-none"/>
          </w:rPr>
          <w:t>Annual Report 2013. Report of the Office of the Special Rapporteur for Freedom of Expression</w:t>
        </w:r>
      </w:hyperlink>
      <w:r w:rsidRPr="009F1142">
        <w:rPr>
          <w:rFonts w:ascii="Cambria" w:hAnsi="Cambria"/>
          <w:color w:val="auto"/>
          <w:sz w:val="16"/>
          <w:szCs w:val="16"/>
          <w:lang w:eastAsia="x-none"/>
        </w:rPr>
        <w:t>. Chapter III (Violence against journalists and media workers: Inter-American standards and national practices on prevention, protection and prosecution of perpetrators).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 xml:space="preserve">/V/II.149. Doc. 50. December 31, 2013. Para. 166; IACHR. Office of the Special Rapporteur for Freedom of Expression. </w:t>
      </w:r>
      <w:hyperlink r:id="rId25" w:history="1">
        <w:r w:rsidRPr="009F1142">
          <w:rPr>
            <w:rStyle w:val="Hyperlink"/>
            <w:rFonts w:ascii="Cambria" w:hAnsi="Cambria" w:cs="Cambria"/>
            <w:color w:val="auto"/>
            <w:sz w:val="16"/>
            <w:szCs w:val="16"/>
            <w:lang w:eastAsia="x-none"/>
          </w:rPr>
          <w:t>Special study on the status of investigations into the murder of journalists during the 1995-2005 period for reasons that may be related to their work in journalism</w:t>
        </w:r>
      </w:hyperlink>
      <w:r w:rsidRPr="009F1142">
        <w:rPr>
          <w:rFonts w:ascii="Cambria" w:hAnsi="Cambria"/>
          <w:color w:val="auto"/>
          <w:sz w:val="16"/>
          <w:szCs w:val="16"/>
          <w:lang w:eastAsia="x-none"/>
        </w:rPr>
        <w:t>. OEA/</w:t>
      </w:r>
      <w:proofErr w:type="spellStart"/>
      <w:r w:rsidRPr="009F1142">
        <w:rPr>
          <w:rFonts w:ascii="Cambria" w:hAnsi="Cambria"/>
          <w:color w:val="auto"/>
          <w:sz w:val="16"/>
          <w:szCs w:val="16"/>
          <w:lang w:eastAsia="x-none"/>
        </w:rPr>
        <w:t>Ser.L</w:t>
      </w:r>
      <w:proofErr w:type="spellEnd"/>
      <w:r w:rsidRPr="009F1142">
        <w:rPr>
          <w:rFonts w:ascii="Cambria" w:hAnsi="Cambria"/>
          <w:color w:val="auto"/>
          <w:sz w:val="16"/>
          <w:szCs w:val="16"/>
          <w:lang w:eastAsia="x-none"/>
        </w:rPr>
        <w:t>/V/II.131. Doc. 35. March 8, 2008. Para. 40.</w:t>
      </w:r>
    </w:p>
  </w:footnote>
  <w:footnote w:id="21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s="Verdana"/>
          <w:bCs/>
          <w:color w:val="auto"/>
          <w:sz w:val="16"/>
          <w:szCs w:val="16"/>
        </w:rPr>
        <w:t xml:space="preserve">I/A Court H.R. </w:t>
      </w:r>
      <w:r w:rsidRPr="009F1142">
        <w:rPr>
          <w:rFonts w:ascii="Cambria" w:hAnsi="Cambria" w:cs="Verdana"/>
          <w:bCs/>
          <w:i/>
          <w:color w:val="auto"/>
          <w:sz w:val="16"/>
          <w:szCs w:val="16"/>
        </w:rPr>
        <w:t>Case of J. v. Peru</w:t>
      </w:r>
      <w:r w:rsidRPr="009F1142">
        <w:rPr>
          <w:rFonts w:ascii="Cambria" w:hAnsi="Cambria" w:cs="Verdana"/>
          <w:bCs/>
          <w:color w:val="auto"/>
          <w:sz w:val="16"/>
          <w:szCs w:val="16"/>
        </w:rPr>
        <w:t xml:space="preserve">. Preliminary Objection, Merits, Reparations and Costs. Judgment of November 27, 2013. Series C, No. 275, Para. </w:t>
      </w:r>
      <w:r w:rsidRPr="009F1142">
        <w:rPr>
          <w:rFonts w:ascii="Cambria" w:hAnsi="Cambria"/>
          <w:color w:val="auto"/>
          <w:sz w:val="16"/>
          <w:szCs w:val="16"/>
        </w:rPr>
        <w:t>341.</w:t>
      </w:r>
    </w:p>
  </w:footnote>
  <w:footnote w:id="217">
    <w:p w:rsidR="00637A06" w:rsidRPr="009F1142" w:rsidRDefault="00637A06" w:rsidP="009F1142">
      <w:pPr>
        <w:pStyle w:val="FootnoteText"/>
        <w:jc w:val="both"/>
        <w:rPr>
          <w:rFonts w:ascii="Cambria" w:hAnsi="Cambria" w:cs="Calibri Light"/>
          <w:bCs/>
          <w:sz w:val="16"/>
          <w:szCs w:val="16"/>
          <w:shd w:val="clear" w:color="auto" w:fill="FFFFFF"/>
        </w:rPr>
      </w:pPr>
      <w:r w:rsidRPr="009F1142">
        <w:rPr>
          <w:rStyle w:val="FootnoteReference"/>
          <w:rFonts w:ascii="Cambria" w:hAnsi="Cambria"/>
          <w:sz w:val="16"/>
          <w:szCs w:val="16"/>
          <w:lang w:val="es-AR"/>
        </w:rPr>
        <w:footnoteRef/>
      </w:r>
      <w:r w:rsidRPr="009F1142">
        <w:rPr>
          <w:rFonts w:ascii="Cambria" w:hAnsi="Cambria"/>
          <w:sz w:val="16"/>
          <w:szCs w:val="16"/>
        </w:rPr>
        <w:t xml:space="preserve"> </w:t>
      </w:r>
      <w:r w:rsidRPr="009F1142">
        <w:rPr>
          <w:rStyle w:val="Strong"/>
          <w:rFonts w:ascii="Cambria" w:hAnsi="Cambria" w:cs="Calibri Light"/>
          <w:b w:val="0"/>
          <w:color w:val="auto"/>
          <w:sz w:val="16"/>
          <w:szCs w:val="16"/>
          <w:shd w:val="clear" w:color="auto" w:fill="FFFFFF"/>
        </w:rPr>
        <w:t xml:space="preserve">I/A Court H.R., </w:t>
      </w:r>
      <w:hyperlink r:id="rId26" w:history="1">
        <w:r w:rsidRPr="009F1142">
          <w:rPr>
            <w:rStyle w:val="Hyperlink"/>
            <w:rFonts w:ascii="Cambria" w:hAnsi="Cambria" w:cs="Calibri Light"/>
            <w:i/>
            <w:color w:val="auto"/>
            <w:sz w:val="16"/>
            <w:szCs w:val="16"/>
            <w:shd w:val="clear" w:color="auto" w:fill="FFFFFF"/>
          </w:rPr>
          <w:t>Case of González et al. (“Cotton Field”) v. Mexico</w:t>
        </w:r>
      </w:hyperlink>
      <w:r w:rsidRPr="009F1142">
        <w:rPr>
          <w:rStyle w:val="Strong"/>
          <w:rFonts w:ascii="Cambria" w:hAnsi="Cambria" w:cs="Calibri Light"/>
          <w:b w:val="0"/>
          <w:color w:val="auto"/>
          <w:sz w:val="16"/>
          <w:szCs w:val="16"/>
          <w:shd w:val="clear" w:color="auto" w:fill="FFFFFF"/>
        </w:rPr>
        <w:t>. Preliminary Objection, Merits, Reparations and Costs. Judgment of November 16, 2009. Series C, No. 205. Para. 287.</w:t>
      </w:r>
      <w:r w:rsidRPr="009F1142">
        <w:rPr>
          <w:rFonts w:ascii="Cambria" w:hAnsi="Cambria" w:cs="Verdana"/>
          <w:bCs/>
          <w:color w:val="auto"/>
          <w:sz w:val="16"/>
          <w:szCs w:val="16"/>
        </w:rPr>
        <w:t xml:space="preserve"> I/A Court H.R.,</w:t>
      </w:r>
      <w:r w:rsidRPr="009F1142">
        <w:rPr>
          <w:rStyle w:val="Strong"/>
          <w:rFonts w:ascii="Cambria" w:hAnsi="Cambria" w:cs="Calibri Light"/>
          <w:color w:val="auto"/>
          <w:sz w:val="16"/>
          <w:szCs w:val="16"/>
          <w:shd w:val="clear" w:color="auto" w:fill="FFFFFF"/>
        </w:rPr>
        <w:t xml:space="preserve"> </w:t>
      </w:r>
      <w:hyperlink r:id="rId27" w:history="1">
        <w:r w:rsidRPr="009F1142">
          <w:rPr>
            <w:rStyle w:val="Hyperlink"/>
            <w:rFonts w:ascii="Cambria" w:hAnsi="Cambria" w:cs="Calibri Light"/>
            <w:i/>
            <w:color w:val="auto"/>
            <w:sz w:val="16"/>
            <w:szCs w:val="16"/>
            <w:shd w:val="clear" w:color="auto" w:fill="FFFFFF"/>
          </w:rPr>
          <w:t>Case of Gutiérrez Hernández et al. v. Guatemala</w:t>
        </w:r>
      </w:hyperlink>
      <w:r w:rsidRPr="009F1142">
        <w:rPr>
          <w:rStyle w:val="Strong"/>
          <w:rFonts w:ascii="Cambria" w:hAnsi="Cambria" w:cs="Calibri Light"/>
          <w:b w:val="0"/>
          <w:color w:val="auto"/>
          <w:sz w:val="16"/>
          <w:szCs w:val="16"/>
          <w:shd w:val="clear" w:color="auto" w:fill="FFFFFF"/>
        </w:rPr>
        <w:t>. Preliminary Objections, Merits, Reparation and Costs. Judgment of August 24, 2017. Series C, No. 339. Para. 147.</w:t>
      </w:r>
    </w:p>
  </w:footnote>
  <w:footnote w:id="21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Style w:val="Strong"/>
          <w:rFonts w:ascii="Cambria" w:hAnsi="Cambria"/>
          <w:b w:val="0"/>
          <w:color w:val="auto"/>
          <w:sz w:val="16"/>
          <w:szCs w:val="16"/>
          <w:shd w:val="clear" w:color="auto" w:fill="FFFFFF"/>
        </w:rPr>
        <w:t xml:space="preserve">I/A Court H.R. </w:t>
      </w:r>
      <w:r w:rsidRPr="009F1142">
        <w:rPr>
          <w:rStyle w:val="Strong"/>
          <w:rFonts w:ascii="Cambria" w:hAnsi="Cambria"/>
          <w:b w:val="0"/>
          <w:i/>
          <w:color w:val="auto"/>
          <w:sz w:val="16"/>
          <w:szCs w:val="16"/>
          <w:shd w:val="clear" w:color="auto" w:fill="FFFFFF"/>
        </w:rPr>
        <w:t>Case of Rosendo Cantú et al. v. Mexico</w:t>
      </w:r>
      <w:r w:rsidRPr="009F1142">
        <w:rPr>
          <w:rStyle w:val="Strong"/>
          <w:rFonts w:ascii="Cambria" w:hAnsi="Cambria"/>
          <w:b w:val="0"/>
          <w:color w:val="auto"/>
          <w:sz w:val="16"/>
          <w:szCs w:val="16"/>
          <w:shd w:val="clear" w:color="auto" w:fill="FFFFFF"/>
        </w:rPr>
        <w:t>. Preliminary Objection, Merits, Reparations and Costs. Judgment of August 31, 2010, Series C, No. 216, para. 103.</w:t>
      </w:r>
    </w:p>
  </w:footnote>
  <w:footnote w:id="21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Style w:val="Strong"/>
          <w:rFonts w:ascii="Cambria" w:hAnsi="Cambria"/>
          <w:b w:val="0"/>
          <w:color w:val="auto"/>
          <w:sz w:val="16"/>
          <w:szCs w:val="16"/>
          <w:shd w:val="clear" w:color="auto" w:fill="FFFFFF"/>
        </w:rPr>
        <w:t xml:space="preserve">I/A Court H.R. </w:t>
      </w:r>
      <w:r w:rsidRPr="009F1142">
        <w:rPr>
          <w:rStyle w:val="Strong"/>
          <w:rFonts w:ascii="Cambria" w:hAnsi="Cambria"/>
          <w:b w:val="0"/>
          <w:i/>
          <w:color w:val="auto"/>
          <w:sz w:val="16"/>
          <w:szCs w:val="16"/>
          <w:shd w:val="clear" w:color="auto" w:fill="FFFFFF"/>
        </w:rPr>
        <w:t>Case of Rosendo Cantú et al. v. Mexico</w:t>
      </w:r>
      <w:r w:rsidRPr="009F1142">
        <w:rPr>
          <w:rStyle w:val="Strong"/>
          <w:rFonts w:ascii="Cambria" w:hAnsi="Cambria"/>
          <w:b w:val="0"/>
          <w:color w:val="auto"/>
          <w:sz w:val="16"/>
          <w:szCs w:val="16"/>
          <w:shd w:val="clear" w:color="auto" w:fill="FFFFFF"/>
        </w:rPr>
        <w:t>. Preliminary Objection, Merits, Reparations and Costs. Judgment of August 31, 2010, Series C, No. 216, para. 177.</w:t>
      </w:r>
    </w:p>
  </w:footnote>
  <w:footnote w:id="220">
    <w:p w:rsidR="00637A06" w:rsidRPr="009F1142" w:rsidRDefault="00637A06" w:rsidP="009F1142">
      <w:pPr>
        <w:jc w:val="both"/>
        <w:rPr>
          <w:rFonts w:ascii="Cambria" w:eastAsia="Times New Roman" w:hAnsi="Cambria"/>
          <w:sz w:val="16"/>
          <w:szCs w:val="16"/>
          <w:lang w:val="es-ES"/>
        </w:rPr>
      </w:pPr>
      <w:r w:rsidRPr="009F1142">
        <w:rPr>
          <w:rStyle w:val="FootnoteReference"/>
          <w:rFonts w:ascii="Cambria" w:hAnsi="Cambria"/>
          <w:sz w:val="16"/>
          <w:szCs w:val="16"/>
        </w:rPr>
        <w:footnoteRef/>
      </w:r>
      <w:r w:rsidRPr="009F1142">
        <w:rPr>
          <w:rFonts w:ascii="Cambria" w:hAnsi="Cambria"/>
          <w:sz w:val="16"/>
          <w:szCs w:val="16"/>
        </w:rPr>
        <w:t xml:space="preserve"> United Nations Commission on Human Rights. Sixty-second session. Report of the Special Rapporteur on violence against women, its causes and consequences, Yakin </w:t>
      </w:r>
      <w:proofErr w:type="spellStart"/>
      <w:r w:rsidRPr="009F1142">
        <w:rPr>
          <w:rFonts w:ascii="Cambria" w:hAnsi="Cambria"/>
          <w:sz w:val="16"/>
          <w:szCs w:val="16"/>
        </w:rPr>
        <w:t>Ertürk</w:t>
      </w:r>
      <w:proofErr w:type="spellEnd"/>
      <w:r w:rsidRPr="009F1142">
        <w:rPr>
          <w:rFonts w:ascii="Cambria" w:hAnsi="Cambria"/>
          <w:sz w:val="16"/>
          <w:szCs w:val="16"/>
        </w:rPr>
        <w:t xml:space="preserve">. Integration of the human rights of women and the gender perspective: violence against women. The due diligence standard as a tool for the elimination of violence against women. </w:t>
      </w:r>
      <w:r w:rsidRPr="009F1142">
        <w:rPr>
          <w:rFonts w:ascii="Cambria" w:hAnsi="Cambria"/>
          <w:sz w:val="16"/>
          <w:szCs w:val="16"/>
          <w:lang w:val="es-US"/>
        </w:rPr>
        <w:t xml:space="preserve">E/CN.4/2006/61, 20 </w:t>
      </w:r>
      <w:proofErr w:type="spellStart"/>
      <w:r w:rsidRPr="009F1142">
        <w:rPr>
          <w:rFonts w:ascii="Cambria" w:hAnsi="Cambria"/>
          <w:sz w:val="16"/>
          <w:szCs w:val="16"/>
          <w:lang w:val="es-US"/>
        </w:rPr>
        <w:t>January</w:t>
      </w:r>
      <w:proofErr w:type="spellEnd"/>
      <w:r w:rsidRPr="009F1142">
        <w:rPr>
          <w:rFonts w:ascii="Cambria" w:hAnsi="Cambria"/>
          <w:sz w:val="16"/>
          <w:szCs w:val="16"/>
          <w:lang w:val="es-US"/>
        </w:rPr>
        <w:t xml:space="preserve"> 2006</w:t>
      </w:r>
      <w:r w:rsidRPr="009F1142">
        <w:rPr>
          <w:rFonts w:ascii="Cambria" w:eastAsia="Times New Roman" w:hAnsi="Cambria"/>
          <w:sz w:val="16"/>
          <w:szCs w:val="16"/>
          <w:lang w:val="es-US"/>
        </w:rPr>
        <w:t>. Para. 29.</w:t>
      </w:r>
    </w:p>
  </w:footnote>
  <w:footnote w:id="221">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lang w:val="es-ES"/>
        </w:rPr>
        <w:t xml:space="preserve"> </w:t>
      </w:r>
      <w:r w:rsidRPr="009F1142">
        <w:rPr>
          <w:rFonts w:ascii="Cambria" w:hAnsi="Cambria"/>
          <w:color w:val="auto"/>
          <w:sz w:val="16"/>
          <w:szCs w:val="16"/>
          <w:lang w:val="es-US"/>
        </w:rPr>
        <w:t xml:space="preserve">IACHR, </w:t>
      </w:r>
      <w:proofErr w:type="spellStart"/>
      <w:r w:rsidRPr="009F1142">
        <w:rPr>
          <w:rFonts w:ascii="Cambria" w:hAnsi="Cambria"/>
          <w:color w:val="auto"/>
          <w:sz w:val="16"/>
          <w:szCs w:val="16"/>
          <w:lang w:val="es-US"/>
        </w:rPr>
        <w:t>Report</w:t>
      </w:r>
      <w:proofErr w:type="spellEnd"/>
      <w:r w:rsidRPr="009F1142">
        <w:rPr>
          <w:rFonts w:ascii="Cambria" w:hAnsi="Cambria"/>
          <w:color w:val="auto"/>
          <w:sz w:val="16"/>
          <w:szCs w:val="16"/>
          <w:lang w:val="es-US"/>
        </w:rPr>
        <w:t xml:space="preserve"> 170/11, Case 12.578. María Isabel </w:t>
      </w:r>
      <w:proofErr w:type="spellStart"/>
      <w:r w:rsidRPr="009F1142">
        <w:rPr>
          <w:rFonts w:ascii="Cambria" w:hAnsi="Cambria"/>
          <w:color w:val="auto"/>
          <w:sz w:val="16"/>
          <w:szCs w:val="16"/>
          <w:lang w:val="es-US"/>
        </w:rPr>
        <w:t>Véliz</w:t>
      </w:r>
      <w:proofErr w:type="spellEnd"/>
      <w:r w:rsidRPr="009F1142">
        <w:rPr>
          <w:rFonts w:ascii="Cambria" w:hAnsi="Cambria"/>
          <w:color w:val="auto"/>
          <w:sz w:val="16"/>
          <w:szCs w:val="16"/>
          <w:lang w:val="es-US"/>
        </w:rPr>
        <w:t xml:space="preserve"> Franco et al. </w:t>
      </w:r>
      <w:r w:rsidRPr="009F1142">
        <w:rPr>
          <w:rFonts w:ascii="Cambria" w:hAnsi="Cambria"/>
          <w:color w:val="auto"/>
          <w:sz w:val="16"/>
          <w:szCs w:val="16"/>
        </w:rPr>
        <w:t>Merits. Guatemala, November 3, 2011, para. 84.</w:t>
      </w:r>
    </w:p>
  </w:footnote>
  <w:footnote w:id="222">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Style w:val="Strong"/>
          <w:rFonts w:ascii="Cambria" w:hAnsi="Cambria"/>
          <w:b w:val="0"/>
          <w:color w:val="auto"/>
          <w:sz w:val="16"/>
          <w:szCs w:val="16"/>
          <w:shd w:val="clear" w:color="auto" w:fill="FFFFFF"/>
        </w:rPr>
        <w:t xml:space="preserve">I/A Court H.R. </w:t>
      </w:r>
      <w:r w:rsidRPr="009F1142">
        <w:rPr>
          <w:rStyle w:val="Strong"/>
          <w:rFonts w:ascii="Cambria" w:hAnsi="Cambria"/>
          <w:b w:val="0"/>
          <w:i/>
          <w:color w:val="auto"/>
          <w:sz w:val="16"/>
          <w:szCs w:val="16"/>
          <w:shd w:val="clear" w:color="auto" w:fill="FFFFFF"/>
        </w:rPr>
        <w:t>Case of Rosendo Cantú et al. v. Mexico</w:t>
      </w:r>
      <w:r w:rsidRPr="009F1142">
        <w:rPr>
          <w:rStyle w:val="Strong"/>
          <w:rFonts w:ascii="Cambria" w:hAnsi="Cambria"/>
          <w:b w:val="0"/>
          <w:color w:val="auto"/>
          <w:sz w:val="16"/>
          <w:szCs w:val="16"/>
          <w:shd w:val="clear" w:color="auto" w:fill="FFFFFF"/>
        </w:rPr>
        <w:t>. Preliminary Objection, Merits, Reparations and Costs. Judgment of August 31, 2010, Series C, No. 216, para. 180.</w:t>
      </w:r>
    </w:p>
  </w:footnote>
  <w:footnote w:id="22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rPr>
        <w:t xml:space="preserve">Case of Espinoza </w:t>
      </w:r>
      <w:proofErr w:type="spellStart"/>
      <w:r w:rsidRPr="009F1142">
        <w:rPr>
          <w:rFonts w:ascii="Cambria" w:hAnsi="Cambria"/>
          <w:i/>
          <w:color w:val="auto"/>
          <w:sz w:val="16"/>
          <w:szCs w:val="16"/>
        </w:rPr>
        <w:t>Gonzáles</w:t>
      </w:r>
      <w:proofErr w:type="spellEnd"/>
      <w:r w:rsidRPr="009F1142">
        <w:rPr>
          <w:rFonts w:ascii="Cambria" w:hAnsi="Cambria"/>
          <w:i/>
          <w:color w:val="auto"/>
          <w:sz w:val="16"/>
          <w:szCs w:val="16"/>
        </w:rPr>
        <w:t xml:space="preserve"> v. Peru</w:t>
      </w:r>
      <w:r w:rsidRPr="009F1142">
        <w:rPr>
          <w:rFonts w:ascii="Cambria" w:hAnsi="Cambria"/>
          <w:color w:val="auto"/>
          <w:sz w:val="16"/>
          <w:szCs w:val="16"/>
        </w:rPr>
        <w:t xml:space="preserve">. Preliminary Objections, Merits, Reparations and Costs. Judgment of November 20, 2014. Series C, No. 289, para. 242; and </w:t>
      </w:r>
      <w:r w:rsidRPr="009F1142">
        <w:rPr>
          <w:rFonts w:ascii="Cambria" w:hAnsi="Cambria"/>
          <w:color w:val="auto"/>
          <w:sz w:val="16"/>
          <w:szCs w:val="16"/>
          <w:lang w:eastAsia="x-none"/>
        </w:rPr>
        <w:t xml:space="preserve">I/A Court H.R. </w:t>
      </w:r>
      <w:r w:rsidRPr="009F1142">
        <w:rPr>
          <w:rStyle w:val="Strong"/>
          <w:rFonts w:ascii="Cambria" w:hAnsi="Cambria"/>
          <w:b w:val="0"/>
          <w:i/>
          <w:color w:val="auto"/>
          <w:sz w:val="16"/>
          <w:szCs w:val="16"/>
          <w:shd w:val="clear" w:color="auto" w:fill="FFFFFF"/>
        </w:rPr>
        <w:t>Case of Rosendo Cantú et al. v. Mexico</w:t>
      </w:r>
      <w:r w:rsidRPr="009F1142">
        <w:rPr>
          <w:rStyle w:val="Strong"/>
          <w:rFonts w:ascii="Cambria" w:hAnsi="Cambria"/>
          <w:b w:val="0"/>
          <w:color w:val="auto"/>
          <w:sz w:val="16"/>
          <w:szCs w:val="16"/>
          <w:shd w:val="clear" w:color="auto" w:fill="FFFFFF"/>
        </w:rPr>
        <w:t>. Preliminary Objection, Merits, Reparations and Costs. Judgment of August 31, 2010 Series C, No. 216, para. 178.</w:t>
      </w:r>
    </w:p>
  </w:footnote>
  <w:footnote w:id="22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World Health Organization, Guidelines for medico-legal care for victims of sexual violence. Geneva, 2003, pp. 18, 43; 58.</w:t>
      </w:r>
    </w:p>
  </w:footnote>
  <w:footnote w:id="22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rPr>
        <w:t xml:space="preserve">Case of Espinoza </w:t>
      </w:r>
      <w:proofErr w:type="spellStart"/>
      <w:r w:rsidRPr="009F1142">
        <w:rPr>
          <w:rFonts w:ascii="Cambria" w:hAnsi="Cambria"/>
          <w:i/>
          <w:color w:val="auto"/>
          <w:sz w:val="16"/>
          <w:szCs w:val="16"/>
        </w:rPr>
        <w:t>Gonzáles</w:t>
      </w:r>
      <w:proofErr w:type="spellEnd"/>
      <w:r w:rsidRPr="009F1142">
        <w:rPr>
          <w:rFonts w:ascii="Cambria" w:hAnsi="Cambria"/>
          <w:i/>
          <w:color w:val="auto"/>
          <w:sz w:val="16"/>
          <w:szCs w:val="16"/>
        </w:rPr>
        <w:t xml:space="preserve"> v. Peru</w:t>
      </w:r>
      <w:r w:rsidRPr="009F1142">
        <w:rPr>
          <w:rFonts w:ascii="Cambria" w:hAnsi="Cambria"/>
          <w:color w:val="auto"/>
          <w:sz w:val="16"/>
          <w:szCs w:val="16"/>
        </w:rPr>
        <w:t>. Preliminary Objections, Merits, Reparations and Costs. Judgment of November 20, 2014. Series C, No. 289, para. 256.</w:t>
      </w:r>
    </w:p>
  </w:footnote>
  <w:footnote w:id="22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rPr>
        <w:t xml:space="preserve">Case of Espinoza </w:t>
      </w:r>
      <w:proofErr w:type="spellStart"/>
      <w:r w:rsidRPr="009F1142">
        <w:rPr>
          <w:rFonts w:ascii="Cambria" w:hAnsi="Cambria"/>
          <w:i/>
          <w:color w:val="auto"/>
          <w:sz w:val="16"/>
          <w:szCs w:val="16"/>
        </w:rPr>
        <w:t>Gonzáles</w:t>
      </w:r>
      <w:proofErr w:type="spellEnd"/>
      <w:r w:rsidRPr="009F1142">
        <w:rPr>
          <w:rFonts w:ascii="Cambria" w:hAnsi="Cambria"/>
          <w:i/>
          <w:color w:val="auto"/>
          <w:sz w:val="16"/>
          <w:szCs w:val="16"/>
        </w:rPr>
        <w:t xml:space="preserve"> v. Peru</w:t>
      </w:r>
      <w:r w:rsidRPr="009F1142">
        <w:rPr>
          <w:rFonts w:ascii="Cambria" w:hAnsi="Cambria"/>
          <w:color w:val="auto"/>
          <w:sz w:val="16"/>
          <w:szCs w:val="16"/>
        </w:rPr>
        <w:t>. Preliminary Objections, Merits, Reparations and Costs. Judgment of November 20, 2014. Series C, No. 289, para. 256.</w:t>
      </w:r>
    </w:p>
  </w:footnote>
  <w:footnote w:id="227">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Style w:val="Strong"/>
          <w:rFonts w:ascii="Cambria" w:hAnsi="Cambria"/>
          <w:b w:val="0"/>
          <w:color w:val="auto"/>
          <w:sz w:val="16"/>
          <w:szCs w:val="16"/>
          <w:shd w:val="clear" w:color="auto" w:fill="FFFFFF"/>
        </w:rPr>
        <w:t xml:space="preserve">I/A Court H.R. </w:t>
      </w:r>
      <w:r w:rsidRPr="009F1142">
        <w:rPr>
          <w:rStyle w:val="Strong"/>
          <w:rFonts w:ascii="Cambria" w:hAnsi="Cambria"/>
          <w:b w:val="0"/>
          <w:i/>
          <w:color w:val="auto"/>
          <w:sz w:val="16"/>
          <w:szCs w:val="16"/>
          <w:shd w:val="clear" w:color="auto" w:fill="FFFFFF"/>
        </w:rPr>
        <w:t xml:space="preserve">Case of </w:t>
      </w:r>
      <w:proofErr w:type="spellStart"/>
      <w:r w:rsidRPr="009F1142">
        <w:rPr>
          <w:rStyle w:val="Strong"/>
          <w:rFonts w:ascii="Cambria" w:hAnsi="Cambria"/>
          <w:b w:val="0"/>
          <w:i/>
          <w:color w:val="auto"/>
          <w:sz w:val="16"/>
          <w:szCs w:val="16"/>
          <w:shd w:val="clear" w:color="auto" w:fill="FFFFFF"/>
        </w:rPr>
        <w:t>Veliz</w:t>
      </w:r>
      <w:proofErr w:type="spellEnd"/>
      <w:r w:rsidRPr="009F1142">
        <w:rPr>
          <w:rStyle w:val="Strong"/>
          <w:rFonts w:ascii="Cambria" w:hAnsi="Cambria"/>
          <w:b w:val="0"/>
          <w:i/>
          <w:color w:val="auto"/>
          <w:sz w:val="16"/>
          <w:szCs w:val="16"/>
          <w:shd w:val="clear" w:color="auto" w:fill="FFFFFF"/>
        </w:rPr>
        <w:t xml:space="preserve"> Franco et al. v. Guatemala</w:t>
      </w:r>
      <w:r w:rsidRPr="009F1142">
        <w:rPr>
          <w:rStyle w:val="Strong"/>
          <w:rFonts w:ascii="Cambria" w:hAnsi="Cambria"/>
          <w:b w:val="0"/>
          <w:color w:val="auto"/>
          <w:sz w:val="16"/>
          <w:szCs w:val="16"/>
          <w:shd w:val="clear" w:color="auto" w:fill="FFFFFF"/>
        </w:rPr>
        <w:t xml:space="preserve">. Preliminary Objections, Merits, Reparations and Costs. Judgment of May 19, 2014. Series C, No. 277, para. 188; and </w:t>
      </w:r>
      <w:r w:rsidRPr="009F1142">
        <w:rPr>
          <w:rFonts w:ascii="Cambria" w:hAnsi="Cambria"/>
          <w:color w:val="auto"/>
          <w:sz w:val="16"/>
          <w:szCs w:val="16"/>
          <w:lang w:eastAsia="x-none"/>
        </w:rPr>
        <w:t xml:space="preserve">I/A Court H.R. </w:t>
      </w:r>
      <w:r w:rsidRPr="009F1142">
        <w:rPr>
          <w:rStyle w:val="Strong"/>
          <w:rFonts w:ascii="Cambria" w:hAnsi="Cambria"/>
          <w:b w:val="0"/>
          <w:i/>
          <w:color w:val="auto"/>
          <w:sz w:val="16"/>
          <w:szCs w:val="16"/>
          <w:shd w:val="clear" w:color="auto" w:fill="FFFFFF"/>
        </w:rPr>
        <w:t>Case of González et al. (“Cotton Field”) v. Mexico</w:t>
      </w:r>
      <w:r w:rsidRPr="009F1142">
        <w:rPr>
          <w:rStyle w:val="Strong"/>
          <w:rFonts w:ascii="Cambria" w:hAnsi="Cambria"/>
          <w:b w:val="0"/>
          <w:color w:val="auto"/>
          <w:sz w:val="16"/>
          <w:szCs w:val="16"/>
          <w:shd w:val="clear" w:color="auto" w:fill="FFFFFF"/>
        </w:rPr>
        <w:t>. Preliminary Objection, Merits, Reparations and Costs. Judgment of November 16, 2009. Series C, No. 205, para. 455.</w:t>
      </w:r>
    </w:p>
  </w:footnote>
  <w:footnote w:id="228">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 Court H.R. </w:t>
      </w:r>
      <w:r w:rsidRPr="009F1142">
        <w:rPr>
          <w:rFonts w:ascii="Cambria" w:hAnsi="Cambria"/>
          <w:i/>
          <w:color w:val="auto"/>
          <w:sz w:val="16"/>
          <w:szCs w:val="16"/>
        </w:rPr>
        <w:t xml:space="preserve">Case of Espinoza </w:t>
      </w:r>
      <w:proofErr w:type="spellStart"/>
      <w:r w:rsidRPr="009F1142">
        <w:rPr>
          <w:rFonts w:ascii="Cambria" w:hAnsi="Cambria"/>
          <w:i/>
          <w:color w:val="auto"/>
          <w:sz w:val="16"/>
          <w:szCs w:val="16"/>
        </w:rPr>
        <w:t>Gonzáles</w:t>
      </w:r>
      <w:proofErr w:type="spellEnd"/>
      <w:r w:rsidRPr="009F1142">
        <w:rPr>
          <w:rFonts w:ascii="Cambria" w:hAnsi="Cambria"/>
          <w:i/>
          <w:color w:val="auto"/>
          <w:sz w:val="16"/>
          <w:szCs w:val="16"/>
        </w:rPr>
        <w:t xml:space="preserve"> v. Peru</w:t>
      </w:r>
      <w:r w:rsidRPr="009F1142">
        <w:rPr>
          <w:rFonts w:ascii="Cambria" w:hAnsi="Cambria"/>
          <w:color w:val="auto"/>
          <w:sz w:val="16"/>
          <w:szCs w:val="16"/>
        </w:rPr>
        <w:t>. Preliminary Objections, Merits, Reparations and Costs. Judgment of November 20, 2014. Series C, No. 289, para. 252.</w:t>
      </w:r>
    </w:p>
  </w:footnote>
  <w:footnote w:id="22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IACHR. “The state of women’s rights in Ciudad </w:t>
      </w:r>
      <w:proofErr w:type="spellStart"/>
      <w:r w:rsidRPr="009F1142">
        <w:rPr>
          <w:rFonts w:ascii="Cambria" w:hAnsi="Cambria"/>
          <w:color w:val="auto"/>
          <w:sz w:val="16"/>
          <w:szCs w:val="16"/>
        </w:rPr>
        <w:t>Juárez</w:t>
      </w:r>
      <w:proofErr w:type="spellEnd"/>
      <w:r w:rsidRPr="009F1142">
        <w:rPr>
          <w:rFonts w:ascii="Cambria" w:hAnsi="Cambria"/>
          <w:color w:val="auto"/>
          <w:sz w:val="16"/>
          <w:szCs w:val="16"/>
        </w:rPr>
        <w:t>, Mexico. The right not to be an object of violence and discrimination” [available in Spanish at http://www.cidh.org/annualrep/2002sp/cap.vi.juarez.htm). Para. 165; I/A Court H.R. Case</w:t>
      </w:r>
      <w:r w:rsidRPr="009F1142">
        <w:rPr>
          <w:rStyle w:val="Strong"/>
          <w:rFonts w:ascii="Cambria" w:hAnsi="Cambria"/>
          <w:b w:val="0"/>
          <w:i/>
          <w:color w:val="auto"/>
          <w:sz w:val="16"/>
          <w:szCs w:val="16"/>
          <w:shd w:val="clear" w:color="auto" w:fill="FFFFFF"/>
        </w:rPr>
        <w:t xml:space="preserve"> of González et al. (“Cotton Field”) v. Mexico</w:t>
      </w:r>
      <w:r w:rsidRPr="009F1142">
        <w:rPr>
          <w:rStyle w:val="Strong"/>
          <w:rFonts w:ascii="Cambria" w:hAnsi="Cambria"/>
          <w:b w:val="0"/>
          <w:color w:val="auto"/>
          <w:sz w:val="16"/>
          <w:szCs w:val="16"/>
          <w:shd w:val="clear" w:color="auto" w:fill="FFFFFF"/>
        </w:rPr>
        <w:t>. Preliminary Objection, Merits, Reparations and Costs. Judgment of November 16, 2009. Series C No.205, para. 400.</w:t>
      </w:r>
    </w:p>
  </w:footnote>
  <w:footnote w:id="23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In 2008, the 226</w:t>
      </w:r>
      <w:r w:rsidRPr="009F1142">
        <w:rPr>
          <w:rFonts w:ascii="Cambria" w:hAnsi="Cambria"/>
          <w:color w:val="auto"/>
          <w:sz w:val="16"/>
          <w:szCs w:val="16"/>
          <w:vertAlign w:val="superscript"/>
        </w:rPr>
        <w:t>th</w:t>
      </w:r>
      <w:r w:rsidRPr="009F1142">
        <w:rPr>
          <w:rFonts w:ascii="Cambria" w:hAnsi="Cambria"/>
          <w:color w:val="auto"/>
          <w:sz w:val="16"/>
          <w:szCs w:val="16"/>
        </w:rPr>
        <w:t xml:space="preserve"> Special Prosecutor’s Office for Crimes against Sexual Freedom, Integrity, and Self-Determination opened a new investigation on the sexual violence crimes perpetrated against </w:t>
      </w:r>
      <w:proofErr w:type="spellStart"/>
      <w:r w:rsidRPr="009F1142">
        <w:rPr>
          <w:rFonts w:ascii="Cambria" w:hAnsi="Cambria"/>
          <w:color w:val="auto"/>
          <w:sz w:val="16"/>
          <w:szCs w:val="16"/>
        </w:rPr>
        <w:t>Jineth</w:t>
      </w:r>
      <w:proofErr w:type="spellEnd"/>
      <w:r w:rsidRPr="009F1142">
        <w:rPr>
          <w:rFonts w:ascii="Cambria" w:hAnsi="Cambria"/>
          <w:color w:val="auto"/>
          <w:sz w:val="16"/>
          <w:szCs w:val="16"/>
        </w:rPr>
        <w:t xml:space="preserve"> Bedoya, pursuant to Ruling 092 of the Constitutional Court of Colombia. After carrying out only a few activities, the 226</w:t>
      </w:r>
      <w:r w:rsidRPr="009F1142">
        <w:rPr>
          <w:rFonts w:ascii="Cambria" w:hAnsi="Cambria"/>
          <w:color w:val="auto"/>
          <w:sz w:val="16"/>
          <w:szCs w:val="16"/>
          <w:vertAlign w:val="superscript"/>
        </w:rPr>
        <w:t>th</w:t>
      </w:r>
      <w:r w:rsidRPr="009F1142">
        <w:rPr>
          <w:rFonts w:ascii="Cambria" w:hAnsi="Cambria"/>
          <w:color w:val="auto"/>
          <w:sz w:val="16"/>
          <w:szCs w:val="16"/>
        </w:rPr>
        <w:t xml:space="preserve"> Special Prosecutor’s Office transferred its jurisdiction and proceedings to the 6</w:t>
      </w:r>
      <w:r w:rsidRPr="009F1142">
        <w:rPr>
          <w:rFonts w:ascii="Cambria" w:hAnsi="Cambria"/>
          <w:color w:val="auto"/>
          <w:sz w:val="16"/>
          <w:szCs w:val="16"/>
          <w:vertAlign w:val="superscript"/>
        </w:rPr>
        <w:t>th</w:t>
      </w:r>
      <w:r w:rsidRPr="009F1142">
        <w:rPr>
          <w:rFonts w:ascii="Cambria" w:hAnsi="Cambria"/>
          <w:color w:val="auto"/>
          <w:sz w:val="16"/>
          <w:szCs w:val="16"/>
        </w:rPr>
        <w:t xml:space="preserve"> Prosecutor’s Office of the Human Rights Unit.</w:t>
      </w:r>
    </w:p>
  </w:footnote>
  <w:footnote w:id="231">
    <w:p w:rsidR="00637A06" w:rsidRPr="009F1142" w:rsidRDefault="00637A06" w:rsidP="009F11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Style w:val="Strong"/>
          <w:rFonts w:ascii="Cambria" w:hAnsi="Cambria"/>
          <w:b w:val="0"/>
          <w:sz w:val="16"/>
          <w:szCs w:val="16"/>
          <w:shd w:val="clear" w:color="auto" w:fill="FFFFFF"/>
        </w:rPr>
        <w:t xml:space="preserve">I/A Court H.R. </w:t>
      </w:r>
      <w:r w:rsidRPr="009F1142">
        <w:rPr>
          <w:rStyle w:val="Strong"/>
          <w:rFonts w:ascii="Cambria" w:hAnsi="Cambria"/>
          <w:b w:val="0"/>
          <w:i/>
          <w:sz w:val="16"/>
          <w:szCs w:val="16"/>
          <w:shd w:val="clear" w:color="auto" w:fill="FFFFFF"/>
        </w:rPr>
        <w:t>Case of Fernández Ortega et al. v. Mexico</w:t>
      </w:r>
      <w:r w:rsidRPr="009F1142">
        <w:rPr>
          <w:rStyle w:val="Strong"/>
          <w:rFonts w:ascii="Cambria" w:hAnsi="Cambria"/>
          <w:b w:val="0"/>
          <w:sz w:val="16"/>
          <w:szCs w:val="16"/>
          <w:shd w:val="clear" w:color="auto" w:fill="FFFFFF"/>
        </w:rPr>
        <w:t>. Preliminary Objection, Merits, Reparations and Costs. Judgment of August 30, 2010. Series C, No. 215. Para. 196.</w:t>
      </w:r>
    </w:p>
  </w:footnote>
  <w:footnote w:id="232">
    <w:p w:rsidR="00637A06" w:rsidRPr="009F1142" w:rsidRDefault="00637A06" w:rsidP="009F1142">
      <w:pPr>
        <w:pStyle w:val="FootnoteText"/>
        <w:tabs>
          <w:tab w:val="left" w:pos="-90"/>
          <w:tab w:val="left" w:pos="90"/>
        </w:tabs>
        <w:jc w:val="both"/>
        <w:rPr>
          <w:rFonts w:ascii="Cambria" w:hAnsi="Cambria"/>
          <w:sz w:val="16"/>
          <w:szCs w:val="16"/>
        </w:rPr>
      </w:pPr>
      <w:r w:rsidRPr="009F1142">
        <w:rPr>
          <w:rStyle w:val="FootnoteReference"/>
          <w:rFonts w:ascii="Cambria" w:hAnsi="Cambria"/>
          <w:sz w:val="16"/>
          <w:szCs w:val="16"/>
          <w:lang w:val="es-ES_tradnl"/>
        </w:rPr>
        <w:footnoteRef/>
      </w:r>
      <w:r w:rsidRPr="009F1142">
        <w:rPr>
          <w:rFonts w:ascii="Cambria" w:hAnsi="Cambria"/>
          <w:sz w:val="16"/>
          <w:szCs w:val="16"/>
        </w:rPr>
        <w:t xml:space="preserve"> </w:t>
      </w:r>
      <w:proofErr w:type="spellStart"/>
      <w:r w:rsidRPr="009F1142">
        <w:rPr>
          <w:rFonts w:ascii="Cambria" w:hAnsi="Cambria"/>
          <w:color w:val="auto"/>
          <w:sz w:val="16"/>
          <w:szCs w:val="16"/>
        </w:rPr>
        <w:t>Cfr</w:t>
      </w:r>
      <w:proofErr w:type="spellEnd"/>
      <w:r w:rsidRPr="009F1142">
        <w:rPr>
          <w:rFonts w:ascii="Cambria" w:hAnsi="Cambria"/>
          <w:color w:val="auto"/>
          <w:sz w:val="16"/>
          <w:szCs w:val="16"/>
        </w:rPr>
        <w:t xml:space="preserve">. Office of the United Nations High Commissioner for Human Rights. Istanbul Protocol: Manual on the Effective Investigation and Documentation of Torture and other Cruel, Inhuman or Degrading Treatment or Punishment. </w:t>
      </w:r>
      <w:r w:rsidRPr="009F1142">
        <w:rPr>
          <w:rFonts w:ascii="Cambria" w:hAnsi="Cambria"/>
          <w:color w:val="auto"/>
          <w:sz w:val="16"/>
          <w:szCs w:val="16"/>
          <w:lang w:val="pt-BR"/>
        </w:rPr>
        <w:t xml:space="preserve">HR/P/PT/8/Rev.1, Geneva, 9 August 1999, supra note 36, </w:t>
      </w:r>
      <w:r w:rsidRPr="009F1142">
        <w:rPr>
          <w:rFonts w:ascii="Cambria" w:hAnsi="Cambria"/>
          <w:i/>
          <w:color w:val="auto"/>
          <w:sz w:val="16"/>
          <w:szCs w:val="16"/>
          <w:lang w:val="pt-BR"/>
        </w:rPr>
        <w:t>inter alia</w:t>
      </w:r>
      <w:r w:rsidRPr="009F1142">
        <w:rPr>
          <w:rFonts w:ascii="Cambria" w:hAnsi="Cambria"/>
          <w:color w:val="auto"/>
          <w:sz w:val="16"/>
          <w:szCs w:val="16"/>
          <w:lang w:val="pt-BR"/>
        </w:rPr>
        <w:t xml:space="preserve">, para. </w:t>
      </w:r>
      <w:r w:rsidRPr="009F1142">
        <w:rPr>
          <w:rFonts w:ascii="Cambria" w:hAnsi="Cambria"/>
          <w:color w:val="auto"/>
          <w:sz w:val="16"/>
          <w:szCs w:val="16"/>
        </w:rPr>
        <w:t xml:space="preserve">67, 77, 89, 99, 101-103, 155, 162, 163, 170, 171, 224, 225, 260, 269; 290; and World Health Organization, Guidelines for medico-legal care for victims of sexual violence, supra note 36, </w:t>
      </w:r>
      <w:r w:rsidRPr="009F1142">
        <w:rPr>
          <w:rFonts w:ascii="Cambria" w:hAnsi="Cambria"/>
          <w:i/>
          <w:color w:val="auto"/>
          <w:sz w:val="16"/>
          <w:szCs w:val="16"/>
        </w:rPr>
        <w:t>inter alia</w:t>
      </w:r>
      <w:r w:rsidRPr="009F1142">
        <w:rPr>
          <w:rFonts w:ascii="Cambria" w:hAnsi="Cambria"/>
          <w:color w:val="auto"/>
          <w:sz w:val="16"/>
          <w:szCs w:val="16"/>
        </w:rPr>
        <w:t>, pp. 17, 30, 31, 34, 39-44; 57-74.</w:t>
      </w:r>
    </w:p>
  </w:footnote>
  <w:footnote w:id="233">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Style w:val="Strong"/>
          <w:rFonts w:ascii="Cambria" w:hAnsi="Cambria"/>
          <w:b w:val="0"/>
          <w:color w:val="auto"/>
          <w:sz w:val="16"/>
          <w:szCs w:val="16"/>
          <w:shd w:val="clear" w:color="auto" w:fill="FFFFFF"/>
        </w:rPr>
        <w:t xml:space="preserve">I/A Court H.R. </w:t>
      </w:r>
      <w:r w:rsidRPr="009F1142">
        <w:rPr>
          <w:rStyle w:val="Strong"/>
          <w:rFonts w:ascii="Cambria" w:hAnsi="Cambria"/>
          <w:b w:val="0"/>
          <w:i/>
          <w:color w:val="auto"/>
          <w:sz w:val="16"/>
          <w:szCs w:val="16"/>
          <w:shd w:val="clear" w:color="auto" w:fill="FFFFFF"/>
        </w:rPr>
        <w:t>Case of Fernández Ortega et al. v. Mexico</w:t>
      </w:r>
      <w:r w:rsidRPr="009F1142">
        <w:rPr>
          <w:rStyle w:val="Strong"/>
          <w:rFonts w:ascii="Cambria" w:hAnsi="Cambria"/>
          <w:b w:val="0"/>
          <w:color w:val="auto"/>
          <w:sz w:val="16"/>
          <w:szCs w:val="16"/>
          <w:shd w:val="clear" w:color="auto" w:fill="FFFFFF"/>
        </w:rPr>
        <w:t>. Preliminary Objection, Merits, Reparations and Costs. Judgment of August 30, 2010. Series C, No. 215. Para. 194.</w:t>
      </w:r>
    </w:p>
  </w:footnote>
  <w:footnote w:id="234">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IACHR, Access to justice for women victims of violence in the Americas, </w:t>
      </w:r>
      <w:r w:rsidRPr="009F1142">
        <w:rPr>
          <w:rFonts w:ascii="Cambria" w:hAnsi="Cambria"/>
          <w:sz w:val="16"/>
          <w:szCs w:val="16"/>
        </w:rPr>
        <w:t>OEA/</w:t>
      </w:r>
      <w:proofErr w:type="spellStart"/>
      <w:r w:rsidRPr="009F1142">
        <w:rPr>
          <w:rFonts w:ascii="Cambria" w:hAnsi="Cambria"/>
          <w:sz w:val="16"/>
          <w:szCs w:val="16"/>
        </w:rPr>
        <w:t>Ser.L</w:t>
      </w:r>
      <w:proofErr w:type="spellEnd"/>
      <w:r w:rsidRPr="009F1142">
        <w:rPr>
          <w:rFonts w:ascii="Cambria" w:hAnsi="Cambria"/>
          <w:sz w:val="16"/>
          <w:szCs w:val="16"/>
        </w:rPr>
        <w:t>/V/II. Doc. 68.</w:t>
      </w:r>
      <w:r w:rsidRPr="009F1142">
        <w:rPr>
          <w:rFonts w:ascii="Cambria" w:hAnsi="Cambria"/>
          <w:color w:val="auto"/>
          <w:sz w:val="16"/>
          <w:szCs w:val="16"/>
        </w:rPr>
        <w:t xml:space="preserve"> January 20, 2007, para. 155.</w:t>
      </w:r>
    </w:p>
  </w:footnote>
  <w:footnote w:id="235">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w:t>
      </w:r>
      <w:r w:rsidRPr="009F1142">
        <w:rPr>
          <w:rFonts w:ascii="Cambria" w:hAnsi="Cambria"/>
          <w:color w:val="auto"/>
          <w:sz w:val="16"/>
          <w:szCs w:val="16"/>
        </w:rPr>
        <w:t xml:space="preserve">IACHR, Access to justice for women victims of violence in the Americas, </w:t>
      </w:r>
      <w:r w:rsidRPr="009F1142">
        <w:rPr>
          <w:rFonts w:ascii="Cambria" w:hAnsi="Cambria"/>
          <w:sz w:val="16"/>
          <w:szCs w:val="16"/>
        </w:rPr>
        <w:t>OEA/</w:t>
      </w:r>
      <w:proofErr w:type="spellStart"/>
      <w:r w:rsidRPr="009F1142">
        <w:rPr>
          <w:rFonts w:ascii="Cambria" w:hAnsi="Cambria"/>
          <w:sz w:val="16"/>
          <w:szCs w:val="16"/>
        </w:rPr>
        <w:t>Ser.L</w:t>
      </w:r>
      <w:proofErr w:type="spellEnd"/>
      <w:r w:rsidRPr="009F1142">
        <w:rPr>
          <w:rFonts w:ascii="Cambria" w:hAnsi="Cambria"/>
          <w:sz w:val="16"/>
          <w:szCs w:val="16"/>
        </w:rPr>
        <w:t>/V/II. Doc. 68.</w:t>
      </w:r>
      <w:r w:rsidRPr="009F1142">
        <w:rPr>
          <w:rFonts w:ascii="Cambria" w:hAnsi="Cambria"/>
          <w:color w:val="auto"/>
          <w:sz w:val="16"/>
          <w:szCs w:val="16"/>
        </w:rPr>
        <w:t xml:space="preserve"> January 20, 2007, para. 8.</w:t>
      </w:r>
    </w:p>
  </w:footnote>
  <w:footnote w:id="236">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lang w:val="es-AR"/>
        </w:rPr>
        <w:footnoteRef/>
      </w:r>
      <w:r w:rsidRPr="009F1142">
        <w:rPr>
          <w:rFonts w:ascii="Cambria" w:hAnsi="Cambria"/>
          <w:sz w:val="16"/>
          <w:szCs w:val="16"/>
        </w:rPr>
        <w:t xml:space="preserve"> </w:t>
      </w:r>
      <w:r w:rsidRPr="009F1142">
        <w:rPr>
          <w:rStyle w:val="FootnoteReference"/>
          <w:rFonts w:ascii="Cambria" w:hAnsi="Cambria"/>
          <w:color w:val="auto"/>
          <w:sz w:val="16"/>
          <w:szCs w:val="16"/>
          <w:vertAlign w:val="baseline"/>
        </w:rPr>
        <w:t>I/A Court H.R.,</w:t>
      </w:r>
      <w:r w:rsidRPr="009F1142">
        <w:rPr>
          <w:rStyle w:val="Strong"/>
          <w:rFonts w:ascii="Cambria" w:hAnsi="Cambria" w:cs="Cambria"/>
          <w:color w:val="auto"/>
          <w:sz w:val="16"/>
          <w:szCs w:val="16"/>
          <w:shd w:val="clear" w:color="auto" w:fill="FFFFFF"/>
        </w:rPr>
        <w:t xml:space="preserve"> </w:t>
      </w:r>
      <w:hyperlink r:id="rId28" w:history="1">
        <w:r w:rsidRPr="009F1142">
          <w:rPr>
            <w:rStyle w:val="Hyperlink"/>
            <w:rFonts w:ascii="Cambria" w:hAnsi="Cambria" w:cs="Cambria"/>
            <w:i/>
            <w:color w:val="auto"/>
            <w:sz w:val="16"/>
            <w:szCs w:val="16"/>
            <w:shd w:val="clear" w:color="auto" w:fill="FFFFFF"/>
          </w:rPr>
          <w:t>Case of Gutiérrez Hernández et al. v. Guatemala</w:t>
        </w:r>
      </w:hyperlink>
      <w:r w:rsidRPr="009F1142">
        <w:rPr>
          <w:rStyle w:val="Hyperlink"/>
          <w:rFonts w:ascii="Cambria" w:hAnsi="Cambria" w:cs="Cambria"/>
          <w:i/>
          <w:color w:val="auto"/>
          <w:sz w:val="16"/>
          <w:szCs w:val="16"/>
          <w:shd w:val="clear" w:color="auto" w:fill="FFFFFF"/>
        </w:rPr>
        <w:t>.</w:t>
      </w:r>
      <w:r w:rsidRPr="009F1142">
        <w:rPr>
          <w:rStyle w:val="Strong"/>
          <w:rFonts w:ascii="Cambria" w:hAnsi="Cambria" w:cs="Cambria"/>
          <w:color w:val="auto"/>
          <w:sz w:val="16"/>
          <w:szCs w:val="16"/>
          <w:shd w:val="clear" w:color="auto" w:fill="FFFFFF"/>
        </w:rPr>
        <w:t xml:space="preserve"> </w:t>
      </w:r>
      <w:r w:rsidRPr="009F1142">
        <w:rPr>
          <w:rStyle w:val="Strong"/>
          <w:rFonts w:ascii="Cambria" w:hAnsi="Cambria" w:cs="Cambria"/>
          <w:b w:val="0"/>
          <w:color w:val="auto"/>
          <w:sz w:val="16"/>
          <w:szCs w:val="16"/>
          <w:shd w:val="clear" w:color="auto" w:fill="FFFFFF"/>
        </w:rPr>
        <w:t xml:space="preserve">Preliminary Objections, Merits, Reparation and Costs. Judgment of August 24, 2017. Series C, No. 339. </w:t>
      </w:r>
      <w:r w:rsidRPr="009F1142">
        <w:rPr>
          <w:rStyle w:val="Strong"/>
          <w:rFonts w:ascii="Cambria" w:hAnsi="Cambria" w:cs="Cambria"/>
          <w:b w:val="0"/>
          <w:color w:val="auto"/>
          <w:sz w:val="16"/>
          <w:szCs w:val="16"/>
          <w:shd w:val="clear" w:color="auto" w:fill="FFFFFF"/>
          <w:lang w:val="es-US"/>
        </w:rPr>
        <w:t xml:space="preserve">Para. 147. </w:t>
      </w:r>
      <w:r w:rsidRPr="009F1142">
        <w:rPr>
          <w:rStyle w:val="FootnoteReference"/>
          <w:rFonts w:ascii="Cambria" w:hAnsi="Cambria"/>
          <w:color w:val="auto"/>
          <w:sz w:val="16"/>
          <w:szCs w:val="16"/>
          <w:vertAlign w:val="baseline"/>
          <w:lang w:val="es-US"/>
        </w:rPr>
        <w:t xml:space="preserve">I/A </w:t>
      </w:r>
      <w:proofErr w:type="spellStart"/>
      <w:r w:rsidRPr="009F1142">
        <w:rPr>
          <w:rStyle w:val="FootnoteReference"/>
          <w:rFonts w:ascii="Cambria" w:hAnsi="Cambria"/>
          <w:color w:val="auto"/>
          <w:sz w:val="16"/>
          <w:szCs w:val="16"/>
          <w:vertAlign w:val="baseline"/>
          <w:lang w:val="es-US"/>
        </w:rPr>
        <w:t>Court</w:t>
      </w:r>
      <w:proofErr w:type="spellEnd"/>
      <w:r w:rsidRPr="009F1142">
        <w:rPr>
          <w:rStyle w:val="FootnoteReference"/>
          <w:rFonts w:ascii="Cambria" w:hAnsi="Cambria"/>
          <w:color w:val="auto"/>
          <w:sz w:val="16"/>
          <w:szCs w:val="16"/>
          <w:vertAlign w:val="baseline"/>
          <w:lang w:val="es-US"/>
        </w:rPr>
        <w:t xml:space="preserve"> H.R. Case</w:t>
      </w:r>
      <w:r w:rsidRPr="009F1142">
        <w:rPr>
          <w:rFonts w:ascii="Cambria" w:hAnsi="Cambria"/>
          <w:i/>
          <w:color w:val="auto"/>
          <w:sz w:val="16"/>
          <w:szCs w:val="16"/>
          <w:lang w:val="es-US"/>
        </w:rPr>
        <w:t xml:space="preserve"> of Veliz Franco et al. v. Guatemala</w:t>
      </w:r>
      <w:r w:rsidRPr="009F1142">
        <w:rPr>
          <w:rFonts w:ascii="Cambria" w:hAnsi="Cambria"/>
          <w:color w:val="auto"/>
          <w:sz w:val="16"/>
          <w:szCs w:val="16"/>
          <w:lang w:val="es-US"/>
        </w:rPr>
        <w:t xml:space="preserve">. </w:t>
      </w:r>
      <w:r w:rsidRPr="009F1142">
        <w:rPr>
          <w:rFonts w:ascii="Cambria" w:hAnsi="Cambria"/>
          <w:color w:val="auto"/>
          <w:sz w:val="16"/>
          <w:szCs w:val="16"/>
        </w:rPr>
        <w:t>Preliminary Objections, Merits, Reparations and Costs. Judgment of May 19, 2014. Para. 209.</w:t>
      </w:r>
    </w:p>
  </w:footnote>
  <w:footnote w:id="237">
    <w:p w:rsidR="00637A06" w:rsidRPr="009F1142" w:rsidRDefault="00637A06" w:rsidP="009F1142">
      <w:pPr>
        <w:widowControl w:val="0"/>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I/A Court H.R. </w:t>
      </w:r>
      <w:r w:rsidRPr="009F1142">
        <w:rPr>
          <w:rFonts w:ascii="Cambria" w:hAnsi="Cambria"/>
          <w:i/>
          <w:sz w:val="16"/>
          <w:szCs w:val="16"/>
        </w:rPr>
        <w:t xml:space="preserve">Case of Gómez Palomino v. Peru. </w:t>
      </w:r>
      <w:r w:rsidRPr="009F1142">
        <w:rPr>
          <w:rFonts w:ascii="Cambria" w:hAnsi="Cambria"/>
          <w:sz w:val="16"/>
          <w:szCs w:val="16"/>
        </w:rPr>
        <w:t xml:space="preserve">Merits, Reparations and Costs. Judgment of November 22, 2005. Series C, No. 136. Para. 85; </w:t>
      </w:r>
      <w:r w:rsidRPr="009F1142">
        <w:rPr>
          <w:rFonts w:ascii="Cambria" w:hAnsi="Cambria" w:cs="Arial"/>
          <w:sz w:val="16"/>
          <w:szCs w:val="16"/>
        </w:rPr>
        <w:t xml:space="preserve">I/A Court H.R. </w:t>
      </w:r>
      <w:r w:rsidRPr="009F1142">
        <w:rPr>
          <w:rFonts w:ascii="Cambria" w:hAnsi="Cambria" w:cs="Arial"/>
          <w:i/>
          <w:sz w:val="16"/>
          <w:szCs w:val="16"/>
        </w:rPr>
        <w:t xml:space="preserve">Case of the </w:t>
      </w:r>
      <w:proofErr w:type="spellStart"/>
      <w:r w:rsidRPr="009F1142">
        <w:rPr>
          <w:rFonts w:ascii="Cambria" w:hAnsi="Cambria" w:cs="Arial"/>
          <w:i/>
          <w:sz w:val="16"/>
          <w:szCs w:val="16"/>
        </w:rPr>
        <w:t>Moiwana</w:t>
      </w:r>
      <w:proofErr w:type="spellEnd"/>
      <w:r w:rsidRPr="009F1142">
        <w:rPr>
          <w:rFonts w:ascii="Cambria" w:hAnsi="Cambria" w:cs="Arial"/>
          <w:i/>
          <w:sz w:val="16"/>
          <w:szCs w:val="16"/>
        </w:rPr>
        <w:t xml:space="preserve"> Community v. Suriname. </w:t>
      </w:r>
      <w:r w:rsidRPr="009F1142">
        <w:rPr>
          <w:rFonts w:ascii="Cambria" w:hAnsi="Cambria" w:cs="Arial"/>
          <w:sz w:val="16"/>
          <w:szCs w:val="16"/>
        </w:rPr>
        <w:t>Preliminary Objections, Merits, Reparations and Costs. Judgment of June 15, 2005. Series C, No. 124. Para. 160.</w:t>
      </w:r>
    </w:p>
  </w:footnote>
  <w:footnote w:id="238">
    <w:p w:rsidR="00637A06" w:rsidRPr="009F1142" w:rsidRDefault="00637A06" w:rsidP="009F1142">
      <w:pPr>
        <w:widowControl w:val="0"/>
        <w:jc w:val="both"/>
        <w:rPr>
          <w:rFonts w:ascii="Cambria" w:hAnsi="Cambria"/>
          <w:sz w:val="16"/>
          <w:szCs w:val="16"/>
        </w:rPr>
      </w:pPr>
      <w:r w:rsidRPr="009F1142">
        <w:rPr>
          <w:rStyle w:val="FootnoteReference"/>
          <w:rFonts w:ascii="Cambria" w:hAnsi="Cambria"/>
          <w:sz w:val="16"/>
          <w:szCs w:val="16"/>
        </w:rPr>
        <w:footnoteRef/>
      </w:r>
      <w:r w:rsidRPr="009F1142">
        <w:rPr>
          <w:rFonts w:ascii="Cambria" w:hAnsi="Cambria"/>
          <w:sz w:val="16"/>
          <w:szCs w:val="16"/>
        </w:rPr>
        <w:t xml:space="preserve"> I/A Court H.R. </w:t>
      </w:r>
      <w:r w:rsidRPr="009F1142">
        <w:rPr>
          <w:rFonts w:ascii="Cambria" w:hAnsi="Cambria"/>
          <w:i/>
          <w:sz w:val="16"/>
          <w:szCs w:val="16"/>
        </w:rPr>
        <w:t xml:space="preserve">Case of Gómez Palomino v. Peru. </w:t>
      </w:r>
      <w:r w:rsidRPr="009F1142">
        <w:rPr>
          <w:rFonts w:ascii="Cambria" w:hAnsi="Cambria"/>
          <w:sz w:val="16"/>
          <w:szCs w:val="16"/>
        </w:rPr>
        <w:t>Merits, Reparations and Costs. Judgment of November 22, 2005. Series C, No. 136. Para. 85.</w:t>
      </w:r>
    </w:p>
  </w:footnote>
  <w:footnote w:id="239">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lang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Cantoral</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Huamaní</w:t>
      </w:r>
      <w:proofErr w:type="spellEnd"/>
      <w:r w:rsidRPr="009F1142">
        <w:rPr>
          <w:rFonts w:ascii="Cambria" w:hAnsi="Cambria"/>
          <w:i/>
          <w:color w:val="auto"/>
          <w:sz w:val="16"/>
          <w:szCs w:val="16"/>
          <w:lang w:eastAsia="x-none"/>
        </w:rPr>
        <w:t xml:space="preserve"> and García Santa Cruz v. Peru</w:t>
      </w:r>
      <w:r w:rsidRPr="009F1142">
        <w:rPr>
          <w:rFonts w:ascii="Cambria" w:hAnsi="Cambria"/>
          <w:color w:val="auto"/>
          <w:sz w:val="16"/>
          <w:szCs w:val="16"/>
          <w:lang w:eastAsia="x-none"/>
        </w:rPr>
        <w:t xml:space="preserve">. Preliminary Objection, Merits, Reparations and Costs. Judgment of July 10, 2007. Series C, No. 167. Para. 112; I/A Court H.R. </w:t>
      </w:r>
      <w:r w:rsidRPr="009F1142">
        <w:rPr>
          <w:rFonts w:ascii="Cambria" w:hAnsi="Cambria"/>
          <w:i/>
          <w:color w:val="auto"/>
          <w:sz w:val="16"/>
          <w:szCs w:val="16"/>
          <w:lang w:eastAsia="x-none"/>
        </w:rPr>
        <w:t>Case of Bueno Alves v. Argentina</w:t>
      </w:r>
      <w:r w:rsidRPr="009F1142">
        <w:rPr>
          <w:rFonts w:ascii="Cambria" w:hAnsi="Cambria"/>
          <w:color w:val="auto"/>
          <w:sz w:val="16"/>
          <w:szCs w:val="16"/>
          <w:lang w:eastAsia="x-none"/>
        </w:rPr>
        <w:t>. Judgment of May 11, 2007. Series C. No. 164. Para. 102.</w:t>
      </w:r>
    </w:p>
  </w:footnote>
  <w:footnote w:id="240">
    <w:p w:rsidR="00637A06" w:rsidRPr="009F1142" w:rsidRDefault="00637A06" w:rsidP="009F1142">
      <w:pPr>
        <w:pStyle w:val="FootnoteText"/>
        <w:jc w:val="both"/>
        <w:rPr>
          <w:rFonts w:ascii="Cambria" w:hAnsi="Cambria"/>
          <w:sz w:val="16"/>
          <w:szCs w:val="16"/>
        </w:rPr>
      </w:pPr>
      <w:r w:rsidRPr="009F1142">
        <w:rPr>
          <w:rStyle w:val="FootnoteReference"/>
          <w:rFonts w:ascii="Cambria" w:hAnsi="Cambria"/>
          <w:sz w:val="16"/>
          <w:szCs w:val="16"/>
          <w:lang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Cantoral</w:t>
      </w:r>
      <w:proofErr w:type="spellEnd"/>
      <w:r w:rsidRPr="009F1142">
        <w:rPr>
          <w:rFonts w:ascii="Cambria" w:hAnsi="Cambria"/>
          <w:i/>
          <w:color w:val="auto"/>
          <w:sz w:val="16"/>
          <w:szCs w:val="16"/>
          <w:lang w:eastAsia="x-none"/>
        </w:rPr>
        <w:t xml:space="preserve"> </w:t>
      </w:r>
      <w:proofErr w:type="spellStart"/>
      <w:r w:rsidRPr="009F1142">
        <w:rPr>
          <w:rFonts w:ascii="Cambria" w:hAnsi="Cambria"/>
          <w:i/>
          <w:color w:val="auto"/>
          <w:sz w:val="16"/>
          <w:szCs w:val="16"/>
          <w:lang w:eastAsia="x-none"/>
        </w:rPr>
        <w:t>Huamaní</w:t>
      </w:r>
      <w:proofErr w:type="spellEnd"/>
      <w:r w:rsidRPr="009F1142">
        <w:rPr>
          <w:rFonts w:ascii="Cambria" w:hAnsi="Cambria"/>
          <w:i/>
          <w:color w:val="auto"/>
          <w:sz w:val="16"/>
          <w:szCs w:val="16"/>
          <w:lang w:eastAsia="x-none"/>
        </w:rPr>
        <w:t xml:space="preserve"> and García Santa Cruz v. Peru</w:t>
      </w:r>
      <w:r w:rsidRPr="009F1142">
        <w:rPr>
          <w:rFonts w:ascii="Cambria" w:hAnsi="Cambria"/>
          <w:color w:val="auto"/>
          <w:sz w:val="16"/>
          <w:szCs w:val="16"/>
          <w:lang w:eastAsia="x-none"/>
        </w:rPr>
        <w:t xml:space="preserve">. Preliminary Objection, Merits, Reparations and Costs. Judgment of July 10, 2007. Series C, No. 167. Para. 112; I/A Court H.R. </w:t>
      </w:r>
      <w:r w:rsidRPr="009F1142">
        <w:rPr>
          <w:rFonts w:ascii="Cambria" w:hAnsi="Cambria"/>
          <w:i/>
          <w:color w:val="auto"/>
          <w:sz w:val="16"/>
          <w:szCs w:val="16"/>
          <w:lang w:eastAsia="x-none"/>
        </w:rPr>
        <w:t xml:space="preserve">Case of Vargas </w:t>
      </w:r>
      <w:proofErr w:type="spellStart"/>
      <w:r w:rsidRPr="009F1142">
        <w:rPr>
          <w:rFonts w:ascii="Cambria" w:hAnsi="Cambria"/>
          <w:i/>
          <w:color w:val="auto"/>
          <w:sz w:val="16"/>
          <w:szCs w:val="16"/>
          <w:lang w:eastAsia="x-none"/>
        </w:rPr>
        <w:t>Areco</w:t>
      </w:r>
      <w:proofErr w:type="spellEnd"/>
      <w:r w:rsidRPr="009F1142">
        <w:rPr>
          <w:rFonts w:ascii="Cambria" w:hAnsi="Cambria"/>
          <w:i/>
          <w:color w:val="auto"/>
          <w:sz w:val="16"/>
          <w:szCs w:val="16"/>
          <w:lang w:eastAsia="x-none"/>
        </w:rPr>
        <w:t xml:space="preserve"> v. Paraguay</w:t>
      </w:r>
      <w:r w:rsidRPr="009F1142">
        <w:rPr>
          <w:rFonts w:ascii="Cambria" w:hAnsi="Cambria"/>
          <w:color w:val="auto"/>
          <w:sz w:val="16"/>
          <w:szCs w:val="16"/>
          <w:lang w:eastAsia="x-none"/>
        </w:rPr>
        <w:t>. Judgment of September 26, 2006. Series C, No. 155. Para. 96.</w:t>
      </w:r>
    </w:p>
  </w:footnote>
  <w:footnote w:id="241">
    <w:p w:rsidR="00637A06" w:rsidRPr="00DF5D34" w:rsidRDefault="00637A06" w:rsidP="009F1142">
      <w:pPr>
        <w:pStyle w:val="FootnoteText"/>
        <w:jc w:val="both"/>
        <w:rPr>
          <w:rFonts w:ascii="Cambria" w:hAnsi="Cambria"/>
          <w:sz w:val="16"/>
          <w:szCs w:val="16"/>
          <w:lang w:val="es-CO"/>
        </w:rPr>
      </w:pPr>
      <w:r w:rsidRPr="009F1142">
        <w:rPr>
          <w:rStyle w:val="FootnoteReference"/>
          <w:rFonts w:ascii="Cambria" w:hAnsi="Cambria"/>
          <w:sz w:val="16"/>
          <w:szCs w:val="16"/>
          <w:lang w:eastAsia="x-none"/>
        </w:rPr>
        <w:footnoteRef/>
      </w:r>
      <w:r w:rsidRPr="009F1142">
        <w:rPr>
          <w:rFonts w:ascii="Cambria" w:hAnsi="Cambria"/>
          <w:sz w:val="16"/>
          <w:szCs w:val="16"/>
          <w:lang w:eastAsia="x-none"/>
        </w:rPr>
        <w:t xml:space="preserve"> </w:t>
      </w:r>
      <w:r w:rsidRPr="009F1142">
        <w:rPr>
          <w:rFonts w:ascii="Cambria" w:hAnsi="Cambria"/>
          <w:color w:val="auto"/>
          <w:sz w:val="16"/>
          <w:szCs w:val="16"/>
          <w:lang w:eastAsia="x-none"/>
        </w:rPr>
        <w:t xml:space="preserve">I/A Court H.R. </w:t>
      </w:r>
      <w:r w:rsidRPr="009F1142">
        <w:rPr>
          <w:rFonts w:ascii="Cambria" w:hAnsi="Cambria"/>
          <w:i/>
          <w:color w:val="auto"/>
          <w:sz w:val="16"/>
          <w:szCs w:val="16"/>
          <w:lang w:eastAsia="x-none"/>
        </w:rPr>
        <w:t>Case of Valle Jaramillo et al. v. Colombia</w:t>
      </w:r>
      <w:r w:rsidRPr="009F1142">
        <w:rPr>
          <w:rFonts w:ascii="Cambria" w:hAnsi="Cambria"/>
          <w:color w:val="auto"/>
          <w:sz w:val="16"/>
          <w:szCs w:val="16"/>
          <w:lang w:eastAsia="x-none"/>
        </w:rPr>
        <w:t xml:space="preserve">. Merits, Reparations and Costs. Judgment of November 27, 2008. Series C, No. 192. Para. 98; I/A Court H.R. </w:t>
      </w:r>
      <w:r w:rsidRPr="009F1142">
        <w:rPr>
          <w:rFonts w:ascii="Cambria" w:hAnsi="Cambria"/>
          <w:i/>
          <w:color w:val="auto"/>
          <w:sz w:val="16"/>
          <w:szCs w:val="16"/>
          <w:lang w:eastAsia="x-none"/>
        </w:rPr>
        <w:t>Case of Velásquez-Rodríguez v. Honduras</w:t>
      </w:r>
      <w:r w:rsidRPr="009F1142">
        <w:rPr>
          <w:rFonts w:ascii="Cambria" w:hAnsi="Cambria"/>
          <w:color w:val="auto"/>
          <w:sz w:val="16"/>
          <w:szCs w:val="16"/>
          <w:lang w:eastAsia="x-none"/>
        </w:rPr>
        <w:t xml:space="preserve">. Judgment of July 29, 1988, Series C, No. 4. Para. 166; I/A Court H.R. </w:t>
      </w:r>
      <w:r w:rsidRPr="009F1142">
        <w:rPr>
          <w:rFonts w:ascii="Cambria" w:hAnsi="Cambria"/>
          <w:i/>
          <w:color w:val="auto"/>
          <w:sz w:val="16"/>
          <w:szCs w:val="16"/>
          <w:lang w:eastAsia="x-none"/>
        </w:rPr>
        <w:t xml:space="preserve">Case of </w:t>
      </w:r>
      <w:proofErr w:type="spellStart"/>
      <w:r w:rsidRPr="009F1142">
        <w:rPr>
          <w:rFonts w:ascii="Cambria" w:hAnsi="Cambria"/>
          <w:i/>
          <w:color w:val="auto"/>
          <w:sz w:val="16"/>
          <w:szCs w:val="16"/>
          <w:lang w:eastAsia="x-none"/>
        </w:rPr>
        <w:t>Heliodoro</w:t>
      </w:r>
      <w:proofErr w:type="spellEnd"/>
      <w:r w:rsidRPr="009F1142">
        <w:rPr>
          <w:rFonts w:ascii="Cambria" w:hAnsi="Cambria"/>
          <w:i/>
          <w:color w:val="auto"/>
          <w:sz w:val="16"/>
          <w:szCs w:val="16"/>
          <w:lang w:eastAsia="x-none"/>
        </w:rPr>
        <w:t xml:space="preserve"> Portugal v. Panama</w:t>
      </w:r>
      <w:r w:rsidRPr="009F1142">
        <w:rPr>
          <w:rFonts w:ascii="Cambria" w:hAnsi="Cambria"/>
          <w:color w:val="auto"/>
          <w:sz w:val="16"/>
          <w:szCs w:val="16"/>
          <w:lang w:eastAsia="x-none"/>
        </w:rPr>
        <w:t xml:space="preserve">. Judgment of August 12, 2008. Series C, No. 186. Para. 142; I/A Court H.R. Case </w:t>
      </w:r>
      <w:r w:rsidRPr="009F1142">
        <w:rPr>
          <w:rFonts w:ascii="Cambria" w:hAnsi="Cambria"/>
          <w:i/>
          <w:color w:val="auto"/>
          <w:sz w:val="16"/>
          <w:szCs w:val="16"/>
          <w:lang w:eastAsia="x-none"/>
        </w:rPr>
        <w:t>of García Prieto et al. v. El Salvador</w:t>
      </w:r>
      <w:r w:rsidRPr="009F1142">
        <w:rPr>
          <w:rFonts w:ascii="Cambria" w:hAnsi="Cambria"/>
          <w:color w:val="auto"/>
          <w:sz w:val="16"/>
          <w:szCs w:val="16"/>
          <w:lang w:eastAsia="x-none"/>
        </w:rPr>
        <w:t>. Judgment of November 20, 2007, Series C, No. 168. Para.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6" w:rsidRDefault="00637A06" w:rsidP="003A235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37A06" w:rsidRDefault="00637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6" w:rsidRDefault="00637A06" w:rsidP="003A2359">
    <w:pPr>
      <w:pStyle w:val="Header"/>
      <w:tabs>
        <w:tab w:val="clear" w:pos="4320"/>
        <w:tab w:val="clear" w:pos="8640"/>
      </w:tabs>
      <w:jc w:val="center"/>
      <w:rPr>
        <w:sz w:val="22"/>
        <w:szCs w:val="22"/>
      </w:rPr>
    </w:pPr>
    <w:r w:rsidRPr="00AF2F61">
      <w:rPr>
        <w:noProof/>
        <w:sz w:val="22"/>
        <w:szCs w:val="22"/>
        <w:lang w:eastAsia="zh-CN"/>
      </w:rPr>
      <w:drawing>
        <wp:inline distT="0" distB="0" distL="0" distR="0">
          <wp:extent cx="2208530" cy="120650"/>
          <wp:effectExtent l="0" t="0" r="1270" b="0"/>
          <wp:docPr id="5"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20650"/>
                  </a:xfrm>
                  <a:prstGeom prst="rect">
                    <a:avLst/>
                  </a:prstGeom>
                  <a:noFill/>
                  <a:ln>
                    <a:noFill/>
                  </a:ln>
                </pic:spPr>
              </pic:pic>
            </a:graphicData>
          </a:graphic>
        </wp:inline>
      </w:drawing>
    </w:r>
  </w:p>
  <w:p w:rsidR="00637A06" w:rsidRPr="00EC7D62" w:rsidRDefault="00533B49" w:rsidP="003A2359">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6" w:rsidRDefault="00637A06" w:rsidP="009F11F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37A06" w:rsidRDefault="00637A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6" w:rsidRDefault="00637A06" w:rsidP="009F11F2">
    <w:pPr>
      <w:pStyle w:val="Header"/>
      <w:tabs>
        <w:tab w:val="clear" w:pos="4320"/>
        <w:tab w:val="clear" w:pos="8640"/>
      </w:tabs>
      <w:jc w:val="center"/>
      <w:rPr>
        <w:sz w:val="22"/>
        <w:szCs w:val="22"/>
      </w:rPr>
    </w:pPr>
    <w:r w:rsidRPr="00AF2F61">
      <w:rPr>
        <w:noProof/>
        <w:sz w:val="22"/>
        <w:szCs w:val="22"/>
        <w:lang w:eastAsia="zh-CN"/>
      </w:rPr>
      <w:drawing>
        <wp:inline distT="0" distB="0" distL="0" distR="0" wp14:anchorId="31A33DC3" wp14:editId="5E853203">
          <wp:extent cx="2208530" cy="120650"/>
          <wp:effectExtent l="0" t="0" r="1270" b="0"/>
          <wp:docPr id="4"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20650"/>
                  </a:xfrm>
                  <a:prstGeom prst="rect">
                    <a:avLst/>
                  </a:prstGeom>
                  <a:noFill/>
                  <a:ln>
                    <a:noFill/>
                  </a:ln>
                </pic:spPr>
              </pic:pic>
            </a:graphicData>
          </a:graphic>
        </wp:inline>
      </w:drawing>
    </w:r>
  </w:p>
  <w:p w:rsidR="00637A06" w:rsidRPr="00EC7D62" w:rsidRDefault="00533B49" w:rsidP="009F11F2">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71A478A"/>
    <w:lvl w:ilvl="0">
      <w:start w:val="30"/>
      <w:numFmt w:val="decimal"/>
      <w:lvlText w:val="%1."/>
      <w:lvlJc w:val="left"/>
      <w:pPr>
        <w:tabs>
          <w:tab w:val="num" w:pos="720"/>
        </w:tabs>
        <w:ind w:left="0" w:firstLine="0"/>
      </w:pPr>
      <w:rPr>
        <w:rFonts w:ascii="Verdana" w:hAnsi="Verdana" w:hint="default"/>
        <w:b w:val="0"/>
        <w:i w:val="0"/>
        <w:strike w:val="0"/>
        <w:color w:val="000000"/>
        <w:position w:val="0"/>
        <w:sz w:val="20"/>
      </w:rPr>
    </w:lvl>
    <w:lvl w:ilvl="1">
      <w:start w:val="1"/>
      <w:numFmt w:val="lowerLetter"/>
      <w:lvlText w:val="%2."/>
      <w:lvlJc w:val="left"/>
      <w:pPr>
        <w:tabs>
          <w:tab w:val="num" w:pos="360"/>
        </w:tabs>
        <w:ind w:left="360" w:firstLine="1080"/>
      </w:pPr>
      <w:rPr>
        <w:rFonts w:hint="default"/>
        <w:color w:val="000000"/>
        <w:position w:val="0"/>
        <w:sz w:val="16"/>
      </w:rPr>
    </w:lvl>
    <w:lvl w:ilvl="2">
      <w:start w:val="1"/>
      <w:numFmt w:val="lowerRoman"/>
      <w:lvlText w:val="%3."/>
      <w:lvlJc w:val="left"/>
      <w:pPr>
        <w:tabs>
          <w:tab w:val="num" w:pos="300"/>
        </w:tabs>
        <w:ind w:left="300" w:firstLine="1860"/>
      </w:pPr>
      <w:rPr>
        <w:rFonts w:hint="default"/>
        <w:color w:val="000000"/>
        <w:position w:val="0"/>
        <w:sz w:val="16"/>
      </w:rPr>
    </w:lvl>
    <w:lvl w:ilvl="3">
      <w:start w:val="1"/>
      <w:numFmt w:val="decimal"/>
      <w:isLgl/>
      <w:lvlText w:val="%4."/>
      <w:lvlJc w:val="left"/>
      <w:pPr>
        <w:tabs>
          <w:tab w:val="num" w:pos="360"/>
        </w:tabs>
        <w:ind w:left="360" w:firstLine="2520"/>
      </w:pPr>
      <w:rPr>
        <w:rFonts w:hint="default"/>
        <w:color w:val="000000"/>
        <w:position w:val="0"/>
        <w:sz w:val="16"/>
      </w:rPr>
    </w:lvl>
    <w:lvl w:ilvl="4">
      <w:start w:val="1"/>
      <w:numFmt w:val="lowerLetter"/>
      <w:lvlText w:val="%5."/>
      <w:lvlJc w:val="left"/>
      <w:pPr>
        <w:tabs>
          <w:tab w:val="num" w:pos="360"/>
        </w:tabs>
        <w:ind w:left="360" w:firstLine="3240"/>
      </w:pPr>
      <w:rPr>
        <w:rFonts w:hint="default"/>
        <w:color w:val="000000"/>
        <w:position w:val="0"/>
        <w:sz w:val="16"/>
      </w:rPr>
    </w:lvl>
    <w:lvl w:ilvl="5">
      <w:start w:val="1"/>
      <w:numFmt w:val="lowerRoman"/>
      <w:lvlText w:val="%6."/>
      <w:lvlJc w:val="left"/>
      <w:pPr>
        <w:tabs>
          <w:tab w:val="num" w:pos="300"/>
        </w:tabs>
        <w:ind w:left="300" w:firstLine="4020"/>
      </w:pPr>
      <w:rPr>
        <w:rFonts w:hint="default"/>
        <w:color w:val="000000"/>
        <w:position w:val="0"/>
        <w:sz w:val="16"/>
      </w:rPr>
    </w:lvl>
    <w:lvl w:ilvl="6">
      <w:start w:val="1"/>
      <w:numFmt w:val="decimal"/>
      <w:isLgl/>
      <w:lvlText w:val="%7."/>
      <w:lvlJc w:val="left"/>
      <w:pPr>
        <w:tabs>
          <w:tab w:val="num" w:pos="360"/>
        </w:tabs>
        <w:ind w:left="360" w:firstLine="4680"/>
      </w:pPr>
      <w:rPr>
        <w:rFonts w:hint="default"/>
        <w:color w:val="000000"/>
        <w:position w:val="0"/>
        <w:sz w:val="16"/>
      </w:rPr>
    </w:lvl>
    <w:lvl w:ilvl="7">
      <w:start w:val="1"/>
      <w:numFmt w:val="lowerLetter"/>
      <w:lvlText w:val="%8."/>
      <w:lvlJc w:val="left"/>
      <w:pPr>
        <w:tabs>
          <w:tab w:val="num" w:pos="360"/>
        </w:tabs>
        <w:ind w:left="360" w:firstLine="5400"/>
      </w:pPr>
      <w:rPr>
        <w:rFonts w:hint="default"/>
        <w:color w:val="000000"/>
        <w:position w:val="0"/>
        <w:sz w:val="16"/>
      </w:rPr>
    </w:lvl>
    <w:lvl w:ilvl="8">
      <w:start w:val="1"/>
      <w:numFmt w:val="lowerRoman"/>
      <w:lvlText w:val="%9."/>
      <w:lvlJc w:val="left"/>
      <w:pPr>
        <w:tabs>
          <w:tab w:val="num" w:pos="300"/>
        </w:tabs>
        <w:ind w:left="300" w:firstLine="6180"/>
      </w:pPr>
      <w:rPr>
        <w:rFonts w:hint="default"/>
        <w:color w:val="000000"/>
        <w:position w:val="0"/>
        <w:sz w:val="16"/>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MS Mincho"/>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MS Mincho"/>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Mincho"/>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Mincho"/>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Mincho"/>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Mincho"/>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Mincho"/>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Mincho"/>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Mincho"/>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3">
    <w:nsid w:val="06C859E4"/>
    <w:multiLevelType w:val="hybridMultilevel"/>
    <w:tmpl w:val="E610B846"/>
    <w:lvl w:ilvl="0" w:tplc="BEE0137E">
      <w:start w:val="1"/>
      <w:numFmt w:val="decimal"/>
      <w:lvlText w:val="%1."/>
      <w:lvlJc w:val="left"/>
      <w:pPr>
        <w:ind w:left="7560" w:hanging="360"/>
      </w:pPr>
      <w:rPr>
        <w:b w:val="0"/>
        <w:lang w:val="es-E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MS Mincho"/>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Mincho"/>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Mincho"/>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Mincho"/>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MS Mincho"/>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Mincho"/>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Mincho"/>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Mincho"/>
        <w:color w:val="000000"/>
        <w:position w:val="0"/>
        <w:sz w:val="22"/>
        <w:szCs w:val="22"/>
        <w:u w:color="000000"/>
        <w:lang w:val="es-ES_tradnl"/>
      </w:rPr>
    </w:lvl>
  </w:abstractNum>
  <w:abstractNum w:abstractNumId="7">
    <w:nsid w:val="19D774CE"/>
    <w:multiLevelType w:val="hybridMultilevel"/>
    <w:tmpl w:val="CE042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MS Mincho"/>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MS Mincho"/>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MS Mincho"/>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MS Mincho"/>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MS Mincho"/>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MS Mincho"/>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MS Mincho"/>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MS Mincho"/>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MS Mincho"/>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MS Mincho"/>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MS Mincho"/>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MS Mincho"/>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color="000000"/>
        <w:lang w:val="es-ES_tradnl"/>
      </w:rPr>
    </w:lvl>
  </w:abstractNum>
  <w:abstractNum w:abstractNumId="16">
    <w:nsid w:val="258521BA"/>
    <w:multiLevelType w:val="hybridMultilevel"/>
    <w:tmpl w:val="3AEE0FBA"/>
    <w:lvl w:ilvl="0" w:tplc="43AA46A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22">
    <w:nsid w:val="2F921DC2"/>
    <w:multiLevelType w:val="hybridMultilevel"/>
    <w:tmpl w:val="C2D6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B860B6"/>
    <w:multiLevelType w:val="hybridMultilevel"/>
    <w:tmpl w:val="4F56FD76"/>
    <w:lvl w:ilvl="0" w:tplc="BF10453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MS Mincho"/>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MS Mincho"/>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27">
    <w:nsid w:val="33DB11DA"/>
    <w:multiLevelType w:val="hybridMultilevel"/>
    <w:tmpl w:val="09C64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MS Mincho"/>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MS Mincho"/>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Mincho"/>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Mincho"/>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Mincho"/>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MS Mincho"/>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34">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39">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MS Mincho"/>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MS Mincho"/>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MS Mincho"/>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MS Mincho"/>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MS Mincho"/>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MS Mincho"/>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MS Mincho"/>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MS Mincho"/>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MS Mincho"/>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MS Mincho"/>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MS Mincho"/>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44">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MS Mincho"/>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MS Mincho"/>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MS Mincho"/>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val="single" w:color="000000"/>
        <w:lang w:val="es-ES_tradnl"/>
      </w:rPr>
    </w:lvl>
  </w:abstractNum>
  <w:abstractNum w:abstractNumId="47">
    <w:nsid w:val="5B97776A"/>
    <w:multiLevelType w:val="hybridMultilevel"/>
    <w:tmpl w:val="C9BCA5A0"/>
    <w:lvl w:ilvl="0" w:tplc="D7709152">
      <w:start w:val="1"/>
      <w:numFmt w:val="decimal"/>
      <w:lvlText w:val="%1."/>
      <w:lvlJc w:val="left"/>
      <w:pPr>
        <w:tabs>
          <w:tab w:val="num" w:pos="1080"/>
        </w:tabs>
        <w:ind w:left="1080" w:hanging="720"/>
      </w:pPr>
      <w:rPr>
        <w:rFonts w:hint="default"/>
        <w:b w:val="0"/>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MS Mincho"/>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50">
    <w:nsid w:val="638E7BBF"/>
    <w:multiLevelType w:val="hybridMultilevel"/>
    <w:tmpl w:val="E33C3408"/>
    <w:lvl w:ilvl="0" w:tplc="84764394">
      <w:start w:val="1"/>
      <w:numFmt w:val="decimal"/>
      <w:lvlText w:val="%1."/>
      <w:lvlJc w:val="left"/>
      <w:pPr>
        <w:tabs>
          <w:tab w:val="num" w:pos="1080"/>
        </w:tabs>
        <w:ind w:left="1080" w:hanging="720"/>
      </w:pPr>
      <w:rPr>
        <w:rFonts w:ascii="Cambria" w:hAnsi="Cambria" w:hint="default"/>
        <w:b w:val="0"/>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MS Mincho"/>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MS Mincho"/>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MS Mincho"/>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Mincho"/>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Mincho"/>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Mincho"/>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Mincho"/>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Mincho"/>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Mincho"/>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Mincho"/>
        <w:b/>
        <w:bCs/>
        <w:color w:val="000000"/>
        <w:position w:val="0"/>
        <w:sz w:val="22"/>
        <w:szCs w:val="22"/>
        <w:u w:val="single" w:color="000000"/>
        <w:lang w:val="es-ES_tradnl"/>
      </w:rPr>
    </w:lvl>
  </w:abstractNum>
  <w:abstractNum w:abstractNumId="53">
    <w:nsid w:val="6A13285F"/>
    <w:multiLevelType w:val="hybridMultilevel"/>
    <w:tmpl w:val="F69456FC"/>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55">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56">
    <w:nsid w:val="7652720C"/>
    <w:multiLevelType w:val="hybridMultilevel"/>
    <w:tmpl w:val="47CCB302"/>
    <w:lvl w:ilvl="0" w:tplc="6472E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MS Mincho"/>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Mincho"/>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Mincho"/>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Mincho"/>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Mincho"/>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Mincho"/>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Mincho"/>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Mincho"/>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Mincho"/>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62">
    <w:nsid w:val="7C86020B"/>
    <w:multiLevelType w:val="hybridMultilevel"/>
    <w:tmpl w:val="02ACE750"/>
    <w:lvl w:ilvl="0" w:tplc="828CAA02">
      <w:start w:val="1"/>
      <w:numFmt w:val="upperRoman"/>
      <w:pStyle w:val="Heading1"/>
      <w:lvlText w:val="%1."/>
      <w:lvlJc w:val="left"/>
      <w:pPr>
        <w:tabs>
          <w:tab w:val="num" w:pos="1440"/>
        </w:tabs>
        <w:ind w:left="1440" w:hanging="720"/>
      </w:pPr>
      <w:rPr>
        <w:rFonts w:hint="default"/>
      </w:rPr>
    </w:lvl>
    <w:lvl w:ilvl="1" w:tplc="8FDA2CF2">
      <w:start w:val="25"/>
      <w:numFmt w:val="decimal"/>
      <w:lvlText w:val="%2."/>
      <w:lvlJc w:val="left"/>
      <w:pPr>
        <w:tabs>
          <w:tab w:val="num" w:pos="2130"/>
        </w:tabs>
        <w:ind w:left="2130" w:hanging="69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7E8B7C57"/>
    <w:multiLevelType w:val="hybridMultilevel"/>
    <w:tmpl w:val="BBAAD7CA"/>
    <w:lvl w:ilvl="0" w:tplc="D7A6998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MS Mincho"/>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Mincho"/>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Mincho"/>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Mincho"/>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Mincho"/>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Mincho"/>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Mincho"/>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Mincho"/>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Mincho"/>
        <w:color w:val="000000"/>
        <w:position w:val="0"/>
        <w:sz w:val="22"/>
        <w:szCs w:val="22"/>
        <w:u w:color="000000"/>
        <w:lang w:val="es-ES_tradnl"/>
      </w:rPr>
    </w:lvl>
  </w:abstractNum>
  <w:abstractNum w:abstractNumId="65">
    <w:nsid w:val="7ECC36F6"/>
    <w:multiLevelType w:val="hybridMultilevel"/>
    <w:tmpl w:val="44FCD4CA"/>
    <w:lvl w:ilvl="0" w:tplc="154C7B0C">
      <w:start w:val="1"/>
      <w:numFmt w:val="decimal"/>
      <w:lvlText w:val="%1."/>
      <w:lvlJc w:val="left"/>
      <w:pPr>
        <w:tabs>
          <w:tab w:val="num" w:pos="2160"/>
        </w:tabs>
        <w:ind w:left="2160" w:hanging="1440"/>
      </w:pPr>
      <w:rPr>
        <w:rFonts w:ascii="Univers" w:hAnsi="Univers" w:hint="default"/>
        <w:b w:val="0"/>
        <w:i w:val="0"/>
        <w:color w:val="auto"/>
        <w:sz w:val="20"/>
        <w:szCs w:val="20"/>
      </w:rPr>
    </w:lvl>
    <w:lvl w:ilvl="1" w:tplc="04090019">
      <w:start w:val="3"/>
      <w:numFmt w:val="upperRoman"/>
      <w:lvlText w:val="%2."/>
      <w:lvlJc w:val="left"/>
      <w:pPr>
        <w:tabs>
          <w:tab w:val="num" w:pos="2160"/>
        </w:tabs>
        <w:ind w:left="2160" w:hanging="720"/>
      </w:pPr>
      <w:rPr>
        <w:rFonts w:hint="default"/>
        <w:b/>
      </w:rPr>
    </w:lvl>
    <w:lvl w:ilvl="2" w:tplc="EA5EB592">
      <w:start w:val="1"/>
      <w:numFmt w:val="upperLetter"/>
      <w:pStyle w:val="Heading2"/>
      <w:lvlText w:val="%3."/>
      <w:lvlJc w:val="left"/>
      <w:pPr>
        <w:tabs>
          <w:tab w:val="num" w:pos="1620"/>
        </w:tabs>
        <w:ind w:left="1620" w:hanging="720"/>
      </w:pPr>
      <w:rPr>
        <w:b/>
        <w:bCs w:val="0"/>
        <w:i w:val="0"/>
        <w:iCs w:val="0"/>
        <w:caps w:val="0"/>
        <w:smallCaps w:val="0"/>
        <w:strike w:val="0"/>
        <w:dstrike w:val="0"/>
        <w:noProof w:val="0"/>
        <w:vanish w:val="0"/>
        <w:color w:val="000000"/>
        <w:spacing w:val="0"/>
        <w:kern w:val="0"/>
        <w:position w:val="0"/>
        <w:u w:val="none"/>
        <w:effect w:val="none"/>
        <w:vertAlign w:val="baseline"/>
        <w:em w:val="none"/>
        <w:lang w:val="es-VE"/>
        <w:specVanish w:val="0"/>
        <w14:shadow w14:blurRad="0" w14:dist="0" w14:dir="0" w14:sx="0" w14:sy="0" w14:kx="0" w14:ky="0" w14:algn="none">
          <w14:srgbClr w14:val="000000"/>
        </w14:shadow>
        <w14:textOutline w14:w="0" w14:cap="rnd" w14:cmpd="sng" w14:algn="ctr">
          <w14:noFill/>
          <w14:prstDash w14:val="solid"/>
          <w14:bevel/>
        </w14:textOutline>
      </w:rPr>
    </w:lvl>
    <w:lvl w:ilvl="3" w:tplc="96F267A6">
      <w:start w:val="1"/>
      <w:numFmt w:val="lowerLetter"/>
      <w:pStyle w:val="Heading410pt"/>
      <w:lvlText w:val="%4."/>
      <w:lvlJc w:val="left"/>
      <w:pPr>
        <w:tabs>
          <w:tab w:val="num" w:pos="3240"/>
        </w:tabs>
        <w:ind w:left="3240" w:hanging="360"/>
      </w:pPr>
      <w:rPr>
        <w:rFonts w:hint="default"/>
      </w:rPr>
    </w:lvl>
    <w:lvl w:ilvl="4" w:tplc="04090019">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MS Mincho"/>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Mincho"/>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Mincho"/>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Mincho"/>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Mincho"/>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Mincho"/>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Mincho"/>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Mincho"/>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Mincho"/>
        <w:b/>
        <w:bCs/>
        <w:color w:val="000000"/>
        <w:position w:val="0"/>
        <w:sz w:val="22"/>
        <w:szCs w:val="22"/>
        <w:u w:val="single" w:color="000000"/>
        <w:lang w:val="es-ES_tradnl"/>
      </w:rPr>
    </w:lvl>
  </w:abstractNum>
  <w:num w:numId="1">
    <w:abstractNumId w:val="5"/>
  </w:num>
  <w:num w:numId="2">
    <w:abstractNumId w:val="6"/>
  </w:num>
  <w:num w:numId="3">
    <w:abstractNumId w:val="58"/>
  </w:num>
  <w:num w:numId="4">
    <w:abstractNumId w:val="25"/>
  </w:num>
  <w:num w:numId="5">
    <w:abstractNumId w:val="51"/>
  </w:num>
  <w:num w:numId="6">
    <w:abstractNumId w:val="31"/>
  </w:num>
  <w:num w:numId="7">
    <w:abstractNumId w:val="8"/>
  </w:num>
  <w:num w:numId="8">
    <w:abstractNumId w:val="19"/>
  </w:num>
  <w:num w:numId="9">
    <w:abstractNumId w:val="45"/>
  </w:num>
  <w:num w:numId="10">
    <w:abstractNumId w:val="1"/>
  </w:num>
  <w:num w:numId="11">
    <w:abstractNumId w:val="40"/>
  </w:num>
  <w:num w:numId="12">
    <w:abstractNumId w:val="41"/>
  </w:num>
  <w:num w:numId="13">
    <w:abstractNumId w:val="46"/>
  </w:num>
  <w:num w:numId="14">
    <w:abstractNumId w:val="2"/>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6"/>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2"/>
  </w:num>
  <w:num w:numId="43">
    <w:abstractNumId w:val="54"/>
  </w:num>
  <w:num w:numId="44">
    <w:abstractNumId w:val="55"/>
  </w:num>
  <w:num w:numId="45">
    <w:abstractNumId w:val="57"/>
  </w:num>
  <w:num w:numId="46">
    <w:abstractNumId w:val="59"/>
  </w:num>
  <w:num w:numId="47">
    <w:abstractNumId w:val="60"/>
  </w:num>
  <w:num w:numId="48">
    <w:abstractNumId w:val="61"/>
  </w:num>
  <w:num w:numId="49">
    <w:abstractNumId w:val="64"/>
  </w:num>
  <w:num w:numId="50">
    <w:abstractNumId w:val="66"/>
  </w:num>
  <w:num w:numId="51">
    <w:abstractNumId w:val="24"/>
  </w:num>
  <w:num w:numId="52">
    <w:abstractNumId w:val="44"/>
  </w:num>
  <w:num w:numId="53">
    <w:abstractNumId w:val="48"/>
  </w:num>
  <w:num w:numId="54">
    <w:abstractNumId w:val="62"/>
  </w:num>
  <w:num w:numId="55">
    <w:abstractNumId w:val="65"/>
  </w:num>
  <w:num w:numId="56">
    <w:abstractNumId w:val="50"/>
  </w:num>
  <w:num w:numId="57">
    <w:abstractNumId w:val="16"/>
  </w:num>
  <w:num w:numId="58">
    <w:abstractNumId w:val="27"/>
  </w:num>
  <w:num w:numId="59">
    <w:abstractNumId w:val="56"/>
  </w:num>
  <w:num w:numId="60">
    <w:abstractNumId w:val="7"/>
  </w:num>
  <w:num w:numId="61">
    <w:abstractNumId w:val="22"/>
  </w:num>
  <w:num w:numId="62">
    <w:abstractNumId w:val="53"/>
  </w:num>
  <w:num w:numId="63">
    <w:abstractNumId w:val="3"/>
  </w:num>
  <w:num w:numId="64">
    <w:abstractNumId w:val="23"/>
  </w:num>
  <w:num w:numId="65">
    <w:abstractNumId w:val="47"/>
  </w:num>
  <w:num w:numId="66">
    <w:abstractNumId w:val="63"/>
  </w:num>
  <w:num w:numId="67">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38CD"/>
    <w:rsid w:val="00004D8A"/>
    <w:rsid w:val="00005208"/>
    <w:rsid w:val="00006B3A"/>
    <w:rsid w:val="000079BC"/>
    <w:rsid w:val="00010182"/>
    <w:rsid w:val="000117F6"/>
    <w:rsid w:val="0001321F"/>
    <w:rsid w:val="00013B8D"/>
    <w:rsid w:val="00014DAD"/>
    <w:rsid w:val="00014F48"/>
    <w:rsid w:val="00015426"/>
    <w:rsid w:val="00017F91"/>
    <w:rsid w:val="00020FA4"/>
    <w:rsid w:val="00023873"/>
    <w:rsid w:val="0002388B"/>
    <w:rsid w:val="00023E2D"/>
    <w:rsid w:val="00024751"/>
    <w:rsid w:val="000255B7"/>
    <w:rsid w:val="00025AC5"/>
    <w:rsid w:val="00027FE0"/>
    <w:rsid w:val="00031072"/>
    <w:rsid w:val="00034883"/>
    <w:rsid w:val="00035D49"/>
    <w:rsid w:val="00035EED"/>
    <w:rsid w:val="000370E9"/>
    <w:rsid w:val="00037F65"/>
    <w:rsid w:val="0004061A"/>
    <w:rsid w:val="00041BEE"/>
    <w:rsid w:val="00042EA0"/>
    <w:rsid w:val="000433C7"/>
    <w:rsid w:val="00045461"/>
    <w:rsid w:val="0004684B"/>
    <w:rsid w:val="00046906"/>
    <w:rsid w:val="0004719A"/>
    <w:rsid w:val="000515CA"/>
    <w:rsid w:val="00052934"/>
    <w:rsid w:val="00052F6B"/>
    <w:rsid w:val="0005341D"/>
    <w:rsid w:val="00054471"/>
    <w:rsid w:val="0005447F"/>
    <w:rsid w:val="00054716"/>
    <w:rsid w:val="0005725D"/>
    <w:rsid w:val="00057AE7"/>
    <w:rsid w:val="00061510"/>
    <w:rsid w:val="000619ED"/>
    <w:rsid w:val="000622C9"/>
    <w:rsid w:val="00062CDE"/>
    <w:rsid w:val="00063C93"/>
    <w:rsid w:val="00066A18"/>
    <w:rsid w:val="00067DF6"/>
    <w:rsid w:val="00067F45"/>
    <w:rsid w:val="0007107D"/>
    <w:rsid w:val="00071512"/>
    <w:rsid w:val="00072FEF"/>
    <w:rsid w:val="000733E0"/>
    <w:rsid w:val="000755C3"/>
    <w:rsid w:val="000758BD"/>
    <w:rsid w:val="00077090"/>
    <w:rsid w:val="00081166"/>
    <w:rsid w:val="00081BEF"/>
    <w:rsid w:val="00082396"/>
    <w:rsid w:val="00082EF6"/>
    <w:rsid w:val="00082FD6"/>
    <w:rsid w:val="00084B95"/>
    <w:rsid w:val="000857E0"/>
    <w:rsid w:val="00085CFF"/>
    <w:rsid w:val="00086148"/>
    <w:rsid w:val="000861B7"/>
    <w:rsid w:val="00087F85"/>
    <w:rsid w:val="000900D5"/>
    <w:rsid w:val="000901E8"/>
    <w:rsid w:val="000906B7"/>
    <w:rsid w:val="00092350"/>
    <w:rsid w:val="00093856"/>
    <w:rsid w:val="00093CD8"/>
    <w:rsid w:val="00095DD1"/>
    <w:rsid w:val="00097DA6"/>
    <w:rsid w:val="00097F06"/>
    <w:rsid w:val="000A0C03"/>
    <w:rsid w:val="000A2221"/>
    <w:rsid w:val="000A261B"/>
    <w:rsid w:val="000A2FB1"/>
    <w:rsid w:val="000A380D"/>
    <w:rsid w:val="000A682E"/>
    <w:rsid w:val="000B0024"/>
    <w:rsid w:val="000B0762"/>
    <w:rsid w:val="000B0A6F"/>
    <w:rsid w:val="000B0AC7"/>
    <w:rsid w:val="000B1F47"/>
    <w:rsid w:val="000B5BED"/>
    <w:rsid w:val="000B7B25"/>
    <w:rsid w:val="000C0286"/>
    <w:rsid w:val="000C22BA"/>
    <w:rsid w:val="000C4CF5"/>
    <w:rsid w:val="000C71F2"/>
    <w:rsid w:val="000D1E3E"/>
    <w:rsid w:val="000D20E0"/>
    <w:rsid w:val="000D2F9B"/>
    <w:rsid w:val="000D37FC"/>
    <w:rsid w:val="000D46A6"/>
    <w:rsid w:val="000D5459"/>
    <w:rsid w:val="000E2BDE"/>
    <w:rsid w:val="000E35B0"/>
    <w:rsid w:val="000E3642"/>
    <w:rsid w:val="000E3FC8"/>
    <w:rsid w:val="000E63BC"/>
    <w:rsid w:val="000E69C9"/>
    <w:rsid w:val="000F055D"/>
    <w:rsid w:val="000F118D"/>
    <w:rsid w:val="000F235E"/>
    <w:rsid w:val="000F261B"/>
    <w:rsid w:val="000F31AA"/>
    <w:rsid w:val="000F42F2"/>
    <w:rsid w:val="000F4877"/>
    <w:rsid w:val="000F4E11"/>
    <w:rsid w:val="000F5105"/>
    <w:rsid w:val="000F6E17"/>
    <w:rsid w:val="00102C6B"/>
    <w:rsid w:val="00103548"/>
    <w:rsid w:val="00105A09"/>
    <w:rsid w:val="00106E9D"/>
    <w:rsid w:val="00110F57"/>
    <w:rsid w:val="001111D3"/>
    <w:rsid w:val="001130C0"/>
    <w:rsid w:val="001153CD"/>
    <w:rsid w:val="00117834"/>
    <w:rsid w:val="0011786E"/>
    <w:rsid w:val="00122D28"/>
    <w:rsid w:val="00122F00"/>
    <w:rsid w:val="001232C6"/>
    <w:rsid w:val="00124CF1"/>
    <w:rsid w:val="0012598B"/>
    <w:rsid w:val="00126B00"/>
    <w:rsid w:val="00126E82"/>
    <w:rsid w:val="00126FCF"/>
    <w:rsid w:val="00127055"/>
    <w:rsid w:val="001304C2"/>
    <w:rsid w:val="0013129D"/>
    <w:rsid w:val="00132828"/>
    <w:rsid w:val="00132E63"/>
    <w:rsid w:val="0013352B"/>
    <w:rsid w:val="00137B35"/>
    <w:rsid w:val="00140682"/>
    <w:rsid w:val="00140A85"/>
    <w:rsid w:val="00142924"/>
    <w:rsid w:val="00144C43"/>
    <w:rsid w:val="001458C2"/>
    <w:rsid w:val="00147D14"/>
    <w:rsid w:val="001533BF"/>
    <w:rsid w:val="00155495"/>
    <w:rsid w:val="00155CEC"/>
    <w:rsid w:val="001568EF"/>
    <w:rsid w:val="00156B11"/>
    <w:rsid w:val="00157A94"/>
    <w:rsid w:val="00157B36"/>
    <w:rsid w:val="001606D2"/>
    <w:rsid w:val="00160CF5"/>
    <w:rsid w:val="0016406B"/>
    <w:rsid w:val="001679BB"/>
    <w:rsid w:val="00171090"/>
    <w:rsid w:val="001721F3"/>
    <w:rsid w:val="00172CCD"/>
    <w:rsid w:val="00174BE5"/>
    <w:rsid w:val="00175517"/>
    <w:rsid w:val="00176C4E"/>
    <w:rsid w:val="00177302"/>
    <w:rsid w:val="001805FB"/>
    <w:rsid w:val="00181483"/>
    <w:rsid w:val="001815D8"/>
    <w:rsid w:val="0018223A"/>
    <w:rsid w:val="0018573E"/>
    <w:rsid w:val="00186F86"/>
    <w:rsid w:val="0018718C"/>
    <w:rsid w:val="0018751A"/>
    <w:rsid w:val="0018764F"/>
    <w:rsid w:val="0019007A"/>
    <w:rsid w:val="00190F23"/>
    <w:rsid w:val="00191630"/>
    <w:rsid w:val="001917C9"/>
    <w:rsid w:val="0019223E"/>
    <w:rsid w:val="00192CB6"/>
    <w:rsid w:val="00193EA6"/>
    <w:rsid w:val="001963A2"/>
    <w:rsid w:val="00196B17"/>
    <w:rsid w:val="001A10D4"/>
    <w:rsid w:val="001A18DA"/>
    <w:rsid w:val="001A25C8"/>
    <w:rsid w:val="001A2E5E"/>
    <w:rsid w:val="001A3C9C"/>
    <w:rsid w:val="001A4702"/>
    <w:rsid w:val="001A64BB"/>
    <w:rsid w:val="001A67E1"/>
    <w:rsid w:val="001A7865"/>
    <w:rsid w:val="001B2E35"/>
    <w:rsid w:val="001B2FC0"/>
    <w:rsid w:val="001B357C"/>
    <w:rsid w:val="001B5B1D"/>
    <w:rsid w:val="001B6D46"/>
    <w:rsid w:val="001B7CEB"/>
    <w:rsid w:val="001C0B31"/>
    <w:rsid w:val="001C0C74"/>
    <w:rsid w:val="001C0D8F"/>
    <w:rsid w:val="001C11E0"/>
    <w:rsid w:val="001C11E5"/>
    <w:rsid w:val="001C205F"/>
    <w:rsid w:val="001C3381"/>
    <w:rsid w:val="001C5ECC"/>
    <w:rsid w:val="001C69CC"/>
    <w:rsid w:val="001C7879"/>
    <w:rsid w:val="001C79B9"/>
    <w:rsid w:val="001D099D"/>
    <w:rsid w:val="001D1068"/>
    <w:rsid w:val="001D4308"/>
    <w:rsid w:val="001D4890"/>
    <w:rsid w:val="001D4C6E"/>
    <w:rsid w:val="001D5158"/>
    <w:rsid w:val="001D6250"/>
    <w:rsid w:val="001D74A8"/>
    <w:rsid w:val="001E003E"/>
    <w:rsid w:val="001E21DE"/>
    <w:rsid w:val="001E393A"/>
    <w:rsid w:val="001E401F"/>
    <w:rsid w:val="001E477D"/>
    <w:rsid w:val="001E6777"/>
    <w:rsid w:val="001E78EC"/>
    <w:rsid w:val="001F0090"/>
    <w:rsid w:val="001F12C2"/>
    <w:rsid w:val="001F1ADA"/>
    <w:rsid w:val="001F2F24"/>
    <w:rsid w:val="001F3D87"/>
    <w:rsid w:val="001F59F6"/>
    <w:rsid w:val="0020149E"/>
    <w:rsid w:val="002017E7"/>
    <w:rsid w:val="0020211F"/>
    <w:rsid w:val="002040D5"/>
    <w:rsid w:val="002049C9"/>
    <w:rsid w:val="002054D9"/>
    <w:rsid w:val="002064FC"/>
    <w:rsid w:val="002066E1"/>
    <w:rsid w:val="0020705B"/>
    <w:rsid w:val="00212B7C"/>
    <w:rsid w:val="002130FE"/>
    <w:rsid w:val="00214921"/>
    <w:rsid w:val="00220CD8"/>
    <w:rsid w:val="00221825"/>
    <w:rsid w:val="00222785"/>
    <w:rsid w:val="002264C3"/>
    <w:rsid w:val="002345FC"/>
    <w:rsid w:val="00235028"/>
    <w:rsid w:val="00235E27"/>
    <w:rsid w:val="00236C38"/>
    <w:rsid w:val="002374E7"/>
    <w:rsid w:val="002424C1"/>
    <w:rsid w:val="002430A0"/>
    <w:rsid w:val="0024494E"/>
    <w:rsid w:val="00244BCF"/>
    <w:rsid w:val="00244D29"/>
    <w:rsid w:val="00247058"/>
    <w:rsid w:val="00247CE3"/>
    <w:rsid w:val="00250CBB"/>
    <w:rsid w:val="00252986"/>
    <w:rsid w:val="00253555"/>
    <w:rsid w:val="002539BC"/>
    <w:rsid w:val="002539D2"/>
    <w:rsid w:val="00254D10"/>
    <w:rsid w:val="0025643E"/>
    <w:rsid w:val="0025715F"/>
    <w:rsid w:val="00257A03"/>
    <w:rsid w:val="00262E63"/>
    <w:rsid w:val="00263EEF"/>
    <w:rsid w:val="00264368"/>
    <w:rsid w:val="00267712"/>
    <w:rsid w:val="00267A39"/>
    <w:rsid w:val="002715D3"/>
    <w:rsid w:val="0027298F"/>
    <w:rsid w:val="00272B6D"/>
    <w:rsid w:val="0027465C"/>
    <w:rsid w:val="00274800"/>
    <w:rsid w:val="00275030"/>
    <w:rsid w:val="0027759C"/>
    <w:rsid w:val="00280F26"/>
    <w:rsid w:val="00281714"/>
    <w:rsid w:val="00283E58"/>
    <w:rsid w:val="00283F07"/>
    <w:rsid w:val="0028412E"/>
    <w:rsid w:val="0028508A"/>
    <w:rsid w:val="002876D8"/>
    <w:rsid w:val="0029069B"/>
    <w:rsid w:val="00290FAC"/>
    <w:rsid w:val="00291EA6"/>
    <w:rsid w:val="0029218B"/>
    <w:rsid w:val="0029289B"/>
    <w:rsid w:val="00292D21"/>
    <w:rsid w:val="002949A4"/>
    <w:rsid w:val="00294CCF"/>
    <w:rsid w:val="002A0B71"/>
    <w:rsid w:val="002A129B"/>
    <w:rsid w:val="002A14C9"/>
    <w:rsid w:val="002A14CA"/>
    <w:rsid w:val="002A225F"/>
    <w:rsid w:val="002A2ED7"/>
    <w:rsid w:val="002A30C8"/>
    <w:rsid w:val="002A3CF6"/>
    <w:rsid w:val="002A3D6B"/>
    <w:rsid w:val="002A54F9"/>
    <w:rsid w:val="002A6F81"/>
    <w:rsid w:val="002A7D8A"/>
    <w:rsid w:val="002B081D"/>
    <w:rsid w:val="002B2FDB"/>
    <w:rsid w:val="002B4900"/>
    <w:rsid w:val="002B65B5"/>
    <w:rsid w:val="002B73E7"/>
    <w:rsid w:val="002C1510"/>
    <w:rsid w:val="002C22EF"/>
    <w:rsid w:val="002C38DA"/>
    <w:rsid w:val="002C3B16"/>
    <w:rsid w:val="002C413A"/>
    <w:rsid w:val="002C4B50"/>
    <w:rsid w:val="002C5533"/>
    <w:rsid w:val="002C6C7B"/>
    <w:rsid w:val="002D0816"/>
    <w:rsid w:val="002D1124"/>
    <w:rsid w:val="002D1D49"/>
    <w:rsid w:val="002D260D"/>
    <w:rsid w:val="002D27FE"/>
    <w:rsid w:val="002D333B"/>
    <w:rsid w:val="002D35B3"/>
    <w:rsid w:val="002D3980"/>
    <w:rsid w:val="002D3CA2"/>
    <w:rsid w:val="002D3FE9"/>
    <w:rsid w:val="002D41E5"/>
    <w:rsid w:val="002D55A0"/>
    <w:rsid w:val="002E028E"/>
    <w:rsid w:val="002E20E8"/>
    <w:rsid w:val="002E29A9"/>
    <w:rsid w:val="002E2A6F"/>
    <w:rsid w:val="002E4278"/>
    <w:rsid w:val="002E5B65"/>
    <w:rsid w:val="002E6214"/>
    <w:rsid w:val="002F022C"/>
    <w:rsid w:val="002F1C5D"/>
    <w:rsid w:val="002F2054"/>
    <w:rsid w:val="002F48E0"/>
    <w:rsid w:val="002F658E"/>
    <w:rsid w:val="002F6812"/>
    <w:rsid w:val="002F7C71"/>
    <w:rsid w:val="0030045E"/>
    <w:rsid w:val="00301D9E"/>
    <w:rsid w:val="003021D9"/>
    <w:rsid w:val="00304063"/>
    <w:rsid w:val="00304DD6"/>
    <w:rsid w:val="00306C97"/>
    <w:rsid w:val="00310387"/>
    <w:rsid w:val="00312036"/>
    <w:rsid w:val="003123B3"/>
    <w:rsid w:val="00312A1F"/>
    <w:rsid w:val="0031480B"/>
    <w:rsid w:val="00315230"/>
    <w:rsid w:val="0031579D"/>
    <w:rsid w:val="00316AD2"/>
    <w:rsid w:val="00317671"/>
    <w:rsid w:val="0031771E"/>
    <w:rsid w:val="00317922"/>
    <w:rsid w:val="00317A7F"/>
    <w:rsid w:val="00317C38"/>
    <w:rsid w:val="0032219B"/>
    <w:rsid w:val="003225EF"/>
    <w:rsid w:val="00322893"/>
    <w:rsid w:val="00322E98"/>
    <w:rsid w:val="00323E9E"/>
    <w:rsid w:val="00323F51"/>
    <w:rsid w:val="00324D57"/>
    <w:rsid w:val="00326876"/>
    <w:rsid w:val="00334E3F"/>
    <w:rsid w:val="003351CA"/>
    <w:rsid w:val="00342831"/>
    <w:rsid w:val="003448C2"/>
    <w:rsid w:val="003455DE"/>
    <w:rsid w:val="00346135"/>
    <w:rsid w:val="003478AF"/>
    <w:rsid w:val="003506A6"/>
    <w:rsid w:val="00352A6A"/>
    <w:rsid w:val="003536FF"/>
    <w:rsid w:val="00356EE7"/>
    <w:rsid w:val="00360DBD"/>
    <w:rsid w:val="00366598"/>
    <w:rsid w:val="00370CC4"/>
    <w:rsid w:val="003734AA"/>
    <w:rsid w:val="00373A43"/>
    <w:rsid w:val="00373C9B"/>
    <w:rsid w:val="00373D4E"/>
    <w:rsid w:val="003749A2"/>
    <w:rsid w:val="00374BE1"/>
    <w:rsid w:val="00382285"/>
    <w:rsid w:val="003836D2"/>
    <w:rsid w:val="00385364"/>
    <w:rsid w:val="0038561A"/>
    <w:rsid w:val="0038584C"/>
    <w:rsid w:val="00386622"/>
    <w:rsid w:val="003871D0"/>
    <w:rsid w:val="003908CF"/>
    <w:rsid w:val="00394F79"/>
    <w:rsid w:val="0039645C"/>
    <w:rsid w:val="003A0ED3"/>
    <w:rsid w:val="003A2359"/>
    <w:rsid w:val="003A31A6"/>
    <w:rsid w:val="003A5082"/>
    <w:rsid w:val="003A57AA"/>
    <w:rsid w:val="003A5E85"/>
    <w:rsid w:val="003A6614"/>
    <w:rsid w:val="003B03FA"/>
    <w:rsid w:val="003B27C0"/>
    <w:rsid w:val="003B28AC"/>
    <w:rsid w:val="003B4EA6"/>
    <w:rsid w:val="003B5024"/>
    <w:rsid w:val="003B5FC8"/>
    <w:rsid w:val="003C0336"/>
    <w:rsid w:val="003C37D2"/>
    <w:rsid w:val="003C482B"/>
    <w:rsid w:val="003C4DB0"/>
    <w:rsid w:val="003C5183"/>
    <w:rsid w:val="003C62AB"/>
    <w:rsid w:val="003C6919"/>
    <w:rsid w:val="003C6FFA"/>
    <w:rsid w:val="003C7331"/>
    <w:rsid w:val="003D12F8"/>
    <w:rsid w:val="003D1A3D"/>
    <w:rsid w:val="003D2A12"/>
    <w:rsid w:val="003D2ECD"/>
    <w:rsid w:val="003D465D"/>
    <w:rsid w:val="003D4C76"/>
    <w:rsid w:val="003D5F37"/>
    <w:rsid w:val="003D68C3"/>
    <w:rsid w:val="003D68F1"/>
    <w:rsid w:val="003D765A"/>
    <w:rsid w:val="003D7668"/>
    <w:rsid w:val="003E022A"/>
    <w:rsid w:val="003E2AC8"/>
    <w:rsid w:val="003E4899"/>
    <w:rsid w:val="003E5925"/>
    <w:rsid w:val="003E6BAE"/>
    <w:rsid w:val="003E6DC6"/>
    <w:rsid w:val="003E758F"/>
    <w:rsid w:val="003F0240"/>
    <w:rsid w:val="003F0611"/>
    <w:rsid w:val="003F15B9"/>
    <w:rsid w:val="003F1E08"/>
    <w:rsid w:val="003F4759"/>
    <w:rsid w:val="003F5F4A"/>
    <w:rsid w:val="003F7682"/>
    <w:rsid w:val="003F78F8"/>
    <w:rsid w:val="00400D28"/>
    <w:rsid w:val="004019F1"/>
    <w:rsid w:val="00401B03"/>
    <w:rsid w:val="00402916"/>
    <w:rsid w:val="0040498F"/>
    <w:rsid w:val="00406031"/>
    <w:rsid w:val="004069D0"/>
    <w:rsid w:val="004114E7"/>
    <w:rsid w:val="004115AC"/>
    <w:rsid w:val="00411E09"/>
    <w:rsid w:val="00412059"/>
    <w:rsid w:val="00413752"/>
    <w:rsid w:val="00414A0B"/>
    <w:rsid w:val="00415476"/>
    <w:rsid w:val="004159FA"/>
    <w:rsid w:val="00415D6A"/>
    <w:rsid w:val="00416A5C"/>
    <w:rsid w:val="00416AFC"/>
    <w:rsid w:val="00417C03"/>
    <w:rsid w:val="004200F6"/>
    <w:rsid w:val="00420552"/>
    <w:rsid w:val="00420743"/>
    <w:rsid w:val="00421B2A"/>
    <w:rsid w:val="00422D56"/>
    <w:rsid w:val="00426B46"/>
    <w:rsid w:val="0042780A"/>
    <w:rsid w:val="00432FE4"/>
    <w:rsid w:val="0043470A"/>
    <w:rsid w:val="004358C2"/>
    <w:rsid w:val="00437732"/>
    <w:rsid w:val="00437D10"/>
    <w:rsid w:val="00437D72"/>
    <w:rsid w:val="004403DF"/>
    <w:rsid w:val="00440995"/>
    <w:rsid w:val="00441210"/>
    <w:rsid w:val="004428D8"/>
    <w:rsid w:val="00446B91"/>
    <w:rsid w:val="00450B2B"/>
    <w:rsid w:val="004514E4"/>
    <w:rsid w:val="0045153B"/>
    <w:rsid w:val="00452710"/>
    <w:rsid w:val="00454F76"/>
    <w:rsid w:val="0045503A"/>
    <w:rsid w:val="0045533F"/>
    <w:rsid w:val="00455D65"/>
    <w:rsid w:val="004578A4"/>
    <w:rsid w:val="004615E3"/>
    <w:rsid w:val="00462890"/>
    <w:rsid w:val="00462B50"/>
    <w:rsid w:val="00465A0A"/>
    <w:rsid w:val="004679B5"/>
    <w:rsid w:val="004718ED"/>
    <w:rsid w:val="00472887"/>
    <w:rsid w:val="00472CB8"/>
    <w:rsid w:val="0047326A"/>
    <w:rsid w:val="004748F8"/>
    <w:rsid w:val="004767E5"/>
    <w:rsid w:val="00477537"/>
    <w:rsid w:val="004805EA"/>
    <w:rsid w:val="00482043"/>
    <w:rsid w:val="00482186"/>
    <w:rsid w:val="00483527"/>
    <w:rsid w:val="004840BD"/>
    <w:rsid w:val="00484944"/>
    <w:rsid w:val="00487ED0"/>
    <w:rsid w:val="0049028E"/>
    <w:rsid w:val="00490B63"/>
    <w:rsid w:val="00491A04"/>
    <w:rsid w:val="00492284"/>
    <w:rsid w:val="004932BB"/>
    <w:rsid w:val="00497242"/>
    <w:rsid w:val="004A0B76"/>
    <w:rsid w:val="004A1475"/>
    <w:rsid w:val="004A2D85"/>
    <w:rsid w:val="004A43CE"/>
    <w:rsid w:val="004A4D7A"/>
    <w:rsid w:val="004A4E31"/>
    <w:rsid w:val="004A79C0"/>
    <w:rsid w:val="004A7A45"/>
    <w:rsid w:val="004B0607"/>
    <w:rsid w:val="004B1046"/>
    <w:rsid w:val="004B21C1"/>
    <w:rsid w:val="004B2BBF"/>
    <w:rsid w:val="004B2DAC"/>
    <w:rsid w:val="004B2EEE"/>
    <w:rsid w:val="004B45AB"/>
    <w:rsid w:val="004B70F0"/>
    <w:rsid w:val="004B7214"/>
    <w:rsid w:val="004B72D6"/>
    <w:rsid w:val="004C138A"/>
    <w:rsid w:val="004C1BA1"/>
    <w:rsid w:val="004C27B5"/>
    <w:rsid w:val="004C42C4"/>
    <w:rsid w:val="004C47ED"/>
    <w:rsid w:val="004C513F"/>
    <w:rsid w:val="004C7BA9"/>
    <w:rsid w:val="004C7F3E"/>
    <w:rsid w:val="004D0731"/>
    <w:rsid w:val="004D6904"/>
    <w:rsid w:val="004D6D89"/>
    <w:rsid w:val="004E190F"/>
    <w:rsid w:val="004E2A3D"/>
    <w:rsid w:val="004E431F"/>
    <w:rsid w:val="004E4465"/>
    <w:rsid w:val="004E4E45"/>
    <w:rsid w:val="004E6CE1"/>
    <w:rsid w:val="004F0716"/>
    <w:rsid w:val="004F162C"/>
    <w:rsid w:val="004F2F49"/>
    <w:rsid w:val="004F31C4"/>
    <w:rsid w:val="004F4A1A"/>
    <w:rsid w:val="004F5FA3"/>
    <w:rsid w:val="004F63BD"/>
    <w:rsid w:val="004F69CF"/>
    <w:rsid w:val="00500234"/>
    <w:rsid w:val="005012E4"/>
    <w:rsid w:val="005025EA"/>
    <w:rsid w:val="005027A7"/>
    <w:rsid w:val="00502EAC"/>
    <w:rsid w:val="0050314C"/>
    <w:rsid w:val="00503694"/>
    <w:rsid w:val="00503E5E"/>
    <w:rsid w:val="005064AF"/>
    <w:rsid w:val="00506C57"/>
    <w:rsid w:val="0051009F"/>
    <w:rsid w:val="0051215A"/>
    <w:rsid w:val="0051248E"/>
    <w:rsid w:val="00512995"/>
    <w:rsid w:val="00514755"/>
    <w:rsid w:val="00514EC4"/>
    <w:rsid w:val="0051560A"/>
    <w:rsid w:val="00517B30"/>
    <w:rsid w:val="005211D1"/>
    <w:rsid w:val="005219AD"/>
    <w:rsid w:val="00522C4D"/>
    <w:rsid w:val="00524A79"/>
    <w:rsid w:val="0052597F"/>
    <w:rsid w:val="00526709"/>
    <w:rsid w:val="005279C8"/>
    <w:rsid w:val="005309C7"/>
    <w:rsid w:val="005312F0"/>
    <w:rsid w:val="005321B8"/>
    <w:rsid w:val="00532624"/>
    <w:rsid w:val="00532755"/>
    <w:rsid w:val="005327E9"/>
    <w:rsid w:val="00533B49"/>
    <w:rsid w:val="00534D80"/>
    <w:rsid w:val="005403CD"/>
    <w:rsid w:val="005404D3"/>
    <w:rsid w:val="005407DC"/>
    <w:rsid w:val="00540F97"/>
    <w:rsid w:val="0054217D"/>
    <w:rsid w:val="00542F11"/>
    <w:rsid w:val="0054333E"/>
    <w:rsid w:val="00544A6F"/>
    <w:rsid w:val="0054592E"/>
    <w:rsid w:val="0054594C"/>
    <w:rsid w:val="00545B01"/>
    <w:rsid w:val="00547191"/>
    <w:rsid w:val="005479D8"/>
    <w:rsid w:val="00550233"/>
    <w:rsid w:val="00550392"/>
    <w:rsid w:val="0055076B"/>
    <w:rsid w:val="00550B6E"/>
    <w:rsid w:val="005519DE"/>
    <w:rsid w:val="005528F2"/>
    <w:rsid w:val="00552FF6"/>
    <w:rsid w:val="00553929"/>
    <w:rsid w:val="00553A9E"/>
    <w:rsid w:val="00553EE5"/>
    <w:rsid w:val="005544F8"/>
    <w:rsid w:val="005546F2"/>
    <w:rsid w:val="00557C48"/>
    <w:rsid w:val="00561B22"/>
    <w:rsid w:val="00562304"/>
    <w:rsid w:val="00562B75"/>
    <w:rsid w:val="005633A5"/>
    <w:rsid w:val="005638FA"/>
    <w:rsid w:val="00563F01"/>
    <w:rsid w:val="005651D9"/>
    <w:rsid w:val="0056596A"/>
    <w:rsid w:val="005671C7"/>
    <w:rsid w:val="00567EC1"/>
    <w:rsid w:val="00571029"/>
    <w:rsid w:val="00571CEB"/>
    <w:rsid w:val="005724A6"/>
    <w:rsid w:val="00573A6A"/>
    <w:rsid w:val="00575934"/>
    <w:rsid w:val="00576307"/>
    <w:rsid w:val="00577E12"/>
    <w:rsid w:val="005813E7"/>
    <w:rsid w:val="0058210C"/>
    <w:rsid w:val="005826C3"/>
    <w:rsid w:val="0058334A"/>
    <w:rsid w:val="00583379"/>
    <w:rsid w:val="005839A2"/>
    <w:rsid w:val="00585311"/>
    <w:rsid w:val="0058612A"/>
    <w:rsid w:val="00587E70"/>
    <w:rsid w:val="00591A2D"/>
    <w:rsid w:val="00593570"/>
    <w:rsid w:val="0059389F"/>
    <w:rsid w:val="00595507"/>
    <w:rsid w:val="00595A33"/>
    <w:rsid w:val="005965A3"/>
    <w:rsid w:val="00597857"/>
    <w:rsid w:val="00597E5E"/>
    <w:rsid w:val="005A03C0"/>
    <w:rsid w:val="005A104C"/>
    <w:rsid w:val="005A43FA"/>
    <w:rsid w:val="005A47F0"/>
    <w:rsid w:val="005A5966"/>
    <w:rsid w:val="005B108C"/>
    <w:rsid w:val="005B36F2"/>
    <w:rsid w:val="005B70BC"/>
    <w:rsid w:val="005C2319"/>
    <w:rsid w:val="005C2751"/>
    <w:rsid w:val="005C2953"/>
    <w:rsid w:val="005C4D1B"/>
    <w:rsid w:val="005C5EF6"/>
    <w:rsid w:val="005C7D91"/>
    <w:rsid w:val="005D0369"/>
    <w:rsid w:val="005D15CA"/>
    <w:rsid w:val="005D1BB6"/>
    <w:rsid w:val="005D268D"/>
    <w:rsid w:val="005D26D9"/>
    <w:rsid w:val="005D279F"/>
    <w:rsid w:val="005D2DF9"/>
    <w:rsid w:val="005D356E"/>
    <w:rsid w:val="005D476F"/>
    <w:rsid w:val="005D6612"/>
    <w:rsid w:val="005D676D"/>
    <w:rsid w:val="005D67BC"/>
    <w:rsid w:val="005D7279"/>
    <w:rsid w:val="005E02D2"/>
    <w:rsid w:val="005E08D6"/>
    <w:rsid w:val="005E1248"/>
    <w:rsid w:val="005E1313"/>
    <w:rsid w:val="005E4373"/>
    <w:rsid w:val="005E5B81"/>
    <w:rsid w:val="005E634F"/>
    <w:rsid w:val="005E7C29"/>
    <w:rsid w:val="005F1094"/>
    <w:rsid w:val="005F4638"/>
    <w:rsid w:val="005F61DF"/>
    <w:rsid w:val="005F6CD2"/>
    <w:rsid w:val="005F7A60"/>
    <w:rsid w:val="00600960"/>
    <w:rsid w:val="00600F2C"/>
    <w:rsid w:val="006014CB"/>
    <w:rsid w:val="006019E3"/>
    <w:rsid w:val="006060FC"/>
    <w:rsid w:val="00606779"/>
    <w:rsid w:val="00606F93"/>
    <w:rsid w:val="00607177"/>
    <w:rsid w:val="006071FF"/>
    <w:rsid w:val="00607769"/>
    <w:rsid w:val="0061035B"/>
    <w:rsid w:val="00610682"/>
    <w:rsid w:val="006116CA"/>
    <w:rsid w:val="00613BDE"/>
    <w:rsid w:val="00613FDD"/>
    <w:rsid w:val="006156B6"/>
    <w:rsid w:val="00616570"/>
    <w:rsid w:val="006175C2"/>
    <w:rsid w:val="00617D39"/>
    <w:rsid w:val="00621224"/>
    <w:rsid w:val="00622BD4"/>
    <w:rsid w:val="0062310C"/>
    <w:rsid w:val="006248DE"/>
    <w:rsid w:val="00626684"/>
    <w:rsid w:val="006268DE"/>
    <w:rsid w:val="00635682"/>
    <w:rsid w:val="00635B5B"/>
    <w:rsid w:val="006368F5"/>
    <w:rsid w:val="00637A06"/>
    <w:rsid w:val="00637BBD"/>
    <w:rsid w:val="00637C2B"/>
    <w:rsid w:val="006407F4"/>
    <w:rsid w:val="006420D4"/>
    <w:rsid w:val="00642307"/>
    <w:rsid w:val="00642415"/>
    <w:rsid w:val="00642561"/>
    <w:rsid w:val="00643398"/>
    <w:rsid w:val="00644C4C"/>
    <w:rsid w:val="0065079F"/>
    <w:rsid w:val="006513EA"/>
    <w:rsid w:val="00651F72"/>
    <w:rsid w:val="00654B1E"/>
    <w:rsid w:val="006573B5"/>
    <w:rsid w:val="00660D2B"/>
    <w:rsid w:val="00664133"/>
    <w:rsid w:val="006649CD"/>
    <w:rsid w:val="00665F6C"/>
    <w:rsid w:val="006666B5"/>
    <w:rsid w:val="00666D35"/>
    <w:rsid w:val="0066761B"/>
    <w:rsid w:val="006710EE"/>
    <w:rsid w:val="006718A0"/>
    <w:rsid w:val="006724C3"/>
    <w:rsid w:val="00675365"/>
    <w:rsid w:val="00682B1A"/>
    <w:rsid w:val="006830E5"/>
    <w:rsid w:val="00690F7B"/>
    <w:rsid w:val="0069220A"/>
    <w:rsid w:val="00692B0C"/>
    <w:rsid w:val="00693E9A"/>
    <w:rsid w:val="00694731"/>
    <w:rsid w:val="006947DD"/>
    <w:rsid w:val="00695A56"/>
    <w:rsid w:val="0069784F"/>
    <w:rsid w:val="00697DBE"/>
    <w:rsid w:val="006A0768"/>
    <w:rsid w:val="006A0EB0"/>
    <w:rsid w:val="006A151A"/>
    <w:rsid w:val="006A1DB2"/>
    <w:rsid w:val="006A3169"/>
    <w:rsid w:val="006A3DA3"/>
    <w:rsid w:val="006A5E4E"/>
    <w:rsid w:val="006A610A"/>
    <w:rsid w:val="006B26AB"/>
    <w:rsid w:val="006B2D5C"/>
    <w:rsid w:val="006B43D3"/>
    <w:rsid w:val="006B5845"/>
    <w:rsid w:val="006B5C41"/>
    <w:rsid w:val="006B62EA"/>
    <w:rsid w:val="006C04F3"/>
    <w:rsid w:val="006C3C38"/>
    <w:rsid w:val="006C67E2"/>
    <w:rsid w:val="006C6ED0"/>
    <w:rsid w:val="006C722C"/>
    <w:rsid w:val="006C7363"/>
    <w:rsid w:val="006D01CE"/>
    <w:rsid w:val="006D0319"/>
    <w:rsid w:val="006D179E"/>
    <w:rsid w:val="006D3587"/>
    <w:rsid w:val="006D3C52"/>
    <w:rsid w:val="006D41FD"/>
    <w:rsid w:val="006D699E"/>
    <w:rsid w:val="006D6AFA"/>
    <w:rsid w:val="006E1B4E"/>
    <w:rsid w:val="006E2935"/>
    <w:rsid w:val="006E30E2"/>
    <w:rsid w:val="006E3ABE"/>
    <w:rsid w:val="006E4145"/>
    <w:rsid w:val="006E4E41"/>
    <w:rsid w:val="006E6608"/>
    <w:rsid w:val="006F1753"/>
    <w:rsid w:val="006F1C38"/>
    <w:rsid w:val="006F307F"/>
    <w:rsid w:val="006F37A2"/>
    <w:rsid w:val="006F37E7"/>
    <w:rsid w:val="006F4993"/>
    <w:rsid w:val="006F57A6"/>
    <w:rsid w:val="006F5872"/>
    <w:rsid w:val="0070078A"/>
    <w:rsid w:val="00701F2F"/>
    <w:rsid w:val="00702549"/>
    <w:rsid w:val="00702872"/>
    <w:rsid w:val="00703A9A"/>
    <w:rsid w:val="007052C1"/>
    <w:rsid w:val="007053AD"/>
    <w:rsid w:val="00706C61"/>
    <w:rsid w:val="00706E50"/>
    <w:rsid w:val="00707D58"/>
    <w:rsid w:val="00710384"/>
    <w:rsid w:val="00710A24"/>
    <w:rsid w:val="00713861"/>
    <w:rsid w:val="007143EA"/>
    <w:rsid w:val="00714BAB"/>
    <w:rsid w:val="00714E02"/>
    <w:rsid w:val="0071515C"/>
    <w:rsid w:val="007158CD"/>
    <w:rsid w:val="00716276"/>
    <w:rsid w:val="007163B2"/>
    <w:rsid w:val="00717578"/>
    <w:rsid w:val="0072106D"/>
    <w:rsid w:val="00721F9D"/>
    <w:rsid w:val="00722600"/>
    <w:rsid w:val="00722FCF"/>
    <w:rsid w:val="00723C4B"/>
    <w:rsid w:val="00726559"/>
    <w:rsid w:val="00727764"/>
    <w:rsid w:val="007303BF"/>
    <w:rsid w:val="0073291C"/>
    <w:rsid w:val="00733E86"/>
    <w:rsid w:val="0073421F"/>
    <w:rsid w:val="007342B7"/>
    <w:rsid w:val="00736394"/>
    <w:rsid w:val="00736D05"/>
    <w:rsid w:val="00737DAD"/>
    <w:rsid w:val="007424E0"/>
    <w:rsid w:val="0074320B"/>
    <w:rsid w:val="0074379D"/>
    <w:rsid w:val="00745BF6"/>
    <w:rsid w:val="00747125"/>
    <w:rsid w:val="007472D4"/>
    <w:rsid w:val="00750E3E"/>
    <w:rsid w:val="0075182D"/>
    <w:rsid w:val="00754748"/>
    <w:rsid w:val="00761E1F"/>
    <w:rsid w:val="007621DA"/>
    <w:rsid w:val="007626F6"/>
    <w:rsid w:val="00763999"/>
    <w:rsid w:val="00764863"/>
    <w:rsid w:val="00765D29"/>
    <w:rsid w:val="00772105"/>
    <w:rsid w:val="00773DF6"/>
    <w:rsid w:val="00774181"/>
    <w:rsid w:val="00774B40"/>
    <w:rsid w:val="00774C05"/>
    <w:rsid w:val="007751C2"/>
    <w:rsid w:val="00775985"/>
    <w:rsid w:val="00776F7B"/>
    <w:rsid w:val="00780AF1"/>
    <w:rsid w:val="00785671"/>
    <w:rsid w:val="00785744"/>
    <w:rsid w:val="00785E2F"/>
    <w:rsid w:val="00786F92"/>
    <w:rsid w:val="00787426"/>
    <w:rsid w:val="0079060E"/>
    <w:rsid w:val="007921CC"/>
    <w:rsid w:val="00792493"/>
    <w:rsid w:val="00792866"/>
    <w:rsid w:val="00792ABE"/>
    <w:rsid w:val="00794404"/>
    <w:rsid w:val="007954D3"/>
    <w:rsid w:val="00796235"/>
    <w:rsid w:val="007A1E8A"/>
    <w:rsid w:val="007A1FC3"/>
    <w:rsid w:val="007A31F8"/>
    <w:rsid w:val="007A6526"/>
    <w:rsid w:val="007A729E"/>
    <w:rsid w:val="007B2241"/>
    <w:rsid w:val="007B404D"/>
    <w:rsid w:val="007B49DE"/>
    <w:rsid w:val="007B5512"/>
    <w:rsid w:val="007B6026"/>
    <w:rsid w:val="007C0A02"/>
    <w:rsid w:val="007C0B32"/>
    <w:rsid w:val="007C15B2"/>
    <w:rsid w:val="007C1BF9"/>
    <w:rsid w:val="007C253D"/>
    <w:rsid w:val="007C2F9E"/>
    <w:rsid w:val="007C4887"/>
    <w:rsid w:val="007C55A7"/>
    <w:rsid w:val="007C5907"/>
    <w:rsid w:val="007C5F83"/>
    <w:rsid w:val="007C6B71"/>
    <w:rsid w:val="007D3A35"/>
    <w:rsid w:val="007D7B0F"/>
    <w:rsid w:val="007E0970"/>
    <w:rsid w:val="007E1F23"/>
    <w:rsid w:val="007E29DC"/>
    <w:rsid w:val="007E3485"/>
    <w:rsid w:val="007E7D84"/>
    <w:rsid w:val="007F2167"/>
    <w:rsid w:val="007F3437"/>
    <w:rsid w:val="007F375F"/>
    <w:rsid w:val="007F629B"/>
    <w:rsid w:val="007F6F23"/>
    <w:rsid w:val="007F7AB4"/>
    <w:rsid w:val="008000D8"/>
    <w:rsid w:val="0080049A"/>
    <w:rsid w:val="00800EC2"/>
    <w:rsid w:val="0080205C"/>
    <w:rsid w:val="00802BA0"/>
    <w:rsid w:val="00804F06"/>
    <w:rsid w:val="00806675"/>
    <w:rsid w:val="00806C02"/>
    <w:rsid w:val="0080715B"/>
    <w:rsid w:val="00807788"/>
    <w:rsid w:val="00810867"/>
    <w:rsid w:val="00810E0E"/>
    <w:rsid w:val="00812DB1"/>
    <w:rsid w:val="008144A9"/>
    <w:rsid w:val="008211DE"/>
    <w:rsid w:val="008218CC"/>
    <w:rsid w:val="0082252F"/>
    <w:rsid w:val="0082275B"/>
    <w:rsid w:val="00823188"/>
    <w:rsid w:val="008257B8"/>
    <w:rsid w:val="00830EF5"/>
    <w:rsid w:val="00831143"/>
    <w:rsid w:val="00831C9D"/>
    <w:rsid w:val="00832BEF"/>
    <w:rsid w:val="00835241"/>
    <w:rsid w:val="00836592"/>
    <w:rsid w:val="00836F72"/>
    <w:rsid w:val="00840B89"/>
    <w:rsid w:val="00840CD7"/>
    <w:rsid w:val="008418F2"/>
    <w:rsid w:val="008421E6"/>
    <w:rsid w:val="00843445"/>
    <w:rsid w:val="00843853"/>
    <w:rsid w:val="00843E0B"/>
    <w:rsid w:val="00844AFD"/>
    <w:rsid w:val="00844BFB"/>
    <w:rsid w:val="00845557"/>
    <w:rsid w:val="0085068F"/>
    <w:rsid w:val="0085135C"/>
    <w:rsid w:val="0085270E"/>
    <w:rsid w:val="00855376"/>
    <w:rsid w:val="00856C93"/>
    <w:rsid w:val="00861783"/>
    <w:rsid w:val="00863126"/>
    <w:rsid w:val="00863952"/>
    <w:rsid w:val="008651FA"/>
    <w:rsid w:val="008666E1"/>
    <w:rsid w:val="00866795"/>
    <w:rsid w:val="00867115"/>
    <w:rsid w:val="00867A3A"/>
    <w:rsid w:val="008736DE"/>
    <w:rsid w:val="00873EF7"/>
    <w:rsid w:val="00875BCA"/>
    <w:rsid w:val="00876886"/>
    <w:rsid w:val="00876BB0"/>
    <w:rsid w:val="00877DF6"/>
    <w:rsid w:val="008817E3"/>
    <w:rsid w:val="00884F73"/>
    <w:rsid w:val="00886FB0"/>
    <w:rsid w:val="00887673"/>
    <w:rsid w:val="00891925"/>
    <w:rsid w:val="00891C3B"/>
    <w:rsid w:val="00891CFB"/>
    <w:rsid w:val="00894596"/>
    <w:rsid w:val="00894E19"/>
    <w:rsid w:val="00896BF4"/>
    <w:rsid w:val="00897137"/>
    <w:rsid w:val="008971AD"/>
    <w:rsid w:val="008A2B48"/>
    <w:rsid w:val="008A4C93"/>
    <w:rsid w:val="008A564B"/>
    <w:rsid w:val="008A7D10"/>
    <w:rsid w:val="008A7DFB"/>
    <w:rsid w:val="008B0F1B"/>
    <w:rsid w:val="008B22D2"/>
    <w:rsid w:val="008B5206"/>
    <w:rsid w:val="008B6448"/>
    <w:rsid w:val="008B64F8"/>
    <w:rsid w:val="008B6809"/>
    <w:rsid w:val="008B6E45"/>
    <w:rsid w:val="008C0207"/>
    <w:rsid w:val="008C1D76"/>
    <w:rsid w:val="008C2C83"/>
    <w:rsid w:val="008C3A68"/>
    <w:rsid w:val="008C494E"/>
    <w:rsid w:val="008C53BB"/>
    <w:rsid w:val="008D1597"/>
    <w:rsid w:val="008D26B5"/>
    <w:rsid w:val="008D2B0D"/>
    <w:rsid w:val="008D3034"/>
    <w:rsid w:val="008D4C2B"/>
    <w:rsid w:val="008D76AD"/>
    <w:rsid w:val="008E04F5"/>
    <w:rsid w:val="008E0BAB"/>
    <w:rsid w:val="008E2E2B"/>
    <w:rsid w:val="008E520E"/>
    <w:rsid w:val="008E5BB8"/>
    <w:rsid w:val="008E6DE6"/>
    <w:rsid w:val="008F0D79"/>
    <w:rsid w:val="008F205C"/>
    <w:rsid w:val="008F29B7"/>
    <w:rsid w:val="008F30ED"/>
    <w:rsid w:val="008F37DC"/>
    <w:rsid w:val="009015B8"/>
    <w:rsid w:val="00903CBB"/>
    <w:rsid w:val="00906648"/>
    <w:rsid w:val="00906721"/>
    <w:rsid w:val="00906AD4"/>
    <w:rsid w:val="00906F2A"/>
    <w:rsid w:val="00907457"/>
    <w:rsid w:val="00907B79"/>
    <w:rsid w:val="00907D00"/>
    <w:rsid w:val="009108D1"/>
    <w:rsid w:val="009109A6"/>
    <w:rsid w:val="0091210F"/>
    <w:rsid w:val="009142C1"/>
    <w:rsid w:val="00915CC7"/>
    <w:rsid w:val="00916371"/>
    <w:rsid w:val="009165A5"/>
    <w:rsid w:val="0091700E"/>
    <w:rsid w:val="009174AF"/>
    <w:rsid w:val="00917699"/>
    <w:rsid w:val="00917AA3"/>
    <w:rsid w:val="00917DB9"/>
    <w:rsid w:val="00920C66"/>
    <w:rsid w:val="00925058"/>
    <w:rsid w:val="009276FF"/>
    <w:rsid w:val="009325E5"/>
    <w:rsid w:val="00933A83"/>
    <w:rsid w:val="009342B0"/>
    <w:rsid w:val="009344BC"/>
    <w:rsid w:val="0093555C"/>
    <w:rsid w:val="00937B17"/>
    <w:rsid w:val="0094087A"/>
    <w:rsid w:val="00940BB4"/>
    <w:rsid w:val="0094453F"/>
    <w:rsid w:val="00944566"/>
    <w:rsid w:val="00945793"/>
    <w:rsid w:val="00947BDD"/>
    <w:rsid w:val="00950E8F"/>
    <w:rsid w:val="00953421"/>
    <w:rsid w:val="00954C4D"/>
    <w:rsid w:val="0095585D"/>
    <w:rsid w:val="00956861"/>
    <w:rsid w:val="00956E41"/>
    <w:rsid w:val="009601FE"/>
    <w:rsid w:val="009613C5"/>
    <w:rsid w:val="0096267D"/>
    <w:rsid w:val="00963124"/>
    <w:rsid w:val="00963AF6"/>
    <w:rsid w:val="00965D95"/>
    <w:rsid w:val="00967A7A"/>
    <w:rsid w:val="009727D5"/>
    <w:rsid w:val="00972A92"/>
    <w:rsid w:val="00972DD1"/>
    <w:rsid w:val="00974ACE"/>
    <w:rsid w:val="00975592"/>
    <w:rsid w:val="0097749C"/>
    <w:rsid w:val="00977869"/>
    <w:rsid w:val="009805F3"/>
    <w:rsid w:val="00980F74"/>
    <w:rsid w:val="0098282A"/>
    <w:rsid w:val="00982D87"/>
    <w:rsid w:val="009868A0"/>
    <w:rsid w:val="00991F2F"/>
    <w:rsid w:val="00993FAF"/>
    <w:rsid w:val="009A11A2"/>
    <w:rsid w:val="009A3349"/>
    <w:rsid w:val="009A348D"/>
    <w:rsid w:val="009A3AF5"/>
    <w:rsid w:val="009A4945"/>
    <w:rsid w:val="009A5091"/>
    <w:rsid w:val="009A5BA0"/>
    <w:rsid w:val="009A67D3"/>
    <w:rsid w:val="009B0346"/>
    <w:rsid w:val="009B2ACF"/>
    <w:rsid w:val="009B3EA1"/>
    <w:rsid w:val="009B6EC5"/>
    <w:rsid w:val="009B6ED7"/>
    <w:rsid w:val="009B7AAF"/>
    <w:rsid w:val="009C15E6"/>
    <w:rsid w:val="009C30E4"/>
    <w:rsid w:val="009C3974"/>
    <w:rsid w:val="009C59CE"/>
    <w:rsid w:val="009C74EE"/>
    <w:rsid w:val="009D1D5E"/>
    <w:rsid w:val="009D2D98"/>
    <w:rsid w:val="009D3B23"/>
    <w:rsid w:val="009D3C64"/>
    <w:rsid w:val="009D5568"/>
    <w:rsid w:val="009D6B06"/>
    <w:rsid w:val="009D7F95"/>
    <w:rsid w:val="009E040E"/>
    <w:rsid w:val="009E0A92"/>
    <w:rsid w:val="009E247B"/>
    <w:rsid w:val="009E397F"/>
    <w:rsid w:val="009E5181"/>
    <w:rsid w:val="009E55C6"/>
    <w:rsid w:val="009E5713"/>
    <w:rsid w:val="009E624C"/>
    <w:rsid w:val="009F1142"/>
    <w:rsid w:val="009F11F2"/>
    <w:rsid w:val="009F4296"/>
    <w:rsid w:val="009F44F5"/>
    <w:rsid w:val="009F46FD"/>
    <w:rsid w:val="009F4722"/>
    <w:rsid w:val="009F4B15"/>
    <w:rsid w:val="009F699D"/>
    <w:rsid w:val="009F6EF6"/>
    <w:rsid w:val="009F6FAF"/>
    <w:rsid w:val="009F71D8"/>
    <w:rsid w:val="00A01A18"/>
    <w:rsid w:val="00A01A69"/>
    <w:rsid w:val="00A01B23"/>
    <w:rsid w:val="00A01D34"/>
    <w:rsid w:val="00A02F72"/>
    <w:rsid w:val="00A042AC"/>
    <w:rsid w:val="00A043CC"/>
    <w:rsid w:val="00A04A98"/>
    <w:rsid w:val="00A06022"/>
    <w:rsid w:val="00A06A2D"/>
    <w:rsid w:val="00A07251"/>
    <w:rsid w:val="00A107AE"/>
    <w:rsid w:val="00A1295E"/>
    <w:rsid w:val="00A15A70"/>
    <w:rsid w:val="00A167E5"/>
    <w:rsid w:val="00A201F5"/>
    <w:rsid w:val="00A211DB"/>
    <w:rsid w:val="00A22610"/>
    <w:rsid w:val="00A233C4"/>
    <w:rsid w:val="00A235EB"/>
    <w:rsid w:val="00A24182"/>
    <w:rsid w:val="00A241C2"/>
    <w:rsid w:val="00A246E7"/>
    <w:rsid w:val="00A26A26"/>
    <w:rsid w:val="00A27491"/>
    <w:rsid w:val="00A30E8A"/>
    <w:rsid w:val="00A31D1D"/>
    <w:rsid w:val="00A3331B"/>
    <w:rsid w:val="00A347D2"/>
    <w:rsid w:val="00A3537E"/>
    <w:rsid w:val="00A36AE0"/>
    <w:rsid w:val="00A36EAD"/>
    <w:rsid w:val="00A370BE"/>
    <w:rsid w:val="00A419E8"/>
    <w:rsid w:val="00A4240A"/>
    <w:rsid w:val="00A42674"/>
    <w:rsid w:val="00A449A3"/>
    <w:rsid w:val="00A5047A"/>
    <w:rsid w:val="00A515BA"/>
    <w:rsid w:val="00A51B6B"/>
    <w:rsid w:val="00A52018"/>
    <w:rsid w:val="00A54130"/>
    <w:rsid w:val="00A545FB"/>
    <w:rsid w:val="00A5494A"/>
    <w:rsid w:val="00A56026"/>
    <w:rsid w:val="00A603AF"/>
    <w:rsid w:val="00A60EAE"/>
    <w:rsid w:val="00A615E2"/>
    <w:rsid w:val="00A62363"/>
    <w:rsid w:val="00A631E2"/>
    <w:rsid w:val="00A65F8D"/>
    <w:rsid w:val="00A711A0"/>
    <w:rsid w:val="00A71487"/>
    <w:rsid w:val="00A842D4"/>
    <w:rsid w:val="00A84BBB"/>
    <w:rsid w:val="00A85966"/>
    <w:rsid w:val="00A87F06"/>
    <w:rsid w:val="00A87FCD"/>
    <w:rsid w:val="00A910D8"/>
    <w:rsid w:val="00A91C63"/>
    <w:rsid w:val="00A92667"/>
    <w:rsid w:val="00A955A9"/>
    <w:rsid w:val="00A9649B"/>
    <w:rsid w:val="00A97A35"/>
    <w:rsid w:val="00AA1C58"/>
    <w:rsid w:val="00AA2EAF"/>
    <w:rsid w:val="00AA31A4"/>
    <w:rsid w:val="00AA4E11"/>
    <w:rsid w:val="00AA6B18"/>
    <w:rsid w:val="00AA6D5D"/>
    <w:rsid w:val="00AA7A2B"/>
    <w:rsid w:val="00AA7E34"/>
    <w:rsid w:val="00AB046C"/>
    <w:rsid w:val="00AB0556"/>
    <w:rsid w:val="00AB12EC"/>
    <w:rsid w:val="00AB3CB8"/>
    <w:rsid w:val="00AB50F4"/>
    <w:rsid w:val="00AB5360"/>
    <w:rsid w:val="00AB55BB"/>
    <w:rsid w:val="00AB581E"/>
    <w:rsid w:val="00AC0098"/>
    <w:rsid w:val="00AC3F3F"/>
    <w:rsid w:val="00AC5CEB"/>
    <w:rsid w:val="00AC72C5"/>
    <w:rsid w:val="00AC77D3"/>
    <w:rsid w:val="00AD022A"/>
    <w:rsid w:val="00AD0C13"/>
    <w:rsid w:val="00AD0F4C"/>
    <w:rsid w:val="00AD275A"/>
    <w:rsid w:val="00AD31C9"/>
    <w:rsid w:val="00AD342F"/>
    <w:rsid w:val="00AD3B5F"/>
    <w:rsid w:val="00AD461F"/>
    <w:rsid w:val="00AD4761"/>
    <w:rsid w:val="00AD647D"/>
    <w:rsid w:val="00AE0DD7"/>
    <w:rsid w:val="00AE145A"/>
    <w:rsid w:val="00AF0C7C"/>
    <w:rsid w:val="00AF18DF"/>
    <w:rsid w:val="00AF2F61"/>
    <w:rsid w:val="00AF42FB"/>
    <w:rsid w:val="00AF534F"/>
    <w:rsid w:val="00AF56A3"/>
    <w:rsid w:val="00AF56AA"/>
    <w:rsid w:val="00AF58AC"/>
    <w:rsid w:val="00AF5EE5"/>
    <w:rsid w:val="00AF62ED"/>
    <w:rsid w:val="00AF6DA4"/>
    <w:rsid w:val="00AF7058"/>
    <w:rsid w:val="00AF7FD0"/>
    <w:rsid w:val="00B0230C"/>
    <w:rsid w:val="00B023D8"/>
    <w:rsid w:val="00B0241B"/>
    <w:rsid w:val="00B034D5"/>
    <w:rsid w:val="00B036D5"/>
    <w:rsid w:val="00B10A61"/>
    <w:rsid w:val="00B11EE5"/>
    <w:rsid w:val="00B12533"/>
    <w:rsid w:val="00B131D1"/>
    <w:rsid w:val="00B1511C"/>
    <w:rsid w:val="00B20616"/>
    <w:rsid w:val="00B20AF8"/>
    <w:rsid w:val="00B213F6"/>
    <w:rsid w:val="00B231AB"/>
    <w:rsid w:val="00B2349E"/>
    <w:rsid w:val="00B23F47"/>
    <w:rsid w:val="00B249AC"/>
    <w:rsid w:val="00B2542C"/>
    <w:rsid w:val="00B2613C"/>
    <w:rsid w:val="00B27476"/>
    <w:rsid w:val="00B31B55"/>
    <w:rsid w:val="00B359C8"/>
    <w:rsid w:val="00B40E95"/>
    <w:rsid w:val="00B4201E"/>
    <w:rsid w:val="00B42E3E"/>
    <w:rsid w:val="00B45138"/>
    <w:rsid w:val="00B46203"/>
    <w:rsid w:val="00B462E6"/>
    <w:rsid w:val="00B46E12"/>
    <w:rsid w:val="00B479FE"/>
    <w:rsid w:val="00B525F3"/>
    <w:rsid w:val="00B52908"/>
    <w:rsid w:val="00B53443"/>
    <w:rsid w:val="00B547FF"/>
    <w:rsid w:val="00B54DB6"/>
    <w:rsid w:val="00B577F2"/>
    <w:rsid w:val="00B61501"/>
    <w:rsid w:val="00B648A4"/>
    <w:rsid w:val="00B65792"/>
    <w:rsid w:val="00B66C05"/>
    <w:rsid w:val="00B678AB"/>
    <w:rsid w:val="00B67E08"/>
    <w:rsid w:val="00B72192"/>
    <w:rsid w:val="00B72A61"/>
    <w:rsid w:val="00B75836"/>
    <w:rsid w:val="00B81CC9"/>
    <w:rsid w:val="00B82E89"/>
    <w:rsid w:val="00B83711"/>
    <w:rsid w:val="00B84BED"/>
    <w:rsid w:val="00B85C47"/>
    <w:rsid w:val="00B86176"/>
    <w:rsid w:val="00B863BC"/>
    <w:rsid w:val="00B8721C"/>
    <w:rsid w:val="00B87D51"/>
    <w:rsid w:val="00B87E4D"/>
    <w:rsid w:val="00B90A66"/>
    <w:rsid w:val="00B913C5"/>
    <w:rsid w:val="00B9192E"/>
    <w:rsid w:val="00B92983"/>
    <w:rsid w:val="00B9455F"/>
    <w:rsid w:val="00B9461B"/>
    <w:rsid w:val="00B97320"/>
    <w:rsid w:val="00B97DAC"/>
    <w:rsid w:val="00BA1702"/>
    <w:rsid w:val="00BA3034"/>
    <w:rsid w:val="00BA6788"/>
    <w:rsid w:val="00BA7004"/>
    <w:rsid w:val="00BA7201"/>
    <w:rsid w:val="00BA7EB2"/>
    <w:rsid w:val="00BB052B"/>
    <w:rsid w:val="00BB16FD"/>
    <w:rsid w:val="00BB337A"/>
    <w:rsid w:val="00BB7064"/>
    <w:rsid w:val="00BB79D6"/>
    <w:rsid w:val="00BB7E0F"/>
    <w:rsid w:val="00BB7F21"/>
    <w:rsid w:val="00BC20C3"/>
    <w:rsid w:val="00BC49D6"/>
    <w:rsid w:val="00BC4C03"/>
    <w:rsid w:val="00BC4DCF"/>
    <w:rsid w:val="00BC5AA9"/>
    <w:rsid w:val="00BC633E"/>
    <w:rsid w:val="00BC68D1"/>
    <w:rsid w:val="00BC6F9E"/>
    <w:rsid w:val="00BC73FF"/>
    <w:rsid w:val="00BC7723"/>
    <w:rsid w:val="00BD09D5"/>
    <w:rsid w:val="00BD2E51"/>
    <w:rsid w:val="00BD3DF5"/>
    <w:rsid w:val="00BD44D6"/>
    <w:rsid w:val="00BD454C"/>
    <w:rsid w:val="00BD4E6A"/>
    <w:rsid w:val="00BD56AB"/>
    <w:rsid w:val="00BD6D0F"/>
    <w:rsid w:val="00BE02B2"/>
    <w:rsid w:val="00BE0491"/>
    <w:rsid w:val="00BE0F90"/>
    <w:rsid w:val="00BE10E8"/>
    <w:rsid w:val="00BE18E8"/>
    <w:rsid w:val="00BE20C0"/>
    <w:rsid w:val="00BE2C43"/>
    <w:rsid w:val="00BE34AF"/>
    <w:rsid w:val="00BE36EE"/>
    <w:rsid w:val="00BE3F9E"/>
    <w:rsid w:val="00BE4735"/>
    <w:rsid w:val="00BE493C"/>
    <w:rsid w:val="00BE53A4"/>
    <w:rsid w:val="00BE5AF9"/>
    <w:rsid w:val="00BE6F0F"/>
    <w:rsid w:val="00BE7B04"/>
    <w:rsid w:val="00BF31E6"/>
    <w:rsid w:val="00BF385E"/>
    <w:rsid w:val="00BF40DC"/>
    <w:rsid w:val="00BF5428"/>
    <w:rsid w:val="00BF5672"/>
    <w:rsid w:val="00BF6D2E"/>
    <w:rsid w:val="00BF7AE5"/>
    <w:rsid w:val="00C0159E"/>
    <w:rsid w:val="00C0221A"/>
    <w:rsid w:val="00C034E4"/>
    <w:rsid w:val="00C03901"/>
    <w:rsid w:val="00C043D8"/>
    <w:rsid w:val="00C05492"/>
    <w:rsid w:val="00C05B61"/>
    <w:rsid w:val="00C060F2"/>
    <w:rsid w:val="00C0664C"/>
    <w:rsid w:val="00C07F7E"/>
    <w:rsid w:val="00C11BFB"/>
    <w:rsid w:val="00C1206E"/>
    <w:rsid w:val="00C13DD8"/>
    <w:rsid w:val="00C16EC0"/>
    <w:rsid w:val="00C17C0C"/>
    <w:rsid w:val="00C21E38"/>
    <w:rsid w:val="00C24BA9"/>
    <w:rsid w:val="00C24BAA"/>
    <w:rsid w:val="00C257D4"/>
    <w:rsid w:val="00C26318"/>
    <w:rsid w:val="00C27AC1"/>
    <w:rsid w:val="00C30E9A"/>
    <w:rsid w:val="00C3158E"/>
    <w:rsid w:val="00C32ACB"/>
    <w:rsid w:val="00C32D39"/>
    <w:rsid w:val="00C32D4F"/>
    <w:rsid w:val="00C35E0C"/>
    <w:rsid w:val="00C364F9"/>
    <w:rsid w:val="00C36EFE"/>
    <w:rsid w:val="00C374E9"/>
    <w:rsid w:val="00C4071D"/>
    <w:rsid w:val="00C408FA"/>
    <w:rsid w:val="00C41634"/>
    <w:rsid w:val="00C42179"/>
    <w:rsid w:val="00C42614"/>
    <w:rsid w:val="00C43015"/>
    <w:rsid w:val="00C43C0D"/>
    <w:rsid w:val="00C43CFD"/>
    <w:rsid w:val="00C44165"/>
    <w:rsid w:val="00C44436"/>
    <w:rsid w:val="00C464E0"/>
    <w:rsid w:val="00C51558"/>
    <w:rsid w:val="00C51E27"/>
    <w:rsid w:val="00C546ED"/>
    <w:rsid w:val="00C55EA5"/>
    <w:rsid w:val="00C627F3"/>
    <w:rsid w:val="00C62AC3"/>
    <w:rsid w:val="00C62DDE"/>
    <w:rsid w:val="00C63E01"/>
    <w:rsid w:val="00C64C12"/>
    <w:rsid w:val="00C665B6"/>
    <w:rsid w:val="00C67A48"/>
    <w:rsid w:val="00C706DA"/>
    <w:rsid w:val="00C71118"/>
    <w:rsid w:val="00C71F1E"/>
    <w:rsid w:val="00C726E3"/>
    <w:rsid w:val="00C7580C"/>
    <w:rsid w:val="00C75FAC"/>
    <w:rsid w:val="00C81AC6"/>
    <w:rsid w:val="00C83F0B"/>
    <w:rsid w:val="00C86F9E"/>
    <w:rsid w:val="00C871F0"/>
    <w:rsid w:val="00C90E03"/>
    <w:rsid w:val="00C911CF"/>
    <w:rsid w:val="00C93150"/>
    <w:rsid w:val="00C932BE"/>
    <w:rsid w:val="00C93BD4"/>
    <w:rsid w:val="00C93F07"/>
    <w:rsid w:val="00C93FBB"/>
    <w:rsid w:val="00C95275"/>
    <w:rsid w:val="00C957C2"/>
    <w:rsid w:val="00C95BDF"/>
    <w:rsid w:val="00CA1342"/>
    <w:rsid w:val="00CA26EB"/>
    <w:rsid w:val="00CA3425"/>
    <w:rsid w:val="00CA452B"/>
    <w:rsid w:val="00CA582F"/>
    <w:rsid w:val="00CA6475"/>
    <w:rsid w:val="00CB113C"/>
    <w:rsid w:val="00CB1D36"/>
    <w:rsid w:val="00CB21C7"/>
    <w:rsid w:val="00CB253C"/>
    <w:rsid w:val="00CB312B"/>
    <w:rsid w:val="00CB3395"/>
    <w:rsid w:val="00CB3985"/>
    <w:rsid w:val="00CB3E5B"/>
    <w:rsid w:val="00CB4B1D"/>
    <w:rsid w:val="00CB4CAF"/>
    <w:rsid w:val="00CB5F7E"/>
    <w:rsid w:val="00CB6360"/>
    <w:rsid w:val="00CB6C1F"/>
    <w:rsid w:val="00CB6C49"/>
    <w:rsid w:val="00CC016B"/>
    <w:rsid w:val="00CC0971"/>
    <w:rsid w:val="00CC1B0A"/>
    <w:rsid w:val="00CC1E17"/>
    <w:rsid w:val="00CC1F84"/>
    <w:rsid w:val="00CC2AEE"/>
    <w:rsid w:val="00CC330D"/>
    <w:rsid w:val="00CC34A5"/>
    <w:rsid w:val="00CC4AFC"/>
    <w:rsid w:val="00CC5B61"/>
    <w:rsid w:val="00CC5EBC"/>
    <w:rsid w:val="00CC6A80"/>
    <w:rsid w:val="00CC6B73"/>
    <w:rsid w:val="00CD1D0B"/>
    <w:rsid w:val="00CD2428"/>
    <w:rsid w:val="00CD305B"/>
    <w:rsid w:val="00CD402D"/>
    <w:rsid w:val="00CD555D"/>
    <w:rsid w:val="00CD704D"/>
    <w:rsid w:val="00CD70AE"/>
    <w:rsid w:val="00CE01F1"/>
    <w:rsid w:val="00CE0E77"/>
    <w:rsid w:val="00CE0F8D"/>
    <w:rsid w:val="00CE1FE3"/>
    <w:rsid w:val="00CE5CB9"/>
    <w:rsid w:val="00CE5F2B"/>
    <w:rsid w:val="00CE7F44"/>
    <w:rsid w:val="00CF14EC"/>
    <w:rsid w:val="00CF176D"/>
    <w:rsid w:val="00CF239A"/>
    <w:rsid w:val="00CF2AFF"/>
    <w:rsid w:val="00CF3F1F"/>
    <w:rsid w:val="00CF4C13"/>
    <w:rsid w:val="00CF4D90"/>
    <w:rsid w:val="00CF4DE8"/>
    <w:rsid w:val="00CF5A3F"/>
    <w:rsid w:val="00CF6AB4"/>
    <w:rsid w:val="00CF6E00"/>
    <w:rsid w:val="00D01515"/>
    <w:rsid w:val="00D040BE"/>
    <w:rsid w:val="00D041C3"/>
    <w:rsid w:val="00D05171"/>
    <w:rsid w:val="00D0560A"/>
    <w:rsid w:val="00D0585C"/>
    <w:rsid w:val="00D067E3"/>
    <w:rsid w:val="00D10688"/>
    <w:rsid w:val="00D12C61"/>
    <w:rsid w:val="00D17843"/>
    <w:rsid w:val="00D2104C"/>
    <w:rsid w:val="00D254B0"/>
    <w:rsid w:val="00D25F83"/>
    <w:rsid w:val="00D269ED"/>
    <w:rsid w:val="00D32355"/>
    <w:rsid w:val="00D334CA"/>
    <w:rsid w:val="00D378EC"/>
    <w:rsid w:val="00D37A1B"/>
    <w:rsid w:val="00D4020D"/>
    <w:rsid w:val="00D41656"/>
    <w:rsid w:val="00D43584"/>
    <w:rsid w:val="00D444B2"/>
    <w:rsid w:val="00D4460B"/>
    <w:rsid w:val="00D44807"/>
    <w:rsid w:val="00D44F02"/>
    <w:rsid w:val="00D458BB"/>
    <w:rsid w:val="00D4640B"/>
    <w:rsid w:val="00D46B58"/>
    <w:rsid w:val="00D46E2E"/>
    <w:rsid w:val="00D4792C"/>
    <w:rsid w:val="00D51C83"/>
    <w:rsid w:val="00D52440"/>
    <w:rsid w:val="00D577F1"/>
    <w:rsid w:val="00D57D2C"/>
    <w:rsid w:val="00D60B8F"/>
    <w:rsid w:val="00D61296"/>
    <w:rsid w:val="00D6172D"/>
    <w:rsid w:val="00D62C6D"/>
    <w:rsid w:val="00D62F1B"/>
    <w:rsid w:val="00D63457"/>
    <w:rsid w:val="00D63A2D"/>
    <w:rsid w:val="00D64CF3"/>
    <w:rsid w:val="00D66227"/>
    <w:rsid w:val="00D67F7B"/>
    <w:rsid w:val="00D701AC"/>
    <w:rsid w:val="00D71964"/>
    <w:rsid w:val="00D71CC5"/>
    <w:rsid w:val="00D72D8C"/>
    <w:rsid w:val="00D73070"/>
    <w:rsid w:val="00D7368F"/>
    <w:rsid w:val="00D73A2C"/>
    <w:rsid w:val="00D7563B"/>
    <w:rsid w:val="00D75907"/>
    <w:rsid w:val="00D767E8"/>
    <w:rsid w:val="00D769B4"/>
    <w:rsid w:val="00D77737"/>
    <w:rsid w:val="00D77BC3"/>
    <w:rsid w:val="00D77C9A"/>
    <w:rsid w:val="00D80751"/>
    <w:rsid w:val="00D82BF4"/>
    <w:rsid w:val="00D83BAE"/>
    <w:rsid w:val="00D85E8D"/>
    <w:rsid w:val="00D86018"/>
    <w:rsid w:val="00D86C98"/>
    <w:rsid w:val="00D8791B"/>
    <w:rsid w:val="00D904D1"/>
    <w:rsid w:val="00D91C18"/>
    <w:rsid w:val="00D91F83"/>
    <w:rsid w:val="00D925AF"/>
    <w:rsid w:val="00D93775"/>
    <w:rsid w:val="00D967B2"/>
    <w:rsid w:val="00D96CD7"/>
    <w:rsid w:val="00DA0910"/>
    <w:rsid w:val="00DA23EE"/>
    <w:rsid w:val="00DA2A76"/>
    <w:rsid w:val="00DA40EA"/>
    <w:rsid w:val="00DA4665"/>
    <w:rsid w:val="00DA496F"/>
    <w:rsid w:val="00DB10AF"/>
    <w:rsid w:val="00DB1F5C"/>
    <w:rsid w:val="00DB48C3"/>
    <w:rsid w:val="00DB5BED"/>
    <w:rsid w:val="00DB6BD5"/>
    <w:rsid w:val="00DB6FA8"/>
    <w:rsid w:val="00DB7B58"/>
    <w:rsid w:val="00DC0C55"/>
    <w:rsid w:val="00DC5872"/>
    <w:rsid w:val="00DC5AE8"/>
    <w:rsid w:val="00DC6C15"/>
    <w:rsid w:val="00DC727E"/>
    <w:rsid w:val="00DD0B22"/>
    <w:rsid w:val="00DD1D33"/>
    <w:rsid w:val="00DD3004"/>
    <w:rsid w:val="00DD4364"/>
    <w:rsid w:val="00DD4667"/>
    <w:rsid w:val="00DD46B7"/>
    <w:rsid w:val="00DD564D"/>
    <w:rsid w:val="00DD5848"/>
    <w:rsid w:val="00DD6130"/>
    <w:rsid w:val="00DE0FD8"/>
    <w:rsid w:val="00DE166C"/>
    <w:rsid w:val="00DE2F22"/>
    <w:rsid w:val="00DE3C5A"/>
    <w:rsid w:val="00DE4FCC"/>
    <w:rsid w:val="00DE5D8B"/>
    <w:rsid w:val="00DE657C"/>
    <w:rsid w:val="00DE790A"/>
    <w:rsid w:val="00DF3032"/>
    <w:rsid w:val="00DF5D34"/>
    <w:rsid w:val="00DF64F8"/>
    <w:rsid w:val="00DF6F55"/>
    <w:rsid w:val="00DF73F2"/>
    <w:rsid w:val="00E00CFC"/>
    <w:rsid w:val="00E044C1"/>
    <w:rsid w:val="00E05321"/>
    <w:rsid w:val="00E0648B"/>
    <w:rsid w:val="00E07516"/>
    <w:rsid w:val="00E12B26"/>
    <w:rsid w:val="00E1420B"/>
    <w:rsid w:val="00E168F9"/>
    <w:rsid w:val="00E200FE"/>
    <w:rsid w:val="00E20A6B"/>
    <w:rsid w:val="00E2189C"/>
    <w:rsid w:val="00E21A5E"/>
    <w:rsid w:val="00E21A8F"/>
    <w:rsid w:val="00E2419B"/>
    <w:rsid w:val="00E2526C"/>
    <w:rsid w:val="00E262B2"/>
    <w:rsid w:val="00E2712E"/>
    <w:rsid w:val="00E2757A"/>
    <w:rsid w:val="00E277A7"/>
    <w:rsid w:val="00E314E2"/>
    <w:rsid w:val="00E31AA8"/>
    <w:rsid w:val="00E32778"/>
    <w:rsid w:val="00E3301A"/>
    <w:rsid w:val="00E33F1F"/>
    <w:rsid w:val="00E34498"/>
    <w:rsid w:val="00E36EB2"/>
    <w:rsid w:val="00E37D30"/>
    <w:rsid w:val="00E41F3C"/>
    <w:rsid w:val="00E42852"/>
    <w:rsid w:val="00E4309D"/>
    <w:rsid w:val="00E44E32"/>
    <w:rsid w:val="00E4564C"/>
    <w:rsid w:val="00E4671B"/>
    <w:rsid w:val="00E54370"/>
    <w:rsid w:val="00E54FE2"/>
    <w:rsid w:val="00E55ABE"/>
    <w:rsid w:val="00E57699"/>
    <w:rsid w:val="00E60E08"/>
    <w:rsid w:val="00E62D00"/>
    <w:rsid w:val="00E65D7B"/>
    <w:rsid w:val="00E66717"/>
    <w:rsid w:val="00E66C5F"/>
    <w:rsid w:val="00E67C07"/>
    <w:rsid w:val="00E7028C"/>
    <w:rsid w:val="00E74693"/>
    <w:rsid w:val="00E7563B"/>
    <w:rsid w:val="00E75BC5"/>
    <w:rsid w:val="00E809FB"/>
    <w:rsid w:val="00E82ECB"/>
    <w:rsid w:val="00E86F84"/>
    <w:rsid w:val="00E873D0"/>
    <w:rsid w:val="00E87700"/>
    <w:rsid w:val="00E87C53"/>
    <w:rsid w:val="00E90FB3"/>
    <w:rsid w:val="00E9256F"/>
    <w:rsid w:val="00E9419B"/>
    <w:rsid w:val="00E94478"/>
    <w:rsid w:val="00E94D52"/>
    <w:rsid w:val="00E94DFC"/>
    <w:rsid w:val="00E950D1"/>
    <w:rsid w:val="00E977DE"/>
    <w:rsid w:val="00EA0602"/>
    <w:rsid w:val="00EA0DBD"/>
    <w:rsid w:val="00EA13E1"/>
    <w:rsid w:val="00EA143A"/>
    <w:rsid w:val="00EA159C"/>
    <w:rsid w:val="00EA20DC"/>
    <w:rsid w:val="00EA3DF4"/>
    <w:rsid w:val="00EA4216"/>
    <w:rsid w:val="00EA4822"/>
    <w:rsid w:val="00EA4E75"/>
    <w:rsid w:val="00EA5983"/>
    <w:rsid w:val="00EA6CAB"/>
    <w:rsid w:val="00EA70A0"/>
    <w:rsid w:val="00EA74A4"/>
    <w:rsid w:val="00EA7F04"/>
    <w:rsid w:val="00EB27E0"/>
    <w:rsid w:val="00EB35C0"/>
    <w:rsid w:val="00EC0C25"/>
    <w:rsid w:val="00EC1615"/>
    <w:rsid w:val="00EC36EB"/>
    <w:rsid w:val="00EC4AA4"/>
    <w:rsid w:val="00EC73A8"/>
    <w:rsid w:val="00EC7C9F"/>
    <w:rsid w:val="00ED463C"/>
    <w:rsid w:val="00ED56D9"/>
    <w:rsid w:val="00EE088C"/>
    <w:rsid w:val="00EE13D6"/>
    <w:rsid w:val="00EE33DC"/>
    <w:rsid w:val="00EE35EA"/>
    <w:rsid w:val="00EE6323"/>
    <w:rsid w:val="00EE6F4E"/>
    <w:rsid w:val="00EF0186"/>
    <w:rsid w:val="00EF0EF6"/>
    <w:rsid w:val="00EF1CB8"/>
    <w:rsid w:val="00EF2EA9"/>
    <w:rsid w:val="00EF37D4"/>
    <w:rsid w:val="00EF49C6"/>
    <w:rsid w:val="00EF5320"/>
    <w:rsid w:val="00EF5776"/>
    <w:rsid w:val="00EF5AAB"/>
    <w:rsid w:val="00EF7BE5"/>
    <w:rsid w:val="00EF7E3B"/>
    <w:rsid w:val="00F04970"/>
    <w:rsid w:val="00F04B43"/>
    <w:rsid w:val="00F04B4F"/>
    <w:rsid w:val="00F052AA"/>
    <w:rsid w:val="00F06059"/>
    <w:rsid w:val="00F10EC6"/>
    <w:rsid w:val="00F11CE1"/>
    <w:rsid w:val="00F12E34"/>
    <w:rsid w:val="00F138E8"/>
    <w:rsid w:val="00F13E40"/>
    <w:rsid w:val="00F13ED4"/>
    <w:rsid w:val="00F14D5B"/>
    <w:rsid w:val="00F16083"/>
    <w:rsid w:val="00F173C9"/>
    <w:rsid w:val="00F20AE3"/>
    <w:rsid w:val="00F20F3B"/>
    <w:rsid w:val="00F21FA1"/>
    <w:rsid w:val="00F236DF"/>
    <w:rsid w:val="00F269B5"/>
    <w:rsid w:val="00F277D5"/>
    <w:rsid w:val="00F30829"/>
    <w:rsid w:val="00F30B90"/>
    <w:rsid w:val="00F31744"/>
    <w:rsid w:val="00F31C9F"/>
    <w:rsid w:val="00F340F8"/>
    <w:rsid w:val="00F352AE"/>
    <w:rsid w:val="00F35EF2"/>
    <w:rsid w:val="00F36861"/>
    <w:rsid w:val="00F36C8F"/>
    <w:rsid w:val="00F406A4"/>
    <w:rsid w:val="00F426A0"/>
    <w:rsid w:val="00F4434F"/>
    <w:rsid w:val="00F445D6"/>
    <w:rsid w:val="00F44E26"/>
    <w:rsid w:val="00F456B4"/>
    <w:rsid w:val="00F462D0"/>
    <w:rsid w:val="00F50A1A"/>
    <w:rsid w:val="00F50C8F"/>
    <w:rsid w:val="00F52774"/>
    <w:rsid w:val="00F536BF"/>
    <w:rsid w:val="00F54E0F"/>
    <w:rsid w:val="00F559B1"/>
    <w:rsid w:val="00F56EF7"/>
    <w:rsid w:val="00F56FE1"/>
    <w:rsid w:val="00F57EBE"/>
    <w:rsid w:val="00F60722"/>
    <w:rsid w:val="00F63027"/>
    <w:rsid w:val="00F63492"/>
    <w:rsid w:val="00F64256"/>
    <w:rsid w:val="00F646C9"/>
    <w:rsid w:val="00F64C6E"/>
    <w:rsid w:val="00F674FE"/>
    <w:rsid w:val="00F67A96"/>
    <w:rsid w:val="00F707A1"/>
    <w:rsid w:val="00F707D1"/>
    <w:rsid w:val="00F70B8B"/>
    <w:rsid w:val="00F70C21"/>
    <w:rsid w:val="00F71079"/>
    <w:rsid w:val="00F71243"/>
    <w:rsid w:val="00F71EB3"/>
    <w:rsid w:val="00F73430"/>
    <w:rsid w:val="00F76581"/>
    <w:rsid w:val="00F770BE"/>
    <w:rsid w:val="00F81E24"/>
    <w:rsid w:val="00F8269D"/>
    <w:rsid w:val="00F83B52"/>
    <w:rsid w:val="00F85888"/>
    <w:rsid w:val="00F85930"/>
    <w:rsid w:val="00F87E69"/>
    <w:rsid w:val="00F90C87"/>
    <w:rsid w:val="00F93620"/>
    <w:rsid w:val="00F951AD"/>
    <w:rsid w:val="00F96DFA"/>
    <w:rsid w:val="00F97EAB"/>
    <w:rsid w:val="00FA06ED"/>
    <w:rsid w:val="00FA10CC"/>
    <w:rsid w:val="00FA20C8"/>
    <w:rsid w:val="00FA280A"/>
    <w:rsid w:val="00FA321D"/>
    <w:rsid w:val="00FA43D0"/>
    <w:rsid w:val="00FA5CA8"/>
    <w:rsid w:val="00FA7C6F"/>
    <w:rsid w:val="00FB0B37"/>
    <w:rsid w:val="00FB2585"/>
    <w:rsid w:val="00FB2E6C"/>
    <w:rsid w:val="00FB2EC1"/>
    <w:rsid w:val="00FB75D4"/>
    <w:rsid w:val="00FC0029"/>
    <w:rsid w:val="00FC4E8D"/>
    <w:rsid w:val="00FD1144"/>
    <w:rsid w:val="00FD3337"/>
    <w:rsid w:val="00FD3435"/>
    <w:rsid w:val="00FD3768"/>
    <w:rsid w:val="00FD3A96"/>
    <w:rsid w:val="00FD542F"/>
    <w:rsid w:val="00FD6934"/>
    <w:rsid w:val="00FE1000"/>
    <w:rsid w:val="00FE1333"/>
    <w:rsid w:val="00FE282C"/>
    <w:rsid w:val="00FE2E09"/>
    <w:rsid w:val="00FE3DE0"/>
    <w:rsid w:val="00FE41F7"/>
    <w:rsid w:val="00FE47EB"/>
    <w:rsid w:val="00FF0157"/>
    <w:rsid w:val="00FF067A"/>
    <w:rsid w:val="00FF218C"/>
    <w:rsid w:val="00FF220F"/>
    <w:rsid w:val="00FF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9"/>
    <w:qFormat/>
    <w:rsid w:val="00A031F1"/>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Cambria" w:eastAsia="Times New Roman" w:hAnsi="Cambria"/>
      <w:b/>
      <w:bCs/>
      <w:color w:val="365F91"/>
      <w:sz w:val="20"/>
      <w:szCs w:val="28"/>
    </w:rPr>
  </w:style>
  <w:style w:type="paragraph" w:styleId="Heading2">
    <w:name w:val="heading 2"/>
    <w:basedOn w:val="Normal"/>
    <w:next w:val="Normal"/>
    <w:link w:val="Heading2Char"/>
    <w:uiPriority w:val="9"/>
    <w:qFormat/>
    <w:rsid w:val="00A031F1"/>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Cambria" w:hAnsi="Cambria"/>
      <w:b/>
      <w:bCs/>
      <w:sz w:val="20"/>
      <w:szCs w:val="20"/>
      <w:lang w:val="es-ES"/>
    </w:rPr>
  </w:style>
  <w:style w:type="paragraph" w:styleId="Heading3">
    <w:name w:val="heading 3"/>
    <w:basedOn w:val="Normal"/>
    <w:next w:val="Normal"/>
    <w:link w:val="Heading3Char"/>
    <w:uiPriority w:val="9"/>
    <w:qFormat/>
    <w:rsid w:val="00072FEF"/>
    <w:pPr>
      <w:widowControl w:val="0"/>
      <w:ind w:left="1440" w:hanging="720"/>
      <w:jc w:val="both"/>
      <w:outlineLvl w:val="2"/>
    </w:pPr>
    <w:rPr>
      <w:rFonts w:ascii="Cambria" w:hAnsi="Cambria"/>
      <w:b/>
      <w:sz w:val="20"/>
      <w:szCs w:val="20"/>
      <w:lang w:val="es-ES"/>
    </w:rPr>
  </w:style>
  <w:style w:type="paragraph" w:styleId="Heading4">
    <w:name w:val="heading 4"/>
    <w:basedOn w:val="Normal"/>
    <w:next w:val="Normal"/>
    <w:link w:val="Heading4Char"/>
    <w:uiPriority w:val="9"/>
    <w:semiHidden/>
    <w:unhideWhenUsed/>
    <w:qFormat/>
    <w:rsid w:val="00267A39"/>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267A39"/>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List Paragraph1,Colorful List - Accent 11,Párrafo de lista1,List Paragraph2,Lista vistosa - Énfasis 11"/>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9"/>
    <w:rsid w:val="00A031F1"/>
    <w:rPr>
      <w:rFonts w:ascii="Cambria" w:eastAsia="Times New Roman" w:hAnsi="Cambria"/>
      <w:b/>
      <w:bCs/>
      <w:color w:val="365F91"/>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B479FE"/>
    <w:pPr>
      <w:tabs>
        <w:tab w:val="left" w:pos="720"/>
        <w:tab w:val="left" w:pos="1440"/>
        <w:tab w:val="right" w:leader="dot" w:pos="9350"/>
      </w:tabs>
      <w:spacing w:after="100"/>
    </w:pPr>
    <w:rPr>
      <w:rFonts w:ascii="Cambria" w:hAnsi="Cambria"/>
      <w:noProof/>
      <w:sz w:val="20"/>
      <w:szCs w:val="20"/>
    </w:rPr>
  </w:style>
  <w:style w:type="paragraph" w:styleId="TOC3">
    <w:name w:val="toc 3"/>
    <w:basedOn w:val="Normal"/>
    <w:next w:val="Normal"/>
    <w:autoRedefine/>
    <w:uiPriority w:val="39"/>
    <w:unhideWhenUsed/>
    <w:rsid w:val="00637A06"/>
    <w:pPr>
      <w:tabs>
        <w:tab w:val="left" w:pos="880"/>
        <w:tab w:val="left" w:pos="2160"/>
        <w:tab w:val="right" w:leader="dot" w:pos="9350"/>
      </w:tabs>
      <w:spacing w:after="100"/>
      <w:ind w:left="2160" w:hanging="1440"/>
      <w:jc w:val="both"/>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link w:val="Heading2"/>
    <w:uiPriority w:val="9"/>
    <w:rsid w:val="00A031F1"/>
    <w:rPr>
      <w:rFonts w:ascii="Cambria" w:hAnsi="Cambria"/>
      <w:b/>
      <w:bCs/>
      <w:bdr w:val="nil"/>
      <w:lang w:val="es-ES"/>
    </w:rPr>
  </w:style>
  <w:style w:type="character" w:customStyle="1" w:styleId="Heading3Char">
    <w:name w:val="Heading 3 Char"/>
    <w:link w:val="Heading3"/>
    <w:uiPriority w:val="9"/>
    <w:rsid w:val="00072FEF"/>
    <w:rPr>
      <w:rFonts w:ascii="Cambria" w:hAnsi="Cambria"/>
      <w:b/>
      <w:bdr w:val="nil"/>
      <w:lang w:val="es-E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Heading410pt">
    <w:name w:val="Heading 4 + 10 pt"/>
    <w:basedOn w:val="Heading3"/>
    <w:rsid w:val="00A812EB"/>
    <w:pPr>
      <w:numPr>
        <w:ilvl w:val="3"/>
        <w:numId w:val="55"/>
      </w:numPr>
      <w:tabs>
        <w:tab w:val="clear" w:pos="3240"/>
        <w:tab w:val="num" w:pos="360"/>
      </w:tabs>
      <w:ind w:left="0" w:firstLine="0"/>
    </w:pPr>
    <w:rPr>
      <w:lang w:val="es-ES_tradnl"/>
    </w:rPr>
  </w:style>
  <w:style w:type="character" w:customStyle="1" w:styleId="apple-converted-space">
    <w:name w:val="apple-converted-space"/>
    <w:rsid w:val="00A812EB"/>
  </w:style>
  <w:style w:type="character" w:customStyle="1" w:styleId="FootnoteTextChar3">
    <w:name w:val="Footnote Text Char3"/>
    <w:aliases w:val="Footnote Text Char Char Char Char Char Char3,Footnote Text Char Char Char Char Char3,Footnote reference Char3,FA Fu Char3,Footnote Text Char Char Char Char3,Footnote Text Cha Char3,FA Fußnotentext Char3,FA Fuﬂnotentext Char3,Ca Char2"/>
    <w:uiPriority w:val="99"/>
    <w:locked/>
    <w:rsid w:val="00A812EB"/>
    <w:rPr>
      <w:rFonts w:eastAsia="Arial Unicode MS"/>
      <w:color w:val="000000"/>
      <w:u w:color="000000"/>
      <w:lang w:val="en-US" w:eastAsia="en-US"/>
    </w:rPr>
  </w:style>
  <w:style w:type="paragraph" w:customStyle="1" w:styleId="Style1">
    <w:name w:val="Style1"/>
    <w:basedOn w:val="Heading1"/>
    <w:link w:val="Style1Char"/>
    <w:qFormat/>
    <w:rsid w:val="00A812EB"/>
    <w:pPr>
      <w:numPr>
        <w:numId w:val="0"/>
      </w:numPr>
      <w:ind w:left="1440" w:hanging="720"/>
      <w:jc w:val="both"/>
    </w:pPr>
    <w:rPr>
      <w:rFonts w:eastAsia="MS Mincho"/>
      <w:bCs w:val="0"/>
      <w:color w:val="auto"/>
      <w:szCs w:val="20"/>
      <w:bdr w:val="none" w:sz="0" w:space="0" w:color="auto"/>
      <w:lang w:val="es-ES"/>
    </w:rPr>
  </w:style>
  <w:style w:type="character" w:customStyle="1" w:styleId="Style1Char">
    <w:name w:val="Style1 Char"/>
    <w:link w:val="Style1"/>
    <w:rsid w:val="00A812EB"/>
    <w:rPr>
      <w:rFonts w:ascii="Cambria" w:eastAsia="MS Mincho" w:hAnsi="Cambria"/>
      <w:b/>
      <w:bdr w:val="none" w:sz="0" w:space="0" w:color="auto"/>
      <w:lang w:eastAsia="en-US"/>
    </w:rPr>
  </w:style>
  <w:style w:type="character" w:styleId="Strong">
    <w:name w:val="Strong"/>
    <w:uiPriority w:val="22"/>
    <w:qFormat/>
    <w:rsid w:val="00A812EB"/>
    <w:rPr>
      <w:b/>
      <w:bCs/>
    </w:rPr>
  </w:style>
  <w:style w:type="paragraph" w:styleId="BodyText3">
    <w:name w:val="Body Text 3"/>
    <w:basedOn w:val="Normal"/>
    <w:link w:val="BodyText3Char"/>
    <w:uiPriority w:val="99"/>
    <w:semiHidden/>
    <w:unhideWhenUsed/>
    <w:rsid w:val="00A812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Calibri" w:hAnsi="Calibri"/>
      <w:sz w:val="16"/>
      <w:szCs w:val="16"/>
      <w:bdr w:val="none" w:sz="0" w:space="0" w:color="auto"/>
      <w:lang w:val="es-US"/>
    </w:rPr>
  </w:style>
  <w:style w:type="character" w:customStyle="1" w:styleId="BodyText3Char">
    <w:name w:val="Body Text 3 Char"/>
    <w:link w:val="BodyText3"/>
    <w:uiPriority w:val="99"/>
    <w:semiHidden/>
    <w:rsid w:val="00A812EB"/>
    <w:rPr>
      <w:rFonts w:ascii="Calibri" w:eastAsia="Calibri" w:hAnsi="Calibri"/>
      <w:sz w:val="16"/>
      <w:szCs w:val="16"/>
      <w:bdr w:val="none" w:sz="0" w:space="0" w:color="auto"/>
      <w:lang w:val="es-US" w:eastAsia="en-US"/>
    </w:rPr>
  </w:style>
  <w:style w:type="character" w:customStyle="1" w:styleId="sb8d990e2">
    <w:name w:val="sb8d990e2"/>
    <w:rsid w:val="00A812EB"/>
  </w:style>
  <w:style w:type="character" w:customStyle="1" w:styleId="s6b621b36">
    <w:name w:val="s6b621b36"/>
    <w:rsid w:val="00A812EB"/>
  </w:style>
  <w:style w:type="character" w:customStyle="1" w:styleId="ju-005fpara--char">
    <w:name w:val="ju-005fpara--char"/>
    <w:uiPriority w:val="99"/>
    <w:rsid w:val="00A812EB"/>
    <w:rPr>
      <w:rFonts w:cs="Times New Roman"/>
    </w:rPr>
  </w:style>
  <w:style w:type="paragraph" w:styleId="BlockText">
    <w:name w:val="Block Text"/>
    <w:basedOn w:val="Normal"/>
    <w:rsid w:val="00A812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Times" w:hAnsi="Verdana"/>
      <w:sz w:val="16"/>
      <w:szCs w:val="20"/>
      <w:bdr w:val="none" w:sz="0" w:space="0" w:color="auto"/>
      <w:lang w:val="es-ES_tradnl"/>
    </w:rPr>
  </w:style>
  <w:style w:type="character" w:styleId="FollowedHyperlink">
    <w:name w:val="FollowedHyperlink"/>
    <w:uiPriority w:val="99"/>
    <w:semiHidden/>
    <w:unhideWhenUsed/>
    <w:rsid w:val="00741090"/>
    <w:rPr>
      <w:color w:val="800080"/>
      <w:u w:val="single"/>
    </w:rPr>
  </w:style>
  <w:style w:type="character" w:styleId="Emphasis">
    <w:name w:val="Emphasis"/>
    <w:uiPriority w:val="20"/>
    <w:qFormat/>
    <w:rsid w:val="00741090"/>
    <w:rPr>
      <w:i/>
      <w:iCs/>
    </w:rPr>
  </w:style>
  <w:style w:type="paragraph" w:styleId="NormalWeb">
    <w:name w:val="Normal (Web)"/>
    <w:basedOn w:val="Normal"/>
    <w:link w:val="NormalWebChar"/>
    <w:uiPriority w:val="99"/>
    <w:unhideWhenUsed/>
    <w:rsid w:val="007410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es-US"/>
    </w:rPr>
  </w:style>
  <w:style w:type="character" w:customStyle="1" w:styleId="BodyTextIndentChar">
    <w:name w:val="Body Text Indent Char"/>
    <w:link w:val="BodyTextIndent"/>
    <w:rsid w:val="00117F5C"/>
    <w:rPr>
      <w:rFonts w:eastAsia="Times New Roman"/>
      <w:color w:val="000000"/>
      <w:sz w:val="24"/>
      <w:szCs w:val="24"/>
      <w:u w:color="000000"/>
      <w:bdr w:val="nil"/>
      <w:lang w:val="es-ES_tradnl" w:eastAsia="es-ES"/>
    </w:rPr>
  </w:style>
  <w:style w:type="paragraph" w:styleId="PlainText">
    <w:name w:val="Plain Text"/>
    <w:basedOn w:val="Normal"/>
    <w:link w:val="PlainTextChar"/>
    <w:uiPriority w:val="99"/>
    <w:semiHidden/>
    <w:unhideWhenUsed/>
    <w:rsid w:val="00117F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1"/>
      <w:bdr w:val="none" w:sz="0" w:space="0" w:color="auto"/>
      <w:lang w:val="es-US"/>
    </w:rPr>
  </w:style>
  <w:style w:type="character" w:customStyle="1" w:styleId="PlainTextChar">
    <w:name w:val="Plain Text Char"/>
    <w:link w:val="PlainText"/>
    <w:uiPriority w:val="99"/>
    <w:semiHidden/>
    <w:rsid w:val="00117F5C"/>
    <w:rPr>
      <w:rFonts w:ascii="Calibri" w:eastAsia="Calibri" w:hAnsi="Calibri"/>
      <w:sz w:val="22"/>
      <w:szCs w:val="21"/>
      <w:lang w:eastAsia="en-US"/>
    </w:rPr>
  </w:style>
  <w:style w:type="character" w:customStyle="1" w:styleId="shorttext">
    <w:name w:val="shorttext"/>
    <w:rsid w:val="00117F5C"/>
  </w:style>
  <w:style w:type="character" w:styleId="CommentReference">
    <w:name w:val="annotation reference"/>
    <w:uiPriority w:val="99"/>
    <w:semiHidden/>
    <w:unhideWhenUsed/>
    <w:rsid w:val="007E05E0"/>
    <w:rPr>
      <w:sz w:val="16"/>
      <w:szCs w:val="16"/>
    </w:rPr>
  </w:style>
  <w:style w:type="paragraph" w:styleId="CommentText">
    <w:name w:val="annotation text"/>
    <w:basedOn w:val="Normal"/>
    <w:link w:val="CommentTextChar"/>
    <w:uiPriority w:val="99"/>
    <w:semiHidden/>
    <w:unhideWhenUsed/>
    <w:rsid w:val="007E05E0"/>
    <w:rPr>
      <w:sz w:val="20"/>
      <w:szCs w:val="20"/>
    </w:rPr>
  </w:style>
  <w:style w:type="character" w:customStyle="1" w:styleId="CommentTextChar">
    <w:name w:val="Comment Text Char"/>
    <w:link w:val="CommentText"/>
    <w:uiPriority w:val="99"/>
    <w:semiHidden/>
    <w:rsid w:val="007E05E0"/>
    <w:rPr>
      <w:bdr w:val="nil"/>
    </w:rPr>
  </w:style>
  <w:style w:type="paragraph" w:styleId="CommentSubject">
    <w:name w:val="annotation subject"/>
    <w:basedOn w:val="CommentText"/>
    <w:next w:val="CommentText"/>
    <w:link w:val="CommentSubjectChar"/>
    <w:uiPriority w:val="99"/>
    <w:semiHidden/>
    <w:unhideWhenUsed/>
    <w:rsid w:val="007E05E0"/>
    <w:rPr>
      <w:b/>
      <w:bCs/>
    </w:rPr>
  </w:style>
  <w:style w:type="character" w:customStyle="1" w:styleId="CommentSubjectChar">
    <w:name w:val="Comment Subject Char"/>
    <w:link w:val="CommentSubject"/>
    <w:uiPriority w:val="99"/>
    <w:semiHidden/>
    <w:rsid w:val="007E05E0"/>
    <w:rPr>
      <w:b/>
      <w:bCs/>
      <w:bdr w:val="nil"/>
    </w:rPr>
  </w:style>
  <w:style w:type="character" w:customStyle="1" w:styleId="apple-style-span">
    <w:name w:val="apple-style-span"/>
    <w:rsid w:val="00026CC2"/>
  </w:style>
  <w:style w:type="character" w:customStyle="1" w:styleId="Heading4Char">
    <w:name w:val="Heading 4 Char"/>
    <w:link w:val="Heading4"/>
    <w:uiPriority w:val="9"/>
    <w:semiHidden/>
    <w:rsid w:val="00267A39"/>
    <w:rPr>
      <w:rFonts w:ascii="Calibri" w:eastAsia="Times New Roman" w:hAnsi="Calibri" w:cs="Times New Roman"/>
      <w:b/>
      <w:bCs/>
      <w:sz w:val="28"/>
      <w:szCs w:val="28"/>
      <w:bdr w:val="nil"/>
      <w:lang w:val="en-US" w:eastAsia="en-US"/>
    </w:rPr>
  </w:style>
  <w:style w:type="character" w:customStyle="1" w:styleId="Heading5Char">
    <w:name w:val="Heading 5 Char"/>
    <w:link w:val="Heading5"/>
    <w:uiPriority w:val="9"/>
    <w:semiHidden/>
    <w:rsid w:val="00267A39"/>
    <w:rPr>
      <w:rFonts w:ascii="Calibri" w:eastAsia="Times New Roman" w:hAnsi="Calibri" w:cs="Times New Roman"/>
      <w:b/>
      <w:bCs/>
      <w:i/>
      <w:iCs/>
      <w:sz w:val="26"/>
      <w:szCs w:val="26"/>
      <w:bdr w:val="nil"/>
      <w:lang w:val="en-US" w:eastAsia="en-US"/>
    </w:rPr>
  </w:style>
  <w:style w:type="paragraph" w:styleId="TOC5">
    <w:name w:val="toc 5"/>
    <w:basedOn w:val="Normal"/>
    <w:next w:val="Normal"/>
    <w:autoRedefine/>
    <w:uiPriority w:val="39"/>
    <w:unhideWhenUsed/>
    <w:rsid w:val="00514EC4"/>
    <w:pPr>
      <w:ind w:left="960"/>
    </w:pPr>
  </w:style>
  <w:style w:type="paragraph" w:styleId="Revision">
    <w:name w:val="Revision"/>
    <w:hidden/>
    <w:uiPriority w:val="99"/>
    <w:semiHidden/>
    <w:rsid w:val="007E0970"/>
    <w:rPr>
      <w:rFonts w:ascii="Calibri" w:eastAsia="Calibri" w:hAnsi="Calibri"/>
      <w:sz w:val="22"/>
      <w:szCs w:val="22"/>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3177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character" w:customStyle="1" w:styleId="CharacterStyle2">
    <w:name w:val="Character Style 2"/>
    <w:uiPriority w:val="99"/>
    <w:rsid w:val="0028412E"/>
    <w:rPr>
      <w:sz w:val="20"/>
      <w:szCs w:val="20"/>
    </w:rPr>
  </w:style>
  <w:style w:type="paragraph" w:customStyle="1" w:styleId="Style10">
    <w:name w:val="Style 1"/>
    <w:basedOn w:val="Normal"/>
    <w:uiPriority w:val="99"/>
    <w:rsid w:val="00CB33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rPr>
  </w:style>
  <w:style w:type="paragraph" w:customStyle="1" w:styleId="Style19">
    <w:name w:val="Style 19"/>
    <w:basedOn w:val="Normal"/>
    <w:uiPriority w:val="99"/>
    <w:rsid w:val="00CB33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line="360" w:lineRule="auto"/>
      <w:ind w:right="72"/>
      <w:jc w:val="both"/>
    </w:pPr>
    <w:rPr>
      <w:rFonts w:ascii="Verdana" w:eastAsia="Times New Roman" w:hAnsi="Verdana" w:cs="Verdana"/>
      <w:sz w:val="21"/>
      <w:szCs w:val="21"/>
      <w:bdr w:val="none" w:sz="0" w:space="0" w:color="auto"/>
    </w:rPr>
  </w:style>
  <w:style w:type="character" w:customStyle="1" w:styleId="CharacterStyle3">
    <w:name w:val="Character Style 3"/>
    <w:uiPriority w:val="99"/>
    <w:rsid w:val="00CB3395"/>
    <w:rPr>
      <w:rFonts w:ascii="Verdana" w:hAnsi="Verdana" w:cs="Verdana"/>
      <w:sz w:val="21"/>
      <w:szCs w:val="21"/>
    </w:rPr>
  </w:style>
  <w:style w:type="paragraph" w:customStyle="1" w:styleId="Style16">
    <w:name w:val="Style 16"/>
    <w:basedOn w:val="Normal"/>
    <w:uiPriority w:val="99"/>
    <w:rsid w:val="00B261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line="372" w:lineRule="exact"/>
      <w:ind w:left="72" w:right="72"/>
      <w:jc w:val="both"/>
    </w:pPr>
    <w:rPr>
      <w:rFonts w:ascii="Verdana" w:eastAsia="Times New Roman" w:hAnsi="Verdana" w:cs="Verdana"/>
      <w:sz w:val="21"/>
      <w:szCs w:val="21"/>
      <w:bdr w:val="none" w:sz="0" w:space="0" w:color="auto"/>
    </w:rPr>
  </w:style>
  <w:style w:type="character" w:customStyle="1" w:styleId="ListParagraphChar">
    <w:name w:val="List Paragraph Char"/>
    <w:aliases w:val="List Paragraph1 Char,Colorful List - Accent 11 Char,Párrafo de lista1 Char,List Paragraph2 Char,Lista vistosa - Énfasis 11 Char"/>
    <w:link w:val="ListParagraph"/>
    <w:locked/>
    <w:rsid w:val="00587E70"/>
    <w:rPr>
      <w:rFonts w:ascii="Cambria" w:eastAsia="Cambria" w:hAnsi="Cambria" w:cs="Cambria"/>
      <w:color w:val="000000"/>
      <w:sz w:val="24"/>
      <w:szCs w:val="24"/>
      <w:u w:color="000000"/>
      <w:bdr w:val="nil"/>
      <w:lang w:eastAsia="es-ES"/>
    </w:rPr>
  </w:style>
  <w:style w:type="paragraph" w:customStyle="1" w:styleId="Style7">
    <w:name w:val="Style 7"/>
    <w:basedOn w:val="Normal"/>
    <w:uiPriority w:val="99"/>
    <w:rsid w:val="00CC1F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8" w:lineRule="auto"/>
      <w:ind w:left="720"/>
      <w:jc w:val="both"/>
    </w:pPr>
    <w:rPr>
      <w:rFonts w:ascii="Arial" w:eastAsia="Times New Roman" w:hAnsi="Arial" w:cs="Arial"/>
      <w:i/>
      <w:iCs/>
      <w:sz w:val="22"/>
      <w:szCs w:val="22"/>
      <w:bdr w:val="none" w:sz="0" w:space="0" w:color="auto"/>
    </w:rPr>
  </w:style>
  <w:style w:type="character" w:customStyle="1" w:styleId="CharacterStyle6">
    <w:name w:val="Character Style 6"/>
    <w:uiPriority w:val="99"/>
    <w:rsid w:val="00CC1F84"/>
    <w:rPr>
      <w:rFonts w:ascii="Arial" w:hAnsi="Arial" w:cs="Arial"/>
      <w:i/>
      <w:iCs/>
      <w:sz w:val="22"/>
      <w:szCs w:val="22"/>
    </w:rPr>
  </w:style>
  <w:style w:type="character" w:customStyle="1" w:styleId="CharacterStyle1">
    <w:name w:val="Character Style 1"/>
    <w:uiPriority w:val="99"/>
    <w:rsid w:val="00CC1F84"/>
    <w:rPr>
      <w:sz w:val="20"/>
      <w:szCs w:val="20"/>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4068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2"/>
      <w:szCs w:val="22"/>
      <w:bdr w:val="none" w:sz="0" w:space="0" w:color="auto"/>
      <w:vertAlign w:val="superscript"/>
    </w:rPr>
  </w:style>
  <w:style w:type="character" w:customStyle="1" w:styleId="NormalWebChar">
    <w:name w:val="Normal (Web) Char"/>
    <w:link w:val="NormalWeb"/>
    <w:uiPriority w:val="99"/>
    <w:rsid w:val="00140682"/>
    <w:rPr>
      <w:rFonts w:eastAsia="Times New Roman"/>
      <w:sz w:val="24"/>
      <w:szCs w:val="24"/>
      <w:lang w:val="es-US" w:eastAsia="es-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9"/>
    <w:qFormat/>
    <w:rsid w:val="00A031F1"/>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Cambria" w:eastAsia="Times New Roman" w:hAnsi="Cambria"/>
      <w:b/>
      <w:bCs/>
      <w:color w:val="365F91"/>
      <w:sz w:val="20"/>
      <w:szCs w:val="28"/>
    </w:rPr>
  </w:style>
  <w:style w:type="paragraph" w:styleId="Heading2">
    <w:name w:val="heading 2"/>
    <w:basedOn w:val="Normal"/>
    <w:next w:val="Normal"/>
    <w:link w:val="Heading2Char"/>
    <w:uiPriority w:val="9"/>
    <w:qFormat/>
    <w:rsid w:val="00A031F1"/>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ascii="Cambria" w:hAnsi="Cambria"/>
      <w:b/>
      <w:bCs/>
      <w:sz w:val="20"/>
      <w:szCs w:val="20"/>
      <w:lang w:val="es-ES"/>
    </w:rPr>
  </w:style>
  <w:style w:type="paragraph" w:styleId="Heading3">
    <w:name w:val="heading 3"/>
    <w:basedOn w:val="Normal"/>
    <w:next w:val="Normal"/>
    <w:link w:val="Heading3Char"/>
    <w:uiPriority w:val="9"/>
    <w:qFormat/>
    <w:rsid w:val="00072FEF"/>
    <w:pPr>
      <w:widowControl w:val="0"/>
      <w:ind w:left="1440" w:hanging="720"/>
      <w:jc w:val="both"/>
      <w:outlineLvl w:val="2"/>
    </w:pPr>
    <w:rPr>
      <w:rFonts w:ascii="Cambria" w:hAnsi="Cambria"/>
      <w:b/>
      <w:sz w:val="20"/>
      <w:szCs w:val="20"/>
      <w:lang w:val="es-ES"/>
    </w:rPr>
  </w:style>
  <w:style w:type="paragraph" w:styleId="Heading4">
    <w:name w:val="heading 4"/>
    <w:basedOn w:val="Normal"/>
    <w:next w:val="Normal"/>
    <w:link w:val="Heading4Char"/>
    <w:uiPriority w:val="9"/>
    <w:semiHidden/>
    <w:unhideWhenUsed/>
    <w:qFormat/>
    <w:rsid w:val="00267A39"/>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267A39"/>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List Paragraph1,Colorful List - Accent 11,Párrafo de lista1,List Paragraph2,Lista vistosa - Énfasis 11"/>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9"/>
    <w:rsid w:val="00A031F1"/>
    <w:rPr>
      <w:rFonts w:ascii="Cambria" w:eastAsia="Times New Roman" w:hAnsi="Cambria"/>
      <w:b/>
      <w:bCs/>
      <w:color w:val="365F91"/>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B479FE"/>
    <w:pPr>
      <w:tabs>
        <w:tab w:val="left" w:pos="720"/>
        <w:tab w:val="left" w:pos="1440"/>
        <w:tab w:val="right" w:leader="dot" w:pos="9350"/>
      </w:tabs>
      <w:spacing w:after="100"/>
    </w:pPr>
    <w:rPr>
      <w:rFonts w:ascii="Cambria" w:hAnsi="Cambria"/>
      <w:noProof/>
      <w:sz w:val="20"/>
      <w:szCs w:val="20"/>
    </w:rPr>
  </w:style>
  <w:style w:type="paragraph" w:styleId="TOC3">
    <w:name w:val="toc 3"/>
    <w:basedOn w:val="Normal"/>
    <w:next w:val="Normal"/>
    <w:autoRedefine/>
    <w:uiPriority w:val="39"/>
    <w:unhideWhenUsed/>
    <w:rsid w:val="00637A06"/>
    <w:pPr>
      <w:tabs>
        <w:tab w:val="left" w:pos="880"/>
        <w:tab w:val="left" w:pos="2160"/>
        <w:tab w:val="right" w:leader="dot" w:pos="9350"/>
      </w:tabs>
      <w:spacing w:after="100"/>
      <w:ind w:left="2160" w:hanging="1440"/>
      <w:jc w:val="both"/>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uiPriority w:val="99"/>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link w:val="BodyTextIndent2"/>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link w:val="Heading2"/>
    <w:uiPriority w:val="9"/>
    <w:rsid w:val="00A031F1"/>
    <w:rPr>
      <w:rFonts w:ascii="Cambria" w:hAnsi="Cambria"/>
      <w:b/>
      <w:bCs/>
      <w:bdr w:val="nil"/>
      <w:lang w:val="es-ES"/>
    </w:rPr>
  </w:style>
  <w:style w:type="character" w:customStyle="1" w:styleId="Heading3Char">
    <w:name w:val="Heading 3 Char"/>
    <w:link w:val="Heading3"/>
    <w:uiPriority w:val="9"/>
    <w:rsid w:val="00072FEF"/>
    <w:rPr>
      <w:rFonts w:ascii="Cambria" w:hAnsi="Cambria"/>
      <w:b/>
      <w:bdr w:val="nil"/>
      <w:lang w:val="es-E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Heading410pt">
    <w:name w:val="Heading 4 + 10 pt"/>
    <w:basedOn w:val="Heading3"/>
    <w:rsid w:val="00A812EB"/>
    <w:pPr>
      <w:numPr>
        <w:ilvl w:val="3"/>
        <w:numId w:val="55"/>
      </w:numPr>
      <w:tabs>
        <w:tab w:val="clear" w:pos="3240"/>
        <w:tab w:val="num" w:pos="360"/>
      </w:tabs>
      <w:ind w:left="0" w:firstLine="0"/>
    </w:pPr>
    <w:rPr>
      <w:lang w:val="es-ES_tradnl"/>
    </w:rPr>
  </w:style>
  <w:style w:type="character" w:customStyle="1" w:styleId="apple-converted-space">
    <w:name w:val="apple-converted-space"/>
    <w:rsid w:val="00A812EB"/>
  </w:style>
  <w:style w:type="character" w:customStyle="1" w:styleId="FootnoteTextChar3">
    <w:name w:val="Footnote Text Char3"/>
    <w:aliases w:val="Footnote Text Char Char Char Char Char Char3,Footnote Text Char Char Char Char Char3,Footnote reference Char3,FA Fu Char3,Footnote Text Char Char Char Char3,Footnote Text Cha Char3,FA Fußnotentext Char3,FA Fuﬂnotentext Char3,Ca Char2"/>
    <w:uiPriority w:val="99"/>
    <w:locked/>
    <w:rsid w:val="00A812EB"/>
    <w:rPr>
      <w:rFonts w:eastAsia="Arial Unicode MS"/>
      <w:color w:val="000000"/>
      <w:u w:color="000000"/>
      <w:lang w:val="en-US" w:eastAsia="en-US"/>
    </w:rPr>
  </w:style>
  <w:style w:type="paragraph" w:customStyle="1" w:styleId="Style1">
    <w:name w:val="Style1"/>
    <w:basedOn w:val="Heading1"/>
    <w:link w:val="Style1Char"/>
    <w:qFormat/>
    <w:rsid w:val="00A812EB"/>
    <w:pPr>
      <w:numPr>
        <w:numId w:val="0"/>
      </w:numPr>
      <w:ind w:left="1440" w:hanging="720"/>
      <w:jc w:val="both"/>
    </w:pPr>
    <w:rPr>
      <w:rFonts w:eastAsia="MS Mincho"/>
      <w:bCs w:val="0"/>
      <w:color w:val="auto"/>
      <w:szCs w:val="20"/>
      <w:bdr w:val="none" w:sz="0" w:space="0" w:color="auto"/>
      <w:lang w:val="es-ES"/>
    </w:rPr>
  </w:style>
  <w:style w:type="character" w:customStyle="1" w:styleId="Style1Char">
    <w:name w:val="Style1 Char"/>
    <w:link w:val="Style1"/>
    <w:rsid w:val="00A812EB"/>
    <w:rPr>
      <w:rFonts w:ascii="Cambria" w:eastAsia="MS Mincho" w:hAnsi="Cambria"/>
      <w:b/>
      <w:bdr w:val="none" w:sz="0" w:space="0" w:color="auto"/>
      <w:lang w:eastAsia="en-US"/>
    </w:rPr>
  </w:style>
  <w:style w:type="character" w:styleId="Strong">
    <w:name w:val="Strong"/>
    <w:uiPriority w:val="22"/>
    <w:qFormat/>
    <w:rsid w:val="00A812EB"/>
    <w:rPr>
      <w:b/>
      <w:bCs/>
    </w:rPr>
  </w:style>
  <w:style w:type="paragraph" w:styleId="BodyText3">
    <w:name w:val="Body Text 3"/>
    <w:basedOn w:val="Normal"/>
    <w:link w:val="BodyText3Char"/>
    <w:uiPriority w:val="99"/>
    <w:semiHidden/>
    <w:unhideWhenUsed/>
    <w:rsid w:val="00A812E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Calibri" w:hAnsi="Calibri"/>
      <w:sz w:val="16"/>
      <w:szCs w:val="16"/>
      <w:bdr w:val="none" w:sz="0" w:space="0" w:color="auto"/>
      <w:lang w:val="es-US"/>
    </w:rPr>
  </w:style>
  <w:style w:type="character" w:customStyle="1" w:styleId="BodyText3Char">
    <w:name w:val="Body Text 3 Char"/>
    <w:link w:val="BodyText3"/>
    <w:uiPriority w:val="99"/>
    <w:semiHidden/>
    <w:rsid w:val="00A812EB"/>
    <w:rPr>
      <w:rFonts w:ascii="Calibri" w:eastAsia="Calibri" w:hAnsi="Calibri"/>
      <w:sz w:val="16"/>
      <w:szCs w:val="16"/>
      <w:bdr w:val="none" w:sz="0" w:space="0" w:color="auto"/>
      <w:lang w:val="es-US" w:eastAsia="en-US"/>
    </w:rPr>
  </w:style>
  <w:style w:type="character" w:customStyle="1" w:styleId="sb8d990e2">
    <w:name w:val="sb8d990e2"/>
    <w:rsid w:val="00A812EB"/>
  </w:style>
  <w:style w:type="character" w:customStyle="1" w:styleId="s6b621b36">
    <w:name w:val="s6b621b36"/>
    <w:rsid w:val="00A812EB"/>
  </w:style>
  <w:style w:type="character" w:customStyle="1" w:styleId="ju-005fpara--char">
    <w:name w:val="ju-005fpara--char"/>
    <w:uiPriority w:val="99"/>
    <w:rsid w:val="00A812EB"/>
    <w:rPr>
      <w:rFonts w:cs="Times New Roman"/>
    </w:rPr>
  </w:style>
  <w:style w:type="paragraph" w:styleId="BlockText">
    <w:name w:val="Block Text"/>
    <w:basedOn w:val="Normal"/>
    <w:rsid w:val="00A812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Times" w:hAnsi="Verdana"/>
      <w:sz w:val="16"/>
      <w:szCs w:val="20"/>
      <w:bdr w:val="none" w:sz="0" w:space="0" w:color="auto"/>
      <w:lang w:val="es-ES_tradnl"/>
    </w:rPr>
  </w:style>
  <w:style w:type="character" w:styleId="FollowedHyperlink">
    <w:name w:val="FollowedHyperlink"/>
    <w:uiPriority w:val="99"/>
    <w:semiHidden/>
    <w:unhideWhenUsed/>
    <w:rsid w:val="00741090"/>
    <w:rPr>
      <w:color w:val="800080"/>
      <w:u w:val="single"/>
    </w:rPr>
  </w:style>
  <w:style w:type="character" w:styleId="Emphasis">
    <w:name w:val="Emphasis"/>
    <w:uiPriority w:val="20"/>
    <w:qFormat/>
    <w:rsid w:val="00741090"/>
    <w:rPr>
      <w:i/>
      <w:iCs/>
    </w:rPr>
  </w:style>
  <w:style w:type="paragraph" w:styleId="NormalWeb">
    <w:name w:val="Normal (Web)"/>
    <w:basedOn w:val="Normal"/>
    <w:link w:val="NormalWebChar"/>
    <w:uiPriority w:val="99"/>
    <w:unhideWhenUsed/>
    <w:rsid w:val="007410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es-US"/>
    </w:rPr>
  </w:style>
  <w:style w:type="character" w:customStyle="1" w:styleId="BodyTextIndentChar">
    <w:name w:val="Body Text Indent Char"/>
    <w:link w:val="BodyTextIndent"/>
    <w:rsid w:val="00117F5C"/>
    <w:rPr>
      <w:rFonts w:eastAsia="Times New Roman"/>
      <w:color w:val="000000"/>
      <w:sz w:val="24"/>
      <w:szCs w:val="24"/>
      <w:u w:color="000000"/>
      <w:bdr w:val="nil"/>
      <w:lang w:val="es-ES_tradnl" w:eastAsia="es-ES"/>
    </w:rPr>
  </w:style>
  <w:style w:type="paragraph" w:styleId="PlainText">
    <w:name w:val="Plain Text"/>
    <w:basedOn w:val="Normal"/>
    <w:link w:val="PlainTextChar"/>
    <w:uiPriority w:val="99"/>
    <w:semiHidden/>
    <w:unhideWhenUsed/>
    <w:rsid w:val="00117F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1"/>
      <w:bdr w:val="none" w:sz="0" w:space="0" w:color="auto"/>
      <w:lang w:val="es-US"/>
    </w:rPr>
  </w:style>
  <w:style w:type="character" w:customStyle="1" w:styleId="PlainTextChar">
    <w:name w:val="Plain Text Char"/>
    <w:link w:val="PlainText"/>
    <w:uiPriority w:val="99"/>
    <w:semiHidden/>
    <w:rsid w:val="00117F5C"/>
    <w:rPr>
      <w:rFonts w:ascii="Calibri" w:eastAsia="Calibri" w:hAnsi="Calibri"/>
      <w:sz w:val="22"/>
      <w:szCs w:val="21"/>
      <w:lang w:eastAsia="en-US"/>
    </w:rPr>
  </w:style>
  <w:style w:type="character" w:customStyle="1" w:styleId="shorttext">
    <w:name w:val="shorttext"/>
    <w:rsid w:val="00117F5C"/>
  </w:style>
  <w:style w:type="character" w:styleId="CommentReference">
    <w:name w:val="annotation reference"/>
    <w:uiPriority w:val="99"/>
    <w:semiHidden/>
    <w:unhideWhenUsed/>
    <w:rsid w:val="007E05E0"/>
    <w:rPr>
      <w:sz w:val="16"/>
      <w:szCs w:val="16"/>
    </w:rPr>
  </w:style>
  <w:style w:type="paragraph" w:styleId="CommentText">
    <w:name w:val="annotation text"/>
    <w:basedOn w:val="Normal"/>
    <w:link w:val="CommentTextChar"/>
    <w:uiPriority w:val="99"/>
    <w:semiHidden/>
    <w:unhideWhenUsed/>
    <w:rsid w:val="007E05E0"/>
    <w:rPr>
      <w:sz w:val="20"/>
      <w:szCs w:val="20"/>
    </w:rPr>
  </w:style>
  <w:style w:type="character" w:customStyle="1" w:styleId="CommentTextChar">
    <w:name w:val="Comment Text Char"/>
    <w:link w:val="CommentText"/>
    <w:uiPriority w:val="99"/>
    <w:semiHidden/>
    <w:rsid w:val="007E05E0"/>
    <w:rPr>
      <w:bdr w:val="nil"/>
    </w:rPr>
  </w:style>
  <w:style w:type="paragraph" w:styleId="CommentSubject">
    <w:name w:val="annotation subject"/>
    <w:basedOn w:val="CommentText"/>
    <w:next w:val="CommentText"/>
    <w:link w:val="CommentSubjectChar"/>
    <w:uiPriority w:val="99"/>
    <w:semiHidden/>
    <w:unhideWhenUsed/>
    <w:rsid w:val="007E05E0"/>
    <w:rPr>
      <w:b/>
      <w:bCs/>
    </w:rPr>
  </w:style>
  <w:style w:type="character" w:customStyle="1" w:styleId="CommentSubjectChar">
    <w:name w:val="Comment Subject Char"/>
    <w:link w:val="CommentSubject"/>
    <w:uiPriority w:val="99"/>
    <w:semiHidden/>
    <w:rsid w:val="007E05E0"/>
    <w:rPr>
      <w:b/>
      <w:bCs/>
      <w:bdr w:val="nil"/>
    </w:rPr>
  </w:style>
  <w:style w:type="character" w:customStyle="1" w:styleId="apple-style-span">
    <w:name w:val="apple-style-span"/>
    <w:rsid w:val="00026CC2"/>
  </w:style>
  <w:style w:type="character" w:customStyle="1" w:styleId="Heading4Char">
    <w:name w:val="Heading 4 Char"/>
    <w:link w:val="Heading4"/>
    <w:uiPriority w:val="9"/>
    <w:semiHidden/>
    <w:rsid w:val="00267A39"/>
    <w:rPr>
      <w:rFonts w:ascii="Calibri" w:eastAsia="Times New Roman" w:hAnsi="Calibri" w:cs="Times New Roman"/>
      <w:b/>
      <w:bCs/>
      <w:sz w:val="28"/>
      <w:szCs w:val="28"/>
      <w:bdr w:val="nil"/>
      <w:lang w:val="en-US" w:eastAsia="en-US"/>
    </w:rPr>
  </w:style>
  <w:style w:type="character" w:customStyle="1" w:styleId="Heading5Char">
    <w:name w:val="Heading 5 Char"/>
    <w:link w:val="Heading5"/>
    <w:uiPriority w:val="9"/>
    <w:semiHidden/>
    <w:rsid w:val="00267A39"/>
    <w:rPr>
      <w:rFonts w:ascii="Calibri" w:eastAsia="Times New Roman" w:hAnsi="Calibri" w:cs="Times New Roman"/>
      <w:b/>
      <w:bCs/>
      <w:i/>
      <w:iCs/>
      <w:sz w:val="26"/>
      <w:szCs w:val="26"/>
      <w:bdr w:val="nil"/>
      <w:lang w:val="en-US" w:eastAsia="en-US"/>
    </w:rPr>
  </w:style>
  <w:style w:type="paragraph" w:styleId="TOC5">
    <w:name w:val="toc 5"/>
    <w:basedOn w:val="Normal"/>
    <w:next w:val="Normal"/>
    <w:autoRedefine/>
    <w:uiPriority w:val="39"/>
    <w:unhideWhenUsed/>
    <w:rsid w:val="00514EC4"/>
    <w:pPr>
      <w:ind w:left="960"/>
    </w:pPr>
  </w:style>
  <w:style w:type="paragraph" w:styleId="Revision">
    <w:name w:val="Revision"/>
    <w:hidden/>
    <w:uiPriority w:val="99"/>
    <w:semiHidden/>
    <w:rsid w:val="007E0970"/>
    <w:rPr>
      <w:rFonts w:ascii="Calibri" w:eastAsia="Calibri" w:hAnsi="Calibri"/>
      <w:sz w:val="22"/>
      <w:szCs w:val="22"/>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3177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character" w:customStyle="1" w:styleId="CharacterStyle2">
    <w:name w:val="Character Style 2"/>
    <w:uiPriority w:val="99"/>
    <w:rsid w:val="0028412E"/>
    <w:rPr>
      <w:sz w:val="20"/>
      <w:szCs w:val="20"/>
    </w:rPr>
  </w:style>
  <w:style w:type="paragraph" w:customStyle="1" w:styleId="Style10">
    <w:name w:val="Style 1"/>
    <w:basedOn w:val="Normal"/>
    <w:uiPriority w:val="99"/>
    <w:rsid w:val="00CB33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rPr>
  </w:style>
  <w:style w:type="paragraph" w:customStyle="1" w:styleId="Style19">
    <w:name w:val="Style 19"/>
    <w:basedOn w:val="Normal"/>
    <w:uiPriority w:val="99"/>
    <w:rsid w:val="00CB33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88" w:line="360" w:lineRule="auto"/>
      <w:ind w:right="72"/>
      <w:jc w:val="both"/>
    </w:pPr>
    <w:rPr>
      <w:rFonts w:ascii="Verdana" w:eastAsia="Times New Roman" w:hAnsi="Verdana" w:cs="Verdana"/>
      <w:sz w:val="21"/>
      <w:szCs w:val="21"/>
      <w:bdr w:val="none" w:sz="0" w:space="0" w:color="auto"/>
    </w:rPr>
  </w:style>
  <w:style w:type="character" w:customStyle="1" w:styleId="CharacterStyle3">
    <w:name w:val="Character Style 3"/>
    <w:uiPriority w:val="99"/>
    <w:rsid w:val="00CB3395"/>
    <w:rPr>
      <w:rFonts w:ascii="Verdana" w:hAnsi="Verdana" w:cs="Verdana"/>
      <w:sz w:val="21"/>
      <w:szCs w:val="21"/>
    </w:rPr>
  </w:style>
  <w:style w:type="paragraph" w:customStyle="1" w:styleId="Style16">
    <w:name w:val="Style 16"/>
    <w:basedOn w:val="Normal"/>
    <w:uiPriority w:val="99"/>
    <w:rsid w:val="00B261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line="372" w:lineRule="exact"/>
      <w:ind w:left="72" w:right="72"/>
      <w:jc w:val="both"/>
    </w:pPr>
    <w:rPr>
      <w:rFonts w:ascii="Verdana" w:eastAsia="Times New Roman" w:hAnsi="Verdana" w:cs="Verdana"/>
      <w:sz w:val="21"/>
      <w:szCs w:val="21"/>
      <w:bdr w:val="none" w:sz="0" w:space="0" w:color="auto"/>
    </w:rPr>
  </w:style>
  <w:style w:type="character" w:customStyle="1" w:styleId="ListParagraphChar">
    <w:name w:val="List Paragraph Char"/>
    <w:aliases w:val="List Paragraph1 Char,Colorful List - Accent 11 Char,Párrafo de lista1 Char,List Paragraph2 Char,Lista vistosa - Énfasis 11 Char"/>
    <w:link w:val="ListParagraph"/>
    <w:locked/>
    <w:rsid w:val="00587E70"/>
    <w:rPr>
      <w:rFonts w:ascii="Cambria" w:eastAsia="Cambria" w:hAnsi="Cambria" w:cs="Cambria"/>
      <w:color w:val="000000"/>
      <w:sz w:val="24"/>
      <w:szCs w:val="24"/>
      <w:u w:color="000000"/>
      <w:bdr w:val="nil"/>
      <w:lang w:eastAsia="es-ES"/>
    </w:rPr>
  </w:style>
  <w:style w:type="paragraph" w:customStyle="1" w:styleId="Style7">
    <w:name w:val="Style 7"/>
    <w:basedOn w:val="Normal"/>
    <w:uiPriority w:val="99"/>
    <w:rsid w:val="00CC1F8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8" w:lineRule="auto"/>
      <w:ind w:left="720"/>
      <w:jc w:val="both"/>
    </w:pPr>
    <w:rPr>
      <w:rFonts w:ascii="Arial" w:eastAsia="Times New Roman" w:hAnsi="Arial" w:cs="Arial"/>
      <w:i/>
      <w:iCs/>
      <w:sz w:val="22"/>
      <w:szCs w:val="22"/>
      <w:bdr w:val="none" w:sz="0" w:space="0" w:color="auto"/>
    </w:rPr>
  </w:style>
  <w:style w:type="character" w:customStyle="1" w:styleId="CharacterStyle6">
    <w:name w:val="Character Style 6"/>
    <w:uiPriority w:val="99"/>
    <w:rsid w:val="00CC1F84"/>
    <w:rPr>
      <w:rFonts w:ascii="Arial" w:hAnsi="Arial" w:cs="Arial"/>
      <w:i/>
      <w:iCs/>
      <w:sz w:val="22"/>
      <w:szCs w:val="22"/>
    </w:rPr>
  </w:style>
  <w:style w:type="character" w:customStyle="1" w:styleId="CharacterStyle1">
    <w:name w:val="Character Style 1"/>
    <w:uiPriority w:val="99"/>
    <w:rsid w:val="00CC1F84"/>
    <w:rPr>
      <w:sz w:val="20"/>
      <w:szCs w:val="20"/>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4068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2"/>
      <w:szCs w:val="22"/>
      <w:bdr w:val="none" w:sz="0" w:space="0" w:color="auto"/>
      <w:vertAlign w:val="superscript"/>
    </w:rPr>
  </w:style>
  <w:style w:type="character" w:customStyle="1" w:styleId="NormalWebChar">
    <w:name w:val="Normal (Web) Char"/>
    <w:link w:val="NormalWeb"/>
    <w:uiPriority w:val="99"/>
    <w:rsid w:val="00140682"/>
    <w:rPr>
      <w:rFonts w:eastAsia="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937">
      <w:bodyDiv w:val="1"/>
      <w:marLeft w:val="0"/>
      <w:marRight w:val="0"/>
      <w:marTop w:val="0"/>
      <w:marBottom w:val="0"/>
      <w:divBdr>
        <w:top w:val="none" w:sz="0" w:space="0" w:color="auto"/>
        <w:left w:val="none" w:sz="0" w:space="0" w:color="auto"/>
        <w:bottom w:val="none" w:sz="0" w:space="0" w:color="auto"/>
        <w:right w:val="none" w:sz="0" w:space="0" w:color="auto"/>
      </w:divBdr>
      <w:divsChild>
        <w:div w:id="415131961">
          <w:marLeft w:val="0"/>
          <w:marRight w:val="0"/>
          <w:marTop w:val="0"/>
          <w:marBottom w:val="0"/>
          <w:divBdr>
            <w:top w:val="none" w:sz="0" w:space="0" w:color="auto"/>
            <w:left w:val="none" w:sz="0" w:space="0" w:color="auto"/>
            <w:bottom w:val="none" w:sz="0" w:space="0" w:color="auto"/>
            <w:right w:val="none" w:sz="0" w:space="0" w:color="auto"/>
          </w:divBdr>
        </w:div>
        <w:div w:id="1610163316">
          <w:marLeft w:val="0"/>
          <w:marRight w:val="0"/>
          <w:marTop w:val="0"/>
          <w:marBottom w:val="0"/>
          <w:divBdr>
            <w:top w:val="none" w:sz="0" w:space="0" w:color="auto"/>
            <w:left w:val="none" w:sz="0" w:space="0" w:color="auto"/>
            <w:bottom w:val="none" w:sz="0" w:space="0" w:color="auto"/>
            <w:right w:val="none" w:sz="0" w:space="0" w:color="auto"/>
          </w:divBdr>
        </w:div>
        <w:div w:id="1942492903">
          <w:marLeft w:val="0"/>
          <w:marRight w:val="0"/>
          <w:marTop w:val="0"/>
          <w:marBottom w:val="0"/>
          <w:divBdr>
            <w:top w:val="none" w:sz="0" w:space="0" w:color="auto"/>
            <w:left w:val="none" w:sz="0" w:space="0" w:color="auto"/>
            <w:bottom w:val="none" w:sz="0" w:space="0" w:color="auto"/>
            <w:right w:val="none" w:sz="0" w:space="0" w:color="auto"/>
          </w:divBdr>
        </w:div>
      </w:divsChild>
    </w:div>
    <w:div w:id="15083678">
      <w:bodyDiv w:val="1"/>
      <w:marLeft w:val="0"/>
      <w:marRight w:val="0"/>
      <w:marTop w:val="0"/>
      <w:marBottom w:val="0"/>
      <w:divBdr>
        <w:top w:val="none" w:sz="0" w:space="0" w:color="auto"/>
        <w:left w:val="none" w:sz="0" w:space="0" w:color="auto"/>
        <w:bottom w:val="none" w:sz="0" w:space="0" w:color="auto"/>
        <w:right w:val="none" w:sz="0" w:space="0" w:color="auto"/>
      </w:divBdr>
      <w:divsChild>
        <w:div w:id="1447845201">
          <w:marLeft w:val="0"/>
          <w:marRight w:val="0"/>
          <w:marTop w:val="0"/>
          <w:marBottom w:val="0"/>
          <w:divBdr>
            <w:top w:val="none" w:sz="0" w:space="0" w:color="auto"/>
            <w:left w:val="none" w:sz="0" w:space="0" w:color="auto"/>
            <w:bottom w:val="none" w:sz="0" w:space="0" w:color="auto"/>
            <w:right w:val="none" w:sz="0" w:space="0" w:color="auto"/>
          </w:divBdr>
        </w:div>
        <w:div w:id="1825394794">
          <w:marLeft w:val="0"/>
          <w:marRight w:val="0"/>
          <w:marTop w:val="0"/>
          <w:marBottom w:val="0"/>
          <w:divBdr>
            <w:top w:val="none" w:sz="0" w:space="0" w:color="auto"/>
            <w:left w:val="none" w:sz="0" w:space="0" w:color="auto"/>
            <w:bottom w:val="none" w:sz="0" w:space="0" w:color="auto"/>
            <w:right w:val="none" w:sz="0" w:space="0" w:color="auto"/>
          </w:divBdr>
        </w:div>
        <w:div w:id="2109814604">
          <w:marLeft w:val="0"/>
          <w:marRight w:val="0"/>
          <w:marTop w:val="0"/>
          <w:marBottom w:val="0"/>
          <w:divBdr>
            <w:top w:val="none" w:sz="0" w:space="0" w:color="auto"/>
            <w:left w:val="none" w:sz="0" w:space="0" w:color="auto"/>
            <w:bottom w:val="none" w:sz="0" w:space="0" w:color="auto"/>
            <w:right w:val="none" w:sz="0" w:space="0" w:color="auto"/>
          </w:divBdr>
        </w:div>
        <w:div w:id="2122410597">
          <w:marLeft w:val="0"/>
          <w:marRight w:val="0"/>
          <w:marTop w:val="0"/>
          <w:marBottom w:val="0"/>
          <w:divBdr>
            <w:top w:val="none" w:sz="0" w:space="0" w:color="auto"/>
            <w:left w:val="none" w:sz="0" w:space="0" w:color="auto"/>
            <w:bottom w:val="none" w:sz="0" w:space="0" w:color="auto"/>
            <w:right w:val="none" w:sz="0" w:space="0" w:color="auto"/>
          </w:divBdr>
        </w:div>
      </w:divsChild>
    </w:div>
    <w:div w:id="110785779">
      <w:bodyDiv w:val="1"/>
      <w:marLeft w:val="0"/>
      <w:marRight w:val="0"/>
      <w:marTop w:val="0"/>
      <w:marBottom w:val="0"/>
      <w:divBdr>
        <w:top w:val="none" w:sz="0" w:space="0" w:color="auto"/>
        <w:left w:val="none" w:sz="0" w:space="0" w:color="auto"/>
        <w:bottom w:val="none" w:sz="0" w:space="0" w:color="auto"/>
        <w:right w:val="none" w:sz="0" w:space="0" w:color="auto"/>
      </w:divBdr>
      <w:divsChild>
        <w:div w:id="968046045">
          <w:marLeft w:val="0"/>
          <w:marRight w:val="0"/>
          <w:marTop w:val="0"/>
          <w:marBottom w:val="0"/>
          <w:divBdr>
            <w:top w:val="none" w:sz="0" w:space="0" w:color="auto"/>
            <w:left w:val="none" w:sz="0" w:space="0" w:color="auto"/>
            <w:bottom w:val="none" w:sz="0" w:space="0" w:color="auto"/>
            <w:right w:val="none" w:sz="0" w:space="0" w:color="auto"/>
          </w:divBdr>
        </w:div>
        <w:div w:id="1345592217">
          <w:marLeft w:val="0"/>
          <w:marRight w:val="0"/>
          <w:marTop w:val="0"/>
          <w:marBottom w:val="0"/>
          <w:divBdr>
            <w:top w:val="none" w:sz="0" w:space="0" w:color="auto"/>
            <w:left w:val="none" w:sz="0" w:space="0" w:color="auto"/>
            <w:bottom w:val="none" w:sz="0" w:space="0" w:color="auto"/>
            <w:right w:val="none" w:sz="0" w:space="0" w:color="auto"/>
          </w:divBdr>
        </w:div>
      </w:divsChild>
    </w:div>
    <w:div w:id="114371308">
      <w:bodyDiv w:val="1"/>
      <w:marLeft w:val="0"/>
      <w:marRight w:val="0"/>
      <w:marTop w:val="0"/>
      <w:marBottom w:val="0"/>
      <w:divBdr>
        <w:top w:val="none" w:sz="0" w:space="0" w:color="auto"/>
        <w:left w:val="none" w:sz="0" w:space="0" w:color="auto"/>
        <w:bottom w:val="none" w:sz="0" w:space="0" w:color="auto"/>
        <w:right w:val="none" w:sz="0" w:space="0" w:color="auto"/>
      </w:divBdr>
      <w:divsChild>
        <w:div w:id="153692967">
          <w:marLeft w:val="0"/>
          <w:marRight w:val="0"/>
          <w:marTop w:val="0"/>
          <w:marBottom w:val="0"/>
          <w:divBdr>
            <w:top w:val="none" w:sz="0" w:space="0" w:color="auto"/>
            <w:left w:val="none" w:sz="0" w:space="0" w:color="auto"/>
            <w:bottom w:val="none" w:sz="0" w:space="0" w:color="auto"/>
            <w:right w:val="none" w:sz="0" w:space="0" w:color="auto"/>
          </w:divBdr>
        </w:div>
        <w:div w:id="923956487">
          <w:marLeft w:val="0"/>
          <w:marRight w:val="0"/>
          <w:marTop w:val="0"/>
          <w:marBottom w:val="0"/>
          <w:divBdr>
            <w:top w:val="none" w:sz="0" w:space="0" w:color="auto"/>
            <w:left w:val="none" w:sz="0" w:space="0" w:color="auto"/>
            <w:bottom w:val="none" w:sz="0" w:space="0" w:color="auto"/>
            <w:right w:val="none" w:sz="0" w:space="0" w:color="auto"/>
          </w:divBdr>
        </w:div>
        <w:div w:id="1041784598">
          <w:marLeft w:val="0"/>
          <w:marRight w:val="0"/>
          <w:marTop w:val="0"/>
          <w:marBottom w:val="0"/>
          <w:divBdr>
            <w:top w:val="none" w:sz="0" w:space="0" w:color="auto"/>
            <w:left w:val="none" w:sz="0" w:space="0" w:color="auto"/>
            <w:bottom w:val="none" w:sz="0" w:space="0" w:color="auto"/>
            <w:right w:val="none" w:sz="0" w:space="0" w:color="auto"/>
          </w:divBdr>
        </w:div>
        <w:div w:id="1354652368">
          <w:marLeft w:val="0"/>
          <w:marRight w:val="0"/>
          <w:marTop w:val="0"/>
          <w:marBottom w:val="0"/>
          <w:divBdr>
            <w:top w:val="none" w:sz="0" w:space="0" w:color="auto"/>
            <w:left w:val="none" w:sz="0" w:space="0" w:color="auto"/>
            <w:bottom w:val="none" w:sz="0" w:space="0" w:color="auto"/>
            <w:right w:val="none" w:sz="0" w:space="0" w:color="auto"/>
          </w:divBdr>
        </w:div>
        <w:div w:id="1734502269">
          <w:marLeft w:val="0"/>
          <w:marRight w:val="0"/>
          <w:marTop w:val="0"/>
          <w:marBottom w:val="0"/>
          <w:divBdr>
            <w:top w:val="none" w:sz="0" w:space="0" w:color="auto"/>
            <w:left w:val="none" w:sz="0" w:space="0" w:color="auto"/>
            <w:bottom w:val="none" w:sz="0" w:space="0" w:color="auto"/>
            <w:right w:val="none" w:sz="0" w:space="0" w:color="auto"/>
          </w:divBdr>
        </w:div>
      </w:divsChild>
    </w:div>
    <w:div w:id="148832805">
      <w:bodyDiv w:val="1"/>
      <w:marLeft w:val="0"/>
      <w:marRight w:val="0"/>
      <w:marTop w:val="0"/>
      <w:marBottom w:val="0"/>
      <w:divBdr>
        <w:top w:val="none" w:sz="0" w:space="0" w:color="auto"/>
        <w:left w:val="none" w:sz="0" w:space="0" w:color="auto"/>
        <w:bottom w:val="none" w:sz="0" w:space="0" w:color="auto"/>
        <w:right w:val="none" w:sz="0" w:space="0" w:color="auto"/>
      </w:divBdr>
      <w:divsChild>
        <w:div w:id="28384475">
          <w:marLeft w:val="0"/>
          <w:marRight w:val="0"/>
          <w:marTop w:val="0"/>
          <w:marBottom w:val="0"/>
          <w:divBdr>
            <w:top w:val="none" w:sz="0" w:space="0" w:color="auto"/>
            <w:left w:val="none" w:sz="0" w:space="0" w:color="auto"/>
            <w:bottom w:val="none" w:sz="0" w:space="0" w:color="auto"/>
            <w:right w:val="none" w:sz="0" w:space="0" w:color="auto"/>
          </w:divBdr>
        </w:div>
        <w:div w:id="124550486">
          <w:marLeft w:val="0"/>
          <w:marRight w:val="0"/>
          <w:marTop w:val="0"/>
          <w:marBottom w:val="0"/>
          <w:divBdr>
            <w:top w:val="none" w:sz="0" w:space="0" w:color="auto"/>
            <w:left w:val="none" w:sz="0" w:space="0" w:color="auto"/>
            <w:bottom w:val="none" w:sz="0" w:space="0" w:color="auto"/>
            <w:right w:val="none" w:sz="0" w:space="0" w:color="auto"/>
          </w:divBdr>
        </w:div>
        <w:div w:id="1021542336">
          <w:marLeft w:val="0"/>
          <w:marRight w:val="0"/>
          <w:marTop w:val="0"/>
          <w:marBottom w:val="0"/>
          <w:divBdr>
            <w:top w:val="none" w:sz="0" w:space="0" w:color="auto"/>
            <w:left w:val="none" w:sz="0" w:space="0" w:color="auto"/>
            <w:bottom w:val="none" w:sz="0" w:space="0" w:color="auto"/>
            <w:right w:val="none" w:sz="0" w:space="0" w:color="auto"/>
          </w:divBdr>
        </w:div>
      </w:divsChild>
    </w:div>
    <w:div w:id="332027458">
      <w:bodyDiv w:val="1"/>
      <w:marLeft w:val="0"/>
      <w:marRight w:val="0"/>
      <w:marTop w:val="0"/>
      <w:marBottom w:val="0"/>
      <w:divBdr>
        <w:top w:val="none" w:sz="0" w:space="0" w:color="auto"/>
        <w:left w:val="none" w:sz="0" w:space="0" w:color="auto"/>
        <w:bottom w:val="none" w:sz="0" w:space="0" w:color="auto"/>
        <w:right w:val="none" w:sz="0" w:space="0" w:color="auto"/>
      </w:divBdr>
      <w:divsChild>
        <w:div w:id="508368209">
          <w:marLeft w:val="0"/>
          <w:marRight w:val="0"/>
          <w:marTop w:val="0"/>
          <w:marBottom w:val="0"/>
          <w:divBdr>
            <w:top w:val="none" w:sz="0" w:space="0" w:color="auto"/>
            <w:left w:val="none" w:sz="0" w:space="0" w:color="auto"/>
            <w:bottom w:val="none" w:sz="0" w:space="0" w:color="auto"/>
            <w:right w:val="none" w:sz="0" w:space="0" w:color="auto"/>
          </w:divBdr>
        </w:div>
        <w:div w:id="1106727872">
          <w:marLeft w:val="0"/>
          <w:marRight w:val="0"/>
          <w:marTop w:val="0"/>
          <w:marBottom w:val="0"/>
          <w:divBdr>
            <w:top w:val="none" w:sz="0" w:space="0" w:color="auto"/>
            <w:left w:val="none" w:sz="0" w:space="0" w:color="auto"/>
            <w:bottom w:val="none" w:sz="0" w:space="0" w:color="auto"/>
            <w:right w:val="none" w:sz="0" w:space="0" w:color="auto"/>
          </w:divBdr>
        </w:div>
        <w:div w:id="1112558511">
          <w:marLeft w:val="0"/>
          <w:marRight w:val="0"/>
          <w:marTop w:val="0"/>
          <w:marBottom w:val="0"/>
          <w:divBdr>
            <w:top w:val="none" w:sz="0" w:space="0" w:color="auto"/>
            <w:left w:val="none" w:sz="0" w:space="0" w:color="auto"/>
            <w:bottom w:val="none" w:sz="0" w:space="0" w:color="auto"/>
            <w:right w:val="none" w:sz="0" w:space="0" w:color="auto"/>
          </w:divBdr>
        </w:div>
        <w:div w:id="1548251933">
          <w:marLeft w:val="0"/>
          <w:marRight w:val="0"/>
          <w:marTop w:val="0"/>
          <w:marBottom w:val="0"/>
          <w:divBdr>
            <w:top w:val="none" w:sz="0" w:space="0" w:color="auto"/>
            <w:left w:val="none" w:sz="0" w:space="0" w:color="auto"/>
            <w:bottom w:val="none" w:sz="0" w:space="0" w:color="auto"/>
            <w:right w:val="none" w:sz="0" w:space="0" w:color="auto"/>
          </w:divBdr>
        </w:div>
      </w:divsChild>
    </w:div>
    <w:div w:id="424232285">
      <w:bodyDiv w:val="1"/>
      <w:marLeft w:val="0"/>
      <w:marRight w:val="0"/>
      <w:marTop w:val="0"/>
      <w:marBottom w:val="0"/>
      <w:divBdr>
        <w:top w:val="none" w:sz="0" w:space="0" w:color="auto"/>
        <w:left w:val="none" w:sz="0" w:space="0" w:color="auto"/>
        <w:bottom w:val="none" w:sz="0" w:space="0" w:color="auto"/>
        <w:right w:val="none" w:sz="0" w:space="0" w:color="auto"/>
      </w:divBdr>
      <w:divsChild>
        <w:div w:id="631405338">
          <w:marLeft w:val="0"/>
          <w:marRight w:val="0"/>
          <w:marTop w:val="0"/>
          <w:marBottom w:val="0"/>
          <w:divBdr>
            <w:top w:val="none" w:sz="0" w:space="0" w:color="auto"/>
            <w:left w:val="none" w:sz="0" w:space="0" w:color="auto"/>
            <w:bottom w:val="none" w:sz="0" w:space="0" w:color="auto"/>
            <w:right w:val="none" w:sz="0" w:space="0" w:color="auto"/>
          </w:divBdr>
        </w:div>
        <w:div w:id="1084959597">
          <w:marLeft w:val="0"/>
          <w:marRight w:val="0"/>
          <w:marTop w:val="0"/>
          <w:marBottom w:val="0"/>
          <w:divBdr>
            <w:top w:val="none" w:sz="0" w:space="0" w:color="auto"/>
            <w:left w:val="none" w:sz="0" w:space="0" w:color="auto"/>
            <w:bottom w:val="none" w:sz="0" w:space="0" w:color="auto"/>
            <w:right w:val="none" w:sz="0" w:space="0" w:color="auto"/>
          </w:divBdr>
        </w:div>
        <w:div w:id="1265768015">
          <w:marLeft w:val="0"/>
          <w:marRight w:val="0"/>
          <w:marTop w:val="0"/>
          <w:marBottom w:val="0"/>
          <w:divBdr>
            <w:top w:val="none" w:sz="0" w:space="0" w:color="auto"/>
            <w:left w:val="none" w:sz="0" w:space="0" w:color="auto"/>
            <w:bottom w:val="none" w:sz="0" w:space="0" w:color="auto"/>
            <w:right w:val="none" w:sz="0" w:space="0" w:color="auto"/>
          </w:divBdr>
        </w:div>
        <w:div w:id="1382442903">
          <w:marLeft w:val="0"/>
          <w:marRight w:val="0"/>
          <w:marTop w:val="0"/>
          <w:marBottom w:val="0"/>
          <w:divBdr>
            <w:top w:val="none" w:sz="0" w:space="0" w:color="auto"/>
            <w:left w:val="none" w:sz="0" w:space="0" w:color="auto"/>
            <w:bottom w:val="none" w:sz="0" w:space="0" w:color="auto"/>
            <w:right w:val="none" w:sz="0" w:space="0" w:color="auto"/>
          </w:divBdr>
        </w:div>
        <w:div w:id="1468814233">
          <w:marLeft w:val="0"/>
          <w:marRight w:val="0"/>
          <w:marTop w:val="0"/>
          <w:marBottom w:val="0"/>
          <w:divBdr>
            <w:top w:val="none" w:sz="0" w:space="0" w:color="auto"/>
            <w:left w:val="none" w:sz="0" w:space="0" w:color="auto"/>
            <w:bottom w:val="none" w:sz="0" w:space="0" w:color="auto"/>
            <w:right w:val="none" w:sz="0" w:space="0" w:color="auto"/>
          </w:divBdr>
        </w:div>
      </w:divsChild>
    </w:div>
    <w:div w:id="495071022">
      <w:bodyDiv w:val="1"/>
      <w:marLeft w:val="0"/>
      <w:marRight w:val="0"/>
      <w:marTop w:val="0"/>
      <w:marBottom w:val="0"/>
      <w:divBdr>
        <w:top w:val="none" w:sz="0" w:space="0" w:color="auto"/>
        <w:left w:val="none" w:sz="0" w:space="0" w:color="auto"/>
        <w:bottom w:val="none" w:sz="0" w:space="0" w:color="auto"/>
        <w:right w:val="none" w:sz="0" w:space="0" w:color="auto"/>
      </w:divBdr>
      <w:divsChild>
        <w:div w:id="230701850">
          <w:marLeft w:val="0"/>
          <w:marRight w:val="0"/>
          <w:marTop w:val="0"/>
          <w:marBottom w:val="0"/>
          <w:divBdr>
            <w:top w:val="none" w:sz="0" w:space="0" w:color="auto"/>
            <w:left w:val="none" w:sz="0" w:space="0" w:color="auto"/>
            <w:bottom w:val="none" w:sz="0" w:space="0" w:color="auto"/>
            <w:right w:val="none" w:sz="0" w:space="0" w:color="auto"/>
          </w:divBdr>
        </w:div>
        <w:div w:id="310214487">
          <w:marLeft w:val="0"/>
          <w:marRight w:val="0"/>
          <w:marTop w:val="0"/>
          <w:marBottom w:val="0"/>
          <w:divBdr>
            <w:top w:val="none" w:sz="0" w:space="0" w:color="auto"/>
            <w:left w:val="none" w:sz="0" w:space="0" w:color="auto"/>
            <w:bottom w:val="none" w:sz="0" w:space="0" w:color="auto"/>
            <w:right w:val="none" w:sz="0" w:space="0" w:color="auto"/>
          </w:divBdr>
        </w:div>
        <w:div w:id="355665139">
          <w:marLeft w:val="0"/>
          <w:marRight w:val="0"/>
          <w:marTop w:val="0"/>
          <w:marBottom w:val="0"/>
          <w:divBdr>
            <w:top w:val="none" w:sz="0" w:space="0" w:color="auto"/>
            <w:left w:val="none" w:sz="0" w:space="0" w:color="auto"/>
            <w:bottom w:val="none" w:sz="0" w:space="0" w:color="auto"/>
            <w:right w:val="none" w:sz="0" w:space="0" w:color="auto"/>
          </w:divBdr>
        </w:div>
        <w:div w:id="697924757">
          <w:marLeft w:val="0"/>
          <w:marRight w:val="0"/>
          <w:marTop w:val="0"/>
          <w:marBottom w:val="0"/>
          <w:divBdr>
            <w:top w:val="none" w:sz="0" w:space="0" w:color="auto"/>
            <w:left w:val="none" w:sz="0" w:space="0" w:color="auto"/>
            <w:bottom w:val="none" w:sz="0" w:space="0" w:color="auto"/>
            <w:right w:val="none" w:sz="0" w:space="0" w:color="auto"/>
          </w:divBdr>
        </w:div>
        <w:div w:id="791947072">
          <w:marLeft w:val="0"/>
          <w:marRight w:val="0"/>
          <w:marTop w:val="0"/>
          <w:marBottom w:val="0"/>
          <w:divBdr>
            <w:top w:val="none" w:sz="0" w:space="0" w:color="auto"/>
            <w:left w:val="none" w:sz="0" w:space="0" w:color="auto"/>
            <w:bottom w:val="none" w:sz="0" w:space="0" w:color="auto"/>
            <w:right w:val="none" w:sz="0" w:space="0" w:color="auto"/>
          </w:divBdr>
        </w:div>
        <w:div w:id="835219648">
          <w:marLeft w:val="0"/>
          <w:marRight w:val="0"/>
          <w:marTop w:val="0"/>
          <w:marBottom w:val="0"/>
          <w:divBdr>
            <w:top w:val="none" w:sz="0" w:space="0" w:color="auto"/>
            <w:left w:val="none" w:sz="0" w:space="0" w:color="auto"/>
            <w:bottom w:val="none" w:sz="0" w:space="0" w:color="auto"/>
            <w:right w:val="none" w:sz="0" w:space="0" w:color="auto"/>
          </w:divBdr>
        </w:div>
        <w:div w:id="1138958907">
          <w:marLeft w:val="0"/>
          <w:marRight w:val="0"/>
          <w:marTop w:val="0"/>
          <w:marBottom w:val="0"/>
          <w:divBdr>
            <w:top w:val="none" w:sz="0" w:space="0" w:color="auto"/>
            <w:left w:val="none" w:sz="0" w:space="0" w:color="auto"/>
            <w:bottom w:val="none" w:sz="0" w:space="0" w:color="auto"/>
            <w:right w:val="none" w:sz="0" w:space="0" w:color="auto"/>
          </w:divBdr>
        </w:div>
        <w:div w:id="1406342947">
          <w:marLeft w:val="0"/>
          <w:marRight w:val="0"/>
          <w:marTop w:val="0"/>
          <w:marBottom w:val="0"/>
          <w:divBdr>
            <w:top w:val="none" w:sz="0" w:space="0" w:color="auto"/>
            <w:left w:val="none" w:sz="0" w:space="0" w:color="auto"/>
            <w:bottom w:val="none" w:sz="0" w:space="0" w:color="auto"/>
            <w:right w:val="none" w:sz="0" w:space="0" w:color="auto"/>
          </w:divBdr>
        </w:div>
        <w:div w:id="1473986199">
          <w:marLeft w:val="0"/>
          <w:marRight w:val="0"/>
          <w:marTop w:val="0"/>
          <w:marBottom w:val="0"/>
          <w:divBdr>
            <w:top w:val="none" w:sz="0" w:space="0" w:color="auto"/>
            <w:left w:val="none" w:sz="0" w:space="0" w:color="auto"/>
            <w:bottom w:val="none" w:sz="0" w:space="0" w:color="auto"/>
            <w:right w:val="none" w:sz="0" w:space="0" w:color="auto"/>
          </w:divBdr>
        </w:div>
        <w:div w:id="1544176145">
          <w:marLeft w:val="0"/>
          <w:marRight w:val="0"/>
          <w:marTop w:val="0"/>
          <w:marBottom w:val="0"/>
          <w:divBdr>
            <w:top w:val="none" w:sz="0" w:space="0" w:color="auto"/>
            <w:left w:val="none" w:sz="0" w:space="0" w:color="auto"/>
            <w:bottom w:val="none" w:sz="0" w:space="0" w:color="auto"/>
            <w:right w:val="none" w:sz="0" w:space="0" w:color="auto"/>
          </w:divBdr>
        </w:div>
        <w:div w:id="1819803955">
          <w:marLeft w:val="0"/>
          <w:marRight w:val="0"/>
          <w:marTop w:val="0"/>
          <w:marBottom w:val="0"/>
          <w:divBdr>
            <w:top w:val="none" w:sz="0" w:space="0" w:color="auto"/>
            <w:left w:val="none" w:sz="0" w:space="0" w:color="auto"/>
            <w:bottom w:val="none" w:sz="0" w:space="0" w:color="auto"/>
            <w:right w:val="none" w:sz="0" w:space="0" w:color="auto"/>
          </w:divBdr>
        </w:div>
        <w:div w:id="1917128316">
          <w:marLeft w:val="0"/>
          <w:marRight w:val="0"/>
          <w:marTop w:val="0"/>
          <w:marBottom w:val="0"/>
          <w:divBdr>
            <w:top w:val="none" w:sz="0" w:space="0" w:color="auto"/>
            <w:left w:val="none" w:sz="0" w:space="0" w:color="auto"/>
            <w:bottom w:val="none" w:sz="0" w:space="0" w:color="auto"/>
            <w:right w:val="none" w:sz="0" w:space="0" w:color="auto"/>
          </w:divBdr>
        </w:div>
      </w:divsChild>
    </w:div>
    <w:div w:id="504397081">
      <w:bodyDiv w:val="1"/>
      <w:marLeft w:val="0"/>
      <w:marRight w:val="0"/>
      <w:marTop w:val="0"/>
      <w:marBottom w:val="0"/>
      <w:divBdr>
        <w:top w:val="none" w:sz="0" w:space="0" w:color="auto"/>
        <w:left w:val="none" w:sz="0" w:space="0" w:color="auto"/>
        <w:bottom w:val="none" w:sz="0" w:space="0" w:color="auto"/>
        <w:right w:val="none" w:sz="0" w:space="0" w:color="auto"/>
      </w:divBdr>
      <w:divsChild>
        <w:div w:id="275448414">
          <w:marLeft w:val="0"/>
          <w:marRight w:val="0"/>
          <w:marTop w:val="0"/>
          <w:marBottom w:val="0"/>
          <w:divBdr>
            <w:top w:val="none" w:sz="0" w:space="0" w:color="auto"/>
            <w:left w:val="none" w:sz="0" w:space="0" w:color="auto"/>
            <w:bottom w:val="none" w:sz="0" w:space="0" w:color="auto"/>
            <w:right w:val="none" w:sz="0" w:space="0" w:color="auto"/>
          </w:divBdr>
        </w:div>
        <w:div w:id="1741171332">
          <w:marLeft w:val="0"/>
          <w:marRight w:val="0"/>
          <w:marTop w:val="0"/>
          <w:marBottom w:val="0"/>
          <w:divBdr>
            <w:top w:val="none" w:sz="0" w:space="0" w:color="auto"/>
            <w:left w:val="none" w:sz="0" w:space="0" w:color="auto"/>
            <w:bottom w:val="none" w:sz="0" w:space="0" w:color="auto"/>
            <w:right w:val="none" w:sz="0" w:space="0" w:color="auto"/>
          </w:divBdr>
        </w:div>
        <w:div w:id="1771586522">
          <w:marLeft w:val="0"/>
          <w:marRight w:val="0"/>
          <w:marTop w:val="0"/>
          <w:marBottom w:val="0"/>
          <w:divBdr>
            <w:top w:val="none" w:sz="0" w:space="0" w:color="auto"/>
            <w:left w:val="none" w:sz="0" w:space="0" w:color="auto"/>
            <w:bottom w:val="none" w:sz="0" w:space="0" w:color="auto"/>
            <w:right w:val="none" w:sz="0" w:space="0" w:color="auto"/>
          </w:divBdr>
        </w:div>
      </w:divsChild>
    </w:div>
    <w:div w:id="538784906">
      <w:bodyDiv w:val="1"/>
      <w:marLeft w:val="0"/>
      <w:marRight w:val="0"/>
      <w:marTop w:val="0"/>
      <w:marBottom w:val="0"/>
      <w:divBdr>
        <w:top w:val="none" w:sz="0" w:space="0" w:color="auto"/>
        <w:left w:val="none" w:sz="0" w:space="0" w:color="auto"/>
        <w:bottom w:val="none" w:sz="0" w:space="0" w:color="auto"/>
        <w:right w:val="none" w:sz="0" w:space="0" w:color="auto"/>
      </w:divBdr>
      <w:divsChild>
        <w:div w:id="274799752">
          <w:marLeft w:val="0"/>
          <w:marRight w:val="0"/>
          <w:marTop w:val="0"/>
          <w:marBottom w:val="0"/>
          <w:divBdr>
            <w:top w:val="none" w:sz="0" w:space="0" w:color="auto"/>
            <w:left w:val="none" w:sz="0" w:space="0" w:color="auto"/>
            <w:bottom w:val="none" w:sz="0" w:space="0" w:color="auto"/>
            <w:right w:val="none" w:sz="0" w:space="0" w:color="auto"/>
          </w:divBdr>
        </w:div>
        <w:div w:id="500268811">
          <w:marLeft w:val="0"/>
          <w:marRight w:val="0"/>
          <w:marTop w:val="0"/>
          <w:marBottom w:val="0"/>
          <w:divBdr>
            <w:top w:val="none" w:sz="0" w:space="0" w:color="auto"/>
            <w:left w:val="none" w:sz="0" w:space="0" w:color="auto"/>
            <w:bottom w:val="none" w:sz="0" w:space="0" w:color="auto"/>
            <w:right w:val="none" w:sz="0" w:space="0" w:color="auto"/>
          </w:divBdr>
        </w:div>
        <w:div w:id="700934097">
          <w:marLeft w:val="0"/>
          <w:marRight w:val="0"/>
          <w:marTop w:val="0"/>
          <w:marBottom w:val="0"/>
          <w:divBdr>
            <w:top w:val="none" w:sz="0" w:space="0" w:color="auto"/>
            <w:left w:val="none" w:sz="0" w:space="0" w:color="auto"/>
            <w:bottom w:val="none" w:sz="0" w:space="0" w:color="auto"/>
            <w:right w:val="none" w:sz="0" w:space="0" w:color="auto"/>
          </w:divBdr>
        </w:div>
        <w:div w:id="761603969">
          <w:marLeft w:val="0"/>
          <w:marRight w:val="0"/>
          <w:marTop w:val="0"/>
          <w:marBottom w:val="0"/>
          <w:divBdr>
            <w:top w:val="none" w:sz="0" w:space="0" w:color="auto"/>
            <w:left w:val="none" w:sz="0" w:space="0" w:color="auto"/>
            <w:bottom w:val="none" w:sz="0" w:space="0" w:color="auto"/>
            <w:right w:val="none" w:sz="0" w:space="0" w:color="auto"/>
          </w:divBdr>
        </w:div>
        <w:div w:id="1058087206">
          <w:marLeft w:val="0"/>
          <w:marRight w:val="0"/>
          <w:marTop w:val="0"/>
          <w:marBottom w:val="0"/>
          <w:divBdr>
            <w:top w:val="none" w:sz="0" w:space="0" w:color="auto"/>
            <w:left w:val="none" w:sz="0" w:space="0" w:color="auto"/>
            <w:bottom w:val="none" w:sz="0" w:space="0" w:color="auto"/>
            <w:right w:val="none" w:sz="0" w:space="0" w:color="auto"/>
          </w:divBdr>
        </w:div>
        <w:div w:id="1282498280">
          <w:marLeft w:val="0"/>
          <w:marRight w:val="0"/>
          <w:marTop w:val="0"/>
          <w:marBottom w:val="0"/>
          <w:divBdr>
            <w:top w:val="none" w:sz="0" w:space="0" w:color="auto"/>
            <w:left w:val="none" w:sz="0" w:space="0" w:color="auto"/>
            <w:bottom w:val="none" w:sz="0" w:space="0" w:color="auto"/>
            <w:right w:val="none" w:sz="0" w:space="0" w:color="auto"/>
          </w:divBdr>
        </w:div>
        <w:div w:id="1945769643">
          <w:marLeft w:val="0"/>
          <w:marRight w:val="0"/>
          <w:marTop w:val="0"/>
          <w:marBottom w:val="0"/>
          <w:divBdr>
            <w:top w:val="none" w:sz="0" w:space="0" w:color="auto"/>
            <w:left w:val="none" w:sz="0" w:space="0" w:color="auto"/>
            <w:bottom w:val="none" w:sz="0" w:space="0" w:color="auto"/>
            <w:right w:val="none" w:sz="0" w:space="0" w:color="auto"/>
          </w:divBdr>
        </w:div>
        <w:div w:id="1987121455">
          <w:marLeft w:val="0"/>
          <w:marRight w:val="0"/>
          <w:marTop w:val="0"/>
          <w:marBottom w:val="0"/>
          <w:divBdr>
            <w:top w:val="none" w:sz="0" w:space="0" w:color="auto"/>
            <w:left w:val="none" w:sz="0" w:space="0" w:color="auto"/>
            <w:bottom w:val="none" w:sz="0" w:space="0" w:color="auto"/>
            <w:right w:val="none" w:sz="0" w:space="0" w:color="auto"/>
          </w:divBdr>
        </w:div>
      </w:divsChild>
    </w:div>
    <w:div w:id="563374577">
      <w:bodyDiv w:val="1"/>
      <w:marLeft w:val="0"/>
      <w:marRight w:val="0"/>
      <w:marTop w:val="0"/>
      <w:marBottom w:val="0"/>
      <w:divBdr>
        <w:top w:val="none" w:sz="0" w:space="0" w:color="auto"/>
        <w:left w:val="none" w:sz="0" w:space="0" w:color="auto"/>
        <w:bottom w:val="none" w:sz="0" w:space="0" w:color="auto"/>
        <w:right w:val="none" w:sz="0" w:space="0" w:color="auto"/>
      </w:divBdr>
      <w:divsChild>
        <w:div w:id="217866915">
          <w:marLeft w:val="0"/>
          <w:marRight w:val="0"/>
          <w:marTop w:val="0"/>
          <w:marBottom w:val="0"/>
          <w:divBdr>
            <w:top w:val="none" w:sz="0" w:space="0" w:color="auto"/>
            <w:left w:val="none" w:sz="0" w:space="0" w:color="auto"/>
            <w:bottom w:val="none" w:sz="0" w:space="0" w:color="auto"/>
            <w:right w:val="none" w:sz="0" w:space="0" w:color="auto"/>
          </w:divBdr>
        </w:div>
        <w:div w:id="790129357">
          <w:marLeft w:val="0"/>
          <w:marRight w:val="0"/>
          <w:marTop w:val="0"/>
          <w:marBottom w:val="0"/>
          <w:divBdr>
            <w:top w:val="none" w:sz="0" w:space="0" w:color="auto"/>
            <w:left w:val="none" w:sz="0" w:space="0" w:color="auto"/>
            <w:bottom w:val="none" w:sz="0" w:space="0" w:color="auto"/>
            <w:right w:val="none" w:sz="0" w:space="0" w:color="auto"/>
          </w:divBdr>
        </w:div>
        <w:div w:id="1375495709">
          <w:marLeft w:val="0"/>
          <w:marRight w:val="0"/>
          <w:marTop w:val="0"/>
          <w:marBottom w:val="0"/>
          <w:divBdr>
            <w:top w:val="none" w:sz="0" w:space="0" w:color="auto"/>
            <w:left w:val="none" w:sz="0" w:space="0" w:color="auto"/>
            <w:bottom w:val="none" w:sz="0" w:space="0" w:color="auto"/>
            <w:right w:val="none" w:sz="0" w:space="0" w:color="auto"/>
          </w:divBdr>
        </w:div>
        <w:div w:id="1484200968">
          <w:marLeft w:val="0"/>
          <w:marRight w:val="0"/>
          <w:marTop w:val="0"/>
          <w:marBottom w:val="0"/>
          <w:divBdr>
            <w:top w:val="none" w:sz="0" w:space="0" w:color="auto"/>
            <w:left w:val="none" w:sz="0" w:space="0" w:color="auto"/>
            <w:bottom w:val="none" w:sz="0" w:space="0" w:color="auto"/>
            <w:right w:val="none" w:sz="0" w:space="0" w:color="auto"/>
          </w:divBdr>
        </w:div>
        <w:div w:id="1603218239">
          <w:marLeft w:val="0"/>
          <w:marRight w:val="0"/>
          <w:marTop w:val="0"/>
          <w:marBottom w:val="0"/>
          <w:divBdr>
            <w:top w:val="none" w:sz="0" w:space="0" w:color="auto"/>
            <w:left w:val="none" w:sz="0" w:space="0" w:color="auto"/>
            <w:bottom w:val="none" w:sz="0" w:space="0" w:color="auto"/>
            <w:right w:val="none" w:sz="0" w:space="0" w:color="auto"/>
          </w:divBdr>
        </w:div>
      </w:divsChild>
    </w:div>
    <w:div w:id="585965983">
      <w:bodyDiv w:val="1"/>
      <w:marLeft w:val="0"/>
      <w:marRight w:val="0"/>
      <w:marTop w:val="0"/>
      <w:marBottom w:val="0"/>
      <w:divBdr>
        <w:top w:val="none" w:sz="0" w:space="0" w:color="auto"/>
        <w:left w:val="none" w:sz="0" w:space="0" w:color="auto"/>
        <w:bottom w:val="none" w:sz="0" w:space="0" w:color="auto"/>
        <w:right w:val="none" w:sz="0" w:space="0" w:color="auto"/>
      </w:divBdr>
    </w:div>
    <w:div w:id="829911592">
      <w:bodyDiv w:val="1"/>
      <w:marLeft w:val="0"/>
      <w:marRight w:val="0"/>
      <w:marTop w:val="0"/>
      <w:marBottom w:val="0"/>
      <w:divBdr>
        <w:top w:val="none" w:sz="0" w:space="0" w:color="auto"/>
        <w:left w:val="none" w:sz="0" w:space="0" w:color="auto"/>
        <w:bottom w:val="none" w:sz="0" w:space="0" w:color="auto"/>
        <w:right w:val="none" w:sz="0" w:space="0" w:color="auto"/>
      </w:divBdr>
      <w:divsChild>
        <w:div w:id="691541613">
          <w:marLeft w:val="0"/>
          <w:marRight w:val="0"/>
          <w:marTop w:val="0"/>
          <w:marBottom w:val="0"/>
          <w:divBdr>
            <w:top w:val="none" w:sz="0" w:space="0" w:color="auto"/>
            <w:left w:val="none" w:sz="0" w:space="0" w:color="auto"/>
            <w:bottom w:val="none" w:sz="0" w:space="0" w:color="auto"/>
            <w:right w:val="none" w:sz="0" w:space="0" w:color="auto"/>
          </w:divBdr>
        </w:div>
        <w:div w:id="781924050">
          <w:marLeft w:val="0"/>
          <w:marRight w:val="0"/>
          <w:marTop w:val="0"/>
          <w:marBottom w:val="0"/>
          <w:divBdr>
            <w:top w:val="none" w:sz="0" w:space="0" w:color="auto"/>
            <w:left w:val="none" w:sz="0" w:space="0" w:color="auto"/>
            <w:bottom w:val="none" w:sz="0" w:space="0" w:color="auto"/>
            <w:right w:val="none" w:sz="0" w:space="0" w:color="auto"/>
          </w:divBdr>
        </w:div>
        <w:div w:id="1037315658">
          <w:marLeft w:val="0"/>
          <w:marRight w:val="0"/>
          <w:marTop w:val="0"/>
          <w:marBottom w:val="0"/>
          <w:divBdr>
            <w:top w:val="none" w:sz="0" w:space="0" w:color="auto"/>
            <w:left w:val="none" w:sz="0" w:space="0" w:color="auto"/>
            <w:bottom w:val="none" w:sz="0" w:space="0" w:color="auto"/>
            <w:right w:val="none" w:sz="0" w:space="0" w:color="auto"/>
          </w:divBdr>
        </w:div>
        <w:div w:id="1106463580">
          <w:marLeft w:val="0"/>
          <w:marRight w:val="0"/>
          <w:marTop w:val="0"/>
          <w:marBottom w:val="0"/>
          <w:divBdr>
            <w:top w:val="none" w:sz="0" w:space="0" w:color="auto"/>
            <w:left w:val="none" w:sz="0" w:space="0" w:color="auto"/>
            <w:bottom w:val="none" w:sz="0" w:space="0" w:color="auto"/>
            <w:right w:val="none" w:sz="0" w:space="0" w:color="auto"/>
          </w:divBdr>
        </w:div>
        <w:div w:id="1601795108">
          <w:marLeft w:val="0"/>
          <w:marRight w:val="0"/>
          <w:marTop w:val="0"/>
          <w:marBottom w:val="0"/>
          <w:divBdr>
            <w:top w:val="none" w:sz="0" w:space="0" w:color="auto"/>
            <w:left w:val="none" w:sz="0" w:space="0" w:color="auto"/>
            <w:bottom w:val="none" w:sz="0" w:space="0" w:color="auto"/>
            <w:right w:val="none" w:sz="0" w:space="0" w:color="auto"/>
          </w:divBdr>
        </w:div>
        <w:div w:id="1908568367">
          <w:marLeft w:val="0"/>
          <w:marRight w:val="0"/>
          <w:marTop w:val="0"/>
          <w:marBottom w:val="0"/>
          <w:divBdr>
            <w:top w:val="none" w:sz="0" w:space="0" w:color="auto"/>
            <w:left w:val="none" w:sz="0" w:space="0" w:color="auto"/>
            <w:bottom w:val="none" w:sz="0" w:space="0" w:color="auto"/>
            <w:right w:val="none" w:sz="0" w:space="0" w:color="auto"/>
          </w:divBdr>
        </w:div>
      </w:divsChild>
    </w:div>
    <w:div w:id="881206782">
      <w:bodyDiv w:val="1"/>
      <w:marLeft w:val="0"/>
      <w:marRight w:val="0"/>
      <w:marTop w:val="0"/>
      <w:marBottom w:val="0"/>
      <w:divBdr>
        <w:top w:val="none" w:sz="0" w:space="0" w:color="auto"/>
        <w:left w:val="none" w:sz="0" w:space="0" w:color="auto"/>
        <w:bottom w:val="none" w:sz="0" w:space="0" w:color="auto"/>
        <w:right w:val="none" w:sz="0" w:space="0" w:color="auto"/>
      </w:divBdr>
      <w:divsChild>
        <w:div w:id="109709641">
          <w:marLeft w:val="0"/>
          <w:marRight w:val="0"/>
          <w:marTop w:val="0"/>
          <w:marBottom w:val="0"/>
          <w:divBdr>
            <w:top w:val="none" w:sz="0" w:space="0" w:color="auto"/>
            <w:left w:val="none" w:sz="0" w:space="0" w:color="auto"/>
            <w:bottom w:val="none" w:sz="0" w:space="0" w:color="auto"/>
            <w:right w:val="none" w:sz="0" w:space="0" w:color="auto"/>
          </w:divBdr>
        </w:div>
        <w:div w:id="142082875">
          <w:marLeft w:val="0"/>
          <w:marRight w:val="0"/>
          <w:marTop w:val="0"/>
          <w:marBottom w:val="0"/>
          <w:divBdr>
            <w:top w:val="none" w:sz="0" w:space="0" w:color="auto"/>
            <w:left w:val="none" w:sz="0" w:space="0" w:color="auto"/>
            <w:bottom w:val="none" w:sz="0" w:space="0" w:color="auto"/>
            <w:right w:val="none" w:sz="0" w:space="0" w:color="auto"/>
          </w:divBdr>
        </w:div>
        <w:div w:id="255525607">
          <w:marLeft w:val="0"/>
          <w:marRight w:val="0"/>
          <w:marTop w:val="0"/>
          <w:marBottom w:val="0"/>
          <w:divBdr>
            <w:top w:val="none" w:sz="0" w:space="0" w:color="auto"/>
            <w:left w:val="none" w:sz="0" w:space="0" w:color="auto"/>
            <w:bottom w:val="none" w:sz="0" w:space="0" w:color="auto"/>
            <w:right w:val="none" w:sz="0" w:space="0" w:color="auto"/>
          </w:divBdr>
        </w:div>
        <w:div w:id="543031553">
          <w:marLeft w:val="0"/>
          <w:marRight w:val="0"/>
          <w:marTop w:val="0"/>
          <w:marBottom w:val="0"/>
          <w:divBdr>
            <w:top w:val="none" w:sz="0" w:space="0" w:color="auto"/>
            <w:left w:val="none" w:sz="0" w:space="0" w:color="auto"/>
            <w:bottom w:val="none" w:sz="0" w:space="0" w:color="auto"/>
            <w:right w:val="none" w:sz="0" w:space="0" w:color="auto"/>
          </w:divBdr>
        </w:div>
        <w:div w:id="796024825">
          <w:marLeft w:val="0"/>
          <w:marRight w:val="0"/>
          <w:marTop w:val="0"/>
          <w:marBottom w:val="0"/>
          <w:divBdr>
            <w:top w:val="none" w:sz="0" w:space="0" w:color="auto"/>
            <w:left w:val="none" w:sz="0" w:space="0" w:color="auto"/>
            <w:bottom w:val="none" w:sz="0" w:space="0" w:color="auto"/>
            <w:right w:val="none" w:sz="0" w:space="0" w:color="auto"/>
          </w:divBdr>
        </w:div>
        <w:div w:id="1057163054">
          <w:marLeft w:val="0"/>
          <w:marRight w:val="0"/>
          <w:marTop w:val="0"/>
          <w:marBottom w:val="0"/>
          <w:divBdr>
            <w:top w:val="none" w:sz="0" w:space="0" w:color="auto"/>
            <w:left w:val="none" w:sz="0" w:space="0" w:color="auto"/>
            <w:bottom w:val="none" w:sz="0" w:space="0" w:color="auto"/>
            <w:right w:val="none" w:sz="0" w:space="0" w:color="auto"/>
          </w:divBdr>
        </w:div>
        <w:div w:id="1552880318">
          <w:marLeft w:val="0"/>
          <w:marRight w:val="0"/>
          <w:marTop w:val="0"/>
          <w:marBottom w:val="0"/>
          <w:divBdr>
            <w:top w:val="none" w:sz="0" w:space="0" w:color="auto"/>
            <w:left w:val="none" w:sz="0" w:space="0" w:color="auto"/>
            <w:bottom w:val="none" w:sz="0" w:space="0" w:color="auto"/>
            <w:right w:val="none" w:sz="0" w:space="0" w:color="auto"/>
          </w:divBdr>
        </w:div>
        <w:div w:id="1923025173">
          <w:marLeft w:val="0"/>
          <w:marRight w:val="0"/>
          <w:marTop w:val="0"/>
          <w:marBottom w:val="0"/>
          <w:divBdr>
            <w:top w:val="none" w:sz="0" w:space="0" w:color="auto"/>
            <w:left w:val="none" w:sz="0" w:space="0" w:color="auto"/>
            <w:bottom w:val="none" w:sz="0" w:space="0" w:color="auto"/>
            <w:right w:val="none" w:sz="0" w:space="0" w:color="auto"/>
          </w:divBdr>
        </w:div>
        <w:div w:id="1937329259">
          <w:marLeft w:val="0"/>
          <w:marRight w:val="0"/>
          <w:marTop w:val="0"/>
          <w:marBottom w:val="0"/>
          <w:divBdr>
            <w:top w:val="none" w:sz="0" w:space="0" w:color="auto"/>
            <w:left w:val="none" w:sz="0" w:space="0" w:color="auto"/>
            <w:bottom w:val="none" w:sz="0" w:space="0" w:color="auto"/>
            <w:right w:val="none" w:sz="0" w:space="0" w:color="auto"/>
          </w:divBdr>
        </w:div>
        <w:div w:id="1997880340">
          <w:marLeft w:val="0"/>
          <w:marRight w:val="0"/>
          <w:marTop w:val="0"/>
          <w:marBottom w:val="0"/>
          <w:divBdr>
            <w:top w:val="none" w:sz="0" w:space="0" w:color="auto"/>
            <w:left w:val="none" w:sz="0" w:space="0" w:color="auto"/>
            <w:bottom w:val="none" w:sz="0" w:space="0" w:color="auto"/>
            <w:right w:val="none" w:sz="0" w:space="0" w:color="auto"/>
          </w:divBdr>
        </w:div>
        <w:div w:id="2141217729">
          <w:marLeft w:val="0"/>
          <w:marRight w:val="0"/>
          <w:marTop w:val="0"/>
          <w:marBottom w:val="0"/>
          <w:divBdr>
            <w:top w:val="none" w:sz="0" w:space="0" w:color="auto"/>
            <w:left w:val="none" w:sz="0" w:space="0" w:color="auto"/>
            <w:bottom w:val="none" w:sz="0" w:space="0" w:color="auto"/>
            <w:right w:val="none" w:sz="0" w:space="0" w:color="auto"/>
          </w:divBdr>
        </w:div>
      </w:divsChild>
    </w:div>
    <w:div w:id="883367180">
      <w:bodyDiv w:val="1"/>
      <w:marLeft w:val="0"/>
      <w:marRight w:val="0"/>
      <w:marTop w:val="0"/>
      <w:marBottom w:val="0"/>
      <w:divBdr>
        <w:top w:val="none" w:sz="0" w:space="0" w:color="auto"/>
        <w:left w:val="none" w:sz="0" w:space="0" w:color="auto"/>
        <w:bottom w:val="none" w:sz="0" w:space="0" w:color="auto"/>
        <w:right w:val="none" w:sz="0" w:space="0" w:color="auto"/>
      </w:divBdr>
    </w:div>
    <w:div w:id="973875272">
      <w:bodyDiv w:val="1"/>
      <w:marLeft w:val="0"/>
      <w:marRight w:val="0"/>
      <w:marTop w:val="0"/>
      <w:marBottom w:val="0"/>
      <w:divBdr>
        <w:top w:val="none" w:sz="0" w:space="0" w:color="auto"/>
        <w:left w:val="none" w:sz="0" w:space="0" w:color="auto"/>
        <w:bottom w:val="none" w:sz="0" w:space="0" w:color="auto"/>
        <w:right w:val="none" w:sz="0" w:space="0" w:color="auto"/>
      </w:divBdr>
    </w:div>
    <w:div w:id="974991217">
      <w:bodyDiv w:val="1"/>
      <w:marLeft w:val="0"/>
      <w:marRight w:val="0"/>
      <w:marTop w:val="0"/>
      <w:marBottom w:val="0"/>
      <w:divBdr>
        <w:top w:val="none" w:sz="0" w:space="0" w:color="auto"/>
        <w:left w:val="none" w:sz="0" w:space="0" w:color="auto"/>
        <w:bottom w:val="none" w:sz="0" w:space="0" w:color="auto"/>
        <w:right w:val="none" w:sz="0" w:space="0" w:color="auto"/>
      </w:divBdr>
      <w:divsChild>
        <w:div w:id="311568202">
          <w:marLeft w:val="0"/>
          <w:marRight w:val="0"/>
          <w:marTop w:val="0"/>
          <w:marBottom w:val="0"/>
          <w:divBdr>
            <w:top w:val="none" w:sz="0" w:space="0" w:color="auto"/>
            <w:left w:val="none" w:sz="0" w:space="0" w:color="auto"/>
            <w:bottom w:val="none" w:sz="0" w:space="0" w:color="auto"/>
            <w:right w:val="none" w:sz="0" w:space="0" w:color="auto"/>
          </w:divBdr>
        </w:div>
        <w:div w:id="1097599577">
          <w:marLeft w:val="0"/>
          <w:marRight w:val="0"/>
          <w:marTop w:val="0"/>
          <w:marBottom w:val="0"/>
          <w:divBdr>
            <w:top w:val="none" w:sz="0" w:space="0" w:color="auto"/>
            <w:left w:val="none" w:sz="0" w:space="0" w:color="auto"/>
            <w:bottom w:val="none" w:sz="0" w:space="0" w:color="auto"/>
            <w:right w:val="none" w:sz="0" w:space="0" w:color="auto"/>
          </w:divBdr>
        </w:div>
        <w:div w:id="1238201571">
          <w:marLeft w:val="0"/>
          <w:marRight w:val="0"/>
          <w:marTop w:val="0"/>
          <w:marBottom w:val="0"/>
          <w:divBdr>
            <w:top w:val="none" w:sz="0" w:space="0" w:color="auto"/>
            <w:left w:val="none" w:sz="0" w:space="0" w:color="auto"/>
            <w:bottom w:val="none" w:sz="0" w:space="0" w:color="auto"/>
            <w:right w:val="none" w:sz="0" w:space="0" w:color="auto"/>
          </w:divBdr>
        </w:div>
        <w:div w:id="1381662274">
          <w:marLeft w:val="0"/>
          <w:marRight w:val="0"/>
          <w:marTop w:val="0"/>
          <w:marBottom w:val="0"/>
          <w:divBdr>
            <w:top w:val="none" w:sz="0" w:space="0" w:color="auto"/>
            <w:left w:val="none" w:sz="0" w:space="0" w:color="auto"/>
            <w:bottom w:val="none" w:sz="0" w:space="0" w:color="auto"/>
            <w:right w:val="none" w:sz="0" w:space="0" w:color="auto"/>
          </w:divBdr>
        </w:div>
        <w:div w:id="1721050616">
          <w:marLeft w:val="0"/>
          <w:marRight w:val="0"/>
          <w:marTop w:val="0"/>
          <w:marBottom w:val="0"/>
          <w:divBdr>
            <w:top w:val="none" w:sz="0" w:space="0" w:color="auto"/>
            <w:left w:val="none" w:sz="0" w:space="0" w:color="auto"/>
            <w:bottom w:val="none" w:sz="0" w:space="0" w:color="auto"/>
            <w:right w:val="none" w:sz="0" w:space="0" w:color="auto"/>
          </w:divBdr>
        </w:div>
      </w:divsChild>
    </w:div>
    <w:div w:id="1064913027">
      <w:bodyDiv w:val="1"/>
      <w:marLeft w:val="0"/>
      <w:marRight w:val="0"/>
      <w:marTop w:val="0"/>
      <w:marBottom w:val="0"/>
      <w:divBdr>
        <w:top w:val="none" w:sz="0" w:space="0" w:color="auto"/>
        <w:left w:val="none" w:sz="0" w:space="0" w:color="auto"/>
        <w:bottom w:val="none" w:sz="0" w:space="0" w:color="auto"/>
        <w:right w:val="none" w:sz="0" w:space="0" w:color="auto"/>
      </w:divBdr>
      <w:divsChild>
        <w:div w:id="789786082">
          <w:marLeft w:val="0"/>
          <w:marRight w:val="0"/>
          <w:marTop w:val="0"/>
          <w:marBottom w:val="0"/>
          <w:divBdr>
            <w:top w:val="none" w:sz="0" w:space="0" w:color="auto"/>
            <w:left w:val="none" w:sz="0" w:space="0" w:color="auto"/>
            <w:bottom w:val="none" w:sz="0" w:space="0" w:color="auto"/>
            <w:right w:val="none" w:sz="0" w:space="0" w:color="auto"/>
          </w:divBdr>
        </w:div>
        <w:div w:id="877740222">
          <w:marLeft w:val="0"/>
          <w:marRight w:val="0"/>
          <w:marTop w:val="0"/>
          <w:marBottom w:val="0"/>
          <w:divBdr>
            <w:top w:val="none" w:sz="0" w:space="0" w:color="auto"/>
            <w:left w:val="none" w:sz="0" w:space="0" w:color="auto"/>
            <w:bottom w:val="none" w:sz="0" w:space="0" w:color="auto"/>
            <w:right w:val="none" w:sz="0" w:space="0" w:color="auto"/>
          </w:divBdr>
        </w:div>
        <w:div w:id="968588145">
          <w:marLeft w:val="0"/>
          <w:marRight w:val="0"/>
          <w:marTop w:val="0"/>
          <w:marBottom w:val="0"/>
          <w:divBdr>
            <w:top w:val="none" w:sz="0" w:space="0" w:color="auto"/>
            <w:left w:val="none" w:sz="0" w:space="0" w:color="auto"/>
            <w:bottom w:val="none" w:sz="0" w:space="0" w:color="auto"/>
            <w:right w:val="none" w:sz="0" w:space="0" w:color="auto"/>
          </w:divBdr>
        </w:div>
        <w:div w:id="982780389">
          <w:marLeft w:val="0"/>
          <w:marRight w:val="0"/>
          <w:marTop w:val="0"/>
          <w:marBottom w:val="0"/>
          <w:divBdr>
            <w:top w:val="none" w:sz="0" w:space="0" w:color="auto"/>
            <w:left w:val="none" w:sz="0" w:space="0" w:color="auto"/>
            <w:bottom w:val="none" w:sz="0" w:space="0" w:color="auto"/>
            <w:right w:val="none" w:sz="0" w:space="0" w:color="auto"/>
          </w:divBdr>
        </w:div>
        <w:div w:id="1001008693">
          <w:marLeft w:val="0"/>
          <w:marRight w:val="0"/>
          <w:marTop w:val="0"/>
          <w:marBottom w:val="0"/>
          <w:divBdr>
            <w:top w:val="none" w:sz="0" w:space="0" w:color="auto"/>
            <w:left w:val="none" w:sz="0" w:space="0" w:color="auto"/>
            <w:bottom w:val="none" w:sz="0" w:space="0" w:color="auto"/>
            <w:right w:val="none" w:sz="0" w:space="0" w:color="auto"/>
          </w:divBdr>
        </w:div>
        <w:div w:id="1516923807">
          <w:marLeft w:val="0"/>
          <w:marRight w:val="0"/>
          <w:marTop w:val="0"/>
          <w:marBottom w:val="0"/>
          <w:divBdr>
            <w:top w:val="none" w:sz="0" w:space="0" w:color="auto"/>
            <w:left w:val="none" w:sz="0" w:space="0" w:color="auto"/>
            <w:bottom w:val="none" w:sz="0" w:space="0" w:color="auto"/>
            <w:right w:val="none" w:sz="0" w:space="0" w:color="auto"/>
          </w:divBdr>
        </w:div>
        <w:div w:id="1624144553">
          <w:marLeft w:val="0"/>
          <w:marRight w:val="0"/>
          <w:marTop w:val="0"/>
          <w:marBottom w:val="0"/>
          <w:divBdr>
            <w:top w:val="none" w:sz="0" w:space="0" w:color="auto"/>
            <w:left w:val="none" w:sz="0" w:space="0" w:color="auto"/>
            <w:bottom w:val="none" w:sz="0" w:space="0" w:color="auto"/>
            <w:right w:val="none" w:sz="0" w:space="0" w:color="auto"/>
          </w:divBdr>
        </w:div>
        <w:div w:id="1633248358">
          <w:marLeft w:val="0"/>
          <w:marRight w:val="0"/>
          <w:marTop w:val="0"/>
          <w:marBottom w:val="0"/>
          <w:divBdr>
            <w:top w:val="none" w:sz="0" w:space="0" w:color="auto"/>
            <w:left w:val="none" w:sz="0" w:space="0" w:color="auto"/>
            <w:bottom w:val="none" w:sz="0" w:space="0" w:color="auto"/>
            <w:right w:val="none" w:sz="0" w:space="0" w:color="auto"/>
          </w:divBdr>
        </w:div>
      </w:divsChild>
    </w:div>
    <w:div w:id="1127747459">
      <w:bodyDiv w:val="1"/>
      <w:marLeft w:val="0"/>
      <w:marRight w:val="0"/>
      <w:marTop w:val="0"/>
      <w:marBottom w:val="0"/>
      <w:divBdr>
        <w:top w:val="none" w:sz="0" w:space="0" w:color="auto"/>
        <w:left w:val="none" w:sz="0" w:space="0" w:color="auto"/>
        <w:bottom w:val="none" w:sz="0" w:space="0" w:color="auto"/>
        <w:right w:val="none" w:sz="0" w:space="0" w:color="auto"/>
      </w:divBdr>
      <w:divsChild>
        <w:div w:id="137771013">
          <w:marLeft w:val="0"/>
          <w:marRight w:val="0"/>
          <w:marTop w:val="0"/>
          <w:marBottom w:val="0"/>
          <w:divBdr>
            <w:top w:val="none" w:sz="0" w:space="0" w:color="auto"/>
            <w:left w:val="none" w:sz="0" w:space="0" w:color="auto"/>
            <w:bottom w:val="none" w:sz="0" w:space="0" w:color="auto"/>
            <w:right w:val="none" w:sz="0" w:space="0" w:color="auto"/>
          </w:divBdr>
        </w:div>
        <w:div w:id="175076845">
          <w:marLeft w:val="0"/>
          <w:marRight w:val="0"/>
          <w:marTop w:val="0"/>
          <w:marBottom w:val="0"/>
          <w:divBdr>
            <w:top w:val="none" w:sz="0" w:space="0" w:color="auto"/>
            <w:left w:val="none" w:sz="0" w:space="0" w:color="auto"/>
            <w:bottom w:val="none" w:sz="0" w:space="0" w:color="auto"/>
            <w:right w:val="none" w:sz="0" w:space="0" w:color="auto"/>
          </w:divBdr>
        </w:div>
        <w:div w:id="231503911">
          <w:marLeft w:val="0"/>
          <w:marRight w:val="0"/>
          <w:marTop w:val="0"/>
          <w:marBottom w:val="0"/>
          <w:divBdr>
            <w:top w:val="none" w:sz="0" w:space="0" w:color="auto"/>
            <w:left w:val="none" w:sz="0" w:space="0" w:color="auto"/>
            <w:bottom w:val="none" w:sz="0" w:space="0" w:color="auto"/>
            <w:right w:val="none" w:sz="0" w:space="0" w:color="auto"/>
          </w:divBdr>
        </w:div>
        <w:div w:id="279655235">
          <w:marLeft w:val="0"/>
          <w:marRight w:val="0"/>
          <w:marTop w:val="0"/>
          <w:marBottom w:val="0"/>
          <w:divBdr>
            <w:top w:val="none" w:sz="0" w:space="0" w:color="auto"/>
            <w:left w:val="none" w:sz="0" w:space="0" w:color="auto"/>
            <w:bottom w:val="none" w:sz="0" w:space="0" w:color="auto"/>
            <w:right w:val="none" w:sz="0" w:space="0" w:color="auto"/>
          </w:divBdr>
        </w:div>
        <w:div w:id="743068526">
          <w:marLeft w:val="0"/>
          <w:marRight w:val="0"/>
          <w:marTop w:val="0"/>
          <w:marBottom w:val="0"/>
          <w:divBdr>
            <w:top w:val="none" w:sz="0" w:space="0" w:color="auto"/>
            <w:left w:val="none" w:sz="0" w:space="0" w:color="auto"/>
            <w:bottom w:val="none" w:sz="0" w:space="0" w:color="auto"/>
            <w:right w:val="none" w:sz="0" w:space="0" w:color="auto"/>
          </w:divBdr>
        </w:div>
        <w:div w:id="753432973">
          <w:marLeft w:val="0"/>
          <w:marRight w:val="0"/>
          <w:marTop w:val="0"/>
          <w:marBottom w:val="0"/>
          <w:divBdr>
            <w:top w:val="none" w:sz="0" w:space="0" w:color="auto"/>
            <w:left w:val="none" w:sz="0" w:space="0" w:color="auto"/>
            <w:bottom w:val="none" w:sz="0" w:space="0" w:color="auto"/>
            <w:right w:val="none" w:sz="0" w:space="0" w:color="auto"/>
          </w:divBdr>
        </w:div>
        <w:div w:id="790172823">
          <w:marLeft w:val="0"/>
          <w:marRight w:val="0"/>
          <w:marTop w:val="0"/>
          <w:marBottom w:val="0"/>
          <w:divBdr>
            <w:top w:val="none" w:sz="0" w:space="0" w:color="auto"/>
            <w:left w:val="none" w:sz="0" w:space="0" w:color="auto"/>
            <w:bottom w:val="none" w:sz="0" w:space="0" w:color="auto"/>
            <w:right w:val="none" w:sz="0" w:space="0" w:color="auto"/>
          </w:divBdr>
        </w:div>
        <w:div w:id="832338992">
          <w:marLeft w:val="0"/>
          <w:marRight w:val="0"/>
          <w:marTop w:val="0"/>
          <w:marBottom w:val="0"/>
          <w:divBdr>
            <w:top w:val="none" w:sz="0" w:space="0" w:color="auto"/>
            <w:left w:val="none" w:sz="0" w:space="0" w:color="auto"/>
            <w:bottom w:val="none" w:sz="0" w:space="0" w:color="auto"/>
            <w:right w:val="none" w:sz="0" w:space="0" w:color="auto"/>
          </w:divBdr>
        </w:div>
        <w:div w:id="839538934">
          <w:marLeft w:val="0"/>
          <w:marRight w:val="0"/>
          <w:marTop w:val="0"/>
          <w:marBottom w:val="0"/>
          <w:divBdr>
            <w:top w:val="none" w:sz="0" w:space="0" w:color="auto"/>
            <w:left w:val="none" w:sz="0" w:space="0" w:color="auto"/>
            <w:bottom w:val="none" w:sz="0" w:space="0" w:color="auto"/>
            <w:right w:val="none" w:sz="0" w:space="0" w:color="auto"/>
          </w:divBdr>
        </w:div>
        <w:div w:id="910507473">
          <w:marLeft w:val="0"/>
          <w:marRight w:val="0"/>
          <w:marTop w:val="0"/>
          <w:marBottom w:val="0"/>
          <w:divBdr>
            <w:top w:val="none" w:sz="0" w:space="0" w:color="auto"/>
            <w:left w:val="none" w:sz="0" w:space="0" w:color="auto"/>
            <w:bottom w:val="none" w:sz="0" w:space="0" w:color="auto"/>
            <w:right w:val="none" w:sz="0" w:space="0" w:color="auto"/>
          </w:divBdr>
        </w:div>
        <w:div w:id="1347096808">
          <w:marLeft w:val="0"/>
          <w:marRight w:val="0"/>
          <w:marTop w:val="0"/>
          <w:marBottom w:val="0"/>
          <w:divBdr>
            <w:top w:val="none" w:sz="0" w:space="0" w:color="auto"/>
            <w:left w:val="none" w:sz="0" w:space="0" w:color="auto"/>
            <w:bottom w:val="none" w:sz="0" w:space="0" w:color="auto"/>
            <w:right w:val="none" w:sz="0" w:space="0" w:color="auto"/>
          </w:divBdr>
        </w:div>
        <w:div w:id="1492671828">
          <w:marLeft w:val="0"/>
          <w:marRight w:val="0"/>
          <w:marTop w:val="0"/>
          <w:marBottom w:val="0"/>
          <w:divBdr>
            <w:top w:val="none" w:sz="0" w:space="0" w:color="auto"/>
            <w:left w:val="none" w:sz="0" w:space="0" w:color="auto"/>
            <w:bottom w:val="none" w:sz="0" w:space="0" w:color="auto"/>
            <w:right w:val="none" w:sz="0" w:space="0" w:color="auto"/>
          </w:divBdr>
        </w:div>
        <w:div w:id="1493837986">
          <w:marLeft w:val="0"/>
          <w:marRight w:val="0"/>
          <w:marTop w:val="0"/>
          <w:marBottom w:val="0"/>
          <w:divBdr>
            <w:top w:val="none" w:sz="0" w:space="0" w:color="auto"/>
            <w:left w:val="none" w:sz="0" w:space="0" w:color="auto"/>
            <w:bottom w:val="none" w:sz="0" w:space="0" w:color="auto"/>
            <w:right w:val="none" w:sz="0" w:space="0" w:color="auto"/>
          </w:divBdr>
        </w:div>
        <w:div w:id="1882279221">
          <w:marLeft w:val="0"/>
          <w:marRight w:val="0"/>
          <w:marTop w:val="0"/>
          <w:marBottom w:val="0"/>
          <w:divBdr>
            <w:top w:val="none" w:sz="0" w:space="0" w:color="auto"/>
            <w:left w:val="none" w:sz="0" w:space="0" w:color="auto"/>
            <w:bottom w:val="none" w:sz="0" w:space="0" w:color="auto"/>
            <w:right w:val="none" w:sz="0" w:space="0" w:color="auto"/>
          </w:divBdr>
        </w:div>
        <w:div w:id="2066488086">
          <w:marLeft w:val="0"/>
          <w:marRight w:val="0"/>
          <w:marTop w:val="0"/>
          <w:marBottom w:val="0"/>
          <w:divBdr>
            <w:top w:val="none" w:sz="0" w:space="0" w:color="auto"/>
            <w:left w:val="none" w:sz="0" w:space="0" w:color="auto"/>
            <w:bottom w:val="none" w:sz="0" w:space="0" w:color="auto"/>
            <w:right w:val="none" w:sz="0" w:space="0" w:color="auto"/>
          </w:divBdr>
        </w:div>
        <w:div w:id="2096395458">
          <w:marLeft w:val="0"/>
          <w:marRight w:val="0"/>
          <w:marTop w:val="0"/>
          <w:marBottom w:val="0"/>
          <w:divBdr>
            <w:top w:val="none" w:sz="0" w:space="0" w:color="auto"/>
            <w:left w:val="none" w:sz="0" w:space="0" w:color="auto"/>
            <w:bottom w:val="none" w:sz="0" w:space="0" w:color="auto"/>
            <w:right w:val="none" w:sz="0" w:space="0" w:color="auto"/>
          </w:divBdr>
        </w:div>
        <w:div w:id="2100714940">
          <w:marLeft w:val="0"/>
          <w:marRight w:val="0"/>
          <w:marTop w:val="0"/>
          <w:marBottom w:val="0"/>
          <w:divBdr>
            <w:top w:val="none" w:sz="0" w:space="0" w:color="auto"/>
            <w:left w:val="none" w:sz="0" w:space="0" w:color="auto"/>
            <w:bottom w:val="none" w:sz="0" w:space="0" w:color="auto"/>
            <w:right w:val="none" w:sz="0" w:space="0" w:color="auto"/>
          </w:divBdr>
        </w:div>
      </w:divsChild>
    </w:div>
    <w:div w:id="1128663622">
      <w:bodyDiv w:val="1"/>
      <w:marLeft w:val="0"/>
      <w:marRight w:val="0"/>
      <w:marTop w:val="0"/>
      <w:marBottom w:val="0"/>
      <w:divBdr>
        <w:top w:val="none" w:sz="0" w:space="0" w:color="auto"/>
        <w:left w:val="none" w:sz="0" w:space="0" w:color="auto"/>
        <w:bottom w:val="none" w:sz="0" w:space="0" w:color="auto"/>
        <w:right w:val="none" w:sz="0" w:space="0" w:color="auto"/>
      </w:divBdr>
      <w:divsChild>
        <w:div w:id="1325162616">
          <w:marLeft w:val="0"/>
          <w:marRight w:val="0"/>
          <w:marTop w:val="0"/>
          <w:marBottom w:val="0"/>
          <w:divBdr>
            <w:top w:val="none" w:sz="0" w:space="0" w:color="auto"/>
            <w:left w:val="none" w:sz="0" w:space="0" w:color="auto"/>
            <w:bottom w:val="none" w:sz="0" w:space="0" w:color="auto"/>
            <w:right w:val="none" w:sz="0" w:space="0" w:color="auto"/>
          </w:divBdr>
        </w:div>
        <w:div w:id="1483736957">
          <w:marLeft w:val="0"/>
          <w:marRight w:val="0"/>
          <w:marTop w:val="0"/>
          <w:marBottom w:val="0"/>
          <w:divBdr>
            <w:top w:val="none" w:sz="0" w:space="0" w:color="auto"/>
            <w:left w:val="none" w:sz="0" w:space="0" w:color="auto"/>
            <w:bottom w:val="none" w:sz="0" w:space="0" w:color="auto"/>
            <w:right w:val="none" w:sz="0" w:space="0" w:color="auto"/>
          </w:divBdr>
        </w:div>
        <w:div w:id="1900820913">
          <w:marLeft w:val="0"/>
          <w:marRight w:val="0"/>
          <w:marTop w:val="0"/>
          <w:marBottom w:val="0"/>
          <w:divBdr>
            <w:top w:val="none" w:sz="0" w:space="0" w:color="auto"/>
            <w:left w:val="none" w:sz="0" w:space="0" w:color="auto"/>
            <w:bottom w:val="none" w:sz="0" w:space="0" w:color="auto"/>
            <w:right w:val="none" w:sz="0" w:space="0" w:color="auto"/>
          </w:divBdr>
        </w:div>
      </w:divsChild>
    </w:div>
    <w:div w:id="1168642460">
      <w:bodyDiv w:val="1"/>
      <w:marLeft w:val="0"/>
      <w:marRight w:val="0"/>
      <w:marTop w:val="0"/>
      <w:marBottom w:val="0"/>
      <w:divBdr>
        <w:top w:val="none" w:sz="0" w:space="0" w:color="auto"/>
        <w:left w:val="none" w:sz="0" w:space="0" w:color="auto"/>
        <w:bottom w:val="none" w:sz="0" w:space="0" w:color="auto"/>
        <w:right w:val="none" w:sz="0" w:space="0" w:color="auto"/>
      </w:divBdr>
      <w:divsChild>
        <w:div w:id="177431815">
          <w:marLeft w:val="0"/>
          <w:marRight w:val="0"/>
          <w:marTop w:val="0"/>
          <w:marBottom w:val="0"/>
          <w:divBdr>
            <w:top w:val="none" w:sz="0" w:space="0" w:color="auto"/>
            <w:left w:val="none" w:sz="0" w:space="0" w:color="auto"/>
            <w:bottom w:val="none" w:sz="0" w:space="0" w:color="auto"/>
            <w:right w:val="none" w:sz="0" w:space="0" w:color="auto"/>
          </w:divBdr>
        </w:div>
        <w:div w:id="217784992">
          <w:marLeft w:val="0"/>
          <w:marRight w:val="0"/>
          <w:marTop w:val="0"/>
          <w:marBottom w:val="0"/>
          <w:divBdr>
            <w:top w:val="none" w:sz="0" w:space="0" w:color="auto"/>
            <w:left w:val="none" w:sz="0" w:space="0" w:color="auto"/>
            <w:bottom w:val="none" w:sz="0" w:space="0" w:color="auto"/>
            <w:right w:val="none" w:sz="0" w:space="0" w:color="auto"/>
          </w:divBdr>
        </w:div>
        <w:div w:id="239757410">
          <w:marLeft w:val="0"/>
          <w:marRight w:val="0"/>
          <w:marTop w:val="0"/>
          <w:marBottom w:val="0"/>
          <w:divBdr>
            <w:top w:val="none" w:sz="0" w:space="0" w:color="auto"/>
            <w:left w:val="none" w:sz="0" w:space="0" w:color="auto"/>
            <w:bottom w:val="none" w:sz="0" w:space="0" w:color="auto"/>
            <w:right w:val="none" w:sz="0" w:space="0" w:color="auto"/>
          </w:divBdr>
        </w:div>
        <w:div w:id="473108635">
          <w:marLeft w:val="0"/>
          <w:marRight w:val="0"/>
          <w:marTop w:val="0"/>
          <w:marBottom w:val="0"/>
          <w:divBdr>
            <w:top w:val="none" w:sz="0" w:space="0" w:color="auto"/>
            <w:left w:val="none" w:sz="0" w:space="0" w:color="auto"/>
            <w:bottom w:val="none" w:sz="0" w:space="0" w:color="auto"/>
            <w:right w:val="none" w:sz="0" w:space="0" w:color="auto"/>
          </w:divBdr>
        </w:div>
        <w:div w:id="558904329">
          <w:marLeft w:val="0"/>
          <w:marRight w:val="0"/>
          <w:marTop w:val="0"/>
          <w:marBottom w:val="0"/>
          <w:divBdr>
            <w:top w:val="none" w:sz="0" w:space="0" w:color="auto"/>
            <w:left w:val="none" w:sz="0" w:space="0" w:color="auto"/>
            <w:bottom w:val="none" w:sz="0" w:space="0" w:color="auto"/>
            <w:right w:val="none" w:sz="0" w:space="0" w:color="auto"/>
          </w:divBdr>
        </w:div>
        <w:div w:id="1480461240">
          <w:marLeft w:val="0"/>
          <w:marRight w:val="0"/>
          <w:marTop w:val="0"/>
          <w:marBottom w:val="0"/>
          <w:divBdr>
            <w:top w:val="none" w:sz="0" w:space="0" w:color="auto"/>
            <w:left w:val="none" w:sz="0" w:space="0" w:color="auto"/>
            <w:bottom w:val="none" w:sz="0" w:space="0" w:color="auto"/>
            <w:right w:val="none" w:sz="0" w:space="0" w:color="auto"/>
          </w:divBdr>
        </w:div>
        <w:div w:id="1780682960">
          <w:marLeft w:val="0"/>
          <w:marRight w:val="0"/>
          <w:marTop w:val="0"/>
          <w:marBottom w:val="0"/>
          <w:divBdr>
            <w:top w:val="none" w:sz="0" w:space="0" w:color="auto"/>
            <w:left w:val="none" w:sz="0" w:space="0" w:color="auto"/>
            <w:bottom w:val="none" w:sz="0" w:space="0" w:color="auto"/>
            <w:right w:val="none" w:sz="0" w:space="0" w:color="auto"/>
          </w:divBdr>
        </w:div>
        <w:div w:id="1963883863">
          <w:marLeft w:val="0"/>
          <w:marRight w:val="0"/>
          <w:marTop w:val="0"/>
          <w:marBottom w:val="0"/>
          <w:divBdr>
            <w:top w:val="none" w:sz="0" w:space="0" w:color="auto"/>
            <w:left w:val="none" w:sz="0" w:space="0" w:color="auto"/>
            <w:bottom w:val="none" w:sz="0" w:space="0" w:color="auto"/>
            <w:right w:val="none" w:sz="0" w:space="0" w:color="auto"/>
          </w:divBdr>
        </w:div>
      </w:divsChild>
    </w:div>
    <w:div w:id="1169325245">
      <w:bodyDiv w:val="1"/>
      <w:marLeft w:val="0"/>
      <w:marRight w:val="0"/>
      <w:marTop w:val="0"/>
      <w:marBottom w:val="0"/>
      <w:divBdr>
        <w:top w:val="none" w:sz="0" w:space="0" w:color="auto"/>
        <w:left w:val="none" w:sz="0" w:space="0" w:color="auto"/>
        <w:bottom w:val="none" w:sz="0" w:space="0" w:color="auto"/>
        <w:right w:val="none" w:sz="0" w:space="0" w:color="auto"/>
      </w:divBdr>
      <w:divsChild>
        <w:div w:id="322972641">
          <w:marLeft w:val="0"/>
          <w:marRight w:val="0"/>
          <w:marTop w:val="0"/>
          <w:marBottom w:val="0"/>
          <w:divBdr>
            <w:top w:val="none" w:sz="0" w:space="0" w:color="auto"/>
            <w:left w:val="none" w:sz="0" w:space="0" w:color="auto"/>
            <w:bottom w:val="none" w:sz="0" w:space="0" w:color="auto"/>
            <w:right w:val="none" w:sz="0" w:space="0" w:color="auto"/>
          </w:divBdr>
        </w:div>
        <w:div w:id="405032129">
          <w:marLeft w:val="0"/>
          <w:marRight w:val="0"/>
          <w:marTop w:val="0"/>
          <w:marBottom w:val="0"/>
          <w:divBdr>
            <w:top w:val="none" w:sz="0" w:space="0" w:color="auto"/>
            <w:left w:val="none" w:sz="0" w:space="0" w:color="auto"/>
            <w:bottom w:val="none" w:sz="0" w:space="0" w:color="auto"/>
            <w:right w:val="none" w:sz="0" w:space="0" w:color="auto"/>
          </w:divBdr>
        </w:div>
        <w:div w:id="556361764">
          <w:marLeft w:val="0"/>
          <w:marRight w:val="0"/>
          <w:marTop w:val="0"/>
          <w:marBottom w:val="0"/>
          <w:divBdr>
            <w:top w:val="none" w:sz="0" w:space="0" w:color="auto"/>
            <w:left w:val="none" w:sz="0" w:space="0" w:color="auto"/>
            <w:bottom w:val="none" w:sz="0" w:space="0" w:color="auto"/>
            <w:right w:val="none" w:sz="0" w:space="0" w:color="auto"/>
          </w:divBdr>
        </w:div>
        <w:div w:id="739254677">
          <w:marLeft w:val="0"/>
          <w:marRight w:val="0"/>
          <w:marTop w:val="0"/>
          <w:marBottom w:val="0"/>
          <w:divBdr>
            <w:top w:val="none" w:sz="0" w:space="0" w:color="auto"/>
            <w:left w:val="none" w:sz="0" w:space="0" w:color="auto"/>
            <w:bottom w:val="none" w:sz="0" w:space="0" w:color="auto"/>
            <w:right w:val="none" w:sz="0" w:space="0" w:color="auto"/>
          </w:divBdr>
        </w:div>
        <w:div w:id="753355513">
          <w:marLeft w:val="0"/>
          <w:marRight w:val="0"/>
          <w:marTop w:val="0"/>
          <w:marBottom w:val="0"/>
          <w:divBdr>
            <w:top w:val="none" w:sz="0" w:space="0" w:color="auto"/>
            <w:left w:val="none" w:sz="0" w:space="0" w:color="auto"/>
            <w:bottom w:val="none" w:sz="0" w:space="0" w:color="auto"/>
            <w:right w:val="none" w:sz="0" w:space="0" w:color="auto"/>
          </w:divBdr>
        </w:div>
        <w:div w:id="882205514">
          <w:marLeft w:val="0"/>
          <w:marRight w:val="0"/>
          <w:marTop w:val="0"/>
          <w:marBottom w:val="0"/>
          <w:divBdr>
            <w:top w:val="none" w:sz="0" w:space="0" w:color="auto"/>
            <w:left w:val="none" w:sz="0" w:space="0" w:color="auto"/>
            <w:bottom w:val="none" w:sz="0" w:space="0" w:color="auto"/>
            <w:right w:val="none" w:sz="0" w:space="0" w:color="auto"/>
          </w:divBdr>
        </w:div>
        <w:div w:id="1126775163">
          <w:marLeft w:val="0"/>
          <w:marRight w:val="0"/>
          <w:marTop w:val="0"/>
          <w:marBottom w:val="0"/>
          <w:divBdr>
            <w:top w:val="none" w:sz="0" w:space="0" w:color="auto"/>
            <w:left w:val="none" w:sz="0" w:space="0" w:color="auto"/>
            <w:bottom w:val="none" w:sz="0" w:space="0" w:color="auto"/>
            <w:right w:val="none" w:sz="0" w:space="0" w:color="auto"/>
          </w:divBdr>
        </w:div>
        <w:div w:id="1278221781">
          <w:marLeft w:val="0"/>
          <w:marRight w:val="0"/>
          <w:marTop w:val="0"/>
          <w:marBottom w:val="0"/>
          <w:divBdr>
            <w:top w:val="none" w:sz="0" w:space="0" w:color="auto"/>
            <w:left w:val="none" w:sz="0" w:space="0" w:color="auto"/>
            <w:bottom w:val="none" w:sz="0" w:space="0" w:color="auto"/>
            <w:right w:val="none" w:sz="0" w:space="0" w:color="auto"/>
          </w:divBdr>
        </w:div>
        <w:div w:id="1443842702">
          <w:marLeft w:val="0"/>
          <w:marRight w:val="0"/>
          <w:marTop w:val="0"/>
          <w:marBottom w:val="0"/>
          <w:divBdr>
            <w:top w:val="none" w:sz="0" w:space="0" w:color="auto"/>
            <w:left w:val="none" w:sz="0" w:space="0" w:color="auto"/>
            <w:bottom w:val="none" w:sz="0" w:space="0" w:color="auto"/>
            <w:right w:val="none" w:sz="0" w:space="0" w:color="auto"/>
          </w:divBdr>
        </w:div>
        <w:div w:id="1564682984">
          <w:marLeft w:val="0"/>
          <w:marRight w:val="0"/>
          <w:marTop w:val="0"/>
          <w:marBottom w:val="0"/>
          <w:divBdr>
            <w:top w:val="none" w:sz="0" w:space="0" w:color="auto"/>
            <w:left w:val="none" w:sz="0" w:space="0" w:color="auto"/>
            <w:bottom w:val="none" w:sz="0" w:space="0" w:color="auto"/>
            <w:right w:val="none" w:sz="0" w:space="0" w:color="auto"/>
          </w:divBdr>
        </w:div>
        <w:div w:id="1665936285">
          <w:marLeft w:val="0"/>
          <w:marRight w:val="0"/>
          <w:marTop w:val="0"/>
          <w:marBottom w:val="0"/>
          <w:divBdr>
            <w:top w:val="none" w:sz="0" w:space="0" w:color="auto"/>
            <w:left w:val="none" w:sz="0" w:space="0" w:color="auto"/>
            <w:bottom w:val="none" w:sz="0" w:space="0" w:color="auto"/>
            <w:right w:val="none" w:sz="0" w:space="0" w:color="auto"/>
          </w:divBdr>
        </w:div>
        <w:div w:id="2067990359">
          <w:marLeft w:val="0"/>
          <w:marRight w:val="0"/>
          <w:marTop w:val="0"/>
          <w:marBottom w:val="0"/>
          <w:divBdr>
            <w:top w:val="none" w:sz="0" w:space="0" w:color="auto"/>
            <w:left w:val="none" w:sz="0" w:space="0" w:color="auto"/>
            <w:bottom w:val="none" w:sz="0" w:space="0" w:color="auto"/>
            <w:right w:val="none" w:sz="0" w:space="0" w:color="auto"/>
          </w:divBdr>
        </w:div>
      </w:divsChild>
    </w:div>
    <w:div w:id="1344668012">
      <w:bodyDiv w:val="1"/>
      <w:marLeft w:val="0"/>
      <w:marRight w:val="0"/>
      <w:marTop w:val="0"/>
      <w:marBottom w:val="0"/>
      <w:divBdr>
        <w:top w:val="none" w:sz="0" w:space="0" w:color="auto"/>
        <w:left w:val="none" w:sz="0" w:space="0" w:color="auto"/>
        <w:bottom w:val="none" w:sz="0" w:space="0" w:color="auto"/>
        <w:right w:val="none" w:sz="0" w:space="0" w:color="auto"/>
      </w:divBdr>
      <w:divsChild>
        <w:div w:id="30349989">
          <w:marLeft w:val="0"/>
          <w:marRight w:val="0"/>
          <w:marTop w:val="0"/>
          <w:marBottom w:val="0"/>
          <w:divBdr>
            <w:top w:val="none" w:sz="0" w:space="0" w:color="auto"/>
            <w:left w:val="none" w:sz="0" w:space="0" w:color="auto"/>
            <w:bottom w:val="none" w:sz="0" w:space="0" w:color="auto"/>
            <w:right w:val="none" w:sz="0" w:space="0" w:color="auto"/>
          </w:divBdr>
        </w:div>
        <w:div w:id="184364240">
          <w:marLeft w:val="0"/>
          <w:marRight w:val="0"/>
          <w:marTop w:val="0"/>
          <w:marBottom w:val="0"/>
          <w:divBdr>
            <w:top w:val="none" w:sz="0" w:space="0" w:color="auto"/>
            <w:left w:val="none" w:sz="0" w:space="0" w:color="auto"/>
            <w:bottom w:val="none" w:sz="0" w:space="0" w:color="auto"/>
            <w:right w:val="none" w:sz="0" w:space="0" w:color="auto"/>
          </w:divBdr>
        </w:div>
        <w:div w:id="196896419">
          <w:marLeft w:val="0"/>
          <w:marRight w:val="0"/>
          <w:marTop w:val="0"/>
          <w:marBottom w:val="0"/>
          <w:divBdr>
            <w:top w:val="none" w:sz="0" w:space="0" w:color="auto"/>
            <w:left w:val="none" w:sz="0" w:space="0" w:color="auto"/>
            <w:bottom w:val="none" w:sz="0" w:space="0" w:color="auto"/>
            <w:right w:val="none" w:sz="0" w:space="0" w:color="auto"/>
          </w:divBdr>
        </w:div>
        <w:div w:id="704334155">
          <w:marLeft w:val="0"/>
          <w:marRight w:val="0"/>
          <w:marTop w:val="0"/>
          <w:marBottom w:val="0"/>
          <w:divBdr>
            <w:top w:val="none" w:sz="0" w:space="0" w:color="auto"/>
            <w:left w:val="none" w:sz="0" w:space="0" w:color="auto"/>
            <w:bottom w:val="none" w:sz="0" w:space="0" w:color="auto"/>
            <w:right w:val="none" w:sz="0" w:space="0" w:color="auto"/>
          </w:divBdr>
        </w:div>
        <w:div w:id="818765507">
          <w:marLeft w:val="0"/>
          <w:marRight w:val="0"/>
          <w:marTop w:val="0"/>
          <w:marBottom w:val="0"/>
          <w:divBdr>
            <w:top w:val="none" w:sz="0" w:space="0" w:color="auto"/>
            <w:left w:val="none" w:sz="0" w:space="0" w:color="auto"/>
            <w:bottom w:val="none" w:sz="0" w:space="0" w:color="auto"/>
            <w:right w:val="none" w:sz="0" w:space="0" w:color="auto"/>
          </w:divBdr>
        </w:div>
        <w:div w:id="858616885">
          <w:marLeft w:val="0"/>
          <w:marRight w:val="0"/>
          <w:marTop w:val="0"/>
          <w:marBottom w:val="0"/>
          <w:divBdr>
            <w:top w:val="none" w:sz="0" w:space="0" w:color="auto"/>
            <w:left w:val="none" w:sz="0" w:space="0" w:color="auto"/>
            <w:bottom w:val="none" w:sz="0" w:space="0" w:color="auto"/>
            <w:right w:val="none" w:sz="0" w:space="0" w:color="auto"/>
          </w:divBdr>
        </w:div>
        <w:div w:id="958492626">
          <w:marLeft w:val="0"/>
          <w:marRight w:val="0"/>
          <w:marTop w:val="0"/>
          <w:marBottom w:val="0"/>
          <w:divBdr>
            <w:top w:val="none" w:sz="0" w:space="0" w:color="auto"/>
            <w:left w:val="none" w:sz="0" w:space="0" w:color="auto"/>
            <w:bottom w:val="none" w:sz="0" w:space="0" w:color="auto"/>
            <w:right w:val="none" w:sz="0" w:space="0" w:color="auto"/>
          </w:divBdr>
        </w:div>
        <w:div w:id="996610610">
          <w:marLeft w:val="0"/>
          <w:marRight w:val="0"/>
          <w:marTop w:val="0"/>
          <w:marBottom w:val="0"/>
          <w:divBdr>
            <w:top w:val="none" w:sz="0" w:space="0" w:color="auto"/>
            <w:left w:val="none" w:sz="0" w:space="0" w:color="auto"/>
            <w:bottom w:val="none" w:sz="0" w:space="0" w:color="auto"/>
            <w:right w:val="none" w:sz="0" w:space="0" w:color="auto"/>
          </w:divBdr>
        </w:div>
        <w:div w:id="1604612921">
          <w:marLeft w:val="0"/>
          <w:marRight w:val="0"/>
          <w:marTop w:val="0"/>
          <w:marBottom w:val="0"/>
          <w:divBdr>
            <w:top w:val="none" w:sz="0" w:space="0" w:color="auto"/>
            <w:left w:val="none" w:sz="0" w:space="0" w:color="auto"/>
            <w:bottom w:val="none" w:sz="0" w:space="0" w:color="auto"/>
            <w:right w:val="none" w:sz="0" w:space="0" w:color="auto"/>
          </w:divBdr>
        </w:div>
        <w:div w:id="2130656818">
          <w:marLeft w:val="0"/>
          <w:marRight w:val="0"/>
          <w:marTop w:val="0"/>
          <w:marBottom w:val="0"/>
          <w:divBdr>
            <w:top w:val="none" w:sz="0" w:space="0" w:color="auto"/>
            <w:left w:val="none" w:sz="0" w:space="0" w:color="auto"/>
            <w:bottom w:val="none" w:sz="0" w:space="0" w:color="auto"/>
            <w:right w:val="none" w:sz="0" w:space="0" w:color="auto"/>
          </w:divBdr>
        </w:div>
        <w:div w:id="2138603352">
          <w:marLeft w:val="0"/>
          <w:marRight w:val="0"/>
          <w:marTop w:val="0"/>
          <w:marBottom w:val="0"/>
          <w:divBdr>
            <w:top w:val="none" w:sz="0" w:space="0" w:color="auto"/>
            <w:left w:val="none" w:sz="0" w:space="0" w:color="auto"/>
            <w:bottom w:val="none" w:sz="0" w:space="0" w:color="auto"/>
            <w:right w:val="none" w:sz="0" w:space="0" w:color="auto"/>
          </w:divBdr>
        </w:div>
      </w:divsChild>
    </w:div>
    <w:div w:id="1483159920">
      <w:bodyDiv w:val="1"/>
      <w:marLeft w:val="0"/>
      <w:marRight w:val="0"/>
      <w:marTop w:val="0"/>
      <w:marBottom w:val="0"/>
      <w:divBdr>
        <w:top w:val="none" w:sz="0" w:space="0" w:color="auto"/>
        <w:left w:val="none" w:sz="0" w:space="0" w:color="auto"/>
        <w:bottom w:val="none" w:sz="0" w:space="0" w:color="auto"/>
        <w:right w:val="none" w:sz="0" w:space="0" w:color="auto"/>
      </w:divBdr>
      <w:divsChild>
        <w:div w:id="776602349">
          <w:marLeft w:val="0"/>
          <w:marRight w:val="0"/>
          <w:marTop w:val="0"/>
          <w:marBottom w:val="0"/>
          <w:divBdr>
            <w:top w:val="none" w:sz="0" w:space="0" w:color="auto"/>
            <w:left w:val="none" w:sz="0" w:space="0" w:color="auto"/>
            <w:bottom w:val="none" w:sz="0" w:space="0" w:color="auto"/>
            <w:right w:val="none" w:sz="0" w:space="0" w:color="auto"/>
          </w:divBdr>
        </w:div>
        <w:div w:id="992104663">
          <w:marLeft w:val="0"/>
          <w:marRight w:val="0"/>
          <w:marTop w:val="0"/>
          <w:marBottom w:val="0"/>
          <w:divBdr>
            <w:top w:val="none" w:sz="0" w:space="0" w:color="auto"/>
            <w:left w:val="none" w:sz="0" w:space="0" w:color="auto"/>
            <w:bottom w:val="none" w:sz="0" w:space="0" w:color="auto"/>
            <w:right w:val="none" w:sz="0" w:space="0" w:color="auto"/>
          </w:divBdr>
        </w:div>
        <w:div w:id="1061095674">
          <w:marLeft w:val="0"/>
          <w:marRight w:val="0"/>
          <w:marTop w:val="0"/>
          <w:marBottom w:val="0"/>
          <w:divBdr>
            <w:top w:val="none" w:sz="0" w:space="0" w:color="auto"/>
            <w:left w:val="none" w:sz="0" w:space="0" w:color="auto"/>
            <w:bottom w:val="none" w:sz="0" w:space="0" w:color="auto"/>
            <w:right w:val="none" w:sz="0" w:space="0" w:color="auto"/>
          </w:divBdr>
        </w:div>
        <w:div w:id="1246840822">
          <w:marLeft w:val="0"/>
          <w:marRight w:val="0"/>
          <w:marTop w:val="0"/>
          <w:marBottom w:val="0"/>
          <w:divBdr>
            <w:top w:val="none" w:sz="0" w:space="0" w:color="auto"/>
            <w:left w:val="none" w:sz="0" w:space="0" w:color="auto"/>
            <w:bottom w:val="none" w:sz="0" w:space="0" w:color="auto"/>
            <w:right w:val="none" w:sz="0" w:space="0" w:color="auto"/>
          </w:divBdr>
        </w:div>
        <w:div w:id="1500341705">
          <w:marLeft w:val="0"/>
          <w:marRight w:val="0"/>
          <w:marTop w:val="0"/>
          <w:marBottom w:val="0"/>
          <w:divBdr>
            <w:top w:val="none" w:sz="0" w:space="0" w:color="auto"/>
            <w:left w:val="none" w:sz="0" w:space="0" w:color="auto"/>
            <w:bottom w:val="none" w:sz="0" w:space="0" w:color="auto"/>
            <w:right w:val="none" w:sz="0" w:space="0" w:color="auto"/>
          </w:divBdr>
        </w:div>
        <w:div w:id="1709604839">
          <w:marLeft w:val="0"/>
          <w:marRight w:val="0"/>
          <w:marTop w:val="0"/>
          <w:marBottom w:val="0"/>
          <w:divBdr>
            <w:top w:val="none" w:sz="0" w:space="0" w:color="auto"/>
            <w:left w:val="none" w:sz="0" w:space="0" w:color="auto"/>
            <w:bottom w:val="none" w:sz="0" w:space="0" w:color="auto"/>
            <w:right w:val="none" w:sz="0" w:space="0" w:color="auto"/>
          </w:divBdr>
        </w:div>
        <w:div w:id="1898665494">
          <w:marLeft w:val="0"/>
          <w:marRight w:val="0"/>
          <w:marTop w:val="0"/>
          <w:marBottom w:val="0"/>
          <w:divBdr>
            <w:top w:val="none" w:sz="0" w:space="0" w:color="auto"/>
            <w:left w:val="none" w:sz="0" w:space="0" w:color="auto"/>
            <w:bottom w:val="none" w:sz="0" w:space="0" w:color="auto"/>
            <w:right w:val="none" w:sz="0" w:space="0" w:color="auto"/>
          </w:divBdr>
        </w:div>
        <w:div w:id="1945962528">
          <w:marLeft w:val="0"/>
          <w:marRight w:val="0"/>
          <w:marTop w:val="0"/>
          <w:marBottom w:val="0"/>
          <w:divBdr>
            <w:top w:val="none" w:sz="0" w:space="0" w:color="auto"/>
            <w:left w:val="none" w:sz="0" w:space="0" w:color="auto"/>
            <w:bottom w:val="none" w:sz="0" w:space="0" w:color="auto"/>
            <w:right w:val="none" w:sz="0" w:space="0" w:color="auto"/>
          </w:divBdr>
        </w:div>
      </w:divsChild>
    </w:div>
    <w:div w:id="1759445041">
      <w:bodyDiv w:val="1"/>
      <w:marLeft w:val="0"/>
      <w:marRight w:val="0"/>
      <w:marTop w:val="0"/>
      <w:marBottom w:val="0"/>
      <w:divBdr>
        <w:top w:val="none" w:sz="0" w:space="0" w:color="auto"/>
        <w:left w:val="none" w:sz="0" w:space="0" w:color="auto"/>
        <w:bottom w:val="none" w:sz="0" w:space="0" w:color="auto"/>
        <w:right w:val="none" w:sz="0" w:space="0" w:color="auto"/>
      </w:divBdr>
      <w:divsChild>
        <w:div w:id="1009917142">
          <w:marLeft w:val="0"/>
          <w:marRight w:val="0"/>
          <w:marTop w:val="0"/>
          <w:marBottom w:val="0"/>
          <w:divBdr>
            <w:top w:val="none" w:sz="0" w:space="0" w:color="auto"/>
            <w:left w:val="none" w:sz="0" w:space="0" w:color="auto"/>
            <w:bottom w:val="none" w:sz="0" w:space="0" w:color="auto"/>
            <w:right w:val="none" w:sz="0" w:space="0" w:color="auto"/>
          </w:divBdr>
        </w:div>
        <w:div w:id="1631326402">
          <w:marLeft w:val="0"/>
          <w:marRight w:val="0"/>
          <w:marTop w:val="0"/>
          <w:marBottom w:val="0"/>
          <w:divBdr>
            <w:top w:val="none" w:sz="0" w:space="0" w:color="auto"/>
            <w:left w:val="none" w:sz="0" w:space="0" w:color="auto"/>
            <w:bottom w:val="none" w:sz="0" w:space="0" w:color="auto"/>
            <w:right w:val="none" w:sz="0" w:space="0" w:color="auto"/>
          </w:divBdr>
        </w:div>
      </w:divsChild>
    </w:div>
    <w:div w:id="1809979866">
      <w:bodyDiv w:val="1"/>
      <w:marLeft w:val="0"/>
      <w:marRight w:val="0"/>
      <w:marTop w:val="0"/>
      <w:marBottom w:val="0"/>
      <w:divBdr>
        <w:top w:val="none" w:sz="0" w:space="0" w:color="auto"/>
        <w:left w:val="none" w:sz="0" w:space="0" w:color="auto"/>
        <w:bottom w:val="none" w:sz="0" w:space="0" w:color="auto"/>
        <w:right w:val="none" w:sz="0" w:space="0" w:color="auto"/>
      </w:divBdr>
      <w:divsChild>
        <w:div w:id="181629235">
          <w:marLeft w:val="0"/>
          <w:marRight w:val="0"/>
          <w:marTop w:val="0"/>
          <w:marBottom w:val="0"/>
          <w:divBdr>
            <w:top w:val="none" w:sz="0" w:space="0" w:color="auto"/>
            <w:left w:val="none" w:sz="0" w:space="0" w:color="auto"/>
            <w:bottom w:val="none" w:sz="0" w:space="0" w:color="auto"/>
            <w:right w:val="none" w:sz="0" w:space="0" w:color="auto"/>
          </w:divBdr>
        </w:div>
        <w:div w:id="771246134">
          <w:marLeft w:val="0"/>
          <w:marRight w:val="0"/>
          <w:marTop w:val="0"/>
          <w:marBottom w:val="0"/>
          <w:divBdr>
            <w:top w:val="none" w:sz="0" w:space="0" w:color="auto"/>
            <w:left w:val="none" w:sz="0" w:space="0" w:color="auto"/>
            <w:bottom w:val="none" w:sz="0" w:space="0" w:color="auto"/>
            <w:right w:val="none" w:sz="0" w:space="0" w:color="auto"/>
          </w:divBdr>
        </w:div>
        <w:div w:id="1412459775">
          <w:marLeft w:val="0"/>
          <w:marRight w:val="0"/>
          <w:marTop w:val="0"/>
          <w:marBottom w:val="0"/>
          <w:divBdr>
            <w:top w:val="none" w:sz="0" w:space="0" w:color="auto"/>
            <w:left w:val="none" w:sz="0" w:space="0" w:color="auto"/>
            <w:bottom w:val="none" w:sz="0" w:space="0" w:color="auto"/>
            <w:right w:val="none" w:sz="0" w:space="0" w:color="auto"/>
          </w:divBdr>
        </w:div>
        <w:div w:id="1501775913">
          <w:marLeft w:val="0"/>
          <w:marRight w:val="0"/>
          <w:marTop w:val="0"/>
          <w:marBottom w:val="0"/>
          <w:divBdr>
            <w:top w:val="none" w:sz="0" w:space="0" w:color="auto"/>
            <w:left w:val="none" w:sz="0" w:space="0" w:color="auto"/>
            <w:bottom w:val="none" w:sz="0" w:space="0" w:color="auto"/>
            <w:right w:val="none" w:sz="0" w:space="0" w:color="auto"/>
          </w:divBdr>
        </w:div>
        <w:div w:id="1537695416">
          <w:marLeft w:val="0"/>
          <w:marRight w:val="0"/>
          <w:marTop w:val="0"/>
          <w:marBottom w:val="0"/>
          <w:divBdr>
            <w:top w:val="none" w:sz="0" w:space="0" w:color="auto"/>
            <w:left w:val="none" w:sz="0" w:space="0" w:color="auto"/>
            <w:bottom w:val="none" w:sz="0" w:space="0" w:color="auto"/>
            <w:right w:val="none" w:sz="0" w:space="0" w:color="auto"/>
          </w:divBdr>
        </w:div>
      </w:divsChild>
    </w:div>
    <w:div w:id="1996370133">
      <w:bodyDiv w:val="1"/>
      <w:marLeft w:val="0"/>
      <w:marRight w:val="0"/>
      <w:marTop w:val="0"/>
      <w:marBottom w:val="0"/>
      <w:divBdr>
        <w:top w:val="none" w:sz="0" w:space="0" w:color="auto"/>
        <w:left w:val="none" w:sz="0" w:space="0" w:color="auto"/>
        <w:bottom w:val="none" w:sz="0" w:space="0" w:color="auto"/>
        <w:right w:val="none" w:sz="0" w:space="0" w:color="auto"/>
      </w:divBdr>
    </w:div>
    <w:div w:id="2040079596">
      <w:bodyDiv w:val="1"/>
      <w:marLeft w:val="0"/>
      <w:marRight w:val="0"/>
      <w:marTop w:val="0"/>
      <w:marBottom w:val="0"/>
      <w:divBdr>
        <w:top w:val="none" w:sz="0" w:space="0" w:color="auto"/>
        <w:left w:val="none" w:sz="0" w:space="0" w:color="auto"/>
        <w:bottom w:val="none" w:sz="0" w:space="0" w:color="auto"/>
        <w:right w:val="none" w:sz="0" w:space="0" w:color="auto"/>
      </w:divBdr>
      <w:divsChild>
        <w:div w:id="1002204813">
          <w:marLeft w:val="0"/>
          <w:marRight w:val="0"/>
          <w:marTop w:val="0"/>
          <w:marBottom w:val="0"/>
          <w:divBdr>
            <w:top w:val="none" w:sz="0" w:space="0" w:color="auto"/>
            <w:left w:val="none" w:sz="0" w:space="0" w:color="auto"/>
            <w:bottom w:val="none" w:sz="0" w:space="0" w:color="auto"/>
            <w:right w:val="none" w:sz="0" w:space="0" w:color="auto"/>
          </w:divBdr>
        </w:div>
        <w:div w:id="1313019779">
          <w:marLeft w:val="0"/>
          <w:marRight w:val="0"/>
          <w:marTop w:val="0"/>
          <w:marBottom w:val="0"/>
          <w:divBdr>
            <w:top w:val="none" w:sz="0" w:space="0" w:color="auto"/>
            <w:left w:val="none" w:sz="0" w:space="0" w:color="auto"/>
            <w:bottom w:val="none" w:sz="0" w:space="0" w:color="auto"/>
            <w:right w:val="none" w:sz="0" w:space="0" w:color="auto"/>
          </w:divBdr>
        </w:div>
      </w:divsChild>
    </w:div>
    <w:div w:id="211335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n/iachr/expression/docs/reports/annual/2014_04_22_%20IA_2013_ENG%20_FINALweb.pdf" TargetMode="External"/><Relationship Id="rId13" Type="http://schemas.openxmlformats.org/officeDocument/2006/relationships/hyperlink" Target="http://www.oas.org/en/iachr/reports/pdfs/Criminalization2016.pdf" TargetMode="External"/><Relationship Id="rId18" Type="http://schemas.openxmlformats.org/officeDocument/2006/relationships/hyperlink" Target="http://www.oas.org/en/iachr/expression/docs/reports/annual/Infornme%202010%20P%20ENG.pdf" TargetMode="External"/><Relationship Id="rId26" Type="http://schemas.openxmlformats.org/officeDocument/2006/relationships/hyperlink" Target="http://www.corteidh.or.cr/docs/casos/articulos/seriec_205_ing.pdf" TargetMode="External"/><Relationship Id="rId3" Type="http://schemas.openxmlformats.org/officeDocument/2006/relationships/hyperlink" Target="https://www.youtube.com/watch?v=LxhpEcMfXYw" TargetMode="External"/><Relationship Id="rId21" Type="http://schemas.openxmlformats.org/officeDocument/2006/relationships/hyperlink" Target="http://www.oas.org/en/iachr/expression/docs/reports/annual/Informe%20Anual%202009%202%20ENG.pdf" TargetMode="External"/><Relationship Id="rId7" Type="http://schemas.openxmlformats.org/officeDocument/2006/relationships/hyperlink" Target="http://www.oas.org/en/iachr/expression/showarticle.asp?artID=905&amp;lID=1" TargetMode="External"/><Relationship Id="rId12" Type="http://schemas.openxmlformats.org/officeDocument/2006/relationships/hyperlink" Target="http://www.oas.org/es/cidh/informes/pdfs/Proteccion-Personas-Defensoras.pdf" TargetMode="External"/><Relationship Id="rId17" Type="http://schemas.openxmlformats.org/officeDocument/2006/relationships/hyperlink" Target="http://legal.un.org/icc/asp/1stsession/report/english/part_ii_b_e.pdf" TargetMode="External"/><Relationship Id="rId25" Type="http://schemas.openxmlformats.org/officeDocument/2006/relationships/hyperlink" Target="http://www.cidh.org/relatoria/section/Asesinato%20de%20Periodistas%20INGLES.pdf" TargetMode="External"/><Relationship Id="rId2" Type="http://schemas.openxmlformats.org/officeDocument/2006/relationships/hyperlink" Target="https://www.youtube.com/watch?v=3G818CATeYY" TargetMode="External"/><Relationship Id="rId16" Type="http://schemas.openxmlformats.org/officeDocument/2006/relationships/hyperlink" Target="http://www.corteidh.or.cr/docs/casos/articulos/seriec_215_ing.pdf" TargetMode="External"/><Relationship Id="rId20" Type="http://schemas.openxmlformats.org/officeDocument/2006/relationships/hyperlink" Target="http://www.oas.org/en/iachr/expression/docs/reports/annual/annual%20report%202012.pdf" TargetMode="External"/><Relationship Id="rId1" Type="http://schemas.openxmlformats.org/officeDocument/2006/relationships/hyperlink" Target="https://www.youtube.com/watch?v=JuBDxVKtexs" TargetMode="External"/><Relationship Id="rId6" Type="http://schemas.openxmlformats.org/officeDocument/2006/relationships/hyperlink" Target="http://www.oas.org/en/iachr/expression/docs/reports/annual/2014_04_22_%20IA_2013_ENG%20_FINALweb.pdf" TargetMode="External"/><Relationship Id="rId11" Type="http://schemas.openxmlformats.org/officeDocument/2006/relationships/hyperlink" Target="https://www.oas.org/en/iachr/defenders/docs/pdf/defenders2011.pdf" TargetMode="External"/><Relationship Id="rId24" Type="http://schemas.openxmlformats.org/officeDocument/2006/relationships/hyperlink" Target="http://www.oas.org/en/iachr/expression/docs/reports/annual/2014_04_22_%20IA_2013_ENG%20_FINALweb.pdf" TargetMode="External"/><Relationship Id="rId5" Type="http://schemas.openxmlformats.org/officeDocument/2006/relationships/hyperlink" Target="http://www.oas.org/en/iachr/expression/docs/reports/annual/2014_04_22_%20IA_2013_ENG%20_FINALweb.pdf" TargetMode="External"/><Relationship Id="rId15" Type="http://schemas.openxmlformats.org/officeDocument/2006/relationships/hyperlink" Target="http://undocs.org/en/A/C.3/72/L.35/Rev.1" TargetMode="External"/><Relationship Id="rId23" Type="http://schemas.openxmlformats.org/officeDocument/2006/relationships/hyperlink" Target="http://www.oas.org/en/iachr/expression/docs/reports/annual/2012%2003%2021%20Annual%20Report%20RELE%202011pirnting.pdf" TargetMode="External"/><Relationship Id="rId28" Type="http://schemas.openxmlformats.org/officeDocument/2006/relationships/hyperlink" Target="http://www.corteidh.or.cr/docs/casos/articulos/seriec_339_esp.pdf" TargetMode="External"/><Relationship Id="rId10" Type="http://schemas.openxmlformats.org/officeDocument/2006/relationships/hyperlink" Target="http://www.oas.org/en/iachr/media_center/PReleases/2017/192.asp" TargetMode="External"/><Relationship Id="rId19" Type="http://schemas.openxmlformats.org/officeDocument/2006/relationships/hyperlink" Target="http://www.oas.org/en/iachr/expression/docs/reports/annual/Infornme%202010%20P%20ENG.pdf" TargetMode="External"/><Relationship Id="rId4" Type="http://schemas.openxmlformats.org/officeDocument/2006/relationships/hyperlink" Target="https://www.youtube.com/watch?v=w89kNT488-0" TargetMode="External"/><Relationship Id="rId9" Type="http://schemas.openxmlformats.org/officeDocument/2006/relationships/hyperlink" Target="https://digitallibrary.un.org/record/1304392" TargetMode="External"/><Relationship Id="rId14" Type="http://schemas.openxmlformats.org/officeDocument/2006/relationships/hyperlink" Target="https://www.oas.org/en/iachr/defenders/docs/pdf/defenders2011.pdf" TargetMode="External"/><Relationship Id="rId22" Type="http://schemas.openxmlformats.org/officeDocument/2006/relationships/hyperlink" Target="http://www.oas.org/en/iachr/expression/docs/reports/annual/Infornme%202010%20P%20ENG.pdf" TargetMode="External"/><Relationship Id="rId27" Type="http://schemas.openxmlformats.org/officeDocument/2006/relationships/hyperlink" Target="http://www.corteidh.or.cr/docs/casos/articulos/seriec_339_e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D2B7-17C3-4005-B602-08AFA9B8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17091</Words>
  <Characters>97424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114287</CharactersWithSpaces>
  <SharedDoc>false</SharedDoc>
  <HLinks>
    <vt:vector size="276" baseType="variant">
      <vt:variant>
        <vt:i4>1769530</vt:i4>
      </vt:variant>
      <vt:variant>
        <vt:i4>104</vt:i4>
      </vt:variant>
      <vt:variant>
        <vt:i4>0</vt:i4>
      </vt:variant>
      <vt:variant>
        <vt:i4>5</vt:i4>
      </vt:variant>
      <vt:variant>
        <vt:lpwstr/>
      </vt:variant>
      <vt:variant>
        <vt:lpwstr>_Toc528678005</vt:lpwstr>
      </vt:variant>
      <vt:variant>
        <vt:i4>1769530</vt:i4>
      </vt:variant>
      <vt:variant>
        <vt:i4>98</vt:i4>
      </vt:variant>
      <vt:variant>
        <vt:i4>0</vt:i4>
      </vt:variant>
      <vt:variant>
        <vt:i4>5</vt:i4>
      </vt:variant>
      <vt:variant>
        <vt:lpwstr/>
      </vt:variant>
      <vt:variant>
        <vt:lpwstr>_Toc528678004</vt:lpwstr>
      </vt:variant>
      <vt:variant>
        <vt:i4>1769530</vt:i4>
      </vt:variant>
      <vt:variant>
        <vt:i4>92</vt:i4>
      </vt:variant>
      <vt:variant>
        <vt:i4>0</vt:i4>
      </vt:variant>
      <vt:variant>
        <vt:i4>5</vt:i4>
      </vt:variant>
      <vt:variant>
        <vt:lpwstr/>
      </vt:variant>
      <vt:variant>
        <vt:lpwstr>_Toc528678003</vt:lpwstr>
      </vt:variant>
      <vt:variant>
        <vt:i4>1769530</vt:i4>
      </vt:variant>
      <vt:variant>
        <vt:i4>86</vt:i4>
      </vt:variant>
      <vt:variant>
        <vt:i4>0</vt:i4>
      </vt:variant>
      <vt:variant>
        <vt:i4>5</vt:i4>
      </vt:variant>
      <vt:variant>
        <vt:lpwstr/>
      </vt:variant>
      <vt:variant>
        <vt:lpwstr>_Toc528678002</vt:lpwstr>
      </vt:variant>
      <vt:variant>
        <vt:i4>1769530</vt:i4>
      </vt:variant>
      <vt:variant>
        <vt:i4>80</vt:i4>
      </vt:variant>
      <vt:variant>
        <vt:i4>0</vt:i4>
      </vt:variant>
      <vt:variant>
        <vt:i4>5</vt:i4>
      </vt:variant>
      <vt:variant>
        <vt:lpwstr/>
      </vt:variant>
      <vt:variant>
        <vt:lpwstr>_Toc528678001</vt:lpwstr>
      </vt:variant>
      <vt:variant>
        <vt:i4>1769530</vt:i4>
      </vt:variant>
      <vt:variant>
        <vt:i4>74</vt:i4>
      </vt:variant>
      <vt:variant>
        <vt:i4>0</vt:i4>
      </vt:variant>
      <vt:variant>
        <vt:i4>5</vt:i4>
      </vt:variant>
      <vt:variant>
        <vt:lpwstr/>
      </vt:variant>
      <vt:variant>
        <vt:lpwstr>_Toc528678000</vt:lpwstr>
      </vt:variant>
      <vt:variant>
        <vt:i4>1900595</vt:i4>
      </vt:variant>
      <vt:variant>
        <vt:i4>68</vt:i4>
      </vt:variant>
      <vt:variant>
        <vt:i4>0</vt:i4>
      </vt:variant>
      <vt:variant>
        <vt:i4>5</vt:i4>
      </vt:variant>
      <vt:variant>
        <vt:lpwstr/>
      </vt:variant>
      <vt:variant>
        <vt:lpwstr>_Toc528677999</vt:lpwstr>
      </vt:variant>
      <vt:variant>
        <vt:i4>1900595</vt:i4>
      </vt:variant>
      <vt:variant>
        <vt:i4>62</vt:i4>
      </vt:variant>
      <vt:variant>
        <vt:i4>0</vt:i4>
      </vt:variant>
      <vt:variant>
        <vt:i4>5</vt:i4>
      </vt:variant>
      <vt:variant>
        <vt:lpwstr/>
      </vt:variant>
      <vt:variant>
        <vt:lpwstr>_Toc528677998</vt:lpwstr>
      </vt:variant>
      <vt:variant>
        <vt:i4>1900595</vt:i4>
      </vt:variant>
      <vt:variant>
        <vt:i4>56</vt:i4>
      </vt:variant>
      <vt:variant>
        <vt:i4>0</vt:i4>
      </vt:variant>
      <vt:variant>
        <vt:i4>5</vt:i4>
      </vt:variant>
      <vt:variant>
        <vt:lpwstr/>
      </vt:variant>
      <vt:variant>
        <vt:lpwstr>_Toc528677997</vt:lpwstr>
      </vt:variant>
      <vt:variant>
        <vt:i4>1900595</vt:i4>
      </vt:variant>
      <vt:variant>
        <vt:i4>50</vt:i4>
      </vt:variant>
      <vt:variant>
        <vt:i4>0</vt:i4>
      </vt:variant>
      <vt:variant>
        <vt:i4>5</vt:i4>
      </vt:variant>
      <vt:variant>
        <vt:lpwstr/>
      </vt:variant>
      <vt:variant>
        <vt:lpwstr>_Toc528677996</vt:lpwstr>
      </vt:variant>
      <vt:variant>
        <vt:i4>1900595</vt:i4>
      </vt:variant>
      <vt:variant>
        <vt:i4>44</vt:i4>
      </vt:variant>
      <vt:variant>
        <vt:i4>0</vt:i4>
      </vt:variant>
      <vt:variant>
        <vt:i4>5</vt:i4>
      </vt:variant>
      <vt:variant>
        <vt:lpwstr/>
      </vt:variant>
      <vt:variant>
        <vt:lpwstr>_Toc528677995</vt:lpwstr>
      </vt:variant>
      <vt:variant>
        <vt:i4>1900595</vt:i4>
      </vt:variant>
      <vt:variant>
        <vt:i4>38</vt:i4>
      </vt:variant>
      <vt:variant>
        <vt:i4>0</vt:i4>
      </vt:variant>
      <vt:variant>
        <vt:i4>5</vt:i4>
      </vt:variant>
      <vt:variant>
        <vt:lpwstr/>
      </vt:variant>
      <vt:variant>
        <vt:lpwstr>_Toc528677994</vt:lpwstr>
      </vt:variant>
      <vt:variant>
        <vt:i4>1900595</vt:i4>
      </vt:variant>
      <vt:variant>
        <vt:i4>32</vt:i4>
      </vt:variant>
      <vt:variant>
        <vt:i4>0</vt:i4>
      </vt:variant>
      <vt:variant>
        <vt:i4>5</vt:i4>
      </vt:variant>
      <vt:variant>
        <vt:lpwstr/>
      </vt:variant>
      <vt:variant>
        <vt:lpwstr>_Toc528677993</vt:lpwstr>
      </vt:variant>
      <vt:variant>
        <vt:i4>1900595</vt:i4>
      </vt:variant>
      <vt:variant>
        <vt:i4>26</vt:i4>
      </vt:variant>
      <vt:variant>
        <vt:i4>0</vt:i4>
      </vt:variant>
      <vt:variant>
        <vt:i4>5</vt:i4>
      </vt:variant>
      <vt:variant>
        <vt:lpwstr/>
      </vt:variant>
      <vt:variant>
        <vt:lpwstr>_Toc528677992</vt:lpwstr>
      </vt:variant>
      <vt:variant>
        <vt:i4>1900595</vt:i4>
      </vt:variant>
      <vt:variant>
        <vt:i4>20</vt:i4>
      </vt:variant>
      <vt:variant>
        <vt:i4>0</vt:i4>
      </vt:variant>
      <vt:variant>
        <vt:i4>5</vt:i4>
      </vt:variant>
      <vt:variant>
        <vt:lpwstr/>
      </vt:variant>
      <vt:variant>
        <vt:lpwstr>_Toc528677991</vt:lpwstr>
      </vt:variant>
      <vt:variant>
        <vt:i4>1900595</vt:i4>
      </vt:variant>
      <vt:variant>
        <vt:i4>14</vt:i4>
      </vt:variant>
      <vt:variant>
        <vt:i4>0</vt:i4>
      </vt:variant>
      <vt:variant>
        <vt:i4>5</vt:i4>
      </vt:variant>
      <vt:variant>
        <vt:lpwstr/>
      </vt:variant>
      <vt:variant>
        <vt:lpwstr>_Toc528677990</vt:lpwstr>
      </vt:variant>
      <vt:variant>
        <vt:i4>1835059</vt:i4>
      </vt:variant>
      <vt:variant>
        <vt:i4>8</vt:i4>
      </vt:variant>
      <vt:variant>
        <vt:i4>0</vt:i4>
      </vt:variant>
      <vt:variant>
        <vt:i4>5</vt:i4>
      </vt:variant>
      <vt:variant>
        <vt:lpwstr/>
      </vt:variant>
      <vt:variant>
        <vt:lpwstr>_Toc528677989</vt:lpwstr>
      </vt:variant>
      <vt:variant>
        <vt:i4>1835059</vt:i4>
      </vt:variant>
      <vt:variant>
        <vt:i4>2</vt:i4>
      </vt:variant>
      <vt:variant>
        <vt:i4>0</vt:i4>
      </vt:variant>
      <vt:variant>
        <vt:i4>5</vt:i4>
      </vt:variant>
      <vt:variant>
        <vt:lpwstr/>
      </vt:variant>
      <vt:variant>
        <vt:lpwstr>_Toc528677988</vt:lpwstr>
      </vt:variant>
      <vt:variant>
        <vt:i4>5439582</vt:i4>
      </vt:variant>
      <vt:variant>
        <vt:i4>81</vt:i4>
      </vt:variant>
      <vt:variant>
        <vt:i4>0</vt:i4>
      </vt:variant>
      <vt:variant>
        <vt:i4>5</vt:i4>
      </vt:variant>
      <vt:variant>
        <vt:lpwstr>http://www.corteidh.or.cr/docs/casos/articulos/seriec_339_esp.pdf</vt:lpwstr>
      </vt:variant>
      <vt:variant>
        <vt:lpwstr/>
      </vt:variant>
      <vt:variant>
        <vt:i4>5439582</vt:i4>
      </vt:variant>
      <vt:variant>
        <vt:i4>78</vt:i4>
      </vt:variant>
      <vt:variant>
        <vt:i4>0</vt:i4>
      </vt:variant>
      <vt:variant>
        <vt:i4>5</vt:i4>
      </vt:variant>
      <vt:variant>
        <vt:lpwstr>http://www.corteidh.or.cr/docs/casos/articulos/seriec_339_esp.pdf</vt:lpwstr>
      </vt:variant>
      <vt:variant>
        <vt:lpwstr/>
      </vt:variant>
      <vt:variant>
        <vt:i4>5046344</vt:i4>
      </vt:variant>
      <vt:variant>
        <vt:i4>75</vt:i4>
      </vt:variant>
      <vt:variant>
        <vt:i4>0</vt:i4>
      </vt:variant>
      <vt:variant>
        <vt:i4>5</vt:i4>
      </vt:variant>
      <vt:variant>
        <vt:lpwstr>http://www.corteidh.or.cr/docs/casos/articulos/seriec_205_ing.pdf</vt:lpwstr>
      </vt:variant>
      <vt:variant>
        <vt:lpwstr/>
      </vt:variant>
      <vt:variant>
        <vt:i4>6160459</vt:i4>
      </vt:variant>
      <vt:variant>
        <vt:i4>72</vt:i4>
      </vt:variant>
      <vt:variant>
        <vt:i4>0</vt:i4>
      </vt:variant>
      <vt:variant>
        <vt:i4>5</vt:i4>
      </vt:variant>
      <vt:variant>
        <vt:lpwstr>http://www.cidh.org/relatoria/section/Asesinato de Periodistas INGLES.pdf</vt:lpwstr>
      </vt:variant>
      <vt:variant>
        <vt:lpwstr/>
      </vt:variant>
      <vt:variant>
        <vt:i4>4521992</vt:i4>
      </vt:variant>
      <vt:variant>
        <vt:i4>69</vt:i4>
      </vt:variant>
      <vt:variant>
        <vt:i4>0</vt:i4>
      </vt:variant>
      <vt:variant>
        <vt:i4>5</vt:i4>
      </vt:variant>
      <vt:variant>
        <vt:lpwstr>http://www.oas.org/en/iachr/expression/docs/reports/annual/2014_04_22_ IA_2013_ENG _FINALweb.pdf</vt:lpwstr>
      </vt:variant>
      <vt:variant>
        <vt:lpwstr/>
      </vt:variant>
      <vt:variant>
        <vt:i4>5701660</vt:i4>
      </vt:variant>
      <vt:variant>
        <vt:i4>66</vt:i4>
      </vt:variant>
      <vt:variant>
        <vt:i4>0</vt:i4>
      </vt:variant>
      <vt:variant>
        <vt:i4>5</vt:i4>
      </vt:variant>
      <vt:variant>
        <vt:lpwstr>http://www.oas.org/en/iachr/expression/docs/reports/annual/2012 03 21 Annual Report RELE 2011pirnting.pdf</vt:lpwstr>
      </vt:variant>
      <vt:variant>
        <vt:lpwstr/>
      </vt:variant>
      <vt:variant>
        <vt:i4>7798884</vt:i4>
      </vt:variant>
      <vt:variant>
        <vt:i4>63</vt:i4>
      </vt:variant>
      <vt:variant>
        <vt:i4>0</vt:i4>
      </vt:variant>
      <vt:variant>
        <vt:i4>5</vt:i4>
      </vt:variant>
      <vt:variant>
        <vt:lpwstr>http://www.oas.org/en/iachr/expression/docs/reports/annual/Infornme 2010 P ENG.pdf</vt:lpwstr>
      </vt:variant>
      <vt:variant>
        <vt:lpwstr/>
      </vt:variant>
      <vt:variant>
        <vt:i4>6619235</vt:i4>
      </vt:variant>
      <vt:variant>
        <vt:i4>60</vt:i4>
      </vt:variant>
      <vt:variant>
        <vt:i4>0</vt:i4>
      </vt:variant>
      <vt:variant>
        <vt:i4>5</vt:i4>
      </vt:variant>
      <vt:variant>
        <vt:lpwstr>http://www.oas.org/en/iachr/expression/docs/reports/annual/Informe Anual 2009 2 ENG.pdf</vt:lpwstr>
      </vt:variant>
      <vt:variant>
        <vt:lpwstr/>
      </vt:variant>
      <vt:variant>
        <vt:i4>5898268</vt:i4>
      </vt:variant>
      <vt:variant>
        <vt:i4>57</vt:i4>
      </vt:variant>
      <vt:variant>
        <vt:i4>0</vt:i4>
      </vt:variant>
      <vt:variant>
        <vt:i4>5</vt:i4>
      </vt:variant>
      <vt:variant>
        <vt:lpwstr>http://www.oas.org/en/iachr/expression/docs/reports/annual/annual report 2012.pdf</vt:lpwstr>
      </vt:variant>
      <vt:variant>
        <vt:lpwstr/>
      </vt:variant>
      <vt:variant>
        <vt:i4>7798884</vt:i4>
      </vt:variant>
      <vt:variant>
        <vt:i4>54</vt:i4>
      </vt:variant>
      <vt:variant>
        <vt:i4>0</vt:i4>
      </vt:variant>
      <vt:variant>
        <vt:i4>5</vt:i4>
      </vt:variant>
      <vt:variant>
        <vt:lpwstr>http://www.oas.org/en/iachr/expression/docs/reports/annual/Infornme 2010 P ENG.pdf</vt:lpwstr>
      </vt:variant>
      <vt:variant>
        <vt:lpwstr/>
      </vt:variant>
      <vt:variant>
        <vt:i4>7798884</vt:i4>
      </vt:variant>
      <vt:variant>
        <vt:i4>51</vt:i4>
      </vt:variant>
      <vt:variant>
        <vt:i4>0</vt:i4>
      </vt:variant>
      <vt:variant>
        <vt:i4>5</vt:i4>
      </vt:variant>
      <vt:variant>
        <vt:lpwstr>http://www.oas.org/en/iachr/expression/docs/reports/annual/Infornme 2010 P ENG.pdf</vt:lpwstr>
      </vt:variant>
      <vt:variant>
        <vt:lpwstr/>
      </vt:variant>
      <vt:variant>
        <vt:i4>1638515</vt:i4>
      </vt:variant>
      <vt:variant>
        <vt:i4>48</vt:i4>
      </vt:variant>
      <vt:variant>
        <vt:i4>0</vt:i4>
      </vt:variant>
      <vt:variant>
        <vt:i4>5</vt:i4>
      </vt:variant>
      <vt:variant>
        <vt:lpwstr>http://legal.un.org/icc/asp/1stsession/report/english/part_ii_b_e.pdf</vt:lpwstr>
      </vt:variant>
      <vt:variant>
        <vt:lpwstr/>
      </vt:variant>
      <vt:variant>
        <vt:i4>4980808</vt:i4>
      </vt:variant>
      <vt:variant>
        <vt:i4>45</vt:i4>
      </vt:variant>
      <vt:variant>
        <vt:i4>0</vt:i4>
      </vt:variant>
      <vt:variant>
        <vt:i4>5</vt:i4>
      </vt:variant>
      <vt:variant>
        <vt:lpwstr>http://www.corteidh.or.cr/docs/casos/articulos/seriec_215_ing.pdf</vt:lpwstr>
      </vt:variant>
      <vt:variant>
        <vt:lpwstr/>
      </vt:variant>
      <vt:variant>
        <vt:i4>4390942</vt:i4>
      </vt:variant>
      <vt:variant>
        <vt:i4>42</vt:i4>
      </vt:variant>
      <vt:variant>
        <vt:i4>0</vt:i4>
      </vt:variant>
      <vt:variant>
        <vt:i4>5</vt:i4>
      </vt:variant>
      <vt:variant>
        <vt:lpwstr>http://undocs.org/en/A/C.3/72/L.35/Rev.1</vt:lpwstr>
      </vt:variant>
      <vt:variant>
        <vt:lpwstr/>
      </vt:variant>
      <vt:variant>
        <vt:i4>655360</vt:i4>
      </vt:variant>
      <vt:variant>
        <vt:i4>39</vt:i4>
      </vt:variant>
      <vt:variant>
        <vt:i4>0</vt:i4>
      </vt:variant>
      <vt:variant>
        <vt:i4>5</vt:i4>
      </vt:variant>
      <vt:variant>
        <vt:lpwstr>https://www.oas.org/en/iachr/defenders/docs/pdf/defenders2011.pdf</vt:lpwstr>
      </vt:variant>
      <vt:variant>
        <vt:lpwstr/>
      </vt:variant>
      <vt:variant>
        <vt:i4>524379</vt:i4>
      </vt:variant>
      <vt:variant>
        <vt:i4>36</vt:i4>
      </vt:variant>
      <vt:variant>
        <vt:i4>0</vt:i4>
      </vt:variant>
      <vt:variant>
        <vt:i4>5</vt:i4>
      </vt:variant>
      <vt:variant>
        <vt:lpwstr>http://www.oas.org/en/iachr/reports/pdfs/Criminalization2016.pdf</vt:lpwstr>
      </vt:variant>
      <vt:variant>
        <vt:lpwstr/>
      </vt:variant>
      <vt:variant>
        <vt:i4>2883710</vt:i4>
      </vt:variant>
      <vt:variant>
        <vt:i4>33</vt:i4>
      </vt:variant>
      <vt:variant>
        <vt:i4>0</vt:i4>
      </vt:variant>
      <vt:variant>
        <vt:i4>5</vt:i4>
      </vt:variant>
      <vt:variant>
        <vt:lpwstr>http://www.oas.org/es/cidh/informes/pdfs/Proteccion-Personas-Defensoras.pdf</vt:lpwstr>
      </vt:variant>
      <vt:variant>
        <vt:lpwstr/>
      </vt:variant>
      <vt:variant>
        <vt:i4>655360</vt:i4>
      </vt:variant>
      <vt:variant>
        <vt:i4>30</vt:i4>
      </vt:variant>
      <vt:variant>
        <vt:i4>0</vt:i4>
      </vt:variant>
      <vt:variant>
        <vt:i4>5</vt:i4>
      </vt:variant>
      <vt:variant>
        <vt:lpwstr>https://www.oas.org/en/iachr/defenders/docs/pdf/defenders2011.pdf</vt:lpwstr>
      </vt:variant>
      <vt:variant>
        <vt:lpwstr/>
      </vt:variant>
      <vt:variant>
        <vt:i4>5963819</vt:i4>
      </vt:variant>
      <vt:variant>
        <vt:i4>27</vt:i4>
      </vt:variant>
      <vt:variant>
        <vt:i4>0</vt:i4>
      </vt:variant>
      <vt:variant>
        <vt:i4>5</vt:i4>
      </vt:variant>
      <vt:variant>
        <vt:lpwstr>http://www.oas.org/en/iachr/media_center/PReleases/2017/192.asp</vt:lpwstr>
      </vt:variant>
      <vt:variant>
        <vt:lpwstr/>
      </vt:variant>
      <vt:variant>
        <vt:i4>917512</vt:i4>
      </vt:variant>
      <vt:variant>
        <vt:i4>24</vt:i4>
      </vt:variant>
      <vt:variant>
        <vt:i4>0</vt:i4>
      </vt:variant>
      <vt:variant>
        <vt:i4>5</vt:i4>
      </vt:variant>
      <vt:variant>
        <vt:lpwstr>https://digitallibrary.un.org/record/1304392</vt:lpwstr>
      </vt:variant>
      <vt:variant>
        <vt:lpwstr/>
      </vt:variant>
      <vt:variant>
        <vt:i4>4521992</vt:i4>
      </vt:variant>
      <vt:variant>
        <vt:i4>21</vt:i4>
      </vt:variant>
      <vt:variant>
        <vt:i4>0</vt:i4>
      </vt:variant>
      <vt:variant>
        <vt:i4>5</vt:i4>
      </vt:variant>
      <vt:variant>
        <vt:lpwstr>http://www.oas.org/en/iachr/expression/docs/reports/annual/2014_04_22_ IA_2013_ENG _FINALweb.pdf</vt:lpwstr>
      </vt:variant>
      <vt:variant>
        <vt:lpwstr/>
      </vt:variant>
      <vt:variant>
        <vt:i4>7798905</vt:i4>
      </vt:variant>
      <vt:variant>
        <vt:i4>18</vt:i4>
      </vt:variant>
      <vt:variant>
        <vt:i4>0</vt:i4>
      </vt:variant>
      <vt:variant>
        <vt:i4>5</vt:i4>
      </vt:variant>
      <vt:variant>
        <vt:lpwstr>http://www.oas.org/en/iachr/expression/showarticle.asp?artID=905&amp;lID=1</vt:lpwstr>
      </vt:variant>
      <vt:variant>
        <vt:lpwstr/>
      </vt:variant>
      <vt:variant>
        <vt:i4>4521992</vt:i4>
      </vt:variant>
      <vt:variant>
        <vt:i4>15</vt:i4>
      </vt:variant>
      <vt:variant>
        <vt:i4>0</vt:i4>
      </vt:variant>
      <vt:variant>
        <vt:i4>5</vt:i4>
      </vt:variant>
      <vt:variant>
        <vt:lpwstr>http://www.oas.org/en/iachr/expression/docs/reports/annual/2014_04_22_ IA_2013_ENG _FINALweb.pdf</vt:lpwstr>
      </vt:variant>
      <vt:variant>
        <vt:lpwstr/>
      </vt:variant>
      <vt:variant>
        <vt:i4>4521992</vt:i4>
      </vt:variant>
      <vt:variant>
        <vt:i4>12</vt:i4>
      </vt:variant>
      <vt:variant>
        <vt:i4>0</vt:i4>
      </vt:variant>
      <vt:variant>
        <vt:i4>5</vt:i4>
      </vt:variant>
      <vt:variant>
        <vt:lpwstr>http://www.oas.org/en/iachr/expression/docs/reports/annual/2014_04_22_ IA_2013_ENG _FINALweb.pdf</vt:lpwstr>
      </vt:variant>
      <vt:variant>
        <vt:lpwstr/>
      </vt:variant>
      <vt:variant>
        <vt:i4>7143523</vt:i4>
      </vt:variant>
      <vt:variant>
        <vt:i4>9</vt:i4>
      </vt:variant>
      <vt:variant>
        <vt:i4>0</vt:i4>
      </vt:variant>
      <vt:variant>
        <vt:i4>5</vt:i4>
      </vt:variant>
      <vt:variant>
        <vt:lpwstr>https://www.youtube.com/watch?v=w89kNT488-0</vt:lpwstr>
      </vt:variant>
      <vt:variant>
        <vt:lpwstr/>
      </vt:variant>
      <vt:variant>
        <vt:i4>2818107</vt:i4>
      </vt:variant>
      <vt:variant>
        <vt:i4>6</vt:i4>
      </vt:variant>
      <vt:variant>
        <vt:i4>0</vt:i4>
      </vt:variant>
      <vt:variant>
        <vt:i4>5</vt:i4>
      </vt:variant>
      <vt:variant>
        <vt:lpwstr>https://www.youtube.com/watch?v=LxhpEcMfXYw</vt:lpwstr>
      </vt:variant>
      <vt:variant>
        <vt:lpwstr/>
      </vt:variant>
      <vt:variant>
        <vt:i4>6750328</vt:i4>
      </vt:variant>
      <vt:variant>
        <vt:i4>3</vt:i4>
      </vt:variant>
      <vt:variant>
        <vt:i4>0</vt:i4>
      </vt:variant>
      <vt:variant>
        <vt:i4>5</vt:i4>
      </vt:variant>
      <vt:variant>
        <vt:lpwstr>https://www.youtube.com/watch?v=3G818CATeYY</vt:lpwstr>
      </vt:variant>
      <vt:variant>
        <vt:lpwstr/>
      </vt:variant>
      <vt:variant>
        <vt:i4>3407921</vt:i4>
      </vt:variant>
      <vt:variant>
        <vt:i4>0</vt:i4>
      </vt:variant>
      <vt:variant>
        <vt:i4>0</vt:i4>
      </vt:variant>
      <vt:variant>
        <vt:i4>5</vt:i4>
      </vt:variant>
      <vt:variant>
        <vt:lpwstr>https://www.youtube.com/watch?v=JuBDxVKtexs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Teubner, Tatiana</cp:lastModifiedBy>
  <cp:revision>4</cp:revision>
  <cp:lastPrinted>2018-10-30T20:59:00Z</cp:lastPrinted>
  <dcterms:created xsi:type="dcterms:W3CDTF">2019-01-09T15:57:00Z</dcterms:created>
  <dcterms:modified xsi:type="dcterms:W3CDTF">2019-01-09T16:02:00Z</dcterms:modified>
</cp:coreProperties>
</file>